
<file path=[Content_Types].xml><?xml version="1.0" encoding="utf-8"?>
<Types xmlns="http://schemas.openxmlformats.org/package/2006/content-types">
  <Default Extension="rels" ContentType="application/vnd.openxmlformats-package.relationships+xml"/>
  <Default Extension="xml" ContentType="application/xml"/>
  <Default Extension="emf" ContentType="image/emf"/>
  <Default Extension="bin" ContentType="application/vnd.openxmlformats-officedocument.oleObject"/>
  <Default Extension="png" ContentType="image/png"/>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pStyle w:val="17"/>
        <w:jc w:val="both"/>
        <w:rPr>
          <w:rFonts w:ascii="方正小标宋简体" w:eastAsia="方正小标宋简体" w:cs="Times New Roman"/>
          <w:color w:val="auto"/>
          <w:kern w:val="2"/>
          <w:sz w:val="44"/>
          <w:szCs w:val="44"/>
          <w:lang w:val="en-US" w:eastAsia="zh-CN" w:bidi="ar-SA"/>
          <w:highlight w:val="auto"/>
        </w:rPr>
      </w:pPr>
    </w:p>
    <w:p>
      <w:pPr>
        <w:pStyle w:val="17"/>
        <w:jc w:val="center"/>
        <w:rPr>
          <w:rFonts w:ascii="方正小标宋简体" w:eastAsia="方正小标宋简体" w:cs="Times New Roman" w:hint="eastAsia"/>
          <w:color w:val="auto"/>
          <w:kern w:val="2"/>
          <w:sz w:val="44"/>
          <w:szCs w:val="44"/>
          <w:lang w:val="en-US" w:eastAsia="zh-CN" w:bidi="ar-SA"/>
          <w:highlight w:val="auto"/>
        </w:rPr>
      </w:pPr>
    </w:p>
    <w:p>
      <w:pPr>
        <w:pStyle w:val="17"/>
        <w:keepNext w:val="0"/>
        <w:keepLines w:val="0"/>
        <w:pageBreakBefore w:val="0"/>
        <w:widowControl w:val="0"/>
        <w:suppressAutoHyphens/>
        <w:kinsoku/>
        <w:wordWrap/>
        <w:overflowPunct/>
        <w:topLinePunct w:val="0"/>
        <w:autoSpaceDE/>
        <w:autoSpaceDN/>
        <w:bidi w:val="0"/>
        <w:adjustRightInd/>
        <w:snapToGrid/>
        <w:spacing w:after="0" w:line="560" w:lineRule="exact"/>
        <w:jc w:val="center"/>
        <w:textAlignment w:val="auto"/>
        <w:rPr>
          <w:rFonts w:ascii="方正小标宋简体" w:eastAsia="方正小标宋简体" w:cs="Times New Roman" w:hint="eastAsia"/>
          <w:color w:val="auto"/>
          <w:kern w:val="2"/>
          <w:sz w:val="44"/>
          <w:szCs w:val="44"/>
          <w:lang w:val="en-US" w:eastAsia="zh-CN" w:bidi="ar-SA"/>
          <w:highlight w:val="auto"/>
        </w:rPr>
      </w:pPr>
      <w:r>
        <w:rPr>
          <w:rFonts w:ascii="方正小标宋简体" w:eastAsia="方正小标宋简体" w:cs="Times New Roman" w:hint="eastAsia"/>
          <w:color w:val="auto"/>
          <w:kern w:val="2"/>
          <w:sz w:val="44"/>
          <w:szCs w:val="44"/>
          <w:lang w:val="en-US" w:eastAsia="zh-CN" w:bidi="ar-SA"/>
          <w:highlight w:val="auto"/>
        </w:rPr>
        <w:t>2025年度</w:t>
      </w:r>
      <w:bookmarkStart w:id="0" w:name="_Toc15378442"/>
      <w:bookmarkStart w:id="1" w:name="_Toc15396476"/>
      <w:bookmarkStart w:id="2" w:name="_Toc15396598"/>
      <w:bookmarkStart w:id="3" w:name="_Toc15377194"/>
      <w:bookmarkStart w:id="4" w:name="_Toc15377426"/>
      <w:r>
        <w:rPr>
          <w:rFonts w:ascii="方正小标宋简体" w:eastAsia="方正小标宋简体" w:cs="Times New Roman" w:hint="eastAsia"/>
          <w:color w:val="auto"/>
          <w:kern w:val="2"/>
          <w:sz w:val="44"/>
          <w:szCs w:val="44"/>
          <w:lang w:val="en-US" w:eastAsia="zh-CN" w:bidi="ar-SA"/>
          <w:highlight w:val="auto"/>
        </w:rPr>
        <w:t>四川省阿坝州茂县</w:t>
      </w:r>
      <w:bookmarkStart w:id="5" w:name="_Toc15306268"/>
      <w:r>
        <w:rPr>
          <w:rFonts w:ascii="方正小标宋简体" w:eastAsia="方正小标宋简体" w:cs="Times New Roman" w:hint="eastAsia"/>
          <w:color w:val="auto"/>
          <w:kern w:val="2"/>
          <w:sz w:val="44"/>
          <w:szCs w:val="44"/>
          <w:lang w:val="en-US" w:eastAsia="zh-CN" w:bidi="ar-SA"/>
          <w:highlight w:val="auto"/>
        </w:rPr>
        <w:t>公安局</w:t>
      </w:r>
    </w:p>
    <w:p>
      <w:pPr>
        <w:pStyle w:val="17"/>
        <w:keepNext w:val="0"/>
        <w:keepLines w:val="0"/>
        <w:pageBreakBefore w:val="0"/>
        <w:widowControl w:val="0"/>
        <w:suppressAutoHyphens/>
        <w:kinsoku/>
        <w:wordWrap/>
        <w:overflowPunct/>
        <w:topLinePunct w:val="0"/>
        <w:autoSpaceDE/>
        <w:autoSpaceDN/>
        <w:bidi w:val="0"/>
        <w:adjustRightInd/>
        <w:snapToGrid/>
        <w:spacing w:after="0" w:line="560" w:lineRule="exact"/>
        <w:jc w:val="center"/>
        <w:textAlignment w:val="auto"/>
        <w:rPr>
          <w:rFonts w:ascii="方正小标宋简体" w:eastAsia="方正小标宋简体" w:cs="Times New Roman" w:hint="eastAsia"/>
          <w:color w:val="auto"/>
          <w:kern w:val="2"/>
          <w:sz w:val="44"/>
          <w:szCs w:val="44"/>
          <w:lang w:val="en-US" w:eastAsia="zh-CN" w:bidi="ar-SA"/>
          <w:highlight w:val="auto"/>
        </w:rPr>
      </w:pPr>
      <w:r>
        <w:rPr>
          <w:rFonts w:ascii="方正小标宋简体" w:eastAsia="方正小标宋简体" w:cs="Times New Roman" w:hint="eastAsia"/>
          <w:color w:val="auto"/>
          <w:kern w:val="2"/>
          <w:sz w:val="44"/>
          <w:szCs w:val="44"/>
          <w:lang w:val="en-US" w:eastAsia="zh-CN" w:bidi="ar-SA"/>
          <w:highlight w:val="auto"/>
        </w:rPr>
        <w:t>部门决算</w:t>
      </w:r>
      <w:bookmarkEnd w:id="0"/>
      <w:bookmarkEnd w:id="1"/>
      <w:bookmarkEnd w:id="2"/>
      <w:bookmarkEnd w:id="3"/>
      <w:bookmarkEnd w:id="4"/>
      <w:bookmarkEnd w:id="5"/>
    </w:p>
    <w:p>
      <w:pPr>
        <w:widowControl/>
        <w:suppressAutoHyphens/>
        <w:jc w:val="center"/>
        <w:rPr>
          <w:rFonts w:ascii="黑体" w:eastAsia="黑体" w:hint="eastAsia"/>
          <w:color w:val="auto"/>
          <w:sz w:val="48"/>
          <w:szCs w:val="48"/>
          <w:highlight w:val="auto"/>
        </w:rPr>
      </w:pPr>
      <w:r>
        <w:rPr>
          <w:rFonts w:ascii="方正小标宋简体" w:eastAsia="方正小标宋简体"/>
          <w:color w:val="auto"/>
          <w:sz w:val="36"/>
          <w:szCs w:val="36"/>
          <w:highlight w:val="auto"/>
        </w:rPr>
        <w:br w:type="page"/>
      </w:r>
      <w:r>
        <w:rPr>
          <w:rFonts w:ascii="黑体" w:eastAsia="黑体" w:hint="eastAsia"/>
          <w:color w:val="auto"/>
          <w:sz w:val="48"/>
          <w:szCs w:val="48"/>
          <w:highlight w:val="auto"/>
        </w:rPr>
        <w:t>目录</w:t>
      </w:r>
    </w:p>
    <w:p>
      <w:pPr>
        <w:pStyle w:val="22"/>
        <w:jc w:val="center"/>
      </w:pPr>
      <w:r>
        <w:rPr>
          <w:rFonts w:cs="Times New Roman" w:hint="eastAsia"/>
          <w:b w:val="0"/>
          <w:bCs w:val="0"/>
          <w:sz w:val="24"/>
          <w:szCs w:val="24"/>
          <w:lang w:bidi="ar-SA"/>
        </w:rPr>
        <w:t>公开时间：202</w:t>
      </w:r>
      <w:r>
        <w:rPr>
          <w:rFonts w:cs="Times New Roman" w:hint="eastAsia"/>
          <w:b w:val="0"/>
          <w:bCs w:val="0"/>
          <w:sz w:val="24"/>
          <w:szCs w:val="24"/>
          <w:lang w:val="en-US" w:eastAsia="zh-CN" w:bidi="ar-SA"/>
        </w:rPr>
        <w:t>6</w:t>
      </w:r>
      <w:r>
        <w:rPr>
          <w:rFonts w:cs="Times New Roman" w:hint="eastAsia"/>
          <w:b w:val="0"/>
          <w:bCs w:val="0"/>
          <w:sz w:val="24"/>
          <w:szCs w:val="24"/>
          <w:lang w:bidi="ar-SA"/>
        </w:rPr>
        <w:t>年</w:t>
      </w:r>
      <w:r>
        <w:rPr>
          <w:rFonts w:cs="Times New Roman" w:hint="eastAsia"/>
          <w:b w:val="0"/>
          <w:bCs w:val="0"/>
          <w:sz w:val="24"/>
          <w:szCs w:val="24"/>
          <w:lang w:val="en-US" w:eastAsia="zh-CN" w:bidi="ar-SA"/>
        </w:rPr>
        <w:t>9</w:t>
      </w:r>
      <w:r>
        <w:rPr>
          <w:rFonts w:cs="Times New Roman" w:hint="eastAsia"/>
          <w:b w:val="0"/>
          <w:bCs w:val="0"/>
          <w:sz w:val="24"/>
          <w:szCs w:val="24"/>
          <w:lang w:bidi="ar-SA"/>
        </w:rPr>
        <w:t>月</w:t>
      </w:r>
      <w:r>
        <w:rPr>
          <w:rFonts w:cs="Times New Roman" w:hint="eastAsia"/>
          <w:b w:val="0"/>
          <w:bCs w:val="0"/>
          <w:sz w:val="24"/>
          <w:szCs w:val="24"/>
          <w:lang w:val="en-US" w:eastAsia="zh-CN" w:bidi="ar-SA"/>
        </w:rPr>
        <w:t>4</w:t>
      </w:r>
      <w:r>
        <w:rPr>
          <w:rFonts w:cs="Times New Roman" w:hint="eastAsia"/>
          <w:b w:val="0"/>
          <w:bCs w:val="0"/>
          <w:sz w:val="24"/>
          <w:szCs w:val="24"/>
          <w:lang w:bidi="ar-SA"/>
        </w:rPr>
        <w:t>日</w:t>
      </w:r>
    </w:p>
    <w:p>
      <w:pPr>
        <w:pStyle w:val="34"/>
        <w:tabs>
          <w:tab w:val="right" w:leader="dot" w:pos="8306"/>
        </w:tabs>
        <w:rPr>
          <w:b/>
        </w:rPr>
      </w:pPr>
      <w:r>
        <w:fldChar w:fldCharType="begin"/>
      </w:r>
      <w:r>
        <w:instrText xml:space="preserve">TOC \o "1-2" \h \u </w:instrText>
      </w:r>
      <w:r>
        <w:fldChar w:fldCharType="separate"/>
      </w:r>
    </w:p>
    <w:p>
      <w:pPr>
        <w:pStyle w:val="34"/>
        <w:tabs>
          <w:tab w:val="right" w:leader="dot" w:pos="8306"/>
        </w:tabs>
        <w:rPr>
          <w:b/>
        </w:rPr>
      </w:pPr>
      <w:r>
        <w:rPr>
          <w:b/>
        </w:rPr>
        <w:fldChar w:fldCharType="begin"/>
      </w:r>
      <w:r>
        <w:rPr>
          <w:b/>
        </w:rPr>
        <w:instrText xml:space="preserve"> HYPERLINK \l _Toc8954 </w:instrText>
      </w:r>
      <w:r>
        <w:rPr>
          <w:b/>
        </w:rPr>
        <w:fldChar w:fldCharType="separate"/>
      </w:r>
      <w:r>
        <w:rPr>
          <w:rFonts w:ascii="黑体" w:eastAsia="黑体" w:hint="eastAsia"/>
          <w:b/>
          <w:highlight w:val="auto"/>
        </w:rPr>
        <w:t xml:space="preserve">第一部分 </w:t>
      </w:r>
      <w:r>
        <w:rPr>
          <w:rFonts w:ascii="黑体" w:eastAsia="黑体" w:hint="eastAsia"/>
          <w:b/>
          <w:bCs w:val="0"/>
          <w:highlight w:val="auto"/>
        </w:rPr>
        <w:t>部门概况</w:t>
      </w:r>
      <w:r>
        <w:rPr>
          <w:b/>
        </w:rPr>
        <w:tab/>
      </w:r>
      <w:r>
        <w:rPr>
          <w:b/>
        </w:rPr>
        <w:fldChar w:fldCharType="begin"/>
      </w:r>
      <w:r>
        <w:rPr>
          <w:b/>
        </w:rPr>
        <w:instrText xml:space="preserve"> PAGEREF _Toc8954 \h </w:instrText>
      </w:r>
      <w:r>
        <w:rPr>
          <w:b/>
        </w:rPr>
        <w:fldChar w:fldCharType="separate"/>
      </w:r>
      <w:r>
        <w:rPr>
          <w:b/>
        </w:rPr>
        <w:t>3</w:t>
      </w:r>
      <w:r>
        <w:rPr>
          <w:b/>
        </w:rPr>
        <w:fldChar w:fldCharType="end"/>
      </w:r>
      <w:r>
        <w:rPr>
          <w:b/>
        </w:rPr>
        <w:fldChar w:fldCharType="end"/>
      </w:r>
    </w:p>
    <w:p>
      <w:pPr>
        <w:pStyle w:val="35"/>
        <w:tabs>
          <w:tab w:val="right" w:leader="dot" w:pos="8306"/>
        </w:tabs>
        <w:rPr>
          <w:rFonts w:eastAsia="宋体" w:hint="eastAsia"/>
          <w:lang w:val="en-US" w:eastAsia="zh-CN"/>
        </w:rPr>
      </w:pPr>
      <w:r>
        <w:fldChar w:fldCharType="begin"/>
      </w:r>
      <w:r>
        <w:instrText xml:space="preserve"> HYPERLINK \l _Toc26285 </w:instrText>
      </w:r>
      <w:r>
        <w:fldChar w:fldCharType="separate"/>
      </w:r>
      <w:r>
        <w:rPr>
          <w:rFonts w:ascii="黑体" w:eastAsia="黑体" w:hint="eastAsia"/>
          <w:highlight w:val="auto"/>
        </w:rPr>
        <w:t>一、</w:t>
      </w:r>
      <w:r>
        <w:rPr>
          <w:rFonts w:ascii="黑体" w:eastAsia="黑体" w:hint="eastAsia"/>
          <w:lang w:eastAsia="zh-CN"/>
          <w:highlight w:val="auto"/>
        </w:rPr>
        <w:t>部门职责</w:t>
      </w:r>
      <w:r>
        <w:tab/>
      </w:r>
      <w:r>
        <w:fldChar w:fldCharType="end"/>
      </w:r>
      <w:r>
        <w:rPr>
          <w:rFonts w:hint="eastAsia"/>
          <w:lang w:val="en-US" w:eastAsia="zh-CN"/>
        </w:rPr>
        <w:t>3</w:t>
      </w:r>
    </w:p>
    <w:p>
      <w:pPr>
        <w:pStyle w:val="35"/>
        <w:tabs>
          <w:tab w:val="right" w:leader="dot" w:pos="8306"/>
        </w:tabs>
      </w:pPr>
      <w:r>
        <w:fldChar w:fldCharType="begin"/>
      </w:r>
      <w:r>
        <w:instrText xml:space="preserve"> HYPERLINK \l _Toc31585 </w:instrText>
      </w:r>
      <w:r>
        <w:fldChar w:fldCharType="separate"/>
      </w:r>
      <w:r>
        <w:rPr>
          <w:rFonts w:ascii="黑体" w:eastAsia="黑体" w:hint="eastAsia"/>
          <w:highlight w:val="auto"/>
        </w:rPr>
        <w:t>二、机</w:t>
      </w:r>
      <w:r>
        <w:rPr>
          <w:rFonts w:ascii="黑体" w:eastAsia="黑体" w:hint="eastAsia"/>
          <w:bCs w:val="0"/>
          <w:highlight w:val="auto"/>
        </w:rPr>
        <w:t>构设置</w:t>
      </w:r>
      <w:r>
        <w:tab/>
      </w:r>
      <w:r>
        <w:fldChar w:fldCharType="begin"/>
      </w:r>
      <w:r>
        <w:instrText xml:space="preserve"> PAGEREF _Toc31585 \h </w:instrText>
      </w:r>
      <w:r>
        <w:fldChar w:fldCharType="separate"/>
      </w:r>
      <w:r>
        <w:t>4</w:t>
      </w:r>
      <w:r>
        <w:fldChar w:fldCharType="end"/>
      </w:r>
      <w:r>
        <w:fldChar w:fldCharType="end"/>
      </w:r>
    </w:p>
    <w:p>
      <w:pPr>
        <w:pStyle w:val="34"/>
        <w:tabs>
          <w:tab w:val="right" w:leader="dot" w:pos="8306"/>
        </w:tabs>
        <w:rPr>
          <w:b/>
        </w:rPr>
      </w:pPr>
      <w:r>
        <w:rPr>
          <w:b/>
        </w:rPr>
        <w:fldChar w:fldCharType="begin"/>
      </w:r>
      <w:r>
        <w:rPr>
          <w:b/>
        </w:rPr>
        <w:instrText xml:space="preserve"> HYPERLINK \l _Toc19280 </w:instrText>
      </w:r>
      <w:r>
        <w:rPr>
          <w:b/>
        </w:rPr>
        <w:fldChar w:fldCharType="separate"/>
      </w:r>
      <w:r>
        <w:rPr>
          <w:rFonts w:ascii="黑体" w:eastAsia="黑体" w:hint="eastAsia"/>
          <w:b/>
          <w:bCs/>
          <w:highlight w:val="auto"/>
        </w:rPr>
        <w:t xml:space="preserve">第二部分 </w:t>
      </w:r>
      <w:r>
        <w:rPr>
          <w:rFonts w:ascii="黑体" w:eastAsia="黑体" w:hint="eastAsia"/>
          <w:b/>
          <w:bCs/>
          <w:lang w:val="en-US" w:eastAsia="zh-CN"/>
          <w:highlight w:val="auto"/>
        </w:rPr>
        <w:t>2025年度</w:t>
      </w:r>
      <w:r>
        <w:rPr>
          <w:rFonts w:ascii="黑体" w:eastAsia="黑体" w:hint="eastAsia"/>
          <w:b/>
          <w:bCs/>
          <w:highlight w:val="auto"/>
        </w:rPr>
        <w:t>部门决算情况说明</w:t>
      </w:r>
      <w:r>
        <w:rPr>
          <w:b/>
        </w:rPr>
        <w:tab/>
      </w:r>
      <w:r>
        <w:rPr>
          <w:b/>
        </w:rPr>
        <w:fldChar w:fldCharType="begin"/>
      </w:r>
      <w:r>
        <w:rPr>
          <w:b/>
        </w:rPr>
        <w:instrText xml:space="preserve"> PAGEREF _Toc19280 \h </w:instrText>
      </w:r>
      <w:r>
        <w:rPr>
          <w:b/>
        </w:rPr>
        <w:fldChar w:fldCharType="separate"/>
      </w:r>
      <w:r>
        <w:rPr>
          <w:b/>
        </w:rPr>
        <w:t>5</w:t>
      </w:r>
      <w:r>
        <w:rPr>
          <w:b/>
        </w:rPr>
        <w:fldChar w:fldCharType="end"/>
      </w:r>
      <w:r>
        <w:rPr>
          <w:b/>
        </w:rPr>
        <w:fldChar w:fldCharType="end"/>
      </w:r>
    </w:p>
    <w:p>
      <w:pPr>
        <w:pStyle w:val="35"/>
        <w:tabs>
          <w:tab w:val="right" w:leader="dot" w:pos="8306"/>
        </w:tabs>
      </w:pPr>
      <w:r>
        <w:fldChar w:fldCharType="begin"/>
      </w:r>
      <w:r>
        <w:instrText xml:space="preserve"> HYPERLINK \l _Toc26900 </w:instrText>
      </w:r>
      <w:r>
        <w:fldChar w:fldCharType="separate"/>
      </w:r>
      <w:r>
        <w:rPr>
          <w:rFonts w:ascii="黑体" w:eastAsia="黑体"/>
        </w:rPr>
        <w:t xml:space="preserve">一、 </w:t>
      </w:r>
      <w:r>
        <w:rPr>
          <w:rFonts w:ascii="黑体" w:eastAsia="黑体" w:hint="eastAsia"/>
          <w:szCs w:val="32"/>
          <w:highlight w:val="auto"/>
        </w:rPr>
        <w:t>收</w:t>
      </w:r>
      <w:r>
        <w:rPr>
          <w:rFonts w:ascii="黑体" w:eastAsia="黑体" w:hint="eastAsia"/>
          <w:highlight w:val="auto"/>
        </w:rPr>
        <w:t>入支出决算总体情况说明</w:t>
      </w:r>
      <w:r>
        <w:tab/>
      </w:r>
      <w:r>
        <w:fldChar w:fldCharType="begin"/>
      </w:r>
      <w:r>
        <w:instrText xml:space="preserve"> PAGEREF _Toc26900 \h </w:instrText>
      </w:r>
      <w:r>
        <w:fldChar w:fldCharType="separate"/>
      </w:r>
      <w:r>
        <w:t>5</w:t>
      </w:r>
      <w:r>
        <w:fldChar w:fldCharType="end"/>
      </w:r>
      <w:r>
        <w:fldChar w:fldCharType="end"/>
      </w:r>
    </w:p>
    <w:p>
      <w:pPr>
        <w:pStyle w:val="35"/>
        <w:tabs>
          <w:tab w:val="right" w:leader="dot" w:pos="8306"/>
        </w:tabs>
      </w:pPr>
      <w:r>
        <w:fldChar w:fldCharType="begin"/>
      </w:r>
      <w:r>
        <w:instrText xml:space="preserve"> HYPERLINK \l _Toc1 </w:instrText>
      </w:r>
      <w:r>
        <w:fldChar w:fldCharType="separate"/>
      </w:r>
      <w:r>
        <w:rPr>
          <w:rFonts w:ascii="黑体" w:eastAsia="黑体"/>
        </w:rPr>
        <w:t xml:space="preserve">二、 </w:t>
      </w:r>
      <w:r>
        <w:rPr>
          <w:rFonts w:ascii="黑体" w:eastAsia="黑体" w:hint="eastAsia"/>
          <w:szCs w:val="32"/>
          <w:highlight w:val="auto"/>
        </w:rPr>
        <w:t>收</w:t>
      </w:r>
      <w:r>
        <w:rPr>
          <w:rFonts w:ascii="黑体" w:eastAsia="黑体" w:hint="eastAsia"/>
          <w:highlight w:val="auto"/>
        </w:rPr>
        <w:t>入决算情况说明</w:t>
      </w:r>
      <w:r>
        <w:tab/>
      </w:r>
      <w:r>
        <w:fldChar w:fldCharType="begin"/>
      </w:r>
      <w:r>
        <w:instrText xml:space="preserve"> PAGEREF _Toc1 \h </w:instrText>
      </w:r>
      <w:r>
        <w:fldChar w:fldCharType="separate"/>
      </w:r>
      <w:r>
        <w:t>5</w:t>
      </w:r>
      <w:r>
        <w:fldChar w:fldCharType="end"/>
      </w:r>
      <w:r>
        <w:fldChar w:fldCharType="end"/>
      </w:r>
    </w:p>
    <w:p>
      <w:pPr>
        <w:pStyle w:val="35"/>
        <w:tabs>
          <w:tab w:val="right" w:leader="dot" w:pos="8306"/>
        </w:tabs>
      </w:pPr>
      <w:r>
        <w:fldChar w:fldCharType="begin"/>
      </w:r>
      <w:r>
        <w:instrText xml:space="preserve"> HYPERLINK \l _Toc32216 </w:instrText>
      </w:r>
      <w:r>
        <w:fldChar w:fldCharType="separate"/>
      </w:r>
      <w:r>
        <w:rPr>
          <w:rFonts w:ascii="黑体" w:eastAsia="黑体"/>
        </w:rPr>
        <w:t xml:space="preserve">三、 </w:t>
      </w:r>
      <w:r>
        <w:rPr>
          <w:rFonts w:ascii="黑体" w:eastAsia="黑体" w:hint="eastAsia"/>
          <w:szCs w:val="32"/>
          <w:highlight w:val="auto"/>
        </w:rPr>
        <w:t>支</w:t>
      </w:r>
      <w:r>
        <w:rPr>
          <w:rFonts w:ascii="黑体" w:eastAsia="黑体" w:hint="eastAsia"/>
          <w:highlight w:val="auto"/>
        </w:rPr>
        <w:t>出决算情况说明</w:t>
      </w:r>
      <w:r>
        <w:tab/>
      </w:r>
      <w:r>
        <w:fldChar w:fldCharType="begin"/>
      </w:r>
      <w:r>
        <w:instrText xml:space="preserve"> PAGEREF _Toc32216 \h </w:instrText>
      </w:r>
      <w:r>
        <w:fldChar w:fldCharType="separate"/>
      </w:r>
      <w:r>
        <w:t>6</w:t>
      </w:r>
      <w:r>
        <w:fldChar w:fldCharType="end"/>
      </w:r>
      <w:r>
        <w:fldChar w:fldCharType="end"/>
      </w:r>
    </w:p>
    <w:p>
      <w:pPr>
        <w:pStyle w:val="35"/>
        <w:tabs>
          <w:tab w:val="right" w:leader="dot" w:pos="8306"/>
        </w:tabs>
      </w:pPr>
      <w:r>
        <w:fldChar w:fldCharType="begin"/>
      </w:r>
      <w:r>
        <w:instrText xml:space="preserve"> HYPERLINK \l _Toc7447 </w:instrText>
      </w:r>
      <w:r>
        <w:fldChar w:fldCharType="separate"/>
      </w:r>
      <w:r>
        <w:rPr>
          <w:rFonts w:ascii="黑体" w:eastAsia="黑体" w:hint="eastAsia"/>
          <w:szCs w:val="32"/>
          <w:highlight w:val="auto"/>
        </w:rPr>
        <w:t>四、财</w:t>
      </w:r>
      <w:r>
        <w:rPr>
          <w:rFonts w:ascii="黑体" w:eastAsia="黑体" w:hint="eastAsia"/>
          <w:highlight w:val="auto"/>
        </w:rPr>
        <w:t>政拨款收入支出决算总体情况说明</w:t>
      </w:r>
      <w:r>
        <w:tab/>
      </w:r>
      <w:r>
        <w:fldChar w:fldCharType="begin"/>
      </w:r>
      <w:r>
        <w:instrText xml:space="preserve"> PAGEREF _Toc7447 \h </w:instrText>
      </w:r>
      <w:r>
        <w:fldChar w:fldCharType="separate"/>
      </w:r>
      <w:r>
        <w:t>6</w:t>
      </w:r>
      <w:r>
        <w:fldChar w:fldCharType="end"/>
      </w:r>
      <w:r>
        <w:fldChar w:fldCharType="end"/>
      </w:r>
    </w:p>
    <w:p>
      <w:pPr>
        <w:pStyle w:val="35"/>
        <w:tabs>
          <w:tab w:val="right" w:leader="dot" w:pos="8306"/>
        </w:tabs>
      </w:pPr>
      <w:r>
        <w:fldChar w:fldCharType="begin"/>
      </w:r>
      <w:r>
        <w:instrText xml:space="preserve"> HYPERLINK \l _Toc2437 </w:instrText>
      </w:r>
      <w:r>
        <w:fldChar w:fldCharType="separate"/>
      </w:r>
      <w:r>
        <w:rPr>
          <w:rFonts w:ascii="黑体" w:eastAsia="黑体" w:hint="eastAsia"/>
          <w:szCs w:val="32"/>
          <w:highlight w:val="auto"/>
        </w:rPr>
        <w:t>五、一</w:t>
      </w:r>
      <w:r>
        <w:rPr>
          <w:rFonts w:ascii="黑体" w:eastAsia="黑体" w:hint="eastAsia"/>
          <w:highlight w:val="auto"/>
        </w:rPr>
        <w:t>般公共预算财政拨款支出决算情况说明</w:t>
      </w:r>
      <w:r>
        <w:tab/>
      </w:r>
      <w:r>
        <w:fldChar w:fldCharType="begin"/>
      </w:r>
      <w:r>
        <w:instrText xml:space="preserve"> PAGEREF _Toc2437 \h </w:instrText>
      </w:r>
      <w:r>
        <w:fldChar w:fldCharType="separate"/>
      </w:r>
      <w:r>
        <w:t>7</w:t>
      </w:r>
      <w:r>
        <w:fldChar w:fldCharType="end"/>
      </w:r>
      <w:r>
        <w:fldChar w:fldCharType="end"/>
      </w:r>
    </w:p>
    <w:p>
      <w:pPr>
        <w:pStyle w:val="35"/>
        <w:tabs>
          <w:tab w:val="right" w:leader="dot" w:pos="8306"/>
        </w:tabs>
      </w:pPr>
      <w:r>
        <w:fldChar w:fldCharType="begin"/>
      </w:r>
      <w:r>
        <w:instrText xml:space="preserve"> HYPERLINK \l _Toc8666 </w:instrText>
      </w:r>
      <w:r>
        <w:fldChar w:fldCharType="separate"/>
      </w:r>
      <w:r>
        <w:rPr>
          <w:rFonts w:ascii="黑体" w:eastAsia="黑体" w:hint="eastAsia"/>
          <w:szCs w:val="32"/>
          <w:highlight w:val="auto"/>
        </w:rPr>
        <w:t>六、一</w:t>
      </w:r>
      <w:r>
        <w:rPr>
          <w:rFonts w:ascii="黑体" w:eastAsia="黑体" w:hint="eastAsia"/>
          <w:highlight w:val="auto"/>
        </w:rPr>
        <w:t>般公共预算财政拨款基本支出决算情况说明</w:t>
      </w:r>
      <w:r>
        <w:tab/>
      </w:r>
      <w:r>
        <w:fldChar w:fldCharType="begin"/>
      </w:r>
      <w:r>
        <w:instrText xml:space="preserve"> PAGEREF _Toc8666 \h </w:instrText>
      </w:r>
      <w:r>
        <w:fldChar w:fldCharType="separate"/>
      </w:r>
      <w:r>
        <w:t>9</w:t>
      </w:r>
      <w:r>
        <w:fldChar w:fldCharType="end"/>
      </w:r>
      <w:r>
        <w:fldChar w:fldCharType="end"/>
      </w:r>
    </w:p>
    <w:p>
      <w:pPr>
        <w:pStyle w:val="35"/>
        <w:tabs>
          <w:tab w:val="right" w:leader="dot" w:pos="8306"/>
        </w:tabs>
      </w:pPr>
      <w:r>
        <w:fldChar w:fldCharType="begin"/>
      </w:r>
      <w:r>
        <w:instrText xml:space="preserve"> HYPERLINK \l _Toc9005 </w:instrText>
      </w:r>
      <w:r>
        <w:fldChar w:fldCharType="separate"/>
      </w:r>
      <w:r>
        <w:rPr>
          <w:rFonts w:ascii="黑体" w:eastAsia="黑体" w:hint="eastAsia"/>
          <w:szCs w:val="32"/>
          <w:highlight w:val="auto"/>
        </w:rPr>
        <w:t>七、</w:t>
      </w:r>
      <w:r>
        <w:rPr>
          <w:rFonts w:ascii="黑体" w:eastAsia="黑体" w:hint="eastAsia"/>
          <w:highlight w:val="auto"/>
        </w:rPr>
        <w:t>财政拨款“三公”经费支出决算情况说明</w:t>
      </w:r>
      <w:r>
        <w:tab/>
      </w:r>
      <w:r>
        <w:fldChar w:fldCharType="begin"/>
      </w:r>
      <w:r>
        <w:instrText xml:space="preserve"> PAGEREF _Toc9005 \h </w:instrText>
      </w:r>
      <w:r>
        <w:fldChar w:fldCharType="separate"/>
      </w:r>
      <w:r>
        <w:t>10</w:t>
      </w:r>
      <w:r>
        <w:fldChar w:fldCharType="end"/>
      </w:r>
      <w:r>
        <w:fldChar w:fldCharType="end"/>
      </w:r>
    </w:p>
    <w:p>
      <w:pPr>
        <w:pStyle w:val="35"/>
        <w:tabs>
          <w:tab w:val="right" w:leader="dot" w:pos="8306"/>
        </w:tabs>
      </w:pPr>
      <w:r>
        <w:fldChar w:fldCharType="begin"/>
      </w:r>
      <w:r>
        <w:instrText xml:space="preserve"> HYPERLINK \l _Toc22188 </w:instrText>
      </w:r>
      <w:r>
        <w:fldChar w:fldCharType="separate"/>
      </w:r>
      <w:r>
        <w:rPr>
          <w:rFonts w:ascii="黑体" w:eastAsia="黑体" w:hint="eastAsia"/>
          <w:szCs w:val="32"/>
          <w:highlight w:val="auto"/>
        </w:rPr>
        <w:t>八、</w:t>
      </w:r>
      <w:r>
        <w:rPr>
          <w:rFonts w:ascii="黑体" w:eastAsia="黑体" w:hint="eastAsia"/>
          <w:highlight w:val="auto"/>
        </w:rPr>
        <w:t>政府性基金预算支出决算情况说明</w:t>
      </w:r>
      <w:r>
        <w:tab/>
      </w:r>
      <w:r>
        <w:fldChar w:fldCharType="begin"/>
      </w:r>
      <w:r>
        <w:instrText xml:space="preserve"> PAGEREF _Toc22188 \h </w:instrText>
      </w:r>
      <w:r>
        <w:fldChar w:fldCharType="separate"/>
      </w:r>
      <w:r>
        <w:t>12</w:t>
      </w:r>
      <w:r>
        <w:fldChar w:fldCharType="end"/>
      </w:r>
      <w:r>
        <w:fldChar w:fldCharType="end"/>
      </w:r>
    </w:p>
    <w:p>
      <w:pPr>
        <w:pStyle w:val="35"/>
        <w:tabs>
          <w:tab w:val="right" w:leader="dot" w:pos="8306"/>
        </w:tabs>
      </w:pPr>
      <w:r>
        <w:fldChar w:fldCharType="begin"/>
      </w:r>
      <w:r>
        <w:instrText xml:space="preserve"> HYPERLINK \l _Toc4728 </w:instrText>
      </w:r>
      <w:r>
        <w:fldChar w:fldCharType="separate"/>
      </w:r>
      <w:r>
        <w:rPr>
          <w:rFonts w:ascii="黑体" w:eastAsia="黑体" w:hint="eastAsia"/>
        </w:rPr>
        <w:t xml:space="preserve">九、 </w:t>
      </w:r>
      <w:r>
        <w:rPr>
          <w:rFonts w:ascii="黑体" w:eastAsia="黑体" w:hint="eastAsia"/>
          <w:highlight w:val="auto"/>
        </w:rPr>
        <w:t>国有资本经营预算支出决算情况说明</w:t>
      </w:r>
      <w:r>
        <w:tab/>
      </w:r>
      <w:r>
        <w:fldChar w:fldCharType="begin"/>
      </w:r>
      <w:r>
        <w:instrText xml:space="preserve"> PAGEREF _Toc4728 \h </w:instrText>
      </w:r>
      <w:r>
        <w:fldChar w:fldCharType="separate"/>
      </w:r>
      <w:r>
        <w:t>13</w:t>
      </w:r>
      <w:r>
        <w:fldChar w:fldCharType="end"/>
      </w:r>
      <w:r>
        <w:fldChar w:fldCharType="end"/>
      </w:r>
    </w:p>
    <w:p>
      <w:pPr>
        <w:pStyle w:val="35"/>
        <w:tabs>
          <w:tab w:val="right" w:leader="dot" w:pos="8306"/>
        </w:tabs>
      </w:pPr>
      <w:r>
        <w:fldChar w:fldCharType="begin"/>
      </w:r>
      <w:r>
        <w:instrText xml:space="preserve"> HYPERLINK \l _Toc9767 </w:instrText>
      </w:r>
      <w:r>
        <w:fldChar w:fldCharType="separate"/>
      </w:r>
      <w:r>
        <w:rPr>
          <w:rFonts w:ascii="黑体" w:eastAsia="黑体" w:hint="eastAsia"/>
        </w:rPr>
        <w:t xml:space="preserve">十、 </w:t>
      </w:r>
      <w:r>
        <w:rPr>
          <w:rFonts w:ascii="黑体" w:eastAsia="黑体" w:hint="eastAsia"/>
          <w:highlight w:val="auto"/>
        </w:rPr>
        <w:t>其他重要事项的情况说明</w:t>
      </w:r>
      <w:r>
        <w:tab/>
      </w:r>
      <w:r>
        <w:fldChar w:fldCharType="begin"/>
      </w:r>
      <w:r>
        <w:instrText xml:space="preserve"> PAGEREF _Toc9767 \h </w:instrText>
      </w:r>
      <w:r>
        <w:fldChar w:fldCharType="separate"/>
      </w:r>
      <w:r>
        <w:t>13</w:t>
      </w:r>
      <w:r>
        <w:fldChar w:fldCharType="end"/>
      </w:r>
      <w:r>
        <w:fldChar w:fldCharType="end"/>
      </w:r>
    </w:p>
    <w:p>
      <w:pPr>
        <w:pStyle w:val="35"/>
        <w:tabs>
          <w:tab w:val="right" w:leader="dot" w:pos="8306"/>
        </w:tabs>
        <w:ind w:leftChars="0" w:left="0" w:firstLine="0"/>
        <w:rPr>
          <w:rFonts w:eastAsia="宋体" w:hint="eastAsia"/>
          <w:lang w:val="en-US" w:eastAsia="zh-CN"/>
        </w:rPr>
      </w:pPr>
      <w:r>
        <w:fldChar w:fldCharType="begin"/>
      </w:r>
      <w:r>
        <w:instrText xml:space="preserve"> HYPERLINK \l _Toc30740 </w:instrText>
      </w:r>
      <w:r>
        <w:fldChar w:fldCharType="separate"/>
      </w:r>
      <w:r>
        <w:rPr>
          <w:rFonts w:ascii="黑体" w:eastAsia="黑体" w:cs="Times New Roman" w:hint="eastAsia"/>
          <w:b/>
          <w:bCs/>
          <w:sz w:val="20"/>
          <w:szCs w:val="20"/>
          <w:highlight w:val="auto"/>
        </w:rPr>
        <w:t>第三部分 名词解释</w:t>
      </w:r>
      <w:r>
        <w:tab/>
      </w:r>
      <w:r>
        <w:rPr>
          <w:rFonts w:hint="eastAsia"/>
          <w:lang w:val="en-US" w:eastAsia="zh-CN"/>
        </w:rPr>
        <w:t>1</w:t>
      </w:r>
      <w:r>
        <w:fldChar w:fldCharType="end"/>
      </w:r>
      <w:r>
        <w:rPr>
          <w:rFonts w:hint="eastAsia"/>
          <w:lang w:val="en-US" w:eastAsia="zh-CN"/>
        </w:rPr>
        <w:t>5</w:t>
      </w:r>
    </w:p>
    <w:p>
      <w:pPr>
        <w:pStyle w:val="35"/>
        <w:tabs>
          <w:tab w:val="right" w:leader="dot" w:pos="8306"/>
        </w:tabs>
        <w:ind w:leftChars="0" w:left="0" w:firstLine="0"/>
      </w:pPr>
      <w:r>
        <w:fldChar w:fldCharType="begin"/>
      </w:r>
      <w:r>
        <w:instrText xml:space="preserve"> HYPERLINK \l _Toc29910 </w:instrText>
      </w:r>
      <w:r>
        <w:fldChar w:fldCharType="separate"/>
      </w:r>
      <w:r>
        <w:rPr>
          <w:rFonts w:ascii="黑体" w:eastAsia="黑体" w:cs="Times New Roman" w:hint="eastAsia"/>
          <w:b/>
          <w:bCs/>
          <w:sz w:val="20"/>
          <w:szCs w:val="20"/>
          <w:highlight w:val="auto"/>
        </w:rPr>
        <w:t>第四部分 附件</w:t>
      </w:r>
      <w:r>
        <w:tab/>
      </w:r>
      <w:r>
        <w:fldChar w:fldCharType="begin"/>
      </w:r>
      <w:r>
        <w:instrText xml:space="preserve"> PAGEREF _Toc29910 \h </w:instrText>
      </w:r>
      <w:r>
        <w:fldChar w:fldCharType="separate"/>
      </w:r>
      <w:r>
        <w:t>20</w:t>
      </w:r>
      <w:r>
        <w:fldChar w:fldCharType="end"/>
      </w:r>
      <w:r>
        <w:fldChar w:fldCharType="end"/>
      </w:r>
    </w:p>
    <w:p>
      <w:pPr>
        <w:pStyle w:val="35"/>
        <w:tabs>
          <w:tab w:val="right" w:leader="dot" w:pos="8306"/>
        </w:tabs>
      </w:pPr>
      <w:r>
        <w:fldChar w:fldCharType="begin"/>
      </w:r>
      <w:r>
        <w:instrText xml:space="preserve"> HYPERLINK \l _Toc6819 </w:instrText>
      </w:r>
      <w:r>
        <w:fldChar w:fldCharType="separate"/>
      </w:r>
      <w:r>
        <w:rPr>
          <w:rFonts w:hint="eastAsia"/>
        </w:rPr>
        <w:t>附件</w:t>
      </w:r>
      <w:r>
        <w:rPr>
          <w:rFonts w:hint="eastAsia"/>
          <w:lang w:val="en-US" w:eastAsia="zh-CN"/>
        </w:rPr>
        <w:t>1</w:t>
      </w:r>
      <w:r>
        <w:rPr>
          <w:rFonts w:ascii="黑体" w:eastAsia="黑体" w:hint="eastAsia"/>
          <w:highlight w:val="auto"/>
        </w:rPr>
        <w:t>茂县公安局202</w:t>
      </w:r>
      <w:r>
        <w:rPr>
          <w:rFonts w:ascii="黑体" w:eastAsia="黑体" w:hint="eastAsia"/>
          <w:lang w:val="en-US" w:eastAsia="zh-CN"/>
          <w:highlight w:val="auto"/>
        </w:rPr>
        <w:t>5</w:t>
      </w:r>
      <w:r>
        <w:rPr>
          <w:rFonts w:ascii="黑体" w:eastAsia="黑体" w:hint="eastAsia"/>
          <w:highlight w:val="auto"/>
        </w:rPr>
        <w:t>年部门</w:t>
      </w:r>
      <w:r>
        <w:rPr>
          <w:rFonts w:ascii="黑体" w:eastAsia="黑体" w:hint="eastAsia"/>
          <w:lang w:eastAsia="zh-CN"/>
          <w:highlight w:val="auto"/>
        </w:rPr>
        <w:t>预算</w:t>
      </w:r>
      <w:r>
        <w:rPr>
          <w:rFonts w:ascii="黑体" w:eastAsia="黑体" w:hint="eastAsia"/>
          <w:highlight w:val="auto"/>
        </w:rPr>
        <w:t>绩效评价报告</w:t>
      </w:r>
      <w:r>
        <w:tab/>
      </w:r>
      <w:r>
        <w:fldChar w:fldCharType="begin"/>
      </w:r>
      <w:r>
        <w:instrText xml:space="preserve"> PAGEREF _Toc6819 \h </w:instrText>
      </w:r>
      <w:r>
        <w:fldChar w:fldCharType="separate"/>
      </w:r>
      <w:r>
        <w:t>20</w:t>
      </w:r>
      <w:r>
        <w:fldChar w:fldCharType="end"/>
      </w:r>
      <w:r>
        <w:fldChar w:fldCharType="end"/>
      </w:r>
    </w:p>
    <w:p>
      <w:pPr>
        <w:pStyle w:val="35"/>
        <w:tabs>
          <w:tab w:val="right" w:leader="dot" w:pos="8306"/>
        </w:tabs>
        <w:rPr>
          <w:rFonts w:hint="eastAsia"/>
          <w:lang w:val="en-US" w:eastAsia="zh-CN"/>
        </w:rPr>
      </w:pPr>
      <w:r>
        <w:fldChar w:fldCharType="begin"/>
      </w:r>
      <w:r>
        <w:instrText xml:space="preserve"> HYPERLINK \l _Toc6819 </w:instrText>
      </w:r>
      <w:r>
        <w:fldChar w:fldCharType="separate"/>
      </w:r>
      <w:r>
        <w:rPr>
          <w:rFonts w:hint="eastAsia"/>
        </w:rPr>
        <w:t>附件</w:t>
      </w:r>
      <w:r>
        <w:rPr>
          <w:rFonts w:hint="eastAsia"/>
          <w:lang w:val="en-US" w:eastAsia="zh-CN"/>
        </w:rPr>
        <w:t>2</w:t>
      </w:r>
      <w:r>
        <w:rPr>
          <w:rFonts w:ascii="黑体" w:eastAsia="黑体" w:hint="eastAsia"/>
          <w:lang w:val="en-US" w:eastAsia="zh-CN"/>
          <w:highlight w:val="auto"/>
        </w:rPr>
        <w:t>项目绩效评价</w:t>
      </w:r>
      <w:r>
        <w:rPr>
          <w:rFonts w:ascii="黑体" w:eastAsia="黑体" w:hint="eastAsia"/>
          <w:lang w:val="en-US"/>
          <w:highlight w:val="auto"/>
        </w:rPr>
        <w:t>报告</w:t>
      </w:r>
      <w:r>
        <w:tab/>
      </w:r>
      <w:r>
        <w:rPr>
          <w:rFonts w:hint="eastAsia"/>
          <w:lang w:val="en-US" w:eastAsia="zh-CN"/>
        </w:rPr>
        <w:t>3</w:t>
      </w:r>
      <w:r>
        <w:fldChar w:fldCharType="end"/>
      </w:r>
      <w:r>
        <w:rPr>
          <w:rFonts w:hint="eastAsia"/>
          <w:lang w:val="en-US" w:eastAsia="zh-CN"/>
        </w:rPr>
        <w:t>4</w:t>
      </w:r>
    </w:p>
    <w:p>
      <w:pPr>
        <w:pStyle w:val="35"/>
        <w:tabs>
          <w:tab w:val="right" w:leader="dot" w:pos="8306"/>
        </w:tabs>
        <w:ind w:leftChars="0" w:left="0" w:firstLine="0"/>
      </w:pPr>
      <w:r>
        <w:fldChar w:fldCharType="begin"/>
      </w:r>
      <w:r>
        <w:instrText xml:space="preserve"> HYPERLINK \l _Toc14832 </w:instrText>
      </w:r>
      <w:r>
        <w:fldChar w:fldCharType="separate"/>
      </w:r>
      <w:r>
        <w:rPr>
          <w:rFonts w:ascii="黑体" w:eastAsia="黑体" w:cs="Times New Roman" w:hint="eastAsia"/>
          <w:b/>
          <w:bCs/>
          <w:sz w:val="20"/>
          <w:szCs w:val="20"/>
          <w:highlight w:val="auto"/>
        </w:rPr>
        <w:t>第五部分 附表</w:t>
      </w:r>
      <w:r>
        <w:tab/>
      </w:r>
      <w:r>
        <w:fldChar w:fldCharType="begin"/>
      </w:r>
      <w:r>
        <w:instrText xml:space="preserve"> PAGEREF _Toc14832 \h </w:instrText>
      </w:r>
      <w:r>
        <w:fldChar w:fldCharType="separate"/>
      </w:r>
      <w:r>
        <w:t>54</w:t>
      </w:r>
      <w:r>
        <w:fldChar w:fldCharType="end"/>
      </w:r>
      <w:r>
        <w:fldChar w:fldCharType="end"/>
      </w:r>
    </w:p>
    <w:p>
      <w:pPr>
        <w:pStyle w:val="35"/>
        <w:tabs>
          <w:tab w:val="right" w:leader="dot" w:pos="8306"/>
        </w:tabs>
      </w:pPr>
      <w:r>
        <w:fldChar w:fldCharType="begin"/>
      </w:r>
      <w:r>
        <w:instrText xml:space="preserve"> HYPERLINK \l _Toc15137 </w:instrText>
      </w:r>
      <w:r>
        <w:fldChar w:fldCharType="separate"/>
      </w:r>
      <w:r>
        <w:rPr>
          <w:rFonts w:ascii="仿宋" w:eastAsia="仿宋" w:hint="eastAsia"/>
          <w:highlight w:val="auto"/>
        </w:rPr>
        <w:t>一、收</w:t>
      </w:r>
      <w:r>
        <w:rPr>
          <w:rFonts w:ascii="仿宋" w:eastAsia="仿宋" w:hint="eastAsia"/>
          <w:bCs w:val="0"/>
          <w:highlight w:val="auto"/>
        </w:rPr>
        <w:t>入支出决算总表</w:t>
      </w:r>
      <w:r>
        <w:tab/>
      </w:r>
      <w:r>
        <w:fldChar w:fldCharType="begin"/>
      </w:r>
      <w:r>
        <w:instrText xml:space="preserve"> PAGEREF _Toc15137 \h </w:instrText>
      </w:r>
      <w:r>
        <w:fldChar w:fldCharType="separate"/>
      </w:r>
      <w:r>
        <w:t>54</w:t>
      </w:r>
      <w:r>
        <w:fldChar w:fldCharType="end"/>
      </w:r>
      <w:r>
        <w:fldChar w:fldCharType="end"/>
      </w:r>
    </w:p>
    <w:p>
      <w:pPr>
        <w:pStyle w:val="35"/>
        <w:tabs>
          <w:tab w:val="right" w:leader="dot" w:pos="8306"/>
        </w:tabs>
      </w:pPr>
      <w:r>
        <w:fldChar w:fldCharType="begin"/>
      </w:r>
      <w:r>
        <w:instrText xml:space="preserve"> HYPERLINK \l _Toc9907 </w:instrText>
      </w:r>
      <w:r>
        <w:fldChar w:fldCharType="separate"/>
      </w:r>
      <w:r>
        <w:rPr>
          <w:rFonts w:ascii="仿宋" w:eastAsia="仿宋" w:hint="eastAsia"/>
          <w:highlight w:val="auto"/>
        </w:rPr>
        <w:t>二、收</w:t>
      </w:r>
      <w:r>
        <w:rPr>
          <w:rFonts w:ascii="仿宋" w:eastAsia="仿宋" w:hint="eastAsia"/>
          <w:bCs w:val="0"/>
          <w:highlight w:val="auto"/>
        </w:rPr>
        <w:t>入决算表</w:t>
      </w:r>
      <w:r>
        <w:tab/>
      </w:r>
      <w:r>
        <w:fldChar w:fldCharType="begin"/>
      </w:r>
      <w:r>
        <w:instrText xml:space="preserve"> PAGEREF _Toc9907 \h </w:instrText>
      </w:r>
      <w:r>
        <w:fldChar w:fldCharType="separate"/>
      </w:r>
      <w:r>
        <w:t>54</w:t>
      </w:r>
      <w:r>
        <w:fldChar w:fldCharType="end"/>
      </w:r>
      <w:r>
        <w:fldChar w:fldCharType="end"/>
      </w:r>
    </w:p>
    <w:p>
      <w:pPr>
        <w:pStyle w:val="35"/>
        <w:tabs>
          <w:tab w:val="right" w:leader="dot" w:pos="8306"/>
        </w:tabs>
      </w:pPr>
      <w:r>
        <w:fldChar w:fldCharType="begin"/>
      </w:r>
      <w:r>
        <w:instrText xml:space="preserve"> HYPERLINK \l _Toc12602 </w:instrText>
      </w:r>
      <w:r>
        <w:fldChar w:fldCharType="separate"/>
      </w:r>
      <w:r>
        <w:rPr>
          <w:rFonts w:ascii="仿宋" w:eastAsia="仿宋" w:hint="eastAsia"/>
          <w:bCs w:val="0"/>
          <w:highlight w:val="auto"/>
        </w:rPr>
        <w:t>三、</w:t>
      </w:r>
      <w:r>
        <w:rPr>
          <w:rFonts w:ascii="仿宋" w:eastAsia="仿宋" w:hint="eastAsia"/>
          <w:highlight w:val="auto"/>
        </w:rPr>
        <w:t>支</w:t>
      </w:r>
      <w:r>
        <w:rPr>
          <w:rFonts w:ascii="仿宋" w:eastAsia="仿宋" w:hint="eastAsia"/>
          <w:bCs w:val="0"/>
          <w:highlight w:val="auto"/>
        </w:rPr>
        <w:t>出决算表</w:t>
      </w:r>
      <w:r>
        <w:tab/>
      </w:r>
      <w:r>
        <w:fldChar w:fldCharType="begin"/>
      </w:r>
      <w:r>
        <w:instrText xml:space="preserve"> PAGEREF _Toc12602 \h </w:instrText>
      </w:r>
      <w:r>
        <w:fldChar w:fldCharType="separate"/>
      </w:r>
      <w:r>
        <w:t>54</w:t>
      </w:r>
      <w:r>
        <w:fldChar w:fldCharType="end"/>
      </w:r>
      <w:r>
        <w:fldChar w:fldCharType="end"/>
      </w:r>
    </w:p>
    <w:p>
      <w:pPr>
        <w:pStyle w:val="35"/>
        <w:tabs>
          <w:tab w:val="right" w:leader="dot" w:pos="8306"/>
        </w:tabs>
      </w:pPr>
      <w:r>
        <w:fldChar w:fldCharType="begin"/>
      </w:r>
      <w:r>
        <w:instrText xml:space="preserve"> HYPERLINK \l _Toc6626 </w:instrText>
      </w:r>
      <w:r>
        <w:fldChar w:fldCharType="separate"/>
      </w:r>
      <w:r>
        <w:rPr>
          <w:rFonts w:ascii="仿宋" w:eastAsia="仿宋" w:hint="eastAsia"/>
          <w:bCs w:val="0"/>
          <w:highlight w:val="auto"/>
        </w:rPr>
        <w:t>四、</w:t>
      </w:r>
      <w:r>
        <w:rPr>
          <w:rFonts w:ascii="仿宋" w:eastAsia="仿宋" w:hint="eastAsia"/>
          <w:highlight w:val="auto"/>
        </w:rPr>
        <w:t>财</w:t>
      </w:r>
      <w:r>
        <w:rPr>
          <w:rFonts w:ascii="仿宋" w:eastAsia="仿宋" w:hint="eastAsia"/>
          <w:bCs w:val="0"/>
          <w:highlight w:val="auto"/>
        </w:rPr>
        <w:t>政拨款收入支出决算总表</w:t>
      </w:r>
      <w:r>
        <w:tab/>
      </w:r>
      <w:r>
        <w:fldChar w:fldCharType="begin"/>
      </w:r>
      <w:r>
        <w:instrText xml:space="preserve"> PAGEREF _Toc6626 \h </w:instrText>
      </w:r>
      <w:r>
        <w:fldChar w:fldCharType="separate"/>
      </w:r>
      <w:r>
        <w:t>54</w:t>
      </w:r>
      <w:r>
        <w:fldChar w:fldCharType="end"/>
      </w:r>
      <w:r>
        <w:fldChar w:fldCharType="end"/>
      </w:r>
    </w:p>
    <w:p>
      <w:pPr>
        <w:pStyle w:val="35"/>
        <w:tabs>
          <w:tab w:val="right" w:leader="dot" w:pos="8306"/>
        </w:tabs>
      </w:pPr>
      <w:r>
        <w:fldChar w:fldCharType="begin"/>
      </w:r>
      <w:r>
        <w:instrText xml:space="preserve"> HYPERLINK \l _Toc14176 </w:instrText>
      </w:r>
      <w:r>
        <w:fldChar w:fldCharType="separate"/>
      </w:r>
      <w:r>
        <w:rPr>
          <w:rFonts w:ascii="仿宋" w:eastAsia="仿宋" w:hint="eastAsia"/>
          <w:bCs w:val="0"/>
          <w:highlight w:val="auto"/>
        </w:rPr>
        <w:t>五、</w:t>
      </w:r>
      <w:r>
        <w:rPr>
          <w:rFonts w:ascii="仿宋" w:eastAsia="仿宋" w:hint="eastAsia"/>
          <w:highlight w:val="auto"/>
        </w:rPr>
        <w:t>财</w:t>
      </w:r>
      <w:r>
        <w:rPr>
          <w:rFonts w:ascii="仿宋" w:eastAsia="仿宋" w:hint="eastAsia"/>
          <w:bCs w:val="0"/>
          <w:highlight w:val="auto"/>
        </w:rPr>
        <w:t>政拨款支出决算明细表</w:t>
      </w:r>
      <w:r>
        <w:tab/>
      </w:r>
      <w:r>
        <w:fldChar w:fldCharType="begin"/>
      </w:r>
      <w:r>
        <w:instrText xml:space="preserve"> PAGEREF _Toc14176 \h </w:instrText>
      </w:r>
      <w:r>
        <w:fldChar w:fldCharType="separate"/>
      </w:r>
      <w:r>
        <w:t>54</w:t>
      </w:r>
      <w:r>
        <w:fldChar w:fldCharType="end"/>
      </w:r>
      <w:r>
        <w:fldChar w:fldCharType="end"/>
      </w:r>
    </w:p>
    <w:p>
      <w:pPr>
        <w:pStyle w:val="35"/>
        <w:tabs>
          <w:tab w:val="right" w:leader="dot" w:pos="8306"/>
        </w:tabs>
      </w:pPr>
      <w:r>
        <w:fldChar w:fldCharType="begin"/>
      </w:r>
      <w:r>
        <w:instrText xml:space="preserve"> HYPERLINK \l _Toc18423 </w:instrText>
      </w:r>
      <w:r>
        <w:fldChar w:fldCharType="separate"/>
      </w:r>
      <w:r>
        <w:rPr>
          <w:rFonts w:ascii="仿宋" w:eastAsia="仿宋" w:hint="eastAsia"/>
          <w:bCs w:val="0"/>
          <w:highlight w:val="auto"/>
        </w:rPr>
        <w:t>六、</w:t>
      </w:r>
      <w:r>
        <w:rPr>
          <w:rFonts w:ascii="仿宋" w:eastAsia="仿宋" w:hint="eastAsia"/>
          <w:highlight w:val="auto"/>
        </w:rPr>
        <w:t>一</w:t>
      </w:r>
      <w:r>
        <w:rPr>
          <w:rFonts w:ascii="仿宋" w:eastAsia="仿宋" w:hint="eastAsia"/>
          <w:bCs w:val="0"/>
          <w:highlight w:val="auto"/>
        </w:rPr>
        <w:t>般公共预算财政拨款支出决算表</w:t>
      </w:r>
      <w:r>
        <w:tab/>
      </w:r>
      <w:r>
        <w:fldChar w:fldCharType="begin"/>
      </w:r>
      <w:r>
        <w:instrText xml:space="preserve"> PAGEREF _Toc18423 \h </w:instrText>
      </w:r>
      <w:r>
        <w:fldChar w:fldCharType="separate"/>
      </w:r>
      <w:r>
        <w:t>54</w:t>
      </w:r>
      <w:r>
        <w:fldChar w:fldCharType="end"/>
      </w:r>
      <w:r>
        <w:fldChar w:fldCharType="end"/>
      </w:r>
    </w:p>
    <w:p>
      <w:pPr>
        <w:pStyle w:val="35"/>
        <w:tabs>
          <w:tab w:val="right" w:leader="dot" w:pos="8306"/>
        </w:tabs>
      </w:pPr>
      <w:r>
        <w:fldChar w:fldCharType="begin"/>
      </w:r>
      <w:r>
        <w:instrText xml:space="preserve"> HYPERLINK \l _Toc19631 </w:instrText>
      </w:r>
      <w:r>
        <w:fldChar w:fldCharType="separate"/>
      </w:r>
      <w:r>
        <w:rPr>
          <w:rFonts w:ascii="仿宋" w:eastAsia="仿宋" w:hint="eastAsia"/>
          <w:bCs w:val="0"/>
          <w:highlight w:val="auto"/>
        </w:rPr>
        <w:t>七、</w:t>
      </w:r>
      <w:r>
        <w:rPr>
          <w:rFonts w:ascii="仿宋" w:eastAsia="仿宋" w:hint="eastAsia"/>
          <w:highlight w:val="auto"/>
        </w:rPr>
        <w:t>一</w:t>
      </w:r>
      <w:r>
        <w:rPr>
          <w:rFonts w:ascii="仿宋" w:eastAsia="仿宋" w:hint="eastAsia"/>
          <w:bCs w:val="0"/>
          <w:highlight w:val="auto"/>
        </w:rPr>
        <w:t>般公共预算财政拨款支出决算明细表</w:t>
      </w:r>
      <w:r>
        <w:tab/>
      </w:r>
      <w:r>
        <w:fldChar w:fldCharType="begin"/>
      </w:r>
      <w:r>
        <w:instrText xml:space="preserve"> PAGEREF _Toc19631 \h </w:instrText>
      </w:r>
      <w:r>
        <w:fldChar w:fldCharType="separate"/>
      </w:r>
      <w:r>
        <w:t>54</w:t>
      </w:r>
      <w:r>
        <w:fldChar w:fldCharType="end"/>
      </w:r>
      <w:r>
        <w:fldChar w:fldCharType="end"/>
      </w:r>
    </w:p>
    <w:p>
      <w:pPr>
        <w:pStyle w:val="35"/>
        <w:tabs>
          <w:tab w:val="right" w:leader="dot" w:pos="8306"/>
        </w:tabs>
      </w:pPr>
      <w:r>
        <w:fldChar w:fldCharType="begin"/>
      </w:r>
      <w:r>
        <w:instrText xml:space="preserve"> HYPERLINK \l _Toc1532 </w:instrText>
      </w:r>
      <w:r>
        <w:fldChar w:fldCharType="separate"/>
      </w:r>
      <w:r>
        <w:rPr>
          <w:rFonts w:ascii="仿宋" w:eastAsia="仿宋" w:hint="eastAsia"/>
          <w:bCs w:val="0"/>
          <w:highlight w:val="auto"/>
        </w:rPr>
        <w:t>八、</w:t>
      </w:r>
      <w:r>
        <w:rPr>
          <w:rFonts w:ascii="仿宋" w:eastAsia="仿宋" w:hint="eastAsia"/>
          <w:highlight w:val="auto"/>
        </w:rPr>
        <w:t>一</w:t>
      </w:r>
      <w:r>
        <w:rPr>
          <w:rFonts w:ascii="仿宋" w:eastAsia="仿宋" w:hint="eastAsia"/>
          <w:bCs w:val="0"/>
          <w:highlight w:val="auto"/>
        </w:rPr>
        <w:t>般公共预算财政拨款基本支出决算表</w:t>
      </w:r>
      <w:r>
        <w:tab/>
      </w:r>
      <w:r>
        <w:fldChar w:fldCharType="begin"/>
      </w:r>
      <w:r>
        <w:instrText xml:space="preserve"> PAGEREF _Toc1532 \h </w:instrText>
      </w:r>
      <w:r>
        <w:fldChar w:fldCharType="separate"/>
      </w:r>
      <w:r>
        <w:t>54</w:t>
      </w:r>
      <w:r>
        <w:fldChar w:fldCharType="end"/>
      </w:r>
      <w:r>
        <w:fldChar w:fldCharType="end"/>
      </w:r>
    </w:p>
    <w:p>
      <w:pPr>
        <w:pStyle w:val="35"/>
        <w:tabs>
          <w:tab w:val="right" w:leader="dot" w:pos="8306"/>
        </w:tabs>
      </w:pPr>
      <w:r>
        <w:fldChar w:fldCharType="begin"/>
      </w:r>
      <w:r>
        <w:instrText xml:space="preserve"> HYPERLINK \l _Toc740 </w:instrText>
      </w:r>
      <w:r>
        <w:fldChar w:fldCharType="separate"/>
      </w:r>
      <w:r>
        <w:rPr>
          <w:rFonts w:ascii="仿宋" w:eastAsia="仿宋" w:hint="eastAsia"/>
          <w:bCs w:val="0"/>
          <w:highlight w:val="auto"/>
        </w:rPr>
        <w:t>九、</w:t>
      </w:r>
      <w:r>
        <w:rPr>
          <w:rFonts w:ascii="仿宋" w:eastAsia="仿宋" w:hint="eastAsia"/>
          <w:highlight w:val="auto"/>
        </w:rPr>
        <w:t>一</w:t>
      </w:r>
      <w:r>
        <w:rPr>
          <w:rFonts w:ascii="仿宋" w:eastAsia="仿宋" w:hint="eastAsia"/>
          <w:bCs w:val="0"/>
          <w:highlight w:val="auto"/>
        </w:rPr>
        <w:t>般公共预算财政拨款项目支出决算表</w:t>
      </w:r>
      <w:r>
        <w:tab/>
      </w:r>
      <w:r>
        <w:fldChar w:fldCharType="begin"/>
      </w:r>
      <w:r>
        <w:instrText xml:space="preserve"> PAGEREF _Toc740 \h </w:instrText>
      </w:r>
      <w:r>
        <w:fldChar w:fldCharType="separate"/>
      </w:r>
      <w:r>
        <w:t>54</w:t>
      </w:r>
      <w:r>
        <w:fldChar w:fldCharType="end"/>
      </w:r>
      <w:r>
        <w:fldChar w:fldCharType="end"/>
      </w:r>
    </w:p>
    <w:p>
      <w:pPr>
        <w:pStyle w:val="35"/>
        <w:tabs>
          <w:tab w:val="right" w:leader="dot" w:pos="8306"/>
        </w:tabs>
      </w:pPr>
      <w:r>
        <w:fldChar w:fldCharType="begin"/>
      </w:r>
      <w:r>
        <w:instrText xml:space="preserve"> HYPERLINK \l _Toc21555 </w:instrText>
      </w:r>
      <w:r>
        <w:fldChar w:fldCharType="separate"/>
      </w:r>
      <w:r>
        <w:rPr>
          <w:rFonts w:ascii="仿宋" w:eastAsia="仿宋" w:hint="eastAsia"/>
          <w:bCs w:val="0"/>
          <w:highlight w:val="auto"/>
        </w:rPr>
        <w:t>十、</w:t>
      </w:r>
      <w:r>
        <w:rPr>
          <w:rFonts w:ascii="仿宋" w:eastAsia="仿宋" w:hint="eastAsia"/>
          <w:highlight w:val="auto"/>
        </w:rPr>
        <w:t>政</w:t>
      </w:r>
      <w:r>
        <w:rPr>
          <w:rFonts w:ascii="仿宋" w:eastAsia="仿宋" w:hint="eastAsia"/>
          <w:bCs w:val="0"/>
          <w:highlight w:val="auto"/>
        </w:rPr>
        <w:t>府性基金预算财政拨款收入支出决算表</w:t>
      </w:r>
      <w:r>
        <w:tab/>
      </w:r>
      <w:r>
        <w:fldChar w:fldCharType="begin"/>
      </w:r>
      <w:r>
        <w:instrText xml:space="preserve"> PAGEREF _Toc21555 \h </w:instrText>
      </w:r>
      <w:r>
        <w:fldChar w:fldCharType="separate"/>
      </w:r>
      <w:r>
        <w:t>54</w:t>
      </w:r>
      <w:r>
        <w:fldChar w:fldCharType="end"/>
      </w:r>
      <w:r>
        <w:fldChar w:fldCharType="end"/>
      </w:r>
    </w:p>
    <w:p>
      <w:pPr>
        <w:pStyle w:val="35"/>
        <w:tabs>
          <w:tab w:val="right" w:leader="dot" w:pos="8306"/>
        </w:tabs>
      </w:pPr>
      <w:r>
        <w:fldChar w:fldCharType="begin"/>
      </w:r>
      <w:r>
        <w:instrText xml:space="preserve"> HYPERLINK \l _Toc225 </w:instrText>
      </w:r>
      <w:r>
        <w:fldChar w:fldCharType="separate"/>
      </w:r>
      <w:r>
        <w:rPr>
          <w:rFonts w:ascii="仿宋" w:eastAsia="仿宋" w:hint="eastAsia"/>
          <w:bCs w:val="0"/>
          <w:highlight w:val="auto"/>
        </w:rPr>
        <w:t>十一、</w:t>
      </w:r>
      <w:r>
        <w:rPr>
          <w:rFonts w:ascii="仿宋" w:eastAsia="仿宋" w:hint="eastAsia"/>
          <w:highlight w:val="auto"/>
        </w:rPr>
        <w:t>国</w:t>
      </w:r>
      <w:r>
        <w:rPr>
          <w:rFonts w:ascii="仿宋" w:eastAsia="仿宋" w:hint="eastAsia"/>
          <w:bCs w:val="0"/>
          <w:highlight w:val="auto"/>
        </w:rPr>
        <w:t>有资本经营预算</w:t>
      </w:r>
      <w:r>
        <w:rPr>
          <w:rFonts w:ascii="仿宋" w:eastAsia="仿宋" w:hint="eastAsia"/>
          <w:bCs w:val="0"/>
          <w:lang w:eastAsia="zh-CN"/>
          <w:highlight w:val="auto"/>
        </w:rPr>
        <w:t>财政拨款收入</w:t>
      </w:r>
      <w:r>
        <w:rPr>
          <w:rFonts w:ascii="仿宋" w:eastAsia="仿宋" w:hint="eastAsia"/>
          <w:bCs w:val="0"/>
          <w:highlight w:val="auto"/>
        </w:rPr>
        <w:t>支出决算表</w:t>
      </w:r>
      <w:r>
        <w:tab/>
      </w:r>
      <w:r>
        <w:fldChar w:fldCharType="begin"/>
      </w:r>
      <w:r>
        <w:instrText xml:space="preserve"> PAGEREF _Toc225 \h </w:instrText>
      </w:r>
      <w:r>
        <w:fldChar w:fldCharType="separate"/>
      </w:r>
      <w:r>
        <w:t>54</w:t>
      </w:r>
      <w:r>
        <w:fldChar w:fldCharType="end"/>
      </w:r>
      <w:r>
        <w:fldChar w:fldCharType="end"/>
      </w:r>
    </w:p>
    <w:p>
      <w:pPr>
        <w:pStyle w:val="35"/>
        <w:tabs>
          <w:tab w:val="right" w:leader="dot" w:pos="8306"/>
        </w:tabs>
      </w:pPr>
      <w:r>
        <w:fldChar w:fldCharType="begin"/>
      </w:r>
      <w:r>
        <w:instrText xml:space="preserve"> HYPERLINK \l _Toc28402 </w:instrText>
      </w:r>
      <w:r>
        <w:fldChar w:fldCharType="separate"/>
      </w:r>
      <w:r>
        <w:rPr>
          <w:rFonts w:ascii="仿宋" w:eastAsia="仿宋" w:hint="eastAsia"/>
          <w:bCs w:val="0"/>
          <w:highlight w:val="auto"/>
        </w:rPr>
        <w:t>十二、</w:t>
      </w:r>
      <w:r>
        <w:rPr>
          <w:rFonts w:ascii="仿宋" w:eastAsia="仿宋" w:hint="eastAsia"/>
          <w:bCs w:val="0"/>
          <w:lang w:eastAsia="zh-CN"/>
          <w:highlight w:val="auto"/>
        </w:rPr>
        <w:t>国有资本经营预算财政拨款支出决算表</w:t>
      </w:r>
      <w:r>
        <w:tab/>
      </w:r>
      <w:r>
        <w:fldChar w:fldCharType="begin"/>
      </w:r>
      <w:r>
        <w:instrText xml:space="preserve"> PAGEREF _Toc28402 \h </w:instrText>
      </w:r>
      <w:r>
        <w:fldChar w:fldCharType="separate"/>
      </w:r>
      <w:r>
        <w:t>54</w:t>
      </w:r>
      <w:r>
        <w:fldChar w:fldCharType="end"/>
      </w:r>
      <w:r>
        <w:fldChar w:fldCharType="end"/>
      </w:r>
    </w:p>
    <w:p>
      <w:pPr>
        <w:pStyle w:val="35"/>
        <w:tabs>
          <w:tab w:val="right" w:leader="dot" w:pos="8306"/>
        </w:tabs>
      </w:pPr>
      <w:r>
        <w:fldChar w:fldCharType="begin"/>
      </w:r>
      <w:r>
        <w:instrText xml:space="preserve"> HYPERLINK \l _Toc1699 </w:instrText>
      </w:r>
      <w:r>
        <w:fldChar w:fldCharType="separate"/>
      </w:r>
      <w:r>
        <w:rPr>
          <w:rFonts w:ascii="仿宋" w:eastAsia="仿宋" w:hint="eastAsia"/>
          <w:bCs w:val="0"/>
          <w:highlight w:val="auto"/>
        </w:rPr>
        <w:t>十三、</w:t>
      </w:r>
      <w:r>
        <w:rPr>
          <w:rFonts w:ascii="仿宋" w:eastAsia="仿宋" w:hint="eastAsia"/>
          <w:bCs w:val="0"/>
          <w:lang w:eastAsia="zh-CN"/>
          <w:highlight w:val="auto"/>
        </w:rPr>
        <w:t>财政拨款“三公”经费支出决算表</w:t>
      </w:r>
      <w:r>
        <w:tab/>
      </w:r>
      <w:r>
        <w:fldChar w:fldCharType="begin"/>
      </w:r>
      <w:r>
        <w:instrText xml:space="preserve"> PAGEREF _Toc1699 \h </w:instrText>
      </w:r>
      <w:r>
        <w:fldChar w:fldCharType="separate"/>
      </w:r>
      <w:r>
        <w:t>54</w:t>
      </w:r>
      <w:r>
        <w:fldChar w:fldCharType="end"/>
      </w:r>
      <w:r>
        <w:fldChar w:fldCharType="end"/>
      </w:r>
    </w:p>
    <w:p>
      <w:pPr>
        <w:pStyle w:val="22"/>
      </w:pPr>
      <w:r>
        <w:rPr>
          <w:b/>
        </w:rPr>
        <w:fldChar w:fldCharType="end"/>
      </w:r>
    </w:p>
    <w:p>
      <w:pPr>
        <w:widowControl/>
        <w:suppressAutoHyphens/>
        <w:jc w:val="center"/>
        <w:rPr>
          <w:rFonts w:ascii="黑体" w:eastAsia="黑体" w:cs="Times New Roman"/>
          <w:color w:val="auto"/>
          <w:sz w:val="28"/>
          <w:szCs w:val="28"/>
          <w:highlight w:val="auto"/>
        </w:rPr>
      </w:pPr>
    </w:p>
    <w:p>
      <w:pPr>
        <w:rPr>
          <w:color w:val="auto"/>
          <w:highlight w:val="auto"/>
        </w:rPr>
      </w:pPr>
    </w:p>
    <w:p>
      <w:pPr>
        <w:pStyle w:val="22"/>
        <w:rPr>
          <w:color w:val="auto"/>
          <w:highlight w:val="auto"/>
        </w:rPr>
      </w:pPr>
    </w:p>
    <w:p>
      <w:pPr>
        <w:pStyle w:val="19"/>
        <w:rPr>
          <w:color w:val="auto"/>
          <w:highlight w:val="auto"/>
        </w:rPr>
      </w:pPr>
    </w:p>
    <w:p>
      <w:pPr>
        <w:pStyle w:val="19"/>
        <w:rPr>
          <w:color w:val="auto"/>
          <w:highlight w:val="auto"/>
        </w:rPr>
      </w:pPr>
    </w:p>
    <w:p>
      <w:pPr>
        <w:widowControl/>
        <w:suppressAutoHyphens/>
        <w:spacing w:line="440" w:lineRule="exact"/>
        <w:jc w:val="left"/>
        <w:rPr>
          <w:rFonts w:ascii="仿宋" w:eastAsia="仿宋"/>
          <w:bCs/>
          <w:color w:val="auto"/>
          <w:kern w:val="44"/>
          <w:sz w:val="24"/>
          <w:highlight w:val="auto"/>
        </w:rPr>
      </w:pPr>
      <w:bookmarkStart w:id="6" w:name="_Toc15396599"/>
      <w:bookmarkStart w:id="7" w:name="_Toc15377196"/>
      <w:r>
        <w:rPr>
          <w:rFonts w:ascii="仿宋" w:eastAsia="仿宋"/>
          <w:b/>
          <w:color w:val="auto"/>
          <w:sz w:val="24"/>
          <w:highlight w:val="auto"/>
        </w:rPr>
        <w:br w:type="page"/>
      </w:r>
    </w:p>
    <w:p>
      <w:pPr>
        <w:pStyle w:val="1"/>
        <w:keepNext/>
        <w:keepLines/>
        <w:pageBreakBefore w:val="0"/>
        <w:widowControl w:val="0"/>
        <w:suppressAutoHyphens/>
        <w:kinsoku/>
        <w:wordWrap/>
        <w:overflowPunct/>
        <w:topLinePunct w:val="0"/>
        <w:autoSpaceDE/>
        <w:autoSpaceDN/>
        <w:bidi w:val="0"/>
        <w:spacing w:line="560" w:lineRule="exact"/>
        <w:jc w:val="center"/>
        <w:textAlignment w:val="auto"/>
        <w:rPr>
          <w:rStyle w:val="1Char"/>
          <w:rFonts w:ascii="黑体" w:eastAsia="黑体"/>
          <w:b/>
          <w:bCs w:val="0"/>
          <w:color w:val="auto"/>
          <w:highlight w:val="auto"/>
        </w:rPr>
      </w:pPr>
      <w:bookmarkStart w:id="8" w:name="_Toc8954"/>
      <w:r>
        <w:rPr>
          <w:rFonts w:ascii="黑体" w:eastAsia="黑体" w:hint="eastAsia"/>
          <w:b w:val="0"/>
          <w:color w:val="auto"/>
          <w:highlight w:val="auto"/>
        </w:rPr>
        <w:t xml:space="preserve">第一部分 </w:t>
      </w:r>
      <w:r>
        <w:rPr>
          <w:rStyle w:val="1Char"/>
          <w:rFonts w:ascii="黑体" w:eastAsia="黑体" w:hint="eastAsia"/>
          <w:b w:val="0"/>
          <w:bCs w:val="0"/>
          <w:color w:val="auto"/>
          <w:highlight w:val="auto"/>
        </w:rPr>
        <w:t>部门概况</w:t>
      </w:r>
      <w:bookmarkEnd w:id="6"/>
      <w:bookmarkEnd w:id="7"/>
      <w:bookmarkEnd w:id="8"/>
    </w:p>
    <w:p>
      <w:pPr>
        <w:pageBreakBefore w:val="0"/>
        <w:widowControl/>
        <w:suppressAutoHyphens/>
        <w:kinsoku/>
        <w:wordWrap/>
        <w:overflowPunct/>
        <w:topLinePunct w:val="0"/>
        <w:autoSpaceDE/>
        <w:autoSpaceDN/>
        <w:bidi w:val="0"/>
        <w:spacing w:line="560" w:lineRule="exact"/>
        <w:jc w:val="left"/>
        <w:textAlignment w:val="auto"/>
        <w:rPr>
          <w:rFonts w:ascii="黑体" w:eastAsia="黑体"/>
          <w:color w:val="auto"/>
          <w:sz w:val="32"/>
          <w:szCs w:val="32"/>
          <w:highlight w:val="auto"/>
        </w:rPr>
      </w:pPr>
    </w:p>
    <w:p>
      <w:pPr>
        <w:keepNext w:val="0"/>
        <w:pageBreakBefore w:val="0"/>
        <w:widowControl w:val="0"/>
        <w:suppressAutoHyphens/>
        <w:kinsoku/>
        <w:wordWrap/>
        <w:overflowPunct/>
        <w:topLinePunct w:val="0"/>
        <w:autoSpaceDE/>
        <w:autoSpaceDN/>
        <w:bidi w:val="0"/>
        <w:spacing w:beforeAutospacing="0" w:afterAutospacing="0" w:line="560" w:lineRule="exact"/>
        <w:ind w:left="0" w:right="0" w:firstLineChars="200" w:firstLine="640"/>
        <w:textAlignment w:val="auto"/>
        <w:rPr>
          <w:rStyle w:val="2Char"/>
          <w:rFonts w:ascii="黑体" w:eastAsia="黑体" w:hint="eastAsia"/>
          <w:b w:val="0"/>
          <w:bCs w:val="0"/>
          <w:color w:val="auto"/>
          <w:lang w:eastAsia="zh-CN"/>
          <w:highlight w:val="auto"/>
        </w:rPr>
      </w:pPr>
      <w:r>
        <w:rPr>
          <w:rStyle w:val="2Char"/>
          <w:rFonts w:ascii="黑体" w:eastAsia="黑体" w:hint="eastAsia"/>
          <w:b w:val="0"/>
          <w:bCs w:val="0"/>
          <w:color w:val="auto"/>
          <w:lang w:val="en-US" w:eastAsia="zh-CN"/>
          <w:highlight w:val="auto"/>
        </w:rPr>
        <w:t>一、</w:t>
      </w:r>
      <w:r>
        <w:rPr>
          <w:rStyle w:val="2Char"/>
          <w:rFonts w:ascii="黑体" w:eastAsia="黑体" w:hint="eastAsia"/>
          <w:b w:val="0"/>
          <w:bCs w:val="0"/>
          <w:color w:val="auto"/>
          <w:lang w:eastAsia="zh-CN"/>
          <w:highlight w:val="auto"/>
        </w:rPr>
        <w:t>主要职责</w:t>
      </w:r>
    </w:p>
    <w:p>
      <w:pPr>
        <w:keepNext w:val="0"/>
        <w:pageBreakBefore w:val="0"/>
        <w:widowControl w:val="0"/>
        <w:suppressAutoHyphens/>
        <w:kinsoku/>
        <w:wordWrap/>
        <w:overflowPunct/>
        <w:topLinePunct w:val="0"/>
        <w:autoSpaceDE/>
        <w:autoSpaceDN/>
        <w:bidi w:val="0"/>
        <w:spacing w:beforeAutospacing="0" w:afterAutospacing="0" w:line="560" w:lineRule="exact"/>
        <w:ind w:left="0" w:right="0" w:firstLineChars="200" w:firstLine="640"/>
        <w:textAlignment w:val="auto"/>
        <w:rPr>
          <w:rFonts w:ascii="仿宋_GB2312" w:eastAsia="仿宋_GB2312" w:cs="仿宋_GB2312" w:hint="eastAsia"/>
          <w:sz w:val="32"/>
          <w:szCs w:val="32"/>
          <w:lang w:bidi="ar-SA"/>
        </w:rPr>
      </w:pPr>
      <w:r>
        <w:rPr>
          <w:rFonts w:ascii="仿宋_GB2312" w:eastAsia="仿宋_GB2312" w:cs="仿宋_GB2312" w:hint="eastAsia"/>
          <w:sz w:val="32"/>
          <w:szCs w:val="32"/>
          <w:lang w:bidi="ar-SA"/>
        </w:rPr>
        <w:t>1.贯彻执行国家法律、法规和公安工作的路线、方针、政策；对全县公安工作进行决策、部署。</w:t>
      </w:r>
    </w:p>
    <w:p>
      <w:pPr>
        <w:keepNext w:val="0"/>
        <w:pageBreakBefore w:val="0"/>
        <w:widowControl w:val="0"/>
        <w:suppressAutoHyphens/>
        <w:kinsoku/>
        <w:wordWrap/>
        <w:overflowPunct/>
        <w:topLinePunct w:val="0"/>
        <w:autoSpaceDE/>
        <w:autoSpaceDN/>
        <w:bidi w:val="0"/>
        <w:spacing w:beforeAutospacing="0" w:afterAutospacing="0" w:line="560" w:lineRule="exact"/>
        <w:ind w:left="0" w:right="0" w:firstLineChars="200" w:firstLine="640"/>
        <w:textAlignment w:val="auto"/>
        <w:rPr>
          <w:rFonts w:ascii="仿宋_GB2312" w:eastAsia="仿宋_GB2312" w:cs="仿宋_GB2312" w:hint="eastAsia"/>
          <w:sz w:val="32"/>
          <w:szCs w:val="32"/>
          <w:lang w:bidi="ar-SA"/>
        </w:rPr>
      </w:pPr>
      <w:r>
        <w:rPr>
          <w:rFonts w:ascii="仿宋_GB2312" w:eastAsia="仿宋_GB2312" w:cs="仿宋_GB2312" w:hint="eastAsia"/>
          <w:sz w:val="32"/>
          <w:szCs w:val="32"/>
          <w:lang w:bidi="ar-SA"/>
        </w:rPr>
        <w:t>2.掌握国内安全和社会治安情况。</w:t>
      </w:r>
    </w:p>
    <w:p>
      <w:pPr>
        <w:keepNext w:val="0"/>
        <w:pageBreakBefore w:val="0"/>
        <w:widowControl w:val="0"/>
        <w:suppressAutoHyphens/>
        <w:kinsoku/>
        <w:wordWrap/>
        <w:overflowPunct/>
        <w:topLinePunct w:val="0"/>
        <w:autoSpaceDE/>
        <w:autoSpaceDN/>
        <w:bidi w:val="0"/>
        <w:spacing w:beforeAutospacing="0" w:afterAutospacing="0" w:line="560" w:lineRule="exact"/>
        <w:ind w:left="0" w:right="0" w:firstLineChars="200" w:firstLine="640"/>
        <w:textAlignment w:val="auto"/>
        <w:rPr>
          <w:rFonts w:ascii="仿宋_GB2312" w:eastAsia="仿宋_GB2312" w:cs="仿宋_GB2312" w:hint="eastAsia"/>
          <w:sz w:val="32"/>
          <w:szCs w:val="32"/>
          <w:lang w:bidi="ar-SA"/>
        </w:rPr>
      </w:pPr>
      <w:r>
        <w:rPr>
          <w:rFonts w:ascii="仿宋_GB2312" w:eastAsia="仿宋_GB2312" w:cs="仿宋_GB2312" w:hint="eastAsia"/>
          <w:sz w:val="32"/>
          <w:szCs w:val="32"/>
          <w:lang w:bidi="ar-SA"/>
        </w:rPr>
        <w:t>3.组织实施并指导预防、制止和侦察违法犯罪活动。</w:t>
      </w:r>
    </w:p>
    <w:p>
      <w:pPr>
        <w:keepNext w:val="0"/>
        <w:pageBreakBefore w:val="0"/>
        <w:widowControl w:val="0"/>
        <w:suppressAutoHyphens/>
        <w:kinsoku/>
        <w:wordWrap/>
        <w:overflowPunct/>
        <w:topLinePunct w:val="0"/>
        <w:autoSpaceDE/>
        <w:autoSpaceDN/>
        <w:bidi w:val="0"/>
        <w:spacing w:beforeAutospacing="0" w:afterAutospacing="0" w:line="560" w:lineRule="exact"/>
        <w:ind w:left="0" w:right="0" w:firstLineChars="200" w:firstLine="640"/>
        <w:textAlignment w:val="auto"/>
        <w:rPr>
          <w:rFonts w:ascii="仿宋_GB2312" w:eastAsia="仿宋_GB2312" w:cs="仿宋_GB2312" w:hint="eastAsia"/>
          <w:sz w:val="32"/>
          <w:szCs w:val="32"/>
          <w:lang w:bidi="ar-SA"/>
        </w:rPr>
      </w:pPr>
      <w:r>
        <w:rPr>
          <w:rFonts w:ascii="仿宋_GB2312" w:eastAsia="仿宋_GB2312" w:cs="仿宋_GB2312" w:hint="eastAsia"/>
          <w:sz w:val="32"/>
          <w:szCs w:val="32"/>
          <w:lang w:bidi="ar-SA"/>
        </w:rPr>
        <w:t>4.组织实施并指导全县公安机关依法查处危害社会治安秩序行为。依法管理户籍、枪支弹药、危险物品和特种行业等工作；管理集会、游行、示威活动；组织、协调处置重大案件、治安事故和骚乱。</w:t>
      </w:r>
    </w:p>
    <w:p>
      <w:pPr>
        <w:keepNext w:val="0"/>
        <w:pageBreakBefore w:val="0"/>
        <w:widowControl w:val="0"/>
        <w:suppressAutoHyphens/>
        <w:kinsoku/>
        <w:wordWrap/>
        <w:overflowPunct/>
        <w:topLinePunct w:val="0"/>
        <w:autoSpaceDE/>
        <w:autoSpaceDN/>
        <w:bidi w:val="0"/>
        <w:spacing w:beforeAutospacing="0" w:afterAutospacing="0" w:line="560" w:lineRule="exact"/>
        <w:ind w:left="0" w:right="0" w:firstLineChars="200" w:firstLine="640"/>
        <w:textAlignment w:val="auto"/>
        <w:rPr>
          <w:rFonts w:ascii="仿宋_GB2312" w:eastAsia="仿宋_GB2312" w:cs="仿宋_GB2312" w:hint="eastAsia"/>
          <w:sz w:val="32"/>
          <w:szCs w:val="32"/>
          <w:lang w:bidi="ar-SA"/>
        </w:rPr>
      </w:pPr>
      <w:r>
        <w:rPr>
          <w:rFonts w:ascii="仿宋_GB2312" w:eastAsia="仿宋_GB2312" w:cs="仿宋_GB2312" w:hint="eastAsia"/>
          <w:sz w:val="32"/>
          <w:szCs w:val="32"/>
          <w:lang w:bidi="ar-SA"/>
        </w:rPr>
        <w:t>5.负责出入(境)和外国人在我县境内居留、旅行的有关管理工作以及全县公安外事工作。</w:t>
      </w:r>
    </w:p>
    <w:p>
      <w:pPr>
        <w:keepNext w:val="0"/>
        <w:pageBreakBefore w:val="0"/>
        <w:widowControl w:val="0"/>
        <w:suppressAutoHyphens/>
        <w:kinsoku/>
        <w:wordWrap/>
        <w:overflowPunct/>
        <w:topLinePunct w:val="0"/>
        <w:autoSpaceDE/>
        <w:autoSpaceDN/>
        <w:bidi w:val="0"/>
        <w:spacing w:beforeAutospacing="0" w:afterAutospacing="0" w:line="560" w:lineRule="exact"/>
        <w:ind w:left="0" w:right="0" w:firstLineChars="200" w:firstLine="640"/>
        <w:textAlignment w:val="auto"/>
        <w:rPr>
          <w:rFonts w:ascii="仿宋_GB2312" w:eastAsia="仿宋_GB2312" w:cs="仿宋_GB2312" w:hint="eastAsia"/>
          <w:sz w:val="32"/>
          <w:szCs w:val="32"/>
          <w:lang w:bidi="ar-SA"/>
        </w:rPr>
      </w:pPr>
      <w:r>
        <w:rPr>
          <w:rFonts w:ascii="仿宋_GB2312" w:eastAsia="仿宋_GB2312" w:cs="仿宋_GB2312" w:hint="eastAsia"/>
          <w:sz w:val="32"/>
          <w:szCs w:val="32"/>
          <w:lang w:bidi="ar-SA"/>
        </w:rPr>
        <w:t>6.组织实施消防工作，实行消防监督。</w:t>
      </w:r>
    </w:p>
    <w:p>
      <w:pPr>
        <w:keepNext w:val="0"/>
        <w:pageBreakBefore w:val="0"/>
        <w:widowControl w:val="0"/>
        <w:suppressAutoHyphens/>
        <w:kinsoku/>
        <w:wordWrap/>
        <w:overflowPunct/>
        <w:topLinePunct w:val="0"/>
        <w:autoSpaceDE/>
        <w:autoSpaceDN/>
        <w:bidi w:val="0"/>
        <w:spacing w:beforeAutospacing="0" w:afterAutospacing="0" w:line="560" w:lineRule="exact"/>
        <w:ind w:left="0" w:right="0" w:firstLineChars="200" w:firstLine="640"/>
        <w:textAlignment w:val="auto"/>
        <w:rPr>
          <w:rFonts w:ascii="仿宋_GB2312" w:eastAsia="仿宋_GB2312" w:cs="仿宋_GB2312" w:hint="eastAsia"/>
          <w:sz w:val="32"/>
          <w:szCs w:val="32"/>
          <w:lang w:bidi="ar-SA"/>
        </w:rPr>
      </w:pPr>
      <w:r>
        <w:rPr>
          <w:rFonts w:ascii="仿宋_GB2312" w:eastAsia="仿宋_GB2312" w:cs="仿宋_GB2312" w:hint="eastAsia"/>
          <w:sz w:val="32"/>
          <w:szCs w:val="32"/>
          <w:lang w:bidi="ar-SA"/>
        </w:rPr>
        <w:t>7.贯彻《警卫工作规定》，警卫国家规定的特定人员，守卫重要的场所和设施。</w:t>
      </w:r>
    </w:p>
    <w:p>
      <w:pPr>
        <w:keepNext w:val="0"/>
        <w:pageBreakBefore w:val="0"/>
        <w:widowControl w:val="0"/>
        <w:suppressAutoHyphens/>
        <w:kinsoku/>
        <w:wordWrap/>
        <w:overflowPunct/>
        <w:topLinePunct w:val="0"/>
        <w:autoSpaceDE/>
        <w:autoSpaceDN/>
        <w:bidi w:val="0"/>
        <w:spacing w:beforeAutospacing="0" w:afterAutospacing="0" w:line="560" w:lineRule="exact"/>
        <w:ind w:left="0" w:right="0" w:firstLineChars="200" w:firstLine="640"/>
        <w:textAlignment w:val="auto"/>
        <w:rPr>
          <w:rFonts w:ascii="仿宋_GB2312" w:eastAsia="仿宋_GB2312" w:cs="仿宋_GB2312" w:hint="eastAsia"/>
          <w:sz w:val="32"/>
          <w:szCs w:val="32"/>
          <w:lang w:bidi="ar-SA"/>
        </w:rPr>
      </w:pPr>
      <w:r>
        <w:rPr>
          <w:rFonts w:ascii="仿宋_GB2312" w:eastAsia="仿宋_GB2312" w:cs="仿宋_GB2312" w:hint="eastAsia"/>
          <w:sz w:val="32"/>
          <w:szCs w:val="32"/>
          <w:lang w:bidi="ar-SA"/>
        </w:rPr>
        <w:t>8.维护全县道路交通安全，交通秩序以及车辆、驾驶员管理工作；查处交通事故。</w:t>
      </w:r>
    </w:p>
    <w:p>
      <w:pPr>
        <w:keepNext w:val="0"/>
        <w:pageBreakBefore w:val="0"/>
        <w:widowControl w:val="0"/>
        <w:suppressAutoHyphens/>
        <w:kinsoku/>
        <w:wordWrap/>
        <w:overflowPunct/>
        <w:topLinePunct w:val="0"/>
        <w:autoSpaceDE/>
        <w:autoSpaceDN/>
        <w:bidi w:val="0"/>
        <w:spacing w:beforeAutospacing="0" w:afterAutospacing="0" w:line="560" w:lineRule="exact"/>
        <w:ind w:left="0" w:right="0" w:firstLineChars="200" w:firstLine="640"/>
        <w:textAlignment w:val="auto"/>
        <w:rPr>
          <w:rFonts w:ascii="仿宋_GB2312" w:eastAsia="仿宋_GB2312" w:cs="仿宋_GB2312" w:hint="eastAsia"/>
          <w:sz w:val="32"/>
          <w:szCs w:val="32"/>
          <w:lang w:bidi="ar-SA"/>
        </w:rPr>
      </w:pPr>
      <w:r>
        <w:rPr>
          <w:rFonts w:ascii="仿宋_GB2312" w:eastAsia="仿宋_GB2312" w:cs="仿宋_GB2312" w:hint="eastAsia"/>
          <w:sz w:val="32"/>
          <w:szCs w:val="32"/>
          <w:lang w:bidi="ar-SA"/>
        </w:rPr>
        <w:t>9.指导和管理全县公安机关依法监督机关、团体、企事业单位、学校、重点建设工程的治安保卫工作以及群众性治安组织的治安防范工作；指导企事业单位保卫组织和经济民警、保安队伍的建设。</w:t>
      </w:r>
    </w:p>
    <w:p>
      <w:pPr>
        <w:keepNext w:val="0"/>
        <w:pageBreakBefore w:val="0"/>
        <w:widowControl w:val="0"/>
        <w:suppressAutoHyphens/>
        <w:kinsoku/>
        <w:wordWrap/>
        <w:overflowPunct/>
        <w:topLinePunct w:val="0"/>
        <w:autoSpaceDE/>
        <w:autoSpaceDN/>
        <w:bidi w:val="0"/>
        <w:spacing w:beforeAutospacing="0" w:afterAutospacing="0" w:line="560" w:lineRule="exact"/>
        <w:ind w:left="0" w:right="0" w:firstLineChars="200" w:firstLine="640"/>
        <w:textAlignment w:val="auto"/>
        <w:rPr>
          <w:rFonts w:ascii="仿宋_GB2312" w:eastAsia="仿宋_GB2312" w:cs="仿宋_GB2312" w:hint="eastAsia"/>
          <w:sz w:val="32"/>
          <w:szCs w:val="32"/>
          <w:lang w:bidi="ar-SA"/>
        </w:rPr>
      </w:pPr>
      <w:r>
        <w:rPr>
          <w:rFonts w:ascii="仿宋_GB2312" w:eastAsia="仿宋_GB2312" w:cs="仿宋_GB2312" w:hint="eastAsia"/>
          <w:sz w:val="32"/>
          <w:szCs w:val="32"/>
          <w:lang w:bidi="ar-SA"/>
        </w:rPr>
        <w:t>10.组织实施全县公安机关的信息通信工作以及全县公共信息网络安全监察工作。</w:t>
      </w:r>
    </w:p>
    <w:p>
      <w:pPr>
        <w:keepNext w:val="0"/>
        <w:pageBreakBefore w:val="0"/>
        <w:widowControl w:val="0"/>
        <w:suppressAutoHyphens/>
        <w:kinsoku/>
        <w:wordWrap/>
        <w:overflowPunct/>
        <w:topLinePunct w:val="0"/>
        <w:autoSpaceDE/>
        <w:autoSpaceDN/>
        <w:bidi w:val="0"/>
        <w:spacing w:beforeAutospacing="0" w:afterAutospacing="0" w:line="560" w:lineRule="exact"/>
        <w:ind w:left="0" w:right="0" w:firstLineChars="200" w:firstLine="640"/>
        <w:textAlignment w:val="auto"/>
        <w:rPr>
          <w:rFonts w:ascii="仿宋_GB2312" w:eastAsia="仿宋_GB2312" w:cs="仿宋_GB2312" w:hint="eastAsia"/>
          <w:sz w:val="32"/>
          <w:szCs w:val="32"/>
          <w:lang w:bidi="ar-SA"/>
        </w:rPr>
      </w:pPr>
      <w:r>
        <w:rPr>
          <w:rFonts w:ascii="仿宋_GB2312" w:eastAsia="仿宋_GB2312" w:cs="仿宋_GB2312" w:hint="eastAsia"/>
          <w:sz w:val="32"/>
          <w:szCs w:val="32"/>
          <w:lang w:bidi="ar-SA"/>
        </w:rPr>
        <w:t>11.组织实施并指导看守所、治安拘留所的管理工作，开展深挖犯罪，扩大战果等工作。</w:t>
      </w:r>
    </w:p>
    <w:p>
      <w:pPr>
        <w:keepNext w:val="0"/>
        <w:pageBreakBefore w:val="0"/>
        <w:widowControl w:val="0"/>
        <w:suppressAutoHyphens/>
        <w:kinsoku/>
        <w:wordWrap/>
        <w:overflowPunct/>
        <w:topLinePunct w:val="0"/>
        <w:autoSpaceDE/>
        <w:autoSpaceDN/>
        <w:bidi w:val="0"/>
        <w:spacing w:beforeAutospacing="0" w:afterAutospacing="0" w:line="560" w:lineRule="exact"/>
        <w:ind w:left="0" w:right="0" w:firstLineChars="200" w:firstLine="640"/>
        <w:textAlignment w:val="auto"/>
        <w:rPr>
          <w:rFonts w:ascii="仿宋_GB2312" w:eastAsia="仿宋_GB2312" w:cs="仿宋_GB2312" w:hint="eastAsia"/>
          <w:sz w:val="32"/>
          <w:szCs w:val="32"/>
          <w:lang w:bidi="ar-SA"/>
        </w:rPr>
      </w:pPr>
      <w:r>
        <w:rPr>
          <w:rFonts w:ascii="仿宋_GB2312" w:eastAsia="仿宋_GB2312" w:cs="仿宋_GB2312" w:hint="eastAsia"/>
          <w:sz w:val="32"/>
          <w:szCs w:val="32"/>
          <w:lang w:bidi="ar-SA"/>
        </w:rPr>
        <w:t>12.组织实施全县公安法制建设；指导、检查、监督公安机关执法活动；承担审批治安行政案件以及报批劳动教养案件的审核工作。</w:t>
      </w:r>
    </w:p>
    <w:p>
      <w:pPr>
        <w:keepNext w:val="0"/>
        <w:pageBreakBefore w:val="0"/>
        <w:widowControl w:val="0"/>
        <w:suppressAutoHyphens/>
        <w:kinsoku/>
        <w:wordWrap/>
        <w:overflowPunct/>
        <w:topLinePunct w:val="0"/>
        <w:autoSpaceDE/>
        <w:autoSpaceDN/>
        <w:bidi w:val="0"/>
        <w:spacing w:beforeAutospacing="0" w:afterAutospacing="0" w:line="560" w:lineRule="exact"/>
        <w:ind w:left="0" w:right="0" w:firstLineChars="200" w:firstLine="640"/>
        <w:textAlignment w:val="auto"/>
        <w:rPr>
          <w:rFonts w:ascii="仿宋_GB2312" w:eastAsia="仿宋_GB2312" w:cs="仿宋_GB2312" w:hint="eastAsia"/>
          <w:sz w:val="32"/>
          <w:szCs w:val="32"/>
          <w:lang w:bidi="ar-SA"/>
        </w:rPr>
      </w:pPr>
      <w:r>
        <w:rPr>
          <w:rFonts w:ascii="仿宋_GB2312" w:eastAsia="仿宋_GB2312" w:cs="仿宋_GB2312" w:hint="eastAsia"/>
          <w:sz w:val="32"/>
          <w:szCs w:val="32"/>
          <w:lang w:bidi="ar-SA"/>
        </w:rPr>
        <w:t>13.组织实施全县科技强警工作，规划公安装备现代化建设。</w:t>
      </w:r>
    </w:p>
    <w:p>
      <w:pPr>
        <w:keepNext w:val="0"/>
        <w:pageBreakBefore w:val="0"/>
        <w:widowControl w:val="0"/>
        <w:suppressAutoHyphens/>
        <w:kinsoku/>
        <w:wordWrap/>
        <w:overflowPunct/>
        <w:topLinePunct w:val="0"/>
        <w:autoSpaceDE/>
        <w:autoSpaceDN/>
        <w:bidi w:val="0"/>
        <w:spacing w:beforeAutospacing="0" w:afterAutospacing="0" w:line="560" w:lineRule="exact"/>
        <w:ind w:left="0" w:right="0" w:firstLineChars="200" w:firstLine="640"/>
        <w:textAlignment w:val="auto"/>
        <w:rPr>
          <w:rFonts w:ascii="仿宋_GB2312" w:eastAsia="仿宋_GB2312" w:cs="仿宋_GB2312" w:hint="eastAsia"/>
          <w:sz w:val="32"/>
          <w:szCs w:val="32"/>
          <w:lang w:bidi="ar-SA"/>
        </w:rPr>
      </w:pPr>
      <w:r>
        <w:rPr>
          <w:rFonts w:ascii="仿宋_GB2312" w:eastAsia="仿宋_GB2312" w:cs="仿宋_GB2312" w:hint="eastAsia"/>
          <w:sz w:val="32"/>
          <w:szCs w:val="32"/>
          <w:lang w:bidi="ar-SA"/>
        </w:rPr>
        <w:t>14.规划和指导全县公安队伍的现代化、正规化建设以及公安民警的管理、教育、训练。</w:t>
      </w:r>
    </w:p>
    <w:p>
      <w:pPr>
        <w:keepNext w:val="0"/>
        <w:pageBreakBefore w:val="0"/>
        <w:widowControl w:val="0"/>
        <w:suppressAutoHyphens/>
        <w:kinsoku/>
        <w:wordWrap/>
        <w:overflowPunct/>
        <w:topLinePunct w:val="0"/>
        <w:autoSpaceDE/>
        <w:autoSpaceDN/>
        <w:bidi w:val="0"/>
        <w:spacing w:beforeAutospacing="0" w:afterAutospacing="0" w:line="560" w:lineRule="exact"/>
        <w:ind w:left="0" w:right="0" w:firstLineChars="200" w:firstLine="640"/>
        <w:textAlignment w:val="auto"/>
        <w:rPr>
          <w:rFonts w:ascii="仿宋_GB2312" w:eastAsia="仿宋_GB2312" w:cs="仿宋_GB2312" w:hint="eastAsia"/>
          <w:sz w:val="32"/>
          <w:szCs w:val="32"/>
          <w:lang w:bidi="ar-SA"/>
        </w:rPr>
      </w:pPr>
      <w:r>
        <w:rPr>
          <w:rFonts w:ascii="仿宋_GB2312" w:eastAsia="仿宋_GB2312" w:cs="仿宋_GB2312" w:hint="eastAsia"/>
          <w:sz w:val="32"/>
          <w:szCs w:val="32"/>
          <w:lang w:bidi="ar-SA"/>
        </w:rPr>
        <w:t>15.组织实施全县公安机关督察工作，按规定权限实施对民警的监督；查处公安队伍中的违法违纪案件。</w:t>
      </w:r>
    </w:p>
    <w:p>
      <w:pPr>
        <w:keepNext w:val="0"/>
        <w:pageBreakBefore w:val="0"/>
        <w:widowControl w:val="0"/>
        <w:suppressAutoHyphens/>
        <w:kinsoku/>
        <w:wordWrap/>
        <w:overflowPunct/>
        <w:topLinePunct w:val="0"/>
        <w:autoSpaceDE/>
        <w:autoSpaceDN/>
        <w:bidi w:val="0"/>
        <w:spacing w:beforeAutospacing="0" w:afterAutospacing="0" w:line="560" w:lineRule="exact"/>
        <w:ind w:left="0" w:right="0" w:firstLineChars="200" w:firstLine="640"/>
        <w:textAlignment w:val="auto"/>
        <w:rPr>
          <w:rFonts w:ascii="仿宋_GB2312" w:eastAsia="仿宋_GB2312" w:cs="仿宋_GB2312" w:hint="eastAsia"/>
          <w:sz w:val="32"/>
          <w:szCs w:val="32"/>
          <w:lang w:bidi="ar-SA"/>
        </w:rPr>
      </w:pPr>
      <w:r>
        <w:rPr>
          <w:rFonts w:ascii="仿宋_GB2312" w:eastAsia="仿宋_GB2312" w:cs="仿宋_GB2312" w:hint="eastAsia"/>
          <w:sz w:val="32"/>
          <w:szCs w:val="32"/>
          <w:lang w:bidi="ar-SA"/>
        </w:rPr>
        <w:t>16.负责涉林、涉野、涉资源违法犯罪活动打击，负责火案侦办。</w:t>
      </w:r>
    </w:p>
    <w:p>
      <w:pPr>
        <w:keepNext w:val="0"/>
        <w:pageBreakBefore w:val="0"/>
        <w:widowControl w:val="0"/>
        <w:suppressAutoHyphens/>
        <w:kinsoku/>
        <w:wordWrap/>
        <w:overflowPunct/>
        <w:topLinePunct w:val="0"/>
        <w:autoSpaceDE/>
        <w:autoSpaceDN/>
        <w:bidi w:val="0"/>
        <w:spacing w:beforeAutospacing="0" w:afterAutospacing="0" w:line="560" w:lineRule="exact"/>
        <w:ind w:left="0" w:right="0" w:firstLineChars="200" w:firstLine="640"/>
        <w:textAlignment w:val="auto"/>
        <w:rPr>
          <w:rFonts w:ascii="仿宋_GB2312" w:eastAsia="仿宋_GB2312" w:cs="仿宋_GB2312" w:hint="eastAsia"/>
          <w:sz w:val="32"/>
          <w:szCs w:val="32"/>
          <w:lang w:bidi="ar-SA"/>
        </w:rPr>
      </w:pPr>
      <w:r>
        <w:rPr>
          <w:rFonts w:ascii="仿宋_GB2312" w:eastAsia="仿宋_GB2312" w:cs="仿宋_GB2312" w:hint="eastAsia"/>
          <w:sz w:val="32"/>
          <w:szCs w:val="32"/>
          <w:lang w:bidi="ar-SA"/>
        </w:rPr>
        <w:t>17.组织指挥武警中队执行公安任务。</w:t>
      </w:r>
    </w:p>
    <w:p>
      <w:pPr>
        <w:keepNext w:val="0"/>
        <w:pageBreakBefore w:val="0"/>
        <w:widowControl w:val="0"/>
        <w:suppressAutoHyphens/>
        <w:kinsoku/>
        <w:wordWrap/>
        <w:overflowPunct/>
        <w:topLinePunct w:val="0"/>
        <w:autoSpaceDE/>
        <w:autoSpaceDN/>
        <w:bidi w:val="0"/>
        <w:spacing w:beforeAutospacing="0" w:afterAutospacing="0" w:line="560" w:lineRule="exact"/>
        <w:ind w:left="0" w:right="0" w:firstLineChars="200" w:firstLine="640"/>
        <w:textAlignment w:val="auto"/>
        <w:rPr>
          <w:rFonts w:ascii="仿宋_GB2312" w:eastAsia="仿宋_GB2312" w:cs="仿宋_GB2312" w:hint="eastAsia"/>
          <w:sz w:val="32"/>
          <w:szCs w:val="32"/>
          <w:lang w:eastAsia="zh-CN" w:bidi="ar-SA"/>
        </w:rPr>
      </w:pPr>
      <w:r>
        <w:rPr>
          <w:rFonts w:ascii="仿宋_GB2312" w:eastAsia="仿宋_GB2312" w:cs="仿宋_GB2312" w:hint="eastAsia"/>
          <w:sz w:val="32"/>
          <w:szCs w:val="32"/>
          <w:lang w:bidi="ar-SA"/>
        </w:rPr>
        <w:t>18.承办县委、县政府和上级公安机关交办的其他工作。</w:t>
      </w:r>
    </w:p>
    <w:p>
      <w:pPr>
        <w:keepNext w:val="0"/>
        <w:pageBreakBefore w:val="0"/>
        <w:widowControl w:val="0"/>
        <w:suppressAutoHyphens/>
        <w:kinsoku/>
        <w:wordWrap/>
        <w:overflowPunct/>
        <w:topLinePunct w:val="0"/>
        <w:autoSpaceDE/>
        <w:autoSpaceDN/>
        <w:spacing w:line="560" w:lineRule="exact"/>
        <w:ind w:left="0" w:firstLineChars="200" w:firstLine="640"/>
        <w:rPr>
          <w:rStyle w:val="2Char"/>
          <w:rFonts w:ascii="黑体" w:eastAsia="黑体" w:cs="仿宋_GB2312" w:hint="eastAsia"/>
          <w:b w:val="0"/>
          <w:bCs w:val="0"/>
          <w:lang w:bidi="ar-SA"/>
        </w:rPr>
      </w:pPr>
      <w:bookmarkStart w:id="9" w:name="_Toc15396601"/>
      <w:bookmarkStart w:id="10" w:name="_Toc15377200"/>
      <w:bookmarkStart w:id="11" w:name="_Toc31585"/>
      <w:r>
        <w:rPr>
          <w:rStyle w:val="2Char"/>
          <w:rFonts w:ascii="黑体" w:eastAsia="黑体" w:cs="仿宋_GB2312" w:hint="eastAsia"/>
          <w:b w:val="0"/>
          <w:bCs w:val="0"/>
          <w:lang w:bidi="ar-SA"/>
        </w:rPr>
        <w:t>二、机构设置</w:t>
      </w:r>
      <w:bookmarkEnd w:id="9"/>
      <w:bookmarkEnd w:id="10"/>
      <w:bookmarkEnd w:id="11"/>
    </w:p>
    <w:p>
      <w:pPr>
        <w:keepNext w:val="0"/>
        <w:pageBreakBefore w:val="0"/>
        <w:widowControl w:val="0"/>
        <w:suppressAutoHyphens/>
        <w:kinsoku/>
        <w:wordWrap/>
        <w:overflowPunct/>
        <w:topLinePunct w:val="0"/>
        <w:autoSpaceDE/>
        <w:autoSpaceDN/>
        <w:bidi w:val="0"/>
        <w:spacing w:beforeAutospacing="0" w:afterAutospacing="0" w:line="560" w:lineRule="exact"/>
        <w:ind w:left="0" w:right="0" w:firstLineChars="330" w:firstLine="1056"/>
        <w:textAlignment w:val="auto"/>
        <w:rPr>
          <w:rFonts w:ascii="仿宋_GB2312" w:eastAsia="仿宋_GB2312" w:cs="仿宋_GB2312" w:hint="eastAsia"/>
          <w:sz w:val="32"/>
          <w:szCs w:val="32"/>
          <w:lang w:bidi="ar-SA"/>
        </w:rPr>
      </w:pPr>
      <w:r>
        <w:rPr>
          <w:rFonts w:ascii="仿宋_GB2312" w:eastAsia="仿宋_GB2312" w:cs="仿宋_GB2312" w:hint="eastAsia"/>
          <w:sz w:val="32"/>
          <w:szCs w:val="32"/>
          <w:lang w:val="en-US" w:eastAsia="zh-CN" w:bidi="ar-SA"/>
        </w:rPr>
        <w:t>茂县公安局下属二级预算单位0个，其中行政单位0个，参照公务员管理的事业单位0个，其他事业单位0个</w:t>
      </w:r>
      <w:r>
        <w:rPr>
          <w:rFonts w:ascii="仿宋_GB2312" w:eastAsia="仿宋_GB2312" w:cs="仿宋_GB2312" w:hint="eastAsia"/>
          <w:sz w:val="32"/>
          <w:szCs w:val="32"/>
          <w:lang w:bidi="ar-SA"/>
        </w:rPr>
        <w:t>。</w:t>
      </w:r>
    </w:p>
    <w:p>
      <w:pPr>
        <w:pageBreakBefore w:val="0"/>
        <w:widowControl/>
        <w:suppressAutoHyphens/>
        <w:kinsoku/>
        <w:wordWrap/>
        <w:overflowPunct/>
        <w:topLinePunct w:val="0"/>
        <w:autoSpaceDE/>
        <w:autoSpaceDN/>
        <w:bidi w:val="0"/>
        <w:spacing w:line="560" w:lineRule="exact"/>
        <w:jc w:val="left"/>
        <w:textAlignment w:val="auto"/>
        <w:rPr>
          <w:rFonts w:ascii="仿宋" w:eastAsia="仿宋"/>
          <w:color w:val="auto"/>
          <w:kern w:val="0"/>
          <w:sz w:val="32"/>
          <w:szCs w:val="32"/>
          <w:highlight w:val="auto"/>
        </w:rPr>
      </w:pPr>
      <w:r>
        <w:rPr>
          <w:rFonts w:ascii="仿宋" w:eastAsia="仿宋"/>
          <w:color w:val="auto"/>
          <w:sz w:val="32"/>
          <w:szCs w:val="32"/>
          <w:highlight w:val="auto"/>
        </w:rPr>
        <w:br w:type="page"/>
      </w:r>
    </w:p>
    <w:p>
      <w:pPr>
        <w:pStyle w:val="1"/>
        <w:keepNext/>
        <w:keepLines/>
        <w:pageBreakBefore w:val="0"/>
        <w:widowControl w:val="0"/>
        <w:suppressAutoHyphens/>
        <w:kinsoku/>
        <w:wordWrap/>
        <w:overflowPunct/>
        <w:topLinePunct w:val="0"/>
        <w:autoSpaceDE/>
        <w:autoSpaceDN/>
        <w:bidi w:val="0"/>
        <w:spacing w:line="560" w:lineRule="exact"/>
        <w:ind w:right="440"/>
        <w:jc w:val="center"/>
        <w:textAlignment w:val="auto"/>
        <w:rPr>
          <w:color w:val="auto"/>
          <w:highlight w:val="auto"/>
        </w:rPr>
      </w:pPr>
      <w:bookmarkStart w:id="12" w:name="_Toc15396602"/>
      <w:bookmarkStart w:id="13" w:name="_Toc15377204"/>
      <w:bookmarkStart w:id="14" w:name="_Toc19280"/>
      <w:r>
        <w:rPr>
          <w:rFonts w:ascii="黑体" w:eastAsia="黑体" w:hint="eastAsia"/>
          <w:b w:val="0"/>
          <w:bCs/>
          <w:color w:val="auto"/>
          <w:highlight w:val="auto"/>
        </w:rPr>
        <w:t xml:space="preserve">第二部分 </w:t>
      </w:r>
      <w:r>
        <w:rPr>
          <w:rFonts w:ascii="黑体" w:eastAsia="黑体" w:hint="eastAsia"/>
          <w:b w:val="0"/>
          <w:bCs/>
          <w:color w:val="auto"/>
          <w:lang w:val="en-US" w:eastAsia="zh-CN"/>
          <w:highlight w:val="auto"/>
        </w:rPr>
        <w:t>2025年度</w:t>
      </w:r>
      <w:r>
        <w:rPr>
          <w:rStyle w:val="1Char"/>
          <w:rFonts w:ascii="黑体" w:eastAsia="黑体" w:hint="eastAsia"/>
          <w:b w:val="0"/>
          <w:bCs/>
          <w:color w:val="auto"/>
          <w:highlight w:val="auto"/>
        </w:rPr>
        <w:t>部门决算情况说明</w:t>
      </w:r>
      <w:bookmarkEnd w:id="12"/>
      <w:bookmarkEnd w:id="13"/>
      <w:bookmarkEnd w:id="14"/>
    </w:p>
    <w:p>
      <w:pPr>
        <w:pStyle w:val="31"/>
        <w:pageBreakBefore w:val="0"/>
        <w:widowControl w:val="0"/>
        <w:numPr>
          <w:ilvl w:val="0"/>
          <w:numId w:val="1"/>
        </w:numPr>
        <w:suppressAutoHyphens/>
        <w:kinsoku/>
        <w:wordWrap/>
        <w:overflowPunct/>
        <w:topLinePunct w:val="0"/>
        <w:autoSpaceDE/>
        <w:autoSpaceDN/>
        <w:bidi w:val="0"/>
        <w:spacing w:line="560" w:lineRule="exact"/>
        <w:ind w:firstLineChars="0"/>
        <w:textAlignment w:val="auto"/>
        <w:outlineLvl w:val="1"/>
        <w:rPr>
          <w:rStyle w:val="2Char"/>
          <w:rFonts w:ascii="黑体" w:eastAsia="黑体"/>
          <w:b w:val="0"/>
          <w:color w:val="auto"/>
          <w:highlight w:val="auto"/>
        </w:rPr>
      </w:pPr>
      <w:bookmarkStart w:id="15" w:name="_Toc15396603"/>
      <w:bookmarkStart w:id="16" w:name="_Toc26900"/>
      <w:bookmarkStart w:id="17" w:name="_Toc15377205"/>
      <w:r>
        <w:rPr>
          <w:rFonts w:ascii="黑体" w:eastAsia="黑体" w:hint="eastAsia"/>
          <w:color w:val="auto"/>
          <w:sz w:val="32"/>
          <w:szCs w:val="32"/>
          <w:highlight w:val="auto"/>
        </w:rPr>
        <w:t>收</w:t>
      </w:r>
      <w:r>
        <w:rPr>
          <w:rStyle w:val="2Char"/>
          <w:rFonts w:ascii="黑体" w:eastAsia="黑体" w:hint="eastAsia"/>
          <w:b w:val="0"/>
          <w:color w:val="auto"/>
          <w:highlight w:val="auto"/>
        </w:rPr>
        <w:t>入支出决算总体情况说明</w:t>
      </w:r>
      <w:bookmarkEnd w:id="15"/>
      <w:bookmarkEnd w:id="16"/>
      <w:bookmarkEnd w:id="17"/>
    </w:p>
    <w:p>
      <w:pPr>
        <w:pStyle w:val="15"/>
        <w:jc w:val="left"/>
        <w:rPr>
          <w:rFonts w:ascii="仿宋_GB2312" w:eastAsia="仿宋_GB2312"/>
          <w:color w:val="auto"/>
          <w:sz w:val="32"/>
          <w:szCs w:val="32"/>
          <w:highlight w:val="auto"/>
        </w:rPr>
      </w:pPr>
      <w:r>
        <w:rPr>
          <w:rFonts w:ascii="仿宋_GB2312" w:eastAsia="仿宋_GB2312" w:cs="仿宋_GB2312" w:hint="eastAsia"/>
          <w:b w:val="0"/>
          <w:color w:val="auto"/>
          <w:kern w:val="2"/>
          <w:sz w:val="32"/>
          <w:szCs w:val="32"/>
          <w:lang w:val="en-US" w:eastAsia="zh-CN" w:bidi="ar-SA"/>
        </w:rPr>
        <w:t xml:space="preserve">    2025年度收、支总计均为8,601.68万元。与2024年度相比，收、支总计各增加899.24万元，增长11.7%。主要变动原因是：在职人员工资调增、五险一金基数调增，辅警经费支出增加，业务增加等。</w:t>
      </w:r>
      <w:r>
        <w:rPr>
          <w:rFonts w:hint="eastAsia"/>
          <w:lang w:eastAsia="zh-CN"/>
        </w:rPr>
        <w:object>
          <v:shapetype id="_x0000_t75" coordsize="21600,21600"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type="#_x0000_t75" filled="f" stroked="f" style="width:0.074998856pt;height:0.074998856pt;" o:ole="">
            <v:stroke color="#000000"/>
            <v:imagedata r:id="rId2" o:title="2"/>
            <o:lock aspectratio="t"/>
            <w10:anchorLock/>
          </v:shape>
          <o:OLEObject Type="Embed" ProgID="Package" ShapeID="_x0000_i1" DrawAspect="Content" ObjectID="_1393063351" r:id="rId3"/>
        </w:object>
      </w:r>
      <w:r>
        <w:rPr>
          <w:rFonts w:ascii="仿宋_GB2312" w:eastAsia="仿宋_GB2312"/>
          <w:color w:val="auto"/>
          <w:sz w:val="32"/>
          <w:szCs w:val="32"/>
          <w:highlight w:val="auto"/>
        </w:rPr>
        <w:drawing>
          <wp:inline distT="0" distB="0" distL="114300" distR="114300">
            <wp:extent cx="5256530" cy="2988310"/>
            <wp:effectExtent l="14288" t="14287" r="14333" b="14305"/>
            <wp:docPr id="3" name="图表 13" descr="7b0a202020202263686172745265734964223a20223530303533343239220a7d0a"/>
            <wp:cNvGraphicFramePr>
              <a:graphicFrameLocks noChangeAspect="0"/>
            </wp:cNvGraphicFramePr>
            <a:graphic>
              <a:graphicData uri="http://schemas.openxmlformats.org/drawingml/2006/picture">
                <pic:pic>
                  <pic:nvPicPr>
                    <pic:cNvPr id="5" name="图表 13 5"/>
                    <pic:cNvPicPr/>
                  </pic:nvPicPr>
                  <pic:blipFill>
                    <a:blip r:embed="rId4"/>
                    <a:stretch>
                      <a:fillRect/>
                    </a:stretch>
                  </pic:blipFill>
                  <pic:spPr>
                    <a:xfrm rot="0">
                      <a:off x="0" y="0"/>
                      <a:ext cx="5256530" cy="2988310"/>
                    </a:xfrm>
                    <a:prstGeom prst="rect"/>
                    <a:noFill/>
                    <a:ln w="9525" cmpd="sng" cap="flat">
                      <a:solidFill>
                        <a:srgbClr val="000000"/>
                      </a:solidFill>
                      <a:prstDash val="solid"/>
                      <a:miter/>
                    </a:ln>
                  </pic:spPr>
                </pic:pic>
              </a:graphicData>
            </a:graphic>
          </wp:inline>
        </w:drawing>
      </w:r>
    </w:p>
    <w:p>
      <w:pPr>
        <w:pStyle w:val="31"/>
        <w:keepNext w:val="0"/>
        <w:keepLines w:val="0"/>
        <w:pageBreakBefore w:val="0"/>
        <w:widowControl w:val="0"/>
        <w:numPr>
          <w:ilvl w:val="0"/>
          <w:numId w:val="1"/>
        </w:numPr>
        <w:suppressAutoHyphens/>
        <w:kinsoku/>
        <w:wordWrap/>
        <w:overflowPunct/>
        <w:topLinePunct w:val="0"/>
        <w:autoSpaceDE/>
        <w:autoSpaceDN/>
        <w:bidi w:val="0"/>
        <w:adjustRightInd/>
        <w:snapToGrid/>
        <w:spacing w:line="560" w:lineRule="exact"/>
        <w:ind w:firstLineChars="0"/>
        <w:textAlignment w:val="auto"/>
        <w:outlineLvl w:val="1"/>
        <w:rPr>
          <w:rStyle w:val="2Char"/>
          <w:rFonts w:ascii="黑体" w:eastAsia="黑体"/>
          <w:b w:val="0"/>
          <w:color w:val="auto"/>
          <w:highlight w:val="auto"/>
        </w:rPr>
      </w:pPr>
      <w:bookmarkStart w:id="18" w:name="_Toc15396604"/>
      <w:bookmarkStart w:id="19" w:name="_Toc1"/>
      <w:bookmarkStart w:id="20" w:name="_Toc15377206"/>
      <w:r>
        <w:rPr>
          <w:rFonts w:ascii="黑体" w:eastAsia="黑体" w:hint="eastAsia"/>
          <w:color w:val="auto"/>
          <w:sz w:val="32"/>
          <w:szCs w:val="32"/>
          <w:highlight w:val="auto"/>
        </w:rPr>
        <w:t>收</w:t>
      </w:r>
      <w:r>
        <w:rPr>
          <w:rStyle w:val="2Char"/>
          <w:rFonts w:ascii="黑体" w:eastAsia="黑体" w:hint="eastAsia"/>
          <w:b w:val="0"/>
          <w:color w:val="auto"/>
          <w:highlight w:val="auto"/>
        </w:rPr>
        <w:t>入决算情况说明</w:t>
      </w:r>
      <w:bookmarkEnd w:id="18"/>
      <w:bookmarkEnd w:id="19"/>
      <w:bookmarkEnd w:id="20"/>
    </w:p>
    <w:p>
      <w:pPr>
        <w:keepNext w:val="0"/>
        <w:keepLines w:val="0"/>
        <w:pageBreakBefore w:val="0"/>
        <w:widowControl w:val="0"/>
        <w:suppressAutoHyphens/>
        <w:kinsoku/>
        <w:wordWrap/>
        <w:overflowPunct/>
        <w:topLinePunct w:val="0"/>
        <w:autoSpaceDE/>
        <w:autoSpaceDN/>
        <w:bidi w:val="0"/>
        <w:adjustRightInd/>
        <w:snapToGrid/>
        <w:spacing w:line="560" w:lineRule="exact"/>
        <w:ind w:firstLineChars="200" w:firstLine="640"/>
        <w:textAlignment w:val="auto"/>
        <w:outlineLvl w:val="1"/>
        <w:rPr>
          <w:rFonts w:ascii="仿宋_GB2312" w:eastAsia="仿宋_GB2312" w:cs="仿宋_GB2312"/>
          <w:color w:val="auto"/>
          <w:sz w:val="32"/>
          <w:szCs w:val="32"/>
          <w:lang w:val="en-US" w:eastAsia="zh-CN"/>
          <w:highlight w:val="auto"/>
        </w:rPr>
      </w:pPr>
      <w:bookmarkStart w:id="21" w:name="_Toc2726"/>
      <w:r>
        <w:rPr>
          <w:rFonts w:ascii="仿宋_GB2312" w:eastAsia="仿宋_GB2312" w:cs="仿宋_GB2312" w:hint="eastAsia"/>
          <w:color w:val="auto"/>
          <w:sz w:val="32"/>
          <w:szCs w:val="32"/>
          <w:lang w:eastAsia="zh-CN"/>
          <w:highlight w:val="auto"/>
        </w:rPr>
        <w:t>202</w:t>
      </w:r>
      <w:r>
        <w:rPr>
          <w:rFonts w:ascii="仿宋_GB2312" w:eastAsia="仿宋_GB2312" w:cs="仿宋_GB2312" w:hint="eastAsia"/>
          <w:color w:val="auto"/>
          <w:sz w:val="32"/>
          <w:szCs w:val="32"/>
          <w:lang w:val="en-US" w:eastAsia="zh-CN"/>
          <w:highlight w:val="auto"/>
        </w:rPr>
        <w:t>5</w:t>
      </w:r>
      <w:r>
        <w:rPr>
          <w:rFonts w:ascii="仿宋_GB2312" w:eastAsia="仿宋_GB2312" w:cs="仿宋_GB2312" w:hint="eastAsia"/>
          <w:color w:val="auto"/>
          <w:sz w:val="32"/>
          <w:szCs w:val="32"/>
          <w:highlight w:val="auto"/>
        </w:rPr>
        <w:t>年</w:t>
      </w:r>
      <w:r>
        <w:rPr>
          <w:rFonts w:ascii="仿宋_GB2312" w:eastAsia="仿宋_GB2312" w:cs="仿宋_GB2312" w:hint="eastAsia"/>
          <w:color w:val="auto"/>
          <w:sz w:val="32"/>
          <w:szCs w:val="32"/>
          <w:lang w:eastAsia="zh-CN"/>
          <w:highlight w:val="auto"/>
        </w:rPr>
        <w:t>度</w:t>
      </w:r>
      <w:r>
        <w:rPr>
          <w:rFonts w:ascii="仿宋_GB2312" w:eastAsia="仿宋_GB2312" w:cs="仿宋_GB2312" w:hint="eastAsia"/>
          <w:color w:val="auto"/>
          <w:sz w:val="32"/>
          <w:szCs w:val="32"/>
          <w:highlight w:val="auto"/>
        </w:rPr>
        <w:t>本年收入合计</w:t>
      </w:r>
      <w:r>
        <w:rPr>
          <w:rFonts w:ascii="仿宋_GB2312" w:eastAsia="仿宋_GB2312" w:cs="仿宋_GB2312" w:hint="eastAsia"/>
          <w:sz w:val="32"/>
          <w:szCs w:val="32"/>
          <w:lang w:eastAsia="zh-CN"/>
        </w:rPr>
        <w:t>8</w:t>
      </w:r>
      <w:r>
        <w:rPr>
          <w:rFonts w:ascii="仿宋_GB2312" w:eastAsia="仿宋_GB2312" w:cs="仿宋_GB2312" w:hint="eastAsia"/>
          <w:sz w:val="32"/>
          <w:szCs w:val="32"/>
          <w:lang w:val="en-US" w:eastAsia="zh-CN"/>
        </w:rPr>
        <w:t>,</w:t>
      </w:r>
      <w:r>
        <w:rPr>
          <w:rFonts w:ascii="仿宋_GB2312" w:eastAsia="仿宋_GB2312" w:cs="仿宋_GB2312" w:hint="eastAsia"/>
          <w:sz w:val="32"/>
          <w:szCs w:val="32"/>
          <w:lang w:eastAsia="zh-CN"/>
        </w:rPr>
        <w:t>601.68</w:t>
      </w:r>
      <w:r>
        <w:rPr>
          <w:rFonts w:ascii="仿宋_GB2312" w:eastAsia="仿宋_GB2312" w:cs="仿宋_GB2312" w:hint="eastAsia"/>
          <w:color w:val="auto"/>
          <w:sz w:val="32"/>
          <w:szCs w:val="32"/>
          <w:highlight w:val="auto"/>
        </w:rPr>
        <w:t>万元，其中：一般公共预算财政拨款收入</w:t>
      </w:r>
      <w:r>
        <w:rPr>
          <w:rFonts w:ascii="仿宋_GB2312" w:eastAsia="仿宋_GB2312" w:cs="仿宋_GB2312" w:hint="eastAsia"/>
          <w:color w:val="auto"/>
          <w:sz w:val="32"/>
          <w:szCs w:val="32"/>
          <w:lang w:eastAsia="zh-CN"/>
          <w:highlight w:val="auto"/>
        </w:rPr>
        <w:t>8</w:t>
      </w:r>
      <w:r>
        <w:rPr>
          <w:rFonts w:ascii="仿宋_GB2312" w:eastAsia="仿宋_GB2312" w:cs="仿宋_GB2312" w:hint="eastAsia"/>
          <w:sz w:val="32"/>
          <w:szCs w:val="32"/>
          <w:lang w:val="en-US" w:eastAsia="zh-CN"/>
        </w:rPr>
        <w:t>,</w:t>
      </w:r>
      <w:r>
        <w:rPr>
          <w:rFonts w:ascii="仿宋_GB2312" w:eastAsia="仿宋_GB2312" w:cs="仿宋_GB2312" w:hint="eastAsia"/>
          <w:color w:val="auto"/>
          <w:sz w:val="32"/>
          <w:szCs w:val="32"/>
          <w:lang w:eastAsia="zh-CN"/>
          <w:highlight w:val="auto"/>
        </w:rPr>
        <w:t>599.22</w:t>
      </w:r>
      <w:r>
        <w:rPr>
          <w:rFonts w:ascii="仿宋_GB2312" w:eastAsia="仿宋_GB2312" w:cs="仿宋_GB2312" w:hint="eastAsia"/>
          <w:color w:val="auto"/>
          <w:sz w:val="32"/>
          <w:szCs w:val="32"/>
          <w:highlight w:val="auto"/>
        </w:rPr>
        <w:t>万元，占</w:t>
      </w:r>
      <w:r>
        <w:rPr>
          <w:rFonts w:ascii="仿宋_GB2312" w:eastAsia="仿宋_GB2312" w:cs="仿宋_GB2312" w:hint="eastAsia"/>
          <w:color w:val="auto"/>
          <w:sz w:val="32"/>
          <w:szCs w:val="32"/>
          <w:lang w:val="en-US" w:eastAsia="zh-CN"/>
          <w:highlight w:val="auto"/>
        </w:rPr>
        <w:t>99.9</w:t>
      </w:r>
      <w:r>
        <w:rPr>
          <w:rFonts w:ascii="仿宋_GB2312" w:eastAsia="仿宋_GB2312" w:cs="仿宋_GB2312" w:hint="eastAsia"/>
          <w:color w:val="auto"/>
          <w:sz w:val="32"/>
          <w:szCs w:val="32"/>
          <w:highlight w:val="auto"/>
        </w:rPr>
        <w:t>%</w:t>
      </w:r>
      <w:r>
        <w:rPr>
          <w:rFonts w:ascii="仿宋_GB2312" w:eastAsia="仿宋_GB2312" w:cs="仿宋_GB2312" w:hint="eastAsia"/>
          <w:color w:val="auto"/>
          <w:sz w:val="32"/>
          <w:szCs w:val="32"/>
          <w:lang w:eastAsia="zh-CN"/>
          <w:highlight w:val="auto"/>
        </w:rPr>
        <w:t>；</w:t>
      </w:r>
      <w:r>
        <w:rPr>
          <w:rFonts w:ascii="仿宋_GB2312" w:eastAsia="仿宋_GB2312" w:cs="仿宋_GB2312" w:hint="eastAsia"/>
          <w:color w:val="auto"/>
          <w:sz w:val="32"/>
          <w:szCs w:val="32"/>
          <w:lang w:val="en-US" w:eastAsia="zh-CN"/>
          <w:highlight w:val="auto"/>
        </w:rPr>
        <w:t>其他收入2.46万元，占0.1%。</w:t>
      </w:r>
    </w:p>
    <w:p>
      <w:pPr>
        <w:keepNext w:val="0"/>
        <w:keepLines w:val="0"/>
        <w:pageBreakBefore w:val="0"/>
        <w:widowControl w:val="0"/>
        <w:suppressAutoHyphens/>
        <w:kinsoku/>
        <w:wordWrap/>
        <w:overflowPunct/>
        <w:topLinePunct w:val="0"/>
        <w:autoSpaceDE/>
        <w:autoSpaceDN/>
        <w:bidi w:val="0"/>
        <w:adjustRightInd/>
        <w:snapToGrid/>
        <w:spacing w:line="560" w:lineRule="exact"/>
        <w:ind w:firstLineChars="200" w:firstLine="640"/>
        <w:textAlignment w:val="auto"/>
        <w:outlineLvl w:val="1"/>
        <w:rPr>
          <w:rFonts w:ascii="仿宋_GB2312" w:eastAsia="仿宋_GB2312" w:cs="仿宋_GB2312"/>
          <w:color w:val="auto"/>
          <w:sz w:val="32"/>
          <w:szCs w:val="32"/>
          <w:lang w:val="en-US" w:eastAsia="zh-CN"/>
          <w:highlight w:val="auto"/>
        </w:rPr>
      </w:pPr>
    </w:p>
    <w:p>
      <w:pPr>
        <w:keepNext w:val="0"/>
        <w:keepLines w:val="0"/>
        <w:pageBreakBefore w:val="0"/>
        <w:widowControl w:val="0"/>
        <w:suppressAutoHyphens/>
        <w:kinsoku/>
        <w:wordWrap/>
        <w:overflowPunct/>
        <w:topLinePunct w:val="0"/>
        <w:autoSpaceDE/>
        <w:autoSpaceDN/>
        <w:bidi w:val="0"/>
        <w:adjustRightInd/>
        <w:snapToGrid/>
        <w:spacing w:line="560" w:lineRule="exact"/>
        <w:ind w:firstLineChars="200" w:firstLine="640"/>
        <w:textAlignment w:val="auto"/>
        <w:outlineLvl w:val="1"/>
        <w:rPr>
          <w:rFonts w:ascii="仿宋_GB2312" w:eastAsia="仿宋_GB2312" w:cs="仿宋_GB2312" w:hint="eastAsia"/>
          <w:color w:val="auto"/>
          <w:sz w:val="32"/>
          <w:szCs w:val="32"/>
          <w:highlight w:val="auto"/>
        </w:rPr>
      </w:pPr>
      <w:bookmarkEnd w:id="21"/>
    </w:p>
    <w:p>
      <w:pPr>
        <w:pStyle w:val="15"/>
        <w:jc w:val="center"/>
        <w:rPr>
          <w:rFonts w:ascii="仿宋_GB2312" w:eastAsia="仿宋_GB2312" w:hint="eastAsia"/>
          <w:color w:val="auto"/>
          <w:sz w:val="32"/>
          <w:szCs w:val="32"/>
          <w:lang w:eastAsia="zh-CN"/>
          <w:highlight w:val="auto"/>
        </w:rPr>
      </w:pPr>
      <w:r>
        <w:rPr>
          <w:rFonts w:ascii="仿宋_GB2312" w:eastAsia="仿宋_GB2312" w:hint="eastAsia"/>
          <w:color w:val="auto"/>
          <w:sz w:val="32"/>
          <w:szCs w:val="32"/>
          <w:lang w:eastAsia="zh-CN"/>
          <w:highlight w:val="auto"/>
        </w:rPr>
        <w:drawing>
          <wp:inline distT="0" distB="0" distL="114300" distR="114300">
            <wp:extent cx="5256530" cy="2988310"/>
            <wp:effectExtent l="14288" t="14287" r="14333" b="14305"/>
            <wp:docPr id="6" name="图表 14"/>
            <wp:cNvGraphicFramePr>
              <a:graphicFrameLocks noChangeAspect="0"/>
            </wp:cNvGraphicFramePr>
            <a:graphic>
              <a:graphicData uri="http://schemas.openxmlformats.org/drawingml/2006/picture">
                <pic:pic>
                  <pic:nvPicPr>
                    <pic:cNvPr id="8" name="图表 14 8"/>
                    <pic:cNvPicPr/>
                  </pic:nvPicPr>
                  <pic:blipFill>
                    <a:blip r:embed="rId5"/>
                    <a:stretch>
                      <a:fillRect/>
                    </a:stretch>
                  </pic:blipFill>
                  <pic:spPr>
                    <a:xfrm rot="0">
                      <a:off x="0" y="0"/>
                      <a:ext cx="5256530" cy="2988310"/>
                    </a:xfrm>
                    <a:prstGeom prst="rect"/>
                    <a:noFill/>
                    <a:ln w="9525" cmpd="sng" cap="flat">
                      <a:solidFill>
                        <a:srgbClr val="000000"/>
                      </a:solidFill>
                      <a:prstDash val="solid"/>
                      <a:miter/>
                    </a:ln>
                  </pic:spPr>
                </pic:pic>
              </a:graphicData>
            </a:graphic>
          </wp:inline>
        </w:drawing>
      </w:r>
    </w:p>
    <w:p>
      <w:pPr>
        <w:pStyle w:val="31"/>
        <w:keepNext w:val="0"/>
        <w:keepLines w:val="0"/>
        <w:pageBreakBefore w:val="0"/>
        <w:widowControl w:val="0"/>
        <w:numPr>
          <w:ilvl w:val="0"/>
          <w:numId w:val="1"/>
        </w:numPr>
        <w:suppressAutoHyphens/>
        <w:kinsoku/>
        <w:wordWrap/>
        <w:overflowPunct/>
        <w:topLinePunct w:val="0"/>
        <w:autoSpaceDE/>
        <w:autoSpaceDN/>
        <w:bidi w:val="0"/>
        <w:adjustRightInd/>
        <w:snapToGrid/>
        <w:spacing w:line="560" w:lineRule="exact"/>
        <w:ind w:firstLineChars="0"/>
        <w:textAlignment w:val="auto"/>
        <w:outlineLvl w:val="1"/>
        <w:rPr>
          <w:rStyle w:val="2Char"/>
          <w:rFonts w:ascii="黑体" w:eastAsia="黑体"/>
          <w:b w:val="0"/>
          <w:color w:val="auto"/>
          <w:highlight w:val="auto"/>
        </w:rPr>
      </w:pPr>
      <w:bookmarkStart w:id="22" w:name="_Toc15377207"/>
      <w:bookmarkStart w:id="23" w:name="_Toc32216"/>
      <w:bookmarkStart w:id="24" w:name="_Toc15396605"/>
      <w:r>
        <w:rPr>
          <w:rFonts w:ascii="黑体" w:eastAsia="黑体" w:hint="eastAsia"/>
          <w:color w:val="auto"/>
          <w:sz w:val="32"/>
          <w:szCs w:val="32"/>
          <w:highlight w:val="auto"/>
        </w:rPr>
        <w:t>支</w:t>
      </w:r>
      <w:r>
        <w:rPr>
          <w:rStyle w:val="2Char"/>
          <w:rFonts w:ascii="黑体" w:eastAsia="黑体" w:hint="eastAsia"/>
          <w:b w:val="0"/>
          <w:color w:val="auto"/>
          <w:highlight w:val="auto"/>
        </w:rPr>
        <w:t>出决算情况说明</w:t>
      </w:r>
      <w:bookmarkEnd w:id="22"/>
      <w:bookmarkEnd w:id="23"/>
      <w:bookmarkEnd w:id="24"/>
    </w:p>
    <w:p>
      <w:pPr>
        <w:keepNext w:val="0"/>
        <w:keepLines w:val="0"/>
        <w:pageBreakBefore w:val="0"/>
        <w:widowControl w:val="0"/>
        <w:suppressAutoHyphens/>
        <w:kinsoku/>
        <w:wordWrap/>
        <w:overflowPunct/>
        <w:topLinePunct w:val="0"/>
        <w:autoSpaceDE/>
        <w:autoSpaceDN/>
        <w:bidi w:val="0"/>
        <w:adjustRightInd/>
        <w:snapToGrid/>
        <w:spacing w:line="560" w:lineRule="exact"/>
        <w:ind w:firstLineChars="200" w:firstLine="640"/>
        <w:textAlignment w:val="auto"/>
        <w:outlineLvl w:val="1"/>
        <w:rPr>
          <w:rFonts w:ascii="仿宋_GB2312" w:eastAsia="仿宋_GB2312" w:cs="仿宋_GB2312" w:hint="eastAsia"/>
          <w:color w:val="auto"/>
          <w:sz w:val="32"/>
          <w:szCs w:val="32"/>
          <w:lang w:eastAsia="zh-CN"/>
          <w:highlight w:val="auto"/>
        </w:rPr>
      </w:pPr>
      <w:r>
        <w:rPr>
          <w:rFonts w:ascii="仿宋_GB2312" w:eastAsia="仿宋_GB2312" w:cs="仿宋_GB2312" w:hint="eastAsia"/>
          <w:color w:val="auto"/>
          <w:sz w:val="32"/>
          <w:szCs w:val="32"/>
          <w:lang w:eastAsia="zh-CN"/>
          <w:highlight w:val="auto"/>
        </w:rPr>
        <w:t>202</w:t>
      </w:r>
      <w:r>
        <w:rPr>
          <w:rFonts w:ascii="仿宋_GB2312" w:eastAsia="仿宋_GB2312" w:cs="仿宋_GB2312" w:hint="eastAsia"/>
          <w:color w:val="auto"/>
          <w:sz w:val="32"/>
          <w:szCs w:val="32"/>
          <w:lang w:val="en-US" w:eastAsia="zh-CN"/>
          <w:highlight w:val="auto"/>
        </w:rPr>
        <w:t>5</w:t>
      </w:r>
      <w:r>
        <w:rPr>
          <w:rFonts w:ascii="仿宋_GB2312" w:eastAsia="仿宋_GB2312" w:cs="仿宋_GB2312" w:hint="eastAsia"/>
          <w:color w:val="auto"/>
          <w:sz w:val="32"/>
          <w:szCs w:val="32"/>
          <w:highlight w:val="auto"/>
        </w:rPr>
        <w:t>年</w:t>
      </w:r>
      <w:r>
        <w:rPr>
          <w:rFonts w:ascii="仿宋_GB2312" w:eastAsia="仿宋_GB2312" w:cs="仿宋_GB2312" w:hint="eastAsia"/>
          <w:color w:val="auto"/>
          <w:sz w:val="32"/>
          <w:szCs w:val="32"/>
          <w:lang w:eastAsia="zh-CN"/>
          <w:highlight w:val="auto"/>
        </w:rPr>
        <w:t>度</w:t>
      </w:r>
      <w:r>
        <w:rPr>
          <w:rFonts w:ascii="仿宋_GB2312" w:eastAsia="仿宋_GB2312" w:cs="仿宋_GB2312" w:hint="eastAsia"/>
          <w:color w:val="auto"/>
          <w:sz w:val="32"/>
          <w:szCs w:val="32"/>
          <w:highlight w:val="auto"/>
        </w:rPr>
        <w:t>本年支出合计</w:t>
      </w:r>
      <w:r>
        <w:rPr>
          <w:rFonts w:ascii="仿宋_GB2312" w:eastAsia="仿宋_GB2312" w:cs="仿宋_GB2312" w:hint="eastAsia"/>
          <w:sz w:val="32"/>
          <w:szCs w:val="32"/>
          <w:lang w:eastAsia="zh-CN"/>
        </w:rPr>
        <w:t>8</w:t>
      </w:r>
      <w:r>
        <w:rPr>
          <w:rFonts w:ascii="仿宋_GB2312" w:eastAsia="仿宋_GB2312" w:cs="仿宋_GB2312" w:hint="eastAsia"/>
          <w:sz w:val="32"/>
          <w:szCs w:val="32"/>
          <w:lang w:val="en-US" w:eastAsia="zh-CN"/>
        </w:rPr>
        <w:t>,</w:t>
      </w:r>
      <w:r>
        <w:rPr>
          <w:rFonts w:ascii="仿宋_GB2312" w:eastAsia="仿宋_GB2312" w:cs="仿宋_GB2312" w:hint="eastAsia"/>
          <w:sz w:val="32"/>
          <w:szCs w:val="32"/>
          <w:lang w:eastAsia="zh-CN"/>
        </w:rPr>
        <w:t>601.68</w:t>
      </w:r>
      <w:r>
        <w:rPr>
          <w:rFonts w:ascii="仿宋_GB2312" w:eastAsia="仿宋_GB2312" w:cs="仿宋_GB2312" w:hint="eastAsia"/>
          <w:color w:val="auto"/>
          <w:sz w:val="32"/>
          <w:szCs w:val="32"/>
          <w:highlight w:val="auto"/>
        </w:rPr>
        <w:t>万元，其中：基本支出</w:t>
      </w:r>
      <w:r>
        <w:rPr>
          <w:rFonts w:ascii="仿宋_GB2312" w:eastAsia="仿宋_GB2312" w:cs="仿宋_GB2312" w:hint="eastAsia"/>
          <w:color w:val="000000"/>
          <w:sz w:val="32"/>
          <w:szCs w:val="32"/>
          <w:lang w:val="en-US" w:eastAsia="zh-CN"/>
          <w:highlight w:val="auto"/>
        </w:rPr>
        <w:t>6</w:t>
      </w:r>
      <w:r>
        <w:rPr>
          <w:rFonts w:ascii="仿宋_GB2312" w:eastAsia="仿宋_GB2312" w:cs="仿宋_GB2312" w:hint="eastAsia"/>
          <w:sz w:val="32"/>
          <w:szCs w:val="32"/>
          <w:lang w:val="en-US" w:eastAsia="zh-CN"/>
        </w:rPr>
        <w:t>,</w:t>
      </w:r>
      <w:r>
        <w:rPr>
          <w:rFonts w:ascii="仿宋_GB2312" w:eastAsia="仿宋_GB2312" w:cs="仿宋_GB2312" w:hint="eastAsia"/>
          <w:color w:val="000000"/>
          <w:sz w:val="32"/>
          <w:szCs w:val="32"/>
          <w:lang w:val="en-US" w:eastAsia="zh-CN"/>
          <w:highlight w:val="auto"/>
        </w:rPr>
        <w:t>405.83</w:t>
      </w:r>
      <w:r>
        <w:rPr>
          <w:rFonts w:ascii="仿宋_GB2312" w:eastAsia="仿宋_GB2312" w:cs="仿宋_GB2312" w:hint="eastAsia"/>
          <w:color w:val="auto"/>
          <w:sz w:val="32"/>
          <w:szCs w:val="32"/>
          <w:highlight w:val="auto"/>
        </w:rPr>
        <w:t>万元，占</w:t>
      </w:r>
      <w:r>
        <w:rPr>
          <w:rFonts w:ascii="仿宋_GB2312" w:eastAsia="仿宋_GB2312" w:cs="仿宋_GB2312" w:hint="eastAsia"/>
          <w:color w:val="000000"/>
          <w:sz w:val="32"/>
          <w:szCs w:val="32"/>
          <w:lang w:val="en-US" w:eastAsia="zh-CN"/>
          <w:highlight w:val="auto"/>
        </w:rPr>
        <w:t>74.5</w:t>
      </w:r>
      <w:r>
        <w:rPr>
          <w:rFonts w:ascii="仿宋_GB2312" w:eastAsia="仿宋_GB2312" w:cs="仿宋_GB2312" w:hint="eastAsia"/>
          <w:color w:val="auto"/>
          <w:sz w:val="32"/>
          <w:szCs w:val="32"/>
          <w:highlight w:val="auto"/>
        </w:rPr>
        <w:t>%；项目支出</w:t>
      </w:r>
      <w:r>
        <w:rPr>
          <w:rFonts w:ascii="仿宋_GB2312" w:eastAsia="仿宋_GB2312" w:cs="仿宋_GB2312" w:hint="eastAsia"/>
          <w:color w:val="000000"/>
          <w:sz w:val="32"/>
          <w:szCs w:val="32"/>
          <w:lang w:val="en-US" w:eastAsia="zh-CN"/>
          <w:highlight w:val="auto"/>
        </w:rPr>
        <w:t>2</w:t>
      </w:r>
      <w:r>
        <w:rPr>
          <w:rFonts w:ascii="仿宋_GB2312" w:eastAsia="仿宋_GB2312" w:cs="仿宋_GB2312" w:hint="eastAsia"/>
          <w:sz w:val="32"/>
          <w:szCs w:val="32"/>
          <w:lang w:val="en-US" w:eastAsia="zh-CN"/>
        </w:rPr>
        <w:t>,</w:t>
      </w:r>
      <w:r>
        <w:rPr>
          <w:rFonts w:ascii="仿宋_GB2312" w:eastAsia="仿宋_GB2312" w:cs="仿宋_GB2312" w:hint="eastAsia"/>
          <w:color w:val="000000"/>
          <w:sz w:val="32"/>
          <w:szCs w:val="32"/>
          <w:lang w:val="en-US" w:eastAsia="zh-CN"/>
          <w:highlight w:val="auto"/>
        </w:rPr>
        <w:t>195.85</w:t>
      </w:r>
      <w:r>
        <w:rPr>
          <w:rFonts w:ascii="仿宋_GB2312" w:eastAsia="仿宋_GB2312" w:cs="仿宋_GB2312" w:hint="eastAsia"/>
          <w:color w:val="auto"/>
          <w:sz w:val="32"/>
          <w:szCs w:val="32"/>
          <w:highlight w:val="auto"/>
        </w:rPr>
        <w:t>万元，占</w:t>
      </w:r>
      <w:r>
        <w:rPr>
          <w:rFonts w:ascii="仿宋_GB2312" w:eastAsia="仿宋_GB2312" w:cs="仿宋_GB2312" w:hint="eastAsia"/>
          <w:color w:val="000000"/>
          <w:sz w:val="32"/>
          <w:szCs w:val="32"/>
          <w:lang w:val="en-US" w:eastAsia="zh-CN"/>
          <w:highlight w:val="auto"/>
        </w:rPr>
        <w:t>25.5</w:t>
      </w:r>
      <w:r>
        <w:rPr>
          <w:rFonts w:ascii="仿宋_GB2312" w:eastAsia="仿宋_GB2312" w:cs="仿宋_GB2312" w:hint="eastAsia"/>
          <w:color w:val="auto"/>
          <w:sz w:val="32"/>
          <w:szCs w:val="32"/>
          <w:highlight w:val="auto"/>
        </w:rPr>
        <w:t>%。</w:t>
      </w:r>
    </w:p>
    <w:p>
      <w:pPr>
        <w:pStyle w:val="15"/>
        <w:jc w:val="center"/>
        <w:rPr>
          <w:rFonts w:ascii="仿宋_GB2312" w:eastAsia="仿宋_GB2312" w:hint="eastAsia"/>
          <w:color w:val="auto"/>
          <w:sz w:val="32"/>
          <w:szCs w:val="32"/>
          <w:lang w:eastAsia="zh-CN"/>
          <w:highlight w:val="auto"/>
        </w:rPr>
      </w:pPr>
      <w:r>
        <w:rPr>
          <w:rFonts w:ascii="仿宋_GB2312" w:eastAsia="仿宋_GB2312" w:hint="eastAsia"/>
          <w:color w:val="auto"/>
          <w:sz w:val="32"/>
          <w:szCs w:val="32"/>
          <w:lang w:eastAsia="zh-CN"/>
          <w:highlight w:val="auto"/>
        </w:rPr>
        <w:drawing>
          <wp:inline distT="0" distB="0" distL="114300" distR="114300">
            <wp:extent cx="5256530" cy="2988310"/>
            <wp:effectExtent l="14288" t="14287" r="14333" b="14305"/>
            <wp:docPr id="9" name="图表 17"/>
            <wp:cNvGraphicFramePr>
              <a:graphicFrameLocks noChangeAspect="0"/>
            </wp:cNvGraphicFramePr>
            <a:graphic>
              <a:graphicData uri="http://schemas.openxmlformats.org/drawingml/2006/picture">
                <pic:pic>
                  <pic:nvPicPr>
                    <pic:cNvPr id="11" name="图表 17 11"/>
                    <pic:cNvPicPr/>
                  </pic:nvPicPr>
                  <pic:blipFill>
                    <a:blip r:embed="rId6"/>
                    <a:stretch>
                      <a:fillRect/>
                    </a:stretch>
                  </pic:blipFill>
                  <pic:spPr>
                    <a:xfrm rot="0">
                      <a:off x="0" y="0"/>
                      <a:ext cx="5256530" cy="2988310"/>
                    </a:xfrm>
                    <a:prstGeom prst="rect"/>
                    <a:noFill/>
                    <a:ln w="9525" cmpd="sng" cap="flat">
                      <a:solidFill>
                        <a:srgbClr val="000000"/>
                      </a:solidFill>
                      <a:prstDash val="solid"/>
                      <a:miter/>
                    </a:ln>
                  </pic:spPr>
                </pic:pic>
              </a:graphicData>
            </a:graphic>
          </wp:inline>
        </w:drawing>
      </w:r>
    </w:p>
    <w:p>
      <w:pPr>
        <w:keepNext w:val="0"/>
        <w:keepLines w:val="0"/>
        <w:pageBreakBefore w:val="0"/>
        <w:widowControl w:val="0"/>
        <w:suppressAutoHyphens/>
        <w:kinsoku/>
        <w:wordWrap/>
        <w:overflowPunct/>
        <w:topLinePunct w:val="0"/>
        <w:autoSpaceDE/>
        <w:autoSpaceDN/>
        <w:bidi w:val="0"/>
        <w:adjustRightInd/>
        <w:snapToGrid/>
        <w:spacing w:line="560" w:lineRule="exact"/>
        <w:ind w:firstLineChars="200" w:firstLine="640"/>
        <w:textAlignment w:val="auto"/>
        <w:outlineLvl w:val="1"/>
        <w:rPr>
          <w:rStyle w:val="2Char"/>
          <w:rFonts w:ascii="黑体" w:eastAsia="黑体"/>
          <w:b w:val="0"/>
          <w:color w:val="auto"/>
          <w:highlight w:val="auto"/>
        </w:rPr>
      </w:pPr>
      <w:bookmarkStart w:id="25" w:name="_Toc7447"/>
      <w:bookmarkStart w:id="26" w:name="_Toc15396606"/>
      <w:bookmarkStart w:id="27" w:name="_Toc15377208"/>
      <w:r>
        <w:rPr>
          <w:rFonts w:ascii="黑体" w:eastAsia="黑体" w:hint="eastAsia"/>
          <w:color w:val="auto"/>
          <w:sz w:val="32"/>
          <w:szCs w:val="32"/>
          <w:highlight w:val="auto"/>
        </w:rPr>
        <w:t>四、财</w:t>
      </w:r>
      <w:r>
        <w:rPr>
          <w:rStyle w:val="2Char"/>
          <w:rFonts w:ascii="黑体" w:eastAsia="黑体" w:hint="eastAsia"/>
          <w:b w:val="0"/>
          <w:color w:val="auto"/>
          <w:highlight w:val="auto"/>
        </w:rPr>
        <w:t>政拨款收入支出决算总体情况说明</w:t>
      </w:r>
      <w:bookmarkEnd w:id="25"/>
      <w:bookmarkEnd w:id="26"/>
      <w:bookmarkEnd w:id="27"/>
    </w:p>
    <w:p>
      <w:pPr>
        <w:keepNext w:val="0"/>
        <w:keepLines w:val="0"/>
        <w:pageBreakBefore w:val="0"/>
        <w:widowControl w:val="0"/>
        <w:suppressAutoHyphens/>
        <w:kinsoku/>
        <w:wordWrap/>
        <w:overflowPunct/>
        <w:topLinePunct w:val="0"/>
        <w:autoSpaceDE/>
        <w:autoSpaceDN/>
        <w:bidi w:val="0"/>
        <w:adjustRightInd/>
        <w:snapToGrid/>
        <w:spacing w:line="560" w:lineRule="exact"/>
        <w:ind w:firstLineChars="200" w:firstLine="640"/>
        <w:textAlignment w:val="auto"/>
        <w:rPr>
          <w:rFonts w:ascii="仿宋" w:eastAsia="仿宋" w:hint="eastAsia"/>
          <w:color w:val="auto"/>
          <w:sz w:val="32"/>
          <w:szCs w:val="32"/>
          <w:lang w:eastAsia="zh-CN"/>
          <w:highlight w:val="auto"/>
        </w:rPr>
      </w:pPr>
      <w:r>
        <w:rPr>
          <w:rFonts w:ascii="仿宋_GB2312" w:eastAsia="仿宋_GB2312" w:cs="仿宋_GB2312" w:hint="eastAsia"/>
          <w:color w:val="auto"/>
          <w:sz w:val="32"/>
          <w:szCs w:val="32"/>
          <w:lang w:eastAsia="zh-CN"/>
          <w:highlight w:val="auto"/>
        </w:rPr>
        <w:t>202</w:t>
      </w:r>
      <w:r>
        <w:rPr>
          <w:rFonts w:ascii="仿宋_GB2312" w:eastAsia="仿宋_GB2312" w:cs="仿宋_GB2312" w:hint="eastAsia"/>
          <w:color w:val="auto"/>
          <w:sz w:val="32"/>
          <w:szCs w:val="32"/>
          <w:lang w:val="en-US" w:eastAsia="zh-CN"/>
          <w:highlight w:val="auto"/>
        </w:rPr>
        <w:t>5</w:t>
      </w:r>
      <w:r>
        <w:rPr>
          <w:rFonts w:ascii="仿宋_GB2312" w:eastAsia="仿宋_GB2312" w:cs="仿宋_GB2312" w:hint="eastAsia"/>
          <w:color w:val="auto"/>
          <w:sz w:val="32"/>
          <w:szCs w:val="32"/>
          <w:highlight w:val="auto"/>
        </w:rPr>
        <w:t>年</w:t>
      </w:r>
      <w:r>
        <w:rPr>
          <w:rFonts w:ascii="仿宋_GB2312" w:eastAsia="仿宋_GB2312" w:cs="仿宋_GB2312" w:hint="eastAsia"/>
          <w:color w:val="auto"/>
          <w:sz w:val="32"/>
          <w:szCs w:val="32"/>
          <w:lang w:eastAsia="zh-CN"/>
          <w:highlight w:val="auto"/>
        </w:rPr>
        <w:t>度</w:t>
      </w:r>
      <w:r>
        <w:rPr>
          <w:rFonts w:ascii="仿宋_GB2312" w:eastAsia="仿宋_GB2312" w:cs="仿宋_GB2312" w:hint="eastAsia"/>
          <w:color w:val="auto"/>
          <w:sz w:val="32"/>
          <w:szCs w:val="32"/>
          <w:highlight w:val="auto"/>
        </w:rPr>
        <w:t>财政拨款收、支总计</w:t>
      </w:r>
      <w:r>
        <w:rPr>
          <w:rFonts w:ascii="仿宋_GB2312" w:eastAsia="仿宋_GB2312" w:cs="仿宋_GB2312" w:hint="eastAsia"/>
          <w:color w:val="auto"/>
          <w:sz w:val="32"/>
          <w:szCs w:val="32"/>
          <w:lang w:eastAsia="zh-CN"/>
          <w:highlight w:val="auto"/>
        </w:rPr>
        <w:t>均为8</w:t>
      </w:r>
      <w:r>
        <w:rPr>
          <w:rFonts w:ascii="仿宋_GB2312" w:eastAsia="仿宋_GB2312" w:cs="仿宋_GB2312" w:hint="eastAsia"/>
          <w:sz w:val="32"/>
          <w:szCs w:val="32"/>
          <w:lang w:val="en-US" w:eastAsia="zh-CN"/>
        </w:rPr>
        <w:t>,</w:t>
      </w:r>
      <w:r>
        <w:rPr>
          <w:rFonts w:ascii="仿宋_GB2312" w:eastAsia="仿宋_GB2312" w:cs="仿宋_GB2312" w:hint="eastAsia"/>
          <w:color w:val="auto"/>
          <w:sz w:val="32"/>
          <w:szCs w:val="32"/>
          <w:lang w:eastAsia="zh-CN"/>
          <w:highlight w:val="auto"/>
        </w:rPr>
        <w:t>599.22</w:t>
      </w:r>
      <w:r>
        <w:rPr>
          <w:rFonts w:ascii="仿宋_GB2312" w:eastAsia="仿宋_GB2312" w:cs="仿宋_GB2312" w:hint="eastAsia"/>
          <w:color w:val="auto"/>
          <w:sz w:val="32"/>
          <w:szCs w:val="32"/>
          <w:highlight w:val="auto"/>
        </w:rPr>
        <w:t>万元。与</w:t>
      </w:r>
      <w:r>
        <w:rPr>
          <w:rFonts w:ascii="仿宋_GB2312" w:eastAsia="仿宋_GB2312" w:cs="仿宋_GB2312" w:hint="eastAsia"/>
          <w:color w:val="auto"/>
          <w:sz w:val="32"/>
          <w:szCs w:val="32"/>
          <w:lang w:eastAsia="zh-CN"/>
          <w:highlight w:val="auto"/>
        </w:rPr>
        <w:t>202</w:t>
      </w:r>
      <w:r>
        <w:rPr>
          <w:rFonts w:ascii="仿宋_GB2312" w:eastAsia="仿宋_GB2312" w:cs="仿宋_GB2312" w:hint="eastAsia"/>
          <w:color w:val="auto"/>
          <w:sz w:val="32"/>
          <w:szCs w:val="32"/>
          <w:lang w:val="en-US" w:eastAsia="zh-CN"/>
          <w:highlight w:val="auto"/>
        </w:rPr>
        <w:t>4</w:t>
      </w:r>
      <w:r>
        <w:rPr>
          <w:rFonts w:ascii="仿宋_GB2312" w:eastAsia="仿宋_GB2312" w:cs="仿宋_GB2312" w:hint="eastAsia"/>
          <w:color w:val="auto"/>
          <w:sz w:val="32"/>
          <w:szCs w:val="32"/>
          <w:highlight w:val="auto"/>
        </w:rPr>
        <w:t>年</w:t>
      </w:r>
      <w:r>
        <w:rPr>
          <w:rFonts w:ascii="仿宋_GB2312" w:eastAsia="仿宋_GB2312" w:cs="仿宋_GB2312" w:hint="eastAsia"/>
          <w:color w:val="auto"/>
          <w:sz w:val="32"/>
          <w:szCs w:val="32"/>
          <w:lang w:eastAsia="zh-CN"/>
          <w:highlight w:val="auto"/>
        </w:rPr>
        <w:t>度</w:t>
      </w:r>
      <w:r>
        <w:rPr>
          <w:rFonts w:ascii="仿宋_GB2312" w:eastAsia="仿宋_GB2312" w:cs="仿宋_GB2312" w:hint="eastAsia"/>
          <w:color w:val="auto"/>
          <w:sz w:val="32"/>
          <w:szCs w:val="32"/>
          <w:highlight w:val="auto"/>
        </w:rPr>
        <w:t>相比，财政拨款收、支总计各</w:t>
      </w:r>
      <w:r>
        <w:rPr>
          <w:rFonts w:ascii="仿宋_GB2312" w:eastAsia="仿宋_GB2312" w:cs="仿宋_GB2312" w:hint="eastAsia"/>
          <w:color w:val="auto"/>
          <w:sz w:val="32"/>
          <w:szCs w:val="32"/>
          <w:lang w:eastAsia="zh-CN"/>
          <w:highlight w:val="auto"/>
        </w:rPr>
        <w:t>增加</w:t>
      </w:r>
      <w:r>
        <w:rPr>
          <w:rFonts w:ascii="仿宋_GB2312" w:eastAsia="仿宋_GB2312" w:cs="仿宋_GB2312" w:hint="eastAsia"/>
          <w:color w:val="auto"/>
          <w:sz w:val="32"/>
          <w:szCs w:val="32"/>
          <w:lang w:val="en-US" w:eastAsia="zh-CN"/>
          <w:highlight w:val="auto"/>
        </w:rPr>
        <w:t>896.78</w:t>
      </w:r>
      <w:r>
        <w:rPr>
          <w:rFonts w:ascii="仿宋_GB2312" w:eastAsia="仿宋_GB2312" w:cs="仿宋_GB2312" w:hint="eastAsia"/>
          <w:color w:val="auto"/>
          <w:sz w:val="32"/>
          <w:szCs w:val="32"/>
          <w:highlight w:val="auto"/>
        </w:rPr>
        <w:t>万元，</w:t>
      </w:r>
      <w:r>
        <w:rPr>
          <w:rFonts w:ascii="仿宋_GB2312" w:eastAsia="仿宋_GB2312" w:cs="仿宋_GB2312" w:hint="eastAsia"/>
          <w:color w:val="auto"/>
          <w:sz w:val="32"/>
          <w:szCs w:val="32"/>
          <w:lang w:eastAsia="zh-CN"/>
          <w:highlight w:val="auto"/>
        </w:rPr>
        <w:t>增</w:t>
      </w:r>
      <w:r>
        <w:rPr>
          <w:rFonts w:ascii="仿宋_GB2312" w:eastAsia="仿宋_GB2312" w:cs="仿宋_GB2312" w:hint="eastAsia"/>
          <w:color w:val="auto"/>
          <w:sz w:val="32"/>
          <w:szCs w:val="32"/>
          <w:lang w:val="en-US" w:eastAsia="zh-CN"/>
          <w:highlight w:val="auto"/>
        </w:rPr>
        <w:t>长11.6</w:t>
      </w:r>
      <w:r>
        <w:rPr>
          <w:rFonts w:ascii="仿宋_GB2312" w:eastAsia="仿宋_GB2312" w:cs="仿宋_GB2312" w:hint="eastAsia"/>
          <w:color w:val="auto"/>
          <w:sz w:val="32"/>
          <w:szCs w:val="32"/>
          <w:highlight w:val="auto"/>
        </w:rPr>
        <w:t>%。主要变动原因是</w:t>
      </w:r>
      <w:r>
        <w:rPr>
          <w:rFonts w:ascii="仿宋_GB2312" w:eastAsia="仿宋_GB2312" w:cs="仿宋_GB2312" w:hint="eastAsia"/>
          <w:color w:val="auto"/>
          <w:sz w:val="32"/>
          <w:szCs w:val="32"/>
          <w:lang w:eastAsia="zh-CN"/>
          <w:highlight w:val="auto"/>
        </w:rPr>
        <w:t>：</w:t>
      </w:r>
      <w:r>
        <w:rPr>
          <w:rFonts w:ascii="仿宋_GB2312" w:eastAsia="仿宋_GB2312" w:cs="仿宋_GB2312" w:hint="eastAsia"/>
          <w:sz w:val="32"/>
          <w:szCs w:val="32"/>
          <w:lang w:eastAsia="zh-CN"/>
        </w:rPr>
        <w:t>在职人员</w:t>
      </w:r>
      <w:r>
        <w:rPr>
          <w:rFonts w:ascii="仿宋_GB2312" w:eastAsia="仿宋_GB2312" w:cs="Times New Roman" w:hint="eastAsia"/>
          <w:color w:val="000000"/>
          <w:sz w:val="32"/>
          <w:szCs w:val="32"/>
          <w:lang w:eastAsia="zh-CN"/>
        </w:rPr>
        <w:t>工资调增、五险一金基数调增，辅警经费支出增加，业务增加等</w:t>
      </w:r>
      <w:r>
        <w:rPr>
          <w:rFonts w:ascii="仿宋_GB2312" w:eastAsia="仿宋_GB2312" w:cs="仿宋_GB2312" w:hint="eastAsia"/>
          <w:color w:val="auto"/>
          <w:sz w:val="32"/>
          <w:szCs w:val="32"/>
          <w:lang w:eastAsia="zh-CN"/>
          <w:highlight w:val="auto"/>
        </w:rPr>
        <w:t>。</w:t>
      </w:r>
    </w:p>
    <w:p>
      <w:pPr>
        <w:pStyle w:val="23"/>
        <w:jc w:val="center"/>
        <w:rPr>
          <w:rFonts w:ascii="仿宋" w:eastAsia="仿宋" w:hint="eastAsia"/>
          <w:b/>
          <w:color w:val="auto"/>
          <w:sz w:val="32"/>
          <w:szCs w:val="32"/>
          <w:lang w:eastAsia="zh-CN"/>
          <w:highlight w:val="auto"/>
        </w:rPr>
      </w:pPr>
      <w:r>
        <w:rPr>
          <w:rFonts w:ascii="仿宋_GB2312" w:eastAsia="仿宋_GB2312"/>
          <w:color w:val="auto"/>
          <w:sz w:val="32"/>
          <w:szCs w:val="32"/>
          <w:highlight w:val="auto"/>
        </w:rPr>
        <w:drawing>
          <wp:inline distT="0" distB="0" distL="114300" distR="114300">
            <wp:extent cx="5256530" cy="2988310"/>
            <wp:effectExtent l="14288" t="14288" r="14333" b="14304"/>
            <wp:docPr id="12" name="图表 1" descr="7b0a202020202263686172745265734964223a20223530303533343239220a7d0a"/>
            <wp:cNvGraphicFramePr>
              <a:graphicFrameLocks noChangeAspect="0"/>
            </wp:cNvGraphicFramePr>
            <a:graphic>
              <a:graphicData uri="http://schemas.openxmlformats.org/drawingml/2006/picture">
                <pic:pic>
                  <pic:nvPicPr>
                    <pic:cNvPr id="14" name="图表 1 14"/>
                    <pic:cNvPicPr/>
                  </pic:nvPicPr>
                  <pic:blipFill>
                    <a:blip r:embed="rId7"/>
                    <a:stretch>
                      <a:fillRect/>
                    </a:stretch>
                  </pic:blipFill>
                  <pic:spPr>
                    <a:xfrm rot="0">
                      <a:off x="0" y="0"/>
                      <a:ext cx="5256530" cy="2988310"/>
                    </a:xfrm>
                    <a:prstGeom prst="rect"/>
                    <a:noFill/>
                    <a:ln w="9525" cmpd="sng" cap="flat">
                      <a:solidFill>
                        <a:srgbClr val="000000"/>
                      </a:solidFill>
                      <a:prstDash val="solid"/>
                      <a:miter/>
                    </a:ln>
                  </pic:spPr>
                </pic:pic>
              </a:graphicData>
            </a:graphic>
          </wp:inline>
        </w:drawing>
      </w:r>
    </w:p>
    <w:p>
      <w:pPr>
        <w:keepNext w:val="0"/>
        <w:keepLines w:val="0"/>
        <w:pageBreakBefore w:val="0"/>
        <w:widowControl w:val="0"/>
        <w:suppressAutoHyphens/>
        <w:kinsoku/>
        <w:wordWrap/>
        <w:overflowPunct/>
        <w:topLinePunct w:val="0"/>
        <w:autoSpaceDE/>
        <w:autoSpaceDN/>
        <w:bidi w:val="0"/>
        <w:adjustRightInd/>
        <w:snapToGrid/>
        <w:spacing w:line="560" w:lineRule="exact"/>
        <w:ind w:firstLineChars="200" w:firstLine="640"/>
        <w:textAlignment w:val="auto"/>
        <w:outlineLvl w:val="1"/>
        <w:rPr>
          <w:rStyle w:val="2Char"/>
          <w:rFonts w:ascii="黑体" w:eastAsia="黑体"/>
          <w:b w:val="0"/>
          <w:color w:val="auto"/>
          <w:highlight w:val="auto"/>
        </w:rPr>
      </w:pPr>
      <w:bookmarkStart w:id="28" w:name="_Toc15377209"/>
      <w:bookmarkStart w:id="29" w:name="_Toc15396607"/>
      <w:bookmarkStart w:id="30" w:name="_Toc2437"/>
      <w:r>
        <w:rPr>
          <w:rFonts w:ascii="黑体" w:eastAsia="黑体" w:hint="eastAsia"/>
          <w:color w:val="auto"/>
          <w:sz w:val="32"/>
          <w:szCs w:val="32"/>
          <w:highlight w:val="auto"/>
        </w:rPr>
        <w:t>五、</w:t>
      </w:r>
      <w:r>
        <w:rPr>
          <w:rFonts w:ascii="黑体" w:eastAsia="黑体" w:hint="eastAsia"/>
          <w:b/>
          <w:color w:val="auto"/>
          <w:sz w:val="32"/>
          <w:szCs w:val="32"/>
          <w:highlight w:val="auto"/>
        </w:rPr>
        <w:t>一</w:t>
      </w:r>
      <w:r>
        <w:rPr>
          <w:rStyle w:val="2Char"/>
          <w:rFonts w:ascii="黑体" w:eastAsia="黑体" w:hint="eastAsia"/>
          <w:b w:val="0"/>
          <w:color w:val="auto"/>
          <w:highlight w:val="auto"/>
        </w:rPr>
        <w:t>般公共预算财政拨款支出决算情况说明</w:t>
      </w:r>
      <w:bookmarkEnd w:id="28"/>
      <w:bookmarkEnd w:id="29"/>
      <w:bookmarkEnd w:id="30"/>
    </w:p>
    <w:p>
      <w:pPr>
        <w:keepNext w:val="0"/>
        <w:keepLines w:val="0"/>
        <w:pageBreakBefore w:val="0"/>
        <w:widowControl w:val="0"/>
        <w:suppressAutoHyphens/>
        <w:kinsoku/>
        <w:wordWrap/>
        <w:overflowPunct/>
        <w:topLinePunct w:val="0"/>
        <w:autoSpaceDE/>
        <w:autoSpaceDN/>
        <w:bidi w:val="0"/>
        <w:adjustRightInd/>
        <w:snapToGrid/>
        <w:spacing w:line="560" w:lineRule="exact"/>
        <w:ind w:firstLineChars="200" w:firstLine="640"/>
        <w:textAlignment w:val="auto"/>
        <w:outlineLvl w:val="2"/>
        <w:rPr>
          <w:rFonts w:ascii="楷体_GB2312" w:eastAsia="楷体_GB2312" w:cs="楷体_GB2312" w:hint="eastAsia"/>
          <w:b/>
          <w:color w:val="auto"/>
          <w:sz w:val="32"/>
          <w:szCs w:val="32"/>
          <w:highlight w:val="auto"/>
        </w:rPr>
      </w:pPr>
      <w:bookmarkStart w:id="31" w:name="_Toc15377210"/>
      <w:r>
        <w:rPr>
          <w:rFonts w:ascii="楷体_GB2312" w:eastAsia="楷体_GB2312" w:cs="楷体_GB2312" w:hint="eastAsia"/>
          <w:b/>
          <w:color w:val="auto"/>
          <w:sz w:val="32"/>
          <w:szCs w:val="32"/>
          <w:highlight w:val="auto"/>
        </w:rPr>
        <w:t>（一）一般公共预算财政拨款支出决算总体情况</w:t>
      </w:r>
      <w:bookmarkEnd w:id="31"/>
    </w:p>
    <w:p>
      <w:pPr>
        <w:keepNext w:val="0"/>
        <w:keepLines w:val="0"/>
        <w:pageBreakBefore w:val="0"/>
        <w:widowControl w:val="0"/>
        <w:suppressAutoHyphens/>
        <w:kinsoku/>
        <w:wordWrap/>
        <w:overflowPunct/>
        <w:topLinePunct w:val="0"/>
        <w:autoSpaceDE/>
        <w:autoSpaceDN/>
        <w:bidi w:val="0"/>
        <w:adjustRightInd/>
        <w:snapToGrid/>
        <w:spacing w:line="560" w:lineRule="exact"/>
        <w:ind w:firstLineChars="200" w:firstLine="640"/>
        <w:textAlignment w:val="auto"/>
        <w:rPr>
          <w:rFonts w:hint="eastAsia"/>
          <w:lang w:eastAsia="zh-CN"/>
        </w:rPr>
      </w:pPr>
      <w:r>
        <w:rPr>
          <w:rFonts w:ascii="仿宋_GB2312" w:eastAsia="仿宋_GB2312" w:cs="仿宋_GB2312" w:hint="eastAsia"/>
          <w:color w:val="auto"/>
          <w:sz w:val="32"/>
          <w:szCs w:val="32"/>
          <w:lang w:eastAsia="zh-CN"/>
          <w:highlight w:val="auto"/>
        </w:rPr>
        <w:t>202</w:t>
      </w:r>
      <w:r>
        <w:rPr>
          <w:rFonts w:ascii="仿宋_GB2312" w:eastAsia="仿宋_GB2312" w:cs="仿宋_GB2312" w:hint="eastAsia"/>
          <w:color w:val="auto"/>
          <w:sz w:val="32"/>
          <w:szCs w:val="32"/>
          <w:lang w:val="en-US" w:eastAsia="zh-CN"/>
          <w:highlight w:val="auto"/>
        </w:rPr>
        <w:t>5</w:t>
      </w:r>
      <w:r>
        <w:rPr>
          <w:rFonts w:ascii="仿宋_GB2312" w:eastAsia="仿宋_GB2312" w:cs="仿宋_GB2312" w:hint="eastAsia"/>
          <w:color w:val="auto"/>
          <w:sz w:val="32"/>
          <w:szCs w:val="32"/>
          <w:highlight w:val="auto"/>
        </w:rPr>
        <w:t>年</w:t>
      </w:r>
      <w:r>
        <w:rPr>
          <w:rFonts w:ascii="仿宋_GB2312" w:eastAsia="仿宋_GB2312" w:cs="仿宋_GB2312" w:hint="eastAsia"/>
          <w:color w:val="auto"/>
          <w:sz w:val="32"/>
          <w:szCs w:val="32"/>
          <w:lang w:eastAsia="zh-CN"/>
          <w:highlight w:val="auto"/>
        </w:rPr>
        <w:t>度</w:t>
      </w:r>
      <w:r>
        <w:rPr>
          <w:rFonts w:ascii="仿宋_GB2312" w:eastAsia="仿宋_GB2312" w:cs="仿宋_GB2312" w:hint="eastAsia"/>
          <w:color w:val="auto"/>
          <w:sz w:val="32"/>
          <w:szCs w:val="32"/>
          <w:highlight w:val="auto"/>
        </w:rPr>
        <w:t>一般公共预算财政拨款支出</w:t>
      </w:r>
      <w:r>
        <w:rPr>
          <w:rFonts w:ascii="仿宋_GB2312" w:eastAsia="仿宋_GB2312" w:cs="仿宋_GB2312" w:hint="eastAsia"/>
          <w:color w:val="auto"/>
          <w:sz w:val="32"/>
          <w:szCs w:val="32"/>
          <w:lang w:eastAsia="zh-CN"/>
          <w:highlight w:val="auto"/>
        </w:rPr>
        <w:t>8</w:t>
      </w:r>
      <w:r>
        <w:rPr>
          <w:rFonts w:ascii="仿宋_GB2312" w:eastAsia="仿宋_GB2312" w:cs="仿宋_GB2312" w:hint="eastAsia"/>
          <w:sz w:val="32"/>
          <w:szCs w:val="32"/>
          <w:lang w:val="en-US" w:eastAsia="zh-CN"/>
        </w:rPr>
        <w:t>,</w:t>
      </w:r>
      <w:r>
        <w:rPr>
          <w:rFonts w:ascii="仿宋_GB2312" w:eastAsia="仿宋_GB2312" w:cs="仿宋_GB2312" w:hint="eastAsia"/>
          <w:color w:val="auto"/>
          <w:sz w:val="32"/>
          <w:szCs w:val="32"/>
          <w:lang w:eastAsia="zh-CN"/>
          <w:highlight w:val="auto"/>
        </w:rPr>
        <w:t>599.22</w:t>
      </w:r>
      <w:r>
        <w:rPr>
          <w:rFonts w:ascii="仿宋_GB2312" w:eastAsia="仿宋_GB2312" w:cs="仿宋_GB2312" w:hint="eastAsia"/>
          <w:color w:val="auto"/>
          <w:sz w:val="32"/>
          <w:szCs w:val="32"/>
          <w:highlight w:val="auto"/>
        </w:rPr>
        <w:t>万元，占本年支出合计的</w:t>
      </w:r>
      <w:r>
        <w:rPr>
          <w:rFonts w:ascii="仿宋_GB2312" w:eastAsia="仿宋_GB2312" w:cs="仿宋_GB2312" w:hint="eastAsia"/>
          <w:color w:val="auto"/>
          <w:sz w:val="32"/>
          <w:szCs w:val="32"/>
          <w:lang w:val="en-US" w:eastAsia="zh-CN"/>
          <w:highlight w:val="auto"/>
        </w:rPr>
        <w:t>99.9</w:t>
      </w:r>
      <w:r>
        <w:rPr>
          <w:rFonts w:ascii="仿宋_GB2312" w:eastAsia="仿宋_GB2312" w:cs="仿宋_GB2312" w:hint="eastAsia"/>
          <w:color w:val="auto"/>
          <w:sz w:val="32"/>
          <w:szCs w:val="32"/>
          <w:highlight w:val="auto"/>
        </w:rPr>
        <w:t>%。与</w:t>
      </w:r>
      <w:r>
        <w:rPr>
          <w:rFonts w:ascii="仿宋_GB2312" w:eastAsia="仿宋_GB2312" w:cs="仿宋_GB2312" w:hint="eastAsia"/>
          <w:color w:val="auto"/>
          <w:sz w:val="32"/>
          <w:szCs w:val="32"/>
          <w:lang w:eastAsia="zh-CN"/>
          <w:highlight w:val="auto"/>
        </w:rPr>
        <w:t>202</w:t>
      </w:r>
      <w:r>
        <w:rPr>
          <w:rFonts w:ascii="仿宋_GB2312" w:eastAsia="仿宋_GB2312" w:cs="仿宋_GB2312" w:hint="eastAsia"/>
          <w:color w:val="auto"/>
          <w:sz w:val="32"/>
          <w:szCs w:val="32"/>
          <w:lang w:val="en-US" w:eastAsia="zh-CN"/>
          <w:highlight w:val="auto"/>
        </w:rPr>
        <w:t>4</w:t>
      </w:r>
      <w:r>
        <w:rPr>
          <w:rFonts w:ascii="仿宋_GB2312" w:eastAsia="仿宋_GB2312" w:cs="仿宋_GB2312" w:hint="eastAsia"/>
          <w:color w:val="auto"/>
          <w:sz w:val="32"/>
          <w:szCs w:val="32"/>
          <w:highlight w:val="auto"/>
        </w:rPr>
        <w:t>年</w:t>
      </w:r>
      <w:r>
        <w:rPr>
          <w:rFonts w:ascii="仿宋_GB2312" w:eastAsia="仿宋_GB2312" w:cs="仿宋_GB2312" w:hint="eastAsia"/>
          <w:color w:val="auto"/>
          <w:sz w:val="32"/>
          <w:szCs w:val="32"/>
          <w:lang w:eastAsia="zh-CN"/>
          <w:highlight w:val="auto"/>
        </w:rPr>
        <w:t>度</w:t>
      </w:r>
      <w:r>
        <w:rPr>
          <w:rFonts w:ascii="仿宋_GB2312" w:eastAsia="仿宋_GB2312" w:cs="仿宋_GB2312" w:hint="eastAsia"/>
          <w:color w:val="auto"/>
          <w:sz w:val="32"/>
          <w:szCs w:val="32"/>
          <w:highlight w:val="auto"/>
        </w:rPr>
        <w:t>相比，一般公共预算财政拨款</w:t>
      </w:r>
      <w:r>
        <w:rPr>
          <w:rFonts w:ascii="仿宋_GB2312" w:eastAsia="仿宋_GB2312" w:cs="仿宋_GB2312" w:hint="eastAsia"/>
          <w:color w:val="auto"/>
          <w:sz w:val="32"/>
          <w:szCs w:val="32"/>
          <w:lang w:eastAsia="zh-CN"/>
          <w:highlight w:val="auto"/>
        </w:rPr>
        <w:t>支出增加</w:t>
      </w:r>
      <w:r>
        <w:rPr>
          <w:rFonts w:ascii="仿宋_GB2312" w:eastAsia="仿宋_GB2312" w:cs="仿宋_GB2312" w:hint="eastAsia"/>
          <w:color w:val="auto"/>
          <w:sz w:val="32"/>
          <w:szCs w:val="32"/>
          <w:lang w:val="en-US" w:eastAsia="zh-CN"/>
          <w:highlight w:val="auto"/>
        </w:rPr>
        <w:t>896.78</w:t>
      </w:r>
      <w:r>
        <w:rPr>
          <w:rFonts w:ascii="仿宋_GB2312" w:eastAsia="仿宋_GB2312" w:cs="仿宋_GB2312" w:hint="eastAsia"/>
          <w:color w:val="auto"/>
          <w:sz w:val="32"/>
          <w:szCs w:val="32"/>
          <w:highlight w:val="auto"/>
        </w:rPr>
        <w:t>万元，</w:t>
      </w:r>
      <w:r>
        <w:rPr>
          <w:rFonts w:ascii="仿宋_GB2312" w:eastAsia="仿宋_GB2312" w:cs="仿宋_GB2312" w:hint="eastAsia"/>
          <w:color w:val="auto"/>
          <w:sz w:val="32"/>
          <w:szCs w:val="32"/>
          <w:lang w:eastAsia="zh-CN"/>
          <w:highlight w:val="auto"/>
        </w:rPr>
        <w:t>增</w:t>
      </w:r>
      <w:r>
        <w:rPr>
          <w:rFonts w:ascii="仿宋_GB2312" w:eastAsia="仿宋_GB2312" w:cs="仿宋_GB2312" w:hint="eastAsia"/>
          <w:color w:val="auto"/>
          <w:sz w:val="32"/>
          <w:szCs w:val="32"/>
          <w:lang w:val="en-US" w:eastAsia="zh-CN"/>
          <w:highlight w:val="auto"/>
        </w:rPr>
        <w:t>长11.6</w:t>
      </w:r>
      <w:r>
        <w:rPr>
          <w:rFonts w:ascii="仿宋_GB2312" w:eastAsia="仿宋_GB2312" w:cs="仿宋_GB2312" w:hint="eastAsia"/>
          <w:color w:val="auto"/>
          <w:sz w:val="32"/>
          <w:szCs w:val="32"/>
          <w:highlight w:val="auto"/>
        </w:rPr>
        <w:t>%。主要变动原因是</w:t>
      </w:r>
      <w:r>
        <w:rPr>
          <w:rFonts w:ascii="仿宋_GB2312" w:eastAsia="仿宋_GB2312" w:cs="仿宋_GB2312" w:hint="eastAsia"/>
          <w:color w:val="auto"/>
          <w:sz w:val="32"/>
          <w:szCs w:val="32"/>
          <w:lang w:eastAsia="zh-CN"/>
          <w:highlight w:val="auto"/>
        </w:rPr>
        <w:t>：</w:t>
      </w:r>
      <w:r>
        <w:rPr>
          <w:rFonts w:ascii="仿宋_GB2312" w:eastAsia="仿宋_GB2312" w:cs="仿宋_GB2312" w:hint="eastAsia"/>
          <w:sz w:val="32"/>
          <w:szCs w:val="32"/>
          <w:lang w:eastAsia="zh-CN"/>
        </w:rPr>
        <w:t>在职人员</w:t>
      </w:r>
      <w:r>
        <w:rPr>
          <w:rFonts w:ascii="仿宋_GB2312" w:eastAsia="仿宋_GB2312" w:cs="Times New Roman" w:hint="eastAsia"/>
          <w:color w:val="000000"/>
          <w:sz w:val="32"/>
          <w:szCs w:val="32"/>
          <w:lang w:eastAsia="zh-CN"/>
        </w:rPr>
        <w:t>工资调增、五险一金基数调增，辅警经费支出增加，业务增加等</w:t>
      </w:r>
      <w:r>
        <w:rPr>
          <w:rFonts w:ascii="仿宋_GB2312" w:eastAsia="仿宋_GB2312" w:cs="仿宋_GB2312" w:hint="eastAsia"/>
          <w:color w:val="auto"/>
          <w:sz w:val="32"/>
          <w:szCs w:val="32"/>
          <w:lang w:eastAsia="zh-CN"/>
          <w:highlight w:val="auto"/>
        </w:rPr>
        <w:t>。</w:t>
      </w:r>
    </w:p>
    <w:p>
      <w:pPr>
        <w:spacing w:line="600" w:lineRule="exact"/>
        <w:ind w:firstLineChars="200" w:firstLine="640"/>
        <w:rPr>
          <w:rFonts w:ascii="仿宋" w:eastAsia="仿宋"/>
          <w:color w:val="auto"/>
          <w:sz w:val="32"/>
          <w:szCs w:val="32"/>
          <w:highlight w:val="auto"/>
        </w:rPr>
      </w:pPr>
    </w:p>
    <w:p>
      <w:pPr>
        <w:pStyle w:val="15"/>
        <w:jc w:val="center"/>
        <w:rPr>
          <w:rFonts w:ascii="仿宋" w:eastAsia="仿宋"/>
          <w:color w:val="auto"/>
          <w:sz w:val="32"/>
          <w:szCs w:val="32"/>
          <w:highlight w:val="auto"/>
        </w:rPr>
      </w:pPr>
      <w:r>
        <w:rPr>
          <w:rFonts w:ascii="仿宋_GB2312" w:eastAsia="仿宋_GB2312"/>
          <w:color w:val="auto"/>
          <w:sz w:val="32"/>
          <w:szCs w:val="32"/>
          <w:highlight w:val="auto"/>
        </w:rPr>
        <w:drawing>
          <wp:inline distT="0" distB="0" distL="114300" distR="114300">
            <wp:extent cx="5256530" cy="2988310"/>
            <wp:effectExtent l="14288" t="14288" r="14333" b="14304"/>
            <wp:docPr id="15" name="图表 3" descr="7b0a202020202263686172745265734964223a20223530303533343239220a7d0a"/>
            <wp:cNvGraphicFramePr>
              <a:graphicFrameLocks noChangeAspect="0"/>
            </wp:cNvGraphicFramePr>
            <a:graphic>
              <a:graphicData uri="http://schemas.openxmlformats.org/drawingml/2006/picture">
                <pic:pic>
                  <pic:nvPicPr>
                    <pic:cNvPr id="17" name="图表 3 17"/>
                    <pic:cNvPicPr/>
                  </pic:nvPicPr>
                  <pic:blipFill>
                    <a:blip r:embed="rId8"/>
                    <a:stretch>
                      <a:fillRect/>
                    </a:stretch>
                  </pic:blipFill>
                  <pic:spPr>
                    <a:xfrm rot="0">
                      <a:off x="0" y="0"/>
                      <a:ext cx="5256530" cy="2988310"/>
                    </a:xfrm>
                    <a:prstGeom prst="rect"/>
                    <a:noFill/>
                    <a:ln w="9525" cmpd="sng" cap="flat">
                      <a:solidFill>
                        <a:srgbClr val="000000"/>
                      </a:solidFill>
                      <a:prstDash val="solid"/>
                      <a:miter/>
                    </a:ln>
                  </pic:spPr>
                </pic:pic>
              </a:graphicData>
            </a:graphic>
          </wp:inline>
        </w:drawing>
      </w:r>
    </w:p>
    <w:p>
      <w:pPr>
        <w:keepNext w:val="0"/>
        <w:keepLines w:val="0"/>
        <w:pageBreakBefore w:val="0"/>
        <w:widowControl w:val="0"/>
        <w:suppressAutoHyphens/>
        <w:kinsoku/>
        <w:wordWrap/>
        <w:overflowPunct/>
        <w:topLinePunct w:val="0"/>
        <w:autoSpaceDE/>
        <w:autoSpaceDN/>
        <w:bidi w:val="0"/>
        <w:adjustRightInd/>
        <w:snapToGrid/>
        <w:spacing w:line="560" w:lineRule="exact"/>
        <w:ind w:firstLineChars="200" w:firstLine="640"/>
        <w:textAlignment w:val="auto"/>
        <w:outlineLvl w:val="2"/>
        <w:rPr>
          <w:rFonts w:ascii="仿宋" w:eastAsia="仿宋" w:hint="eastAsia"/>
          <w:b/>
          <w:color w:val="auto"/>
          <w:sz w:val="32"/>
          <w:szCs w:val="32"/>
          <w:highlight w:val="auto"/>
        </w:rPr>
      </w:pPr>
      <w:bookmarkStart w:id="32" w:name="_Toc15377211"/>
    </w:p>
    <w:p>
      <w:pPr>
        <w:keepNext w:val="0"/>
        <w:keepLines w:val="0"/>
        <w:pageBreakBefore w:val="0"/>
        <w:widowControl w:val="0"/>
        <w:suppressAutoHyphens/>
        <w:kinsoku/>
        <w:wordWrap/>
        <w:overflowPunct/>
        <w:topLinePunct w:val="0"/>
        <w:autoSpaceDE/>
        <w:autoSpaceDN/>
        <w:bidi w:val="0"/>
        <w:adjustRightInd/>
        <w:snapToGrid/>
        <w:spacing w:line="560" w:lineRule="exact"/>
        <w:ind w:firstLineChars="200" w:firstLine="640"/>
        <w:textAlignment w:val="auto"/>
        <w:outlineLvl w:val="2"/>
        <w:rPr>
          <w:rFonts w:ascii="楷体_GB2312" w:eastAsia="楷体_GB2312" w:cs="楷体_GB2312" w:hint="eastAsia"/>
          <w:b/>
          <w:color w:val="auto"/>
          <w:sz w:val="32"/>
          <w:szCs w:val="32"/>
          <w:highlight w:val="auto"/>
        </w:rPr>
      </w:pPr>
      <w:r>
        <w:rPr>
          <w:rFonts w:ascii="楷体_GB2312" w:eastAsia="楷体_GB2312" w:cs="楷体_GB2312" w:hint="eastAsia"/>
          <w:b/>
          <w:color w:val="auto"/>
          <w:sz w:val="32"/>
          <w:szCs w:val="32"/>
          <w:highlight w:val="auto"/>
        </w:rPr>
        <w:t>（二）一般公共预算财政拨款支出决算结构情况</w:t>
      </w:r>
      <w:bookmarkEnd w:id="32"/>
    </w:p>
    <w:p>
      <w:pPr>
        <w:keepNext w:val="0"/>
        <w:keepLines w:val="0"/>
        <w:pageBreakBefore w:val="0"/>
        <w:widowControl w:val="0"/>
        <w:suppressAutoHyphens/>
        <w:kinsoku/>
        <w:wordWrap/>
        <w:overflowPunct/>
        <w:topLinePunct w:val="0"/>
        <w:autoSpaceDE/>
        <w:autoSpaceDN/>
        <w:bidi w:val="0"/>
        <w:adjustRightInd/>
        <w:snapToGrid/>
        <w:spacing w:line="560" w:lineRule="exact"/>
        <w:ind w:firstLine="640"/>
        <w:textAlignment w:val="auto"/>
        <w:rPr>
          <w:rFonts w:ascii="仿宋" w:eastAsia="仿宋"/>
          <w:color w:val="auto"/>
          <w:sz w:val="32"/>
          <w:szCs w:val="32"/>
          <w:highlight w:val="auto"/>
        </w:rPr>
      </w:pPr>
      <w:r>
        <w:rPr>
          <w:rFonts w:ascii="仿宋_GB2312" w:eastAsia="仿宋_GB2312" w:cs="仿宋_GB2312" w:hint="eastAsia"/>
          <w:color w:val="auto"/>
          <w:sz w:val="32"/>
          <w:szCs w:val="32"/>
          <w:lang w:eastAsia="zh-CN"/>
          <w:highlight w:val="auto"/>
        </w:rPr>
        <w:t>202</w:t>
      </w:r>
      <w:r>
        <w:rPr>
          <w:rFonts w:ascii="仿宋_GB2312" w:eastAsia="仿宋_GB2312" w:cs="仿宋_GB2312" w:hint="eastAsia"/>
          <w:color w:val="auto"/>
          <w:sz w:val="32"/>
          <w:szCs w:val="32"/>
          <w:lang w:val="en-US" w:eastAsia="zh-CN"/>
          <w:highlight w:val="auto"/>
        </w:rPr>
        <w:t>5</w:t>
      </w:r>
      <w:r>
        <w:rPr>
          <w:rFonts w:ascii="仿宋_GB2312" w:eastAsia="仿宋_GB2312" w:cs="仿宋_GB2312" w:hint="eastAsia"/>
          <w:color w:val="auto"/>
          <w:sz w:val="32"/>
          <w:szCs w:val="32"/>
          <w:highlight w:val="auto"/>
        </w:rPr>
        <w:t>年</w:t>
      </w:r>
      <w:r>
        <w:rPr>
          <w:rFonts w:ascii="仿宋_GB2312" w:eastAsia="仿宋_GB2312" w:cs="仿宋_GB2312" w:hint="eastAsia"/>
          <w:color w:val="auto"/>
          <w:sz w:val="32"/>
          <w:szCs w:val="32"/>
          <w:lang w:eastAsia="zh-CN"/>
          <w:highlight w:val="auto"/>
        </w:rPr>
        <w:t>度</w:t>
      </w:r>
      <w:r>
        <w:rPr>
          <w:rFonts w:ascii="仿宋_GB2312" w:eastAsia="仿宋_GB2312" w:cs="仿宋_GB2312" w:hint="eastAsia"/>
          <w:color w:val="auto"/>
          <w:sz w:val="32"/>
          <w:szCs w:val="32"/>
          <w:highlight w:val="auto"/>
        </w:rPr>
        <w:t>一般公共预算财政拨款支出</w:t>
      </w:r>
      <w:r>
        <w:rPr>
          <w:rFonts w:ascii="仿宋_GB2312" w:eastAsia="仿宋_GB2312" w:cs="仿宋_GB2312" w:hint="eastAsia"/>
          <w:color w:val="auto"/>
          <w:sz w:val="32"/>
          <w:szCs w:val="32"/>
          <w:lang w:eastAsia="zh-CN"/>
          <w:highlight w:val="auto"/>
        </w:rPr>
        <w:t>8</w:t>
      </w:r>
      <w:r>
        <w:rPr>
          <w:rFonts w:ascii="仿宋_GB2312" w:eastAsia="仿宋_GB2312" w:cs="仿宋_GB2312" w:hint="eastAsia"/>
          <w:sz w:val="32"/>
          <w:szCs w:val="32"/>
          <w:lang w:val="en-US" w:eastAsia="zh-CN"/>
        </w:rPr>
        <w:t>,</w:t>
      </w:r>
      <w:r>
        <w:rPr>
          <w:rFonts w:ascii="仿宋_GB2312" w:eastAsia="仿宋_GB2312" w:cs="仿宋_GB2312" w:hint="eastAsia"/>
          <w:color w:val="auto"/>
          <w:sz w:val="32"/>
          <w:szCs w:val="32"/>
          <w:lang w:eastAsia="zh-CN"/>
          <w:highlight w:val="auto"/>
        </w:rPr>
        <w:t>599.22</w:t>
      </w:r>
      <w:r>
        <w:rPr>
          <w:rFonts w:ascii="仿宋_GB2312" w:eastAsia="仿宋_GB2312" w:cs="仿宋_GB2312" w:hint="eastAsia"/>
          <w:color w:val="auto"/>
          <w:sz w:val="32"/>
          <w:szCs w:val="32"/>
          <w:highlight w:val="auto"/>
        </w:rPr>
        <w:t>万元，主要用于以下方面:</w:t>
      </w:r>
      <w:r>
        <w:rPr>
          <w:rFonts w:ascii="仿宋_GB2312" w:eastAsia="仿宋_GB2312" w:cs="仿宋_GB2312" w:hint="eastAsia"/>
          <w:b/>
          <w:bCs/>
          <w:color w:val="auto"/>
          <w:sz w:val="32"/>
          <w:szCs w:val="32"/>
          <w:highlight w:val="auto"/>
        </w:rPr>
        <w:t>公共安全（类）支出</w:t>
      </w:r>
      <w:r>
        <w:rPr>
          <w:rFonts w:ascii="仿宋_GB2312" w:eastAsia="仿宋_GB2312" w:cs="仿宋_GB2312" w:hint="eastAsia"/>
          <w:color w:val="auto"/>
          <w:sz w:val="32"/>
          <w:szCs w:val="32"/>
          <w:highlight w:val="auto"/>
        </w:rPr>
        <w:t>7</w:t>
      </w:r>
      <w:r>
        <w:rPr>
          <w:rFonts w:ascii="仿宋_GB2312" w:eastAsia="仿宋_GB2312" w:cs="仿宋_GB2312" w:hint="eastAsia"/>
          <w:sz w:val="32"/>
          <w:szCs w:val="32"/>
          <w:lang w:val="en-US" w:eastAsia="zh-CN"/>
        </w:rPr>
        <w:t>,</w:t>
      </w:r>
      <w:r>
        <w:rPr>
          <w:rFonts w:ascii="仿宋_GB2312" w:eastAsia="仿宋_GB2312" w:cs="仿宋_GB2312" w:hint="eastAsia"/>
          <w:color w:val="auto"/>
          <w:sz w:val="32"/>
          <w:szCs w:val="32"/>
          <w:highlight w:val="auto"/>
        </w:rPr>
        <w:t>337.52万元，占</w:t>
      </w:r>
      <w:r>
        <w:rPr>
          <w:rFonts w:ascii="仿宋_GB2312" w:eastAsia="仿宋_GB2312" w:cs="仿宋_GB2312" w:hint="eastAsia"/>
          <w:color w:val="auto"/>
          <w:sz w:val="32"/>
          <w:szCs w:val="32"/>
          <w:lang w:val="en-US" w:eastAsia="zh-CN"/>
          <w:highlight w:val="auto"/>
        </w:rPr>
        <w:t>85.3</w:t>
      </w:r>
      <w:r>
        <w:rPr>
          <w:rFonts w:ascii="仿宋_GB2312" w:eastAsia="仿宋_GB2312" w:cs="仿宋_GB2312" w:hint="eastAsia"/>
          <w:color w:val="auto"/>
          <w:sz w:val="32"/>
          <w:szCs w:val="32"/>
          <w:highlight w:val="auto"/>
        </w:rPr>
        <w:t>%；</w:t>
      </w:r>
      <w:r>
        <w:rPr>
          <w:rFonts w:ascii="仿宋_GB2312" w:eastAsia="仿宋_GB2312" w:cs="仿宋_GB2312" w:hint="eastAsia"/>
          <w:b/>
          <w:bCs/>
          <w:color w:val="auto"/>
          <w:sz w:val="32"/>
          <w:szCs w:val="32"/>
          <w:highlight w:val="auto"/>
        </w:rPr>
        <w:t>社会保障和就业支出</w:t>
      </w:r>
      <w:r>
        <w:rPr>
          <w:rFonts w:ascii="仿宋_GB2312" w:eastAsia="仿宋_GB2312" w:cs="仿宋_GB2312" w:hint="eastAsia"/>
          <w:color w:val="auto"/>
          <w:sz w:val="32"/>
          <w:szCs w:val="32"/>
          <w:lang w:val="en-US" w:eastAsia="zh-CN"/>
          <w:highlight w:val="auto"/>
        </w:rPr>
        <w:t>643.88</w:t>
      </w:r>
      <w:r>
        <w:rPr>
          <w:rFonts w:ascii="仿宋_GB2312" w:eastAsia="仿宋_GB2312" w:cs="仿宋_GB2312" w:hint="eastAsia"/>
          <w:color w:val="auto"/>
          <w:sz w:val="32"/>
          <w:szCs w:val="32"/>
          <w:highlight w:val="auto"/>
        </w:rPr>
        <w:t>万元，占</w:t>
      </w:r>
      <w:r>
        <w:rPr>
          <w:rFonts w:ascii="仿宋_GB2312" w:eastAsia="仿宋_GB2312" w:cs="仿宋_GB2312" w:hint="eastAsia"/>
          <w:color w:val="auto"/>
          <w:sz w:val="32"/>
          <w:szCs w:val="32"/>
          <w:lang w:val="en-US" w:eastAsia="zh-CN"/>
          <w:highlight w:val="auto"/>
        </w:rPr>
        <w:t>7.5</w:t>
      </w:r>
      <w:r>
        <w:rPr>
          <w:rFonts w:ascii="仿宋_GB2312" w:eastAsia="仿宋_GB2312" w:cs="仿宋_GB2312" w:hint="eastAsia"/>
          <w:color w:val="auto"/>
          <w:sz w:val="32"/>
          <w:szCs w:val="32"/>
          <w:highlight w:val="auto"/>
        </w:rPr>
        <w:t>%；</w:t>
      </w:r>
      <w:r>
        <w:rPr>
          <w:rFonts w:ascii="仿宋_GB2312" w:eastAsia="仿宋_GB2312" w:cs="仿宋_GB2312" w:hint="eastAsia"/>
          <w:b/>
          <w:bCs/>
          <w:color w:val="auto"/>
          <w:sz w:val="32"/>
          <w:szCs w:val="32"/>
          <w:highlight w:val="auto"/>
        </w:rPr>
        <w:t>卫生健康支出</w:t>
      </w:r>
      <w:r>
        <w:rPr>
          <w:rFonts w:ascii="仿宋_GB2312" w:eastAsia="仿宋_GB2312" w:cs="仿宋_GB2312" w:hint="eastAsia"/>
          <w:color w:val="auto"/>
          <w:sz w:val="32"/>
          <w:szCs w:val="32"/>
          <w:highlight w:val="auto"/>
        </w:rPr>
        <w:t>259.2万元，占</w:t>
      </w:r>
      <w:r>
        <w:rPr>
          <w:rFonts w:ascii="仿宋_GB2312" w:eastAsia="仿宋_GB2312" w:cs="仿宋_GB2312" w:hint="eastAsia"/>
          <w:color w:val="auto"/>
          <w:sz w:val="32"/>
          <w:szCs w:val="32"/>
          <w:lang w:val="en-US" w:eastAsia="zh-CN"/>
          <w:highlight w:val="auto"/>
        </w:rPr>
        <w:t>3</w:t>
      </w:r>
      <w:r>
        <w:rPr>
          <w:rFonts w:ascii="仿宋_GB2312" w:eastAsia="仿宋_GB2312" w:cs="仿宋_GB2312" w:hint="eastAsia"/>
          <w:color w:val="auto"/>
          <w:sz w:val="32"/>
          <w:szCs w:val="32"/>
          <w:highlight w:val="auto"/>
        </w:rPr>
        <w:t>%；</w:t>
      </w:r>
      <w:r>
        <w:rPr>
          <w:rFonts w:ascii="仿宋_GB2312" w:eastAsia="仿宋_GB2312" w:cs="仿宋_GB2312" w:hint="eastAsia"/>
          <w:b/>
          <w:bCs/>
          <w:color w:val="auto"/>
          <w:sz w:val="32"/>
          <w:szCs w:val="32"/>
          <w:highlight w:val="auto"/>
        </w:rPr>
        <w:t>住房保障支出</w:t>
      </w:r>
      <w:r>
        <w:rPr>
          <w:rFonts w:ascii="仿宋_GB2312" w:eastAsia="仿宋_GB2312" w:cs="仿宋_GB2312" w:hint="eastAsia"/>
          <w:color w:val="auto"/>
          <w:sz w:val="32"/>
          <w:szCs w:val="32"/>
          <w:highlight w:val="auto"/>
        </w:rPr>
        <w:t>358.62万元，占</w:t>
      </w:r>
      <w:r>
        <w:rPr>
          <w:rFonts w:ascii="仿宋_GB2312" w:eastAsia="仿宋_GB2312" w:cs="仿宋_GB2312" w:hint="eastAsia"/>
          <w:color w:val="auto"/>
          <w:sz w:val="32"/>
          <w:szCs w:val="32"/>
          <w:lang w:val="en-US" w:eastAsia="zh-CN"/>
          <w:highlight w:val="auto"/>
        </w:rPr>
        <w:t>4.2</w:t>
      </w:r>
      <w:r>
        <w:rPr>
          <w:rFonts w:ascii="仿宋_GB2312" w:eastAsia="仿宋_GB2312" w:cs="仿宋_GB2312" w:hint="eastAsia"/>
          <w:color w:val="auto"/>
          <w:sz w:val="32"/>
          <w:szCs w:val="32"/>
          <w:highlight w:val="auto"/>
        </w:rPr>
        <w:t>%。</w:t>
      </w:r>
    </w:p>
    <w:p>
      <w:pPr>
        <w:pStyle w:val="15"/>
        <w:jc w:val="center"/>
        <w:rPr>
          <w:rFonts w:ascii="仿宋" w:eastAsia="仿宋" w:hint="eastAsia"/>
          <w:color w:val="auto"/>
          <w:sz w:val="32"/>
          <w:szCs w:val="32"/>
          <w:lang w:eastAsia="zh-CN"/>
          <w:highlight w:val="auto"/>
        </w:rPr>
      </w:pPr>
      <w:r>
        <w:rPr>
          <w:rFonts w:ascii="仿宋" w:eastAsia="仿宋" w:hint="eastAsia"/>
          <w:color w:val="auto"/>
          <w:sz w:val="32"/>
          <w:szCs w:val="32"/>
          <w:lang w:eastAsia="zh-CN"/>
          <w:highlight w:val="auto"/>
        </w:rPr>
        <w:drawing>
          <wp:inline distT="0" distB="0" distL="114300" distR="114300">
            <wp:extent cx="5256530" cy="2988310"/>
            <wp:effectExtent l="14288" t="14288" r="14333" b="14304"/>
            <wp:docPr id="18" name="图表 25"/>
            <wp:cNvGraphicFramePr>
              <a:graphicFrameLocks noChangeAspect="0"/>
            </wp:cNvGraphicFramePr>
            <a:graphic>
              <a:graphicData uri="http://schemas.openxmlformats.org/drawingml/2006/picture">
                <pic:pic>
                  <pic:nvPicPr>
                    <pic:cNvPr id="20" name="图表 25 20"/>
                    <pic:cNvPicPr/>
                  </pic:nvPicPr>
                  <pic:blipFill>
                    <a:blip r:embed="rId9"/>
                    <a:stretch>
                      <a:fillRect/>
                    </a:stretch>
                  </pic:blipFill>
                  <pic:spPr>
                    <a:xfrm rot="0">
                      <a:off x="0" y="0"/>
                      <a:ext cx="5256530" cy="2988310"/>
                    </a:xfrm>
                    <a:prstGeom prst="rect"/>
                    <a:noFill/>
                    <a:ln w="9525" cmpd="sng" cap="flat">
                      <a:solidFill>
                        <a:srgbClr val="000000"/>
                      </a:solidFill>
                      <a:prstDash val="solid"/>
                      <a:miter/>
                    </a:ln>
                  </pic:spPr>
                </pic:pic>
              </a:graphicData>
            </a:graphic>
          </wp:inline>
        </w:drawing>
      </w:r>
    </w:p>
    <w:p>
      <w:pPr>
        <w:keepNext w:val="0"/>
        <w:keepLines w:val="0"/>
        <w:pageBreakBefore w:val="0"/>
        <w:widowControl w:val="0"/>
        <w:suppressAutoHyphens/>
        <w:kinsoku/>
        <w:wordWrap/>
        <w:overflowPunct/>
        <w:topLinePunct w:val="0"/>
        <w:autoSpaceDE/>
        <w:autoSpaceDN/>
        <w:bidi w:val="0"/>
        <w:adjustRightInd/>
        <w:snapToGrid/>
        <w:spacing w:line="560" w:lineRule="exact"/>
        <w:ind w:firstLineChars="200" w:firstLine="640"/>
        <w:textAlignment w:val="auto"/>
        <w:outlineLvl w:val="2"/>
        <w:rPr>
          <w:rFonts w:ascii="楷体_GB2312" w:eastAsia="楷体_GB2312" w:cs="楷体_GB2312" w:hint="eastAsia"/>
          <w:b/>
          <w:color w:val="auto"/>
          <w:sz w:val="32"/>
          <w:szCs w:val="32"/>
          <w:highlight w:val="auto"/>
        </w:rPr>
      </w:pPr>
      <w:bookmarkStart w:id="33" w:name="_Toc15377212"/>
      <w:bookmarkStart w:id="34" w:name="_Toc8666"/>
      <w:bookmarkStart w:id="35" w:name="_Toc15377214"/>
      <w:bookmarkStart w:id="36" w:name="_Toc15396608"/>
      <w:r>
        <w:rPr>
          <w:rFonts w:ascii="楷体_GB2312" w:eastAsia="楷体_GB2312" w:cs="楷体_GB2312" w:hint="eastAsia"/>
          <w:b/>
          <w:color w:val="auto"/>
          <w:sz w:val="32"/>
          <w:szCs w:val="32"/>
          <w:highlight w:val="auto"/>
        </w:rPr>
        <w:t>（三）一般公共预算财政拨款支出决算具体情况</w:t>
      </w:r>
      <w:bookmarkEnd w:id="33"/>
    </w:p>
    <w:p>
      <w:pPr>
        <w:keepNext w:val="0"/>
        <w:keepLines w:val="0"/>
        <w:pageBreakBefore w:val="0"/>
        <w:widowControl w:val="0"/>
        <w:suppressAutoHyphens/>
        <w:kinsoku/>
        <w:wordWrap/>
        <w:overflowPunct/>
        <w:topLinePunct w:val="0"/>
        <w:autoSpaceDE/>
        <w:autoSpaceDN/>
        <w:bidi w:val="0"/>
        <w:adjustRightInd/>
        <w:snapToGrid/>
        <w:spacing w:line="560" w:lineRule="exact"/>
        <w:ind w:firstLineChars="200" w:firstLine="640"/>
        <w:textAlignment w:val="auto"/>
        <w:outlineLvl w:val="2"/>
        <w:rPr>
          <w:rStyle w:val="26"/>
          <w:rFonts w:ascii="仿宋_GB2312" w:eastAsia="仿宋_GB2312" w:cs="仿宋_GB2312" w:hint="eastAsia"/>
          <w:b/>
          <w:bCs w:val="0"/>
          <w:color w:val="auto"/>
          <w:sz w:val="32"/>
          <w:szCs w:val="32"/>
          <w:lang w:eastAsia="zh-CN"/>
          <w:highlight w:val="auto"/>
        </w:rPr>
      </w:pPr>
      <w:r>
        <w:rPr>
          <w:rStyle w:val="26"/>
          <w:rFonts w:ascii="仿宋_GB2312" w:eastAsia="仿宋_GB2312" w:cs="仿宋_GB2312" w:hint="eastAsia"/>
          <w:b/>
          <w:bCs w:val="0"/>
          <w:color w:val="auto"/>
          <w:sz w:val="32"/>
          <w:szCs w:val="32"/>
          <w:lang w:eastAsia="zh-CN"/>
          <w:highlight w:val="auto"/>
        </w:rPr>
        <w:t>202</w:t>
      </w:r>
      <w:r>
        <w:rPr>
          <w:rStyle w:val="26"/>
          <w:rFonts w:ascii="仿宋_GB2312" w:eastAsia="仿宋_GB2312" w:cs="仿宋_GB2312" w:hint="eastAsia"/>
          <w:b/>
          <w:bCs w:val="0"/>
          <w:color w:val="auto"/>
          <w:sz w:val="32"/>
          <w:szCs w:val="32"/>
          <w:lang w:val="en-US" w:eastAsia="zh-CN"/>
          <w:highlight w:val="auto"/>
        </w:rPr>
        <w:t>5</w:t>
      </w:r>
      <w:r>
        <w:rPr>
          <w:rStyle w:val="26"/>
          <w:rFonts w:ascii="仿宋_GB2312" w:eastAsia="仿宋_GB2312" w:cs="仿宋_GB2312" w:hint="eastAsia"/>
          <w:b/>
          <w:bCs w:val="0"/>
          <w:color w:val="auto"/>
          <w:sz w:val="32"/>
          <w:szCs w:val="32"/>
          <w:lang w:eastAsia="zh-CN"/>
          <w:highlight w:val="auto"/>
        </w:rPr>
        <w:t>年度一般公共预算支出决算数为</w:t>
      </w:r>
      <w:r>
        <w:rPr>
          <w:rFonts w:ascii="仿宋_GB2312" w:eastAsia="仿宋_GB2312" w:cs="仿宋_GB2312" w:hint="eastAsia"/>
          <w:b/>
          <w:bCs w:val="0"/>
          <w:color w:val="auto"/>
          <w:sz w:val="32"/>
          <w:szCs w:val="32"/>
          <w:lang w:eastAsia="zh-CN"/>
          <w:highlight w:val="auto"/>
        </w:rPr>
        <w:t>8</w:t>
      </w:r>
      <w:r>
        <w:rPr>
          <w:rFonts w:ascii="仿宋_GB2312" w:eastAsia="仿宋_GB2312" w:cs="仿宋_GB2312" w:hint="eastAsia"/>
          <w:b/>
          <w:bCs w:val="0"/>
          <w:sz w:val="32"/>
          <w:szCs w:val="32"/>
          <w:lang w:val="en-US" w:eastAsia="zh-CN"/>
        </w:rPr>
        <w:t>,</w:t>
      </w:r>
      <w:r>
        <w:rPr>
          <w:rFonts w:ascii="仿宋_GB2312" w:eastAsia="仿宋_GB2312" w:cs="仿宋_GB2312" w:hint="eastAsia"/>
          <w:b/>
          <w:bCs w:val="0"/>
          <w:color w:val="auto"/>
          <w:sz w:val="32"/>
          <w:szCs w:val="32"/>
          <w:lang w:eastAsia="zh-CN"/>
          <w:highlight w:val="auto"/>
        </w:rPr>
        <w:t>599.22</w:t>
      </w:r>
      <w:r>
        <w:rPr>
          <w:rStyle w:val="26"/>
          <w:rFonts w:ascii="仿宋_GB2312" w:eastAsia="仿宋_GB2312" w:cs="仿宋_GB2312" w:hint="eastAsia"/>
          <w:b/>
          <w:bCs w:val="0"/>
          <w:color w:val="auto"/>
          <w:sz w:val="32"/>
          <w:szCs w:val="32"/>
          <w:lang w:eastAsia="zh-CN"/>
          <w:highlight w:val="auto"/>
        </w:rPr>
        <w:t>万元，完成预算</w:t>
      </w:r>
      <w:r>
        <w:rPr>
          <w:rStyle w:val="26"/>
          <w:rFonts w:ascii="仿宋_GB2312" w:eastAsia="仿宋_GB2312" w:cs="仿宋_GB2312" w:hint="eastAsia"/>
          <w:b/>
          <w:bCs w:val="0"/>
          <w:color w:val="auto"/>
          <w:sz w:val="32"/>
          <w:szCs w:val="32"/>
          <w:lang w:val="en-US" w:eastAsia="zh-CN"/>
          <w:highlight w:val="auto"/>
        </w:rPr>
        <w:t>100</w:t>
      </w:r>
      <w:r>
        <w:rPr>
          <w:rStyle w:val="26"/>
          <w:rFonts w:ascii="仿宋_GB2312" w:eastAsia="仿宋_GB2312" w:cs="仿宋_GB2312" w:hint="eastAsia"/>
          <w:b/>
          <w:bCs w:val="0"/>
          <w:color w:val="auto"/>
          <w:sz w:val="32"/>
          <w:szCs w:val="32"/>
          <w:lang w:eastAsia="zh-CN"/>
          <w:highlight w:val="auto"/>
        </w:rPr>
        <w:t>%。其中：</w:t>
      </w:r>
    </w:p>
    <w:p>
      <w:pPr>
        <w:keepNext w:val="0"/>
        <w:keepLines w:val="0"/>
        <w:pageBreakBefore w:val="0"/>
        <w:widowControl w:val="0"/>
        <w:suppressAutoHyphens/>
        <w:kinsoku/>
        <w:wordWrap/>
        <w:overflowPunct/>
        <w:topLinePunct w:val="0"/>
        <w:autoSpaceDE/>
        <w:autoSpaceDN/>
        <w:bidi w:val="0"/>
        <w:adjustRightInd/>
        <w:snapToGrid/>
        <w:spacing w:line="560" w:lineRule="exact"/>
        <w:ind w:firstLineChars="200" w:firstLine="640"/>
        <w:textAlignment w:val="auto"/>
        <w:outlineLvl w:val="2"/>
        <w:rPr>
          <w:rStyle w:val="26"/>
          <w:rFonts w:ascii="仿宋_GB2312" w:eastAsia="仿宋_GB2312" w:cs="仿宋_GB2312" w:hint="eastAsia"/>
          <w:b w:val="0"/>
          <w:bCs/>
          <w:color w:val="auto"/>
          <w:sz w:val="32"/>
          <w:szCs w:val="32"/>
          <w:lang w:eastAsia="zh-CN"/>
          <w:highlight w:val="auto"/>
        </w:rPr>
      </w:pPr>
      <w:r>
        <w:rPr>
          <w:rStyle w:val="26"/>
          <w:rFonts w:ascii="仿宋_GB2312" w:eastAsia="仿宋_GB2312" w:cs="仿宋_GB2312" w:hint="eastAsia"/>
          <w:b/>
          <w:bCs w:val="0"/>
          <w:color w:val="auto"/>
          <w:sz w:val="32"/>
          <w:szCs w:val="32"/>
          <w:lang w:val="en-US" w:eastAsia="zh-CN"/>
          <w:highlight w:val="auto"/>
        </w:rPr>
        <w:t>1</w:t>
      </w:r>
      <w:r>
        <w:rPr>
          <w:rStyle w:val="26"/>
          <w:rFonts w:ascii="仿宋_GB2312" w:eastAsia="仿宋_GB2312" w:cs="仿宋_GB2312" w:hint="eastAsia"/>
          <w:b/>
          <w:bCs w:val="0"/>
          <w:color w:val="auto"/>
          <w:sz w:val="32"/>
          <w:szCs w:val="32"/>
          <w:lang w:eastAsia="zh-CN"/>
          <w:highlight w:val="auto"/>
        </w:rPr>
        <w:t>.</w:t>
      </w:r>
      <w:r>
        <w:rPr>
          <w:rStyle w:val="26"/>
          <w:rFonts w:ascii="仿宋_GB2312" w:eastAsia="仿宋_GB2312" w:cs="仿宋_GB2312" w:hint="eastAsia"/>
          <w:b/>
          <w:bCs w:val="0"/>
          <w:color w:val="auto"/>
          <w:sz w:val="32"/>
          <w:szCs w:val="32"/>
          <w:lang w:val="en-US" w:eastAsia="zh-CN"/>
          <w:highlight w:val="auto"/>
        </w:rPr>
        <w:t>公共安全（类）武装警察部队（款）其他武装警察部队支出（项）</w:t>
      </w:r>
      <w:r>
        <w:rPr>
          <w:rStyle w:val="26"/>
          <w:rFonts w:ascii="仿宋_GB2312" w:eastAsia="仿宋_GB2312" w:cs="仿宋_GB2312" w:hint="eastAsia"/>
          <w:b/>
          <w:bCs w:val="0"/>
          <w:color w:val="auto"/>
          <w:sz w:val="32"/>
          <w:szCs w:val="32"/>
          <w:lang w:eastAsia="zh-CN"/>
          <w:highlight w:val="auto"/>
        </w:rPr>
        <w:t>:</w:t>
      </w:r>
      <w:r>
        <w:rPr>
          <w:rStyle w:val="26"/>
          <w:rFonts w:ascii="仿宋_GB2312" w:eastAsia="仿宋_GB2312" w:cs="仿宋_GB2312" w:hint="eastAsia"/>
          <w:b w:val="0"/>
          <w:bCs/>
          <w:color w:val="auto"/>
          <w:sz w:val="32"/>
          <w:szCs w:val="32"/>
          <w:lang w:eastAsia="zh-CN"/>
          <w:highlight w:val="auto"/>
        </w:rPr>
        <w:t xml:space="preserve"> 支出决算为30.85万元，完成预算</w:t>
      </w:r>
      <w:r>
        <w:rPr>
          <w:rStyle w:val="26"/>
          <w:rFonts w:ascii="仿宋_GB2312" w:eastAsia="仿宋_GB2312" w:cs="仿宋_GB2312" w:hint="eastAsia"/>
          <w:b w:val="0"/>
          <w:bCs/>
          <w:color w:val="auto"/>
          <w:sz w:val="32"/>
          <w:szCs w:val="32"/>
          <w:lang w:val="en-US" w:eastAsia="zh-CN"/>
          <w:highlight w:val="auto"/>
        </w:rPr>
        <w:t>100</w:t>
      </w:r>
      <w:r>
        <w:rPr>
          <w:rStyle w:val="26"/>
          <w:rFonts w:ascii="仿宋_GB2312" w:eastAsia="仿宋_GB2312" w:cs="仿宋_GB2312" w:hint="eastAsia"/>
          <w:b w:val="0"/>
          <w:bCs/>
          <w:color w:val="auto"/>
          <w:sz w:val="32"/>
          <w:szCs w:val="32"/>
          <w:lang w:eastAsia="zh-CN"/>
          <w:highlight w:val="auto"/>
        </w:rPr>
        <w:t>%，</w:t>
      </w:r>
      <w:r>
        <w:rPr>
          <w:rStyle w:val="26"/>
          <w:rFonts w:ascii="仿宋_GB2312" w:eastAsia="仿宋_GB2312" w:cs="仿宋_GB2312" w:hint="eastAsia"/>
          <w:b w:val="0"/>
          <w:bCs/>
          <w:color w:val="auto"/>
          <w:sz w:val="32"/>
          <w:szCs w:val="32"/>
          <w:lang w:val="en-US" w:eastAsia="zh-CN"/>
          <w:highlight w:val="auto"/>
        </w:rPr>
        <w:t>决算数与预算数持平</w:t>
      </w:r>
      <w:r>
        <w:rPr>
          <w:rStyle w:val="26"/>
          <w:rFonts w:ascii="仿宋_GB2312" w:eastAsia="仿宋_GB2312" w:cs="仿宋_GB2312" w:hint="eastAsia"/>
          <w:b w:val="0"/>
          <w:bCs/>
          <w:color w:val="auto"/>
          <w:sz w:val="32"/>
          <w:szCs w:val="32"/>
          <w:lang w:eastAsia="zh-CN"/>
          <w:highlight w:val="auto"/>
        </w:rPr>
        <w:t>。</w:t>
      </w:r>
    </w:p>
    <w:p>
      <w:pPr>
        <w:keepNext w:val="0"/>
        <w:keepLines w:val="0"/>
        <w:pageBreakBefore w:val="0"/>
        <w:widowControl w:val="0"/>
        <w:suppressAutoHyphens/>
        <w:kinsoku/>
        <w:wordWrap/>
        <w:overflowPunct/>
        <w:topLinePunct w:val="0"/>
        <w:autoSpaceDE/>
        <w:autoSpaceDN/>
        <w:bidi w:val="0"/>
        <w:adjustRightInd/>
        <w:snapToGrid/>
        <w:spacing w:line="560" w:lineRule="exact"/>
        <w:ind w:firstLineChars="200" w:firstLine="640"/>
        <w:textAlignment w:val="auto"/>
        <w:outlineLvl w:val="2"/>
        <w:rPr>
          <w:rStyle w:val="26"/>
          <w:rFonts w:ascii="仿宋_GB2312" w:eastAsia="仿宋_GB2312" w:cs="仿宋_GB2312" w:hint="eastAsia"/>
          <w:b w:val="0"/>
          <w:bCs/>
          <w:color w:val="auto"/>
          <w:sz w:val="32"/>
          <w:szCs w:val="32"/>
          <w:lang w:eastAsia="zh-CN"/>
          <w:highlight w:val="auto"/>
        </w:rPr>
      </w:pPr>
      <w:r>
        <w:rPr>
          <w:rStyle w:val="26"/>
          <w:rFonts w:ascii="仿宋_GB2312" w:eastAsia="仿宋_GB2312" w:cs="仿宋_GB2312" w:hint="eastAsia"/>
          <w:b/>
          <w:bCs w:val="0"/>
          <w:color w:val="auto"/>
          <w:sz w:val="32"/>
          <w:szCs w:val="32"/>
          <w:lang w:val="en-US" w:eastAsia="zh-CN"/>
          <w:highlight w:val="auto"/>
        </w:rPr>
        <w:t>2</w:t>
      </w:r>
      <w:r>
        <w:rPr>
          <w:rStyle w:val="26"/>
          <w:rFonts w:ascii="仿宋_GB2312" w:eastAsia="仿宋_GB2312" w:cs="仿宋_GB2312" w:hint="eastAsia"/>
          <w:b/>
          <w:bCs w:val="0"/>
          <w:color w:val="auto"/>
          <w:sz w:val="32"/>
          <w:szCs w:val="32"/>
          <w:lang w:eastAsia="zh-CN"/>
          <w:highlight w:val="auto"/>
        </w:rPr>
        <w:t>.</w:t>
      </w:r>
      <w:r>
        <w:rPr>
          <w:rStyle w:val="26"/>
          <w:rFonts w:ascii="仿宋_GB2312" w:eastAsia="仿宋_GB2312" w:cs="仿宋_GB2312" w:hint="eastAsia"/>
          <w:b/>
          <w:bCs w:val="0"/>
          <w:color w:val="auto"/>
          <w:sz w:val="32"/>
          <w:szCs w:val="32"/>
          <w:lang w:val="en-US" w:eastAsia="zh-CN"/>
          <w:highlight w:val="auto"/>
        </w:rPr>
        <w:t>公共安全（类）公安（款）行政运行（项）</w:t>
      </w:r>
      <w:r>
        <w:rPr>
          <w:rStyle w:val="26"/>
          <w:rFonts w:ascii="仿宋_GB2312" w:eastAsia="仿宋_GB2312" w:cs="仿宋_GB2312" w:hint="eastAsia"/>
          <w:b/>
          <w:bCs w:val="0"/>
          <w:color w:val="auto"/>
          <w:sz w:val="32"/>
          <w:szCs w:val="32"/>
          <w:lang w:eastAsia="zh-CN"/>
          <w:highlight w:val="auto"/>
        </w:rPr>
        <w:t>:</w:t>
      </w:r>
      <w:r>
        <w:rPr>
          <w:rStyle w:val="26"/>
          <w:rFonts w:ascii="仿宋_GB2312" w:eastAsia="仿宋_GB2312" w:cs="仿宋_GB2312" w:hint="eastAsia"/>
          <w:b w:val="0"/>
          <w:bCs/>
          <w:color w:val="auto"/>
          <w:sz w:val="32"/>
          <w:szCs w:val="32"/>
          <w:lang w:eastAsia="zh-CN"/>
          <w:highlight w:val="auto"/>
        </w:rPr>
        <w:t xml:space="preserve"> 支出决算为5</w:t>
      </w:r>
      <w:r>
        <w:rPr>
          <w:rFonts w:ascii="仿宋_GB2312" w:eastAsia="仿宋_GB2312" w:cs="仿宋_GB2312" w:hint="eastAsia"/>
          <w:sz w:val="32"/>
          <w:szCs w:val="32"/>
          <w:lang w:val="en-US" w:eastAsia="zh-CN"/>
        </w:rPr>
        <w:t>,</w:t>
      </w:r>
      <w:r>
        <w:rPr>
          <w:rStyle w:val="26"/>
          <w:rFonts w:ascii="仿宋_GB2312" w:eastAsia="仿宋_GB2312" w:cs="仿宋_GB2312" w:hint="eastAsia"/>
          <w:b w:val="0"/>
          <w:bCs/>
          <w:color w:val="auto"/>
          <w:sz w:val="32"/>
          <w:szCs w:val="32"/>
          <w:lang w:eastAsia="zh-CN"/>
          <w:highlight w:val="auto"/>
        </w:rPr>
        <w:t>146.48万元，完成预算</w:t>
      </w:r>
      <w:r>
        <w:rPr>
          <w:rStyle w:val="26"/>
          <w:rFonts w:ascii="仿宋_GB2312" w:eastAsia="仿宋_GB2312" w:cs="仿宋_GB2312" w:hint="eastAsia"/>
          <w:b w:val="0"/>
          <w:bCs/>
          <w:color w:val="auto"/>
          <w:sz w:val="32"/>
          <w:szCs w:val="32"/>
          <w:lang w:val="en-US" w:eastAsia="zh-CN"/>
          <w:highlight w:val="auto"/>
        </w:rPr>
        <w:t>100</w:t>
      </w:r>
      <w:r>
        <w:rPr>
          <w:rStyle w:val="26"/>
          <w:rFonts w:ascii="仿宋_GB2312" w:eastAsia="仿宋_GB2312" w:cs="仿宋_GB2312" w:hint="eastAsia"/>
          <w:b w:val="0"/>
          <w:bCs/>
          <w:color w:val="auto"/>
          <w:sz w:val="32"/>
          <w:szCs w:val="32"/>
          <w:lang w:eastAsia="zh-CN"/>
          <w:highlight w:val="auto"/>
        </w:rPr>
        <w:t>%，</w:t>
      </w:r>
      <w:r>
        <w:rPr>
          <w:rStyle w:val="26"/>
          <w:rFonts w:ascii="仿宋_GB2312" w:eastAsia="仿宋_GB2312" w:cs="仿宋_GB2312" w:hint="eastAsia"/>
          <w:b w:val="0"/>
          <w:bCs/>
          <w:color w:val="auto"/>
          <w:sz w:val="32"/>
          <w:szCs w:val="32"/>
          <w:lang w:val="en-US" w:eastAsia="zh-CN"/>
          <w:highlight w:val="auto"/>
        </w:rPr>
        <w:t>决算数与预算数持平</w:t>
      </w:r>
      <w:r>
        <w:rPr>
          <w:rStyle w:val="26"/>
          <w:rFonts w:ascii="仿宋_GB2312" w:eastAsia="仿宋_GB2312" w:cs="仿宋_GB2312" w:hint="eastAsia"/>
          <w:b w:val="0"/>
          <w:bCs/>
          <w:color w:val="auto"/>
          <w:sz w:val="32"/>
          <w:szCs w:val="32"/>
          <w:lang w:eastAsia="zh-CN"/>
          <w:highlight w:val="auto"/>
        </w:rPr>
        <w:t>。</w:t>
      </w:r>
    </w:p>
    <w:p>
      <w:pPr>
        <w:keepNext w:val="0"/>
        <w:keepLines w:val="0"/>
        <w:pageBreakBefore w:val="0"/>
        <w:widowControl w:val="0"/>
        <w:suppressAutoHyphens/>
        <w:kinsoku/>
        <w:wordWrap/>
        <w:overflowPunct/>
        <w:topLinePunct w:val="0"/>
        <w:autoSpaceDE/>
        <w:autoSpaceDN/>
        <w:bidi w:val="0"/>
        <w:adjustRightInd/>
        <w:snapToGrid/>
        <w:spacing w:line="560" w:lineRule="exact"/>
        <w:ind w:firstLineChars="200" w:firstLine="640"/>
        <w:textAlignment w:val="auto"/>
        <w:outlineLvl w:val="2"/>
        <w:rPr>
          <w:rStyle w:val="26"/>
          <w:rFonts w:ascii="仿宋_GB2312" w:eastAsia="仿宋_GB2312" w:cs="仿宋_GB2312" w:hint="eastAsia"/>
          <w:b w:val="0"/>
          <w:bCs/>
          <w:color w:val="auto"/>
          <w:sz w:val="32"/>
          <w:szCs w:val="32"/>
          <w:lang w:eastAsia="zh-CN"/>
          <w:highlight w:val="auto"/>
        </w:rPr>
      </w:pPr>
      <w:r>
        <w:rPr>
          <w:rStyle w:val="26"/>
          <w:rFonts w:ascii="仿宋_GB2312" w:eastAsia="仿宋_GB2312" w:cs="仿宋_GB2312" w:hint="eastAsia"/>
          <w:b/>
          <w:bCs w:val="0"/>
          <w:color w:val="auto"/>
          <w:sz w:val="32"/>
          <w:szCs w:val="32"/>
          <w:lang w:val="en-US" w:eastAsia="zh-CN"/>
          <w:highlight w:val="auto"/>
        </w:rPr>
        <w:t>3</w:t>
      </w:r>
      <w:r>
        <w:rPr>
          <w:rStyle w:val="26"/>
          <w:rFonts w:ascii="仿宋_GB2312" w:eastAsia="仿宋_GB2312" w:cs="仿宋_GB2312" w:hint="eastAsia"/>
          <w:b/>
          <w:bCs w:val="0"/>
          <w:color w:val="auto"/>
          <w:sz w:val="32"/>
          <w:szCs w:val="32"/>
          <w:lang w:eastAsia="zh-CN"/>
          <w:highlight w:val="auto"/>
        </w:rPr>
        <w:t>.</w:t>
      </w:r>
      <w:r>
        <w:rPr>
          <w:rStyle w:val="26"/>
          <w:rFonts w:ascii="仿宋_GB2312" w:eastAsia="仿宋_GB2312" w:cs="仿宋_GB2312" w:hint="eastAsia"/>
          <w:b/>
          <w:bCs w:val="0"/>
          <w:color w:val="auto"/>
          <w:sz w:val="32"/>
          <w:szCs w:val="32"/>
          <w:lang w:val="en-US" w:eastAsia="zh-CN"/>
          <w:highlight w:val="auto"/>
        </w:rPr>
        <w:t>公共安全（类）公安（款）一般行政管理事务（项）</w:t>
      </w:r>
      <w:r>
        <w:rPr>
          <w:rStyle w:val="26"/>
          <w:rFonts w:ascii="仿宋_GB2312" w:eastAsia="仿宋_GB2312" w:cs="仿宋_GB2312" w:hint="eastAsia"/>
          <w:b/>
          <w:bCs w:val="0"/>
          <w:color w:val="auto"/>
          <w:sz w:val="32"/>
          <w:szCs w:val="32"/>
          <w:lang w:eastAsia="zh-CN"/>
          <w:highlight w:val="auto"/>
        </w:rPr>
        <w:t xml:space="preserve">: </w:t>
      </w:r>
      <w:r>
        <w:rPr>
          <w:rStyle w:val="26"/>
          <w:rFonts w:ascii="仿宋_GB2312" w:eastAsia="仿宋_GB2312" w:cs="仿宋_GB2312" w:hint="eastAsia"/>
          <w:b w:val="0"/>
          <w:bCs/>
          <w:color w:val="auto"/>
          <w:sz w:val="32"/>
          <w:szCs w:val="32"/>
          <w:lang w:eastAsia="zh-CN"/>
          <w:highlight w:val="auto"/>
        </w:rPr>
        <w:t>支出决算为977.5万元，完成预算</w:t>
      </w:r>
      <w:r>
        <w:rPr>
          <w:rStyle w:val="26"/>
          <w:rFonts w:ascii="仿宋_GB2312" w:eastAsia="仿宋_GB2312" w:cs="仿宋_GB2312" w:hint="eastAsia"/>
          <w:b w:val="0"/>
          <w:bCs/>
          <w:color w:val="auto"/>
          <w:sz w:val="32"/>
          <w:szCs w:val="32"/>
          <w:lang w:val="en-US" w:eastAsia="zh-CN"/>
          <w:highlight w:val="auto"/>
        </w:rPr>
        <w:t>100</w:t>
      </w:r>
      <w:r>
        <w:rPr>
          <w:rStyle w:val="26"/>
          <w:rFonts w:ascii="仿宋_GB2312" w:eastAsia="仿宋_GB2312" w:cs="仿宋_GB2312" w:hint="eastAsia"/>
          <w:b w:val="0"/>
          <w:bCs/>
          <w:color w:val="auto"/>
          <w:sz w:val="32"/>
          <w:szCs w:val="32"/>
          <w:lang w:eastAsia="zh-CN"/>
          <w:highlight w:val="auto"/>
        </w:rPr>
        <w:t>%，</w:t>
      </w:r>
      <w:r>
        <w:rPr>
          <w:rStyle w:val="26"/>
          <w:rFonts w:ascii="仿宋_GB2312" w:eastAsia="仿宋_GB2312" w:cs="仿宋_GB2312" w:hint="eastAsia"/>
          <w:b w:val="0"/>
          <w:bCs/>
          <w:color w:val="auto"/>
          <w:sz w:val="32"/>
          <w:szCs w:val="32"/>
          <w:lang w:val="en-US" w:eastAsia="zh-CN"/>
          <w:highlight w:val="auto"/>
        </w:rPr>
        <w:t>决算数与预算数持平</w:t>
      </w:r>
      <w:r>
        <w:rPr>
          <w:rStyle w:val="26"/>
          <w:rFonts w:ascii="仿宋_GB2312" w:eastAsia="仿宋_GB2312" w:cs="仿宋_GB2312" w:hint="eastAsia"/>
          <w:b w:val="0"/>
          <w:bCs/>
          <w:color w:val="auto"/>
          <w:sz w:val="32"/>
          <w:szCs w:val="32"/>
          <w:lang w:eastAsia="zh-CN"/>
          <w:highlight w:val="auto"/>
        </w:rPr>
        <w:t>。</w:t>
      </w:r>
    </w:p>
    <w:p>
      <w:pPr>
        <w:keepNext w:val="0"/>
        <w:keepLines w:val="0"/>
        <w:pageBreakBefore w:val="0"/>
        <w:widowControl w:val="0"/>
        <w:suppressAutoHyphens/>
        <w:kinsoku/>
        <w:wordWrap/>
        <w:overflowPunct/>
        <w:topLinePunct w:val="0"/>
        <w:autoSpaceDE/>
        <w:autoSpaceDN/>
        <w:bidi w:val="0"/>
        <w:adjustRightInd/>
        <w:snapToGrid/>
        <w:spacing w:line="560" w:lineRule="exact"/>
        <w:ind w:firstLineChars="200" w:firstLine="640"/>
        <w:textAlignment w:val="auto"/>
        <w:outlineLvl w:val="2"/>
        <w:rPr>
          <w:rStyle w:val="26"/>
          <w:rFonts w:ascii="仿宋_GB2312" w:eastAsia="仿宋_GB2312" w:cs="仿宋_GB2312" w:hint="eastAsia"/>
          <w:b w:val="0"/>
          <w:bCs/>
          <w:color w:val="auto"/>
          <w:sz w:val="32"/>
          <w:szCs w:val="32"/>
          <w:lang w:eastAsia="zh-CN"/>
          <w:highlight w:val="auto"/>
        </w:rPr>
      </w:pPr>
      <w:r>
        <w:rPr>
          <w:rStyle w:val="26"/>
          <w:rFonts w:ascii="仿宋_GB2312" w:eastAsia="仿宋_GB2312" w:cs="仿宋_GB2312" w:hint="eastAsia"/>
          <w:b/>
          <w:bCs w:val="0"/>
          <w:color w:val="auto"/>
          <w:sz w:val="32"/>
          <w:szCs w:val="32"/>
          <w:lang w:val="en-US" w:eastAsia="zh-CN"/>
          <w:highlight w:val="auto"/>
        </w:rPr>
        <w:t>4</w:t>
      </w:r>
      <w:r>
        <w:rPr>
          <w:rStyle w:val="26"/>
          <w:rFonts w:ascii="仿宋_GB2312" w:eastAsia="仿宋_GB2312" w:cs="仿宋_GB2312" w:hint="eastAsia"/>
          <w:b/>
          <w:bCs w:val="0"/>
          <w:color w:val="auto"/>
          <w:sz w:val="32"/>
          <w:szCs w:val="32"/>
          <w:lang w:eastAsia="zh-CN"/>
          <w:highlight w:val="auto"/>
        </w:rPr>
        <w:t>.</w:t>
      </w:r>
      <w:r>
        <w:rPr>
          <w:rStyle w:val="26"/>
          <w:rFonts w:ascii="仿宋_GB2312" w:eastAsia="仿宋_GB2312" w:cs="仿宋_GB2312" w:hint="eastAsia"/>
          <w:b/>
          <w:bCs w:val="0"/>
          <w:color w:val="auto"/>
          <w:sz w:val="32"/>
          <w:szCs w:val="32"/>
          <w:lang w:val="en-US" w:eastAsia="zh-CN"/>
          <w:highlight w:val="auto"/>
        </w:rPr>
        <w:t>公共安全（类）公安（款）其他公安支出（项）</w:t>
      </w:r>
      <w:r>
        <w:rPr>
          <w:rStyle w:val="26"/>
          <w:rFonts w:ascii="仿宋_GB2312" w:eastAsia="仿宋_GB2312" w:cs="仿宋_GB2312" w:hint="eastAsia"/>
          <w:b/>
          <w:bCs w:val="0"/>
          <w:color w:val="auto"/>
          <w:sz w:val="32"/>
          <w:szCs w:val="32"/>
          <w:lang w:eastAsia="zh-CN"/>
          <w:highlight w:val="auto"/>
        </w:rPr>
        <w:t>:</w:t>
      </w:r>
      <w:r>
        <w:rPr>
          <w:rStyle w:val="26"/>
          <w:rFonts w:ascii="仿宋_GB2312" w:eastAsia="仿宋_GB2312" w:cs="仿宋_GB2312" w:hint="eastAsia"/>
          <w:b w:val="0"/>
          <w:bCs/>
          <w:color w:val="auto"/>
          <w:sz w:val="32"/>
          <w:szCs w:val="32"/>
          <w:lang w:eastAsia="zh-CN"/>
          <w:highlight w:val="auto"/>
        </w:rPr>
        <w:t xml:space="preserve"> 支出决算为1</w:t>
      </w:r>
      <w:r>
        <w:rPr>
          <w:rFonts w:ascii="仿宋_GB2312" w:eastAsia="仿宋_GB2312" w:cs="仿宋_GB2312" w:hint="eastAsia"/>
          <w:sz w:val="32"/>
          <w:szCs w:val="32"/>
          <w:lang w:val="en-US" w:eastAsia="zh-CN"/>
        </w:rPr>
        <w:t>,</w:t>
      </w:r>
      <w:r>
        <w:rPr>
          <w:rStyle w:val="26"/>
          <w:rFonts w:ascii="仿宋_GB2312" w:eastAsia="仿宋_GB2312" w:cs="仿宋_GB2312" w:hint="eastAsia"/>
          <w:b w:val="0"/>
          <w:bCs/>
          <w:color w:val="auto"/>
          <w:sz w:val="32"/>
          <w:szCs w:val="32"/>
          <w:lang w:eastAsia="zh-CN"/>
          <w:highlight w:val="auto"/>
        </w:rPr>
        <w:t>182.69万元，完成预算</w:t>
      </w:r>
      <w:r>
        <w:rPr>
          <w:rStyle w:val="26"/>
          <w:rFonts w:ascii="仿宋_GB2312" w:eastAsia="仿宋_GB2312" w:cs="仿宋_GB2312" w:hint="eastAsia"/>
          <w:b w:val="0"/>
          <w:bCs/>
          <w:color w:val="auto"/>
          <w:sz w:val="32"/>
          <w:szCs w:val="32"/>
          <w:lang w:val="en-US" w:eastAsia="zh-CN"/>
          <w:highlight w:val="auto"/>
        </w:rPr>
        <w:t>100</w:t>
      </w:r>
      <w:r>
        <w:rPr>
          <w:rStyle w:val="26"/>
          <w:rFonts w:ascii="仿宋_GB2312" w:eastAsia="仿宋_GB2312" w:cs="仿宋_GB2312" w:hint="eastAsia"/>
          <w:b w:val="0"/>
          <w:bCs/>
          <w:color w:val="auto"/>
          <w:sz w:val="32"/>
          <w:szCs w:val="32"/>
          <w:lang w:eastAsia="zh-CN"/>
          <w:highlight w:val="auto"/>
        </w:rPr>
        <w:t>%，</w:t>
      </w:r>
      <w:r>
        <w:rPr>
          <w:rStyle w:val="26"/>
          <w:rFonts w:ascii="仿宋_GB2312" w:eastAsia="仿宋_GB2312" w:cs="仿宋_GB2312" w:hint="eastAsia"/>
          <w:b w:val="0"/>
          <w:bCs/>
          <w:color w:val="auto"/>
          <w:sz w:val="32"/>
          <w:szCs w:val="32"/>
          <w:lang w:val="en-US" w:eastAsia="zh-CN"/>
          <w:highlight w:val="auto"/>
        </w:rPr>
        <w:t>决算数与预算数持平</w:t>
      </w:r>
      <w:r>
        <w:rPr>
          <w:rStyle w:val="26"/>
          <w:rFonts w:ascii="仿宋_GB2312" w:eastAsia="仿宋_GB2312" w:cs="仿宋_GB2312" w:hint="eastAsia"/>
          <w:b w:val="0"/>
          <w:bCs/>
          <w:color w:val="auto"/>
          <w:sz w:val="32"/>
          <w:szCs w:val="32"/>
          <w:lang w:eastAsia="zh-CN"/>
          <w:highlight w:val="auto"/>
        </w:rPr>
        <w:t>。</w:t>
      </w:r>
    </w:p>
    <w:p>
      <w:pPr>
        <w:keepNext w:val="0"/>
        <w:keepLines w:val="0"/>
        <w:pageBreakBefore w:val="0"/>
        <w:widowControl w:val="0"/>
        <w:suppressAutoHyphens/>
        <w:kinsoku/>
        <w:wordWrap/>
        <w:overflowPunct/>
        <w:topLinePunct w:val="0"/>
        <w:autoSpaceDE/>
        <w:autoSpaceDN/>
        <w:bidi w:val="0"/>
        <w:adjustRightInd/>
        <w:snapToGrid/>
        <w:spacing w:line="560" w:lineRule="exact"/>
        <w:ind w:firstLineChars="200" w:firstLine="640"/>
        <w:textAlignment w:val="auto"/>
        <w:outlineLvl w:val="2"/>
        <w:rPr>
          <w:rStyle w:val="26"/>
          <w:rFonts w:ascii="仿宋_GB2312" w:eastAsia="仿宋_GB2312" w:cs="仿宋_GB2312" w:hint="eastAsia"/>
          <w:b w:val="0"/>
          <w:bCs/>
          <w:color w:val="auto"/>
          <w:sz w:val="32"/>
          <w:szCs w:val="32"/>
          <w:lang w:eastAsia="zh-CN"/>
          <w:highlight w:val="auto"/>
        </w:rPr>
      </w:pPr>
      <w:r>
        <w:rPr>
          <w:rStyle w:val="26"/>
          <w:rFonts w:ascii="仿宋_GB2312" w:eastAsia="仿宋_GB2312" w:cs="仿宋_GB2312" w:hint="eastAsia"/>
          <w:b/>
          <w:bCs w:val="0"/>
          <w:color w:val="auto"/>
          <w:sz w:val="32"/>
          <w:szCs w:val="32"/>
          <w:lang w:val="en-US" w:eastAsia="zh-CN"/>
          <w:highlight w:val="auto"/>
        </w:rPr>
        <w:t>5</w:t>
      </w:r>
      <w:r>
        <w:rPr>
          <w:rStyle w:val="26"/>
          <w:rFonts w:ascii="仿宋_GB2312" w:eastAsia="仿宋_GB2312" w:cs="仿宋_GB2312" w:hint="eastAsia"/>
          <w:b/>
          <w:bCs w:val="0"/>
          <w:color w:val="auto"/>
          <w:sz w:val="32"/>
          <w:szCs w:val="32"/>
          <w:lang w:eastAsia="zh-CN"/>
          <w:highlight w:val="auto"/>
        </w:rPr>
        <w:t>.</w:t>
      </w:r>
      <w:r>
        <w:rPr>
          <w:rStyle w:val="26"/>
          <w:rFonts w:ascii="仿宋_GB2312" w:eastAsia="仿宋_GB2312" w:cs="仿宋_GB2312" w:hint="eastAsia"/>
          <w:b/>
          <w:bCs w:val="0"/>
          <w:color w:val="auto"/>
          <w:sz w:val="32"/>
          <w:szCs w:val="32"/>
          <w:lang w:val="en-US" w:eastAsia="zh-CN"/>
          <w:highlight w:val="auto"/>
        </w:rPr>
        <w:t>社会保障和就业（类）行政事业单位离退休（款）机关事业单位基本养老保险缴费支出（项）</w:t>
      </w:r>
      <w:r>
        <w:rPr>
          <w:rStyle w:val="26"/>
          <w:rFonts w:ascii="仿宋_GB2312" w:eastAsia="仿宋_GB2312" w:cs="仿宋_GB2312" w:hint="eastAsia"/>
          <w:b/>
          <w:bCs w:val="0"/>
          <w:color w:val="auto"/>
          <w:sz w:val="32"/>
          <w:szCs w:val="32"/>
          <w:lang w:eastAsia="zh-CN"/>
          <w:highlight w:val="auto"/>
        </w:rPr>
        <w:t>:</w:t>
      </w:r>
      <w:r>
        <w:rPr>
          <w:rStyle w:val="26"/>
          <w:rFonts w:ascii="仿宋_GB2312" w:eastAsia="仿宋_GB2312" w:cs="仿宋_GB2312" w:hint="eastAsia"/>
          <w:b w:val="0"/>
          <w:bCs/>
          <w:color w:val="auto"/>
          <w:sz w:val="32"/>
          <w:szCs w:val="32"/>
          <w:lang w:eastAsia="zh-CN"/>
          <w:highlight w:val="auto"/>
        </w:rPr>
        <w:t xml:space="preserve"> 支出决算为428.81万元，完成预算</w:t>
      </w:r>
      <w:r>
        <w:rPr>
          <w:rStyle w:val="26"/>
          <w:rFonts w:ascii="仿宋_GB2312" w:eastAsia="仿宋_GB2312" w:cs="仿宋_GB2312" w:hint="eastAsia"/>
          <w:b w:val="0"/>
          <w:bCs/>
          <w:color w:val="auto"/>
          <w:sz w:val="32"/>
          <w:szCs w:val="32"/>
          <w:lang w:val="en-US" w:eastAsia="zh-CN"/>
          <w:highlight w:val="auto"/>
        </w:rPr>
        <w:t>100</w:t>
      </w:r>
      <w:r>
        <w:rPr>
          <w:rStyle w:val="26"/>
          <w:rFonts w:ascii="仿宋_GB2312" w:eastAsia="仿宋_GB2312" w:cs="仿宋_GB2312" w:hint="eastAsia"/>
          <w:b w:val="0"/>
          <w:bCs/>
          <w:color w:val="auto"/>
          <w:sz w:val="32"/>
          <w:szCs w:val="32"/>
          <w:lang w:eastAsia="zh-CN"/>
          <w:highlight w:val="auto"/>
        </w:rPr>
        <w:t>%，</w:t>
      </w:r>
      <w:r>
        <w:rPr>
          <w:rStyle w:val="26"/>
          <w:rFonts w:ascii="仿宋_GB2312" w:eastAsia="仿宋_GB2312" w:cs="仿宋_GB2312" w:hint="eastAsia"/>
          <w:b w:val="0"/>
          <w:bCs/>
          <w:color w:val="auto"/>
          <w:sz w:val="32"/>
          <w:szCs w:val="32"/>
          <w:lang w:val="en-US" w:eastAsia="zh-CN"/>
          <w:highlight w:val="auto"/>
        </w:rPr>
        <w:t>决算数与预算数持平</w:t>
      </w:r>
      <w:r>
        <w:rPr>
          <w:rStyle w:val="26"/>
          <w:rFonts w:ascii="仿宋_GB2312" w:eastAsia="仿宋_GB2312" w:cs="仿宋_GB2312" w:hint="eastAsia"/>
          <w:b w:val="0"/>
          <w:bCs/>
          <w:color w:val="auto"/>
          <w:sz w:val="32"/>
          <w:szCs w:val="32"/>
          <w:lang w:eastAsia="zh-CN"/>
          <w:highlight w:val="auto"/>
        </w:rPr>
        <w:t>。</w:t>
      </w:r>
    </w:p>
    <w:p>
      <w:pPr>
        <w:keepNext w:val="0"/>
        <w:keepLines w:val="0"/>
        <w:pageBreakBefore w:val="0"/>
        <w:widowControl w:val="0"/>
        <w:suppressAutoHyphens/>
        <w:kinsoku/>
        <w:wordWrap/>
        <w:overflowPunct/>
        <w:topLinePunct w:val="0"/>
        <w:autoSpaceDE/>
        <w:autoSpaceDN/>
        <w:bidi w:val="0"/>
        <w:adjustRightInd/>
        <w:snapToGrid/>
        <w:spacing w:line="560" w:lineRule="exact"/>
        <w:ind w:firstLineChars="200" w:firstLine="640"/>
        <w:textAlignment w:val="auto"/>
        <w:outlineLvl w:val="2"/>
        <w:rPr>
          <w:rStyle w:val="26"/>
          <w:rFonts w:ascii="仿宋_GB2312" w:eastAsia="仿宋_GB2312" w:cs="仿宋_GB2312" w:hint="eastAsia"/>
          <w:b w:val="0"/>
          <w:bCs/>
          <w:color w:val="auto"/>
          <w:sz w:val="32"/>
          <w:szCs w:val="32"/>
          <w:lang w:eastAsia="zh-CN"/>
          <w:highlight w:val="auto"/>
        </w:rPr>
      </w:pPr>
      <w:r>
        <w:rPr>
          <w:rStyle w:val="26"/>
          <w:rFonts w:ascii="仿宋_GB2312" w:eastAsia="仿宋_GB2312" w:cs="仿宋_GB2312" w:hint="eastAsia"/>
          <w:b/>
          <w:bCs w:val="0"/>
          <w:color w:val="auto"/>
          <w:sz w:val="32"/>
          <w:szCs w:val="32"/>
          <w:lang w:val="en-US" w:eastAsia="zh-CN"/>
          <w:highlight w:val="auto"/>
        </w:rPr>
        <w:t>6</w:t>
      </w:r>
      <w:r>
        <w:rPr>
          <w:rStyle w:val="26"/>
          <w:rFonts w:ascii="仿宋_GB2312" w:eastAsia="仿宋_GB2312" w:cs="仿宋_GB2312" w:hint="eastAsia"/>
          <w:b/>
          <w:bCs w:val="0"/>
          <w:color w:val="auto"/>
          <w:sz w:val="32"/>
          <w:szCs w:val="32"/>
          <w:lang w:eastAsia="zh-CN"/>
          <w:highlight w:val="auto"/>
        </w:rPr>
        <w:t>.</w:t>
      </w:r>
      <w:r>
        <w:rPr>
          <w:rStyle w:val="26"/>
          <w:rFonts w:ascii="仿宋_GB2312" w:eastAsia="仿宋_GB2312" w:cs="仿宋_GB2312" w:hint="eastAsia"/>
          <w:b/>
          <w:bCs w:val="0"/>
          <w:color w:val="auto"/>
          <w:sz w:val="32"/>
          <w:szCs w:val="32"/>
          <w:lang w:val="en-US" w:eastAsia="zh-CN"/>
          <w:highlight w:val="auto"/>
        </w:rPr>
        <w:t>社会保障和就业（类）行政事业单位离退休（款）机关事业单位职业年金缴费支出项）</w:t>
      </w:r>
      <w:r>
        <w:rPr>
          <w:rStyle w:val="26"/>
          <w:rFonts w:ascii="仿宋_GB2312" w:eastAsia="仿宋_GB2312" w:cs="仿宋_GB2312" w:hint="eastAsia"/>
          <w:b/>
          <w:bCs w:val="0"/>
          <w:color w:val="auto"/>
          <w:sz w:val="32"/>
          <w:szCs w:val="32"/>
          <w:lang w:eastAsia="zh-CN"/>
          <w:highlight w:val="auto"/>
        </w:rPr>
        <w:t>:</w:t>
      </w:r>
      <w:r>
        <w:rPr>
          <w:rStyle w:val="26"/>
          <w:rFonts w:ascii="仿宋_GB2312" w:eastAsia="仿宋_GB2312" w:cs="仿宋_GB2312" w:hint="eastAsia"/>
          <w:b w:val="0"/>
          <w:bCs/>
          <w:color w:val="auto"/>
          <w:sz w:val="32"/>
          <w:szCs w:val="32"/>
          <w:lang w:eastAsia="zh-CN"/>
          <w:highlight w:val="auto"/>
        </w:rPr>
        <w:t>支出决算为214.27万元，完成预算</w:t>
      </w:r>
      <w:r>
        <w:rPr>
          <w:rStyle w:val="26"/>
          <w:rFonts w:ascii="仿宋_GB2312" w:eastAsia="仿宋_GB2312" w:cs="仿宋_GB2312" w:hint="eastAsia"/>
          <w:b w:val="0"/>
          <w:bCs/>
          <w:color w:val="auto"/>
          <w:sz w:val="32"/>
          <w:szCs w:val="32"/>
          <w:lang w:val="en-US" w:eastAsia="zh-CN"/>
          <w:highlight w:val="auto"/>
        </w:rPr>
        <w:t>100</w:t>
      </w:r>
      <w:r>
        <w:rPr>
          <w:rStyle w:val="26"/>
          <w:rFonts w:ascii="仿宋_GB2312" w:eastAsia="仿宋_GB2312" w:cs="仿宋_GB2312" w:hint="eastAsia"/>
          <w:b w:val="0"/>
          <w:bCs/>
          <w:color w:val="auto"/>
          <w:sz w:val="32"/>
          <w:szCs w:val="32"/>
          <w:lang w:eastAsia="zh-CN"/>
          <w:highlight w:val="auto"/>
        </w:rPr>
        <w:t>%，</w:t>
      </w:r>
      <w:r>
        <w:rPr>
          <w:rStyle w:val="26"/>
          <w:rFonts w:ascii="仿宋_GB2312" w:eastAsia="仿宋_GB2312" w:cs="仿宋_GB2312" w:hint="eastAsia"/>
          <w:b w:val="0"/>
          <w:bCs/>
          <w:color w:val="auto"/>
          <w:sz w:val="32"/>
          <w:szCs w:val="32"/>
          <w:lang w:val="en-US" w:eastAsia="zh-CN"/>
          <w:highlight w:val="auto"/>
        </w:rPr>
        <w:t>决算数与预算数持平</w:t>
      </w:r>
      <w:r>
        <w:rPr>
          <w:rStyle w:val="26"/>
          <w:rFonts w:ascii="仿宋_GB2312" w:eastAsia="仿宋_GB2312" w:cs="仿宋_GB2312" w:hint="eastAsia"/>
          <w:b w:val="0"/>
          <w:bCs/>
          <w:color w:val="auto"/>
          <w:sz w:val="32"/>
          <w:szCs w:val="32"/>
          <w:lang w:eastAsia="zh-CN"/>
          <w:highlight w:val="auto"/>
        </w:rPr>
        <w:t>。</w:t>
      </w:r>
    </w:p>
    <w:p>
      <w:pPr>
        <w:keepNext w:val="0"/>
        <w:keepLines w:val="0"/>
        <w:pageBreakBefore w:val="0"/>
        <w:widowControl w:val="0"/>
        <w:suppressAutoHyphens/>
        <w:kinsoku/>
        <w:wordWrap/>
        <w:overflowPunct/>
        <w:topLinePunct w:val="0"/>
        <w:autoSpaceDE/>
        <w:autoSpaceDN/>
        <w:bidi w:val="0"/>
        <w:adjustRightInd/>
        <w:snapToGrid/>
        <w:spacing w:line="560" w:lineRule="exact"/>
        <w:ind w:firstLineChars="200" w:firstLine="640"/>
        <w:textAlignment w:val="auto"/>
        <w:outlineLvl w:val="2"/>
        <w:rPr>
          <w:rStyle w:val="26"/>
          <w:rFonts w:ascii="仿宋_GB2312" w:eastAsia="仿宋_GB2312" w:cs="仿宋_GB2312" w:hint="eastAsia"/>
          <w:b w:val="0"/>
          <w:bCs/>
          <w:color w:val="auto"/>
          <w:sz w:val="32"/>
          <w:szCs w:val="32"/>
          <w:lang w:eastAsia="zh-CN"/>
          <w:highlight w:val="auto"/>
        </w:rPr>
      </w:pPr>
      <w:r>
        <w:rPr>
          <w:rStyle w:val="26"/>
          <w:rFonts w:ascii="仿宋_GB2312" w:eastAsia="仿宋_GB2312" w:cs="仿宋_GB2312" w:hint="eastAsia"/>
          <w:b/>
          <w:bCs w:val="0"/>
          <w:color w:val="auto"/>
          <w:sz w:val="32"/>
          <w:szCs w:val="32"/>
          <w:lang w:val="en-US" w:eastAsia="zh-CN"/>
          <w:highlight w:val="auto"/>
        </w:rPr>
        <w:t>7.</w:t>
      </w:r>
      <w:r>
        <w:rPr>
          <w:rStyle w:val="26"/>
          <w:rFonts w:ascii="仿宋_GB2312" w:eastAsia="仿宋_GB2312" w:cs="仿宋_GB2312" w:hint="eastAsia"/>
          <w:b/>
          <w:bCs w:val="0"/>
          <w:color w:val="auto"/>
          <w:sz w:val="32"/>
          <w:szCs w:val="32"/>
          <w:lang w:eastAsia="zh-CN"/>
          <w:highlight w:val="auto"/>
        </w:rPr>
        <w:t>社会保障和就业（</w:t>
      </w:r>
      <w:r>
        <w:rPr>
          <w:rStyle w:val="26"/>
          <w:rFonts w:ascii="仿宋_GB2312" w:eastAsia="仿宋_GB2312" w:cs="仿宋_GB2312" w:hint="eastAsia"/>
          <w:b/>
          <w:bCs w:val="0"/>
          <w:color w:val="auto"/>
          <w:sz w:val="32"/>
          <w:szCs w:val="32"/>
          <w:lang w:val="en-US" w:eastAsia="zh-CN"/>
          <w:highlight w:val="auto"/>
        </w:rPr>
        <w:t>类</w:t>
      </w:r>
      <w:r>
        <w:rPr>
          <w:rStyle w:val="26"/>
          <w:rFonts w:ascii="仿宋_GB2312" w:eastAsia="仿宋_GB2312" w:cs="仿宋_GB2312" w:hint="eastAsia"/>
          <w:b/>
          <w:bCs w:val="0"/>
          <w:color w:val="auto"/>
          <w:sz w:val="32"/>
          <w:szCs w:val="32"/>
          <w:lang w:eastAsia="zh-CN"/>
          <w:highlight w:val="auto"/>
        </w:rPr>
        <w:t>）退役军人管理事务（</w:t>
      </w:r>
      <w:r>
        <w:rPr>
          <w:rStyle w:val="26"/>
          <w:rFonts w:ascii="仿宋_GB2312" w:eastAsia="仿宋_GB2312" w:cs="仿宋_GB2312" w:hint="eastAsia"/>
          <w:b/>
          <w:bCs w:val="0"/>
          <w:color w:val="auto"/>
          <w:sz w:val="32"/>
          <w:szCs w:val="32"/>
          <w:lang w:val="en-US" w:eastAsia="zh-CN"/>
          <w:highlight w:val="auto"/>
        </w:rPr>
        <w:t>款</w:t>
      </w:r>
      <w:r>
        <w:rPr>
          <w:rStyle w:val="26"/>
          <w:rFonts w:ascii="仿宋_GB2312" w:eastAsia="仿宋_GB2312" w:cs="仿宋_GB2312" w:hint="eastAsia"/>
          <w:b/>
          <w:bCs w:val="0"/>
          <w:color w:val="auto"/>
          <w:sz w:val="32"/>
          <w:szCs w:val="32"/>
          <w:lang w:eastAsia="zh-CN"/>
          <w:highlight w:val="auto"/>
        </w:rPr>
        <w:t>）拥军优属</w:t>
      </w:r>
      <w:r>
        <w:rPr>
          <w:rStyle w:val="26"/>
          <w:rFonts w:ascii="仿宋_GB2312" w:eastAsia="仿宋_GB2312" w:cs="仿宋_GB2312" w:hint="eastAsia"/>
          <w:b/>
          <w:bCs w:val="0"/>
          <w:color w:val="auto"/>
          <w:sz w:val="32"/>
          <w:szCs w:val="32"/>
          <w:lang w:val="en-US" w:eastAsia="zh-CN"/>
          <w:highlight w:val="auto"/>
        </w:rPr>
        <w:t>（项）</w:t>
      </w:r>
      <w:r>
        <w:rPr>
          <w:rStyle w:val="26"/>
          <w:rFonts w:ascii="仿宋_GB2312" w:eastAsia="仿宋_GB2312" w:cs="仿宋_GB2312" w:hint="eastAsia"/>
          <w:b/>
          <w:bCs w:val="0"/>
          <w:color w:val="auto"/>
          <w:sz w:val="32"/>
          <w:szCs w:val="32"/>
          <w:lang w:eastAsia="zh-CN"/>
          <w:highlight w:val="auto"/>
        </w:rPr>
        <w:t>:</w:t>
      </w:r>
      <w:r>
        <w:rPr>
          <w:rStyle w:val="26"/>
          <w:rFonts w:ascii="仿宋_GB2312" w:eastAsia="仿宋_GB2312" w:cs="仿宋_GB2312" w:hint="eastAsia"/>
          <w:b w:val="0"/>
          <w:bCs/>
          <w:color w:val="auto"/>
          <w:sz w:val="32"/>
          <w:szCs w:val="32"/>
          <w:lang w:eastAsia="zh-CN"/>
          <w:highlight w:val="auto"/>
        </w:rPr>
        <w:t>支出决算为</w:t>
      </w:r>
      <w:r>
        <w:rPr>
          <w:rStyle w:val="26"/>
          <w:rFonts w:ascii="仿宋_GB2312" w:eastAsia="仿宋_GB2312" w:cs="仿宋_GB2312" w:hint="eastAsia"/>
          <w:b w:val="0"/>
          <w:bCs/>
          <w:color w:val="auto"/>
          <w:sz w:val="32"/>
          <w:szCs w:val="32"/>
          <w:lang w:val="en-US" w:eastAsia="zh-CN"/>
          <w:highlight w:val="auto"/>
        </w:rPr>
        <w:t>0.8</w:t>
      </w:r>
      <w:r>
        <w:rPr>
          <w:rStyle w:val="26"/>
          <w:rFonts w:ascii="仿宋_GB2312" w:eastAsia="仿宋_GB2312" w:cs="仿宋_GB2312" w:hint="eastAsia"/>
          <w:b w:val="0"/>
          <w:bCs/>
          <w:color w:val="auto"/>
          <w:sz w:val="32"/>
          <w:szCs w:val="32"/>
          <w:lang w:eastAsia="zh-CN"/>
          <w:highlight w:val="auto"/>
        </w:rPr>
        <w:t>万元，完成预算</w:t>
      </w:r>
      <w:r>
        <w:rPr>
          <w:rStyle w:val="26"/>
          <w:rFonts w:ascii="仿宋_GB2312" w:eastAsia="仿宋_GB2312" w:cs="仿宋_GB2312" w:hint="eastAsia"/>
          <w:b w:val="0"/>
          <w:bCs/>
          <w:color w:val="auto"/>
          <w:sz w:val="32"/>
          <w:szCs w:val="32"/>
          <w:lang w:val="en-US" w:eastAsia="zh-CN"/>
          <w:highlight w:val="auto"/>
        </w:rPr>
        <w:t>100</w:t>
      </w:r>
      <w:r>
        <w:rPr>
          <w:rStyle w:val="26"/>
          <w:rFonts w:ascii="仿宋_GB2312" w:eastAsia="仿宋_GB2312" w:cs="仿宋_GB2312" w:hint="eastAsia"/>
          <w:b w:val="0"/>
          <w:bCs/>
          <w:color w:val="auto"/>
          <w:sz w:val="32"/>
          <w:szCs w:val="32"/>
          <w:lang w:eastAsia="zh-CN"/>
          <w:highlight w:val="auto"/>
        </w:rPr>
        <w:t>%，</w:t>
      </w:r>
      <w:r>
        <w:rPr>
          <w:rStyle w:val="26"/>
          <w:rFonts w:ascii="仿宋_GB2312" w:eastAsia="仿宋_GB2312" w:cs="仿宋_GB2312" w:hint="eastAsia"/>
          <w:b w:val="0"/>
          <w:bCs/>
          <w:color w:val="auto"/>
          <w:sz w:val="32"/>
          <w:szCs w:val="32"/>
          <w:lang w:val="en-US" w:eastAsia="zh-CN"/>
          <w:highlight w:val="auto"/>
        </w:rPr>
        <w:t>决算数与预算数持平</w:t>
      </w:r>
      <w:r>
        <w:rPr>
          <w:rStyle w:val="26"/>
          <w:rFonts w:ascii="仿宋_GB2312" w:eastAsia="仿宋_GB2312" w:cs="仿宋_GB2312" w:hint="eastAsia"/>
          <w:b w:val="0"/>
          <w:bCs/>
          <w:color w:val="auto"/>
          <w:sz w:val="32"/>
          <w:szCs w:val="32"/>
          <w:lang w:eastAsia="zh-CN"/>
          <w:highlight w:val="auto"/>
        </w:rPr>
        <w:t>。</w:t>
      </w:r>
    </w:p>
    <w:p>
      <w:pPr>
        <w:keepNext w:val="0"/>
        <w:keepLines w:val="0"/>
        <w:pageBreakBefore w:val="0"/>
        <w:widowControl w:val="0"/>
        <w:suppressAutoHyphens/>
        <w:kinsoku/>
        <w:wordWrap/>
        <w:overflowPunct/>
        <w:topLinePunct w:val="0"/>
        <w:autoSpaceDE/>
        <w:autoSpaceDN/>
        <w:bidi w:val="0"/>
        <w:adjustRightInd/>
        <w:snapToGrid/>
        <w:spacing w:line="560" w:lineRule="exact"/>
        <w:ind w:firstLineChars="200" w:firstLine="640"/>
        <w:textAlignment w:val="auto"/>
        <w:outlineLvl w:val="2"/>
        <w:rPr>
          <w:rStyle w:val="26"/>
          <w:rFonts w:ascii="仿宋_GB2312" w:eastAsia="仿宋_GB2312" w:cs="仿宋_GB2312" w:hint="eastAsia"/>
          <w:b w:val="0"/>
          <w:bCs/>
          <w:color w:val="auto"/>
          <w:sz w:val="32"/>
          <w:szCs w:val="32"/>
          <w:lang w:eastAsia="zh-CN"/>
          <w:highlight w:val="auto"/>
        </w:rPr>
      </w:pPr>
      <w:r>
        <w:rPr>
          <w:rStyle w:val="26"/>
          <w:rFonts w:ascii="仿宋_GB2312" w:eastAsia="仿宋_GB2312" w:cs="仿宋_GB2312" w:hint="eastAsia"/>
          <w:b/>
          <w:bCs w:val="0"/>
          <w:color w:val="auto"/>
          <w:sz w:val="32"/>
          <w:szCs w:val="32"/>
          <w:lang w:val="en-US" w:eastAsia="zh-CN"/>
          <w:highlight w:val="auto"/>
        </w:rPr>
        <w:t>8</w:t>
      </w:r>
      <w:r>
        <w:rPr>
          <w:rStyle w:val="26"/>
          <w:rFonts w:ascii="仿宋_GB2312" w:eastAsia="仿宋_GB2312" w:cs="仿宋_GB2312" w:hint="eastAsia"/>
          <w:b/>
          <w:bCs w:val="0"/>
          <w:color w:val="auto"/>
          <w:sz w:val="32"/>
          <w:szCs w:val="32"/>
          <w:lang w:eastAsia="zh-CN"/>
          <w:highlight w:val="auto"/>
        </w:rPr>
        <w:t>.卫生健康（</w:t>
      </w:r>
      <w:r>
        <w:rPr>
          <w:rStyle w:val="26"/>
          <w:rFonts w:ascii="仿宋_GB2312" w:eastAsia="仿宋_GB2312" w:cs="仿宋_GB2312" w:hint="eastAsia"/>
          <w:b/>
          <w:bCs w:val="0"/>
          <w:color w:val="auto"/>
          <w:sz w:val="32"/>
          <w:szCs w:val="32"/>
          <w:lang w:val="en-US" w:eastAsia="zh-CN"/>
          <w:highlight w:val="auto"/>
        </w:rPr>
        <w:t>类</w:t>
      </w:r>
      <w:r>
        <w:rPr>
          <w:rStyle w:val="26"/>
          <w:rFonts w:ascii="仿宋_GB2312" w:eastAsia="仿宋_GB2312" w:cs="仿宋_GB2312" w:hint="eastAsia"/>
          <w:b/>
          <w:bCs w:val="0"/>
          <w:color w:val="auto"/>
          <w:sz w:val="32"/>
          <w:szCs w:val="32"/>
          <w:lang w:eastAsia="zh-CN"/>
          <w:highlight w:val="auto"/>
        </w:rPr>
        <w:t>）公共卫生（</w:t>
      </w:r>
      <w:r>
        <w:rPr>
          <w:rStyle w:val="26"/>
          <w:rFonts w:ascii="仿宋_GB2312" w:eastAsia="仿宋_GB2312" w:cs="仿宋_GB2312" w:hint="eastAsia"/>
          <w:b/>
          <w:bCs w:val="0"/>
          <w:color w:val="auto"/>
          <w:sz w:val="32"/>
          <w:szCs w:val="32"/>
          <w:lang w:val="en-US" w:eastAsia="zh-CN"/>
          <w:highlight w:val="auto"/>
        </w:rPr>
        <w:t>款</w:t>
      </w:r>
      <w:r>
        <w:rPr>
          <w:rStyle w:val="26"/>
          <w:rFonts w:ascii="仿宋_GB2312" w:eastAsia="仿宋_GB2312" w:cs="仿宋_GB2312" w:hint="eastAsia"/>
          <w:b/>
          <w:bCs w:val="0"/>
          <w:color w:val="auto"/>
          <w:sz w:val="32"/>
          <w:szCs w:val="32"/>
          <w:lang w:eastAsia="zh-CN"/>
          <w:highlight w:val="auto"/>
        </w:rPr>
        <w:t>）重大公共卫生服务（</w:t>
      </w:r>
      <w:r>
        <w:rPr>
          <w:rStyle w:val="26"/>
          <w:rFonts w:ascii="仿宋_GB2312" w:eastAsia="仿宋_GB2312" w:cs="仿宋_GB2312" w:hint="eastAsia"/>
          <w:b/>
          <w:bCs w:val="0"/>
          <w:color w:val="auto"/>
          <w:sz w:val="32"/>
          <w:szCs w:val="32"/>
          <w:lang w:val="en-US" w:eastAsia="zh-CN"/>
          <w:highlight w:val="auto"/>
        </w:rPr>
        <w:t>项</w:t>
      </w:r>
      <w:r>
        <w:rPr>
          <w:rStyle w:val="26"/>
          <w:rFonts w:ascii="仿宋_GB2312" w:eastAsia="仿宋_GB2312" w:cs="仿宋_GB2312" w:hint="eastAsia"/>
          <w:b/>
          <w:bCs w:val="0"/>
          <w:color w:val="auto"/>
          <w:sz w:val="32"/>
          <w:szCs w:val="32"/>
          <w:lang w:eastAsia="zh-CN"/>
          <w:highlight w:val="auto"/>
        </w:rPr>
        <w:t>）:</w:t>
      </w:r>
      <w:r>
        <w:rPr>
          <w:rStyle w:val="26"/>
          <w:rFonts w:ascii="仿宋_GB2312" w:eastAsia="仿宋_GB2312" w:cs="仿宋_GB2312" w:hint="eastAsia"/>
          <w:b w:val="0"/>
          <w:bCs/>
          <w:color w:val="auto"/>
          <w:sz w:val="32"/>
          <w:szCs w:val="32"/>
          <w:lang w:eastAsia="zh-CN"/>
          <w:highlight w:val="auto"/>
        </w:rPr>
        <w:t>支出决算为</w:t>
      </w:r>
      <w:r>
        <w:rPr>
          <w:rStyle w:val="26"/>
          <w:rFonts w:ascii="仿宋_GB2312" w:eastAsia="仿宋_GB2312" w:cs="仿宋_GB2312" w:hint="eastAsia"/>
          <w:b w:val="0"/>
          <w:bCs/>
          <w:color w:val="auto"/>
          <w:sz w:val="32"/>
          <w:szCs w:val="32"/>
          <w:lang w:val="en-US" w:eastAsia="zh-CN"/>
          <w:highlight w:val="auto"/>
        </w:rPr>
        <w:t>4</w:t>
      </w:r>
      <w:r>
        <w:rPr>
          <w:rStyle w:val="26"/>
          <w:rFonts w:ascii="仿宋_GB2312" w:eastAsia="仿宋_GB2312" w:cs="仿宋_GB2312" w:hint="eastAsia"/>
          <w:b w:val="0"/>
          <w:bCs/>
          <w:color w:val="auto"/>
          <w:sz w:val="32"/>
          <w:szCs w:val="32"/>
          <w:lang w:eastAsia="zh-CN"/>
          <w:highlight w:val="auto"/>
        </w:rPr>
        <w:t>万元，完成预算</w:t>
      </w:r>
      <w:r>
        <w:rPr>
          <w:rStyle w:val="26"/>
          <w:rFonts w:ascii="仿宋_GB2312" w:eastAsia="仿宋_GB2312" w:cs="仿宋_GB2312" w:hint="eastAsia"/>
          <w:b w:val="0"/>
          <w:bCs/>
          <w:color w:val="auto"/>
          <w:sz w:val="32"/>
          <w:szCs w:val="32"/>
          <w:lang w:val="en-US" w:eastAsia="zh-CN"/>
          <w:highlight w:val="auto"/>
        </w:rPr>
        <w:t>100</w:t>
      </w:r>
      <w:r>
        <w:rPr>
          <w:rStyle w:val="26"/>
          <w:rFonts w:ascii="仿宋_GB2312" w:eastAsia="仿宋_GB2312" w:cs="仿宋_GB2312" w:hint="eastAsia"/>
          <w:b w:val="0"/>
          <w:bCs/>
          <w:color w:val="auto"/>
          <w:sz w:val="32"/>
          <w:szCs w:val="32"/>
          <w:lang w:eastAsia="zh-CN"/>
          <w:highlight w:val="auto"/>
        </w:rPr>
        <w:t>%，</w:t>
      </w:r>
      <w:r>
        <w:rPr>
          <w:rStyle w:val="26"/>
          <w:rFonts w:ascii="仿宋_GB2312" w:eastAsia="仿宋_GB2312" w:cs="仿宋_GB2312" w:hint="eastAsia"/>
          <w:b w:val="0"/>
          <w:bCs/>
          <w:color w:val="auto"/>
          <w:sz w:val="32"/>
          <w:szCs w:val="32"/>
          <w:lang w:val="en-US" w:eastAsia="zh-CN"/>
          <w:highlight w:val="auto"/>
        </w:rPr>
        <w:t>决算数与预算数持平</w:t>
      </w:r>
      <w:r>
        <w:rPr>
          <w:rStyle w:val="26"/>
          <w:rFonts w:ascii="仿宋_GB2312" w:eastAsia="仿宋_GB2312" w:cs="仿宋_GB2312" w:hint="eastAsia"/>
          <w:b w:val="0"/>
          <w:bCs/>
          <w:color w:val="auto"/>
          <w:sz w:val="32"/>
          <w:szCs w:val="32"/>
          <w:lang w:eastAsia="zh-CN"/>
          <w:highlight w:val="auto"/>
        </w:rPr>
        <w:t>。</w:t>
      </w:r>
    </w:p>
    <w:p>
      <w:pPr>
        <w:keepNext w:val="0"/>
        <w:keepLines w:val="0"/>
        <w:pageBreakBefore w:val="0"/>
        <w:widowControl w:val="0"/>
        <w:suppressAutoHyphens/>
        <w:kinsoku/>
        <w:wordWrap/>
        <w:overflowPunct/>
        <w:topLinePunct w:val="0"/>
        <w:autoSpaceDE/>
        <w:autoSpaceDN/>
        <w:bidi w:val="0"/>
        <w:adjustRightInd/>
        <w:snapToGrid/>
        <w:spacing w:line="560" w:lineRule="exact"/>
        <w:ind w:firstLineChars="200" w:firstLine="640"/>
        <w:textAlignment w:val="auto"/>
        <w:outlineLvl w:val="2"/>
        <w:rPr>
          <w:rStyle w:val="26"/>
          <w:rFonts w:ascii="仿宋_GB2312" w:eastAsia="仿宋_GB2312" w:cs="仿宋_GB2312" w:hint="eastAsia"/>
          <w:b w:val="0"/>
          <w:bCs/>
          <w:color w:val="auto"/>
          <w:sz w:val="32"/>
          <w:szCs w:val="32"/>
          <w:lang w:eastAsia="zh-CN"/>
          <w:highlight w:val="auto"/>
        </w:rPr>
      </w:pPr>
      <w:r>
        <w:rPr>
          <w:rStyle w:val="26"/>
          <w:rFonts w:ascii="仿宋_GB2312" w:eastAsia="仿宋_GB2312" w:cs="仿宋_GB2312" w:hint="eastAsia"/>
          <w:b/>
          <w:bCs w:val="0"/>
          <w:color w:val="auto"/>
          <w:sz w:val="32"/>
          <w:szCs w:val="32"/>
          <w:lang w:val="en-US" w:eastAsia="zh-CN"/>
          <w:highlight w:val="auto"/>
        </w:rPr>
        <w:t>9</w:t>
      </w:r>
      <w:r>
        <w:rPr>
          <w:rStyle w:val="26"/>
          <w:rFonts w:ascii="仿宋_GB2312" w:eastAsia="仿宋_GB2312" w:cs="仿宋_GB2312" w:hint="eastAsia"/>
          <w:b/>
          <w:bCs w:val="0"/>
          <w:color w:val="auto"/>
          <w:sz w:val="32"/>
          <w:szCs w:val="32"/>
          <w:lang w:eastAsia="zh-CN"/>
          <w:highlight w:val="auto"/>
        </w:rPr>
        <w:t>.</w:t>
      </w:r>
      <w:r>
        <w:rPr>
          <w:rStyle w:val="26"/>
          <w:rFonts w:ascii="仿宋_GB2312" w:eastAsia="仿宋_GB2312" w:cs="仿宋_GB2312" w:hint="eastAsia"/>
          <w:b/>
          <w:bCs w:val="0"/>
          <w:color w:val="auto"/>
          <w:sz w:val="32"/>
          <w:szCs w:val="32"/>
          <w:lang w:val="en-US" w:eastAsia="zh-CN"/>
          <w:highlight w:val="auto"/>
        </w:rPr>
        <w:t>卫生健康（类）行政事业单位医疗（款）行政单位医疗（项）</w:t>
      </w:r>
      <w:r>
        <w:rPr>
          <w:rStyle w:val="26"/>
          <w:rFonts w:ascii="仿宋_GB2312" w:eastAsia="仿宋_GB2312" w:cs="仿宋_GB2312" w:hint="eastAsia"/>
          <w:b/>
          <w:bCs w:val="0"/>
          <w:color w:val="auto"/>
          <w:sz w:val="32"/>
          <w:szCs w:val="32"/>
          <w:lang w:eastAsia="zh-CN"/>
          <w:highlight w:val="auto"/>
        </w:rPr>
        <w:t>:</w:t>
      </w:r>
      <w:r>
        <w:rPr>
          <w:rStyle w:val="26"/>
          <w:rFonts w:ascii="仿宋_GB2312" w:eastAsia="仿宋_GB2312" w:cs="仿宋_GB2312" w:hint="eastAsia"/>
          <w:b w:val="0"/>
          <w:bCs/>
          <w:color w:val="auto"/>
          <w:sz w:val="32"/>
          <w:szCs w:val="32"/>
          <w:lang w:eastAsia="zh-CN"/>
          <w:highlight w:val="auto"/>
        </w:rPr>
        <w:t>支出决算为255.2万元，完成预算</w:t>
      </w:r>
      <w:r>
        <w:rPr>
          <w:rStyle w:val="26"/>
          <w:rFonts w:ascii="仿宋_GB2312" w:eastAsia="仿宋_GB2312" w:cs="仿宋_GB2312" w:hint="eastAsia"/>
          <w:b w:val="0"/>
          <w:bCs/>
          <w:color w:val="auto"/>
          <w:sz w:val="32"/>
          <w:szCs w:val="32"/>
          <w:lang w:val="en-US" w:eastAsia="zh-CN"/>
          <w:highlight w:val="auto"/>
        </w:rPr>
        <w:t>100</w:t>
      </w:r>
      <w:r>
        <w:rPr>
          <w:rStyle w:val="26"/>
          <w:rFonts w:ascii="仿宋_GB2312" w:eastAsia="仿宋_GB2312" w:cs="仿宋_GB2312" w:hint="eastAsia"/>
          <w:b w:val="0"/>
          <w:bCs/>
          <w:color w:val="auto"/>
          <w:sz w:val="32"/>
          <w:szCs w:val="32"/>
          <w:lang w:eastAsia="zh-CN"/>
          <w:highlight w:val="auto"/>
        </w:rPr>
        <w:t>%，</w:t>
      </w:r>
      <w:r>
        <w:rPr>
          <w:rStyle w:val="26"/>
          <w:rFonts w:ascii="仿宋_GB2312" w:eastAsia="仿宋_GB2312" w:cs="仿宋_GB2312" w:hint="eastAsia"/>
          <w:b w:val="0"/>
          <w:bCs/>
          <w:color w:val="auto"/>
          <w:sz w:val="32"/>
          <w:szCs w:val="32"/>
          <w:lang w:val="en-US" w:eastAsia="zh-CN"/>
          <w:highlight w:val="auto"/>
        </w:rPr>
        <w:t>决算数与预算数持平</w:t>
      </w:r>
      <w:r>
        <w:rPr>
          <w:rStyle w:val="26"/>
          <w:rFonts w:ascii="仿宋_GB2312" w:eastAsia="仿宋_GB2312" w:cs="仿宋_GB2312" w:hint="eastAsia"/>
          <w:b w:val="0"/>
          <w:bCs/>
          <w:color w:val="auto"/>
          <w:sz w:val="32"/>
          <w:szCs w:val="32"/>
          <w:lang w:eastAsia="zh-CN"/>
          <w:highlight w:val="auto"/>
        </w:rPr>
        <w:t>。</w:t>
      </w:r>
    </w:p>
    <w:p>
      <w:pPr>
        <w:keepNext w:val="0"/>
        <w:keepLines w:val="0"/>
        <w:pageBreakBefore w:val="0"/>
        <w:widowControl w:val="0"/>
        <w:suppressAutoHyphens/>
        <w:kinsoku/>
        <w:wordWrap/>
        <w:overflowPunct/>
        <w:topLinePunct w:val="0"/>
        <w:autoSpaceDE/>
        <w:autoSpaceDN/>
        <w:bidi w:val="0"/>
        <w:adjustRightInd/>
        <w:snapToGrid/>
        <w:spacing w:line="560" w:lineRule="exact"/>
        <w:ind w:firstLineChars="200" w:firstLine="640"/>
        <w:textAlignment w:val="auto"/>
        <w:outlineLvl w:val="2"/>
        <w:rPr>
          <w:rStyle w:val="26"/>
          <w:rFonts w:ascii="仿宋_GB2312" w:eastAsia="仿宋_GB2312" w:cs="仿宋_GB2312" w:hint="eastAsia"/>
          <w:b w:val="0"/>
          <w:bCs/>
          <w:color w:val="auto"/>
          <w:sz w:val="32"/>
          <w:szCs w:val="32"/>
          <w:lang w:eastAsia="zh-CN"/>
          <w:highlight w:val="auto"/>
        </w:rPr>
      </w:pPr>
      <w:r>
        <w:rPr>
          <w:rStyle w:val="26"/>
          <w:rFonts w:ascii="仿宋_GB2312" w:eastAsia="仿宋_GB2312" w:cs="仿宋_GB2312" w:hint="eastAsia"/>
          <w:b/>
          <w:bCs w:val="0"/>
          <w:color w:val="auto"/>
          <w:sz w:val="32"/>
          <w:szCs w:val="32"/>
          <w:lang w:val="en-US" w:eastAsia="zh-CN"/>
          <w:highlight w:val="auto"/>
        </w:rPr>
        <w:t>10</w:t>
      </w:r>
      <w:r>
        <w:rPr>
          <w:rStyle w:val="26"/>
          <w:rFonts w:ascii="仿宋_GB2312" w:eastAsia="仿宋_GB2312" w:cs="仿宋_GB2312" w:hint="eastAsia"/>
          <w:b/>
          <w:bCs w:val="0"/>
          <w:color w:val="auto"/>
          <w:sz w:val="32"/>
          <w:szCs w:val="32"/>
          <w:lang w:eastAsia="zh-CN"/>
          <w:highlight w:val="auto"/>
        </w:rPr>
        <w:t>.住房保障支出（</w:t>
      </w:r>
      <w:r>
        <w:rPr>
          <w:rStyle w:val="26"/>
          <w:rFonts w:ascii="仿宋_GB2312" w:eastAsia="仿宋_GB2312" w:cs="仿宋_GB2312" w:hint="eastAsia"/>
          <w:b/>
          <w:bCs w:val="0"/>
          <w:color w:val="auto"/>
          <w:sz w:val="32"/>
          <w:szCs w:val="32"/>
          <w:lang w:val="en-US" w:eastAsia="zh-CN"/>
          <w:highlight w:val="auto"/>
        </w:rPr>
        <w:t>类</w:t>
      </w:r>
      <w:r>
        <w:rPr>
          <w:rStyle w:val="26"/>
          <w:rFonts w:ascii="仿宋_GB2312" w:eastAsia="仿宋_GB2312" w:cs="仿宋_GB2312" w:hint="eastAsia"/>
          <w:b/>
          <w:bCs w:val="0"/>
          <w:color w:val="auto"/>
          <w:sz w:val="32"/>
          <w:szCs w:val="32"/>
          <w:lang w:eastAsia="zh-CN"/>
          <w:highlight w:val="auto"/>
        </w:rPr>
        <w:t>）住房改革支出（</w:t>
      </w:r>
      <w:r>
        <w:rPr>
          <w:rStyle w:val="26"/>
          <w:rFonts w:ascii="仿宋_GB2312" w:eastAsia="仿宋_GB2312" w:cs="仿宋_GB2312" w:hint="eastAsia"/>
          <w:b/>
          <w:bCs w:val="0"/>
          <w:color w:val="auto"/>
          <w:sz w:val="32"/>
          <w:szCs w:val="32"/>
          <w:lang w:val="en-US" w:eastAsia="zh-CN"/>
          <w:highlight w:val="auto"/>
        </w:rPr>
        <w:t>款</w:t>
      </w:r>
      <w:r>
        <w:rPr>
          <w:rStyle w:val="26"/>
          <w:rFonts w:ascii="仿宋_GB2312" w:eastAsia="仿宋_GB2312" w:cs="仿宋_GB2312" w:hint="eastAsia"/>
          <w:b/>
          <w:bCs w:val="0"/>
          <w:color w:val="auto"/>
          <w:sz w:val="32"/>
          <w:szCs w:val="32"/>
          <w:lang w:eastAsia="zh-CN"/>
          <w:highlight w:val="auto"/>
        </w:rPr>
        <w:t>）住房公积金（</w:t>
      </w:r>
      <w:r>
        <w:rPr>
          <w:rStyle w:val="26"/>
          <w:rFonts w:ascii="仿宋_GB2312" w:eastAsia="仿宋_GB2312" w:cs="仿宋_GB2312" w:hint="eastAsia"/>
          <w:b/>
          <w:bCs w:val="0"/>
          <w:color w:val="auto"/>
          <w:sz w:val="32"/>
          <w:szCs w:val="32"/>
          <w:lang w:val="en-US" w:eastAsia="zh-CN"/>
          <w:highlight w:val="auto"/>
        </w:rPr>
        <w:t>项</w:t>
      </w:r>
      <w:r>
        <w:rPr>
          <w:rStyle w:val="26"/>
          <w:rFonts w:ascii="仿宋_GB2312" w:eastAsia="仿宋_GB2312" w:cs="仿宋_GB2312" w:hint="eastAsia"/>
          <w:b/>
          <w:bCs w:val="0"/>
          <w:color w:val="auto"/>
          <w:sz w:val="32"/>
          <w:szCs w:val="32"/>
          <w:lang w:eastAsia="zh-CN"/>
          <w:highlight w:val="auto"/>
        </w:rPr>
        <w:t>）:</w:t>
      </w:r>
      <w:r>
        <w:rPr>
          <w:rStyle w:val="26"/>
          <w:rFonts w:ascii="仿宋_GB2312" w:eastAsia="仿宋_GB2312" w:cs="仿宋_GB2312" w:hint="eastAsia"/>
          <w:b w:val="0"/>
          <w:bCs/>
          <w:color w:val="auto"/>
          <w:sz w:val="32"/>
          <w:szCs w:val="32"/>
          <w:lang w:eastAsia="zh-CN"/>
          <w:highlight w:val="auto"/>
        </w:rPr>
        <w:t>支出决算为354.22万元，完成预算</w:t>
      </w:r>
      <w:r>
        <w:rPr>
          <w:rStyle w:val="26"/>
          <w:rFonts w:ascii="仿宋_GB2312" w:eastAsia="仿宋_GB2312" w:cs="仿宋_GB2312" w:hint="eastAsia"/>
          <w:b w:val="0"/>
          <w:bCs/>
          <w:color w:val="auto"/>
          <w:sz w:val="32"/>
          <w:szCs w:val="32"/>
          <w:lang w:val="en-US" w:eastAsia="zh-CN"/>
          <w:highlight w:val="auto"/>
        </w:rPr>
        <w:t>100</w:t>
      </w:r>
      <w:r>
        <w:rPr>
          <w:rStyle w:val="26"/>
          <w:rFonts w:ascii="仿宋_GB2312" w:eastAsia="仿宋_GB2312" w:cs="仿宋_GB2312" w:hint="eastAsia"/>
          <w:b w:val="0"/>
          <w:bCs/>
          <w:color w:val="auto"/>
          <w:sz w:val="32"/>
          <w:szCs w:val="32"/>
          <w:lang w:eastAsia="zh-CN"/>
          <w:highlight w:val="auto"/>
        </w:rPr>
        <w:t>%，</w:t>
      </w:r>
      <w:r>
        <w:rPr>
          <w:rStyle w:val="26"/>
          <w:rFonts w:ascii="仿宋_GB2312" w:eastAsia="仿宋_GB2312" w:cs="仿宋_GB2312" w:hint="eastAsia"/>
          <w:b w:val="0"/>
          <w:bCs/>
          <w:color w:val="auto"/>
          <w:sz w:val="32"/>
          <w:szCs w:val="32"/>
          <w:lang w:val="en-US" w:eastAsia="zh-CN"/>
          <w:highlight w:val="auto"/>
        </w:rPr>
        <w:t>决算数与预算数持平</w:t>
      </w:r>
      <w:r>
        <w:rPr>
          <w:rStyle w:val="26"/>
          <w:rFonts w:ascii="仿宋_GB2312" w:eastAsia="仿宋_GB2312" w:cs="仿宋_GB2312" w:hint="eastAsia"/>
          <w:b w:val="0"/>
          <w:bCs/>
          <w:color w:val="auto"/>
          <w:sz w:val="32"/>
          <w:szCs w:val="32"/>
          <w:lang w:eastAsia="zh-CN"/>
          <w:highlight w:val="auto"/>
        </w:rPr>
        <w:t>。</w:t>
      </w:r>
    </w:p>
    <w:p>
      <w:pPr>
        <w:keepNext w:val="0"/>
        <w:keepLines w:val="0"/>
        <w:pageBreakBefore w:val="0"/>
        <w:widowControl w:val="0"/>
        <w:suppressAutoHyphens/>
        <w:kinsoku/>
        <w:wordWrap/>
        <w:overflowPunct/>
        <w:topLinePunct w:val="0"/>
        <w:autoSpaceDE/>
        <w:autoSpaceDN/>
        <w:bidi w:val="0"/>
        <w:adjustRightInd/>
        <w:snapToGrid/>
        <w:spacing w:line="560" w:lineRule="exact"/>
        <w:ind w:firstLineChars="200" w:firstLine="640"/>
        <w:textAlignment w:val="auto"/>
        <w:outlineLvl w:val="2"/>
        <w:rPr>
          <w:rStyle w:val="26"/>
          <w:rFonts w:ascii="仿宋_GB2312" w:eastAsia="仿宋_GB2312" w:cs="仿宋_GB2312" w:hint="eastAsia"/>
          <w:b w:val="0"/>
          <w:bCs/>
          <w:color w:val="auto"/>
          <w:sz w:val="32"/>
          <w:szCs w:val="32"/>
          <w:lang w:eastAsia="zh-CN"/>
          <w:highlight w:val="auto"/>
        </w:rPr>
      </w:pPr>
      <w:r>
        <w:rPr>
          <w:rStyle w:val="26"/>
          <w:rFonts w:ascii="仿宋_GB2312" w:eastAsia="仿宋_GB2312" w:cs="仿宋_GB2312" w:hint="eastAsia"/>
          <w:b/>
          <w:bCs w:val="0"/>
          <w:color w:val="auto"/>
          <w:sz w:val="32"/>
          <w:szCs w:val="32"/>
          <w:lang w:val="en-US" w:eastAsia="zh-CN"/>
          <w:highlight w:val="auto"/>
        </w:rPr>
        <w:t>11</w:t>
      </w:r>
      <w:r>
        <w:rPr>
          <w:rStyle w:val="26"/>
          <w:rFonts w:ascii="仿宋_GB2312" w:eastAsia="仿宋_GB2312" w:cs="仿宋_GB2312" w:hint="eastAsia"/>
          <w:b/>
          <w:bCs w:val="0"/>
          <w:color w:val="auto"/>
          <w:sz w:val="32"/>
          <w:szCs w:val="32"/>
          <w:lang w:eastAsia="zh-CN"/>
          <w:highlight w:val="auto"/>
        </w:rPr>
        <w:t>.住房保障支出（</w:t>
      </w:r>
      <w:r>
        <w:rPr>
          <w:rStyle w:val="26"/>
          <w:rFonts w:ascii="仿宋_GB2312" w:eastAsia="仿宋_GB2312" w:cs="仿宋_GB2312" w:hint="eastAsia"/>
          <w:b/>
          <w:bCs w:val="0"/>
          <w:color w:val="auto"/>
          <w:sz w:val="32"/>
          <w:szCs w:val="32"/>
          <w:lang w:val="en-US" w:eastAsia="zh-CN"/>
          <w:highlight w:val="auto"/>
        </w:rPr>
        <w:t>类</w:t>
      </w:r>
      <w:r>
        <w:rPr>
          <w:rStyle w:val="26"/>
          <w:rFonts w:ascii="仿宋_GB2312" w:eastAsia="仿宋_GB2312" w:cs="仿宋_GB2312" w:hint="eastAsia"/>
          <w:b/>
          <w:bCs w:val="0"/>
          <w:color w:val="auto"/>
          <w:sz w:val="32"/>
          <w:szCs w:val="32"/>
          <w:lang w:eastAsia="zh-CN"/>
          <w:highlight w:val="auto"/>
        </w:rPr>
        <w:t>）住房改革支出（</w:t>
      </w:r>
      <w:r>
        <w:rPr>
          <w:rStyle w:val="26"/>
          <w:rFonts w:ascii="仿宋_GB2312" w:eastAsia="仿宋_GB2312" w:cs="仿宋_GB2312" w:hint="eastAsia"/>
          <w:b/>
          <w:bCs w:val="0"/>
          <w:color w:val="auto"/>
          <w:sz w:val="32"/>
          <w:szCs w:val="32"/>
          <w:lang w:val="en-US" w:eastAsia="zh-CN"/>
          <w:highlight w:val="auto"/>
        </w:rPr>
        <w:t>款</w:t>
      </w:r>
      <w:r>
        <w:rPr>
          <w:rStyle w:val="26"/>
          <w:rFonts w:ascii="仿宋_GB2312" w:eastAsia="仿宋_GB2312" w:cs="仿宋_GB2312" w:hint="eastAsia"/>
          <w:b/>
          <w:bCs w:val="0"/>
          <w:color w:val="auto"/>
          <w:sz w:val="32"/>
          <w:szCs w:val="32"/>
          <w:lang w:eastAsia="zh-CN"/>
          <w:highlight w:val="auto"/>
        </w:rPr>
        <w:t>）购房补贴（</w:t>
      </w:r>
      <w:r>
        <w:rPr>
          <w:rStyle w:val="26"/>
          <w:rFonts w:ascii="仿宋_GB2312" w:eastAsia="仿宋_GB2312" w:cs="仿宋_GB2312" w:hint="eastAsia"/>
          <w:b/>
          <w:bCs w:val="0"/>
          <w:color w:val="auto"/>
          <w:sz w:val="32"/>
          <w:szCs w:val="32"/>
          <w:lang w:val="en-US" w:eastAsia="zh-CN"/>
          <w:highlight w:val="auto"/>
        </w:rPr>
        <w:t>项</w:t>
      </w:r>
      <w:r>
        <w:rPr>
          <w:rStyle w:val="26"/>
          <w:rFonts w:ascii="仿宋_GB2312" w:eastAsia="仿宋_GB2312" w:cs="仿宋_GB2312" w:hint="eastAsia"/>
          <w:b/>
          <w:bCs w:val="0"/>
          <w:color w:val="auto"/>
          <w:sz w:val="32"/>
          <w:szCs w:val="32"/>
          <w:lang w:eastAsia="zh-CN"/>
          <w:highlight w:val="auto"/>
        </w:rPr>
        <w:t>）:</w:t>
      </w:r>
      <w:r>
        <w:rPr>
          <w:rStyle w:val="26"/>
          <w:rFonts w:ascii="仿宋_GB2312" w:eastAsia="仿宋_GB2312" w:cs="仿宋_GB2312" w:hint="eastAsia"/>
          <w:b w:val="0"/>
          <w:bCs/>
          <w:color w:val="auto"/>
          <w:sz w:val="32"/>
          <w:szCs w:val="32"/>
          <w:lang w:eastAsia="zh-CN"/>
          <w:highlight w:val="auto"/>
        </w:rPr>
        <w:t>支出决算为4.4万元，完成预算</w:t>
      </w:r>
      <w:r>
        <w:rPr>
          <w:rStyle w:val="26"/>
          <w:rFonts w:ascii="仿宋_GB2312" w:eastAsia="仿宋_GB2312" w:cs="仿宋_GB2312" w:hint="eastAsia"/>
          <w:b w:val="0"/>
          <w:bCs/>
          <w:color w:val="auto"/>
          <w:sz w:val="32"/>
          <w:szCs w:val="32"/>
          <w:lang w:val="en-US" w:eastAsia="zh-CN"/>
          <w:highlight w:val="auto"/>
        </w:rPr>
        <w:t>100</w:t>
      </w:r>
      <w:r>
        <w:rPr>
          <w:rStyle w:val="26"/>
          <w:rFonts w:ascii="仿宋_GB2312" w:eastAsia="仿宋_GB2312" w:cs="仿宋_GB2312" w:hint="eastAsia"/>
          <w:b w:val="0"/>
          <w:bCs/>
          <w:color w:val="auto"/>
          <w:sz w:val="32"/>
          <w:szCs w:val="32"/>
          <w:lang w:eastAsia="zh-CN"/>
          <w:highlight w:val="auto"/>
        </w:rPr>
        <w:t>%，</w:t>
      </w:r>
      <w:r>
        <w:rPr>
          <w:rStyle w:val="26"/>
          <w:rFonts w:ascii="仿宋_GB2312" w:eastAsia="仿宋_GB2312" w:cs="仿宋_GB2312" w:hint="eastAsia"/>
          <w:b w:val="0"/>
          <w:bCs/>
          <w:color w:val="auto"/>
          <w:sz w:val="32"/>
          <w:szCs w:val="32"/>
          <w:lang w:val="en-US" w:eastAsia="zh-CN"/>
          <w:highlight w:val="auto"/>
        </w:rPr>
        <w:t>决算数与预算数持平</w:t>
      </w:r>
      <w:r>
        <w:rPr>
          <w:rStyle w:val="26"/>
          <w:rFonts w:ascii="仿宋_GB2312" w:eastAsia="仿宋_GB2312" w:cs="仿宋_GB2312" w:hint="eastAsia"/>
          <w:b w:val="0"/>
          <w:bCs/>
          <w:color w:val="auto"/>
          <w:sz w:val="32"/>
          <w:szCs w:val="32"/>
          <w:lang w:eastAsia="zh-CN"/>
          <w:highlight w:val="auto"/>
        </w:rPr>
        <w:t>。</w:t>
      </w:r>
    </w:p>
    <w:p>
      <w:pPr>
        <w:keepNext w:val="0"/>
        <w:keepLines w:val="0"/>
        <w:pageBreakBefore w:val="0"/>
        <w:widowControl w:val="0"/>
        <w:tabs>
          <w:tab w:val="right" w:pos="8306"/>
        </w:tabs>
        <w:suppressAutoHyphens/>
        <w:kinsoku/>
        <w:wordWrap/>
        <w:overflowPunct/>
        <w:topLinePunct w:val="0"/>
        <w:autoSpaceDE/>
        <w:autoSpaceDN/>
        <w:bidi w:val="0"/>
        <w:adjustRightInd/>
        <w:snapToGrid/>
        <w:spacing w:line="560" w:lineRule="exact"/>
        <w:ind w:firstLine="640"/>
        <w:textAlignment w:val="auto"/>
        <w:outlineLvl w:val="1"/>
        <w:rPr>
          <w:rStyle w:val="2Char"/>
          <w:color w:val="auto"/>
          <w:highlight w:val="auto"/>
        </w:rPr>
      </w:pPr>
      <w:r>
        <w:rPr>
          <w:rStyle w:val="2Char"/>
          <w:rFonts w:ascii="黑体" w:eastAsia="黑体" w:hint="eastAsia"/>
          <w:b w:val="0"/>
          <w:color w:val="auto"/>
          <w:highlight w:val="auto"/>
        </w:rPr>
        <w:t>六、一般公共预算财政拨款基本支出决算情况说明</w:t>
      </w:r>
      <w:bookmarkEnd w:id="34"/>
      <w:bookmarkEnd w:id="35"/>
      <w:bookmarkEnd w:id="36"/>
      <w:r>
        <w:rPr>
          <w:rStyle w:val="2Char"/>
          <w:rFonts w:ascii="黑体" w:eastAsia="黑体"/>
          <w:b w:val="0"/>
          <w:color w:val="auto"/>
          <w:highlight w:val="auto"/>
        </w:rPr>
        <w:tab/>
      </w:r>
    </w:p>
    <w:p>
      <w:pPr>
        <w:keepNext w:val="0"/>
        <w:keepLines w:val="0"/>
        <w:pageBreakBefore w:val="0"/>
        <w:widowControl w:val="0"/>
        <w:suppressAutoHyphens/>
        <w:kinsoku/>
        <w:wordWrap/>
        <w:overflowPunct/>
        <w:topLinePunct w:val="0"/>
        <w:autoSpaceDE/>
        <w:autoSpaceDN/>
        <w:bidi w:val="0"/>
        <w:adjustRightInd/>
        <w:snapToGrid/>
        <w:spacing w:line="560" w:lineRule="exact"/>
        <w:ind w:firstLine="645"/>
        <w:textAlignment w:val="auto"/>
        <w:rPr>
          <w:rFonts w:ascii="仿宋_GB2312" w:eastAsia="仿宋_GB2312" w:cs="仿宋_GB2312" w:hint="eastAsia"/>
          <w:color w:val="auto"/>
          <w:sz w:val="32"/>
          <w:szCs w:val="32"/>
          <w:highlight w:val="auto"/>
        </w:rPr>
      </w:pPr>
      <w:bookmarkStart w:id="37" w:name="_Toc9005"/>
      <w:bookmarkStart w:id="38" w:name="_Toc15377215"/>
      <w:bookmarkStart w:id="39" w:name="_Toc15396609"/>
      <w:r>
        <w:rPr>
          <w:rFonts w:ascii="仿宋_GB2312" w:eastAsia="仿宋_GB2312" w:cs="仿宋_GB2312" w:hint="eastAsia"/>
          <w:color w:val="auto"/>
          <w:sz w:val="32"/>
          <w:szCs w:val="32"/>
          <w:lang w:eastAsia="zh-CN"/>
          <w:highlight w:val="auto"/>
        </w:rPr>
        <w:t>202</w:t>
      </w:r>
      <w:r>
        <w:rPr>
          <w:rFonts w:ascii="仿宋_GB2312" w:eastAsia="仿宋_GB2312" w:cs="仿宋_GB2312" w:hint="eastAsia"/>
          <w:color w:val="auto"/>
          <w:sz w:val="32"/>
          <w:szCs w:val="32"/>
          <w:lang w:val="en-US" w:eastAsia="zh-CN"/>
          <w:highlight w:val="auto"/>
        </w:rPr>
        <w:t>5</w:t>
      </w:r>
      <w:r>
        <w:rPr>
          <w:rFonts w:ascii="仿宋_GB2312" w:eastAsia="仿宋_GB2312" w:cs="仿宋_GB2312" w:hint="eastAsia"/>
          <w:color w:val="auto"/>
          <w:sz w:val="32"/>
          <w:szCs w:val="32"/>
          <w:highlight w:val="auto"/>
        </w:rPr>
        <w:t>年</w:t>
      </w:r>
      <w:r>
        <w:rPr>
          <w:rFonts w:ascii="仿宋_GB2312" w:eastAsia="仿宋_GB2312" w:cs="仿宋_GB2312" w:hint="eastAsia"/>
          <w:color w:val="auto"/>
          <w:sz w:val="32"/>
          <w:szCs w:val="32"/>
          <w:lang w:eastAsia="zh-CN"/>
          <w:highlight w:val="auto"/>
        </w:rPr>
        <w:t>度</w:t>
      </w:r>
      <w:r>
        <w:rPr>
          <w:rFonts w:ascii="仿宋_GB2312" w:eastAsia="仿宋_GB2312" w:cs="仿宋_GB2312" w:hint="eastAsia"/>
          <w:color w:val="auto"/>
          <w:sz w:val="32"/>
          <w:szCs w:val="32"/>
          <w:highlight w:val="auto"/>
        </w:rPr>
        <w:t>一般公共预算财政拨款基本支出</w:t>
      </w:r>
      <w:r>
        <w:rPr>
          <w:rFonts w:ascii="仿宋_GB2312" w:eastAsia="仿宋_GB2312" w:cs="仿宋_GB2312" w:hint="eastAsia"/>
          <w:color w:val="auto"/>
          <w:sz w:val="32"/>
          <w:szCs w:val="32"/>
          <w:lang w:val="en-US" w:eastAsia="zh-CN"/>
          <w:highlight w:val="auto"/>
        </w:rPr>
        <w:t>6,403.36</w:t>
      </w:r>
      <w:r>
        <w:rPr>
          <w:rFonts w:ascii="仿宋_GB2312" w:eastAsia="仿宋_GB2312" w:cs="仿宋_GB2312" w:hint="eastAsia"/>
          <w:color w:val="auto"/>
          <w:sz w:val="32"/>
          <w:szCs w:val="32"/>
          <w:highlight w:val="auto"/>
        </w:rPr>
        <w:t>万元，其中：</w:t>
      </w:r>
    </w:p>
    <w:p>
      <w:pPr>
        <w:keepNext w:val="0"/>
        <w:keepLines w:val="0"/>
        <w:pageBreakBefore w:val="0"/>
        <w:widowControl w:val="0"/>
        <w:suppressAutoHyphens/>
        <w:kinsoku/>
        <w:wordWrap/>
        <w:overflowPunct/>
        <w:topLinePunct w:val="0"/>
        <w:autoSpaceDE/>
        <w:autoSpaceDN/>
        <w:bidi w:val="0"/>
        <w:adjustRightInd/>
        <w:snapToGrid/>
        <w:spacing w:line="560" w:lineRule="exact"/>
        <w:ind w:firstLine="645"/>
        <w:textAlignment w:val="auto"/>
        <w:rPr>
          <w:rFonts w:ascii="仿宋_GB2312" w:eastAsia="仿宋_GB2312" w:cs="仿宋_GB2312" w:hint="eastAsia"/>
          <w:b/>
          <w:color w:val="auto"/>
          <w:sz w:val="32"/>
          <w:szCs w:val="32"/>
          <w:highlight w:val="auto"/>
        </w:rPr>
      </w:pPr>
      <w:r>
        <w:rPr>
          <w:rFonts w:ascii="仿宋_GB2312" w:eastAsia="仿宋_GB2312" w:cs="仿宋_GB2312" w:hint="eastAsia"/>
          <w:color w:val="auto"/>
          <w:sz w:val="32"/>
          <w:szCs w:val="32"/>
          <w:highlight w:val="auto"/>
        </w:rPr>
        <w:t>人员经费</w:t>
      </w:r>
      <w:r>
        <w:rPr>
          <w:rFonts w:ascii="仿宋_GB2312" w:eastAsia="仿宋_GB2312" w:cs="仿宋_GB2312" w:hint="eastAsia"/>
          <w:color w:val="auto"/>
          <w:sz w:val="32"/>
          <w:szCs w:val="32"/>
          <w:lang w:val="en-US" w:eastAsia="zh-CN"/>
          <w:highlight w:val="auto"/>
        </w:rPr>
        <w:t>5,940.51</w:t>
      </w:r>
      <w:r>
        <w:rPr>
          <w:rFonts w:ascii="仿宋_GB2312" w:eastAsia="仿宋_GB2312" w:cs="仿宋_GB2312" w:hint="eastAsia"/>
          <w:color w:val="auto"/>
          <w:sz w:val="32"/>
          <w:szCs w:val="32"/>
          <w:highlight w:val="auto"/>
        </w:rPr>
        <w:t>万元，主要包括：基本工资、津贴补贴、奖金、机关事业单位基本养老保险缴费、职业年金缴费、</w:t>
      </w:r>
      <w:r>
        <w:rPr>
          <w:rFonts w:ascii="仿宋_GB2312" w:eastAsia="仿宋_GB2312" w:cs="仿宋_GB2312" w:hint="eastAsia"/>
          <w:color w:val="auto"/>
          <w:sz w:val="32"/>
          <w:szCs w:val="32"/>
          <w:lang w:eastAsia="zh-CN"/>
          <w:highlight w:val="auto"/>
        </w:rPr>
        <w:t>职工基本医疗保险缴费</w:t>
      </w:r>
      <w:r>
        <w:rPr>
          <w:rFonts w:ascii="仿宋_GB2312" w:eastAsia="仿宋_GB2312" w:cs="仿宋_GB2312" w:hint="eastAsia"/>
          <w:color w:val="auto"/>
          <w:sz w:val="32"/>
          <w:szCs w:val="32"/>
          <w:lang w:val="en-US" w:eastAsia="zh-CN"/>
          <w:highlight w:val="auto"/>
        </w:rPr>
        <w:t>、</w:t>
      </w:r>
      <w:r>
        <w:rPr>
          <w:rFonts w:ascii="仿宋_GB2312" w:eastAsia="仿宋_GB2312" w:cs="仿宋_GB2312" w:hint="eastAsia"/>
          <w:color w:val="auto"/>
          <w:sz w:val="32"/>
          <w:szCs w:val="32"/>
          <w:highlight w:val="auto"/>
        </w:rPr>
        <w:t>其他社会保障缴费、其他工资福利支出、</w:t>
      </w:r>
      <w:r>
        <w:rPr>
          <w:rFonts w:ascii="仿宋_GB2312" w:eastAsia="仿宋_GB2312" w:cs="仿宋_GB2312" w:hint="eastAsia"/>
          <w:color w:val="auto"/>
          <w:sz w:val="32"/>
          <w:szCs w:val="32"/>
          <w:lang w:eastAsia="zh-CN"/>
          <w:highlight w:val="auto"/>
        </w:rPr>
        <w:t>奖励</w:t>
      </w:r>
      <w:r>
        <w:rPr>
          <w:rFonts w:ascii="仿宋_GB2312" w:eastAsia="仿宋_GB2312" w:cs="仿宋_GB2312" w:hint="eastAsia"/>
          <w:color w:val="auto"/>
          <w:sz w:val="32"/>
          <w:szCs w:val="32"/>
          <w:highlight w:val="auto"/>
        </w:rPr>
        <w:t>金、生活补助、医疗费、住房公积金等。</w:t>
        <w:br/>
        <w:t>　　公用经费</w:t>
      </w:r>
      <w:r>
        <w:rPr>
          <w:rFonts w:ascii="仿宋_GB2312" w:eastAsia="仿宋_GB2312" w:cs="仿宋_GB2312" w:hint="eastAsia"/>
          <w:color w:val="auto"/>
          <w:sz w:val="32"/>
          <w:szCs w:val="32"/>
          <w:lang w:val="en-US" w:eastAsia="zh-CN"/>
          <w:highlight w:val="auto"/>
        </w:rPr>
        <w:t>462.85</w:t>
      </w:r>
      <w:r>
        <w:rPr>
          <w:rFonts w:ascii="仿宋_GB2312" w:eastAsia="仿宋_GB2312" w:cs="仿宋_GB2312" w:hint="eastAsia"/>
          <w:color w:val="auto"/>
          <w:sz w:val="32"/>
          <w:szCs w:val="32"/>
          <w:highlight w:val="auto"/>
        </w:rPr>
        <w:t>万元，主要包括：办公费、水费、电费、维修（护）费、公务接待费、劳务费、公务用车运行维护费</w:t>
      </w:r>
      <w:r>
        <w:rPr>
          <w:rFonts w:ascii="仿宋_GB2312" w:eastAsia="仿宋_GB2312" w:cs="仿宋_GB2312" w:hint="eastAsia"/>
          <w:color w:val="auto"/>
          <w:sz w:val="32"/>
          <w:szCs w:val="32"/>
          <w:lang w:val="en-US" w:eastAsia="zh-CN"/>
          <w:highlight w:val="auto"/>
        </w:rPr>
        <w:t>，其他商品和服务支出</w:t>
      </w:r>
      <w:r>
        <w:rPr>
          <w:rFonts w:ascii="仿宋_GB2312" w:eastAsia="仿宋_GB2312" w:cs="仿宋_GB2312" w:hint="eastAsia"/>
          <w:color w:val="auto"/>
          <w:sz w:val="32"/>
          <w:szCs w:val="32"/>
          <w:highlight w:val="auto"/>
        </w:rPr>
        <w:t>等。</w:t>
      </w:r>
    </w:p>
    <w:p>
      <w:pPr>
        <w:keepNext w:val="0"/>
        <w:keepLines w:val="0"/>
        <w:pageBreakBefore w:val="0"/>
        <w:widowControl w:val="0"/>
        <w:suppressAutoHyphens/>
        <w:kinsoku/>
        <w:wordWrap/>
        <w:overflowPunct/>
        <w:topLinePunct w:val="0"/>
        <w:autoSpaceDE/>
        <w:autoSpaceDN/>
        <w:bidi w:val="0"/>
        <w:adjustRightInd/>
        <w:snapToGrid/>
        <w:spacing w:line="560" w:lineRule="exact"/>
        <w:ind w:firstLine="640"/>
        <w:textAlignment w:val="auto"/>
        <w:outlineLvl w:val="1"/>
        <w:rPr>
          <w:rStyle w:val="2Char"/>
          <w:rFonts w:ascii="黑体" w:eastAsia="黑体"/>
          <w:b w:val="0"/>
          <w:color w:val="auto"/>
          <w:highlight w:val="auto"/>
        </w:rPr>
      </w:pPr>
      <w:r>
        <w:rPr>
          <w:rFonts w:ascii="黑体" w:eastAsia="黑体" w:hint="eastAsia"/>
          <w:color w:val="auto"/>
          <w:sz w:val="32"/>
          <w:szCs w:val="32"/>
          <w:highlight w:val="auto"/>
        </w:rPr>
        <w:t>七、</w:t>
      </w:r>
      <w:r>
        <w:rPr>
          <w:rStyle w:val="2Char"/>
          <w:rFonts w:ascii="黑体" w:eastAsia="黑体" w:hint="eastAsia"/>
          <w:b w:val="0"/>
          <w:color w:val="auto"/>
          <w:highlight w:val="auto"/>
        </w:rPr>
        <w:t>财政拨款</w:t>
      </w:r>
      <w:r>
        <w:rPr>
          <w:rFonts w:ascii="楷体_GB2312" w:eastAsia="楷体_GB2312" w:cs="楷体_GB2312" w:hint="eastAsia"/>
          <w:b/>
          <w:color w:val="auto"/>
          <w:sz w:val="32"/>
          <w:szCs w:val="32"/>
          <w:highlight w:val="auto"/>
        </w:rPr>
        <w:t>“三公”</w:t>
      </w:r>
      <w:r>
        <w:rPr>
          <w:rStyle w:val="2Char"/>
          <w:rFonts w:ascii="黑体" w:eastAsia="黑体" w:hint="eastAsia"/>
          <w:b w:val="0"/>
          <w:color w:val="auto"/>
          <w:highlight w:val="auto"/>
        </w:rPr>
        <w:t>经费支出决算情况说明</w:t>
      </w:r>
      <w:bookmarkEnd w:id="37"/>
      <w:bookmarkEnd w:id="38"/>
      <w:bookmarkEnd w:id="39"/>
    </w:p>
    <w:p>
      <w:pPr>
        <w:keepNext w:val="0"/>
        <w:keepLines w:val="0"/>
        <w:pageBreakBefore w:val="0"/>
        <w:widowControl w:val="0"/>
        <w:suppressAutoHyphens/>
        <w:kinsoku/>
        <w:wordWrap/>
        <w:overflowPunct/>
        <w:topLinePunct w:val="0"/>
        <w:autoSpaceDE/>
        <w:autoSpaceDN/>
        <w:bidi w:val="0"/>
        <w:adjustRightInd/>
        <w:snapToGrid/>
        <w:spacing w:line="560" w:lineRule="exact"/>
        <w:ind w:firstLine="640"/>
        <w:textAlignment w:val="auto"/>
        <w:outlineLvl w:val="2"/>
        <w:rPr>
          <w:rFonts w:ascii="楷体_GB2312" w:eastAsia="楷体_GB2312" w:cs="楷体_GB2312" w:hint="eastAsia"/>
          <w:b/>
          <w:color w:val="auto"/>
          <w:sz w:val="32"/>
          <w:szCs w:val="32"/>
          <w:highlight w:val="auto"/>
        </w:rPr>
      </w:pPr>
      <w:r>
        <w:rPr>
          <w:rFonts w:ascii="楷体_GB2312" w:eastAsia="楷体_GB2312" w:cs="楷体_GB2312" w:hint="eastAsia"/>
          <w:b/>
          <w:color w:val="auto"/>
          <w:sz w:val="32"/>
          <w:szCs w:val="32"/>
          <w:highlight w:val="auto"/>
        </w:rPr>
        <w:t>（一）“三公”经费财政拨款支出决算总体情况说明</w:t>
      </w:r>
    </w:p>
    <w:p>
      <w:pPr>
        <w:keepNext w:val="0"/>
        <w:keepLines w:val="0"/>
        <w:pageBreakBefore w:val="0"/>
        <w:widowControl w:val="0"/>
        <w:suppressAutoHyphens/>
        <w:kinsoku/>
        <w:wordWrap/>
        <w:overflowPunct/>
        <w:topLinePunct w:val="0"/>
        <w:autoSpaceDE/>
        <w:autoSpaceDN/>
        <w:bidi w:val="0"/>
        <w:adjustRightInd/>
        <w:snapToGrid/>
        <w:spacing w:line="560" w:lineRule="exact"/>
        <w:ind w:firstLine="645"/>
        <w:textAlignment w:val="auto"/>
        <w:rPr>
          <w:rFonts w:ascii="仿宋_GB2312" w:eastAsia="仿宋_GB2312" w:cs="仿宋_GB2312" w:hint="eastAsia"/>
          <w:color w:val="auto"/>
          <w:sz w:val="32"/>
          <w:szCs w:val="32"/>
          <w:lang w:val="en-US" w:eastAsia="zh-CN"/>
          <w:highlight w:val="auto"/>
        </w:rPr>
      </w:pPr>
      <w:r>
        <w:rPr>
          <w:rFonts w:ascii="仿宋_GB2312" w:eastAsia="仿宋_GB2312" w:cs="仿宋_GB2312" w:hint="eastAsia"/>
          <w:color w:val="auto"/>
          <w:sz w:val="32"/>
          <w:szCs w:val="32"/>
          <w:lang w:val="en-US" w:eastAsia="zh-CN"/>
          <w:highlight w:val="auto"/>
        </w:rPr>
        <w:t>2025年度“三公”经费财政拨款支出决算为122.34万元，完成预算100%，与上年度相比减少212.24万元，下降61.6%。主要原因是：未新购置车辆。</w:t>
      </w:r>
    </w:p>
    <w:p>
      <w:pPr>
        <w:keepNext w:val="0"/>
        <w:keepLines w:val="0"/>
        <w:pageBreakBefore w:val="0"/>
        <w:widowControl w:val="0"/>
        <w:suppressAutoHyphens/>
        <w:kinsoku/>
        <w:wordWrap/>
        <w:overflowPunct/>
        <w:topLinePunct w:val="0"/>
        <w:autoSpaceDE/>
        <w:autoSpaceDN/>
        <w:bidi w:val="0"/>
        <w:adjustRightInd/>
        <w:snapToGrid/>
        <w:spacing w:line="560" w:lineRule="exact"/>
        <w:ind w:firstLine="640"/>
        <w:textAlignment w:val="auto"/>
        <w:outlineLvl w:val="2"/>
        <w:rPr>
          <w:rFonts w:ascii="楷体_GB2312" w:eastAsia="楷体_GB2312" w:cs="楷体_GB2312" w:hint="eastAsia"/>
          <w:b/>
          <w:color w:val="auto"/>
          <w:sz w:val="32"/>
          <w:szCs w:val="32"/>
          <w:highlight w:val="auto"/>
        </w:rPr>
      </w:pPr>
      <w:r>
        <w:rPr>
          <w:rFonts w:ascii="楷体_GB2312" w:eastAsia="楷体_GB2312" w:cs="楷体_GB2312" w:hint="eastAsia"/>
          <w:b/>
          <w:color w:val="auto"/>
          <w:sz w:val="32"/>
          <w:szCs w:val="32"/>
          <w:highlight w:val="auto"/>
        </w:rPr>
        <w:t>（二）“三公”经费财政拨款支出决算具体情况说明</w:t>
      </w:r>
    </w:p>
    <w:p>
      <w:pPr>
        <w:keepNext w:val="0"/>
        <w:keepLines w:val="0"/>
        <w:pageBreakBefore w:val="0"/>
        <w:widowControl w:val="0"/>
        <w:suppressAutoHyphens/>
        <w:kinsoku/>
        <w:wordWrap/>
        <w:overflowPunct/>
        <w:topLinePunct w:val="0"/>
        <w:autoSpaceDE/>
        <w:autoSpaceDN/>
        <w:bidi w:val="0"/>
        <w:adjustRightInd/>
        <w:snapToGrid/>
        <w:spacing w:line="560" w:lineRule="exact"/>
        <w:ind w:firstLine="645"/>
        <w:textAlignment w:val="auto"/>
        <w:rPr>
          <w:rFonts w:ascii="仿宋_GB2312" w:eastAsia="仿宋_GB2312" w:cs="仿宋_GB2312" w:hint="eastAsia"/>
          <w:color w:val="auto"/>
          <w:sz w:val="32"/>
          <w:szCs w:val="32"/>
          <w:lang w:val="en-US" w:eastAsia="zh-CN"/>
          <w:highlight w:val="auto"/>
        </w:rPr>
      </w:pPr>
      <w:r>
        <w:rPr>
          <w:rFonts w:ascii="仿宋_GB2312" w:eastAsia="仿宋_GB2312" w:cs="仿宋_GB2312" w:hint="eastAsia"/>
          <w:color w:val="auto"/>
          <w:sz w:val="32"/>
          <w:szCs w:val="32"/>
          <w:lang w:val="en-US" w:eastAsia="zh-CN"/>
          <w:highlight w:val="auto"/>
        </w:rPr>
        <w:t>2025年度“三公”经费财政拨款支出决算中，因公出国（境）费支出决算0万元；公务用车购置及运行维护费支出决算119.27万元，占97.5%；公务接待费支出决算3.07万元，占2.5%。具体情况如下：</w:t>
      </w:r>
    </w:p>
    <w:p>
      <w:pPr>
        <w:pStyle w:val="15"/>
        <w:jc w:val="center"/>
        <w:rPr>
          <w:rFonts w:eastAsia="黑体" w:hint="eastAsia"/>
          <w:lang w:eastAsia="zh-CN"/>
        </w:rPr>
      </w:pPr>
      <w:r>
        <w:rPr>
          <w:rFonts w:eastAsia="黑体" w:hint="eastAsia"/>
          <w:lang w:eastAsia="zh-CN"/>
        </w:rPr>
        <w:drawing>
          <wp:inline distT="0" distB="0" distL="114300" distR="114300">
            <wp:extent cx="5256530" cy="2988310"/>
            <wp:effectExtent l="14288" t="14287" r="14333" b="14305"/>
            <wp:docPr id="21" name="图表 26"/>
            <wp:cNvGraphicFramePr>
              <a:graphicFrameLocks noChangeAspect="0"/>
            </wp:cNvGraphicFramePr>
            <a:graphic>
              <a:graphicData uri="http://schemas.openxmlformats.org/drawingml/2006/picture">
                <pic:pic>
                  <pic:nvPicPr>
                    <pic:cNvPr id="23" name="图表 26 23"/>
                    <pic:cNvPicPr/>
                  </pic:nvPicPr>
                  <pic:blipFill>
                    <a:blip r:embed="rId10"/>
                    <a:stretch>
                      <a:fillRect/>
                    </a:stretch>
                  </pic:blipFill>
                  <pic:spPr>
                    <a:xfrm rot="0">
                      <a:off x="0" y="0"/>
                      <a:ext cx="5256530" cy="2988310"/>
                    </a:xfrm>
                    <a:prstGeom prst="rect"/>
                    <a:noFill/>
                    <a:ln w="9525" cmpd="sng" cap="flat">
                      <a:solidFill>
                        <a:srgbClr val="000000"/>
                      </a:solidFill>
                      <a:prstDash val="solid"/>
                      <a:miter/>
                    </a:ln>
                  </pic:spPr>
                </pic:pic>
              </a:graphicData>
            </a:graphic>
          </wp:inline>
        </w:drawing>
      </w:r>
    </w:p>
    <w:p>
      <w:pPr>
        <w:keepNext w:val="0"/>
        <w:keepLines w:val="0"/>
        <w:pageBreakBefore w:val="0"/>
        <w:widowControl w:val="0"/>
        <w:suppressAutoHyphens/>
        <w:kinsoku/>
        <w:wordWrap/>
        <w:overflowPunct/>
        <w:topLinePunct w:val="0"/>
        <w:bidi w:val="0"/>
        <w:snapToGrid/>
        <w:spacing w:beforeAutospacing="0" w:afterAutospacing="0" w:line="560" w:lineRule="exact"/>
        <w:ind w:left="0" w:right="0" w:firstLineChars="200" w:firstLine="640"/>
        <w:textAlignment w:val="auto"/>
        <w:rPr>
          <w:rStyle w:val="26"/>
          <w:rFonts w:ascii="仿宋_GB2312" w:eastAsia="仿宋_GB2312" w:cs="仿宋_GB2312" w:hint="eastAsia"/>
          <w:b w:val="0"/>
          <w:color w:val="000000"/>
          <w:sz w:val="32"/>
          <w:szCs w:val="32"/>
          <w:lang w:val="en-US" w:eastAsia="zh-CN" w:bidi="ar-SA"/>
        </w:rPr>
      </w:pPr>
      <w:bookmarkStart w:id="40" w:name="_Toc22188"/>
      <w:bookmarkStart w:id="41" w:name="_Toc15396610"/>
      <w:bookmarkStart w:id="42" w:name="_Toc15377218"/>
      <w:r>
        <w:rPr>
          <w:rFonts w:ascii="仿宋_GB2312" w:eastAsia="仿宋_GB2312" w:cs="仿宋_GB2312" w:hint="eastAsia"/>
          <w:b/>
          <w:color w:val="auto"/>
          <w:sz w:val="32"/>
          <w:szCs w:val="32"/>
          <w:highlight w:val="auto"/>
        </w:rPr>
        <w:t>1.因公出国（境）经费支出</w:t>
      </w:r>
      <w:r>
        <w:rPr>
          <w:rFonts w:ascii="仿宋_GB2312" w:eastAsia="仿宋_GB2312" w:cs="仿宋_GB2312" w:hint="eastAsia"/>
          <w:color w:val="auto"/>
          <w:sz w:val="32"/>
          <w:szCs w:val="32"/>
          <w:lang w:val="en-US" w:eastAsia="zh-CN"/>
          <w:highlight w:val="auto"/>
        </w:rPr>
        <w:t>0</w:t>
      </w:r>
      <w:r>
        <w:rPr>
          <w:rFonts w:ascii="仿宋_GB2312" w:eastAsia="仿宋_GB2312" w:cs="仿宋_GB2312" w:hint="eastAsia"/>
          <w:color w:val="auto"/>
          <w:sz w:val="32"/>
          <w:szCs w:val="32"/>
          <w:highlight w:val="auto"/>
        </w:rPr>
        <w:t>万元</w:t>
      </w:r>
      <w:r>
        <w:rPr>
          <w:rStyle w:val="26"/>
          <w:rFonts w:ascii="仿宋_GB2312" w:eastAsia="仿宋_GB2312" w:cs="仿宋_GB2312" w:hint="eastAsia"/>
          <w:b w:val="0"/>
          <w:bCs/>
          <w:color w:val="auto"/>
          <w:sz w:val="32"/>
          <w:szCs w:val="32"/>
          <w:highlight w:val="auto"/>
        </w:rPr>
        <w:t>。</w:t>
      </w:r>
    </w:p>
    <w:p>
      <w:pPr>
        <w:keepNext w:val="0"/>
        <w:keepLines w:val="0"/>
        <w:pageBreakBefore w:val="0"/>
        <w:widowControl w:val="0"/>
        <w:suppressAutoHyphens/>
        <w:kinsoku/>
        <w:wordWrap/>
        <w:overflowPunct/>
        <w:topLinePunct w:val="0"/>
        <w:bidi w:val="0"/>
        <w:snapToGrid/>
        <w:spacing w:line="560" w:lineRule="exact"/>
        <w:ind w:firstLine="640"/>
        <w:textAlignment w:val="auto"/>
        <w:rPr>
          <w:rFonts w:ascii="仿宋_GB2312" w:eastAsia="仿宋_GB2312" w:cs="仿宋_GB2312" w:hint="eastAsia"/>
          <w:b/>
          <w:color w:val="auto"/>
          <w:sz w:val="32"/>
          <w:szCs w:val="32"/>
          <w:highlight w:val="auto"/>
        </w:rPr>
      </w:pPr>
      <w:r>
        <w:rPr>
          <w:rFonts w:ascii="仿宋_GB2312" w:eastAsia="仿宋_GB2312" w:cs="仿宋_GB2312" w:hint="eastAsia"/>
          <w:b/>
          <w:color w:val="auto"/>
          <w:sz w:val="32"/>
          <w:szCs w:val="32"/>
          <w:highlight w:val="auto"/>
        </w:rPr>
        <w:t>2.公务用车购置及运行维护费支出</w:t>
      </w:r>
      <w:r>
        <w:rPr>
          <w:rFonts w:ascii="仿宋_GB2312" w:eastAsia="仿宋_GB2312" w:cs="仿宋_GB2312" w:hint="eastAsia"/>
          <w:color w:val="auto"/>
          <w:sz w:val="32"/>
          <w:szCs w:val="32"/>
          <w:lang w:val="en-US" w:eastAsia="zh-CN"/>
          <w:highlight w:val="auto"/>
        </w:rPr>
        <w:t>119.27</w:t>
      </w:r>
      <w:r>
        <w:rPr>
          <w:rFonts w:ascii="仿宋_GB2312" w:eastAsia="仿宋_GB2312" w:cs="仿宋_GB2312" w:hint="eastAsia"/>
          <w:color w:val="auto"/>
          <w:sz w:val="32"/>
          <w:szCs w:val="32"/>
          <w:highlight w:val="auto"/>
        </w:rPr>
        <w:t>万元,</w:t>
      </w:r>
      <w:r>
        <w:rPr>
          <w:rFonts w:ascii="仿宋_GB2312" w:eastAsia="仿宋_GB2312" w:cs="仿宋_GB2312" w:hint="eastAsia"/>
          <w:color w:val="000000"/>
          <w:kern w:val="2"/>
          <w:sz w:val="32"/>
          <w:szCs w:val="32"/>
          <w:lang w:val="en-US" w:eastAsia="zh-CN" w:bidi="ar-SA"/>
        </w:rPr>
        <w:t>（其中：公务用车购置0万元，公务用车运行维护费</w:t>
      </w:r>
      <w:r>
        <w:rPr>
          <w:rFonts w:ascii="仿宋_GB2312" w:eastAsia="仿宋_GB2312" w:cs="仿宋_GB2312" w:hint="eastAsia"/>
          <w:color w:val="auto"/>
          <w:sz w:val="32"/>
          <w:szCs w:val="32"/>
          <w:lang w:val="en-US" w:eastAsia="zh-CN"/>
          <w:highlight w:val="auto"/>
        </w:rPr>
        <w:t>119.27</w:t>
      </w:r>
      <w:r>
        <w:rPr>
          <w:rFonts w:ascii="仿宋_GB2312" w:eastAsia="仿宋_GB2312" w:cs="仿宋_GB2312" w:hint="eastAsia"/>
          <w:color w:val="000000"/>
          <w:kern w:val="2"/>
          <w:sz w:val="32"/>
          <w:szCs w:val="32"/>
          <w:lang w:val="en-US" w:eastAsia="zh-CN" w:bidi="ar-SA"/>
        </w:rPr>
        <w:t>万元</w:t>
      </w:r>
      <w:r>
        <w:rPr>
          <w:rFonts w:ascii="仿宋_GB2312" w:eastAsia="仿宋_GB2312" w:cs="仿宋_GB2312"/>
          <w:color w:val="000000"/>
          <w:kern w:val="2"/>
          <w:sz w:val="32"/>
          <w:szCs w:val="32"/>
          <w:lang w:val="en-US" w:eastAsia="zh-CN" w:bidi="ar-SA"/>
        </w:rPr>
        <w:t>)</w:t>
      </w:r>
      <w:r>
        <w:rPr>
          <w:rStyle w:val="26"/>
          <w:rFonts w:ascii="仿宋_GB2312" w:eastAsia="仿宋_GB2312" w:cs="仿宋_GB2312" w:hint="eastAsia"/>
          <w:b w:val="0"/>
          <w:bCs/>
          <w:color w:val="auto"/>
          <w:sz w:val="32"/>
          <w:szCs w:val="32"/>
          <w:highlight w:val="auto"/>
        </w:rPr>
        <w:t>完成预算</w:t>
      </w:r>
      <w:r>
        <w:rPr>
          <w:rStyle w:val="26"/>
          <w:rFonts w:ascii="仿宋_GB2312" w:eastAsia="仿宋_GB2312" w:cs="仿宋_GB2312" w:hint="eastAsia"/>
          <w:b w:val="0"/>
          <w:bCs/>
          <w:color w:val="auto"/>
          <w:sz w:val="32"/>
          <w:szCs w:val="32"/>
          <w:lang w:val="en-US" w:eastAsia="zh-CN"/>
          <w:highlight w:val="auto"/>
        </w:rPr>
        <w:t>100</w:t>
      </w:r>
      <w:r>
        <w:rPr>
          <w:rStyle w:val="26"/>
          <w:rFonts w:ascii="仿宋_GB2312" w:eastAsia="仿宋_GB2312" w:cs="仿宋_GB2312" w:hint="eastAsia"/>
          <w:b w:val="0"/>
          <w:bCs/>
          <w:color w:val="auto"/>
          <w:sz w:val="32"/>
          <w:szCs w:val="32"/>
          <w:highlight w:val="auto"/>
        </w:rPr>
        <w:t>%。</w:t>
      </w:r>
      <w:r>
        <w:rPr>
          <w:rFonts w:ascii="仿宋_GB2312" w:eastAsia="仿宋_GB2312" w:cs="仿宋_GB2312" w:hint="eastAsia"/>
          <w:color w:val="auto"/>
          <w:sz w:val="32"/>
          <w:szCs w:val="32"/>
          <w:highlight w:val="auto"/>
        </w:rPr>
        <w:t>公务用车购置及运行维护费支出决算</w:t>
      </w:r>
      <w:r>
        <w:rPr>
          <w:rFonts w:ascii="仿宋_GB2312" w:eastAsia="仿宋_GB2312" w:cs="仿宋_GB2312" w:hint="eastAsia"/>
          <w:color w:val="auto"/>
          <w:sz w:val="32"/>
          <w:szCs w:val="32"/>
          <w:lang w:val="en-US" w:eastAsia="zh-CN"/>
          <w:highlight w:val="auto"/>
        </w:rPr>
        <w:t>与</w:t>
      </w:r>
      <w:r>
        <w:rPr>
          <w:rFonts w:ascii="仿宋_GB2312" w:eastAsia="仿宋_GB2312" w:cs="仿宋_GB2312" w:hint="eastAsia"/>
          <w:color w:val="auto"/>
          <w:sz w:val="32"/>
          <w:szCs w:val="32"/>
          <w:lang w:eastAsia="zh-CN"/>
          <w:highlight w:val="auto"/>
        </w:rPr>
        <w:t>202</w:t>
      </w:r>
      <w:r>
        <w:rPr>
          <w:rFonts w:ascii="仿宋_GB2312" w:eastAsia="仿宋_GB2312" w:cs="仿宋_GB2312" w:hint="eastAsia"/>
          <w:color w:val="auto"/>
          <w:sz w:val="32"/>
          <w:szCs w:val="32"/>
          <w:lang w:val="en-US" w:eastAsia="zh-CN"/>
          <w:highlight w:val="auto"/>
        </w:rPr>
        <w:t>4</w:t>
      </w:r>
      <w:r>
        <w:rPr>
          <w:rFonts w:ascii="仿宋_GB2312" w:eastAsia="仿宋_GB2312" w:cs="仿宋_GB2312" w:hint="eastAsia"/>
          <w:color w:val="auto"/>
          <w:sz w:val="32"/>
          <w:szCs w:val="32"/>
          <w:highlight w:val="auto"/>
        </w:rPr>
        <w:t>年</w:t>
      </w:r>
      <w:r>
        <w:rPr>
          <w:rFonts w:ascii="仿宋_GB2312" w:eastAsia="仿宋_GB2312" w:cs="仿宋_GB2312" w:hint="eastAsia"/>
          <w:color w:val="auto"/>
          <w:sz w:val="32"/>
          <w:szCs w:val="32"/>
          <w:lang w:eastAsia="zh-CN"/>
          <w:highlight w:val="auto"/>
        </w:rPr>
        <w:t>度</w:t>
      </w:r>
      <w:r>
        <w:rPr>
          <w:rFonts w:ascii="仿宋_GB2312" w:eastAsia="仿宋_GB2312" w:cs="仿宋_GB2312" w:hint="eastAsia"/>
          <w:color w:val="auto"/>
          <w:sz w:val="32"/>
          <w:szCs w:val="32"/>
          <w:lang w:val="en-US" w:eastAsia="zh-CN"/>
          <w:highlight w:val="auto"/>
        </w:rPr>
        <w:t>相比</w:t>
      </w:r>
      <w:r>
        <w:rPr>
          <w:rFonts w:ascii="仿宋_GB2312" w:eastAsia="仿宋_GB2312" w:cs="仿宋_GB2312" w:hint="eastAsia"/>
          <w:color w:val="auto"/>
          <w:sz w:val="32"/>
          <w:szCs w:val="32"/>
          <w:lang w:eastAsia="zh-CN"/>
          <w:highlight w:val="auto"/>
        </w:rPr>
        <w:t>减少</w:t>
      </w:r>
      <w:r>
        <w:rPr>
          <w:rFonts w:ascii="仿宋_GB2312" w:eastAsia="仿宋_GB2312" w:cs="仿宋_GB2312" w:hint="eastAsia"/>
          <w:color w:val="auto"/>
          <w:sz w:val="32"/>
          <w:szCs w:val="32"/>
          <w:lang w:val="en-US" w:eastAsia="zh-CN"/>
          <w:highlight w:val="auto"/>
        </w:rPr>
        <w:t>212.98</w:t>
      </w:r>
      <w:r>
        <w:rPr>
          <w:rFonts w:ascii="仿宋_GB2312" w:eastAsia="仿宋_GB2312" w:cs="仿宋_GB2312" w:hint="eastAsia"/>
          <w:color w:val="auto"/>
          <w:sz w:val="32"/>
          <w:szCs w:val="32"/>
          <w:highlight w:val="auto"/>
        </w:rPr>
        <w:t>万元，</w:t>
      </w:r>
      <w:r>
        <w:rPr>
          <w:rFonts w:ascii="仿宋_GB2312" w:eastAsia="仿宋_GB2312" w:cs="仿宋_GB2312" w:hint="eastAsia"/>
          <w:color w:val="auto"/>
          <w:sz w:val="32"/>
          <w:szCs w:val="32"/>
          <w:lang w:val="en-US" w:eastAsia="zh-CN"/>
          <w:highlight w:val="auto"/>
        </w:rPr>
        <w:t>下降64.1</w:t>
      </w:r>
      <w:r>
        <w:rPr>
          <w:rFonts w:ascii="仿宋_GB2312" w:eastAsia="仿宋_GB2312" w:cs="仿宋_GB2312" w:hint="eastAsia"/>
          <w:color w:val="auto"/>
          <w:sz w:val="32"/>
          <w:szCs w:val="32"/>
          <w:highlight w:val="auto"/>
        </w:rPr>
        <w:t>%。主要原因是</w:t>
      </w:r>
      <w:r>
        <w:rPr>
          <w:rFonts w:ascii="仿宋_GB2312" w:eastAsia="仿宋_GB2312" w:cs="仿宋_GB2312" w:hint="eastAsia"/>
          <w:sz w:val="32"/>
          <w:szCs w:val="32"/>
          <w:lang w:eastAsia="zh-CN"/>
        </w:rPr>
        <w:t>：</w:t>
      </w:r>
      <w:r>
        <w:rPr>
          <w:rFonts w:ascii="仿宋_GB2312" w:eastAsia="仿宋_GB2312" w:cs="仿宋_GB2312" w:hint="eastAsia"/>
          <w:color w:val="auto"/>
          <w:sz w:val="32"/>
          <w:szCs w:val="32"/>
          <w:lang w:val="en-US" w:eastAsia="zh-CN"/>
          <w:highlight w:val="auto"/>
        </w:rPr>
        <w:t>未新购置车辆</w:t>
      </w:r>
      <w:r>
        <w:rPr>
          <w:rFonts w:ascii="仿宋_GB2312" w:eastAsia="仿宋_GB2312" w:cs="仿宋_GB2312" w:hint="eastAsia"/>
          <w:color w:val="auto"/>
          <w:sz w:val="32"/>
          <w:szCs w:val="32"/>
          <w:highlight w:val="auto"/>
        </w:rPr>
        <w:t>。</w:t>
      </w:r>
    </w:p>
    <w:p>
      <w:pPr>
        <w:keepNext w:val="0"/>
        <w:keepLines w:val="0"/>
        <w:pageBreakBefore w:val="0"/>
        <w:widowControl w:val="0"/>
        <w:suppressAutoHyphens/>
        <w:kinsoku/>
        <w:wordWrap/>
        <w:overflowPunct/>
        <w:topLinePunct w:val="0"/>
        <w:bidi w:val="0"/>
        <w:snapToGrid/>
        <w:spacing w:line="560" w:lineRule="exact"/>
        <w:ind w:firstLineChars="200" w:firstLine="640"/>
        <w:textAlignment w:val="auto"/>
        <w:rPr>
          <w:rFonts w:ascii="仿宋_GB2312" w:eastAsia="仿宋_GB2312" w:cs="仿宋_GB2312" w:hint="eastAsia"/>
          <w:b/>
          <w:color w:val="auto"/>
          <w:sz w:val="32"/>
          <w:szCs w:val="32"/>
          <w:highlight w:val="auto"/>
        </w:rPr>
      </w:pPr>
      <w:r>
        <w:rPr>
          <w:rFonts w:ascii="仿宋_GB2312" w:eastAsia="仿宋_GB2312" w:cs="仿宋_GB2312" w:hint="eastAsia"/>
          <w:color w:val="auto"/>
          <w:sz w:val="32"/>
          <w:szCs w:val="32"/>
          <w:highlight w:val="auto"/>
        </w:rPr>
        <w:t>截至</w:t>
      </w:r>
      <w:r>
        <w:rPr>
          <w:rFonts w:ascii="仿宋_GB2312" w:eastAsia="仿宋_GB2312" w:cs="仿宋_GB2312" w:hint="eastAsia"/>
          <w:color w:val="auto"/>
          <w:sz w:val="32"/>
          <w:szCs w:val="32"/>
          <w:lang w:eastAsia="zh-CN"/>
          <w:highlight w:val="auto"/>
        </w:rPr>
        <w:t>202</w:t>
      </w:r>
      <w:r>
        <w:rPr>
          <w:rFonts w:ascii="仿宋_GB2312" w:eastAsia="仿宋_GB2312" w:cs="仿宋_GB2312" w:hint="eastAsia"/>
          <w:color w:val="auto"/>
          <w:sz w:val="32"/>
          <w:szCs w:val="32"/>
          <w:lang w:val="en-US" w:eastAsia="zh-CN"/>
          <w:highlight w:val="auto"/>
        </w:rPr>
        <w:t>5</w:t>
      </w:r>
      <w:r>
        <w:rPr>
          <w:rFonts w:ascii="仿宋_GB2312" w:eastAsia="仿宋_GB2312" w:cs="仿宋_GB2312" w:hint="eastAsia"/>
          <w:color w:val="auto"/>
          <w:sz w:val="32"/>
          <w:szCs w:val="32"/>
          <w:highlight w:val="auto"/>
        </w:rPr>
        <w:t>年12月</w:t>
      </w:r>
      <w:r>
        <w:rPr>
          <w:rFonts w:ascii="仿宋_GB2312" w:eastAsia="仿宋_GB2312" w:cs="仿宋_GB2312" w:hint="eastAsia"/>
          <w:color w:val="auto"/>
          <w:sz w:val="32"/>
          <w:szCs w:val="32"/>
          <w:lang w:val="en-US" w:eastAsia="zh-CN"/>
          <w:highlight w:val="auto"/>
        </w:rPr>
        <w:t>31日</w:t>
      </w:r>
      <w:r>
        <w:rPr>
          <w:rFonts w:ascii="仿宋_GB2312" w:eastAsia="仿宋_GB2312" w:cs="仿宋_GB2312" w:hint="eastAsia"/>
          <w:color w:val="auto"/>
          <w:sz w:val="32"/>
          <w:szCs w:val="32"/>
          <w:highlight w:val="auto"/>
        </w:rPr>
        <w:t>，单位共有</w:t>
      </w:r>
      <w:r>
        <w:rPr>
          <w:rFonts w:ascii="仿宋_GB2312" w:eastAsia="仿宋_GB2312" w:cs="仿宋_GB2312" w:hint="eastAsia"/>
          <w:color w:val="auto"/>
          <w:sz w:val="32"/>
          <w:szCs w:val="32"/>
          <w:lang w:eastAsia="zh-CN"/>
          <w:highlight w:val="auto"/>
        </w:rPr>
        <w:t>执法执勤</w:t>
      </w:r>
      <w:r>
        <w:rPr>
          <w:rFonts w:ascii="仿宋_GB2312" w:eastAsia="仿宋_GB2312" w:cs="仿宋_GB2312" w:hint="eastAsia"/>
          <w:color w:val="auto"/>
          <w:sz w:val="32"/>
          <w:szCs w:val="32"/>
          <w:highlight w:val="auto"/>
        </w:rPr>
        <w:t>用车</w:t>
      </w:r>
      <w:r>
        <w:rPr>
          <w:rFonts w:ascii="仿宋_GB2312" w:eastAsia="仿宋_GB2312" w:cs="仿宋_GB2312" w:hint="eastAsia"/>
          <w:color w:val="auto"/>
          <w:sz w:val="32"/>
          <w:szCs w:val="32"/>
          <w:lang w:val="en-US" w:eastAsia="zh-CN"/>
          <w:highlight w:val="auto"/>
        </w:rPr>
        <w:t>62</w:t>
      </w:r>
      <w:r>
        <w:rPr>
          <w:rFonts w:ascii="仿宋_GB2312" w:eastAsia="仿宋_GB2312" w:cs="仿宋_GB2312" w:hint="eastAsia"/>
          <w:color w:val="auto"/>
          <w:sz w:val="32"/>
          <w:szCs w:val="32"/>
          <w:highlight w:val="auto"/>
        </w:rPr>
        <w:t>辆，其中：轿车</w:t>
      </w:r>
      <w:r>
        <w:rPr>
          <w:rFonts w:ascii="仿宋_GB2312" w:eastAsia="仿宋_GB2312" w:cs="仿宋_GB2312" w:hint="eastAsia"/>
          <w:color w:val="auto"/>
          <w:sz w:val="32"/>
          <w:szCs w:val="32"/>
          <w:lang w:val="en-US" w:eastAsia="zh-CN"/>
          <w:highlight w:val="auto"/>
        </w:rPr>
        <w:t>1</w:t>
      </w:r>
      <w:r>
        <w:rPr>
          <w:rFonts w:ascii="仿宋_GB2312" w:eastAsia="仿宋_GB2312" w:cs="仿宋_GB2312" w:hint="eastAsia"/>
          <w:color w:val="auto"/>
          <w:sz w:val="32"/>
          <w:szCs w:val="32"/>
          <w:highlight w:val="auto"/>
        </w:rPr>
        <w:t>辆、越野车</w:t>
      </w:r>
      <w:r>
        <w:rPr>
          <w:rFonts w:ascii="仿宋_GB2312" w:eastAsia="仿宋_GB2312" w:cs="仿宋_GB2312" w:hint="eastAsia"/>
          <w:color w:val="auto"/>
          <w:sz w:val="32"/>
          <w:szCs w:val="32"/>
          <w:lang w:val="en-US" w:eastAsia="zh-CN"/>
          <w:highlight w:val="auto"/>
        </w:rPr>
        <w:t>3</w:t>
      </w:r>
      <w:r>
        <w:rPr>
          <w:rFonts w:ascii="仿宋_GB2312" w:eastAsia="仿宋_GB2312" w:cs="仿宋_GB2312" w:hint="eastAsia"/>
          <w:color w:val="auto"/>
          <w:sz w:val="32"/>
          <w:szCs w:val="32"/>
          <w:highlight w:val="auto"/>
        </w:rPr>
        <w:t>辆、载客汽车</w:t>
      </w:r>
      <w:r>
        <w:rPr>
          <w:rFonts w:ascii="仿宋_GB2312" w:eastAsia="仿宋_GB2312" w:cs="仿宋_GB2312" w:hint="eastAsia"/>
          <w:color w:val="auto"/>
          <w:sz w:val="32"/>
          <w:szCs w:val="32"/>
          <w:lang w:val="en-US" w:eastAsia="zh-CN"/>
          <w:highlight w:val="auto"/>
        </w:rPr>
        <w:t>2</w:t>
      </w:r>
      <w:r>
        <w:rPr>
          <w:rFonts w:ascii="仿宋_GB2312" w:eastAsia="仿宋_GB2312" w:cs="仿宋_GB2312" w:hint="eastAsia"/>
          <w:color w:val="auto"/>
          <w:sz w:val="32"/>
          <w:szCs w:val="32"/>
          <w:highlight w:val="auto"/>
        </w:rPr>
        <w:t>辆。</w:t>
      </w:r>
    </w:p>
    <w:p>
      <w:pPr>
        <w:keepNext w:val="0"/>
        <w:keepLines w:val="0"/>
        <w:pageBreakBefore w:val="0"/>
        <w:widowControl w:val="0"/>
        <w:suppressAutoHyphens/>
        <w:kinsoku/>
        <w:wordWrap/>
        <w:overflowPunct/>
        <w:topLinePunct w:val="0"/>
        <w:bidi w:val="0"/>
        <w:snapToGrid/>
        <w:spacing w:line="560" w:lineRule="exact"/>
        <w:ind w:firstLine="640"/>
        <w:textAlignment w:val="auto"/>
        <w:rPr>
          <w:rFonts w:ascii="仿宋_GB2312" w:eastAsia="仿宋_GB2312" w:cs="仿宋_GB2312" w:hint="eastAsia"/>
          <w:color w:val="auto"/>
          <w:sz w:val="32"/>
          <w:szCs w:val="32"/>
          <w:highlight w:val="auto"/>
        </w:rPr>
      </w:pPr>
      <w:r>
        <w:rPr>
          <w:rFonts w:ascii="仿宋_GB2312" w:eastAsia="仿宋_GB2312" w:cs="仿宋_GB2312" w:hint="eastAsia"/>
          <w:b/>
          <w:color w:val="auto"/>
          <w:sz w:val="32"/>
          <w:szCs w:val="32"/>
          <w:highlight w:val="auto"/>
        </w:rPr>
        <w:t>公务用车运行维护费支出</w:t>
      </w:r>
      <w:r>
        <w:rPr>
          <w:rFonts w:ascii="仿宋_GB2312" w:eastAsia="仿宋_GB2312" w:cs="仿宋_GB2312" w:hint="eastAsia"/>
          <w:color w:val="auto"/>
          <w:sz w:val="32"/>
          <w:szCs w:val="32"/>
          <w:lang w:val="en-US" w:eastAsia="zh-CN"/>
          <w:highlight w:val="auto"/>
        </w:rPr>
        <w:t>119.27</w:t>
      </w:r>
      <w:r>
        <w:rPr>
          <w:rFonts w:ascii="仿宋_GB2312" w:eastAsia="仿宋_GB2312" w:cs="仿宋_GB2312" w:hint="eastAsia"/>
          <w:color w:val="auto"/>
          <w:sz w:val="32"/>
          <w:szCs w:val="32"/>
          <w:highlight w:val="auto"/>
        </w:rPr>
        <w:t>万元。</w:t>
      </w:r>
      <w:r>
        <w:rPr>
          <w:rFonts w:ascii="仿宋_GB2312" w:eastAsia="仿宋_GB2312" w:cs="仿宋_GB2312" w:hint="eastAsia"/>
          <w:color w:val="000000"/>
          <w:kern w:val="2"/>
          <w:sz w:val="32"/>
          <w:szCs w:val="32"/>
          <w:lang w:val="en-US" w:eastAsia="zh-CN" w:bidi="ar-SA"/>
        </w:rPr>
        <w:t>主要用于</w:t>
      </w:r>
      <w:r>
        <w:rPr>
          <w:rFonts w:ascii="仿宋_GB2312" w:eastAsia="仿宋_GB2312" w:cs="仿宋_GB2312" w:hint="eastAsia"/>
          <w:color w:val="000000"/>
          <w:sz w:val="32"/>
          <w:szCs w:val="32"/>
          <w:lang w:bidi="ar-SA"/>
        </w:rPr>
        <w:t>日常业务、办案、处突、巡逻、执勤、安保、出差等所需的公务用车燃料费、维修费、过路过桥费、保险费等支出。</w:t>
      </w:r>
    </w:p>
    <w:p>
      <w:pPr>
        <w:keepNext w:val="0"/>
        <w:keepLines w:val="0"/>
        <w:pageBreakBefore w:val="0"/>
        <w:widowControl w:val="0"/>
        <w:suppressAutoHyphens/>
        <w:kinsoku/>
        <w:wordWrap/>
        <w:overflowPunct/>
        <w:topLinePunct w:val="0"/>
        <w:bidi w:val="0"/>
        <w:snapToGrid/>
        <w:spacing w:line="560" w:lineRule="exact"/>
        <w:ind w:firstLine="640"/>
        <w:textAlignment w:val="auto"/>
        <w:rPr>
          <w:rFonts w:ascii="仿宋_GB2312" w:eastAsia="仿宋_GB2312" w:cs="仿宋_GB2312" w:hint="eastAsia"/>
          <w:color w:val="auto"/>
          <w:sz w:val="32"/>
          <w:szCs w:val="32"/>
          <w:highlight w:val="auto"/>
        </w:rPr>
      </w:pPr>
      <w:r>
        <w:rPr>
          <w:rFonts w:ascii="仿宋_GB2312" w:eastAsia="仿宋_GB2312" w:cs="仿宋_GB2312" w:hint="eastAsia"/>
          <w:b/>
          <w:color w:val="auto"/>
          <w:sz w:val="32"/>
          <w:szCs w:val="32"/>
          <w:highlight w:val="auto"/>
        </w:rPr>
        <w:t>3.公务接待费支出</w:t>
      </w:r>
      <w:r>
        <w:rPr>
          <w:rFonts w:ascii="仿宋_GB2312" w:eastAsia="仿宋_GB2312" w:cs="仿宋_GB2312" w:hint="eastAsia"/>
          <w:color w:val="auto"/>
          <w:sz w:val="32"/>
          <w:szCs w:val="32"/>
          <w:lang w:val="en-US" w:eastAsia="zh-CN"/>
          <w:highlight w:val="auto"/>
        </w:rPr>
        <w:t>3.07</w:t>
      </w:r>
      <w:r>
        <w:rPr>
          <w:rFonts w:ascii="仿宋_GB2312" w:eastAsia="仿宋_GB2312" w:cs="仿宋_GB2312" w:hint="eastAsia"/>
          <w:color w:val="auto"/>
          <w:sz w:val="32"/>
          <w:szCs w:val="32"/>
          <w:highlight w:val="auto"/>
        </w:rPr>
        <w:t>万元，</w:t>
      </w:r>
      <w:r>
        <w:rPr>
          <w:rStyle w:val="26"/>
          <w:rFonts w:ascii="仿宋_GB2312" w:eastAsia="仿宋_GB2312" w:cs="仿宋_GB2312" w:hint="eastAsia"/>
          <w:b w:val="0"/>
          <w:bCs/>
          <w:color w:val="auto"/>
          <w:sz w:val="32"/>
          <w:szCs w:val="32"/>
          <w:highlight w:val="auto"/>
        </w:rPr>
        <w:t>完成预算</w:t>
      </w:r>
      <w:r>
        <w:rPr>
          <w:rStyle w:val="26"/>
          <w:rFonts w:ascii="仿宋_GB2312" w:eastAsia="仿宋_GB2312" w:cs="仿宋_GB2312" w:hint="eastAsia"/>
          <w:b w:val="0"/>
          <w:bCs/>
          <w:color w:val="auto"/>
          <w:sz w:val="32"/>
          <w:szCs w:val="32"/>
          <w:lang w:val="en-US" w:eastAsia="zh-CN"/>
          <w:highlight w:val="auto"/>
        </w:rPr>
        <w:t>100</w:t>
      </w:r>
      <w:r>
        <w:rPr>
          <w:rStyle w:val="26"/>
          <w:rFonts w:ascii="仿宋_GB2312" w:eastAsia="仿宋_GB2312" w:cs="仿宋_GB2312" w:hint="eastAsia"/>
          <w:b w:val="0"/>
          <w:bCs/>
          <w:color w:val="auto"/>
          <w:sz w:val="32"/>
          <w:szCs w:val="32"/>
          <w:highlight w:val="auto"/>
        </w:rPr>
        <w:t>%。</w:t>
      </w:r>
      <w:r>
        <w:rPr>
          <w:rFonts w:ascii="仿宋_GB2312" w:eastAsia="仿宋_GB2312" w:cs="仿宋_GB2312" w:hint="eastAsia"/>
          <w:color w:val="auto"/>
          <w:sz w:val="32"/>
          <w:szCs w:val="32"/>
          <w:highlight w:val="auto"/>
        </w:rPr>
        <w:t>公务接待费支出决算</w:t>
      </w:r>
      <w:r>
        <w:rPr>
          <w:rFonts w:ascii="仿宋_GB2312" w:eastAsia="仿宋_GB2312" w:cs="仿宋_GB2312" w:hint="eastAsia"/>
          <w:color w:val="auto"/>
          <w:sz w:val="32"/>
          <w:szCs w:val="32"/>
          <w:lang w:val="en-US" w:eastAsia="zh-CN"/>
          <w:highlight w:val="auto"/>
        </w:rPr>
        <w:t>与</w:t>
      </w:r>
      <w:r>
        <w:rPr>
          <w:rFonts w:ascii="仿宋_GB2312" w:eastAsia="仿宋_GB2312" w:cs="仿宋_GB2312" w:hint="eastAsia"/>
          <w:color w:val="auto"/>
          <w:sz w:val="32"/>
          <w:szCs w:val="32"/>
          <w:lang w:eastAsia="zh-CN"/>
          <w:highlight w:val="auto"/>
        </w:rPr>
        <w:t>202</w:t>
      </w:r>
      <w:r>
        <w:rPr>
          <w:rFonts w:ascii="仿宋_GB2312" w:eastAsia="仿宋_GB2312" w:cs="仿宋_GB2312" w:hint="eastAsia"/>
          <w:color w:val="auto"/>
          <w:sz w:val="32"/>
          <w:szCs w:val="32"/>
          <w:lang w:val="en-US" w:eastAsia="zh-CN"/>
          <w:highlight w:val="auto"/>
        </w:rPr>
        <w:t>4</w:t>
      </w:r>
      <w:r>
        <w:rPr>
          <w:rFonts w:ascii="仿宋_GB2312" w:eastAsia="仿宋_GB2312" w:cs="仿宋_GB2312" w:hint="eastAsia"/>
          <w:color w:val="auto"/>
          <w:sz w:val="32"/>
          <w:szCs w:val="32"/>
          <w:highlight w:val="auto"/>
        </w:rPr>
        <w:t>年</w:t>
      </w:r>
      <w:r>
        <w:rPr>
          <w:rFonts w:ascii="仿宋_GB2312" w:eastAsia="仿宋_GB2312" w:cs="仿宋_GB2312" w:hint="eastAsia"/>
          <w:color w:val="auto"/>
          <w:sz w:val="32"/>
          <w:szCs w:val="32"/>
          <w:lang w:eastAsia="zh-CN"/>
          <w:highlight w:val="auto"/>
        </w:rPr>
        <w:t>度</w:t>
      </w:r>
      <w:r>
        <w:rPr>
          <w:rFonts w:ascii="仿宋_GB2312" w:eastAsia="仿宋_GB2312" w:cs="仿宋_GB2312" w:hint="eastAsia"/>
          <w:color w:val="auto"/>
          <w:sz w:val="32"/>
          <w:szCs w:val="32"/>
          <w:lang w:val="en-US" w:eastAsia="zh-CN"/>
          <w:highlight w:val="auto"/>
        </w:rPr>
        <w:t>相比</w:t>
      </w:r>
      <w:r>
        <w:rPr>
          <w:rFonts w:ascii="仿宋_GB2312" w:eastAsia="仿宋_GB2312" w:cs="仿宋_GB2312" w:hint="eastAsia"/>
          <w:color w:val="auto"/>
          <w:sz w:val="32"/>
          <w:szCs w:val="32"/>
          <w:highlight w:val="auto"/>
        </w:rPr>
        <w:t>增</w:t>
      </w:r>
      <w:r>
        <w:rPr>
          <w:rFonts w:ascii="仿宋_GB2312" w:eastAsia="仿宋_GB2312" w:cs="仿宋_GB2312" w:hint="eastAsia"/>
          <w:color w:val="auto"/>
          <w:sz w:val="32"/>
          <w:szCs w:val="32"/>
          <w:lang w:eastAsia="zh-CN"/>
          <w:highlight w:val="auto"/>
        </w:rPr>
        <w:t>加</w:t>
      </w:r>
      <w:r>
        <w:rPr>
          <w:rFonts w:ascii="仿宋_GB2312" w:eastAsia="仿宋_GB2312" w:cs="仿宋_GB2312" w:hint="eastAsia"/>
          <w:color w:val="auto"/>
          <w:sz w:val="32"/>
          <w:szCs w:val="32"/>
          <w:lang w:val="en-US" w:eastAsia="zh-CN"/>
          <w:highlight w:val="auto"/>
        </w:rPr>
        <w:t>0.74</w:t>
      </w:r>
      <w:r>
        <w:rPr>
          <w:rFonts w:ascii="仿宋_GB2312" w:eastAsia="仿宋_GB2312" w:cs="仿宋_GB2312" w:hint="eastAsia"/>
          <w:color w:val="auto"/>
          <w:sz w:val="32"/>
          <w:szCs w:val="32"/>
          <w:highlight w:val="auto"/>
        </w:rPr>
        <w:t>万元，</w:t>
      </w:r>
      <w:r>
        <w:rPr>
          <w:rFonts w:ascii="仿宋_GB2312" w:eastAsia="仿宋_GB2312" w:cs="仿宋_GB2312" w:hint="eastAsia"/>
          <w:color w:val="auto"/>
          <w:sz w:val="32"/>
          <w:szCs w:val="32"/>
          <w:lang w:eastAsia="zh-CN"/>
          <w:highlight w:val="auto"/>
        </w:rPr>
        <w:t>增长</w:t>
      </w:r>
      <w:r>
        <w:rPr>
          <w:rFonts w:ascii="仿宋_GB2312" w:eastAsia="仿宋_GB2312" w:cs="仿宋_GB2312" w:hint="eastAsia"/>
          <w:color w:val="auto"/>
          <w:sz w:val="32"/>
          <w:szCs w:val="32"/>
          <w:lang w:val="en-US" w:eastAsia="zh-CN"/>
          <w:highlight w:val="auto"/>
        </w:rPr>
        <w:t>31.8</w:t>
      </w:r>
      <w:r>
        <w:rPr>
          <w:rFonts w:ascii="仿宋_GB2312" w:eastAsia="仿宋_GB2312" w:cs="仿宋_GB2312" w:hint="eastAsia"/>
          <w:color w:val="auto"/>
          <w:sz w:val="32"/>
          <w:szCs w:val="32"/>
          <w:highlight w:val="auto"/>
        </w:rPr>
        <w:t>%。主要原因是</w:t>
      </w:r>
      <w:r>
        <w:rPr>
          <w:rFonts w:ascii="仿宋_GB2312" w:eastAsia="仿宋_GB2312" w:cs="仿宋_GB2312" w:hint="eastAsia"/>
          <w:color w:val="auto"/>
          <w:sz w:val="32"/>
          <w:szCs w:val="32"/>
          <w:lang w:eastAsia="zh-CN"/>
          <w:highlight w:val="auto"/>
        </w:rPr>
        <w:t>：办案业务量增加</w:t>
      </w:r>
      <w:r>
        <w:rPr>
          <w:rFonts w:ascii="仿宋_GB2312" w:eastAsia="仿宋_GB2312" w:cs="仿宋_GB2312" w:hint="eastAsia"/>
          <w:color w:val="auto"/>
          <w:sz w:val="32"/>
          <w:szCs w:val="32"/>
          <w:highlight w:val="auto"/>
        </w:rPr>
        <w:t>。其中：</w:t>
      </w:r>
    </w:p>
    <w:p>
      <w:pPr>
        <w:pageBreakBefore w:val="0"/>
        <w:widowControl w:val="0"/>
        <w:suppressAutoHyphens/>
        <w:kinsoku/>
        <w:wordWrap/>
        <w:overflowPunct/>
        <w:topLinePunct w:val="0"/>
        <w:bidi w:val="0"/>
        <w:spacing w:line="560" w:lineRule="exact"/>
        <w:ind w:firstLine="640"/>
        <w:textAlignment w:val="auto"/>
        <w:outlineLvl w:val="1"/>
        <w:rPr>
          <w:rFonts w:ascii="仿宋_GB2312" w:eastAsia="仿宋_GB2312" w:cs="仿宋_GB2312" w:hint="eastAsia"/>
          <w:color w:val="auto"/>
          <w:sz w:val="32"/>
          <w:szCs w:val="32"/>
          <w:highlight w:val="auto"/>
        </w:rPr>
      </w:pPr>
      <w:r>
        <w:rPr>
          <w:rFonts w:ascii="仿宋_GB2312" w:eastAsia="仿宋_GB2312" w:cs="仿宋_GB2312" w:hint="eastAsia"/>
          <w:b/>
          <w:color w:val="auto"/>
          <w:sz w:val="32"/>
          <w:szCs w:val="32"/>
          <w:highlight w:val="auto"/>
        </w:rPr>
        <w:t>国内公务接待支出</w:t>
      </w:r>
      <w:r>
        <w:rPr>
          <w:rFonts w:ascii="仿宋_GB2312" w:eastAsia="仿宋_GB2312" w:cs="仿宋_GB2312" w:hint="eastAsia"/>
          <w:color w:val="auto"/>
          <w:sz w:val="32"/>
          <w:szCs w:val="32"/>
          <w:lang w:val="en-US" w:eastAsia="zh-CN"/>
          <w:highlight w:val="auto"/>
        </w:rPr>
        <w:t>3.07</w:t>
      </w:r>
      <w:r>
        <w:rPr>
          <w:rFonts w:ascii="仿宋_GB2312" w:eastAsia="仿宋_GB2312" w:cs="仿宋_GB2312" w:hint="eastAsia"/>
          <w:color w:val="auto"/>
          <w:sz w:val="32"/>
          <w:szCs w:val="32"/>
          <w:highlight w:val="auto"/>
        </w:rPr>
        <w:t>万元，主要用于</w:t>
      </w:r>
      <w:r>
        <w:rPr>
          <w:rFonts w:ascii="仿宋_GB2312" w:eastAsia="仿宋_GB2312" w:cs="仿宋_GB2312" w:hint="eastAsia"/>
          <w:color w:val="000000"/>
          <w:sz w:val="32"/>
          <w:szCs w:val="32"/>
          <w:lang w:bidi="ar-SA"/>
        </w:rPr>
        <w:t>执行公务、开展业务活动开支的交通费、住宿费、用餐费</w:t>
      </w:r>
      <w:r>
        <w:rPr>
          <w:rFonts w:ascii="仿宋_GB2312" w:eastAsia="仿宋_GB2312" w:cs="仿宋_GB2312" w:hint="eastAsia"/>
          <w:color w:val="auto"/>
          <w:sz w:val="32"/>
          <w:szCs w:val="32"/>
          <w:highlight w:val="auto"/>
        </w:rPr>
        <w:t>。国内公务接待</w:t>
      </w:r>
      <w:r>
        <w:rPr>
          <w:rFonts w:ascii="仿宋_GB2312" w:eastAsia="仿宋_GB2312" w:cs="仿宋_GB2312" w:hint="eastAsia"/>
          <w:color w:val="auto"/>
          <w:sz w:val="32"/>
          <w:szCs w:val="32"/>
          <w:lang w:val="en-US" w:eastAsia="zh-CN"/>
          <w:highlight w:val="auto"/>
        </w:rPr>
        <w:t>20</w:t>
      </w:r>
      <w:r>
        <w:rPr>
          <w:rFonts w:ascii="仿宋_GB2312" w:eastAsia="仿宋_GB2312" w:cs="仿宋_GB2312" w:hint="eastAsia"/>
          <w:color w:val="auto"/>
          <w:sz w:val="32"/>
          <w:szCs w:val="32"/>
          <w:highlight w:val="auto"/>
        </w:rPr>
        <w:t>批次，</w:t>
      </w:r>
      <w:r>
        <w:rPr>
          <w:rFonts w:ascii="仿宋_GB2312" w:eastAsia="仿宋_GB2312" w:cs="仿宋_GB2312" w:hint="eastAsia"/>
          <w:color w:val="auto"/>
          <w:sz w:val="32"/>
          <w:szCs w:val="32"/>
          <w:lang w:val="en-US" w:eastAsia="zh-CN"/>
          <w:highlight w:val="auto"/>
        </w:rPr>
        <w:t>161</w:t>
      </w:r>
      <w:r>
        <w:rPr>
          <w:rFonts w:ascii="仿宋_GB2312" w:eastAsia="仿宋_GB2312" w:cs="仿宋_GB2312" w:hint="eastAsia"/>
          <w:color w:val="auto"/>
          <w:sz w:val="32"/>
          <w:szCs w:val="32"/>
          <w:highlight w:val="auto"/>
        </w:rPr>
        <w:t>人次（不包括陪同人员），共计支出</w:t>
      </w:r>
      <w:r>
        <w:rPr>
          <w:rFonts w:ascii="仿宋_GB2312" w:eastAsia="仿宋_GB2312" w:cs="仿宋_GB2312" w:hint="eastAsia"/>
          <w:color w:val="auto"/>
          <w:sz w:val="32"/>
          <w:szCs w:val="32"/>
          <w:lang w:val="en-US" w:eastAsia="zh-CN"/>
          <w:highlight w:val="auto"/>
        </w:rPr>
        <w:t>3.07</w:t>
      </w:r>
      <w:r>
        <w:rPr>
          <w:rFonts w:ascii="仿宋_GB2312" w:eastAsia="仿宋_GB2312" w:cs="仿宋_GB2312" w:hint="eastAsia"/>
          <w:color w:val="auto"/>
          <w:sz w:val="32"/>
          <w:szCs w:val="32"/>
          <w:highlight w:val="auto"/>
        </w:rPr>
        <w:t>万元，</w:t>
      </w:r>
      <w:r>
        <w:rPr>
          <w:rFonts w:ascii="仿宋_GB2312" w:eastAsia="仿宋_GB2312" w:cs="仿宋_GB2312" w:hint="eastAsia"/>
          <w:color w:val="000000"/>
          <w:sz w:val="32"/>
          <w:szCs w:val="32"/>
          <w:lang w:bidi="ar-SA"/>
        </w:rPr>
        <w:t>主要用于接待办案、检查、学习、维稳、安保、抢险救灾等上级领导及办案人员</w:t>
      </w:r>
      <w:r>
        <w:rPr>
          <w:rFonts w:ascii="仿宋_GB2312" w:eastAsia="仿宋_GB2312" w:cs="仿宋_GB2312" w:hint="eastAsia"/>
          <w:color w:val="auto"/>
          <w:sz w:val="32"/>
          <w:szCs w:val="32"/>
          <w:highlight w:val="auto"/>
        </w:rPr>
        <w:t>。</w:t>
      </w:r>
    </w:p>
    <w:p>
      <w:pPr>
        <w:pageBreakBefore w:val="0"/>
        <w:widowControl w:val="0"/>
        <w:suppressAutoHyphens/>
        <w:kinsoku/>
        <w:wordWrap/>
        <w:overflowPunct/>
        <w:topLinePunct w:val="0"/>
        <w:bidi w:val="0"/>
        <w:spacing w:line="560" w:lineRule="exact"/>
        <w:ind w:firstLine="640"/>
        <w:textAlignment w:val="auto"/>
        <w:outlineLvl w:val="1"/>
        <w:rPr>
          <w:rStyle w:val="2Char"/>
          <w:rFonts w:ascii="黑体" w:eastAsia="黑体"/>
          <w:color w:val="auto"/>
          <w:highlight w:val="auto"/>
        </w:rPr>
      </w:pPr>
      <w:r>
        <w:rPr>
          <w:rFonts w:ascii="黑体" w:eastAsia="黑体" w:hint="eastAsia"/>
          <w:color w:val="auto"/>
          <w:sz w:val="32"/>
          <w:szCs w:val="32"/>
          <w:highlight w:val="auto"/>
        </w:rPr>
        <w:t>八、</w:t>
      </w:r>
      <w:r>
        <w:rPr>
          <w:rStyle w:val="2Char"/>
          <w:rFonts w:ascii="黑体" w:eastAsia="黑体" w:hint="eastAsia"/>
          <w:b w:val="0"/>
          <w:color w:val="auto"/>
          <w:highlight w:val="auto"/>
        </w:rPr>
        <w:t>政府性基金预算支出决算情况说明</w:t>
      </w:r>
      <w:bookmarkEnd w:id="40"/>
      <w:bookmarkEnd w:id="41"/>
      <w:bookmarkEnd w:id="42"/>
    </w:p>
    <w:p>
      <w:pPr>
        <w:pageBreakBefore w:val="0"/>
        <w:widowControl w:val="0"/>
        <w:suppressAutoHyphens/>
        <w:kinsoku/>
        <w:wordWrap/>
        <w:overflowPunct/>
        <w:topLinePunct w:val="0"/>
        <w:bidi w:val="0"/>
        <w:spacing w:line="560" w:lineRule="exact"/>
        <w:ind w:firstLine="640"/>
        <w:textAlignment w:val="auto"/>
        <w:rPr>
          <w:rFonts w:ascii="仿宋_GB2312" w:eastAsia="仿宋_GB2312"/>
          <w:color w:val="auto"/>
          <w:sz w:val="32"/>
          <w:szCs w:val="32"/>
          <w:highlight w:val="auto"/>
        </w:rPr>
      </w:pPr>
      <w:r>
        <w:rPr>
          <w:rFonts w:ascii="仿宋_GB2312" w:eastAsia="仿宋_GB2312" w:hint="eastAsia"/>
          <w:color w:val="auto"/>
          <w:sz w:val="32"/>
          <w:szCs w:val="32"/>
          <w:lang w:eastAsia="zh-CN"/>
          <w:highlight w:val="auto"/>
        </w:rPr>
        <w:t>202</w:t>
      </w:r>
      <w:r>
        <w:rPr>
          <w:rFonts w:ascii="仿宋_GB2312" w:eastAsia="仿宋_GB2312" w:hint="eastAsia"/>
          <w:color w:val="auto"/>
          <w:sz w:val="32"/>
          <w:szCs w:val="32"/>
          <w:lang w:val="en-US" w:eastAsia="zh-CN"/>
          <w:highlight w:val="auto"/>
        </w:rPr>
        <w:t>5</w:t>
      </w:r>
      <w:r>
        <w:rPr>
          <w:rFonts w:ascii="仿宋_GB2312" w:eastAsia="仿宋_GB2312" w:hint="eastAsia"/>
          <w:color w:val="auto"/>
          <w:sz w:val="32"/>
          <w:szCs w:val="32"/>
          <w:highlight w:val="auto"/>
        </w:rPr>
        <w:t>年</w:t>
      </w:r>
      <w:r>
        <w:rPr>
          <w:rFonts w:ascii="仿宋_GB2312" w:eastAsia="仿宋_GB2312" w:hint="eastAsia"/>
          <w:color w:val="auto"/>
          <w:sz w:val="32"/>
          <w:szCs w:val="32"/>
          <w:lang w:eastAsia="zh-CN"/>
          <w:highlight w:val="auto"/>
        </w:rPr>
        <w:t>度</w:t>
      </w:r>
      <w:r>
        <w:rPr>
          <w:rFonts w:ascii="仿宋_GB2312" w:eastAsia="仿宋_GB2312" w:hint="eastAsia"/>
          <w:color w:val="auto"/>
          <w:sz w:val="32"/>
          <w:szCs w:val="32"/>
          <w:highlight w:val="auto"/>
        </w:rPr>
        <w:t>政府性基金预算</w:t>
      </w:r>
      <w:r>
        <w:rPr>
          <w:rFonts w:ascii="仿宋_GB2312" w:eastAsia="仿宋_GB2312" w:hint="eastAsia"/>
          <w:color w:val="auto"/>
          <w:sz w:val="32"/>
          <w:szCs w:val="32"/>
          <w:lang w:eastAsia="zh-CN"/>
          <w:highlight w:val="auto"/>
        </w:rPr>
        <w:t>财政</w:t>
      </w:r>
      <w:r>
        <w:rPr>
          <w:rFonts w:ascii="仿宋_GB2312" w:eastAsia="仿宋_GB2312" w:hint="eastAsia"/>
          <w:color w:val="auto"/>
          <w:sz w:val="32"/>
          <w:szCs w:val="32"/>
          <w:highlight w:val="auto"/>
        </w:rPr>
        <w:t>拨款支出</w:t>
      </w:r>
      <w:r>
        <w:rPr>
          <w:rFonts w:ascii="仿宋_GB2312" w:eastAsia="仿宋_GB2312" w:hint="eastAsia"/>
          <w:color w:val="auto"/>
          <w:sz w:val="32"/>
          <w:szCs w:val="32"/>
          <w:lang w:val="en-US" w:eastAsia="zh-CN"/>
          <w:highlight w:val="auto"/>
        </w:rPr>
        <w:t>0</w:t>
      </w:r>
      <w:r>
        <w:rPr>
          <w:rFonts w:ascii="仿宋_GB2312" w:eastAsia="仿宋_GB2312" w:hint="eastAsia"/>
          <w:color w:val="auto"/>
          <w:sz w:val="32"/>
          <w:szCs w:val="32"/>
          <w:highlight w:val="auto"/>
        </w:rPr>
        <w:t>万元。</w:t>
      </w:r>
    </w:p>
    <w:p>
      <w:pPr>
        <w:pageBreakBefore w:val="0"/>
        <w:widowControl w:val="0"/>
        <w:numPr>
          <w:ilvl w:val="0"/>
          <w:numId w:val="2"/>
        </w:numPr>
        <w:suppressAutoHyphens/>
        <w:kinsoku/>
        <w:wordWrap/>
        <w:overflowPunct/>
        <w:topLinePunct w:val="0"/>
        <w:bidi w:val="0"/>
        <w:spacing w:line="560" w:lineRule="exact"/>
        <w:ind w:left="0" w:firstLine="640"/>
        <w:textAlignment w:val="auto"/>
        <w:outlineLvl w:val="1"/>
        <w:rPr>
          <w:rStyle w:val="2Char"/>
          <w:rFonts w:ascii="黑体" w:eastAsia="黑体"/>
          <w:b w:val="0"/>
          <w:color w:val="auto"/>
          <w:highlight w:val="auto"/>
        </w:rPr>
      </w:pPr>
      <w:bookmarkStart w:id="43" w:name="_Toc15377219"/>
      <w:bookmarkStart w:id="44" w:name="_Toc15396611"/>
      <w:bookmarkStart w:id="45" w:name="_Toc4728"/>
      <w:r>
        <w:rPr>
          <w:rStyle w:val="2Char"/>
          <w:rFonts w:ascii="黑体" w:eastAsia="黑体" w:hint="eastAsia"/>
          <w:b w:val="0"/>
          <w:color w:val="auto"/>
          <w:highlight w:val="auto"/>
        </w:rPr>
        <w:t>国有资本经营预算支出决算情况说明</w:t>
      </w:r>
      <w:bookmarkEnd w:id="43"/>
      <w:bookmarkEnd w:id="44"/>
      <w:bookmarkEnd w:id="45"/>
    </w:p>
    <w:p>
      <w:pPr>
        <w:pageBreakBefore w:val="0"/>
        <w:widowControl w:val="0"/>
        <w:suppressAutoHyphens/>
        <w:kinsoku/>
        <w:wordWrap/>
        <w:overflowPunct/>
        <w:topLinePunct w:val="0"/>
        <w:bidi w:val="0"/>
        <w:spacing w:line="560" w:lineRule="exact"/>
        <w:ind w:firstLine="640"/>
        <w:textAlignment w:val="auto"/>
        <w:rPr>
          <w:rFonts w:ascii="方正小标宋简体" w:eastAsia="方正小标宋简体" w:cs="方正小标宋简体"/>
          <w:color w:val="auto"/>
          <w:sz w:val="44"/>
          <w:szCs w:val="44"/>
          <w:highlight w:val="auto"/>
        </w:rPr>
      </w:pPr>
      <w:r>
        <w:rPr>
          <w:rFonts w:ascii="仿宋_GB2312" w:eastAsia="仿宋_GB2312" w:hint="eastAsia"/>
          <w:color w:val="auto"/>
          <w:sz w:val="32"/>
          <w:szCs w:val="32"/>
          <w:lang w:eastAsia="zh-CN"/>
          <w:highlight w:val="auto"/>
        </w:rPr>
        <w:t>202</w:t>
      </w:r>
      <w:r>
        <w:rPr>
          <w:rFonts w:ascii="仿宋_GB2312" w:eastAsia="仿宋_GB2312" w:hint="eastAsia"/>
          <w:color w:val="auto"/>
          <w:sz w:val="32"/>
          <w:szCs w:val="32"/>
          <w:lang w:val="en-US" w:eastAsia="zh-CN"/>
          <w:highlight w:val="auto"/>
        </w:rPr>
        <w:t>5</w:t>
      </w:r>
      <w:r>
        <w:rPr>
          <w:rFonts w:ascii="仿宋_GB2312" w:eastAsia="仿宋_GB2312" w:hint="eastAsia"/>
          <w:color w:val="auto"/>
          <w:sz w:val="32"/>
          <w:szCs w:val="32"/>
          <w:highlight w:val="auto"/>
        </w:rPr>
        <w:t>年</w:t>
      </w:r>
      <w:r>
        <w:rPr>
          <w:rFonts w:ascii="仿宋_GB2312" w:eastAsia="仿宋_GB2312" w:hint="eastAsia"/>
          <w:color w:val="auto"/>
          <w:sz w:val="32"/>
          <w:szCs w:val="32"/>
          <w:lang w:eastAsia="zh-CN"/>
          <w:highlight w:val="auto"/>
        </w:rPr>
        <w:t>度</w:t>
      </w:r>
      <w:r>
        <w:rPr>
          <w:rFonts w:ascii="仿宋_GB2312" w:eastAsia="仿宋_GB2312" w:hint="eastAsia"/>
          <w:color w:val="auto"/>
          <w:sz w:val="32"/>
          <w:szCs w:val="32"/>
          <w:highlight w:val="auto"/>
        </w:rPr>
        <w:t>国有资本经营预算</w:t>
      </w:r>
      <w:r>
        <w:rPr>
          <w:rFonts w:ascii="仿宋_GB2312" w:eastAsia="仿宋_GB2312" w:hint="eastAsia"/>
          <w:color w:val="auto"/>
          <w:sz w:val="32"/>
          <w:szCs w:val="32"/>
          <w:lang w:eastAsia="zh-CN"/>
          <w:highlight w:val="auto"/>
        </w:rPr>
        <w:t>财政</w:t>
      </w:r>
      <w:r>
        <w:rPr>
          <w:rFonts w:ascii="仿宋_GB2312" w:eastAsia="仿宋_GB2312" w:hint="eastAsia"/>
          <w:color w:val="auto"/>
          <w:sz w:val="32"/>
          <w:szCs w:val="32"/>
          <w:highlight w:val="auto"/>
        </w:rPr>
        <w:t>拨款支出</w:t>
      </w:r>
      <w:r>
        <w:rPr>
          <w:rFonts w:ascii="仿宋_GB2312" w:eastAsia="仿宋_GB2312" w:hint="eastAsia"/>
          <w:color w:val="auto"/>
          <w:sz w:val="32"/>
          <w:szCs w:val="32"/>
          <w:lang w:val="en-US" w:eastAsia="zh-CN"/>
          <w:highlight w:val="auto"/>
        </w:rPr>
        <w:t>0</w:t>
      </w:r>
      <w:r>
        <w:rPr>
          <w:rFonts w:ascii="仿宋_GB2312" w:eastAsia="仿宋_GB2312" w:hint="eastAsia"/>
          <w:color w:val="auto"/>
          <w:sz w:val="32"/>
          <w:szCs w:val="32"/>
          <w:highlight w:val="auto"/>
        </w:rPr>
        <w:t>万元。</w:t>
      </w:r>
    </w:p>
    <w:p>
      <w:pPr>
        <w:pageBreakBefore w:val="0"/>
        <w:widowControl w:val="0"/>
        <w:numPr>
          <w:ilvl w:val="0"/>
          <w:numId w:val="2"/>
        </w:numPr>
        <w:suppressAutoHyphens/>
        <w:kinsoku/>
        <w:wordWrap/>
        <w:overflowPunct/>
        <w:topLinePunct w:val="0"/>
        <w:bidi w:val="0"/>
        <w:spacing w:line="560" w:lineRule="exact"/>
        <w:ind w:left="0" w:firstLine="640"/>
        <w:textAlignment w:val="auto"/>
        <w:outlineLvl w:val="1"/>
        <w:rPr>
          <w:rStyle w:val="2Char"/>
          <w:rFonts w:ascii="黑体" w:eastAsia="黑体" w:hint="eastAsia"/>
          <w:b w:val="0"/>
          <w:color w:val="auto"/>
          <w:highlight w:val="auto"/>
        </w:rPr>
      </w:pPr>
      <w:bookmarkStart w:id="46" w:name="_Toc15377221"/>
      <w:bookmarkStart w:id="47" w:name="_Toc9767"/>
      <w:bookmarkStart w:id="48" w:name="_Toc15396612"/>
      <w:r>
        <w:rPr>
          <w:rStyle w:val="2Char"/>
          <w:rFonts w:ascii="黑体" w:eastAsia="黑体" w:hint="eastAsia"/>
          <w:b w:val="0"/>
          <w:color w:val="auto"/>
          <w:highlight w:val="auto"/>
        </w:rPr>
        <w:t>其他重要事项的情况说明</w:t>
      </w:r>
      <w:bookmarkEnd w:id="46"/>
      <w:bookmarkEnd w:id="47"/>
      <w:bookmarkEnd w:id="48"/>
    </w:p>
    <w:p>
      <w:pPr>
        <w:keepNext w:val="0"/>
        <w:keepLines w:val="0"/>
        <w:pageBreakBefore w:val="0"/>
        <w:widowControl w:val="0"/>
        <w:suppressAutoHyphens/>
        <w:kinsoku/>
        <w:wordWrap/>
        <w:overflowPunct/>
        <w:topLinePunct w:val="0"/>
        <w:bidi w:val="0"/>
        <w:snapToGrid/>
        <w:spacing w:line="560" w:lineRule="exact"/>
        <w:ind w:firstLineChars="200" w:firstLine="640"/>
        <w:textAlignment w:val="auto"/>
        <w:outlineLvl w:val="2"/>
        <w:rPr>
          <w:rFonts w:ascii="楷体_GB2312" w:eastAsia="楷体_GB2312" w:cs="楷体_GB2312" w:hint="eastAsia"/>
          <w:color w:val="auto"/>
          <w:sz w:val="32"/>
          <w:szCs w:val="32"/>
          <w:highlight w:val="auto"/>
        </w:rPr>
      </w:pPr>
      <w:r>
        <w:rPr>
          <w:rFonts w:ascii="楷体_GB2312" w:eastAsia="楷体_GB2312" w:cs="楷体_GB2312" w:hint="eastAsia"/>
          <w:b/>
          <w:color w:val="auto"/>
          <w:sz w:val="32"/>
          <w:szCs w:val="32"/>
          <w:highlight w:val="auto"/>
        </w:rPr>
        <w:t>（一）机关运行经费支出情况</w:t>
      </w:r>
    </w:p>
    <w:p>
      <w:pPr>
        <w:keepNext w:val="0"/>
        <w:keepLines w:val="0"/>
        <w:pageBreakBefore w:val="0"/>
        <w:widowControl w:val="0"/>
        <w:suppressAutoHyphens/>
        <w:kinsoku/>
        <w:wordWrap/>
        <w:overflowPunct/>
        <w:topLinePunct w:val="0"/>
        <w:bidi w:val="0"/>
        <w:snapToGrid/>
        <w:spacing w:line="560" w:lineRule="exact"/>
        <w:ind w:firstLine="640"/>
        <w:textAlignment w:val="auto"/>
        <w:rPr>
          <w:rFonts w:ascii="仿宋_GB2312" w:eastAsia="仿宋_GB2312" w:cs="仿宋_GB2312" w:hint="eastAsia"/>
          <w:color w:val="auto"/>
          <w:sz w:val="32"/>
          <w:szCs w:val="32"/>
          <w:lang w:eastAsia="zh-CN"/>
          <w:highlight w:val="auto"/>
        </w:rPr>
      </w:pPr>
      <w:r>
        <w:rPr>
          <w:rFonts w:ascii="仿宋_GB2312" w:eastAsia="仿宋_GB2312" w:cs="仿宋_GB2312" w:hint="eastAsia"/>
          <w:color w:val="auto"/>
          <w:sz w:val="32"/>
          <w:szCs w:val="32"/>
          <w:lang w:eastAsia="zh-CN"/>
          <w:highlight w:val="auto"/>
        </w:rPr>
        <w:t>202</w:t>
      </w:r>
      <w:r>
        <w:rPr>
          <w:rFonts w:ascii="仿宋_GB2312" w:eastAsia="仿宋_GB2312" w:cs="仿宋_GB2312" w:hint="eastAsia"/>
          <w:color w:val="auto"/>
          <w:sz w:val="32"/>
          <w:szCs w:val="32"/>
          <w:lang w:val="en-US" w:eastAsia="zh-CN"/>
          <w:highlight w:val="auto"/>
        </w:rPr>
        <w:t>5</w:t>
      </w:r>
      <w:r>
        <w:rPr>
          <w:rFonts w:ascii="仿宋_GB2312" w:eastAsia="仿宋_GB2312" w:cs="仿宋_GB2312" w:hint="eastAsia"/>
          <w:color w:val="auto"/>
          <w:sz w:val="32"/>
          <w:szCs w:val="32"/>
          <w:lang w:eastAsia="zh-CN"/>
          <w:highlight w:val="auto"/>
        </w:rPr>
        <w:t>年度，茂县公安局机关运行经费支出</w:t>
      </w:r>
      <w:r>
        <w:rPr>
          <w:rFonts w:ascii="仿宋_GB2312" w:eastAsia="仿宋_GB2312" w:cs="仿宋_GB2312" w:hint="eastAsia"/>
          <w:color w:val="auto"/>
          <w:sz w:val="32"/>
          <w:szCs w:val="32"/>
          <w:lang w:val="en-US" w:eastAsia="zh-CN"/>
          <w:highlight w:val="auto"/>
        </w:rPr>
        <w:t>462.85</w:t>
      </w:r>
      <w:r>
        <w:rPr>
          <w:rFonts w:ascii="仿宋_GB2312" w:eastAsia="仿宋_GB2312" w:cs="仿宋_GB2312" w:hint="eastAsia"/>
          <w:color w:val="auto"/>
          <w:sz w:val="32"/>
          <w:szCs w:val="32"/>
          <w:lang w:eastAsia="zh-CN"/>
          <w:highlight w:val="auto"/>
        </w:rPr>
        <w:t>万元，</w:t>
      </w:r>
      <w:r>
        <w:rPr>
          <w:rFonts w:ascii="仿宋_GB2312" w:eastAsia="仿宋_GB2312" w:cs="仿宋_GB2312" w:hint="eastAsia"/>
          <w:color w:val="auto"/>
          <w:sz w:val="32"/>
          <w:szCs w:val="32"/>
          <w:lang w:val="en-US" w:eastAsia="zh-CN"/>
          <w:highlight w:val="auto"/>
        </w:rPr>
        <w:t>与</w:t>
      </w:r>
      <w:r>
        <w:rPr>
          <w:rFonts w:ascii="仿宋_GB2312" w:eastAsia="仿宋_GB2312" w:cs="仿宋_GB2312" w:hint="eastAsia"/>
          <w:color w:val="auto"/>
          <w:sz w:val="32"/>
          <w:szCs w:val="32"/>
          <w:lang w:eastAsia="zh-CN"/>
          <w:highlight w:val="auto"/>
        </w:rPr>
        <w:t>202</w:t>
      </w:r>
      <w:r>
        <w:rPr>
          <w:rFonts w:ascii="仿宋_GB2312" w:eastAsia="仿宋_GB2312" w:cs="仿宋_GB2312" w:hint="eastAsia"/>
          <w:color w:val="auto"/>
          <w:sz w:val="32"/>
          <w:szCs w:val="32"/>
          <w:lang w:val="en-US" w:eastAsia="zh-CN"/>
          <w:highlight w:val="auto"/>
        </w:rPr>
        <w:t>4</w:t>
      </w:r>
      <w:r>
        <w:rPr>
          <w:rFonts w:ascii="仿宋_GB2312" w:eastAsia="仿宋_GB2312" w:cs="仿宋_GB2312" w:hint="eastAsia"/>
          <w:color w:val="auto"/>
          <w:sz w:val="32"/>
          <w:szCs w:val="32"/>
          <w:lang w:eastAsia="zh-CN"/>
          <w:highlight w:val="auto"/>
        </w:rPr>
        <w:t>年度</w:t>
      </w:r>
      <w:r>
        <w:rPr>
          <w:rFonts w:ascii="仿宋_GB2312" w:eastAsia="仿宋_GB2312" w:cs="仿宋_GB2312" w:hint="eastAsia"/>
          <w:color w:val="auto"/>
          <w:sz w:val="32"/>
          <w:szCs w:val="32"/>
          <w:lang w:val="en-US" w:eastAsia="zh-CN"/>
          <w:highlight w:val="auto"/>
        </w:rPr>
        <w:t>相比</w:t>
      </w:r>
      <w:r>
        <w:rPr>
          <w:rFonts w:ascii="仿宋_GB2312" w:eastAsia="仿宋_GB2312" w:cs="仿宋_GB2312" w:hint="eastAsia"/>
          <w:color w:val="auto"/>
          <w:sz w:val="32"/>
          <w:szCs w:val="32"/>
          <w:lang w:eastAsia="zh-CN"/>
          <w:highlight w:val="auto"/>
        </w:rPr>
        <w:t>增加</w:t>
      </w:r>
      <w:r>
        <w:rPr>
          <w:rFonts w:ascii="仿宋_GB2312" w:eastAsia="仿宋_GB2312" w:cs="仿宋_GB2312" w:hint="eastAsia"/>
          <w:color w:val="auto"/>
          <w:sz w:val="32"/>
          <w:szCs w:val="32"/>
          <w:lang w:val="en-US" w:eastAsia="zh-CN"/>
          <w:highlight w:val="auto"/>
        </w:rPr>
        <w:t>27.89</w:t>
      </w:r>
      <w:r>
        <w:rPr>
          <w:rFonts w:ascii="仿宋_GB2312" w:eastAsia="仿宋_GB2312" w:cs="仿宋_GB2312" w:hint="eastAsia"/>
          <w:color w:val="auto"/>
          <w:sz w:val="32"/>
          <w:szCs w:val="32"/>
          <w:lang w:eastAsia="zh-CN"/>
          <w:highlight w:val="auto"/>
        </w:rPr>
        <w:t>万元，增长</w:t>
      </w:r>
      <w:r>
        <w:rPr>
          <w:rFonts w:ascii="仿宋_GB2312" w:eastAsia="仿宋_GB2312" w:cs="仿宋_GB2312" w:hint="eastAsia"/>
          <w:color w:val="auto"/>
          <w:sz w:val="32"/>
          <w:szCs w:val="32"/>
          <w:lang w:val="en-US" w:eastAsia="zh-CN"/>
          <w:highlight w:val="auto"/>
        </w:rPr>
        <w:t>6.4</w:t>
      </w:r>
      <w:r>
        <w:rPr>
          <w:rFonts w:ascii="仿宋_GB2312" w:eastAsia="仿宋_GB2312" w:cs="仿宋_GB2312" w:hint="eastAsia"/>
          <w:color w:val="auto"/>
          <w:sz w:val="32"/>
          <w:szCs w:val="32"/>
          <w:lang w:eastAsia="zh-CN"/>
          <w:highlight w:val="auto"/>
        </w:rPr>
        <w:t>%，</w:t>
      </w:r>
      <w:r>
        <w:rPr>
          <w:rFonts w:ascii="仿宋_GB2312" w:eastAsia="仿宋_GB2312" w:cs="仿宋_GB2312" w:hint="eastAsia"/>
          <w:color w:val="auto"/>
          <w:sz w:val="32"/>
          <w:szCs w:val="32"/>
          <w:lang w:val="en-US" w:eastAsia="zh-CN"/>
          <w:highlight w:val="auto"/>
        </w:rPr>
        <w:t>主要原因是：人员增加</w:t>
      </w:r>
      <w:r>
        <w:rPr>
          <w:rFonts w:ascii="仿宋_GB2312" w:eastAsia="仿宋_GB2312" w:cs="仿宋_GB2312" w:hint="eastAsia"/>
          <w:color w:val="auto"/>
          <w:sz w:val="32"/>
          <w:szCs w:val="32"/>
          <w:lang w:eastAsia="zh-CN"/>
          <w:highlight w:val="auto"/>
        </w:rPr>
        <w:t>。</w:t>
      </w:r>
    </w:p>
    <w:p>
      <w:pPr>
        <w:keepNext w:val="0"/>
        <w:keepLines w:val="0"/>
        <w:pageBreakBefore w:val="0"/>
        <w:widowControl w:val="0"/>
        <w:suppressAutoHyphens/>
        <w:kinsoku/>
        <w:wordWrap/>
        <w:overflowPunct/>
        <w:topLinePunct w:val="0"/>
        <w:bidi w:val="0"/>
        <w:snapToGrid/>
        <w:spacing w:line="560" w:lineRule="exact"/>
        <w:ind w:firstLineChars="200" w:firstLine="640"/>
        <w:textAlignment w:val="auto"/>
        <w:outlineLvl w:val="2"/>
        <w:rPr>
          <w:rFonts w:ascii="楷体_GB2312" w:eastAsia="楷体_GB2312" w:cs="楷体_GB2312" w:hint="eastAsia"/>
          <w:b/>
          <w:color w:val="auto"/>
          <w:sz w:val="32"/>
          <w:szCs w:val="32"/>
          <w:highlight w:val="auto"/>
        </w:rPr>
      </w:pPr>
      <w:r>
        <w:rPr>
          <w:rFonts w:ascii="楷体_GB2312" w:eastAsia="楷体_GB2312" w:cs="楷体_GB2312" w:hint="eastAsia"/>
          <w:b/>
          <w:color w:val="auto"/>
          <w:sz w:val="32"/>
          <w:szCs w:val="32"/>
          <w:highlight w:val="auto"/>
        </w:rPr>
        <w:t>（二）政府采购支出情况</w:t>
      </w:r>
    </w:p>
    <w:p>
      <w:pPr>
        <w:keepNext w:val="0"/>
        <w:keepLines w:val="0"/>
        <w:pageBreakBefore w:val="0"/>
        <w:widowControl w:val="0"/>
        <w:suppressAutoHyphens/>
        <w:kinsoku/>
        <w:wordWrap/>
        <w:overflowPunct/>
        <w:topLinePunct w:val="0"/>
        <w:bidi w:val="0"/>
        <w:snapToGrid/>
        <w:spacing w:line="560" w:lineRule="exact"/>
        <w:ind w:firstLineChars="200" w:firstLine="640"/>
        <w:textAlignment w:val="auto"/>
        <w:rPr>
          <w:rFonts w:ascii="仿宋_GB2312" w:eastAsia="仿宋_GB2312" w:cs="仿宋_GB2312" w:hint="eastAsia"/>
          <w:color w:val="auto"/>
          <w:sz w:val="32"/>
          <w:szCs w:val="32"/>
          <w:lang w:eastAsia="zh-CN"/>
          <w:highlight w:val="auto"/>
        </w:rPr>
      </w:pPr>
      <w:r>
        <w:rPr>
          <w:rFonts w:ascii="仿宋_GB2312" w:eastAsia="仿宋_GB2312" w:cs="仿宋_GB2312" w:hint="eastAsia"/>
          <w:color w:val="auto"/>
          <w:sz w:val="32"/>
          <w:szCs w:val="32"/>
          <w:lang w:eastAsia="zh-CN"/>
          <w:highlight w:val="auto"/>
        </w:rPr>
        <w:t>202</w:t>
      </w:r>
      <w:r>
        <w:rPr>
          <w:rFonts w:ascii="仿宋_GB2312" w:eastAsia="仿宋_GB2312" w:cs="仿宋_GB2312" w:hint="eastAsia"/>
          <w:color w:val="auto"/>
          <w:sz w:val="32"/>
          <w:szCs w:val="32"/>
          <w:lang w:val="en-US" w:eastAsia="zh-CN"/>
          <w:highlight w:val="auto"/>
        </w:rPr>
        <w:t>5</w:t>
      </w:r>
      <w:r>
        <w:rPr>
          <w:rFonts w:ascii="仿宋_GB2312" w:eastAsia="仿宋_GB2312" w:cs="仿宋_GB2312" w:hint="eastAsia"/>
          <w:color w:val="auto"/>
          <w:sz w:val="32"/>
          <w:szCs w:val="32"/>
          <w:lang w:eastAsia="zh-CN"/>
          <w:highlight w:val="auto"/>
        </w:rPr>
        <w:t>年度，茂县公安局政府采购支出总额</w:t>
      </w:r>
      <w:r>
        <w:rPr>
          <w:rFonts w:ascii="仿宋_GB2312" w:eastAsia="仿宋_GB2312" w:cs="仿宋_GB2312" w:hint="eastAsia"/>
          <w:color w:val="auto"/>
          <w:sz w:val="32"/>
          <w:szCs w:val="32"/>
          <w:lang w:val="en-US" w:eastAsia="zh-CN"/>
          <w:highlight w:val="auto"/>
        </w:rPr>
        <w:t>1,772.4</w:t>
      </w:r>
      <w:r>
        <w:rPr>
          <w:rFonts w:ascii="仿宋_GB2312" w:eastAsia="仿宋_GB2312" w:cs="仿宋_GB2312" w:hint="eastAsia"/>
          <w:color w:val="auto"/>
          <w:sz w:val="32"/>
          <w:szCs w:val="32"/>
          <w:lang w:eastAsia="zh-CN"/>
          <w:highlight w:val="auto"/>
        </w:rPr>
        <w:t>万元，其中：政府采购货物支出</w:t>
      </w:r>
      <w:r>
        <w:rPr>
          <w:rFonts w:ascii="仿宋_GB2312" w:eastAsia="仿宋_GB2312" w:cs="仿宋_GB2312" w:hint="eastAsia"/>
          <w:color w:val="auto"/>
          <w:sz w:val="32"/>
          <w:szCs w:val="32"/>
          <w:lang w:val="en-US" w:eastAsia="zh-CN"/>
          <w:highlight w:val="auto"/>
        </w:rPr>
        <w:t>496.6</w:t>
      </w:r>
      <w:r>
        <w:rPr>
          <w:rFonts w:ascii="仿宋_GB2312" w:eastAsia="仿宋_GB2312" w:cs="仿宋_GB2312" w:hint="eastAsia"/>
          <w:color w:val="auto"/>
          <w:sz w:val="32"/>
          <w:szCs w:val="32"/>
          <w:lang w:eastAsia="zh-CN"/>
          <w:highlight w:val="auto"/>
        </w:rPr>
        <w:t>万元、政府采购工程支出</w:t>
      </w:r>
      <w:r>
        <w:rPr>
          <w:rFonts w:ascii="仿宋_GB2312" w:eastAsia="仿宋_GB2312" w:cs="仿宋_GB2312" w:hint="eastAsia"/>
          <w:color w:val="auto"/>
          <w:sz w:val="32"/>
          <w:szCs w:val="32"/>
          <w:lang w:val="en-US" w:eastAsia="zh-CN"/>
          <w:highlight w:val="auto"/>
        </w:rPr>
        <w:t>0</w:t>
      </w:r>
      <w:r>
        <w:rPr>
          <w:rFonts w:ascii="仿宋_GB2312" w:eastAsia="仿宋_GB2312" w:cs="仿宋_GB2312" w:hint="eastAsia"/>
          <w:color w:val="auto"/>
          <w:sz w:val="32"/>
          <w:szCs w:val="32"/>
          <w:lang w:eastAsia="zh-CN"/>
          <w:highlight w:val="auto"/>
        </w:rPr>
        <w:t>万元、政府采购服务支出</w:t>
      </w:r>
      <w:r>
        <w:rPr>
          <w:rFonts w:ascii="仿宋_GB2312" w:eastAsia="仿宋_GB2312" w:cs="仿宋_GB2312" w:hint="eastAsia"/>
          <w:color w:val="auto"/>
          <w:sz w:val="32"/>
          <w:szCs w:val="32"/>
          <w:lang w:val="en-US" w:eastAsia="zh-CN"/>
          <w:highlight w:val="auto"/>
        </w:rPr>
        <w:t>1,275.8</w:t>
      </w:r>
      <w:r>
        <w:rPr>
          <w:rFonts w:ascii="仿宋_GB2312" w:eastAsia="仿宋_GB2312" w:cs="仿宋_GB2312" w:hint="eastAsia"/>
          <w:color w:val="auto"/>
          <w:sz w:val="32"/>
          <w:szCs w:val="32"/>
          <w:lang w:eastAsia="zh-CN"/>
          <w:highlight w:val="auto"/>
        </w:rPr>
        <w:t>万元。主要用于日常业务及执法执勤等。</w:t>
      </w:r>
    </w:p>
    <w:p>
      <w:pPr>
        <w:keepNext w:val="0"/>
        <w:keepLines w:val="0"/>
        <w:pageBreakBefore w:val="0"/>
        <w:widowControl w:val="0"/>
        <w:suppressAutoHyphens/>
        <w:kinsoku/>
        <w:wordWrap/>
        <w:overflowPunct/>
        <w:topLinePunct w:val="0"/>
        <w:bidi w:val="0"/>
        <w:snapToGrid/>
        <w:spacing w:line="560" w:lineRule="exact"/>
        <w:ind w:firstLineChars="200" w:firstLine="640"/>
        <w:textAlignment w:val="auto"/>
        <w:outlineLvl w:val="2"/>
        <w:rPr>
          <w:rFonts w:ascii="楷体_GB2312" w:eastAsia="楷体_GB2312" w:cs="楷体_GB2312" w:hint="eastAsia"/>
          <w:b/>
          <w:color w:val="auto"/>
          <w:sz w:val="32"/>
          <w:szCs w:val="32"/>
          <w:highlight w:val="auto"/>
        </w:rPr>
      </w:pPr>
      <w:r>
        <w:rPr>
          <w:rFonts w:ascii="楷体_GB2312" w:eastAsia="楷体_GB2312" w:cs="楷体_GB2312" w:hint="eastAsia"/>
          <w:b/>
          <w:color w:val="auto"/>
          <w:sz w:val="32"/>
          <w:szCs w:val="32"/>
          <w:highlight w:val="auto"/>
        </w:rPr>
        <w:t>（三）国有资产占有使用情况</w:t>
      </w:r>
    </w:p>
    <w:p>
      <w:pPr>
        <w:keepNext w:val="0"/>
        <w:keepLines w:val="0"/>
        <w:pageBreakBefore w:val="0"/>
        <w:widowControl w:val="0"/>
        <w:suppressAutoHyphens/>
        <w:kinsoku/>
        <w:wordWrap/>
        <w:overflowPunct/>
        <w:topLinePunct w:val="0"/>
        <w:bidi w:val="0"/>
        <w:snapToGrid/>
        <w:spacing w:line="560" w:lineRule="exact"/>
        <w:ind w:firstLineChars="200" w:firstLine="640"/>
        <w:textAlignment w:val="auto"/>
        <w:rPr>
          <w:rFonts w:ascii="仿宋_GB2312" w:eastAsia="仿宋_GB2312" w:cs="仿宋_GB2312" w:hint="eastAsia"/>
          <w:color w:val="auto"/>
          <w:sz w:val="32"/>
          <w:szCs w:val="32"/>
          <w:lang w:val="en-US" w:eastAsia="zh-CN"/>
          <w:highlight w:val="auto"/>
        </w:rPr>
      </w:pPr>
      <w:r>
        <w:rPr>
          <w:rFonts w:ascii="仿宋_GB2312" w:eastAsia="仿宋_GB2312" w:cs="仿宋_GB2312" w:hint="eastAsia"/>
          <w:color w:val="auto"/>
          <w:sz w:val="32"/>
          <w:szCs w:val="32"/>
          <w:lang w:val="en-US" w:eastAsia="zh-CN"/>
          <w:highlight w:val="auto"/>
        </w:rPr>
        <w:t>截至2025年12月31日，茂县公安局共有车辆62辆，其中：执法执勤用车62辆。单价100万元以上设备（不含车辆）1台（套）。</w:t>
      </w:r>
    </w:p>
    <w:p>
      <w:pPr>
        <w:pageBreakBefore w:val="0"/>
        <w:widowControl w:val="0"/>
        <w:suppressAutoHyphens/>
        <w:kinsoku/>
        <w:wordWrap/>
        <w:overflowPunct/>
        <w:topLinePunct w:val="0"/>
        <w:autoSpaceDE w:val="0"/>
        <w:autoSpaceDN w:val="0"/>
        <w:bidi w:val="0"/>
        <w:adjustRightInd w:val="0"/>
        <w:spacing w:line="560" w:lineRule="exact"/>
        <w:ind w:firstLineChars="200" w:firstLine="640"/>
        <w:jc w:val="left"/>
        <w:textAlignment w:val="auto"/>
        <w:outlineLvl w:val="2"/>
        <w:rPr>
          <w:rFonts w:ascii="楷体_GB2312" w:eastAsia="楷体_GB2312" w:cs="楷体_GB2312" w:hint="eastAsia"/>
          <w:b/>
          <w:color w:val="auto"/>
          <w:sz w:val="32"/>
          <w:szCs w:val="32"/>
          <w:highlight w:val="auto"/>
        </w:rPr>
      </w:pPr>
      <w:r>
        <w:rPr>
          <w:rFonts w:ascii="楷体_GB2312" w:eastAsia="楷体_GB2312" w:cs="楷体_GB2312" w:hint="eastAsia"/>
          <w:b/>
          <w:color w:val="auto"/>
          <w:sz w:val="32"/>
          <w:szCs w:val="32"/>
          <w:highlight w:val="auto"/>
        </w:rPr>
        <w:t>（四）预算绩效管理情况</w:t>
      </w:r>
    </w:p>
    <w:p>
      <w:pPr>
        <w:pageBreakBefore w:val="0"/>
        <w:widowControl w:val="0"/>
        <w:suppressAutoHyphens/>
        <w:kinsoku/>
        <w:wordWrap/>
        <w:overflowPunct/>
        <w:topLinePunct w:val="0"/>
        <w:bidi w:val="0"/>
        <w:spacing w:line="560" w:lineRule="exact"/>
        <w:ind w:firstLineChars="200" w:firstLine="640"/>
        <w:textAlignment w:val="auto"/>
        <w:rPr>
          <w:rFonts w:ascii="仿宋_GB2312" w:eastAsia="仿宋_GB2312" w:cs="仿宋_GB2312" w:hint="eastAsia"/>
          <w:color w:val="auto"/>
          <w:sz w:val="32"/>
          <w:szCs w:val="32"/>
          <w:lang w:eastAsia="zh-CN"/>
          <w:highlight w:val="auto"/>
        </w:rPr>
      </w:pPr>
      <w:r>
        <w:rPr>
          <w:rFonts w:ascii="仿宋_GB2312" w:eastAsia="仿宋_GB2312" w:cs="仿宋_GB2312" w:hint="eastAsia"/>
          <w:color w:val="auto"/>
          <w:sz w:val="32"/>
          <w:szCs w:val="32"/>
          <w:highlight w:val="auto"/>
        </w:rPr>
        <w:t>根据预算绩效管理要求，本部门在</w:t>
      </w:r>
      <w:r>
        <w:rPr>
          <w:rFonts w:ascii="仿宋_GB2312" w:eastAsia="仿宋_GB2312" w:cs="仿宋_GB2312" w:hint="eastAsia"/>
          <w:color w:val="auto"/>
          <w:sz w:val="32"/>
          <w:szCs w:val="32"/>
          <w:lang w:val="en-US" w:eastAsia="zh-CN"/>
          <w:highlight w:val="auto"/>
        </w:rPr>
        <w:t>2025年度</w:t>
      </w:r>
      <w:r>
        <w:rPr>
          <w:rFonts w:ascii="仿宋_GB2312" w:eastAsia="仿宋_GB2312" w:cs="仿宋_GB2312" w:hint="eastAsia"/>
          <w:color w:val="auto"/>
          <w:sz w:val="32"/>
          <w:szCs w:val="32"/>
          <w:highlight w:val="auto"/>
        </w:rPr>
        <w:t>预算编制阶段，组织对</w:t>
      </w:r>
      <w:r>
        <w:rPr>
          <w:rFonts w:ascii="仿宋_GB2312" w:eastAsia="仿宋_GB2312" w:cs="仿宋_GB2312" w:hint="eastAsia"/>
          <w:color w:val="auto"/>
          <w:sz w:val="32"/>
          <w:szCs w:val="32"/>
          <w:lang w:val="en-US" w:eastAsia="zh-CN"/>
          <w:highlight w:val="auto"/>
        </w:rPr>
        <w:t>川烟经营市场维护工作经费项目1个项目</w:t>
      </w:r>
      <w:r>
        <w:rPr>
          <w:rFonts w:ascii="仿宋_GB2312" w:eastAsia="仿宋_GB2312" w:cs="仿宋_GB2312" w:hint="eastAsia"/>
          <w:color w:val="auto"/>
          <w:sz w:val="32"/>
          <w:szCs w:val="32"/>
          <w:highlight w:val="auto"/>
        </w:rPr>
        <w:t>开展了预算事前绩效评估，对</w:t>
      </w:r>
      <w:r>
        <w:rPr>
          <w:rFonts w:ascii="仿宋_GB2312" w:eastAsia="仿宋_GB2312" w:cs="仿宋_GB2312" w:hint="eastAsia"/>
          <w:color w:val="auto"/>
          <w:sz w:val="32"/>
          <w:szCs w:val="32"/>
          <w:lang w:val="en-US" w:eastAsia="zh-CN"/>
          <w:highlight w:val="auto"/>
        </w:rPr>
        <w:t>13</w:t>
      </w:r>
      <w:r>
        <w:rPr>
          <w:rFonts w:ascii="仿宋_GB2312" w:eastAsia="仿宋_GB2312" w:cs="仿宋_GB2312" w:hint="eastAsia"/>
          <w:color w:val="auto"/>
          <w:sz w:val="32"/>
          <w:szCs w:val="32"/>
          <w:highlight w:val="auto"/>
        </w:rPr>
        <w:t>个项目编制了绩效目标，预算执行过程中，选取</w:t>
      </w:r>
      <w:r>
        <w:rPr>
          <w:rFonts w:ascii="仿宋_GB2312" w:eastAsia="仿宋_GB2312" w:cs="仿宋_GB2312" w:hint="eastAsia"/>
          <w:color w:val="auto"/>
          <w:sz w:val="32"/>
          <w:szCs w:val="32"/>
          <w:lang w:val="en-US" w:eastAsia="zh-CN"/>
          <w:highlight w:val="auto"/>
        </w:rPr>
        <w:t>7</w:t>
      </w:r>
      <w:r>
        <w:rPr>
          <w:rFonts w:ascii="仿宋_GB2312" w:eastAsia="仿宋_GB2312" w:cs="仿宋_GB2312" w:hint="eastAsia"/>
          <w:color w:val="auto"/>
          <w:sz w:val="32"/>
          <w:szCs w:val="32"/>
          <w:highlight w:val="auto"/>
        </w:rPr>
        <w:t>个项目开展绩效监控</w:t>
      </w:r>
      <w:r>
        <w:rPr>
          <w:rFonts w:ascii="仿宋_GB2312" w:eastAsia="仿宋_GB2312" w:cs="仿宋_GB2312" w:hint="eastAsia"/>
          <w:color w:val="auto"/>
          <w:sz w:val="32"/>
          <w:szCs w:val="32"/>
          <w:lang w:eastAsia="zh-CN"/>
          <w:highlight w:val="auto"/>
        </w:rPr>
        <w:t>。</w:t>
      </w:r>
    </w:p>
    <w:p>
      <w:pPr>
        <w:pageBreakBefore w:val="0"/>
        <w:widowControl/>
        <w:suppressAutoHyphens/>
        <w:kinsoku/>
        <w:wordWrap/>
        <w:overflowPunct/>
        <w:topLinePunct w:val="0"/>
        <w:bidi w:val="0"/>
        <w:adjustRightInd w:val="0"/>
        <w:snapToGrid w:val="0"/>
        <w:spacing w:line="560" w:lineRule="exact"/>
        <w:ind w:firstLineChars="200" w:firstLine="640"/>
        <w:contextualSpacing/>
        <w:jc w:val="left"/>
        <w:textAlignment w:val="auto"/>
        <w:rPr>
          <w:rFonts w:ascii="仿宋_GB2312" w:eastAsia="仿宋_GB2312" w:cs="仿宋_GB2312" w:hint="eastAsia"/>
          <w:color w:val="auto"/>
          <w:sz w:val="32"/>
          <w:szCs w:val="32"/>
          <w:lang w:val="en-US" w:eastAsia="zh-CN"/>
          <w:highlight w:val="auto"/>
        </w:rPr>
      </w:pPr>
      <w:r>
        <w:rPr>
          <w:rFonts w:ascii="仿宋_GB2312" w:eastAsia="仿宋_GB2312" w:cs="仿宋_GB2312" w:hint="eastAsia"/>
          <w:color w:val="auto"/>
          <w:sz w:val="32"/>
          <w:szCs w:val="32"/>
          <w:lang w:eastAsia="zh-CN"/>
          <w:highlight w:val="auto"/>
        </w:rPr>
        <w:t>组织</w:t>
      </w:r>
      <w:r>
        <w:rPr>
          <w:rFonts w:ascii="仿宋_GB2312" w:eastAsia="仿宋_GB2312" w:cs="仿宋_GB2312" w:hint="eastAsia"/>
          <w:color w:val="auto"/>
          <w:sz w:val="32"/>
          <w:szCs w:val="32"/>
          <w:highlight w:val="auto"/>
        </w:rPr>
        <w:t>对</w:t>
      </w:r>
      <w:r>
        <w:rPr>
          <w:rFonts w:ascii="仿宋_GB2312" w:eastAsia="仿宋_GB2312" w:cs="仿宋_GB2312" w:hint="eastAsia"/>
          <w:color w:val="auto"/>
          <w:sz w:val="32"/>
          <w:szCs w:val="32"/>
          <w:lang w:val="en-US" w:eastAsia="zh-CN"/>
          <w:highlight w:val="auto"/>
        </w:rPr>
        <w:t>2025年度一般公共预算、</w:t>
      </w:r>
      <w:r>
        <w:rPr>
          <w:rFonts w:ascii="仿宋_GB2312" w:eastAsia="仿宋_GB2312" w:cs="仿宋_GB2312" w:hint="eastAsia"/>
          <w:color w:val="auto"/>
          <w:sz w:val="32"/>
          <w:szCs w:val="32"/>
          <w:lang w:eastAsia="zh-CN"/>
          <w:highlight w:val="auto"/>
        </w:rPr>
        <w:t>政府性基金预算、国有资本经营预算、社会保险基金预算以及资本资产、债券资金等</w:t>
      </w:r>
      <w:r>
        <w:rPr>
          <w:rFonts w:ascii="仿宋_GB2312" w:eastAsia="仿宋_GB2312" w:cs="仿宋_GB2312" w:hint="eastAsia"/>
          <w:color w:val="auto"/>
          <w:sz w:val="32"/>
          <w:szCs w:val="32"/>
          <w:lang w:val="en-US" w:eastAsia="zh-CN"/>
          <w:highlight w:val="auto"/>
        </w:rPr>
        <w:t>全面开展绩效自评，形成茂县公安局</w:t>
      </w:r>
      <w:r>
        <w:rPr>
          <w:rFonts w:ascii="仿宋_GB2312" w:eastAsia="仿宋_GB2312" w:cs="仿宋_GB2312" w:hint="eastAsia"/>
          <w:color w:val="auto"/>
          <w:sz w:val="32"/>
          <w:szCs w:val="32"/>
          <w:lang w:eastAsia="zh-CN"/>
          <w:highlight w:val="auto"/>
        </w:rPr>
        <w:t>部门整体（含部门预算项目）</w:t>
      </w:r>
      <w:r>
        <w:rPr>
          <w:rFonts w:ascii="仿宋_GB2312" w:eastAsia="仿宋_GB2312" w:cs="仿宋_GB2312" w:hint="eastAsia"/>
          <w:color w:val="auto"/>
          <w:sz w:val="32"/>
          <w:szCs w:val="32"/>
          <w:lang w:val="en-US" w:eastAsia="zh-CN"/>
          <w:highlight w:val="auto"/>
        </w:rPr>
        <w:t>绩效自评报告</w:t>
      </w:r>
      <w:r>
        <w:rPr>
          <w:rFonts w:ascii="仿宋_GB2312" w:eastAsia="仿宋_GB2312" w:cs="仿宋_GB2312" w:hint="eastAsia"/>
          <w:color w:val="auto"/>
          <w:sz w:val="32"/>
          <w:szCs w:val="32"/>
          <w:lang w:eastAsia="zh-CN"/>
          <w:highlight w:val="auto"/>
        </w:rPr>
        <w:t>、</w:t>
      </w:r>
      <w:r>
        <w:rPr>
          <w:rFonts w:ascii="仿宋_GB2312" w:eastAsia="仿宋_GB2312" w:cs="仿宋_GB2312" w:hint="eastAsia"/>
          <w:color w:val="auto"/>
          <w:sz w:val="32"/>
          <w:szCs w:val="32"/>
          <w:lang w:val="en-US" w:eastAsia="zh-CN"/>
          <w:highlight w:val="auto"/>
        </w:rPr>
        <w:t>艾滋病防治等</w:t>
      </w:r>
      <w:r>
        <w:rPr>
          <w:rFonts w:ascii="仿宋_GB2312" w:eastAsia="仿宋_GB2312" w:cs="仿宋_GB2312" w:hint="eastAsia"/>
          <w:color w:val="auto"/>
          <w:sz w:val="32"/>
          <w:szCs w:val="32"/>
          <w:lang w:eastAsia="zh-CN"/>
          <w:highlight w:val="auto"/>
        </w:rPr>
        <w:t>专项预算项目</w:t>
      </w:r>
      <w:r>
        <w:rPr>
          <w:rFonts w:ascii="仿宋_GB2312" w:eastAsia="仿宋_GB2312" w:cs="仿宋_GB2312" w:hint="eastAsia"/>
          <w:color w:val="auto"/>
          <w:sz w:val="32"/>
          <w:szCs w:val="32"/>
          <w:lang w:val="en-US" w:eastAsia="zh-CN"/>
          <w:highlight w:val="auto"/>
        </w:rPr>
        <w:t>绩效自评报告，其中，茂县公安局部门整体</w:t>
      </w:r>
      <w:r>
        <w:rPr>
          <w:rFonts w:ascii="仿宋_GB2312" w:eastAsia="仿宋_GB2312" w:cs="仿宋_GB2312" w:hint="eastAsia"/>
          <w:color w:val="auto"/>
          <w:sz w:val="32"/>
          <w:szCs w:val="32"/>
          <w:lang w:eastAsia="zh-CN"/>
          <w:highlight w:val="auto"/>
        </w:rPr>
        <w:t>（含部门预算项目）</w:t>
      </w:r>
      <w:r>
        <w:rPr>
          <w:rFonts w:ascii="仿宋_GB2312" w:eastAsia="仿宋_GB2312" w:cs="仿宋_GB2312" w:hint="eastAsia"/>
          <w:color w:val="auto"/>
          <w:sz w:val="32"/>
          <w:szCs w:val="32"/>
          <w:lang w:val="en-US" w:eastAsia="zh-CN"/>
          <w:highlight w:val="auto"/>
        </w:rPr>
        <w:t>绩效自评得分为86分，绩效自评综述：</w:t>
      </w:r>
      <w:r>
        <w:rPr>
          <w:rFonts w:ascii="仿宋_GB2312" w:eastAsia="仿宋_GB2312" w:cs="仿宋_GB2312" w:hint="eastAsia"/>
          <w:kern w:val="0"/>
          <w:sz w:val="32"/>
          <w:szCs w:val="32"/>
        </w:rPr>
        <w:t>根据预算绩效管理相关制度的要求，结合项目绩效指标完成情况及对项目成本、项目效率、部门绩效目标实现的综合分析，项目综合评价为项目各项指标均达到指标要求，项目实施达到预期效果，共计开展自评项目1</w:t>
      </w:r>
      <w:r>
        <w:rPr>
          <w:rFonts w:ascii="仿宋_GB2312" w:eastAsia="仿宋_GB2312" w:cs="仿宋_GB2312" w:hint="eastAsia"/>
          <w:kern w:val="0"/>
          <w:sz w:val="32"/>
          <w:szCs w:val="32"/>
          <w:lang w:val="en-US" w:eastAsia="zh-CN"/>
        </w:rPr>
        <w:t>3</w:t>
      </w:r>
      <w:r>
        <w:rPr>
          <w:rFonts w:ascii="仿宋_GB2312" w:eastAsia="仿宋_GB2312" w:cs="仿宋_GB2312" w:hint="eastAsia"/>
          <w:kern w:val="0"/>
          <w:sz w:val="32"/>
          <w:szCs w:val="32"/>
        </w:rPr>
        <w:t>个，自评分</w:t>
      </w:r>
      <w:r>
        <w:rPr>
          <w:rFonts w:ascii="仿宋_GB2312" w:eastAsia="仿宋_GB2312" w:cs="仿宋_GB2312" w:hint="eastAsia"/>
          <w:kern w:val="0"/>
          <w:sz w:val="32"/>
          <w:szCs w:val="32"/>
          <w:lang w:eastAsia="zh-CN"/>
        </w:rPr>
        <w:t>均</w:t>
      </w:r>
      <w:r>
        <w:rPr>
          <w:rFonts w:ascii="仿宋_GB2312" w:eastAsia="仿宋_GB2312" w:cs="仿宋_GB2312" w:hint="eastAsia"/>
          <w:kern w:val="0"/>
          <w:sz w:val="32"/>
          <w:szCs w:val="32"/>
        </w:rPr>
        <w:t>在</w:t>
      </w:r>
      <w:r>
        <w:rPr>
          <w:rFonts w:ascii="仿宋_GB2312" w:eastAsia="仿宋_GB2312" w:cs="仿宋_GB2312" w:hint="eastAsia"/>
          <w:kern w:val="0"/>
          <w:sz w:val="32"/>
          <w:szCs w:val="32"/>
          <w:lang w:val="en-US" w:eastAsia="zh-CN"/>
        </w:rPr>
        <w:t>80</w:t>
      </w:r>
      <w:r>
        <w:rPr>
          <w:rFonts w:ascii="仿宋_GB2312" w:eastAsia="仿宋_GB2312" w:cs="仿宋_GB2312" w:hint="eastAsia"/>
          <w:kern w:val="0"/>
          <w:sz w:val="32"/>
          <w:szCs w:val="32"/>
        </w:rPr>
        <w:t>分以上，自评为“优级”项目。茂县公安局整体支出情况合法、合规，严格执行法律、政策</w:t>
      </w:r>
      <w:r>
        <w:rPr>
          <w:rFonts w:ascii="仿宋_GB2312" w:eastAsia="仿宋_GB2312" w:cs="仿宋_GB2312" w:hint="eastAsia"/>
          <w:kern w:val="0"/>
          <w:sz w:val="32"/>
          <w:szCs w:val="32"/>
          <w:lang w:eastAsia="zh-CN"/>
        </w:rPr>
        <w:t>，</w:t>
      </w:r>
      <w:r>
        <w:rPr>
          <w:rFonts w:ascii="仿宋_GB2312" w:eastAsia="仿宋_GB2312" w:cs="仿宋_GB2312" w:hint="eastAsia"/>
          <w:kern w:val="0"/>
          <w:sz w:val="32"/>
          <w:szCs w:val="32"/>
        </w:rPr>
        <w:t>科学分配、有效使用、严密管理，使各项资金基本做到服从全局、科学分配、有效使用、严密管理，资金分配侧重服务基层、倾斜一线，有力地促进了我县各项公安任务的顺利完成和各项目标的实现，整体支出情况良好，自评得分</w:t>
      </w:r>
      <w:r>
        <w:rPr>
          <w:rFonts w:ascii="仿宋_GB2312" w:cs="仿宋_GB2312" w:hAnsi="仿宋_GB2312" w:hint="eastAsia"/>
          <w:kern w:val="0"/>
          <w:sz w:val="32"/>
          <w:szCs w:val="32"/>
          <w:lang w:val="en-US" w:eastAsia="zh-CN"/>
        </w:rPr>
        <w:t>86</w:t>
      </w:r>
      <w:r>
        <w:rPr>
          <w:rFonts w:ascii="仿宋_GB2312" w:eastAsia="仿宋_GB2312" w:cs="仿宋_GB2312" w:hint="eastAsia"/>
          <w:kern w:val="0"/>
          <w:sz w:val="32"/>
          <w:szCs w:val="32"/>
        </w:rPr>
        <w:t>分</w:t>
      </w:r>
      <w:r>
        <w:rPr>
          <w:rFonts w:ascii="仿宋_GB2312" w:eastAsia="仿宋_GB2312" w:cs="仿宋_GB2312" w:hint="eastAsia"/>
          <w:color w:val="auto"/>
          <w:sz w:val="32"/>
          <w:szCs w:val="32"/>
          <w:lang w:val="en-US" w:eastAsia="zh-CN"/>
          <w:highlight w:val="auto"/>
        </w:rPr>
        <w:t>；包虫病经费等</w:t>
      </w:r>
      <w:r>
        <w:rPr>
          <w:rFonts w:ascii="仿宋_GB2312" w:eastAsia="仿宋_GB2312" w:cs="仿宋_GB2312" w:hint="eastAsia"/>
          <w:color w:val="auto"/>
          <w:sz w:val="32"/>
          <w:szCs w:val="32"/>
          <w:lang w:eastAsia="zh-CN"/>
          <w:highlight w:val="auto"/>
        </w:rPr>
        <w:t>专项预</w:t>
      </w:r>
      <w:r>
        <w:rPr>
          <w:rFonts w:ascii="仿宋_GB2312" w:eastAsia="仿宋_GB2312" w:cs="仿宋_GB2312" w:hint="eastAsia"/>
          <w:color w:val="auto"/>
          <w:sz w:val="32"/>
          <w:szCs w:val="32"/>
          <w:lang w:val="en-US" w:eastAsia="zh-CN"/>
          <w:highlight w:val="auto"/>
        </w:rPr>
        <w:t>算项目绩效自评得分均在80分以上，绩效自评综述：</w:t>
      </w:r>
      <w:r>
        <w:rPr>
          <w:rFonts w:ascii="仿宋_GB2312" w:eastAsia="仿宋_GB2312" w:cs="仿宋_GB2312" w:hint="eastAsia"/>
          <w:i w:val="0"/>
          <w:iCs w:val="0"/>
          <w:caps w:val="0"/>
          <w:smallCaps w:val="0"/>
          <w:color w:val="222222"/>
          <w:spacing w:val="0"/>
          <w:sz w:val="32"/>
          <w:szCs w:val="32"/>
          <w:shd w:val="clear" w:color="auto" w:fill="FFFFFF"/>
        </w:rPr>
        <w:t>绩效自评总体情况较好，项目实施取得了一定的成效</w:t>
      </w:r>
      <w:r>
        <w:rPr>
          <w:rFonts w:ascii="仿宋_GB2312" w:eastAsia="仿宋_GB2312" w:cs="仿宋_GB2312" w:hint="eastAsia"/>
          <w:kern w:val="0"/>
          <w:sz w:val="32"/>
          <w:szCs w:val="32"/>
          <w:lang w:eastAsia="zh-CN"/>
        </w:rPr>
        <w:t>。</w:t>
      </w:r>
      <w:r>
        <w:rPr>
          <w:rFonts w:ascii="仿宋_GB2312" w:eastAsia="仿宋_GB2312" w:cs="仿宋_GB2312" w:hint="eastAsia"/>
          <w:color w:val="auto"/>
          <w:sz w:val="32"/>
          <w:szCs w:val="32"/>
          <w:lang w:val="en-US" w:eastAsia="zh-CN"/>
          <w:highlight w:val="auto"/>
        </w:rPr>
        <w:t>绩效自评报告详见附件。</w:t>
      </w:r>
    </w:p>
    <w:p>
      <w:pPr>
        <w:pageBreakBefore w:val="0"/>
        <w:widowControl w:val="0"/>
        <w:suppressAutoHyphens/>
        <w:kinsoku/>
        <w:wordWrap/>
        <w:overflowPunct/>
        <w:topLinePunct w:val="0"/>
        <w:bidi w:val="0"/>
        <w:spacing w:line="560" w:lineRule="exact"/>
        <w:textAlignment w:val="auto"/>
      </w:pPr>
    </w:p>
    <w:p>
      <w:pPr>
        <w:pStyle w:val="15"/>
        <w:keepNext/>
        <w:keepLines/>
        <w:pageBreakBefore w:val="0"/>
        <w:widowControl w:val="0"/>
        <w:kinsoku/>
        <w:wordWrap/>
        <w:overflowPunct/>
        <w:topLinePunct w:val="0"/>
        <w:bidi w:val="0"/>
        <w:spacing w:line="560" w:lineRule="exact"/>
        <w:textAlignment w:val="auto"/>
      </w:pPr>
    </w:p>
    <w:p>
      <w:pPr>
        <w:pageBreakBefore w:val="0"/>
        <w:widowControl w:val="0"/>
        <w:suppressAutoHyphens/>
        <w:kinsoku/>
        <w:wordWrap/>
        <w:overflowPunct/>
        <w:topLinePunct w:val="0"/>
        <w:bidi w:val="0"/>
        <w:spacing w:line="560" w:lineRule="exact"/>
        <w:textAlignment w:val="auto"/>
      </w:pPr>
    </w:p>
    <w:p>
      <w:pPr>
        <w:pStyle w:val="15"/>
        <w:keepNext/>
        <w:keepLines/>
        <w:pageBreakBefore w:val="0"/>
        <w:widowControl w:val="0"/>
        <w:kinsoku/>
        <w:wordWrap/>
        <w:overflowPunct/>
        <w:topLinePunct w:val="0"/>
        <w:bidi w:val="0"/>
        <w:spacing w:line="560" w:lineRule="exact"/>
        <w:textAlignment w:val="auto"/>
      </w:pPr>
    </w:p>
    <w:p>
      <w:pPr>
        <w:pageBreakBefore w:val="0"/>
        <w:widowControl w:val="0"/>
        <w:suppressAutoHyphens/>
        <w:kinsoku/>
        <w:wordWrap/>
        <w:overflowPunct/>
        <w:topLinePunct w:val="0"/>
        <w:bidi w:val="0"/>
        <w:spacing w:line="560" w:lineRule="exact"/>
        <w:textAlignment w:val="auto"/>
      </w:pPr>
    </w:p>
    <w:p>
      <w:pPr>
        <w:pStyle w:val="15"/>
        <w:keepNext/>
        <w:keepLines/>
        <w:pageBreakBefore w:val="0"/>
        <w:widowControl w:val="0"/>
        <w:kinsoku/>
        <w:wordWrap/>
        <w:overflowPunct/>
        <w:topLinePunct w:val="0"/>
        <w:bidi w:val="0"/>
        <w:spacing w:line="560" w:lineRule="exact"/>
        <w:textAlignment w:val="auto"/>
      </w:pPr>
    </w:p>
    <w:p>
      <w:pPr>
        <w:pageBreakBefore w:val="0"/>
        <w:widowControl w:val="0"/>
        <w:suppressAutoHyphens/>
        <w:kinsoku/>
        <w:wordWrap/>
        <w:overflowPunct/>
        <w:topLinePunct w:val="0"/>
        <w:bidi w:val="0"/>
        <w:spacing w:line="560" w:lineRule="exact"/>
        <w:textAlignment w:val="auto"/>
      </w:pPr>
    </w:p>
    <w:p>
      <w:pPr>
        <w:pStyle w:val="15"/>
        <w:keepNext/>
        <w:keepLines/>
        <w:pageBreakBefore w:val="0"/>
        <w:widowControl w:val="0"/>
        <w:kinsoku/>
        <w:wordWrap/>
        <w:overflowPunct/>
        <w:topLinePunct w:val="0"/>
        <w:bidi w:val="0"/>
        <w:spacing w:line="560" w:lineRule="exact"/>
        <w:textAlignment w:val="auto"/>
      </w:pPr>
    </w:p>
    <w:p>
      <w:pPr>
        <w:pageBreakBefore w:val="0"/>
        <w:widowControl w:val="0"/>
        <w:suppressAutoHyphens/>
        <w:kinsoku/>
        <w:wordWrap/>
        <w:overflowPunct/>
        <w:topLinePunct w:val="0"/>
        <w:bidi w:val="0"/>
        <w:spacing w:line="560" w:lineRule="exact"/>
        <w:textAlignment w:val="auto"/>
      </w:pPr>
    </w:p>
    <w:p>
      <w:pPr>
        <w:pStyle w:val="15"/>
      </w:pPr>
    </w:p>
    <w:p/>
    <w:p>
      <w:pPr>
        <w:pStyle w:val="15"/>
      </w:pPr>
    </w:p>
    <w:p/>
    <w:p>
      <w:pPr>
        <w:pStyle w:val="15"/>
      </w:pPr>
    </w:p>
    <w:p/>
    <w:p>
      <w:pPr>
        <w:pStyle w:val="15"/>
      </w:pPr>
    </w:p>
    <w:p/>
    <w:p>
      <w:pPr>
        <w:pStyle w:val="15"/>
      </w:pPr>
    </w:p>
    <w:p/>
    <w:p>
      <w:pPr>
        <w:pStyle w:val="15"/>
      </w:pPr>
    </w:p>
    <w:p/>
    <w:p>
      <w:pPr>
        <w:pStyle w:val="15"/>
      </w:pPr>
    </w:p>
    <w:p/>
    <w:p>
      <w:pPr>
        <w:pStyle w:val="15"/>
        <w:keepNext/>
        <w:keepLines/>
        <w:pageBreakBefore w:val="0"/>
        <w:widowControl w:val="0"/>
        <w:kinsoku/>
        <w:wordWrap/>
        <w:overflowPunct/>
        <w:topLinePunct w:val="0"/>
        <w:bidi w:val="0"/>
        <w:spacing w:line="560" w:lineRule="exact"/>
        <w:textAlignment w:val="auto"/>
      </w:pPr>
    </w:p>
    <w:p>
      <w:pPr>
        <w:keepNext w:val="0"/>
        <w:keepLines w:val="0"/>
        <w:pageBreakBefore w:val="0"/>
        <w:widowControl w:val="0"/>
        <w:suppressAutoHyphens/>
        <w:kinsoku/>
        <w:wordWrap/>
        <w:overflowPunct/>
        <w:topLinePunct w:val="0"/>
        <w:bidi w:val="0"/>
        <w:snapToGrid/>
        <w:spacing w:line="560" w:lineRule="exact"/>
        <w:jc w:val="center"/>
        <w:textAlignment w:val="auto"/>
        <w:outlineLvl w:val="0"/>
        <w:rPr>
          <w:rStyle w:val="1Char"/>
          <w:rFonts w:ascii="黑体" w:eastAsia="黑体"/>
          <w:b w:val="0"/>
          <w:color w:val="auto"/>
          <w:sz w:val="44"/>
          <w:szCs w:val="44"/>
          <w:highlight w:val="auto"/>
        </w:rPr>
      </w:pPr>
      <w:bookmarkStart w:id="49" w:name="_Toc31992"/>
      <w:r>
        <w:rPr>
          <w:rFonts w:ascii="黑体" w:eastAsia="黑体" w:hint="eastAsia"/>
          <w:color w:val="auto"/>
          <w:sz w:val="44"/>
          <w:szCs w:val="44"/>
          <w:lang w:eastAsia="zh-CN"/>
          <w:highlight w:val="auto"/>
        </w:rPr>
        <w:t>第三部分</w:t>
      </w:r>
      <w:r>
        <w:rPr>
          <w:rFonts w:ascii="黑体" w:eastAsia="黑体" w:hint="eastAsia"/>
          <w:color w:val="auto"/>
          <w:sz w:val="44"/>
          <w:szCs w:val="44"/>
          <w:lang w:val="en-US" w:eastAsia="zh-CN"/>
          <w:highlight w:val="auto"/>
        </w:rPr>
        <w:t xml:space="preserve">  </w:t>
      </w:r>
      <w:r>
        <w:rPr>
          <w:rFonts w:ascii="黑体" w:eastAsia="黑体" w:hint="eastAsia"/>
          <w:color w:val="auto"/>
          <w:sz w:val="44"/>
          <w:szCs w:val="44"/>
          <w:highlight w:val="auto"/>
        </w:rPr>
        <w:t>名</w:t>
      </w:r>
      <w:r>
        <w:rPr>
          <w:rStyle w:val="1Char"/>
          <w:rFonts w:ascii="黑体" w:eastAsia="黑体" w:hint="eastAsia"/>
          <w:b w:val="0"/>
          <w:color w:val="auto"/>
          <w:sz w:val="44"/>
          <w:szCs w:val="44"/>
          <w:highlight w:val="auto"/>
        </w:rPr>
        <w:t>词解释</w:t>
      </w:r>
      <w:bookmarkEnd w:id="49"/>
    </w:p>
    <w:p>
      <w:pPr>
        <w:pageBreakBefore w:val="0"/>
        <w:widowControl w:val="0"/>
        <w:suppressAutoHyphens/>
        <w:kinsoku/>
        <w:wordWrap/>
        <w:overflowPunct/>
        <w:topLinePunct w:val="0"/>
        <w:bidi w:val="0"/>
        <w:spacing w:line="560" w:lineRule="exact"/>
        <w:jc w:val="left"/>
        <w:textAlignment w:val="auto"/>
        <w:rPr>
          <w:rFonts w:ascii="宋体"/>
          <w:b/>
          <w:color w:val="auto"/>
          <w:sz w:val="44"/>
          <w:szCs w:val="44"/>
          <w:highlight w:val="auto"/>
        </w:rPr>
      </w:pPr>
    </w:p>
    <w:p>
      <w:pPr>
        <w:pStyle w:val="32"/>
        <w:pageBreakBefore w:val="0"/>
        <w:widowControl w:val="0"/>
        <w:kinsoku/>
        <w:wordWrap/>
        <w:overflowPunct/>
        <w:topLinePunct w:val="0"/>
        <w:autoSpaceDE w:val="0"/>
        <w:autoSpaceDN w:val="0"/>
        <w:bidi w:val="0"/>
        <w:spacing w:line="560" w:lineRule="exact"/>
        <w:ind w:firstLineChars="200" w:firstLine="640"/>
        <w:textAlignment w:val="auto"/>
        <w:rPr>
          <w:rFonts w:ascii="仿宋_GB2312" w:eastAsia="仿宋_GB2312"/>
          <w:color w:val="auto"/>
          <w:sz w:val="32"/>
          <w:szCs w:val="32"/>
          <w:highlight w:val="auto"/>
        </w:rPr>
      </w:pPr>
      <w:r>
        <w:rPr>
          <w:rFonts w:ascii="仿宋_GB2312" w:eastAsia="仿宋_GB2312"/>
          <w:color w:val="auto"/>
          <w:sz w:val="32"/>
          <w:szCs w:val="32"/>
          <w:highlight w:val="auto"/>
        </w:rPr>
        <w:t>1.</w:t>
      </w:r>
      <w:r>
        <w:rPr>
          <w:rFonts w:ascii="仿宋_GB2312" w:eastAsia="仿宋_GB2312" w:hint="eastAsia"/>
          <w:color w:val="auto"/>
          <w:sz w:val="32"/>
          <w:szCs w:val="32"/>
          <w:highlight w:val="auto"/>
        </w:rPr>
        <w:t>财政拨款收入：指单位从同级财政部门取得的财政预算资金。</w:t>
      </w:r>
    </w:p>
    <w:p>
      <w:pPr>
        <w:pStyle w:val="32"/>
        <w:pageBreakBefore w:val="0"/>
        <w:widowControl w:val="0"/>
        <w:kinsoku/>
        <w:wordWrap/>
        <w:overflowPunct/>
        <w:topLinePunct w:val="0"/>
        <w:autoSpaceDE w:val="0"/>
        <w:autoSpaceDN w:val="0"/>
        <w:bidi w:val="0"/>
        <w:spacing w:line="560" w:lineRule="exact"/>
        <w:ind w:firstLineChars="200" w:firstLine="640"/>
        <w:textAlignment w:val="auto"/>
        <w:rPr>
          <w:rFonts w:ascii="仿宋_GB2312" w:eastAsia="仿宋_GB2312"/>
          <w:color w:val="auto"/>
          <w:sz w:val="32"/>
          <w:szCs w:val="32"/>
          <w:highlight w:val="auto"/>
        </w:rPr>
      </w:pPr>
      <w:r>
        <w:rPr>
          <w:rFonts w:ascii="仿宋_GB2312" w:eastAsia="仿宋_GB2312"/>
          <w:color w:val="auto"/>
          <w:sz w:val="32"/>
          <w:szCs w:val="32"/>
          <w:highlight w:val="auto"/>
        </w:rPr>
        <w:t>2.</w:t>
      </w:r>
      <w:r>
        <w:rPr>
          <w:rFonts w:ascii="仿宋_GB2312" w:eastAsia="仿宋_GB2312" w:hint="eastAsia"/>
          <w:color w:val="auto"/>
          <w:sz w:val="32"/>
          <w:szCs w:val="32"/>
          <w:highlight w:val="auto"/>
        </w:rPr>
        <w:t>事业收入：指事业单位开展专业业务活动及辅助活动取得的收入。如…（二级预算单位事业收入情况）等。</w:t>
      </w:r>
    </w:p>
    <w:p>
      <w:pPr>
        <w:pStyle w:val="32"/>
        <w:pageBreakBefore w:val="0"/>
        <w:widowControl w:val="0"/>
        <w:kinsoku/>
        <w:wordWrap/>
        <w:overflowPunct/>
        <w:topLinePunct w:val="0"/>
        <w:autoSpaceDE w:val="0"/>
        <w:autoSpaceDN w:val="0"/>
        <w:bidi w:val="0"/>
        <w:spacing w:line="560" w:lineRule="exact"/>
        <w:ind w:firstLineChars="200" w:firstLine="640"/>
        <w:textAlignment w:val="auto"/>
        <w:rPr>
          <w:rFonts w:ascii="仿宋_GB2312" w:eastAsia="仿宋_GB2312"/>
          <w:color w:val="auto"/>
          <w:sz w:val="32"/>
          <w:szCs w:val="32"/>
          <w:highlight w:val="auto"/>
        </w:rPr>
      </w:pPr>
      <w:r>
        <w:rPr>
          <w:rFonts w:ascii="仿宋_GB2312" w:eastAsia="仿宋_GB2312"/>
          <w:color w:val="auto"/>
          <w:sz w:val="32"/>
          <w:szCs w:val="32"/>
          <w:highlight w:val="auto"/>
        </w:rPr>
        <w:t>3.</w:t>
      </w:r>
      <w:r>
        <w:rPr>
          <w:rFonts w:ascii="仿宋_GB2312" w:eastAsia="仿宋_GB2312" w:hint="eastAsia"/>
          <w:color w:val="auto"/>
          <w:sz w:val="32"/>
          <w:szCs w:val="32"/>
          <w:highlight w:val="auto"/>
        </w:rPr>
        <w:t>经营收入：指事业单位在专业业务活动及其辅助活动之外开展非独立核算经营活动取得的收入。如…（二级预算单位经营收入情况）等。</w:t>
      </w:r>
    </w:p>
    <w:p>
      <w:pPr>
        <w:pStyle w:val="32"/>
        <w:pageBreakBefore w:val="0"/>
        <w:widowControl w:val="0"/>
        <w:kinsoku/>
        <w:wordWrap/>
        <w:overflowPunct/>
        <w:topLinePunct w:val="0"/>
        <w:autoSpaceDE w:val="0"/>
        <w:autoSpaceDN w:val="0"/>
        <w:bidi w:val="0"/>
        <w:spacing w:line="560" w:lineRule="exact"/>
        <w:ind w:firstLineChars="200" w:firstLine="640"/>
        <w:textAlignment w:val="auto"/>
        <w:rPr>
          <w:rFonts w:ascii="仿宋_GB2312" w:eastAsia="仿宋_GB2312"/>
          <w:color w:val="auto"/>
          <w:sz w:val="32"/>
          <w:szCs w:val="32"/>
          <w:highlight w:val="auto"/>
        </w:rPr>
      </w:pPr>
      <w:r>
        <w:rPr>
          <w:rFonts w:ascii="仿宋_GB2312" w:eastAsia="仿宋_GB2312"/>
          <w:color w:val="auto"/>
          <w:sz w:val="32"/>
          <w:szCs w:val="32"/>
          <w:highlight w:val="auto"/>
        </w:rPr>
        <w:t>4.</w:t>
      </w:r>
      <w:r>
        <w:rPr>
          <w:rFonts w:ascii="仿宋_GB2312" w:eastAsia="仿宋_GB2312" w:hint="eastAsia"/>
          <w:color w:val="auto"/>
          <w:sz w:val="32"/>
          <w:szCs w:val="32"/>
          <w:highlight w:val="auto"/>
        </w:rPr>
        <w:t>其他收入：指单位取得的除上述收入以外的各项收入。主要是…（收入类型）等。</w:t>
      </w:r>
      <w:r>
        <w:rPr>
          <w:rFonts w:ascii="仿宋_GB2312" w:eastAsia="仿宋_GB2312"/>
          <w:color w:val="auto"/>
          <w:sz w:val="32"/>
          <w:szCs w:val="32"/>
          <w:highlight w:val="auto"/>
        </w:rPr>
        <w:t xml:space="preserve"> </w:t>
      </w:r>
    </w:p>
    <w:p>
      <w:pPr>
        <w:pStyle w:val="32"/>
        <w:pageBreakBefore w:val="0"/>
        <w:widowControl w:val="0"/>
        <w:kinsoku/>
        <w:wordWrap/>
        <w:overflowPunct/>
        <w:topLinePunct w:val="0"/>
        <w:autoSpaceDE w:val="0"/>
        <w:autoSpaceDN w:val="0"/>
        <w:bidi w:val="0"/>
        <w:spacing w:line="560" w:lineRule="exact"/>
        <w:ind w:firstLineChars="200" w:firstLine="640"/>
        <w:textAlignment w:val="auto"/>
        <w:rPr>
          <w:rFonts w:ascii="仿宋_GB2312" w:eastAsia="仿宋_GB2312"/>
          <w:color w:val="auto"/>
          <w:sz w:val="32"/>
          <w:szCs w:val="32"/>
          <w:highlight w:val="auto"/>
        </w:rPr>
      </w:pPr>
      <w:r>
        <w:rPr>
          <w:rFonts w:ascii="仿宋_GB2312" w:eastAsia="仿宋_GB2312"/>
          <w:color w:val="auto"/>
          <w:sz w:val="32"/>
          <w:szCs w:val="32"/>
          <w:highlight w:val="auto"/>
        </w:rPr>
        <w:t>5.</w:t>
      </w:r>
      <w:r>
        <w:rPr>
          <w:rFonts w:ascii="仿宋_GB2312" w:eastAsia="仿宋_GB2312" w:hint="eastAsia"/>
          <w:sz w:val="32"/>
          <w:szCs w:val="32"/>
          <w:u w:val="none"/>
          <w:lang w:eastAsia="zh-CN"/>
        </w:rPr>
        <w:t>使用非财政拨款结余（含专用结余）</w:t>
      </w:r>
      <w:r>
        <w:rPr>
          <w:rFonts w:ascii="仿宋_GB2312" w:eastAsia="仿宋_GB2312" w:hint="eastAsia"/>
          <w:color w:val="auto"/>
          <w:sz w:val="32"/>
          <w:szCs w:val="32"/>
          <w:highlight w:val="auto"/>
        </w:rPr>
        <w:t>：指事业单位</w:t>
      </w:r>
      <w:r>
        <w:rPr>
          <w:rFonts w:ascii="仿宋_GB2312" w:eastAsia="仿宋_GB2312" w:hint="eastAsia"/>
          <w:color w:val="auto"/>
          <w:sz w:val="32"/>
          <w:szCs w:val="32"/>
          <w:lang w:eastAsia="zh-CN"/>
          <w:highlight w:val="auto"/>
        </w:rPr>
        <w:t>使用以前年度积累的非财政拨款结余弥补当年收支差额的金额。</w:t>
      </w:r>
      <w:r>
        <w:rPr>
          <w:rFonts w:ascii="仿宋_GB2312" w:eastAsia="仿宋_GB2312"/>
          <w:color w:val="auto"/>
          <w:sz w:val="32"/>
          <w:szCs w:val="32"/>
          <w:highlight w:val="auto"/>
        </w:rPr>
        <w:t xml:space="preserve"> </w:t>
      </w:r>
    </w:p>
    <w:p>
      <w:pPr>
        <w:pStyle w:val="32"/>
        <w:pageBreakBefore w:val="0"/>
        <w:widowControl w:val="0"/>
        <w:kinsoku/>
        <w:wordWrap/>
        <w:overflowPunct/>
        <w:topLinePunct w:val="0"/>
        <w:autoSpaceDE w:val="0"/>
        <w:autoSpaceDN w:val="0"/>
        <w:bidi w:val="0"/>
        <w:spacing w:line="560" w:lineRule="exact"/>
        <w:ind w:firstLineChars="200" w:firstLine="640"/>
        <w:textAlignment w:val="auto"/>
        <w:rPr>
          <w:rFonts w:ascii="仿宋_GB2312" w:eastAsia="仿宋_GB2312"/>
          <w:color w:val="auto"/>
          <w:sz w:val="32"/>
          <w:szCs w:val="32"/>
          <w:highlight w:val="auto"/>
        </w:rPr>
      </w:pPr>
      <w:r>
        <w:rPr>
          <w:rFonts w:ascii="仿宋_GB2312" w:eastAsia="仿宋_GB2312"/>
          <w:color w:val="auto"/>
          <w:sz w:val="32"/>
          <w:szCs w:val="32"/>
          <w:highlight w:val="auto"/>
        </w:rPr>
        <w:t>6.</w:t>
      </w:r>
      <w:r>
        <w:rPr>
          <w:rFonts w:ascii="仿宋_GB2312" w:eastAsia="仿宋_GB2312" w:hint="eastAsia"/>
          <w:color w:val="auto"/>
          <w:sz w:val="32"/>
          <w:szCs w:val="32"/>
          <w:highlight w:val="auto"/>
        </w:rPr>
        <w:t>年初结转和结余：指以前年度尚未完成、结转到本年按有关规定继续使用的资金。</w:t>
      </w:r>
      <w:r>
        <w:rPr>
          <w:rFonts w:ascii="仿宋_GB2312" w:eastAsia="仿宋_GB2312"/>
          <w:color w:val="auto"/>
          <w:sz w:val="32"/>
          <w:szCs w:val="32"/>
          <w:highlight w:val="auto"/>
        </w:rPr>
        <w:t xml:space="preserve"> </w:t>
      </w:r>
    </w:p>
    <w:p>
      <w:pPr>
        <w:pStyle w:val="32"/>
        <w:pageBreakBefore w:val="0"/>
        <w:widowControl w:val="0"/>
        <w:kinsoku/>
        <w:wordWrap/>
        <w:overflowPunct/>
        <w:topLinePunct w:val="0"/>
        <w:autoSpaceDE w:val="0"/>
        <w:autoSpaceDN w:val="0"/>
        <w:bidi w:val="0"/>
        <w:spacing w:line="560" w:lineRule="exact"/>
        <w:ind w:firstLineChars="200" w:firstLine="640"/>
        <w:textAlignment w:val="auto"/>
        <w:rPr>
          <w:rFonts w:ascii="仿宋_GB2312" w:eastAsia="仿宋_GB2312"/>
          <w:color w:val="auto"/>
          <w:sz w:val="32"/>
          <w:szCs w:val="32"/>
          <w:highlight w:val="auto"/>
        </w:rPr>
      </w:pPr>
      <w:r>
        <w:rPr>
          <w:rFonts w:ascii="仿宋_GB2312" w:eastAsia="仿宋_GB2312"/>
          <w:color w:val="auto"/>
          <w:sz w:val="32"/>
          <w:szCs w:val="32"/>
          <w:highlight w:val="auto"/>
        </w:rPr>
        <w:t>7.</w:t>
      </w:r>
      <w:r>
        <w:rPr>
          <w:rFonts w:ascii="仿宋_GB2312" w:eastAsia="仿宋_GB2312" w:hint="eastAsia"/>
          <w:color w:val="auto"/>
          <w:sz w:val="32"/>
          <w:szCs w:val="32"/>
          <w:highlight w:val="auto"/>
        </w:rPr>
        <w:t>结余分配：指事业单位按照会计制度规定</w:t>
      </w:r>
      <w:r>
        <w:rPr>
          <w:rFonts w:ascii="仿宋_GB2312" w:eastAsia="仿宋_GB2312" w:hint="eastAsia"/>
          <w:color w:val="auto"/>
          <w:sz w:val="32"/>
          <w:szCs w:val="32"/>
          <w:lang w:eastAsia="zh-CN"/>
          <w:highlight w:val="auto"/>
        </w:rPr>
        <w:t>缴纳的所得税、提取的专用结余以及转入非财政拨款结余的金额</w:t>
      </w:r>
      <w:r>
        <w:rPr>
          <w:rFonts w:ascii="仿宋_GB2312" w:eastAsia="仿宋_GB2312" w:hint="eastAsia"/>
          <w:color w:val="auto"/>
          <w:sz w:val="32"/>
          <w:szCs w:val="32"/>
          <w:highlight w:val="auto"/>
        </w:rPr>
        <w:t>等。</w:t>
      </w:r>
    </w:p>
    <w:p>
      <w:pPr>
        <w:pStyle w:val="32"/>
        <w:pageBreakBefore w:val="0"/>
        <w:widowControl w:val="0"/>
        <w:kinsoku/>
        <w:wordWrap/>
        <w:overflowPunct/>
        <w:topLinePunct w:val="0"/>
        <w:autoSpaceDE w:val="0"/>
        <w:autoSpaceDN w:val="0"/>
        <w:bidi w:val="0"/>
        <w:spacing w:line="560" w:lineRule="exact"/>
        <w:ind w:firstLineChars="200" w:firstLine="640"/>
        <w:textAlignment w:val="auto"/>
        <w:rPr>
          <w:rFonts w:ascii="仿宋_GB2312" w:eastAsia="仿宋_GB2312"/>
          <w:color w:val="auto"/>
          <w:sz w:val="32"/>
          <w:szCs w:val="32"/>
          <w:highlight w:val="auto"/>
        </w:rPr>
      </w:pPr>
      <w:r>
        <w:rPr>
          <w:rFonts w:ascii="仿宋_GB2312" w:eastAsia="仿宋_GB2312"/>
          <w:color w:val="auto"/>
          <w:sz w:val="32"/>
          <w:szCs w:val="32"/>
          <w:highlight w:val="auto"/>
        </w:rPr>
        <w:t>8</w:t>
      </w:r>
      <w:r>
        <w:rPr>
          <w:rFonts w:ascii="仿宋_GB2312" w:eastAsia="仿宋_GB2312" w:hint="eastAsia"/>
          <w:color w:val="auto"/>
          <w:sz w:val="32"/>
          <w:szCs w:val="32"/>
          <w:lang w:val="en-US" w:eastAsia="zh-CN"/>
          <w:highlight w:val="auto"/>
        </w:rPr>
        <w:t>.</w:t>
      </w:r>
      <w:r>
        <w:rPr>
          <w:rFonts w:ascii="仿宋_GB2312" w:eastAsia="仿宋_GB2312" w:hint="eastAsia"/>
          <w:color w:val="auto"/>
          <w:sz w:val="32"/>
          <w:szCs w:val="32"/>
          <w:highlight w:val="auto"/>
        </w:rPr>
        <w:t>年末结转和结余：指单位按有关规定结转到下年或以后年度继续使用的资金。</w:t>
      </w:r>
    </w:p>
    <w:p>
      <w:pPr>
        <w:pStyle w:val="32"/>
        <w:pageBreakBefore w:val="0"/>
        <w:widowControl w:val="0"/>
        <w:kinsoku/>
        <w:wordWrap/>
        <w:overflowPunct/>
        <w:topLinePunct w:val="0"/>
        <w:autoSpaceDE w:val="0"/>
        <w:autoSpaceDN w:val="0"/>
        <w:bidi w:val="0"/>
        <w:spacing w:line="560" w:lineRule="exact"/>
        <w:ind w:firstLineChars="200" w:firstLine="640"/>
        <w:textAlignment w:val="auto"/>
        <w:rPr>
          <w:rFonts w:ascii="仿宋_GB2312" w:eastAsia="仿宋_GB2312" w:hint="eastAsia"/>
          <w:color w:val="auto"/>
          <w:sz w:val="32"/>
          <w:szCs w:val="32"/>
          <w:highlight w:val="auto"/>
        </w:rPr>
      </w:pPr>
      <w:r>
        <w:rPr>
          <w:rFonts w:ascii="仿宋_GB2312" w:eastAsia="仿宋_GB2312" w:hint="eastAsia"/>
          <w:color w:val="auto"/>
          <w:sz w:val="32"/>
          <w:szCs w:val="32"/>
          <w:highlight w:val="auto"/>
        </w:rPr>
        <w:t>9. 公共安全（类）公安（款）行政运行（项）：指行政单位（包括实行公务员管理的事业单位）的基本支出。</w:t>
      </w:r>
    </w:p>
    <w:p>
      <w:pPr>
        <w:pStyle w:val="32"/>
        <w:pageBreakBefore w:val="0"/>
        <w:widowControl w:val="0"/>
        <w:kinsoku/>
        <w:wordWrap/>
        <w:overflowPunct/>
        <w:topLinePunct w:val="0"/>
        <w:autoSpaceDE w:val="0"/>
        <w:autoSpaceDN w:val="0"/>
        <w:bidi w:val="0"/>
        <w:spacing w:line="560" w:lineRule="exact"/>
        <w:ind w:firstLineChars="200" w:firstLine="640"/>
        <w:textAlignment w:val="auto"/>
        <w:rPr>
          <w:rFonts w:ascii="仿宋_GB2312" w:eastAsia="仿宋_GB2312" w:hint="eastAsia"/>
          <w:color w:val="auto"/>
          <w:sz w:val="32"/>
          <w:szCs w:val="32"/>
          <w:highlight w:val="auto"/>
        </w:rPr>
      </w:pPr>
      <w:r>
        <w:rPr>
          <w:rFonts w:ascii="仿宋_GB2312" w:eastAsia="仿宋_GB2312" w:hint="eastAsia"/>
          <w:color w:val="auto"/>
          <w:sz w:val="32"/>
          <w:szCs w:val="32"/>
          <w:highlight w:val="auto"/>
        </w:rPr>
        <w:t>1</w:t>
      </w:r>
      <w:r>
        <w:rPr>
          <w:rFonts w:ascii="仿宋_GB2312" w:eastAsia="仿宋_GB2312" w:hint="eastAsia"/>
          <w:color w:val="auto"/>
          <w:sz w:val="32"/>
          <w:szCs w:val="32"/>
          <w:lang w:val="en-US" w:eastAsia="zh-CN"/>
          <w:highlight w:val="auto"/>
        </w:rPr>
        <w:t>0</w:t>
      </w:r>
      <w:r>
        <w:rPr>
          <w:rFonts w:ascii="仿宋_GB2312" w:eastAsia="仿宋_GB2312" w:hint="eastAsia"/>
          <w:color w:val="auto"/>
          <w:sz w:val="32"/>
          <w:szCs w:val="32"/>
          <w:highlight w:val="auto"/>
        </w:rPr>
        <w:t>. 公共安全（类）公安（款）一般行政管理事务（项）：指行政单位（包括实行公务员管理的事业单位）单独设置项级科目的其他项目支出。</w:t>
      </w:r>
    </w:p>
    <w:p>
      <w:pPr>
        <w:pStyle w:val="32"/>
        <w:pageBreakBefore w:val="0"/>
        <w:widowControl w:val="0"/>
        <w:kinsoku/>
        <w:wordWrap/>
        <w:overflowPunct/>
        <w:topLinePunct w:val="0"/>
        <w:autoSpaceDE w:val="0"/>
        <w:autoSpaceDN w:val="0"/>
        <w:bidi w:val="0"/>
        <w:spacing w:line="560" w:lineRule="exact"/>
        <w:ind w:firstLineChars="200" w:firstLine="640"/>
        <w:textAlignment w:val="auto"/>
        <w:rPr>
          <w:rFonts w:ascii="仿宋_GB2312" w:eastAsia="仿宋_GB2312" w:hint="eastAsia"/>
          <w:color w:val="auto"/>
          <w:sz w:val="32"/>
          <w:szCs w:val="32"/>
          <w:highlight w:val="auto"/>
        </w:rPr>
      </w:pPr>
      <w:r>
        <w:rPr>
          <w:rFonts w:ascii="仿宋_GB2312" w:eastAsia="仿宋_GB2312" w:hint="eastAsia"/>
          <w:color w:val="auto"/>
          <w:sz w:val="32"/>
          <w:szCs w:val="32"/>
          <w:highlight w:val="auto"/>
        </w:rPr>
        <w:t>1</w:t>
      </w:r>
      <w:r>
        <w:rPr>
          <w:rFonts w:ascii="仿宋_GB2312" w:eastAsia="仿宋_GB2312" w:hint="eastAsia"/>
          <w:color w:val="auto"/>
          <w:sz w:val="32"/>
          <w:szCs w:val="32"/>
          <w:lang w:val="en-US" w:eastAsia="zh-CN"/>
          <w:highlight w:val="auto"/>
        </w:rPr>
        <w:t>2</w:t>
      </w:r>
      <w:r>
        <w:rPr>
          <w:rFonts w:ascii="仿宋_GB2312" w:eastAsia="仿宋_GB2312" w:hint="eastAsia"/>
          <w:color w:val="auto"/>
          <w:sz w:val="32"/>
          <w:szCs w:val="32"/>
          <w:highlight w:val="auto"/>
        </w:rPr>
        <w:t>.公共安全（类）公安（款）特别业务（项）：指反应映公安机关开展特别业务工作的支出。</w:t>
      </w:r>
    </w:p>
    <w:p>
      <w:pPr>
        <w:pStyle w:val="32"/>
        <w:pageBreakBefore w:val="0"/>
        <w:widowControl w:val="0"/>
        <w:kinsoku/>
        <w:wordWrap/>
        <w:overflowPunct/>
        <w:topLinePunct w:val="0"/>
        <w:autoSpaceDE w:val="0"/>
        <w:autoSpaceDN w:val="0"/>
        <w:bidi w:val="0"/>
        <w:spacing w:line="560" w:lineRule="exact"/>
        <w:ind w:firstLineChars="200" w:firstLine="640"/>
        <w:textAlignment w:val="auto"/>
        <w:rPr>
          <w:rFonts w:ascii="仿宋_GB2312" w:eastAsia="仿宋_GB2312" w:hint="eastAsia"/>
          <w:color w:val="auto"/>
          <w:sz w:val="32"/>
          <w:szCs w:val="32"/>
          <w:highlight w:val="auto"/>
        </w:rPr>
      </w:pPr>
      <w:r>
        <w:rPr>
          <w:rFonts w:ascii="仿宋_GB2312" w:eastAsia="仿宋_GB2312" w:hint="eastAsia"/>
          <w:color w:val="auto"/>
          <w:sz w:val="32"/>
          <w:szCs w:val="32"/>
          <w:highlight w:val="auto"/>
        </w:rPr>
        <w:t>1</w:t>
      </w:r>
      <w:r>
        <w:rPr>
          <w:rFonts w:ascii="仿宋_GB2312" w:eastAsia="仿宋_GB2312" w:hint="eastAsia"/>
          <w:color w:val="auto"/>
          <w:sz w:val="32"/>
          <w:szCs w:val="32"/>
          <w:lang w:val="en-US" w:eastAsia="zh-CN"/>
          <w:highlight w:val="auto"/>
        </w:rPr>
        <w:t>3</w:t>
      </w:r>
      <w:r>
        <w:rPr>
          <w:rFonts w:ascii="仿宋_GB2312" w:eastAsia="仿宋_GB2312" w:hint="eastAsia"/>
          <w:color w:val="auto"/>
          <w:sz w:val="32"/>
          <w:szCs w:val="32"/>
          <w:highlight w:val="auto"/>
        </w:rPr>
        <w:t>.公共安全（类）公安（款）移民事务（项）：指反应映公民出入境管理、外国人管理、边防检查、边境管理的支出。</w:t>
      </w:r>
    </w:p>
    <w:p>
      <w:pPr>
        <w:pStyle w:val="32"/>
        <w:pageBreakBefore w:val="0"/>
        <w:widowControl w:val="0"/>
        <w:kinsoku/>
        <w:wordWrap/>
        <w:overflowPunct/>
        <w:topLinePunct w:val="0"/>
        <w:autoSpaceDE w:val="0"/>
        <w:autoSpaceDN w:val="0"/>
        <w:bidi w:val="0"/>
        <w:spacing w:line="560" w:lineRule="exact"/>
        <w:ind w:firstLineChars="200" w:firstLine="640"/>
        <w:textAlignment w:val="auto"/>
        <w:rPr>
          <w:rFonts w:ascii="仿宋_GB2312" w:eastAsia="仿宋_GB2312" w:hint="eastAsia"/>
          <w:color w:val="auto"/>
          <w:sz w:val="32"/>
          <w:szCs w:val="32"/>
          <w:highlight w:val="auto"/>
        </w:rPr>
      </w:pPr>
      <w:r>
        <w:rPr>
          <w:rFonts w:ascii="仿宋_GB2312" w:eastAsia="仿宋_GB2312" w:hint="eastAsia"/>
          <w:color w:val="auto"/>
          <w:sz w:val="32"/>
          <w:szCs w:val="32"/>
          <w:highlight w:val="auto"/>
        </w:rPr>
        <w:t>1</w:t>
      </w:r>
      <w:r>
        <w:rPr>
          <w:rFonts w:ascii="仿宋_GB2312" w:eastAsia="仿宋_GB2312" w:hint="eastAsia"/>
          <w:color w:val="auto"/>
          <w:sz w:val="32"/>
          <w:szCs w:val="32"/>
          <w:lang w:val="en-US" w:eastAsia="zh-CN"/>
          <w:highlight w:val="auto"/>
        </w:rPr>
        <w:t>4</w:t>
      </w:r>
      <w:r>
        <w:rPr>
          <w:rFonts w:ascii="仿宋_GB2312" w:eastAsia="仿宋_GB2312" w:hint="eastAsia"/>
          <w:color w:val="auto"/>
          <w:sz w:val="32"/>
          <w:szCs w:val="32"/>
          <w:highlight w:val="auto"/>
        </w:rPr>
        <w:t>.公共安全（类）公安（款）其他公安支出（项）：指反应映其他用于公安方面的支出。</w:t>
      </w:r>
    </w:p>
    <w:p>
      <w:pPr>
        <w:pStyle w:val="32"/>
        <w:pageBreakBefore w:val="0"/>
        <w:widowControl w:val="0"/>
        <w:kinsoku/>
        <w:wordWrap/>
        <w:overflowPunct/>
        <w:topLinePunct w:val="0"/>
        <w:autoSpaceDE w:val="0"/>
        <w:autoSpaceDN w:val="0"/>
        <w:bidi w:val="0"/>
        <w:spacing w:line="560" w:lineRule="exact"/>
        <w:ind w:firstLineChars="200" w:firstLine="640"/>
        <w:textAlignment w:val="auto"/>
        <w:rPr>
          <w:rFonts w:ascii="仿宋_GB2312" w:eastAsia="仿宋_GB2312" w:hint="eastAsia"/>
          <w:color w:val="auto"/>
          <w:sz w:val="32"/>
          <w:szCs w:val="32"/>
          <w:highlight w:val="auto"/>
        </w:rPr>
      </w:pPr>
      <w:r>
        <w:rPr>
          <w:rFonts w:ascii="仿宋_GB2312" w:eastAsia="仿宋_GB2312" w:hint="eastAsia"/>
          <w:color w:val="auto"/>
          <w:sz w:val="32"/>
          <w:szCs w:val="32"/>
          <w:highlight w:val="auto"/>
        </w:rPr>
        <w:t>1</w:t>
      </w:r>
      <w:r>
        <w:rPr>
          <w:rFonts w:ascii="仿宋_GB2312" w:eastAsia="仿宋_GB2312" w:hint="eastAsia"/>
          <w:color w:val="auto"/>
          <w:sz w:val="32"/>
          <w:szCs w:val="32"/>
          <w:lang w:val="en-US" w:eastAsia="zh-CN"/>
          <w:highlight w:val="auto"/>
        </w:rPr>
        <w:t>5</w:t>
      </w:r>
      <w:r>
        <w:rPr>
          <w:rFonts w:ascii="仿宋_GB2312" w:eastAsia="仿宋_GB2312" w:hint="eastAsia"/>
          <w:color w:val="auto"/>
          <w:sz w:val="32"/>
          <w:szCs w:val="32"/>
          <w:highlight w:val="auto"/>
        </w:rPr>
        <w:t>. 社会保障和就业（类）行政事业单位离退休（款）机关事业单位基本养老保险缴费支出（项）：指部门实施养老保险制度由单位缴纳的养老保险费的支出。</w:t>
      </w:r>
    </w:p>
    <w:p>
      <w:pPr>
        <w:pStyle w:val="32"/>
        <w:pageBreakBefore w:val="0"/>
        <w:widowControl w:val="0"/>
        <w:kinsoku/>
        <w:wordWrap/>
        <w:overflowPunct/>
        <w:topLinePunct w:val="0"/>
        <w:autoSpaceDE w:val="0"/>
        <w:autoSpaceDN w:val="0"/>
        <w:bidi w:val="0"/>
        <w:spacing w:line="560" w:lineRule="exact"/>
        <w:ind w:firstLineChars="200" w:firstLine="640"/>
        <w:textAlignment w:val="auto"/>
        <w:rPr>
          <w:rFonts w:ascii="仿宋_GB2312" w:eastAsia="仿宋_GB2312" w:hint="eastAsia"/>
          <w:color w:val="auto"/>
          <w:sz w:val="32"/>
          <w:szCs w:val="32"/>
          <w:highlight w:val="auto"/>
        </w:rPr>
      </w:pPr>
      <w:r>
        <w:rPr>
          <w:rFonts w:ascii="仿宋_GB2312" w:eastAsia="仿宋_GB2312" w:hint="eastAsia"/>
          <w:color w:val="auto"/>
          <w:sz w:val="32"/>
          <w:szCs w:val="32"/>
          <w:highlight w:val="auto"/>
        </w:rPr>
        <w:t>1</w:t>
      </w:r>
      <w:r>
        <w:rPr>
          <w:rFonts w:ascii="仿宋_GB2312" w:eastAsia="仿宋_GB2312" w:hint="eastAsia"/>
          <w:color w:val="auto"/>
          <w:sz w:val="32"/>
          <w:szCs w:val="32"/>
          <w:lang w:val="en-US" w:eastAsia="zh-CN"/>
          <w:highlight w:val="auto"/>
        </w:rPr>
        <w:t>6</w:t>
      </w:r>
      <w:r>
        <w:rPr>
          <w:rFonts w:ascii="仿宋_GB2312" w:eastAsia="仿宋_GB2312" w:hint="eastAsia"/>
          <w:color w:val="auto"/>
          <w:sz w:val="32"/>
          <w:szCs w:val="32"/>
          <w:highlight w:val="auto"/>
        </w:rPr>
        <w:t>.社会保障和就业（类）行政事业单位离退休（款）机关事业单位基本养老保险缴费支出（项）：指部门实施养老保险制度由单位缴纳的养老保险费的支出。</w:t>
      </w:r>
    </w:p>
    <w:p>
      <w:pPr>
        <w:pStyle w:val="32"/>
        <w:pageBreakBefore w:val="0"/>
        <w:widowControl w:val="0"/>
        <w:kinsoku/>
        <w:wordWrap/>
        <w:overflowPunct/>
        <w:topLinePunct w:val="0"/>
        <w:autoSpaceDE w:val="0"/>
        <w:autoSpaceDN w:val="0"/>
        <w:bidi w:val="0"/>
        <w:spacing w:line="560" w:lineRule="exact"/>
        <w:ind w:firstLineChars="200" w:firstLine="640"/>
        <w:textAlignment w:val="auto"/>
        <w:rPr>
          <w:rFonts w:ascii="仿宋_GB2312" w:eastAsia="仿宋_GB2312" w:hint="eastAsia"/>
          <w:color w:val="auto"/>
          <w:sz w:val="32"/>
          <w:szCs w:val="32"/>
          <w:highlight w:val="auto"/>
        </w:rPr>
      </w:pPr>
      <w:r>
        <w:rPr>
          <w:rFonts w:ascii="仿宋_GB2312" w:eastAsia="仿宋_GB2312" w:hint="eastAsia"/>
          <w:color w:val="auto"/>
          <w:sz w:val="32"/>
          <w:szCs w:val="32"/>
          <w:highlight w:val="auto"/>
        </w:rPr>
        <w:t>1</w:t>
      </w:r>
      <w:r>
        <w:rPr>
          <w:rFonts w:ascii="仿宋_GB2312" w:eastAsia="仿宋_GB2312" w:hint="eastAsia"/>
          <w:color w:val="auto"/>
          <w:sz w:val="32"/>
          <w:szCs w:val="32"/>
          <w:lang w:val="en-US" w:eastAsia="zh-CN"/>
          <w:highlight w:val="auto"/>
        </w:rPr>
        <w:t>7</w:t>
      </w:r>
      <w:r>
        <w:rPr>
          <w:rFonts w:ascii="仿宋_GB2312" w:eastAsia="仿宋_GB2312" w:hint="eastAsia"/>
          <w:color w:val="auto"/>
          <w:sz w:val="32"/>
          <w:szCs w:val="32"/>
          <w:highlight w:val="auto"/>
        </w:rPr>
        <w:t>.卫生健康（类）公共卫生（款）重大公共卫生服务（项）：反映重大疾病、重大传染病预防控制等重大公共卫生方面的支出。</w:t>
      </w:r>
    </w:p>
    <w:p>
      <w:pPr>
        <w:pStyle w:val="32"/>
        <w:pageBreakBefore w:val="0"/>
        <w:widowControl w:val="0"/>
        <w:kinsoku/>
        <w:wordWrap/>
        <w:overflowPunct/>
        <w:topLinePunct w:val="0"/>
        <w:autoSpaceDE w:val="0"/>
        <w:autoSpaceDN w:val="0"/>
        <w:bidi w:val="0"/>
        <w:spacing w:line="560" w:lineRule="exact"/>
        <w:ind w:firstLineChars="200" w:firstLine="640"/>
        <w:textAlignment w:val="auto"/>
        <w:rPr>
          <w:rFonts w:ascii="仿宋_GB2312" w:eastAsia="仿宋_GB2312" w:hint="eastAsia"/>
          <w:color w:val="auto"/>
          <w:sz w:val="32"/>
          <w:szCs w:val="32"/>
          <w:highlight w:val="auto"/>
        </w:rPr>
      </w:pPr>
      <w:r>
        <w:rPr>
          <w:rFonts w:ascii="仿宋_GB2312" w:eastAsia="仿宋_GB2312" w:hint="eastAsia"/>
          <w:color w:val="auto"/>
          <w:sz w:val="32"/>
          <w:szCs w:val="32"/>
          <w:lang w:val="en-US" w:eastAsia="zh-CN"/>
          <w:highlight w:val="auto"/>
        </w:rPr>
        <w:t>18</w:t>
      </w:r>
      <w:r>
        <w:rPr>
          <w:rFonts w:ascii="仿宋_GB2312" w:eastAsia="仿宋_GB2312" w:hint="eastAsia"/>
          <w:color w:val="auto"/>
          <w:sz w:val="32"/>
          <w:szCs w:val="32"/>
          <w:highlight w:val="auto"/>
        </w:rPr>
        <w:t>.卫生健康（类）行政事业单位医疗（款）行政单位医疗（项）：指财政部门集中安排的行政单位基本医疗保险缴费经费，按国家规定享受离休人员、红军老战士待遇人员的医疗经费。</w:t>
      </w:r>
    </w:p>
    <w:p>
      <w:pPr>
        <w:pStyle w:val="32"/>
        <w:pageBreakBefore w:val="0"/>
        <w:widowControl w:val="0"/>
        <w:kinsoku/>
        <w:wordWrap/>
        <w:overflowPunct/>
        <w:topLinePunct w:val="0"/>
        <w:autoSpaceDE w:val="0"/>
        <w:autoSpaceDN w:val="0"/>
        <w:bidi w:val="0"/>
        <w:spacing w:line="560" w:lineRule="exact"/>
        <w:ind w:firstLineChars="200" w:firstLine="640"/>
        <w:textAlignment w:val="auto"/>
        <w:rPr>
          <w:rFonts w:ascii="仿宋_GB2312" w:eastAsia="仿宋_GB2312" w:hint="eastAsia"/>
          <w:color w:val="auto"/>
          <w:sz w:val="32"/>
          <w:szCs w:val="32"/>
          <w:highlight w:val="auto"/>
        </w:rPr>
      </w:pPr>
      <w:r>
        <w:rPr>
          <w:rFonts w:ascii="仿宋_GB2312" w:eastAsia="仿宋_GB2312" w:hint="eastAsia"/>
          <w:color w:val="auto"/>
          <w:sz w:val="32"/>
          <w:szCs w:val="32"/>
          <w:lang w:val="en-US" w:eastAsia="zh-CN"/>
          <w:highlight w:val="auto"/>
        </w:rPr>
        <w:t>19</w:t>
      </w:r>
      <w:r>
        <w:rPr>
          <w:rFonts w:ascii="仿宋_GB2312" w:eastAsia="仿宋_GB2312" w:hint="eastAsia"/>
          <w:color w:val="auto"/>
          <w:sz w:val="32"/>
          <w:szCs w:val="32"/>
          <w:highlight w:val="auto"/>
        </w:rPr>
        <w:t>.农林水（类）扶贫（款）其他扶贫支出（项）：指其他用于扶贫方面的支出。</w:t>
      </w:r>
    </w:p>
    <w:p>
      <w:pPr>
        <w:pStyle w:val="32"/>
        <w:pageBreakBefore w:val="0"/>
        <w:widowControl w:val="0"/>
        <w:kinsoku/>
        <w:wordWrap/>
        <w:overflowPunct/>
        <w:topLinePunct w:val="0"/>
        <w:autoSpaceDE w:val="0"/>
        <w:autoSpaceDN w:val="0"/>
        <w:bidi w:val="0"/>
        <w:spacing w:line="560" w:lineRule="exact"/>
        <w:ind w:firstLineChars="200" w:firstLine="640"/>
        <w:textAlignment w:val="auto"/>
        <w:rPr>
          <w:rFonts w:ascii="仿宋_GB2312" w:eastAsia="仿宋_GB2312" w:hint="eastAsia"/>
          <w:color w:val="auto"/>
          <w:sz w:val="32"/>
          <w:szCs w:val="32"/>
          <w:highlight w:val="auto"/>
        </w:rPr>
      </w:pPr>
      <w:r>
        <w:rPr>
          <w:rFonts w:ascii="仿宋_GB2312" w:eastAsia="仿宋_GB2312" w:hint="eastAsia"/>
          <w:color w:val="auto"/>
          <w:sz w:val="32"/>
          <w:szCs w:val="32"/>
          <w:lang w:val="en-US" w:eastAsia="zh-CN"/>
          <w:highlight w:val="auto"/>
        </w:rPr>
        <w:t>20</w:t>
      </w:r>
      <w:r>
        <w:rPr>
          <w:rFonts w:ascii="仿宋_GB2312" w:eastAsia="仿宋_GB2312" w:hint="eastAsia"/>
          <w:color w:val="auto"/>
          <w:sz w:val="32"/>
          <w:szCs w:val="32"/>
          <w:highlight w:val="auto"/>
        </w:rPr>
        <w:t>.住房保障（类）住房改革支出（款）住房公积金（项）：指行政事业单位按规定为职工缴纳的住房公积金。</w:t>
      </w:r>
    </w:p>
    <w:p>
      <w:pPr>
        <w:pStyle w:val="32"/>
        <w:pageBreakBefore w:val="0"/>
        <w:widowControl w:val="0"/>
        <w:kinsoku/>
        <w:wordWrap/>
        <w:overflowPunct/>
        <w:topLinePunct w:val="0"/>
        <w:autoSpaceDE w:val="0"/>
        <w:autoSpaceDN w:val="0"/>
        <w:bidi w:val="0"/>
        <w:spacing w:line="560" w:lineRule="exact"/>
        <w:ind w:firstLineChars="200" w:firstLine="640"/>
        <w:textAlignment w:val="auto"/>
        <w:rPr>
          <w:rFonts w:ascii="仿宋_GB2312" w:eastAsia="仿宋_GB2312" w:hint="eastAsia"/>
          <w:color w:val="auto"/>
          <w:sz w:val="32"/>
          <w:szCs w:val="32"/>
          <w:highlight w:val="auto"/>
        </w:rPr>
      </w:pPr>
      <w:r>
        <w:rPr>
          <w:rFonts w:ascii="仿宋_GB2312" w:eastAsia="仿宋_GB2312" w:hint="eastAsia"/>
          <w:color w:val="auto"/>
          <w:sz w:val="32"/>
          <w:szCs w:val="32"/>
          <w:lang w:val="en-US" w:eastAsia="zh-CN"/>
          <w:highlight w:val="auto"/>
        </w:rPr>
        <w:t>21</w:t>
      </w:r>
      <w:r>
        <w:rPr>
          <w:rFonts w:ascii="仿宋_GB2312" w:eastAsia="仿宋_GB2312" w:hint="eastAsia"/>
          <w:color w:val="auto"/>
          <w:sz w:val="32"/>
          <w:szCs w:val="32"/>
          <w:highlight w:val="auto"/>
        </w:rPr>
        <w:t>.住房保障（类）住房改革支出（款）购房补贴（项）：指根据房改政策规定的标准，向符合条件职工发放的用于购买住房的补贴。</w:t>
      </w:r>
    </w:p>
    <w:p>
      <w:pPr>
        <w:pStyle w:val="32"/>
        <w:pageBreakBefore w:val="0"/>
        <w:widowControl w:val="0"/>
        <w:kinsoku/>
        <w:wordWrap/>
        <w:overflowPunct/>
        <w:topLinePunct w:val="0"/>
        <w:autoSpaceDE w:val="0"/>
        <w:autoSpaceDN w:val="0"/>
        <w:bidi w:val="0"/>
        <w:spacing w:line="560" w:lineRule="exact"/>
        <w:ind w:firstLineChars="200" w:firstLine="640"/>
        <w:textAlignment w:val="auto"/>
        <w:rPr>
          <w:rFonts w:ascii="仿宋_GB2312" w:eastAsia="仿宋_GB2312" w:hint="eastAsia"/>
          <w:color w:val="auto"/>
          <w:sz w:val="32"/>
          <w:szCs w:val="32"/>
          <w:highlight w:val="auto"/>
        </w:rPr>
      </w:pPr>
      <w:r>
        <w:rPr>
          <w:rFonts w:ascii="仿宋_GB2312" w:eastAsia="仿宋_GB2312" w:hint="eastAsia"/>
          <w:color w:val="auto"/>
          <w:sz w:val="32"/>
          <w:szCs w:val="32"/>
          <w:lang w:val="en-US" w:eastAsia="zh-CN"/>
          <w:highlight w:val="auto"/>
        </w:rPr>
        <w:t>22</w:t>
      </w:r>
      <w:r>
        <w:rPr>
          <w:rFonts w:ascii="仿宋_GB2312" w:eastAsia="仿宋_GB2312" w:hint="eastAsia"/>
          <w:color w:val="auto"/>
          <w:sz w:val="32"/>
          <w:szCs w:val="32"/>
          <w:highlight w:val="auto"/>
        </w:rPr>
        <w:t>.其他支出（类）其他支出（款）其他支出（项）：指其他不能划分到具体功能科目中的支出项目。</w:t>
      </w:r>
    </w:p>
    <w:p>
      <w:pPr>
        <w:pStyle w:val="32"/>
        <w:pageBreakBefore w:val="0"/>
        <w:widowControl w:val="0"/>
        <w:kinsoku/>
        <w:wordWrap/>
        <w:overflowPunct/>
        <w:topLinePunct w:val="0"/>
        <w:autoSpaceDE w:val="0"/>
        <w:autoSpaceDN w:val="0"/>
        <w:bidi w:val="0"/>
        <w:spacing w:line="560" w:lineRule="exact"/>
        <w:ind w:firstLineChars="200" w:firstLine="640"/>
        <w:textAlignment w:val="auto"/>
        <w:rPr>
          <w:rFonts w:ascii="仿宋_GB2312" w:eastAsia="仿宋_GB2312" w:hint="eastAsia"/>
          <w:color w:val="auto"/>
          <w:sz w:val="32"/>
          <w:szCs w:val="32"/>
          <w:highlight w:val="auto"/>
        </w:rPr>
      </w:pPr>
      <w:r>
        <w:rPr>
          <w:rFonts w:ascii="仿宋_GB2312" w:eastAsia="仿宋_GB2312" w:hint="eastAsia"/>
          <w:color w:val="auto"/>
          <w:sz w:val="32"/>
          <w:szCs w:val="32"/>
          <w:lang w:val="en-US" w:eastAsia="zh-CN"/>
          <w:highlight w:val="auto"/>
        </w:rPr>
        <w:t>23</w:t>
      </w:r>
      <w:r>
        <w:rPr>
          <w:rFonts w:ascii="仿宋_GB2312" w:eastAsia="仿宋_GB2312" w:hint="eastAsia"/>
          <w:color w:val="auto"/>
          <w:sz w:val="32"/>
          <w:szCs w:val="32"/>
          <w:highlight w:val="auto"/>
        </w:rPr>
        <w:t>.基本支出：指为保障机构正常运转、完成日常工作任务而发生的人员支出和公用支出。</w:t>
      </w:r>
    </w:p>
    <w:p>
      <w:pPr>
        <w:pStyle w:val="32"/>
        <w:pageBreakBefore w:val="0"/>
        <w:widowControl w:val="0"/>
        <w:kinsoku/>
        <w:wordWrap/>
        <w:overflowPunct/>
        <w:topLinePunct w:val="0"/>
        <w:autoSpaceDE w:val="0"/>
        <w:autoSpaceDN w:val="0"/>
        <w:bidi w:val="0"/>
        <w:spacing w:line="560" w:lineRule="exact"/>
        <w:ind w:firstLineChars="200" w:firstLine="640"/>
        <w:textAlignment w:val="auto"/>
        <w:rPr>
          <w:rFonts w:ascii="仿宋_GB2312" w:eastAsia="仿宋_GB2312" w:hint="eastAsia"/>
          <w:color w:val="auto"/>
          <w:sz w:val="32"/>
          <w:szCs w:val="32"/>
          <w:highlight w:val="auto"/>
        </w:rPr>
      </w:pPr>
      <w:r>
        <w:rPr>
          <w:rFonts w:ascii="仿宋_GB2312" w:eastAsia="仿宋_GB2312" w:hint="eastAsia"/>
          <w:color w:val="auto"/>
          <w:sz w:val="32"/>
          <w:szCs w:val="32"/>
          <w:lang w:val="en-US" w:eastAsia="zh-CN"/>
          <w:highlight w:val="auto"/>
        </w:rPr>
        <w:t>24</w:t>
      </w:r>
      <w:r>
        <w:rPr>
          <w:rFonts w:ascii="仿宋_GB2312" w:eastAsia="仿宋_GB2312" w:hint="eastAsia"/>
          <w:color w:val="auto"/>
          <w:sz w:val="32"/>
          <w:szCs w:val="32"/>
          <w:highlight w:val="auto"/>
        </w:rPr>
        <w:t xml:space="preserve">.项目支出：指在基本支出之外为完成特定行政任务和事业发展目标所发生的支出。 </w:t>
      </w:r>
    </w:p>
    <w:p>
      <w:pPr>
        <w:pStyle w:val="32"/>
        <w:pageBreakBefore w:val="0"/>
        <w:widowControl w:val="0"/>
        <w:kinsoku/>
        <w:wordWrap/>
        <w:overflowPunct/>
        <w:topLinePunct w:val="0"/>
        <w:autoSpaceDE w:val="0"/>
        <w:autoSpaceDN w:val="0"/>
        <w:bidi w:val="0"/>
        <w:spacing w:line="560" w:lineRule="exact"/>
        <w:ind w:firstLineChars="200" w:firstLine="640"/>
        <w:textAlignment w:val="auto"/>
        <w:rPr>
          <w:rFonts w:ascii="仿宋_GB2312" w:eastAsia="仿宋_GB2312" w:hint="eastAsia"/>
          <w:color w:val="auto"/>
          <w:sz w:val="32"/>
          <w:szCs w:val="32"/>
          <w:highlight w:val="auto"/>
        </w:rPr>
      </w:pPr>
      <w:r>
        <w:rPr>
          <w:rFonts w:ascii="仿宋_GB2312" w:eastAsia="仿宋_GB2312" w:hint="eastAsia"/>
          <w:color w:val="auto"/>
          <w:sz w:val="32"/>
          <w:szCs w:val="32"/>
          <w:lang w:val="en-US" w:eastAsia="zh-CN"/>
          <w:highlight w:val="auto"/>
        </w:rPr>
        <w:t>25</w:t>
      </w:r>
      <w:r>
        <w:rPr>
          <w:rFonts w:ascii="仿宋_GB2312" w:eastAsia="仿宋_GB2312" w:hint="eastAsia"/>
          <w:color w:val="auto"/>
          <w:sz w:val="32"/>
          <w:szCs w:val="32"/>
          <w:highlight w:val="auto"/>
        </w:rPr>
        <w:t>.经营支出：指事业单位在专业业务活动及其辅助活动之外开展非独立核算经营活动发生的支出。</w:t>
      </w:r>
    </w:p>
    <w:p>
      <w:pPr>
        <w:pStyle w:val="32"/>
        <w:pageBreakBefore w:val="0"/>
        <w:widowControl w:val="0"/>
        <w:kinsoku/>
        <w:wordWrap/>
        <w:overflowPunct/>
        <w:topLinePunct w:val="0"/>
        <w:autoSpaceDE w:val="0"/>
        <w:autoSpaceDN w:val="0"/>
        <w:bidi w:val="0"/>
        <w:spacing w:line="560" w:lineRule="exact"/>
        <w:ind w:firstLineChars="200" w:firstLine="640"/>
        <w:textAlignment w:val="auto"/>
        <w:rPr>
          <w:rFonts w:ascii="仿宋_GB2312" w:eastAsia="仿宋_GB2312" w:hint="eastAsia"/>
          <w:color w:val="auto"/>
          <w:sz w:val="32"/>
          <w:szCs w:val="32"/>
          <w:highlight w:val="auto"/>
        </w:rPr>
      </w:pPr>
      <w:r>
        <w:rPr>
          <w:rFonts w:ascii="仿宋_GB2312" w:eastAsia="仿宋_GB2312" w:hint="eastAsia"/>
          <w:color w:val="auto"/>
          <w:sz w:val="32"/>
          <w:szCs w:val="32"/>
          <w:lang w:val="en-US" w:eastAsia="zh-CN"/>
          <w:highlight w:val="auto"/>
        </w:rPr>
        <w:t>26</w:t>
      </w:r>
      <w:r>
        <w:rPr>
          <w:rFonts w:ascii="仿宋_GB2312" w:eastAsia="仿宋_GB2312" w:hint="eastAsia"/>
          <w:color w:val="auto"/>
          <w:sz w:val="32"/>
          <w:szCs w:val="32"/>
          <w:highlight w:val="auto"/>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pStyle w:val="32"/>
        <w:pageBreakBefore w:val="0"/>
        <w:widowControl w:val="0"/>
        <w:kinsoku/>
        <w:wordWrap/>
        <w:overflowPunct/>
        <w:topLinePunct w:val="0"/>
        <w:autoSpaceDE w:val="0"/>
        <w:autoSpaceDN w:val="0"/>
        <w:bidi w:val="0"/>
        <w:spacing w:line="560" w:lineRule="exact"/>
        <w:ind w:firstLineChars="200" w:firstLine="640"/>
        <w:textAlignment w:val="auto"/>
        <w:rPr>
          <w:rFonts w:ascii="仿宋_GB2312" w:eastAsia="仿宋_GB2312" w:hint="eastAsia"/>
          <w:color w:val="auto"/>
          <w:sz w:val="32"/>
          <w:szCs w:val="32"/>
          <w:highlight w:val="auto"/>
        </w:rPr>
      </w:pPr>
      <w:r>
        <w:rPr>
          <w:rFonts w:ascii="仿宋_GB2312" w:eastAsia="仿宋_GB2312" w:hint="eastAsia"/>
          <w:color w:val="auto"/>
          <w:sz w:val="32"/>
          <w:szCs w:val="32"/>
          <w:lang w:val="en-US" w:eastAsia="zh-CN"/>
          <w:highlight w:val="auto"/>
        </w:rPr>
        <w:t>27</w:t>
      </w:r>
      <w:r>
        <w:rPr>
          <w:rFonts w:ascii="仿宋_GB2312" w:eastAsia="仿宋_GB2312" w:hint="eastAsia"/>
          <w:color w:val="auto"/>
          <w:sz w:val="32"/>
          <w:szCs w:val="32"/>
          <w:highlight w:val="auto"/>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pageBreakBefore w:val="0"/>
        <w:widowControl w:val="0"/>
        <w:suppressAutoHyphens/>
        <w:kinsoku/>
        <w:wordWrap/>
        <w:overflowPunct/>
        <w:topLinePunct w:val="0"/>
        <w:bidi w:val="0"/>
        <w:spacing w:line="560" w:lineRule="exact"/>
        <w:jc w:val="center"/>
        <w:textAlignment w:val="auto"/>
        <w:outlineLvl w:val="0"/>
        <w:rPr>
          <w:rStyle w:val="1Char"/>
          <w:rFonts w:ascii="黑体" w:eastAsia="黑体" w:hint="eastAsia"/>
          <w:b w:val="0"/>
          <w:color w:val="auto"/>
          <w:lang w:eastAsia="zh-CN"/>
          <w:highlight w:val="auto"/>
        </w:rPr>
      </w:pPr>
      <w:bookmarkStart w:id="50" w:name="_Toc15377226"/>
      <w:r>
        <w:rPr>
          <w:rFonts w:ascii="宋体"/>
          <w:b/>
          <w:color w:val="auto"/>
          <w:sz w:val="44"/>
          <w:szCs w:val="44"/>
          <w:highlight w:val="auto"/>
        </w:rPr>
        <w:br w:type="page"/>
      </w:r>
      <w:bookmarkStart w:id="51" w:name="_Toc15396614"/>
      <w:bookmarkStart w:id="52" w:name="_Toc29910"/>
      <w:r>
        <w:rPr>
          <w:rFonts w:ascii="黑体" w:eastAsia="黑体" w:hint="eastAsia"/>
          <w:color w:val="auto"/>
          <w:sz w:val="44"/>
          <w:szCs w:val="44"/>
          <w:highlight w:val="auto"/>
        </w:rPr>
        <w:t>第</w:t>
      </w:r>
      <w:r>
        <w:rPr>
          <w:rStyle w:val="1Char"/>
          <w:rFonts w:ascii="黑体" w:eastAsia="黑体" w:hint="eastAsia"/>
          <w:b w:val="0"/>
          <w:color w:val="auto"/>
          <w:highlight w:val="auto"/>
        </w:rPr>
        <w:t>四部分 附件</w:t>
      </w:r>
      <w:bookmarkEnd w:id="51"/>
      <w:bookmarkEnd w:id="52"/>
    </w:p>
    <w:p>
      <w:pPr>
        <w:keepNext w:val="0"/>
        <w:keepLines w:val="0"/>
        <w:pageBreakBefore w:val="0"/>
        <w:widowControl w:val="0"/>
        <w:suppressAutoHyphens/>
        <w:kinsoku/>
        <w:wordWrap/>
        <w:overflowPunct/>
        <w:topLinePunct w:val="0"/>
        <w:autoSpaceDE/>
        <w:autoSpaceDN/>
        <w:bidi w:val="0"/>
        <w:spacing w:line="560" w:lineRule="exact"/>
        <w:jc w:val="left"/>
        <w:textAlignment w:val="auto"/>
        <w:outlineLvl w:val="9"/>
        <w:rPr>
          <w:rFonts w:ascii="黑体" w:eastAsia="黑体" w:cs="黑体" w:hint="eastAsia"/>
          <w:color w:val="FF0000"/>
          <w:sz w:val="32"/>
          <w:szCs w:val="32"/>
          <w:highlight w:val="auto"/>
        </w:rPr>
      </w:pPr>
    </w:p>
    <w:p>
      <w:pPr>
        <w:keepNext w:val="0"/>
        <w:keepLines w:val="0"/>
        <w:pageBreakBefore w:val="0"/>
        <w:widowControl w:val="0"/>
        <w:suppressAutoHyphens/>
        <w:kinsoku/>
        <w:wordWrap/>
        <w:overflowPunct/>
        <w:topLinePunct w:val="0"/>
        <w:autoSpaceDE/>
        <w:autoSpaceDN/>
        <w:bidi w:val="0"/>
        <w:spacing w:line="560" w:lineRule="exact"/>
        <w:jc w:val="left"/>
        <w:textAlignment w:val="auto"/>
        <w:outlineLvl w:val="0"/>
        <w:rPr>
          <w:rFonts w:ascii="方正小标宋简体" w:eastAsia="黑体" w:cs="方正小标宋简体" w:hAnsi="方正小标宋简体" w:hint="eastAsia"/>
          <w:color w:val="auto"/>
          <w:sz w:val="44"/>
          <w:szCs w:val="44"/>
          <w:lang w:val="en-US" w:eastAsia="zh-CN"/>
          <w:highlight w:val="auto"/>
        </w:rPr>
      </w:pPr>
      <w:bookmarkStart w:id="53" w:name="_Toc6819"/>
      <w:r>
        <w:rPr>
          <w:rFonts w:ascii="黑体" w:eastAsia="黑体" w:cs="黑体" w:hint="eastAsia"/>
          <w:color w:val="auto"/>
          <w:sz w:val="32"/>
          <w:szCs w:val="32"/>
          <w:highlight w:val="auto"/>
        </w:rPr>
        <w:t>附件</w:t>
      </w:r>
      <w:r>
        <w:rPr>
          <w:rFonts w:ascii="黑体" w:eastAsia="黑体" w:cs="黑体" w:hint="eastAsia"/>
          <w:color w:val="auto"/>
          <w:sz w:val="32"/>
          <w:szCs w:val="32"/>
          <w:lang w:val="en-US" w:eastAsia="zh-CN"/>
          <w:highlight w:val="auto"/>
        </w:rPr>
        <w:t>1</w:t>
      </w:r>
      <w:bookmarkEnd w:id="53"/>
    </w:p>
    <w:p>
      <w:pPr>
        <w:spacing w:line="600" w:lineRule="exact"/>
        <w:jc w:val="center"/>
        <w:outlineLvl w:val="0"/>
        <w:rPr>
          <w:rFonts w:eastAsia="方正小标宋简体" w:hint="eastAsia"/>
          <w:bCs/>
          <w:sz w:val="44"/>
          <w:szCs w:val="44"/>
          <w:shd w:val="clear" w:color="auto" w:fill="FFFFFF"/>
        </w:rPr>
      </w:pPr>
      <w:r>
        <w:rPr>
          <w:rFonts w:eastAsia="方正小标宋简体" w:hint="eastAsia"/>
          <w:bCs/>
          <w:sz w:val="44"/>
          <w:szCs w:val="44"/>
          <w:shd w:val="clear" w:color="auto" w:fill="FFFFFF"/>
        </w:rPr>
        <w:t>茂县公安局202</w:t>
      </w:r>
      <w:r>
        <w:rPr>
          <w:rFonts w:eastAsia="方正小标宋简体" w:hint="eastAsia"/>
          <w:bCs/>
          <w:sz w:val="44"/>
          <w:szCs w:val="44"/>
          <w:shd w:val="clear" w:color="auto" w:fill="FFFFFF"/>
          <w:lang w:val="en-US" w:eastAsia="zh-CN"/>
        </w:rPr>
        <w:t>5</w:t>
      </w:r>
      <w:r>
        <w:rPr>
          <w:rFonts w:eastAsia="方正小标宋简体" w:hint="eastAsia"/>
          <w:bCs/>
          <w:sz w:val="44"/>
          <w:szCs w:val="44"/>
          <w:shd w:val="clear" w:color="auto" w:fill="FFFFFF"/>
        </w:rPr>
        <w:t>年部门</w:t>
      </w:r>
      <w:r>
        <w:rPr>
          <w:rFonts w:eastAsia="方正小标宋简体" w:hint="eastAsia"/>
          <w:bCs/>
          <w:sz w:val="44"/>
          <w:szCs w:val="44"/>
          <w:shd w:val="clear" w:color="auto" w:fill="FFFFFF"/>
          <w:lang w:eastAsia="zh-CN"/>
        </w:rPr>
        <w:t>预算</w:t>
      </w:r>
      <w:r>
        <w:rPr>
          <w:rFonts w:eastAsia="方正小标宋简体" w:hint="eastAsia"/>
          <w:bCs/>
          <w:sz w:val="44"/>
          <w:szCs w:val="44"/>
          <w:shd w:val="clear" w:color="auto" w:fill="FFFFFF"/>
        </w:rPr>
        <w:t>绩效</w:t>
      </w:r>
    </w:p>
    <w:p>
      <w:pPr>
        <w:keepNext w:val="0"/>
        <w:keepLines w:val="0"/>
        <w:pageBreakBefore w:val="0"/>
        <w:widowControl/>
        <w:suppressAutoHyphens/>
        <w:kinsoku/>
        <w:wordWrap/>
        <w:overflowPunct/>
        <w:topLinePunct w:val="0"/>
        <w:autoSpaceDE/>
        <w:autoSpaceDN/>
        <w:bidi w:val="0"/>
        <w:spacing w:line="560" w:lineRule="exact"/>
        <w:contextualSpacing/>
        <w:jc w:val="center"/>
        <w:textAlignment w:val="auto"/>
        <w:outlineLvl w:val="9"/>
        <w:rPr>
          <w:rFonts w:ascii="Times New Roman" w:eastAsia="方正小标宋简体" w:cs="Times New Roman" w:hAnsi="Times New Roman"/>
          <w:b w:val="0"/>
          <w:bCs/>
          <w:sz w:val="44"/>
          <w:szCs w:val="44"/>
          <w:shd w:val="clear" w:color="auto" w:fill="FFFFFF"/>
          <w:highlight w:val="auto"/>
        </w:rPr>
      </w:pPr>
      <w:r>
        <w:rPr>
          <w:rFonts w:eastAsia="方正小标宋简体" w:hint="eastAsia"/>
          <w:bCs/>
          <w:sz w:val="44"/>
          <w:szCs w:val="44"/>
          <w:shd w:val="clear" w:color="auto" w:fill="FFFFFF"/>
        </w:rPr>
        <w:t>评价报告</w:t>
      </w:r>
    </w:p>
    <w:p>
      <w:pPr>
        <w:keepNext w:val="0"/>
        <w:keepLines w:val="0"/>
        <w:pageBreakBefore w:val="0"/>
        <w:widowControl/>
        <w:suppressAutoHyphens/>
        <w:kinsoku/>
        <w:wordWrap/>
        <w:overflowPunct/>
        <w:topLinePunct w:val="0"/>
        <w:autoSpaceDE/>
        <w:autoSpaceDN/>
        <w:bidi w:val="0"/>
        <w:spacing w:line="560" w:lineRule="exact"/>
        <w:contextualSpacing/>
        <w:jc w:val="center"/>
        <w:textAlignment w:val="auto"/>
        <w:outlineLvl w:val="9"/>
        <w:rPr>
          <w:rFonts w:ascii="Times New Roman" w:eastAsia="仿宋_GB2312" w:cs="Times New Roman" w:hAnsi="Times New Roman"/>
          <w:sz w:val="32"/>
          <w:szCs w:val="32"/>
          <w:shd w:val="clear" w:color="auto" w:fill="FFFFFF"/>
          <w:highlight w:val="auto"/>
        </w:rPr>
      </w:pPr>
      <w:r>
        <w:rPr>
          <w:rFonts w:ascii="Times New Roman" w:eastAsia="仿宋_GB2312" w:cs="Times New Roman" w:hAnsi="Times New Roman"/>
          <w:sz w:val="32"/>
          <w:szCs w:val="32"/>
          <w:shd w:val="clear" w:color="auto" w:fill="FFFFFF"/>
          <w:highlight w:val="auto"/>
        </w:rPr>
        <w:t>（报告范围包括机关和下属单位）</w:t>
      </w:r>
    </w:p>
    <w:p>
      <w:pPr>
        <w:keepNext w:val="0"/>
        <w:keepLines w:val="0"/>
        <w:pageBreakBefore w:val="0"/>
        <w:widowControl/>
        <w:suppressAutoHyphens/>
        <w:kinsoku/>
        <w:wordWrap/>
        <w:overflowPunct/>
        <w:topLinePunct w:val="0"/>
        <w:autoSpaceDE/>
        <w:autoSpaceDN/>
        <w:bidi w:val="0"/>
        <w:adjustRightInd w:val="0"/>
        <w:snapToGrid w:val="0"/>
        <w:spacing w:line="560" w:lineRule="exact"/>
        <w:ind w:firstLineChars="200" w:firstLine="480"/>
        <w:contextualSpacing/>
        <w:jc w:val="left"/>
        <w:textAlignment w:val="auto"/>
        <w:outlineLvl w:val="9"/>
        <w:rPr>
          <w:rFonts w:ascii="Times New Roman" w:eastAsia="黑体" w:cs="Times New Roman" w:hAnsi="Times New Roman"/>
          <w:color w:val="000000"/>
          <w:kern w:val="0"/>
          <w:sz w:val="24"/>
          <w:szCs w:val="32"/>
          <w:shd w:val="clear" w:color="auto" w:fill="FFFFFF"/>
          <w:highlight w:val="auto"/>
        </w:rPr>
      </w:pPr>
    </w:p>
    <w:p>
      <w:pPr>
        <w:keepNext w:val="0"/>
        <w:keepLines w:val="0"/>
        <w:pageBreakBefore w:val="0"/>
        <w:widowControl/>
        <w:suppressAutoHyphens/>
        <w:kinsoku/>
        <w:wordWrap/>
        <w:overflowPunct/>
        <w:topLinePunct w:val="0"/>
        <w:autoSpaceDE/>
        <w:autoSpaceDN/>
        <w:bidi w:val="0"/>
        <w:adjustRightInd w:val="0"/>
        <w:snapToGrid w:val="0"/>
        <w:spacing w:line="560" w:lineRule="exact"/>
        <w:ind w:left="0" w:firstLineChars="200" w:firstLine="640"/>
        <w:contextualSpacing/>
        <w:jc w:val="left"/>
        <w:textAlignment w:val="auto"/>
        <w:outlineLvl w:val="9"/>
        <w:rPr>
          <w:rFonts w:eastAsia="黑体" w:cs="Times New Roman"/>
          <w:color w:val="000000"/>
          <w:kern w:val="0"/>
          <w:sz w:val="32"/>
          <w:szCs w:val="32"/>
          <w:shd w:val="clear" w:color="auto" w:fill="FFFFFF"/>
          <w:lang w:val="zh-CN"/>
          <w:highlight w:val="auto"/>
        </w:rPr>
      </w:pPr>
      <w:r>
        <w:rPr>
          <w:rFonts w:eastAsia="黑体" w:cs="Times New Roman" w:hint="eastAsia"/>
          <w:color w:val="000000"/>
          <w:kern w:val="0"/>
          <w:sz w:val="32"/>
          <w:szCs w:val="32"/>
          <w:shd w:val="clear" w:color="auto" w:fill="FFFFFF"/>
          <w:lang w:val="zh-CN"/>
          <w:highlight w:val="auto"/>
        </w:rPr>
        <w:t>一、</w:t>
      </w:r>
      <w:r>
        <w:rPr>
          <w:rFonts w:eastAsia="黑体" w:cs="Times New Roman"/>
          <w:color w:val="000000"/>
          <w:kern w:val="0"/>
          <w:sz w:val="32"/>
          <w:szCs w:val="32"/>
          <w:shd w:val="clear" w:color="auto" w:fill="FFFFFF"/>
          <w:lang w:val="zh-CN"/>
          <w:highlight w:val="auto"/>
        </w:rPr>
        <w:t>部门（单位）基本情况</w:t>
      </w:r>
    </w:p>
    <w:p>
      <w:pPr>
        <w:keepNext w:val="0"/>
        <w:keepLines w:val="0"/>
        <w:pageBreakBefore w:val="0"/>
        <w:widowControl w:val="0"/>
        <w:suppressAutoHyphens/>
        <w:kinsoku/>
        <w:wordWrap/>
        <w:overflowPunct/>
        <w:topLinePunct w:val="0"/>
        <w:autoSpaceDE/>
        <w:autoSpaceDN/>
        <w:bidi w:val="0"/>
        <w:adjustRightInd/>
        <w:snapToGrid/>
        <w:spacing w:line="560" w:lineRule="exact"/>
        <w:ind w:firstLineChars="200" w:firstLine="640"/>
        <w:textAlignment w:val="auto"/>
        <w:rPr>
          <w:rFonts w:ascii="仿宋_GB2312" w:eastAsia="仿宋_GB2312" w:hint="eastAsia"/>
          <w:sz w:val="32"/>
          <w:szCs w:val="32"/>
          <w:lang w:val="en-US" w:eastAsia="zh-CN"/>
        </w:rPr>
      </w:pPr>
      <w:r>
        <w:rPr>
          <w:rFonts w:ascii="Times New Roman" w:eastAsia="楷体_GB2312" w:cs="Times New Roman" w:hAnsi="Times New Roman" w:hint="eastAsia"/>
          <w:b/>
          <w:bCs/>
          <w:color w:val="000000"/>
          <w:kern w:val="0"/>
          <w:sz w:val="32"/>
          <w:szCs w:val="32"/>
          <w:shd w:val="clear" w:color="auto" w:fill="FFFFFF"/>
          <w:lang w:val="zh-CN"/>
          <w:highlight w:val="auto"/>
        </w:rPr>
        <w:t>（一）</w:t>
      </w:r>
      <w:r>
        <w:rPr>
          <w:rFonts w:ascii="Times New Roman" w:eastAsia="楷体_GB2312" w:cs="Times New Roman" w:hAnsi="Times New Roman"/>
          <w:b/>
          <w:bCs/>
          <w:color w:val="000000"/>
          <w:kern w:val="0"/>
          <w:sz w:val="32"/>
          <w:szCs w:val="32"/>
          <w:shd w:val="clear" w:color="auto" w:fill="FFFFFF"/>
          <w:lang w:val="zh-CN"/>
          <w:highlight w:val="auto"/>
        </w:rPr>
        <w:t>机构组成。</w:t>
      </w:r>
      <w:r>
        <w:rPr>
          <w:rFonts w:ascii="仿宋_GB2312" w:eastAsia="仿宋_GB2312" w:hint="eastAsia"/>
          <w:sz w:val="32"/>
          <w:szCs w:val="32"/>
        </w:rPr>
        <w:t>本部门是行政性质机构，属一级预算单位，其中内设机构1</w:t>
      </w:r>
      <w:r>
        <w:rPr>
          <w:rFonts w:ascii="仿宋_GB2312" w:eastAsia="仿宋_GB2312" w:hint="eastAsia"/>
          <w:sz w:val="32"/>
          <w:szCs w:val="32"/>
          <w:lang w:val="en-US" w:eastAsia="zh-CN"/>
        </w:rPr>
        <w:t>6</w:t>
      </w:r>
      <w:r>
        <w:rPr>
          <w:rFonts w:ascii="仿宋_GB2312" w:eastAsia="仿宋_GB2312" w:hint="eastAsia"/>
          <w:sz w:val="32"/>
          <w:szCs w:val="32"/>
        </w:rPr>
        <w:t>个，派出所1</w:t>
      </w:r>
      <w:r>
        <w:rPr>
          <w:rFonts w:ascii="仿宋_GB2312" w:eastAsia="仿宋_GB2312" w:hint="eastAsia"/>
          <w:sz w:val="32"/>
          <w:szCs w:val="32"/>
          <w:lang w:val="en-US" w:eastAsia="zh-CN"/>
        </w:rPr>
        <w:t>2</w:t>
      </w:r>
      <w:r>
        <w:rPr>
          <w:rFonts w:ascii="仿宋_GB2312" w:eastAsia="仿宋_GB2312" w:hint="eastAsia"/>
          <w:sz w:val="32"/>
          <w:szCs w:val="32"/>
        </w:rPr>
        <w:t>个,</w:t>
      </w:r>
      <w:r>
        <w:rPr>
          <w:rFonts w:ascii="仿宋_GB2312" w:eastAsia="仿宋_GB2312" w:hint="eastAsia"/>
          <w:sz w:val="32"/>
          <w:szCs w:val="32"/>
          <w:lang w:val="en-US" w:eastAsia="zh-CN"/>
        </w:rPr>
        <w:t>直属机构3</w:t>
      </w:r>
      <w:r>
        <w:rPr>
          <w:rFonts w:ascii="仿宋_GB2312" w:eastAsia="仿宋_GB2312" w:hint="eastAsia"/>
          <w:sz w:val="32"/>
          <w:szCs w:val="32"/>
        </w:rPr>
        <w:t>个。</w:t>
      </w:r>
      <w:r>
        <w:rPr>
          <w:rFonts w:ascii="仿宋_GB2312" w:eastAsia="仿宋_GB2312" w:hint="eastAsia"/>
          <w:sz w:val="32"/>
          <w:szCs w:val="32"/>
          <w:lang w:val="en-US" w:eastAsia="zh-CN"/>
        </w:rPr>
        <w:t xml:space="preserve"> </w:t>
      </w:r>
    </w:p>
    <w:p>
      <w:pPr>
        <w:keepNext w:val="0"/>
        <w:keepLines w:val="0"/>
        <w:pageBreakBefore w:val="0"/>
        <w:widowControl w:val="0"/>
        <w:suppressAutoHyphens/>
        <w:kinsoku/>
        <w:wordWrap/>
        <w:overflowPunct/>
        <w:topLinePunct w:val="0"/>
        <w:autoSpaceDE/>
        <w:autoSpaceDN/>
        <w:bidi w:val="0"/>
        <w:adjustRightInd/>
        <w:snapToGrid/>
        <w:spacing w:line="560" w:lineRule="exact"/>
        <w:ind w:firstLineChars="200" w:firstLine="640"/>
        <w:textAlignment w:val="auto"/>
        <w:rPr>
          <w:rFonts w:ascii="Times New Roman" w:eastAsia="楷体_GB2312" w:cs="Times New Roman" w:hAnsi="Times New Roman"/>
          <w:b/>
          <w:bCs/>
          <w:color w:val="000000"/>
          <w:kern w:val="0"/>
          <w:szCs w:val="32"/>
          <w:shd w:val="clear" w:color="auto" w:fill="FFFFFF"/>
          <w:lang w:val="zh-CN"/>
          <w:highlight w:val="auto"/>
        </w:rPr>
      </w:pPr>
      <w:r>
        <w:rPr>
          <w:rFonts w:ascii="Times New Roman" w:eastAsia="楷体_GB2312" w:cs="Times New Roman" w:hAnsi="Times New Roman"/>
          <w:b/>
          <w:bCs/>
          <w:color w:val="000000"/>
          <w:kern w:val="0"/>
          <w:sz w:val="32"/>
          <w:szCs w:val="32"/>
          <w:shd w:val="clear" w:color="auto" w:fill="FFFFFF"/>
          <w:lang w:val="zh-CN"/>
          <w:highlight w:val="auto"/>
        </w:rPr>
        <w:t>（二）机构职能</w:t>
      </w:r>
      <w:r>
        <w:rPr>
          <w:rFonts w:ascii="Times New Roman" w:eastAsia="楷体_GB2312" w:cs="Times New Roman" w:hAnsi="Times New Roman" w:hint="eastAsia"/>
          <w:b/>
          <w:bCs/>
          <w:color w:val="000000"/>
          <w:kern w:val="0"/>
          <w:sz w:val="32"/>
          <w:szCs w:val="32"/>
          <w:shd w:val="clear" w:color="auto" w:fill="FFFFFF"/>
          <w:lang w:val="zh-CN"/>
          <w:highlight w:val="auto"/>
        </w:rPr>
        <w:t>。</w:t>
      </w:r>
      <w:r>
        <w:rPr>
          <w:rFonts w:ascii="仿宋_GB2312" w:eastAsia="仿宋_GB2312" w:hint="eastAsia"/>
          <w:sz w:val="32"/>
          <w:szCs w:val="32"/>
          <w:lang w:eastAsia="zh-CN"/>
        </w:rPr>
        <w:t>本</w:t>
      </w:r>
      <w:r>
        <w:rPr>
          <w:rFonts w:ascii="仿宋_GB2312" w:eastAsia="仿宋_GB2312" w:hint="eastAsia"/>
          <w:sz w:val="32"/>
          <w:szCs w:val="32"/>
        </w:rPr>
        <w:t>部门贯彻执行国家法律、法规和公安工作的路线、方针、政策；对全县公安工作进行决策、部署;组织实施并指导预防、制止和侦察违法犯罪活动;组织实施并指导全县公安机关依法查处危害社会治安秩序行为,依法管理户籍、枪支弹药、危险物品和特种行业等工作,管理集会、游行、示威活动,组织、协调处置重大案件、治安事故和骚乱;负责出入(境)和外国人在我县境内居留、旅行的有关管理工作以及全县公安外事工作;组织实施消防工作，实行消防监督;贯彻《警卫工作规定》，警卫国家规定的特定人员，守卫重要的场所和设施;维护全县道路交通安全，交通秩序以及车辆、驾驶员管理工作,查处交通事故;指导和管理全县公安机关依法监督机关、团体、企事业单位、学校、重点建设工程的治安保卫工作以及群众性治安组织的治安防范工作,指导企事业单位保卫组织和经济民警、保安队伍的建设;组织实施全县公安机关的信息通信工作以及全县公共信息网络安全监察工作;组织实施并指导看守所、治安拘留所的管理工作，开展深挖犯罪，扩大战果等工作;组织实施全县公安法制建设,指导、检查、监督公安机关执法活动,承担审批治安行政案件审核工作;组织实施全县科技强警工作，规划公安装备现代化建设;规划和指导全县公安队伍的现代化、正规化建设以及公安民警的管理、教育、训练;组织实施全县公安机关督察工作，按规定权限实施对民警的监督；查处公安队伍中的违法违纪案件; 负责涉林、涉野、涉资源违法犯罪活动打击，负责火案侦办;承办县委、县政府和上级公安机关交办的其他工作。</w:t>
      </w:r>
    </w:p>
    <w:p>
      <w:pPr>
        <w:spacing w:line="600" w:lineRule="exact"/>
        <w:ind w:firstLineChars="200" w:firstLine="640"/>
        <w:rPr>
          <w:rFonts w:ascii="Times New Roman" w:eastAsia="仿宋_GB2312" w:cs="Times New Roman" w:hAnsi="Times New Roman" w:hint="eastAsia"/>
          <w:szCs w:val="32"/>
          <w:lang w:eastAsia="zh-CN"/>
        </w:rPr>
      </w:pPr>
      <w:r>
        <w:rPr>
          <w:rFonts w:ascii="Times New Roman" w:eastAsia="楷体_GB2312" w:cs="Times New Roman" w:hAnsi="Times New Roman"/>
          <w:b/>
          <w:bCs/>
          <w:color w:val="000000"/>
          <w:kern w:val="0"/>
          <w:sz w:val="32"/>
          <w:szCs w:val="32"/>
          <w:shd w:val="clear" w:color="auto" w:fill="FFFFFF"/>
          <w:lang w:val="zh-CN"/>
          <w:highlight w:val="auto"/>
        </w:rPr>
        <w:t>（</w:t>
      </w:r>
      <w:r>
        <w:rPr>
          <w:rFonts w:ascii="Times New Roman" w:eastAsia="楷体_GB2312" w:cs="Times New Roman" w:hAnsi="Times New Roman" w:hint="eastAsia"/>
          <w:b/>
          <w:bCs/>
          <w:color w:val="000000"/>
          <w:kern w:val="0"/>
          <w:sz w:val="32"/>
          <w:szCs w:val="32"/>
          <w:shd w:val="clear" w:color="auto" w:fill="FFFFFF"/>
          <w:lang w:val="zh-CN"/>
          <w:highlight w:val="auto"/>
        </w:rPr>
        <w:t>三</w:t>
      </w:r>
      <w:r>
        <w:rPr>
          <w:rFonts w:ascii="Times New Roman" w:eastAsia="楷体_GB2312" w:cs="Times New Roman" w:hAnsi="Times New Roman"/>
          <w:b/>
          <w:bCs/>
          <w:color w:val="000000"/>
          <w:kern w:val="0"/>
          <w:sz w:val="32"/>
          <w:szCs w:val="32"/>
          <w:shd w:val="clear" w:color="auto" w:fill="FFFFFF"/>
          <w:lang w:val="zh-CN"/>
          <w:highlight w:val="auto"/>
        </w:rPr>
        <w:t>）人员概况</w:t>
      </w:r>
      <w:r>
        <w:rPr>
          <w:rFonts w:ascii="Times New Roman" w:eastAsia="楷体_GB2312" w:cs="Times New Roman" w:hAnsi="Times New Roman" w:hint="eastAsia"/>
          <w:b/>
          <w:bCs/>
          <w:color w:val="000000"/>
          <w:kern w:val="0"/>
          <w:sz w:val="32"/>
          <w:szCs w:val="32"/>
          <w:shd w:val="clear" w:color="auto" w:fill="FFFFFF"/>
          <w:lang w:val="zh-CN"/>
          <w:highlight w:val="auto"/>
        </w:rPr>
        <w:t>。</w:t>
      </w:r>
      <w:r>
        <w:rPr>
          <w:rFonts w:ascii="仿宋_GB2312" w:eastAsia="仿宋_GB2312" w:hint="eastAsia"/>
          <w:sz w:val="32"/>
          <w:szCs w:val="32"/>
        </w:rPr>
        <w:t>单位总编制数200名，其中：行政编制188名，行政工勤编制12名，事业编制0名。财政供养人员</w:t>
      </w:r>
      <w:r>
        <w:rPr>
          <w:rFonts w:ascii="仿宋_GB2312" w:eastAsia="仿宋_GB2312" w:hint="eastAsia"/>
          <w:sz w:val="32"/>
          <w:szCs w:val="32"/>
          <w:lang w:val="en-US" w:eastAsia="zh-CN"/>
        </w:rPr>
        <w:t>186</w:t>
      </w:r>
      <w:r>
        <w:rPr>
          <w:rFonts w:ascii="仿宋_GB2312" w:eastAsia="仿宋_GB2312" w:hint="eastAsia"/>
          <w:sz w:val="32"/>
          <w:szCs w:val="32"/>
        </w:rPr>
        <w:t>人，其中：在职政法干警</w:t>
      </w:r>
      <w:r>
        <w:rPr>
          <w:rFonts w:ascii="仿宋_GB2312" w:eastAsia="仿宋_GB2312" w:hint="eastAsia"/>
          <w:sz w:val="32"/>
          <w:szCs w:val="32"/>
          <w:lang w:val="en-US" w:eastAsia="zh-CN"/>
        </w:rPr>
        <w:t>175</w:t>
      </w:r>
      <w:r>
        <w:rPr>
          <w:rFonts w:ascii="仿宋_GB2312" w:eastAsia="仿宋_GB2312" w:hint="eastAsia"/>
          <w:sz w:val="32"/>
          <w:szCs w:val="32"/>
        </w:rPr>
        <w:t>人，在职工勤</w:t>
      </w:r>
      <w:r>
        <w:rPr>
          <w:rFonts w:ascii="仿宋_GB2312" w:eastAsia="仿宋_GB2312" w:hint="eastAsia"/>
          <w:sz w:val="32"/>
          <w:szCs w:val="32"/>
          <w:lang w:val="en-US" w:eastAsia="zh-CN"/>
        </w:rPr>
        <w:t>11</w:t>
      </w:r>
      <w:r>
        <w:rPr>
          <w:rFonts w:ascii="仿宋_GB2312" w:eastAsia="仿宋_GB2312" w:hint="eastAsia"/>
          <w:sz w:val="32"/>
          <w:szCs w:val="32"/>
        </w:rPr>
        <w:t>人，离休0人，退休</w:t>
      </w:r>
      <w:r>
        <w:rPr>
          <w:rFonts w:ascii="仿宋_GB2312" w:eastAsia="仿宋_GB2312" w:hint="eastAsia"/>
          <w:sz w:val="32"/>
          <w:szCs w:val="32"/>
          <w:lang w:val="en-US" w:eastAsia="zh-CN"/>
        </w:rPr>
        <w:t>48</w:t>
      </w:r>
      <w:r>
        <w:rPr>
          <w:rFonts w:ascii="仿宋_GB2312" w:eastAsia="仿宋_GB2312" w:hint="eastAsia"/>
          <w:sz w:val="32"/>
          <w:szCs w:val="32"/>
        </w:rPr>
        <w:t>人。本年在职新增</w:t>
      </w:r>
      <w:r>
        <w:rPr>
          <w:rFonts w:ascii="仿宋_GB2312" w:eastAsia="仿宋_GB2312" w:hint="eastAsia"/>
          <w:sz w:val="32"/>
          <w:szCs w:val="32"/>
          <w:lang w:val="en-US" w:eastAsia="zh-CN"/>
        </w:rPr>
        <w:t>7</w:t>
      </w:r>
      <w:r>
        <w:rPr>
          <w:rFonts w:ascii="仿宋_GB2312" w:eastAsia="仿宋_GB2312" w:hint="eastAsia"/>
          <w:sz w:val="32"/>
          <w:szCs w:val="32"/>
        </w:rPr>
        <w:t>（其中：县内调入0人，县外调入</w:t>
      </w:r>
      <w:r>
        <w:rPr>
          <w:rFonts w:ascii="仿宋_GB2312" w:eastAsia="仿宋_GB2312" w:hint="eastAsia"/>
          <w:sz w:val="32"/>
          <w:szCs w:val="32"/>
          <w:lang w:val="en-US" w:eastAsia="zh-CN"/>
        </w:rPr>
        <w:t>6</w:t>
      </w:r>
      <w:r>
        <w:rPr>
          <w:rFonts w:ascii="仿宋_GB2312" w:eastAsia="仿宋_GB2312" w:hint="eastAsia"/>
          <w:sz w:val="32"/>
          <w:szCs w:val="32"/>
        </w:rPr>
        <w:t>人</w:t>
      </w:r>
      <w:r>
        <w:rPr>
          <w:rFonts w:ascii="仿宋_GB2312" w:eastAsia="仿宋_GB2312" w:hint="eastAsia"/>
          <w:sz w:val="32"/>
          <w:szCs w:val="32"/>
          <w:lang w:val="en-US" w:eastAsia="zh-CN"/>
        </w:rPr>
        <w:t>,新录用1人</w:t>
      </w:r>
      <w:r>
        <w:rPr>
          <w:rFonts w:ascii="仿宋_GB2312" w:eastAsia="仿宋_GB2312" w:hint="eastAsia"/>
          <w:sz w:val="32"/>
          <w:szCs w:val="32"/>
        </w:rPr>
        <w:t>）；在职减少</w:t>
      </w:r>
      <w:r>
        <w:rPr>
          <w:rFonts w:ascii="仿宋_GB2312" w:eastAsia="仿宋_GB2312" w:hint="eastAsia"/>
          <w:sz w:val="32"/>
          <w:szCs w:val="32"/>
          <w:lang w:val="en-US" w:eastAsia="zh-CN"/>
        </w:rPr>
        <w:t>6</w:t>
      </w:r>
      <w:r>
        <w:rPr>
          <w:rFonts w:ascii="仿宋_GB2312" w:eastAsia="仿宋_GB2312" w:hint="eastAsia"/>
          <w:sz w:val="32"/>
          <w:szCs w:val="32"/>
        </w:rPr>
        <w:t>人（其中：县内调出</w:t>
      </w:r>
      <w:r>
        <w:rPr>
          <w:rFonts w:ascii="仿宋_GB2312" w:eastAsia="仿宋_GB2312" w:hint="eastAsia"/>
          <w:sz w:val="32"/>
          <w:szCs w:val="32"/>
          <w:lang w:val="en-US" w:eastAsia="zh-CN"/>
        </w:rPr>
        <w:t>0</w:t>
      </w:r>
      <w:r>
        <w:rPr>
          <w:rFonts w:ascii="仿宋_GB2312" w:eastAsia="仿宋_GB2312" w:hint="eastAsia"/>
          <w:sz w:val="32"/>
          <w:szCs w:val="32"/>
        </w:rPr>
        <w:t>人，县外调出</w:t>
      </w:r>
      <w:r>
        <w:rPr>
          <w:rFonts w:ascii="仿宋_GB2312" w:eastAsia="仿宋_GB2312" w:hint="eastAsia"/>
          <w:sz w:val="32"/>
          <w:szCs w:val="32"/>
          <w:lang w:val="en-US" w:eastAsia="zh-CN"/>
        </w:rPr>
        <w:t>2</w:t>
      </w:r>
      <w:r>
        <w:rPr>
          <w:rFonts w:ascii="仿宋_GB2312" w:eastAsia="仿宋_GB2312" w:hint="eastAsia"/>
          <w:sz w:val="32"/>
          <w:szCs w:val="32"/>
        </w:rPr>
        <w:t>人</w:t>
      </w:r>
      <w:r>
        <w:rPr>
          <w:rFonts w:ascii="仿宋_GB2312" w:eastAsia="仿宋_GB2312" w:hint="eastAsia"/>
          <w:sz w:val="32"/>
          <w:szCs w:val="32"/>
          <w:lang w:val="en-US" w:eastAsia="zh-CN"/>
        </w:rPr>
        <w:t>，</w:t>
      </w:r>
      <w:r>
        <w:rPr>
          <w:rFonts w:ascii="仿宋_GB2312" w:eastAsia="仿宋_GB2312" w:hint="eastAsia"/>
          <w:sz w:val="32"/>
          <w:szCs w:val="32"/>
        </w:rPr>
        <w:t>退休新增</w:t>
      </w:r>
      <w:r>
        <w:rPr>
          <w:rFonts w:ascii="仿宋_GB2312" w:eastAsia="仿宋_GB2312" w:hint="eastAsia"/>
          <w:sz w:val="32"/>
          <w:szCs w:val="32"/>
          <w:lang w:val="en-US" w:eastAsia="zh-CN"/>
        </w:rPr>
        <w:t>4</w:t>
      </w:r>
      <w:r>
        <w:rPr>
          <w:rFonts w:ascii="仿宋_GB2312" w:eastAsia="仿宋_GB2312" w:hint="eastAsia"/>
          <w:sz w:val="32"/>
          <w:szCs w:val="32"/>
        </w:rPr>
        <w:t>人,退休死亡</w:t>
      </w:r>
      <w:r>
        <w:rPr>
          <w:rFonts w:ascii="仿宋_GB2312" w:eastAsia="仿宋_GB2312" w:hint="eastAsia"/>
          <w:sz w:val="32"/>
          <w:szCs w:val="32"/>
          <w:lang w:val="en-US" w:eastAsia="zh-CN"/>
        </w:rPr>
        <w:t>0</w:t>
      </w:r>
      <w:r>
        <w:rPr>
          <w:rFonts w:ascii="仿宋_GB2312" w:eastAsia="仿宋_GB2312" w:hint="eastAsia"/>
          <w:sz w:val="32"/>
          <w:szCs w:val="32"/>
        </w:rPr>
        <w:t>人</w:t>
      </w:r>
      <w:r>
        <w:rPr>
          <w:rFonts w:ascii="仿宋_GB2312" w:eastAsia="仿宋_GB2312" w:hint="eastAsia"/>
          <w:sz w:val="32"/>
          <w:szCs w:val="32"/>
          <w:lang w:eastAsia="zh-CN"/>
        </w:rPr>
        <w:t>。</w:t>
      </w:r>
      <w:r>
        <w:rPr>
          <w:rFonts w:ascii="仿宋_GB2312" w:eastAsia="仿宋_GB2312" w:hint="eastAsia"/>
          <w:sz w:val="32"/>
          <w:szCs w:val="32"/>
        </w:rPr>
        <w:t>）</w:t>
      </w:r>
    </w:p>
    <w:p>
      <w:pPr>
        <w:keepNext w:val="0"/>
        <w:keepLines w:val="0"/>
        <w:pageBreakBefore w:val="0"/>
        <w:widowControl/>
        <w:suppressAutoHyphens/>
        <w:kinsoku/>
        <w:wordWrap/>
        <w:overflowPunct/>
        <w:topLinePunct w:val="0"/>
        <w:autoSpaceDE/>
        <w:autoSpaceDN/>
        <w:bidi w:val="0"/>
        <w:adjustRightInd w:val="0"/>
        <w:snapToGrid w:val="0"/>
        <w:spacing w:line="560" w:lineRule="exact"/>
        <w:ind w:left="0" w:firstLineChars="200" w:firstLine="640"/>
        <w:contextualSpacing/>
        <w:jc w:val="left"/>
        <w:textAlignment w:val="auto"/>
        <w:outlineLvl w:val="9"/>
        <w:rPr>
          <w:rFonts w:eastAsia="黑体" w:cs="Times New Roman"/>
          <w:color w:val="000000"/>
          <w:kern w:val="0"/>
          <w:sz w:val="32"/>
          <w:szCs w:val="32"/>
          <w:shd w:val="clear" w:color="auto" w:fill="FFFFFF"/>
          <w:lang w:val="zh-CN" w:eastAsia="zh-CN"/>
          <w:highlight w:val="auto"/>
        </w:rPr>
      </w:pPr>
      <w:r>
        <w:rPr>
          <w:rFonts w:eastAsia="黑体" w:cs="Times New Roman"/>
          <w:color w:val="000000"/>
          <w:kern w:val="0"/>
          <w:sz w:val="32"/>
          <w:szCs w:val="32"/>
          <w:shd w:val="clear" w:color="auto" w:fill="FFFFFF"/>
          <w:lang w:val="zh-CN" w:eastAsia="zh-CN"/>
          <w:highlight w:val="auto"/>
        </w:rPr>
        <w:t>二、部门资金收支情况</w:t>
      </w:r>
    </w:p>
    <w:p>
      <w:pPr>
        <w:snapToGrid w:val="0"/>
        <w:spacing w:line="576" w:lineRule="exact"/>
        <w:ind w:firstLineChars="200" w:firstLine="640"/>
        <w:rPr>
          <w:rFonts w:eastAsia="楷体_GB2312"/>
          <w:b/>
          <w:bCs/>
          <w:color w:val="000000"/>
          <w:kern w:val="0"/>
          <w:szCs w:val="32"/>
          <w:shd w:val="clear" w:color="auto" w:fill="FFFFFF"/>
        </w:rPr>
      </w:pPr>
      <w:r>
        <w:rPr>
          <w:rFonts w:ascii="Times New Roman" w:eastAsia="楷体_GB2312" w:cs="Times New Roman" w:hAnsi="Times New Roman"/>
          <w:b/>
          <w:bCs/>
          <w:color w:val="000000"/>
          <w:kern w:val="0"/>
          <w:sz w:val="32"/>
          <w:szCs w:val="32"/>
          <w:shd w:val="clear" w:color="auto" w:fill="FFFFFF"/>
          <w:lang w:val="zh-CN"/>
          <w:highlight w:val="auto"/>
        </w:rPr>
        <w:t>（一）</w:t>
      </w:r>
      <w:r>
        <w:rPr>
          <w:rFonts w:ascii="Times New Roman" w:eastAsia="楷体_GB2312" w:cs="Times New Roman" w:hAnsi="Times New Roman" w:hint="eastAsia"/>
          <w:b/>
          <w:bCs/>
          <w:color w:val="000000"/>
          <w:kern w:val="0"/>
          <w:sz w:val="32"/>
          <w:szCs w:val="32"/>
          <w:shd w:val="clear" w:color="auto" w:fill="FFFFFF"/>
          <w:lang w:val="zh-CN"/>
          <w:highlight w:val="auto"/>
        </w:rPr>
        <w:t>收入情况</w:t>
      </w:r>
      <w:r>
        <w:rPr>
          <w:rFonts w:ascii="Times New Roman" w:eastAsia="楷体_GB2312" w:cs="Times New Roman" w:hAnsi="Times New Roman"/>
          <w:b/>
          <w:bCs/>
          <w:color w:val="000000"/>
          <w:kern w:val="0"/>
          <w:sz w:val="32"/>
          <w:szCs w:val="32"/>
          <w:shd w:val="clear" w:color="auto" w:fill="FFFFFF"/>
          <w:lang w:val="zh-CN"/>
          <w:highlight w:val="auto"/>
        </w:rPr>
        <w:t>。</w:t>
      </w:r>
      <w:r>
        <w:rPr>
          <w:rFonts w:ascii="仿宋_GB2312" w:eastAsia="仿宋_GB2312" w:cs="仿宋_GB2312"/>
          <w:color w:val="000000"/>
          <w:sz w:val="32"/>
          <w:szCs w:val="32"/>
        </w:rPr>
        <w:t>20</w:t>
      </w:r>
      <w:r>
        <w:rPr>
          <w:rFonts w:ascii="仿宋_GB2312" w:eastAsia="仿宋_GB2312" w:cs="仿宋_GB2312" w:hint="eastAsia"/>
          <w:color w:val="000000"/>
          <w:sz w:val="32"/>
          <w:szCs w:val="32"/>
        </w:rPr>
        <w:t>2</w:t>
      </w:r>
      <w:r>
        <w:rPr>
          <w:rFonts w:ascii="仿宋_GB2312" w:cs="仿宋_GB2312" w:hAnsi="仿宋_GB2312" w:hint="eastAsia"/>
          <w:color w:val="000000"/>
          <w:sz w:val="32"/>
          <w:szCs w:val="32"/>
          <w:lang w:val="en-US" w:eastAsia="zh-CN"/>
        </w:rPr>
        <w:t>5</w:t>
      </w:r>
      <w:r>
        <w:rPr>
          <w:rFonts w:ascii="仿宋_GB2312" w:eastAsia="仿宋_GB2312" w:cs="仿宋_GB2312" w:hint="eastAsia"/>
          <w:color w:val="000000"/>
          <w:sz w:val="32"/>
          <w:szCs w:val="32"/>
        </w:rPr>
        <w:t>年我局本年收入总计</w:t>
      </w:r>
      <w:r>
        <w:rPr>
          <w:rFonts w:ascii="仿宋_GB2312" w:eastAsia="仿宋_GB2312" w:cs="Times New Roman" w:hint="eastAsia"/>
          <w:color w:val="000000"/>
          <w:sz w:val="32"/>
          <w:szCs w:val="32"/>
        </w:rPr>
        <w:t>8,601.67</w:t>
      </w:r>
      <w:r>
        <w:rPr>
          <w:rFonts w:ascii="仿宋_GB2312" w:eastAsia="仿宋_GB2312" w:cs="仿宋_GB2312" w:hint="eastAsia"/>
          <w:color w:val="000000"/>
          <w:sz w:val="32"/>
          <w:szCs w:val="32"/>
        </w:rPr>
        <w:t>万元，其中：财政拨款收入</w:t>
      </w:r>
      <w:r>
        <w:rPr>
          <w:rFonts w:ascii="仿宋_GB2312" w:eastAsia="仿宋_GB2312" w:cs="Times New Roman" w:hint="eastAsia"/>
          <w:color w:val="000000"/>
          <w:sz w:val="32"/>
          <w:szCs w:val="32"/>
        </w:rPr>
        <w:t>8,599.22</w:t>
      </w:r>
      <w:r>
        <w:rPr>
          <w:rFonts w:ascii="仿宋_GB2312" w:eastAsia="仿宋_GB2312" w:cs="仿宋_GB2312" w:hint="eastAsia"/>
          <w:color w:val="000000"/>
          <w:sz w:val="32"/>
          <w:szCs w:val="32"/>
          <w:lang w:val="en-US" w:eastAsia="zh-CN"/>
        </w:rPr>
        <w:t>万元</w:t>
      </w:r>
      <w:r>
        <w:rPr>
          <w:rFonts w:ascii="仿宋_GB2312" w:cs="仿宋_GB2312" w:hAnsi="仿宋_GB2312" w:hint="eastAsia"/>
          <w:color w:val="000000"/>
          <w:sz w:val="32"/>
          <w:szCs w:val="32"/>
          <w:lang w:val="en-US" w:eastAsia="zh-CN"/>
        </w:rPr>
        <w:t>,</w:t>
      </w:r>
      <w:r>
        <w:rPr>
          <w:rFonts w:ascii="仿宋_GB2312" w:eastAsia="仿宋_GB2312" w:cs="Times New Roman" w:hint="eastAsia"/>
          <w:color w:val="000000"/>
          <w:sz w:val="32"/>
          <w:szCs w:val="32"/>
        </w:rPr>
        <w:t>占比</w:t>
      </w:r>
      <w:r>
        <w:rPr>
          <w:rFonts w:ascii="仿宋_GB2312" w:eastAsia="仿宋_GB2312" w:cs="Times New Roman" w:hint="eastAsia"/>
          <w:color w:val="000000"/>
          <w:sz w:val="32"/>
          <w:szCs w:val="32"/>
          <w:lang w:val="en-US" w:eastAsia="zh-CN"/>
        </w:rPr>
        <w:t>99.97</w:t>
      </w:r>
      <w:r>
        <w:rPr>
          <w:rFonts w:ascii="仿宋_GB2312" w:eastAsia="仿宋_GB2312" w:cs="Times New Roman" w:hint="eastAsia"/>
          <w:color w:val="000000"/>
          <w:sz w:val="32"/>
          <w:szCs w:val="32"/>
        </w:rPr>
        <w:t>%</w:t>
      </w:r>
      <w:r>
        <w:rPr>
          <w:rFonts w:ascii="仿宋_GB2312" w:cs="Times New Roman" w:hAnsi="仿宋_GB2312" w:hint="eastAsia"/>
          <w:color w:val="000000"/>
          <w:sz w:val="32"/>
          <w:szCs w:val="32"/>
          <w:lang w:val="en-US" w:eastAsia="zh-CN"/>
        </w:rPr>
        <w:t>,</w:t>
      </w:r>
      <w:r>
        <w:rPr>
          <w:rFonts w:ascii="仿宋_GB2312" w:eastAsia="仿宋_GB2312" w:cs="仿宋_GB2312" w:hint="eastAsia"/>
          <w:color w:val="000000"/>
          <w:sz w:val="32"/>
          <w:szCs w:val="32"/>
          <w:lang w:eastAsia="zh-CN"/>
        </w:rPr>
        <w:t>其中：</w:t>
      </w:r>
      <w:r>
        <w:rPr>
          <w:rFonts w:ascii="仿宋_GB2312" w:eastAsia="仿宋_GB2312" w:cs="仿宋_GB2312" w:hint="eastAsia"/>
          <w:color w:val="000000"/>
          <w:kern w:val="0"/>
          <w:sz w:val="32"/>
          <w:szCs w:val="32"/>
          <w:shd w:val="clear" w:color="auto" w:fill="FFFFFF"/>
          <w:lang w:val="zh-CN"/>
        </w:rPr>
        <w:t>一般公共预算财政拨款收入</w:t>
      </w:r>
      <w:r>
        <w:rPr>
          <w:rFonts w:ascii="仿宋_GB2312" w:eastAsia="仿宋_GB2312" w:cs="Times New Roman" w:hint="eastAsia"/>
          <w:color w:val="000000"/>
          <w:sz w:val="32"/>
          <w:szCs w:val="32"/>
        </w:rPr>
        <w:t>8,599.22万元，占比</w:t>
      </w:r>
      <w:r>
        <w:rPr>
          <w:rFonts w:ascii="仿宋_GB2312" w:cs="Times New Roman" w:hAnsi="仿宋_GB2312" w:hint="eastAsia"/>
          <w:color w:val="000000"/>
          <w:sz w:val="32"/>
          <w:szCs w:val="32"/>
          <w:lang w:val="en-US" w:eastAsia="zh-CN"/>
        </w:rPr>
        <w:t>100</w:t>
      </w:r>
      <w:r>
        <w:rPr>
          <w:rFonts w:ascii="仿宋_GB2312" w:eastAsia="仿宋_GB2312" w:cs="Times New Roman" w:hint="eastAsia"/>
          <w:color w:val="000000"/>
          <w:sz w:val="32"/>
          <w:szCs w:val="32"/>
        </w:rPr>
        <w:t>%</w:t>
      </w:r>
      <w:r>
        <w:rPr>
          <w:rFonts w:ascii="仿宋_GB2312" w:eastAsia="仿宋_GB2312" w:cs="仿宋_GB2312" w:hint="eastAsia"/>
          <w:color w:val="000000"/>
          <w:kern w:val="0"/>
          <w:sz w:val="32"/>
          <w:szCs w:val="32"/>
          <w:shd w:val="clear" w:color="auto" w:fill="FFFFFF"/>
          <w:lang w:val="zh-CN"/>
        </w:rPr>
        <w:t>；</w:t>
      </w:r>
      <w:r>
        <w:rPr>
          <w:rFonts w:ascii="仿宋_GB2312" w:eastAsia="仿宋_GB2312" w:cs="Times New Roman" w:hint="eastAsia"/>
          <w:color w:val="000000"/>
          <w:sz w:val="32"/>
          <w:szCs w:val="32"/>
          <w:lang w:eastAsia="zh-CN"/>
        </w:rPr>
        <w:t>其他收入（代管资金考务费）</w:t>
      </w:r>
      <w:r>
        <w:rPr>
          <w:rFonts w:ascii="仿宋_GB2312" w:eastAsia="仿宋_GB2312" w:cs="Times New Roman" w:hint="eastAsia"/>
          <w:color w:val="000000"/>
          <w:sz w:val="32"/>
          <w:szCs w:val="32"/>
          <w:lang w:val="en-US" w:eastAsia="zh-CN"/>
        </w:rPr>
        <w:t>2.46万元，</w:t>
      </w:r>
      <w:r>
        <w:rPr>
          <w:rFonts w:ascii="仿宋_GB2312" w:eastAsia="仿宋_GB2312" w:cs="Times New Roman" w:hint="eastAsia"/>
          <w:color w:val="000000"/>
          <w:sz w:val="32"/>
          <w:szCs w:val="32"/>
        </w:rPr>
        <w:t>占比</w:t>
      </w:r>
      <w:r>
        <w:rPr>
          <w:rFonts w:ascii="仿宋_GB2312" w:eastAsia="仿宋_GB2312" w:cs="Times New Roman" w:hint="eastAsia"/>
          <w:color w:val="000000"/>
          <w:sz w:val="32"/>
          <w:szCs w:val="32"/>
          <w:lang w:val="en-US" w:eastAsia="zh-CN"/>
        </w:rPr>
        <w:t>0.03</w:t>
      </w:r>
      <w:r>
        <w:rPr>
          <w:rFonts w:ascii="仿宋_GB2312" w:eastAsia="仿宋_GB2312" w:cs="Times New Roman" w:hint="eastAsia"/>
          <w:color w:val="000000"/>
          <w:sz w:val="32"/>
          <w:szCs w:val="32"/>
        </w:rPr>
        <w:t>%</w:t>
      </w:r>
      <w:r>
        <w:rPr>
          <w:rFonts w:ascii="仿宋_GB2312" w:eastAsia="仿宋_GB2312" w:cs="仿宋_GB2312" w:hint="eastAsia"/>
          <w:color w:val="000000"/>
          <w:kern w:val="0"/>
          <w:sz w:val="32"/>
          <w:szCs w:val="32"/>
          <w:shd w:val="clear" w:color="auto" w:fill="FFFFFF"/>
          <w:lang w:val="zh-CN"/>
        </w:rPr>
        <w:t>。</w:t>
      </w:r>
    </w:p>
    <w:p>
      <w:pPr>
        <w:pageBreakBefore w:val="0"/>
        <w:widowControl w:val="0"/>
        <w:suppressAutoHyphens/>
        <w:kinsoku/>
        <w:wordWrap/>
        <w:overflowPunct/>
        <w:topLinePunct w:val="0"/>
        <w:bidi w:val="0"/>
        <w:snapToGrid w:val="0"/>
        <w:spacing w:line="560" w:lineRule="exact"/>
        <w:ind w:firstLineChars="200" w:firstLine="420"/>
        <w:textAlignment w:val="auto"/>
        <w:rPr>
          <w:rFonts w:ascii="Times New Roman" w:eastAsia="楷体_GB2312" w:cs="Times New Roman" w:hAnsi="Times New Roman"/>
          <w:b/>
          <w:bCs/>
          <w:color w:val="000000"/>
          <w:kern w:val="0"/>
          <w:szCs w:val="32"/>
          <w:shd w:val="clear" w:color="auto" w:fill="FFFFFF"/>
          <w:lang w:val="en-US"/>
          <w:highlight w:val="auto"/>
        </w:rPr>
      </w:pPr>
    </w:p>
    <w:p>
      <w:pPr>
        <w:snapToGrid w:val="0"/>
        <w:spacing w:line="588" w:lineRule="exact"/>
        <w:ind w:firstLineChars="200" w:firstLine="640"/>
        <w:rPr>
          <w:szCs w:val="32"/>
          <w:lang w:val="zh-CN"/>
        </w:rPr>
      </w:pPr>
      <w:r>
        <w:rPr>
          <w:rFonts w:ascii="Times New Roman" w:eastAsia="楷体_GB2312" w:cs="Times New Roman" w:hAnsi="Times New Roman"/>
          <w:b/>
          <w:bCs/>
          <w:color w:val="000000"/>
          <w:kern w:val="0"/>
          <w:sz w:val="32"/>
          <w:szCs w:val="32"/>
          <w:shd w:val="clear" w:color="auto" w:fill="FFFFFF"/>
          <w:lang w:val="zh-CN"/>
          <w:highlight w:val="auto"/>
        </w:rPr>
        <w:t>（</w:t>
      </w:r>
      <w:r>
        <w:rPr>
          <w:rFonts w:ascii="Times New Roman" w:eastAsia="楷体_GB2312" w:cs="Times New Roman" w:hAnsi="Times New Roman" w:hint="eastAsia"/>
          <w:b/>
          <w:bCs/>
          <w:color w:val="000000"/>
          <w:kern w:val="0"/>
          <w:sz w:val="32"/>
          <w:szCs w:val="32"/>
          <w:shd w:val="clear" w:color="auto" w:fill="FFFFFF"/>
          <w:lang w:val="zh-CN"/>
          <w:highlight w:val="auto"/>
        </w:rPr>
        <w:t>二</w:t>
      </w:r>
      <w:r>
        <w:rPr>
          <w:rFonts w:ascii="Times New Roman" w:eastAsia="楷体_GB2312" w:cs="Times New Roman" w:hAnsi="Times New Roman"/>
          <w:b/>
          <w:bCs/>
          <w:color w:val="000000"/>
          <w:kern w:val="0"/>
          <w:sz w:val="32"/>
          <w:szCs w:val="32"/>
          <w:shd w:val="clear" w:color="auto" w:fill="FFFFFF"/>
          <w:lang w:val="zh-CN"/>
          <w:highlight w:val="auto"/>
        </w:rPr>
        <w:t>）</w:t>
      </w:r>
      <w:r>
        <w:rPr>
          <w:rFonts w:ascii="Times New Roman" w:eastAsia="楷体_GB2312" w:cs="Times New Roman" w:hAnsi="Times New Roman" w:hint="eastAsia"/>
          <w:b/>
          <w:bCs/>
          <w:color w:val="000000"/>
          <w:kern w:val="0"/>
          <w:sz w:val="32"/>
          <w:szCs w:val="32"/>
          <w:shd w:val="clear" w:color="auto" w:fill="FFFFFF"/>
          <w:lang w:val="zh-CN"/>
          <w:highlight w:val="auto"/>
        </w:rPr>
        <w:t>支出情况</w:t>
      </w:r>
      <w:r>
        <w:rPr>
          <w:rFonts w:ascii="Times New Roman" w:eastAsia="楷体_GB2312" w:cs="Times New Roman" w:hAnsi="Times New Roman"/>
          <w:b/>
          <w:bCs/>
          <w:color w:val="000000"/>
          <w:kern w:val="0"/>
          <w:sz w:val="32"/>
          <w:szCs w:val="32"/>
          <w:shd w:val="clear" w:color="auto" w:fill="FFFFFF"/>
          <w:lang w:val="zh-CN"/>
          <w:highlight w:val="auto"/>
        </w:rPr>
        <w:t>。</w:t>
      </w:r>
      <w:r>
        <w:rPr>
          <w:rFonts w:ascii="仿宋_GB2312" w:eastAsia="仿宋_GB2312" w:cs="仿宋_GB2312"/>
          <w:color w:val="000000"/>
          <w:kern w:val="0"/>
          <w:sz w:val="32"/>
          <w:szCs w:val="32"/>
          <w:shd w:val="clear" w:color="auto" w:fill="FFFFFF"/>
          <w:lang w:val="zh-CN"/>
        </w:rPr>
        <w:t>20</w:t>
      </w:r>
      <w:r>
        <w:rPr>
          <w:rFonts w:ascii="仿宋_GB2312" w:eastAsia="仿宋_GB2312" w:cs="仿宋_GB2312" w:hint="eastAsia"/>
          <w:color w:val="000000"/>
          <w:kern w:val="0"/>
          <w:sz w:val="32"/>
          <w:szCs w:val="32"/>
          <w:shd w:val="clear" w:color="auto" w:fill="FFFFFF"/>
          <w:lang w:val="zh-CN"/>
        </w:rPr>
        <w:t>2</w:t>
      </w:r>
      <w:r>
        <w:rPr>
          <w:rFonts w:ascii="仿宋_GB2312" w:cs="仿宋_GB2312" w:hAnsi="仿宋_GB2312" w:hint="eastAsia"/>
          <w:color w:val="000000"/>
          <w:kern w:val="0"/>
          <w:sz w:val="32"/>
          <w:szCs w:val="32"/>
          <w:shd w:val="clear" w:color="auto" w:fill="FFFFFF"/>
          <w:lang w:val="en-US" w:eastAsia="zh-CN"/>
        </w:rPr>
        <w:t>5</w:t>
      </w:r>
      <w:r>
        <w:rPr>
          <w:rFonts w:ascii="仿宋_GB2312" w:eastAsia="仿宋_GB2312" w:cs="仿宋_GB2312" w:hint="eastAsia"/>
          <w:color w:val="000000"/>
          <w:kern w:val="0"/>
          <w:sz w:val="32"/>
          <w:szCs w:val="32"/>
          <w:shd w:val="clear" w:color="auto" w:fill="FFFFFF"/>
          <w:lang w:val="zh-CN"/>
        </w:rPr>
        <w:t>年我局本年支出总计</w:t>
      </w:r>
      <w:r>
        <w:rPr>
          <w:rFonts w:ascii="仿宋_GB2312" w:eastAsia="仿宋_GB2312" w:cs="Times New Roman" w:hint="eastAsia"/>
          <w:color w:val="000000"/>
          <w:sz w:val="32"/>
          <w:szCs w:val="32"/>
        </w:rPr>
        <w:t>8,601.67</w:t>
      </w:r>
      <w:r>
        <w:rPr>
          <w:rFonts w:ascii="仿宋_GB2312" w:eastAsia="仿宋_GB2312" w:cs="仿宋_GB2312" w:hint="eastAsia"/>
          <w:color w:val="000000"/>
          <w:kern w:val="0"/>
          <w:sz w:val="32"/>
          <w:szCs w:val="32"/>
          <w:shd w:val="clear" w:color="auto" w:fill="FFFFFF"/>
          <w:lang w:val="zh-CN"/>
        </w:rPr>
        <w:t>万元，其中本年支出</w:t>
      </w:r>
      <w:r>
        <w:rPr>
          <w:rFonts w:ascii="仿宋_GB2312" w:eastAsia="仿宋_GB2312" w:cs="Times New Roman" w:hint="eastAsia"/>
          <w:color w:val="000000"/>
          <w:sz w:val="32"/>
          <w:szCs w:val="32"/>
        </w:rPr>
        <w:t>8,601.67</w:t>
      </w:r>
      <w:r>
        <w:rPr>
          <w:rFonts w:ascii="仿宋_GB2312" w:eastAsia="仿宋_GB2312" w:cs="仿宋_GB2312" w:hint="eastAsia"/>
          <w:color w:val="000000"/>
          <w:kern w:val="0"/>
          <w:sz w:val="32"/>
          <w:szCs w:val="32"/>
          <w:shd w:val="clear" w:color="auto" w:fill="FFFFFF"/>
          <w:lang w:val="zh-CN"/>
        </w:rPr>
        <w:t>万元。</w:t>
      </w:r>
      <w:r>
        <w:rPr>
          <w:rFonts w:ascii="仿宋_GB2312" w:eastAsia="仿宋_GB2312" w:cs="Times New Roman" w:hint="eastAsia"/>
          <w:color w:val="000000"/>
          <w:sz w:val="32"/>
          <w:szCs w:val="32"/>
        </w:rPr>
        <w:t>其中：公共安全支出为7,339.98万元，占比</w:t>
      </w:r>
      <w:r>
        <w:rPr>
          <w:rFonts w:ascii="仿宋_GB2312" w:eastAsia="仿宋_GB2312" w:cs="Times New Roman" w:hint="eastAsia"/>
          <w:color w:val="000000"/>
          <w:sz w:val="32"/>
          <w:szCs w:val="32"/>
          <w:lang w:val="en-US" w:eastAsia="zh-CN"/>
        </w:rPr>
        <w:t>85.33</w:t>
      </w:r>
      <w:r>
        <w:rPr>
          <w:rFonts w:ascii="仿宋_GB2312" w:eastAsia="仿宋_GB2312" w:cs="Times New Roman" w:hint="eastAsia"/>
          <w:color w:val="000000"/>
          <w:sz w:val="32"/>
          <w:szCs w:val="32"/>
        </w:rPr>
        <w:t>%；社会保障和就业支出为</w:t>
      </w:r>
      <w:r>
        <w:rPr>
          <w:rFonts w:ascii="仿宋_GB2312" w:eastAsia="仿宋_GB2312" w:cs="Times New Roman" w:hint="eastAsia"/>
          <w:color w:val="000000"/>
          <w:sz w:val="32"/>
          <w:szCs w:val="32"/>
          <w:lang w:val="en-US" w:eastAsia="zh-CN"/>
        </w:rPr>
        <w:t>643.88</w:t>
      </w:r>
      <w:r>
        <w:rPr>
          <w:rFonts w:ascii="仿宋_GB2312" w:eastAsia="仿宋_GB2312" w:cs="Times New Roman" w:hint="eastAsia"/>
          <w:color w:val="000000"/>
          <w:sz w:val="32"/>
          <w:szCs w:val="32"/>
        </w:rPr>
        <w:t>万元，占比</w:t>
      </w:r>
      <w:r>
        <w:rPr>
          <w:rFonts w:ascii="仿宋_GB2312" w:eastAsia="仿宋_GB2312" w:cs="Times New Roman" w:hint="eastAsia"/>
          <w:color w:val="000000"/>
          <w:sz w:val="32"/>
          <w:szCs w:val="32"/>
          <w:lang w:val="en-US" w:eastAsia="zh-CN"/>
        </w:rPr>
        <w:t>7.49</w:t>
      </w:r>
      <w:r>
        <w:rPr>
          <w:rFonts w:ascii="仿宋_GB2312" w:eastAsia="仿宋_GB2312" w:cs="Times New Roman" w:hint="eastAsia"/>
          <w:color w:val="000000"/>
          <w:sz w:val="32"/>
          <w:szCs w:val="32"/>
        </w:rPr>
        <w:t>%；卫生健康支出为</w:t>
      </w:r>
      <w:r>
        <w:rPr>
          <w:rFonts w:ascii="仿宋_GB2312" w:eastAsia="仿宋_GB2312" w:cs="Times New Roman" w:hint="eastAsia"/>
          <w:color w:val="000000"/>
          <w:sz w:val="32"/>
          <w:szCs w:val="32"/>
          <w:lang w:val="en-US" w:eastAsia="zh-CN"/>
        </w:rPr>
        <w:t>259.2</w:t>
      </w:r>
      <w:r>
        <w:rPr>
          <w:rFonts w:ascii="仿宋_GB2312" w:eastAsia="仿宋_GB2312" w:cs="Times New Roman" w:hint="eastAsia"/>
          <w:color w:val="000000"/>
          <w:sz w:val="32"/>
          <w:szCs w:val="32"/>
        </w:rPr>
        <w:t>万元，占比</w:t>
      </w:r>
      <w:r>
        <w:rPr>
          <w:rFonts w:ascii="仿宋_GB2312" w:eastAsia="仿宋_GB2312" w:cs="Times New Roman" w:hint="eastAsia"/>
          <w:color w:val="000000"/>
          <w:sz w:val="32"/>
          <w:szCs w:val="32"/>
          <w:lang w:val="en-US" w:eastAsia="zh-CN"/>
        </w:rPr>
        <w:t>3.01</w:t>
      </w:r>
      <w:r>
        <w:rPr>
          <w:rFonts w:ascii="仿宋_GB2312" w:eastAsia="仿宋_GB2312" w:cs="Times New Roman" w:hint="eastAsia"/>
          <w:color w:val="000000"/>
          <w:sz w:val="32"/>
          <w:szCs w:val="32"/>
        </w:rPr>
        <w:t>%；住房保障支出为</w:t>
      </w:r>
      <w:r>
        <w:rPr>
          <w:rFonts w:ascii="仿宋_GB2312" w:eastAsia="仿宋_GB2312" w:cs="Times New Roman" w:hint="eastAsia"/>
          <w:color w:val="000000"/>
          <w:sz w:val="32"/>
          <w:szCs w:val="32"/>
          <w:lang w:val="en-US" w:eastAsia="zh-CN"/>
        </w:rPr>
        <w:t>358.61</w:t>
      </w:r>
      <w:r>
        <w:rPr>
          <w:rFonts w:ascii="仿宋_GB2312" w:eastAsia="仿宋_GB2312" w:cs="Times New Roman" w:hint="eastAsia"/>
          <w:color w:val="000000"/>
          <w:sz w:val="32"/>
          <w:szCs w:val="32"/>
        </w:rPr>
        <w:t>万元，占比</w:t>
      </w:r>
      <w:r>
        <w:rPr>
          <w:rFonts w:ascii="仿宋_GB2312" w:eastAsia="仿宋_GB2312" w:cs="Times New Roman" w:hint="eastAsia"/>
          <w:color w:val="000000"/>
          <w:sz w:val="32"/>
          <w:szCs w:val="32"/>
          <w:lang w:val="en-US" w:eastAsia="zh-CN"/>
        </w:rPr>
        <w:t>4.17</w:t>
      </w:r>
      <w:r>
        <w:rPr>
          <w:rFonts w:ascii="仿宋_GB2312" w:eastAsia="仿宋_GB2312" w:cs="Times New Roman" w:hint="eastAsia"/>
          <w:color w:val="000000"/>
          <w:sz w:val="32"/>
          <w:szCs w:val="32"/>
        </w:rPr>
        <w:t>%。</w:t>
      </w:r>
    </w:p>
    <w:p>
      <w:pPr>
        <w:keepNext w:val="0"/>
        <w:keepLines w:val="0"/>
        <w:pageBreakBefore w:val="0"/>
        <w:widowControl/>
        <w:suppressAutoHyphens/>
        <w:kinsoku/>
        <w:wordWrap/>
        <w:overflowPunct/>
        <w:topLinePunct w:val="0"/>
        <w:autoSpaceDE/>
        <w:autoSpaceDN/>
        <w:bidi w:val="0"/>
        <w:adjustRightInd w:val="0"/>
        <w:snapToGrid w:val="0"/>
        <w:spacing w:line="560" w:lineRule="exact"/>
        <w:ind w:firstLineChars="200" w:firstLine="640"/>
        <w:contextualSpacing/>
        <w:jc w:val="left"/>
        <w:textAlignment w:val="auto"/>
        <w:outlineLvl w:val="9"/>
        <w:rPr>
          <w:rFonts w:ascii="Times New Roman" w:eastAsia="仿宋_GB2312" w:cs="Times New Roman" w:hAnsi="Times New Roman"/>
          <w:b w:val="0"/>
          <w:bCs w:val="0"/>
          <w:color w:val="000000"/>
          <w:kern w:val="0"/>
          <w:szCs w:val="32"/>
          <w:shd w:val="clear" w:color="auto" w:fill="FFFFFF"/>
          <w:lang w:val="zh-CN" w:eastAsia="zh-CN"/>
          <w:highlight w:val="auto"/>
        </w:rPr>
      </w:pPr>
      <w:r>
        <w:rPr>
          <w:rFonts w:ascii="Times New Roman" w:eastAsia="楷体_GB2312" w:cs="Times New Roman" w:hAnsi="Times New Roman"/>
          <w:b/>
          <w:bCs/>
          <w:color w:val="000000"/>
          <w:kern w:val="0"/>
          <w:sz w:val="32"/>
          <w:szCs w:val="32"/>
          <w:shd w:val="clear" w:color="auto" w:fill="FFFFFF"/>
          <w:lang w:val="zh-CN"/>
          <w:highlight w:val="auto"/>
        </w:rPr>
        <w:t>（</w:t>
      </w:r>
      <w:r>
        <w:rPr>
          <w:rFonts w:ascii="Times New Roman" w:eastAsia="楷体_GB2312" w:cs="Times New Roman" w:hAnsi="Times New Roman" w:hint="eastAsia"/>
          <w:b/>
          <w:bCs/>
          <w:color w:val="000000"/>
          <w:kern w:val="0"/>
          <w:sz w:val="32"/>
          <w:szCs w:val="32"/>
          <w:shd w:val="clear" w:color="auto" w:fill="FFFFFF"/>
          <w:lang w:val="zh-CN"/>
          <w:highlight w:val="auto"/>
        </w:rPr>
        <w:t>三</w:t>
      </w:r>
      <w:r>
        <w:rPr>
          <w:rFonts w:ascii="Times New Roman" w:eastAsia="楷体_GB2312" w:cs="Times New Roman" w:hAnsi="Times New Roman"/>
          <w:b/>
          <w:bCs/>
          <w:color w:val="000000"/>
          <w:kern w:val="0"/>
          <w:sz w:val="32"/>
          <w:szCs w:val="32"/>
          <w:shd w:val="clear" w:color="auto" w:fill="FFFFFF"/>
          <w:lang w:val="zh-CN"/>
          <w:highlight w:val="auto"/>
        </w:rPr>
        <w:t>）结余分配和结转结余情况</w:t>
      </w:r>
      <w:r>
        <w:rPr>
          <w:rFonts w:ascii="Times New Roman" w:eastAsia="楷体_GB2312" w:cs="Times New Roman" w:hAnsi="Times New Roman" w:hint="eastAsia"/>
          <w:b/>
          <w:bCs/>
          <w:color w:val="000000"/>
          <w:kern w:val="0"/>
          <w:sz w:val="32"/>
          <w:szCs w:val="32"/>
          <w:shd w:val="clear" w:color="auto" w:fill="FFFFFF"/>
          <w:lang w:val="zh-CN" w:eastAsia="zh-CN"/>
          <w:highlight w:val="auto"/>
        </w:rPr>
        <w:t>。</w:t>
      </w:r>
      <w:r>
        <w:rPr>
          <w:rFonts w:ascii="仿宋_GB2312" w:eastAsia="仿宋_GB2312" w:cs="Times New Roman" w:hint="eastAsia"/>
          <w:color w:val="000000"/>
          <w:sz w:val="32"/>
          <w:szCs w:val="32"/>
          <w:lang w:eastAsia="zh-CN"/>
        </w:rPr>
        <w:t>我局</w:t>
      </w:r>
      <w:r>
        <w:rPr>
          <w:rFonts w:ascii="仿宋_GB2312" w:eastAsia="仿宋_GB2312" w:cs="Times New Roman" w:hint="eastAsia"/>
          <w:color w:val="000000"/>
          <w:sz w:val="32"/>
          <w:szCs w:val="32"/>
        </w:rPr>
        <w:t>202</w:t>
      </w:r>
      <w:r>
        <w:rPr>
          <w:rFonts w:ascii="仿宋_GB2312" w:eastAsia="仿宋_GB2312" w:cs="Times New Roman" w:hint="eastAsia"/>
          <w:color w:val="000000"/>
          <w:sz w:val="32"/>
          <w:szCs w:val="32"/>
          <w:lang w:val="en-US" w:eastAsia="zh-CN"/>
        </w:rPr>
        <w:t>5</w:t>
      </w:r>
      <w:r>
        <w:rPr>
          <w:rFonts w:ascii="Times New Roman" w:eastAsia="仿宋_GB2312" w:cs="Times New Roman" w:hAnsi="Times New Roman" w:hint="eastAsia"/>
          <w:sz w:val="32"/>
          <w:szCs w:val="32"/>
          <w:lang w:val="en-US" w:eastAsia="zh-CN"/>
        </w:rPr>
        <w:t>年决算报表无</w:t>
      </w:r>
      <w:r>
        <w:rPr>
          <w:rFonts w:ascii="Times New Roman" w:eastAsia="仿宋_GB2312" w:cs="Times New Roman" w:hAnsi="Times New Roman"/>
          <w:sz w:val="32"/>
          <w:szCs w:val="32"/>
          <w:lang w:val="en-US" w:eastAsia="zh-CN"/>
        </w:rPr>
        <w:t>结转结余。</w:t>
      </w:r>
    </w:p>
    <w:p>
      <w:pPr>
        <w:keepNext w:val="0"/>
        <w:keepLines w:val="0"/>
        <w:pageBreakBefore w:val="0"/>
        <w:widowControl/>
        <w:suppressAutoHyphens/>
        <w:kinsoku/>
        <w:wordWrap/>
        <w:overflowPunct/>
        <w:topLinePunct w:val="0"/>
        <w:autoSpaceDE/>
        <w:autoSpaceDN/>
        <w:bidi w:val="0"/>
        <w:adjustRightInd w:val="0"/>
        <w:snapToGrid w:val="0"/>
        <w:spacing w:line="560" w:lineRule="exact"/>
        <w:ind w:left="0" w:firstLineChars="200" w:firstLine="640"/>
        <w:contextualSpacing/>
        <w:jc w:val="left"/>
        <w:textAlignment w:val="auto"/>
        <w:outlineLvl w:val="9"/>
        <w:rPr>
          <w:rFonts w:eastAsia="黑体" w:cs="Times New Roman"/>
          <w:color w:val="000000"/>
          <w:kern w:val="0"/>
          <w:sz w:val="32"/>
          <w:szCs w:val="32"/>
          <w:shd w:val="clear" w:color="auto" w:fill="FFFFFF"/>
          <w:lang w:val="zh-CN" w:eastAsia="zh-CN"/>
          <w:highlight w:val="auto"/>
        </w:rPr>
      </w:pPr>
      <w:r>
        <w:rPr>
          <w:rFonts w:eastAsia="黑体" w:cs="Times New Roman"/>
          <w:color w:val="000000"/>
          <w:kern w:val="0"/>
          <w:sz w:val="32"/>
          <w:szCs w:val="32"/>
          <w:shd w:val="clear" w:color="auto" w:fill="FFFFFF"/>
          <w:lang w:val="zh-CN" w:eastAsia="zh-CN"/>
          <w:highlight w:val="auto"/>
        </w:rPr>
        <w:t>三、部门预算绩效分析</w:t>
      </w:r>
    </w:p>
    <w:p>
      <w:pPr>
        <w:keepNext w:val="0"/>
        <w:keepLines w:val="0"/>
        <w:pageBreakBefore w:val="0"/>
        <w:widowControl w:val="0"/>
        <w:suppressAutoHyphens/>
        <w:kinsoku/>
        <w:wordWrap/>
        <w:overflowPunct/>
        <w:topLinePunct w:val="0"/>
        <w:autoSpaceDE/>
        <w:autoSpaceDN/>
        <w:bidi w:val="0"/>
        <w:adjustRightInd w:val="0"/>
        <w:snapToGrid w:val="0"/>
        <w:spacing w:line="560" w:lineRule="exact"/>
        <w:ind w:left="0" w:firstLineChars="200" w:firstLine="640"/>
        <w:contextualSpacing/>
        <w:jc w:val="left"/>
        <w:textAlignment w:val="auto"/>
        <w:outlineLvl w:val="9"/>
        <w:rPr>
          <w:rFonts w:ascii="Times New Roman" w:cs="Times New Roman" w:hAnsi="Times New Roman"/>
          <w:color w:val="000000"/>
          <w:kern w:val="0"/>
          <w:szCs w:val="32"/>
          <w:shd w:val="clear" w:color="auto" w:fill="FFFFFF"/>
          <w:lang w:val="zh-CN"/>
          <w:highlight w:val="auto"/>
        </w:rPr>
      </w:pPr>
      <w:r>
        <w:rPr>
          <w:rFonts w:ascii="Times New Roman" w:eastAsia="楷体_GB2312" w:cs="Times New Roman" w:hAnsi="Times New Roman"/>
          <w:b/>
          <w:bCs/>
          <w:color w:val="000000"/>
          <w:kern w:val="0"/>
          <w:sz w:val="32"/>
          <w:szCs w:val="32"/>
          <w:shd w:val="clear" w:color="auto" w:fill="FFFFFF"/>
          <w:lang w:val="zh-CN"/>
          <w:highlight w:val="auto"/>
        </w:rPr>
        <w:t>（一）</w:t>
      </w:r>
      <w:r>
        <w:rPr>
          <w:rFonts w:ascii="Times New Roman" w:eastAsia="楷体_GB2312" w:cs="Times New Roman" w:hAnsi="Times New Roman" w:hint="eastAsia"/>
          <w:b/>
          <w:bCs/>
          <w:color w:val="000000"/>
          <w:kern w:val="0"/>
          <w:sz w:val="32"/>
          <w:szCs w:val="32"/>
          <w:shd w:val="clear" w:color="auto" w:fill="FFFFFF"/>
          <w:lang w:val="zh-CN"/>
          <w:highlight w:val="auto"/>
        </w:rPr>
        <w:t>部门预算</w:t>
      </w:r>
      <w:r>
        <w:rPr>
          <w:rFonts w:ascii="Times New Roman" w:eastAsia="楷体_GB2312" w:cs="Times New Roman" w:hAnsi="Times New Roman"/>
          <w:b/>
          <w:bCs/>
          <w:color w:val="000000"/>
          <w:kern w:val="0"/>
          <w:sz w:val="32"/>
          <w:szCs w:val="32"/>
          <w:shd w:val="clear" w:color="auto" w:fill="FFFFFF"/>
          <w:lang w:val="zh-CN"/>
          <w:highlight w:val="auto"/>
        </w:rPr>
        <w:t>总体绩效分析</w:t>
      </w:r>
    </w:p>
    <w:p>
      <w:pPr>
        <w:spacing w:line="576" w:lineRule="exact"/>
        <w:ind w:left="0" w:firstLineChars="200" w:firstLine="640"/>
        <w:contextualSpacing/>
        <w:jc w:val="left"/>
        <w:rPr>
          <w:color w:val="000000"/>
          <w:kern w:val="0"/>
          <w:szCs w:val="32"/>
          <w:shd w:val="clear" w:color="auto" w:fill="FFFFFF"/>
          <w:lang w:val="zh-CN"/>
        </w:rPr>
      </w:pPr>
      <w:r>
        <w:rPr>
          <w:rFonts w:ascii="楷体_GB2312" w:eastAsia="楷体_GB2312" w:cs="楷体_GB2312" w:hint="eastAsia"/>
          <w:color w:val="000000"/>
          <w:kern w:val="0"/>
          <w:sz w:val="32"/>
          <w:szCs w:val="32"/>
          <w:shd w:val="clear" w:color="auto" w:fill="FFFFFF"/>
          <w:lang w:val="en-US" w:eastAsia="zh-CN"/>
          <w:highlight w:val="auto"/>
        </w:rPr>
        <w:t>1.</w:t>
      </w:r>
      <w:r>
        <w:rPr>
          <w:rFonts w:ascii="楷体_GB2312" w:eastAsia="楷体_GB2312" w:cs="楷体_GB2312" w:hint="eastAsia"/>
          <w:color w:val="000000"/>
          <w:kern w:val="0"/>
          <w:sz w:val="32"/>
          <w:szCs w:val="32"/>
          <w:shd w:val="clear" w:color="auto" w:fill="FFFFFF"/>
          <w:lang w:val="zh-CN"/>
          <w:highlight w:val="auto"/>
        </w:rPr>
        <w:t>履职效能。</w:t>
      </w:r>
      <w:r>
        <w:rPr>
          <w:rFonts w:ascii="仿宋_GB2312" w:eastAsia="仿宋_GB2312" w:cs="仿宋_GB2312" w:hint="eastAsia"/>
          <w:color w:val="000000"/>
          <w:sz w:val="32"/>
          <w:szCs w:val="32"/>
        </w:rPr>
        <w:t>202</w:t>
      </w:r>
      <w:r>
        <w:rPr>
          <w:rFonts w:ascii="仿宋_GB2312" w:cs="仿宋_GB2312" w:hAnsi="仿宋_GB2312" w:hint="eastAsia"/>
          <w:color w:val="000000"/>
          <w:sz w:val="32"/>
          <w:szCs w:val="32"/>
          <w:lang w:val="en-US" w:eastAsia="zh-CN"/>
        </w:rPr>
        <w:t>5</w:t>
      </w:r>
      <w:r>
        <w:rPr>
          <w:rFonts w:ascii="仿宋_GB2312" w:eastAsia="仿宋_GB2312" w:cs="仿宋_GB2312" w:hint="eastAsia"/>
          <w:color w:val="000000"/>
          <w:sz w:val="32"/>
          <w:szCs w:val="32"/>
        </w:rPr>
        <w:t>年，</w:t>
      </w:r>
      <w:r>
        <w:rPr>
          <w:rFonts w:ascii="仿宋_GB2312" w:eastAsia="仿宋_GB2312" w:hint="eastAsia"/>
          <w:sz w:val="32"/>
          <w:szCs w:val="32"/>
        </w:rPr>
        <w:t>茂县公安局全面贯彻党的</w:t>
      </w:r>
      <w:r>
        <w:rPr>
          <w:rFonts w:ascii="仿宋_GB2312" w:eastAsia="仿宋_GB2312" w:hint="eastAsia"/>
          <w:sz w:val="32"/>
          <w:szCs w:val="32"/>
          <w:lang w:eastAsia="zh-CN"/>
        </w:rPr>
        <w:t>二十大</w:t>
      </w:r>
      <w:bookmarkStart w:id="54" w:name="_GoBack"/>
      <w:bookmarkEnd w:id="54"/>
      <w:r>
        <w:rPr>
          <w:rFonts w:ascii="仿宋_GB2312" w:eastAsia="仿宋_GB2312" w:hint="eastAsia"/>
          <w:sz w:val="32"/>
          <w:szCs w:val="32"/>
        </w:rPr>
        <w:t>精神，进一步增强“四个意识”、坚定“四个自信”、做到“两个维护”，紧紧围绕对党忠诚、服务人民、执法公正、纪律严明的总要求和“四个铁一般”标准，培育和践行</w:t>
      </w:r>
      <w:r>
        <w:rPr>
          <w:rFonts w:ascii="仿宋_GB2312" w:eastAsia="仿宋_GB2312" w:cs="Times New Roman" w:hint="eastAsia"/>
          <w:sz w:val="32"/>
          <w:szCs w:val="32"/>
        </w:rPr>
        <w:t>“忠诚、为民、尚法、守纪；团结、实干、勇敢、奉献；缜密、善战、创新、卓越”</w:t>
      </w:r>
      <w:r>
        <w:rPr>
          <w:rFonts w:ascii="仿宋_GB2312" w:eastAsia="仿宋_GB2312" w:hint="eastAsia"/>
          <w:sz w:val="32"/>
          <w:szCs w:val="32"/>
        </w:rPr>
        <w:t>的新时代阿坝公安精神，坚持带头讲政治、带头讲团结、带头</w:t>
      </w:r>
      <w:r>
        <w:rPr>
          <w:rFonts w:ascii="仿宋_GB2312" w:eastAsia="仿宋_GB2312" w:hint="eastAsia"/>
          <w:sz w:val="32"/>
          <w:szCs w:val="32"/>
          <w:lang w:val="en-US" w:eastAsia="zh-CN"/>
        </w:rPr>
        <w:t>讲</w:t>
      </w:r>
      <w:r>
        <w:rPr>
          <w:rFonts w:ascii="仿宋_GB2312" w:eastAsia="仿宋_GB2312" w:hint="eastAsia"/>
          <w:sz w:val="32"/>
          <w:szCs w:val="32"/>
        </w:rPr>
        <w:t>实干、带头讲纪律，紧扣</w:t>
      </w:r>
      <w:r>
        <w:rPr>
          <w:rFonts w:ascii="仿宋_GB2312" w:eastAsia="仿宋_GB2312" w:hint="eastAsia"/>
          <w:sz w:val="32"/>
          <w:szCs w:val="32"/>
          <w:lang w:eastAsia="zh-CN"/>
        </w:rPr>
        <w:t>二十大</w:t>
      </w:r>
      <w:r>
        <w:rPr>
          <w:rFonts w:ascii="仿宋_GB2312" w:eastAsia="仿宋_GB2312" w:hint="eastAsia"/>
          <w:sz w:val="32"/>
          <w:szCs w:val="32"/>
        </w:rPr>
        <w:t>安保维稳工作任务，聚焦建设“生态茂县、智慧茂县、幸福茂县”，主动服务重大发展战略，努力为“一州两区三家园”和“五地一中心”建设创造安全稳定的政治社会环境，为全面建设社会主义现代化茂县开局起步服好务。</w:t>
      </w:r>
      <w:r>
        <w:rPr>
          <w:rFonts w:ascii="仿宋_GB2312" w:eastAsia="仿宋_GB2312" w:cs="仿宋_GB2312" w:hint="eastAsia"/>
          <w:color w:val="000000"/>
          <w:sz w:val="32"/>
          <w:szCs w:val="32"/>
        </w:rPr>
        <w:t>统筹做好常态化疫情防控和防风险、保安全、护稳定、抓改革、促发展各项工作，有力维护了全县政治安全和社会大局稳定。</w:t>
      </w:r>
    </w:p>
    <w:p>
      <w:pPr>
        <w:pageBreakBefore w:val="0"/>
        <w:widowControl w:val="0"/>
        <w:suppressAutoHyphens/>
        <w:kinsoku/>
        <w:wordWrap/>
        <w:overflowPunct/>
        <w:topLinePunct w:val="0"/>
        <w:bidi w:val="0"/>
        <w:spacing w:line="560" w:lineRule="exact"/>
        <w:ind w:firstLineChars="200" w:firstLine="640"/>
        <w:jc w:val="left"/>
        <w:textAlignment w:val="auto"/>
        <w:rPr>
          <w:rFonts w:ascii="楷体_GB2312" w:eastAsia="楷体_GB2312" w:cs="楷体_GB2312" w:hint="eastAsia"/>
          <w:color w:val="000000"/>
          <w:kern w:val="0"/>
          <w:sz w:val="32"/>
          <w:szCs w:val="32"/>
          <w:shd w:val="clear" w:color="auto" w:fill="FFFFFF"/>
          <w:lang w:val="zh-CN"/>
          <w:highlight w:val="auto"/>
        </w:rPr>
      </w:pPr>
      <w:r>
        <w:rPr>
          <w:rFonts w:ascii="楷体_GB2312" w:eastAsia="楷体_GB2312" w:cs="楷体_GB2312" w:hint="eastAsia"/>
          <w:color w:val="000000"/>
          <w:kern w:val="0"/>
          <w:sz w:val="32"/>
          <w:szCs w:val="32"/>
          <w:shd w:val="clear" w:color="auto" w:fill="FFFFFF"/>
          <w:lang w:val="en-US" w:eastAsia="zh-CN"/>
          <w:highlight w:val="auto"/>
        </w:rPr>
        <w:t>2.</w:t>
      </w:r>
      <w:r>
        <w:rPr>
          <w:rFonts w:ascii="楷体_GB2312" w:eastAsia="楷体_GB2312" w:cs="楷体_GB2312"/>
          <w:color w:val="000000"/>
          <w:kern w:val="0"/>
          <w:sz w:val="32"/>
          <w:szCs w:val="32"/>
          <w:shd w:val="clear" w:color="auto" w:fill="FFFFFF"/>
          <w:lang w:val="zh-CN"/>
          <w:highlight w:val="auto"/>
        </w:rPr>
        <w:t>预算管理</w:t>
      </w:r>
      <w:r>
        <w:rPr>
          <w:rFonts w:ascii="楷体_GB2312" w:eastAsia="楷体_GB2312" w:cs="楷体_GB2312" w:hint="eastAsia"/>
          <w:color w:val="000000"/>
          <w:kern w:val="0"/>
          <w:sz w:val="32"/>
          <w:szCs w:val="32"/>
          <w:shd w:val="clear" w:color="auto" w:fill="FFFFFF"/>
          <w:lang w:val="zh-CN"/>
          <w:highlight w:val="auto"/>
        </w:rPr>
        <w:t>。</w:t>
      </w:r>
      <w:r>
        <w:rPr>
          <w:rFonts w:ascii="仿宋_GB2312" w:eastAsia="仿宋_GB2312" w:cs="仿宋_GB2312" w:hint="eastAsia"/>
          <w:sz w:val="32"/>
          <w:szCs w:val="32"/>
        </w:rPr>
        <w:t>结合年度工作计划，我局合理制定了</w:t>
      </w:r>
      <w:r>
        <w:rPr>
          <w:rFonts w:eastAsia="仿宋_GB2312" w:hint="eastAsia"/>
          <w:sz w:val="32"/>
          <w:szCs w:val="32"/>
        </w:rPr>
        <w:t>细化量化、完整准确</w:t>
      </w:r>
      <w:r>
        <w:rPr>
          <w:rFonts w:ascii="仿宋_GB2312" w:eastAsia="仿宋_GB2312" w:cs="仿宋_GB2312" w:hint="eastAsia"/>
          <w:sz w:val="32"/>
          <w:szCs w:val="32"/>
        </w:rPr>
        <w:t>的绩效目标；将绩效目标管理融入部门预算编制的各个环节，</w:t>
      </w:r>
      <w:r>
        <w:rPr>
          <w:rFonts w:eastAsia="仿宋_GB2312" w:hint="eastAsia"/>
          <w:sz w:val="32"/>
          <w:szCs w:val="32"/>
        </w:rPr>
        <w:t>通过科学绩效目标及指标体系清晰反映项目预算资金的投入、产出及效果；</w:t>
      </w:r>
      <w:r>
        <w:rPr>
          <w:rFonts w:ascii="仿宋_GB2312" w:eastAsia="仿宋_GB2312" w:cs="仿宋_GB2312" w:hint="eastAsia"/>
          <w:sz w:val="32"/>
          <w:szCs w:val="32"/>
        </w:rPr>
        <w:t>确保重点业务工作绩效目标内容制定明确，与预算项目实施内容匹配，财政资源配置合理。</w:t>
      </w:r>
    </w:p>
    <w:p>
      <w:pPr>
        <w:keepNext w:val="0"/>
        <w:keepLines w:val="0"/>
        <w:pageBreakBefore w:val="0"/>
        <w:widowControl w:val="0"/>
        <w:suppressAutoHyphens/>
        <w:kinsoku/>
        <w:wordWrap/>
        <w:overflowPunct/>
        <w:topLinePunct w:val="0"/>
        <w:autoSpaceDE/>
        <w:autoSpaceDN/>
        <w:bidi w:val="0"/>
        <w:adjustRightInd w:val="0"/>
        <w:snapToGrid w:val="0"/>
        <w:spacing w:line="560" w:lineRule="exact"/>
        <w:ind w:left="0" w:firstLineChars="200" w:firstLine="640"/>
        <w:contextualSpacing/>
        <w:jc w:val="both"/>
        <w:textAlignment w:val="auto"/>
        <w:outlineLvl w:val="9"/>
        <w:rPr>
          <w:rFonts w:ascii="楷体_GB2312" w:eastAsia="楷体_GB2312" w:cs="楷体_GB2312" w:hint="eastAsia"/>
          <w:color w:val="000000"/>
          <w:kern w:val="0"/>
          <w:sz w:val="32"/>
          <w:szCs w:val="32"/>
          <w:shd w:val="clear" w:color="auto" w:fill="FFFFFF"/>
          <w:lang w:val="zh-CN"/>
          <w:highlight w:val="auto"/>
        </w:rPr>
      </w:pPr>
      <w:r>
        <w:rPr>
          <w:rFonts w:ascii="楷体_GB2312" w:eastAsia="楷体_GB2312" w:cs="楷体_GB2312" w:hint="eastAsia"/>
          <w:color w:val="000000"/>
          <w:kern w:val="0"/>
          <w:sz w:val="32"/>
          <w:szCs w:val="32"/>
          <w:shd w:val="clear" w:color="auto" w:fill="FFFFFF"/>
          <w:lang w:val="en-US" w:eastAsia="zh-CN"/>
          <w:highlight w:val="auto"/>
        </w:rPr>
        <w:t>3.</w:t>
      </w:r>
      <w:r>
        <w:rPr>
          <w:rFonts w:ascii="楷体_GB2312" w:eastAsia="楷体_GB2312" w:cs="楷体_GB2312"/>
          <w:color w:val="000000"/>
          <w:kern w:val="0"/>
          <w:sz w:val="32"/>
          <w:szCs w:val="32"/>
          <w:shd w:val="clear" w:color="auto" w:fill="FFFFFF"/>
          <w:lang w:val="zh-CN"/>
          <w:highlight w:val="auto"/>
        </w:rPr>
        <w:t>财务管理</w:t>
      </w:r>
      <w:r>
        <w:rPr>
          <w:rFonts w:ascii="楷体_GB2312" w:eastAsia="楷体_GB2312" w:cs="楷体_GB2312" w:hint="eastAsia"/>
          <w:color w:val="000000"/>
          <w:kern w:val="0"/>
          <w:sz w:val="32"/>
          <w:szCs w:val="32"/>
          <w:shd w:val="clear" w:color="auto" w:fill="FFFFFF"/>
          <w:lang w:val="zh-CN"/>
          <w:highlight w:val="auto"/>
        </w:rPr>
        <w:t>。</w:t>
      </w:r>
      <w:r>
        <w:rPr>
          <w:rFonts w:ascii="仿宋_GB2312" w:eastAsia="仿宋_GB2312" w:cs="仿宋_GB2312" w:hint="eastAsia"/>
          <w:sz w:val="32"/>
          <w:szCs w:val="32"/>
        </w:rPr>
        <w:t>我局属于一级预算单位，由警务保障室统一管理和核算经费，各部门经费实行报</w:t>
      </w:r>
      <w:r>
        <w:rPr>
          <w:rFonts w:ascii="仿宋_GB2312" w:eastAsia="仿宋_GB2312" w:cs="仿宋_GB2312" w:hint="eastAsia"/>
          <w:sz w:val="32"/>
          <w:szCs w:val="32"/>
          <w:lang w:val="en-US" w:eastAsia="zh-CN"/>
        </w:rPr>
        <w:t>账</w:t>
      </w:r>
      <w:r>
        <w:rPr>
          <w:rFonts w:ascii="仿宋_GB2312" w:eastAsia="仿宋_GB2312" w:cs="仿宋_GB2312" w:hint="eastAsia"/>
          <w:sz w:val="32"/>
          <w:szCs w:val="32"/>
        </w:rPr>
        <w:t>制。切实加强我局财务管理，着力提高财务管理水平和经费使用效益，使之有效服务于公安工作大局，确保各项公安业务工作的顺利开展。本着“厉行节约、量力而行、保障运转、提高效益、收支平衡”的原则，制定了相关财务管理制度。</w:t>
      </w:r>
    </w:p>
    <w:p>
      <w:pPr>
        <w:keepNext w:val="0"/>
        <w:keepLines w:val="0"/>
        <w:pageBreakBefore w:val="0"/>
        <w:widowControl w:val="0"/>
        <w:suppressAutoHyphens/>
        <w:kinsoku/>
        <w:wordWrap/>
        <w:overflowPunct/>
        <w:topLinePunct w:val="0"/>
        <w:autoSpaceDE/>
        <w:autoSpaceDN/>
        <w:bidi w:val="0"/>
        <w:adjustRightInd/>
        <w:snapToGrid/>
        <w:spacing w:line="560" w:lineRule="exact"/>
        <w:ind w:firstLineChars="200" w:firstLine="640"/>
        <w:jc w:val="both"/>
        <w:textAlignment w:val="auto"/>
        <w:rPr>
          <w:rFonts w:ascii="楷体_GB2312" w:eastAsia="仿宋_GB2312" w:cs="楷体_GB2312" w:hAnsi="楷体_GB2312"/>
          <w:color w:val="000000"/>
          <w:kern w:val="0"/>
          <w:sz w:val="32"/>
          <w:szCs w:val="32"/>
          <w:shd w:val="clear" w:color="auto" w:fill="FFFFFF"/>
          <w:lang w:val="en-US" w:eastAsia="zh-CN"/>
          <w:highlight w:val="auto"/>
        </w:rPr>
      </w:pPr>
      <w:r>
        <w:rPr>
          <w:rFonts w:ascii="楷体_GB2312" w:eastAsia="楷体_GB2312" w:cs="楷体_GB2312" w:hint="eastAsia"/>
          <w:color w:val="000000"/>
          <w:kern w:val="0"/>
          <w:sz w:val="32"/>
          <w:szCs w:val="32"/>
          <w:shd w:val="clear" w:color="auto" w:fill="FFFFFF"/>
          <w:lang w:val="en-US" w:eastAsia="zh-CN"/>
          <w:highlight w:val="auto"/>
        </w:rPr>
        <w:t>4.</w:t>
      </w:r>
      <w:r>
        <w:rPr>
          <w:rFonts w:ascii="楷体_GB2312" w:eastAsia="楷体_GB2312" w:cs="楷体_GB2312"/>
          <w:color w:val="000000"/>
          <w:kern w:val="0"/>
          <w:sz w:val="32"/>
          <w:szCs w:val="32"/>
          <w:shd w:val="clear" w:color="auto" w:fill="FFFFFF"/>
          <w:lang w:val="zh-CN"/>
          <w:highlight w:val="auto"/>
        </w:rPr>
        <w:t>资产管理</w:t>
      </w:r>
      <w:r>
        <w:rPr>
          <w:rFonts w:ascii="楷体_GB2312" w:eastAsia="楷体_GB2312" w:cs="楷体_GB2312" w:hint="eastAsia"/>
          <w:color w:val="000000"/>
          <w:kern w:val="0"/>
          <w:sz w:val="32"/>
          <w:szCs w:val="32"/>
          <w:shd w:val="clear" w:color="auto" w:fill="FFFFFF"/>
          <w:lang w:val="zh-CN"/>
          <w:highlight w:val="auto"/>
        </w:rPr>
        <w:t>。</w:t>
      </w:r>
      <w:r>
        <w:rPr>
          <w:rFonts w:ascii="仿宋_GB2312" w:eastAsia="仿宋_GB2312" w:cs="仿宋_GB2312" w:hint="eastAsia"/>
          <w:sz w:val="32"/>
          <w:szCs w:val="32"/>
        </w:rPr>
        <w:t>为防止国有资产的流失，各部门的固定资产登记造册，并建立固定资产台</w:t>
      </w:r>
      <w:r>
        <w:rPr>
          <w:rFonts w:ascii="仿宋_GB2312" w:eastAsia="仿宋_GB2312" w:cs="仿宋_GB2312" w:hint="eastAsia"/>
          <w:sz w:val="32"/>
          <w:szCs w:val="32"/>
          <w:lang w:val="en-US" w:eastAsia="zh-CN"/>
        </w:rPr>
        <w:t>账</w:t>
      </w:r>
      <w:r>
        <w:rPr>
          <w:rFonts w:ascii="仿宋_GB2312" w:eastAsia="仿宋_GB2312" w:cs="仿宋_GB2312" w:hint="eastAsia"/>
          <w:sz w:val="32"/>
          <w:szCs w:val="32"/>
        </w:rPr>
        <w:t>，做到</w:t>
      </w:r>
      <w:r>
        <w:rPr>
          <w:rFonts w:ascii="仿宋_GB2312" w:eastAsia="仿宋_GB2312" w:cs="仿宋_GB2312" w:hint="eastAsia"/>
          <w:sz w:val="32"/>
          <w:szCs w:val="32"/>
          <w:lang w:val="en-US" w:eastAsia="zh-CN"/>
        </w:rPr>
        <w:t>账账</w:t>
      </w:r>
      <w:r>
        <w:rPr>
          <w:rFonts w:ascii="仿宋_GB2312" w:eastAsia="仿宋_GB2312" w:cs="仿宋_GB2312" w:hint="eastAsia"/>
          <w:sz w:val="32"/>
          <w:szCs w:val="32"/>
        </w:rPr>
        <w:t>相符、</w:t>
      </w:r>
      <w:r>
        <w:rPr>
          <w:rFonts w:ascii="仿宋_GB2312" w:eastAsia="仿宋_GB2312" w:cs="仿宋_GB2312" w:hint="eastAsia"/>
          <w:sz w:val="32"/>
          <w:szCs w:val="32"/>
          <w:lang w:eastAsia="zh-CN"/>
        </w:rPr>
        <w:t>账</w:t>
      </w:r>
      <w:r>
        <w:rPr>
          <w:rFonts w:ascii="仿宋_GB2312" w:eastAsia="仿宋_GB2312" w:cs="仿宋_GB2312" w:hint="eastAsia"/>
          <w:sz w:val="32"/>
          <w:szCs w:val="32"/>
        </w:rPr>
        <w:t>实相符</w:t>
      </w:r>
      <w:r>
        <w:rPr>
          <w:rFonts w:ascii="仿宋_GB2312" w:eastAsia="仿宋_GB2312" w:cs="仿宋_GB2312" w:hint="eastAsia"/>
          <w:sz w:val="32"/>
          <w:szCs w:val="32"/>
          <w:lang w:eastAsia="zh-CN"/>
        </w:rPr>
        <w:t>，</w:t>
      </w:r>
      <w:r>
        <w:rPr>
          <w:rFonts w:ascii="仿宋_GB2312" w:eastAsia="仿宋_GB2312" w:cs="仿宋_GB2312" w:hint="eastAsia"/>
          <w:sz w:val="32"/>
          <w:szCs w:val="32"/>
          <w:lang w:val="en-US" w:eastAsia="zh-CN"/>
        </w:rPr>
        <w:t>任何固定资产的调出、出售、报废、报损按照固定资产报废程序，报警务保障室核实后统一上报批准后，进行处理。</w:t>
      </w:r>
    </w:p>
    <w:p>
      <w:pPr>
        <w:keepNext w:val="0"/>
        <w:keepLines w:val="0"/>
        <w:pageBreakBefore w:val="0"/>
        <w:widowControl w:val="0"/>
        <w:suppressAutoHyphens/>
        <w:kinsoku/>
        <w:wordWrap/>
        <w:overflowPunct/>
        <w:topLinePunct w:val="0"/>
        <w:autoSpaceDE/>
        <w:autoSpaceDN/>
        <w:bidi w:val="0"/>
        <w:adjustRightInd/>
        <w:snapToGrid/>
        <w:spacing w:line="560" w:lineRule="exact"/>
        <w:ind w:firstLineChars="200" w:firstLine="640"/>
        <w:jc w:val="both"/>
        <w:textAlignment w:val="auto"/>
        <w:rPr>
          <w:rFonts w:ascii="楷体_GB2312" w:eastAsia="楷体_GB2312" w:cs="楷体_GB2312" w:hint="eastAsia"/>
          <w:color w:val="000000"/>
          <w:kern w:val="0"/>
          <w:sz w:val="32"/>
          <w:szCs w:val="32"/>
          <w:shd w:val="clear" w:color="auto" w:fill="FFFFFF"/>
          <w:lang w:val="zh-CN"/>
          <w:highlight w:val="auto"/>
        </w:rPr>
      </w:pPr>
      <w:r>
        <w:rPr>
          <w:rFonts w:ascii="楷体_GB2312" w:eastAsia="楷体_GB2312" w:cs="楷体_GB2312" w:hint="eastAsia"/>
          <w:color w:val="000000"/>
          <w:kern w:val="0"/>
          <w:sz w:val="32"/>
          <w:szCs w:val="32"/>
          <w:shd w:val="clear" w:color="auto" w:fill="FFFFFF"/>
          <w:lang w:val="en-US" w:eastAsia="zh-CN"/>
          <w:highlight w:val="auto"/>
        </w:rPr>
        <w:t>5.</w:t>
      </w:r>
      <w:r>
        <w:rPr>
          <w:rFonts w:ascii="楷体_GB2312" w:eastAsia="楷体_GB2312" w:cs="楷体_GB2312"/>
          <w:color w:val="000000"/>
          <w:kern w:val="0"/>
          <w:sz w:val="32"/>
          <w:szCs w:val="32"/>
          <w:shd w:val="clear" w:color="auto" w:fill="FFFFFF"/>
          <w:lang w:val="zh-CN"/>
          <w:highlight w:val="auto"/>
        </w:rPr>
        <w:t>采购管理</w:t>
      </w:r>
      <w:r>
        <w:rPr>
          <w:rFonts w:ascii="楷体_GB2312" w:eastAsia="楷体_GB2312" w:cs="楷体_GB2312" w:hint="eastAsia"/>
          <w:color w:val="000000"/>
          <w:kern w:val="0"/>
          <w:sz w:val="32"/>
          <w:szCs w:val="32"/>
          <w:shd w:val="clear" w:color="auto" w:fill="FFFFFF"/>
          <w:lang w:val="zh-CN"/>
          <w:highlight w:val="auto"/>
        </w:rPr>
        <w:t>。</w:t>
      </w:r>
      <w:r>
        <w:rPr>
          <w:rFonts w:ascii="仿宋_GB2312" w:eastAsia="仿宋_GB2312" w:cs="仿宋_GB2312" w:hint="eastAsia"/>
          <w:sz w:val="32"/>
          <w:szCs w:val="32"/>
        </w:rPr>
        <w:t>各部门需添置的大宗设备和维修项目每年9月一次性上报警务保障室，由警务保障室纳入次年部门预算，凡未纳入部门预算的，次年不安排资金。凡纳入年度财政预算和装备计划的设备采购、维修改造项目，做到专款专用，并按政府采购程序办理，各部门不得自行采购和开工。</w:t>
      </w:r>
    </w:p>
    <w:p>
      <w:pPr>
        <w:keepNext w:val="0"/>
        <w:keepLines w:val="0"/>
        <w:pageBreakBefore w:val="0"/>
        <w:widowControl/>
        <w:suppressAutoHyphens/>
        <w:kinsoku/>
        <w:wordWrap/>
        <w:overflowPunct/>
        <w:topLinePunct w:val="0"/>
        <w:autoSpaceDE/>
        <w:autoSpaceDN/>
        <w:bidi w:val="0"/>
        <w:adjustRightInd w:val="0"/>
        <w:snapToGrid w:val="0"/>
        <w:spacing w:line="560" w:lineRule="exact"/>
        <w:ind w:firstLineChars="200" w:firstLine="640"/>
        <w:contextualSpacing/>
        <w:jc w:val="left"/>
        <w:textAlignment w:val="auto"/>
        <w:outlineLvl w:val="9"/>
        <w:rPr>
          <w:rFonts w:ascii="Times New Roman" w:eastAsia="仿宋_GB2312" w:cs="Times New Roman" w:hAnsi="Times New Roman"/>
          <w:sz w:val="32"/>
          <w:szCs w:val="32"/>
          <w:lang w:val="en-US" w:eastAsia="zh-CN"/>
        </w:rPr>
      </w:pPr>
      <w:r>
        <w:rPr>
          <w:rFonts w:ascii="Times New Roman" w:eastAsia="楷体_GB2312" w:cs="Times New Roman" w:hAnsi="Times New Roman"/>
          <w:b/>
          <w:bCs/>
          <w:color w:val="000000"/>
          <w:kern w:val="0"/>
          <w:sz w:val="32"/>
          <w:szCs w:val="32"/>
          <w:shd w:val="clear" w:color="auto" w:fill="FFFFFF"/>
          <w:lang w:val="zh-CN"/>
          <w:highlight w:val="auto"/>
        </w:rPr>
        <w:t>（二）部门预算项目绩效分析</w:t>
      </w:r>
    </w:p>
    <w:p>
      <w:pPr>
        <w:adjustRightInd w:val="0"/>
        <w:snapToGrid w:val="0"/>
        <w:spacing w:line="578" w:lineRule="exact"/>
        <w:ind w:firstLineChars="200" w:firstLine="640"/>
        <w:contextualSpacing/>
        <w:jc w:val="left"/>
        <w:rPr>
          <w:rFonts w:ascii="Times New Roman" w:eastAsia="仿宋_GB2312" w:cs="Times New Roman" w:hAnsi="Times New Roman"/>
          <w:sz w:val="32"/>
          <w:szCs w:val="32"/>
          <w:lang w:val="en-US" w:eastAsia="zh-CN"/>
        </w:rPr>
      </w:pPr>
      <w:r>
        <w:rPr>
          <w:rFonts w:ascii="Times New Roman" w:eastAsia="仿宋_GB2312" w:cs="Times New Roman" w:hAnsi="Times New Roman"/>
          <w:sz w:val="32"/>
          <w:szCs w:val="32"/>
          <w:lang w:val="en-US" w:eastAsia="zh-CN"/>
        </w:rPr>
        <w:t>常年项目绩效分析。该类项目总数13个，涉及预算总金额2,556.1万元，1—12月预算执行总体进度为100%，其中：预算结余率大于10%的项目共计0个。</w:t>
      </w:r>
    </w:p>
    <w:p>
      <w:pPr>
        <w:pStyle w:val="19"/>
        <w:keepNext w:val="0"/>
        <w:keepLines w:val="0"/>
        <w:pageBreakBefore w:val="0"/>
        <w:widowControl w:val="0"/>
        <w:suppressAutoHyphens/>
        <w:kinsoku/>
        <w:wordWrap/>
        <w:overflowPunct/>
        <w:topLinePunct w:val="0"/>
        <w:autoSpaceDE/>
        <w:autoSpaceDN/>
        <w:bidi w:val="0"/>
        <w:spacing w:line="560" w:lineRule="exact"/>
        <w:ind w:leftChars="0" w:left="0" w:firstLineChars="200" w:firstLine="640"/>
        <w:textAlignment w:val="auto"/>
        <w:rPr>
          <w:rFonts w:ascii="Times New Roman" w:eastAsia="仿宋_GB2312" w:cs="Times New Roman" w:hAnsi="Times New Roman"/>
          <w:sz w:val="32"/>
          <w:szCs w:val="32"/>
          <w:lang w:val="en-US" w:eastAsia="zh-CN"/>
        </w:rPr>
      </w:pPr>
      <w:r>
        <w:rPr>
          <w:rFonts w:ascii="Times New Roman" w:eastAsia="仿宋_GB2312" w:cs="Times New Roman" w:hAnsi="Times New Roman"/>
          <w:sz w:val="32"/>
          <w:szCs w:val="32"/>
          <w:lang w:val="en-US" w:eastAsia="zh-CN"/>
        </w:rPr>
        <w:t>阶段（一次性）项目绩效分析。该类项目总数0个，涉及预算总金额0万元。</w:t>
      </w:r>
    </w:p>
    <w:p>
      <w:pPr>
        <w:pStyle w:val="19"/>
        <w:keepNext w:val="0"/>
        <w:keepLines w:val="0"/>
        <w:pageBreakBefore w:val="0"/>
        <w:widowControl w:val="0"/>
        <w:suppressAutoHyphens/>
        <w:kinsoku/>
        <w:wordWrap/>
        <w:overflowPunct/>
        <w:topLinePunct w:val="0"/>
        <w:autoSpaceDE/>
        <w:autoSpaceDN/>
        <w:bidi w:val="0"/>
        <w:spacing w:line="560" w:lineRule="exact"/>
        <w:ind w:leftChars="0" w:left="0" w:firstLineChars="200" w:firstLine="640"/>
        <w:textAlignment w:val="auto"/>
        <w:rPr>
          <w:rFonts w:ascii="Times New Roman" w:eastAsia="仿宋_GB2312" w:cs="Times New Roman" w:hAnsi="Times New Roman"/>
          <w:sz w:val="32"/>
          <w:szCs w:val="32"/>
          <w:lang w:val="en-US" w:eastAsia="zh-CN"/>
        </w:rPr>
      </w:pPr>
      <w:r>
        <w:rPr>
          <w:rFonts w:ascii="Times New Roman" w:eastAsia="仿宋_GB2312" w:cs="Times New Roman" w:hAnsi="Times New Roman"/>
          <w:sz w:val="32"/>
          <w:szCs w:val="32"/>
          <w:lang w:val="en-US" w:eastAsia="zh-CN"/>
        </w:rPr>
        <w:t>1.项目决策。</w:t>
      </w:r>
      <w:r>
        <w:rPr>
          <w:rFonts w:ascii="Times New Roman" w:eastAsia="仿宋_GB2312" w:cs="Times New Roman" w:hAnsi="Times New Roman" w:hint="eastAsia"/>
          <w:sz w:val="32"/>
          <w:szCs w:val="32"/>
          <w:lang w:val="en-US" w:eastAsia="zh-CN"/>
        </w:rPr>
        <w:t>决策程序：部门预算项目设立按规定履行评估论证、申报流程；目标设置：部门预算项目绩效目标与计划期内的任务量、预算安排的资金量基本匹配，具体根据部门设定项目目标，由实施股室编制事前评估报告，由警务保障室根据事前评估报告及目标进行项目入库申请，在规定时间完成项目入库</w:t>
      </w:r>
      <w:r>
        <w:rPr>
          <w:rFonts w:ascii="Times New Roman" w:eastAsia="仿宋_GB2312" w:cs="Times New Roman" w:hAnsi="Times New Roman"/>
          <w:sz w:val="32"/>
          <w:szCs w:val="32"/>
          <w:lang w:val="en-US" w:eastAsia="zh-CN"/>
        </w:rPr>
        <w:t>。</w:t>
      </w:r>
    </w:p>
    <w:p>
      <w:pPr>
        <w:pStyle w:val="19"/>
        <w:keepNext w:val="0"/>
        <w:keepLines w:val="0"/>
        <w:pageBreakBefore w:val="0"/>
        <w:widowControl w:val="0"/>
        <w:suppressAutoHyphens/>
        <w:kinsoku/>
        <w:wordWrap/>
        <w:overflowPunct/>
        <w:topLinePunct w:val="0"/>
        <w:autoSpaceDE/>
        <w:autoSpaceDN/>
        <w:spacing w:line="560" w:lineRule="exact"/>
        <w:ind w:leftChars="0" w:left="0" w:firstLineChars="200" w:firstLine="640"/>
        <w:rPr>
          <w:rFonts w:ascii="Times New Roman" w:eastAsia="仿宋_GB2312" w:cs="Times New Roman" w:hAnsi="Times New Roman" w:hint="eastAsia"/>
          <w:sz w:val="32"/>
          <w:szCs w:val="32"/>
          <w:lang w:val="en-US" w:eastAsia="zh-CN"/>
        </w:rPr>
      </w:pPr>
      <w:r>
        <w:rPr>
          <w:rFonts w:ascii="Times New Roman" w:eastAsia="仿宋_GB2312" w:cs="Times New Roman" w:hAnsi="Times New Roman"/>
          <w:sz w:val="32"/>
          <w:szCs w:val="32"/>
          <w:lang w:val="en-US" w:eastAsia="zh-CN"/>
        </w:rPr>
        <w:t>2.项目执行。</w:t>
      </w:r>
      <w:r>
        <w:rPr>
          <w:rFonts w:ascii="Times New Roman" w:eastAsia="仿宋_GB2312" w:cs="Times New Roman" w:hAnsi="Times New Roman" w:hint="eastAsia"/>
          <w:sz w:val="32"/>
          <w:szCs w:val="32"/>
          <w:lang w:val="en-US" w:eastAsia="zh-CN"/>
        </w:rPr>
        <w:t>包虫病防治经费，预算数4万元，支付数4万元，执行进度100%。</w:t>
      </w:r>
    </w:p>
    <w:p>
      <w:pPr>
        <w:pStyle w:val="19"/>
        <w:keepNext w:val="0"/>
        <w:keepLines w:val="0"/>
        <w:pageBreakBefore w:val="0"/>
        <w:widowControl w:val="0"/>
        <w:suppressAutoHyphens/>
        <w:kinsoku/>
        <w:wordWrap/>
        <w:overflowPunct/>
        <w:topLinePunct w:val="0"/>
        <w:autoSpaceDE/>
        <w:autoSpaceDN/>
        <w:bidi w:val="0"/>
        <w:spacing w:line="560" w:lineRule="exact"/>
        <w:ind w:leftChars="0" w:left="0" w:firstLineChars="200" w:firstLine="640"/>
        <w:textAlignment w:val="auto"/>
        <w:rPr>
          <w:rFonts w:ascii="Times New Roman" w:eastAsia="仿宋_GB2312" w:cs="Times New Roman" w:hAnsi="Times New Roman"/>
          <w:sz w:val="32"/>
          <w:szCs w:val="32"/>
          <w:lang w:val="en-US" w:eastAsia="zh-CN"/>
        </w:rPr>
      </w:pPr>
      <w:r>
        <w:rPr>
          <w:rFonts w:ascii="Times New Roman" w:eastAsia="仿宋_GB2312" w:cs="Times New Roman" w:hAnsi="Times New Roman" w:hint="eastAsia"/>
          <w:sz w:val="32"/>
          <w:szCs w:val="32"/>
          <w:lang w:val="en-US" w:eastAsia="zh-CN"/>
        </w:rPr>
        <w:t>川烟经营市场维护工作经费，预算数2.96万元，支付数2.96万元，执行进度100%。</w:t>
      </w:r>
    </w:p>
    <w:p>
      <w:pPr>
        <w:pStyle w:val="19"/>
        <w:keepNext w:val="0"/>
        <w:keepLines w:val="0"/>
        <w:pageBreakBefore w:val="0"/>
        <w:widowControl w:val="0"/>
        <w:suppressAutoHyphens/>
        <w:kinsoku/>
        <w:wordWrap/>
        <w:overflowPunct/>
        <w:topLinePunct w:val="0"/>
        <w:autoSpaceDE/>
        <w:autoSpaceDN/>
        <w:spacing w:line="560" w:lineRule="exact"/>
        <w:ind w:leftChars="0" w:left="0" w:firstLineChars="200" w:firstLine="640"/>
        <w:rPr>
          <w:rFonts w:ascii="Times New Roman" w:eastAsia="仿宋_GB2312" w:cs="Times New Roman" w:hAnsi="Times New Roman"/>
          <w:sz w:val="32"/>
          <w:szCs w:val="32"/>
          <w:lang w:val="en-US" w:eastAsia="zh-CN"/>
        </w:rPr>
      </w:pPr>
      <w:r>
        <w:rPr>
          <w:rFonts w:ascii="Times New Roman" w:eastAsia="仿宋_GB2312" w:cs="Times New Roman" w:hAnsi="Times New Roman" w:hint="eastAsia"/>
          <w:sz w:val="32"/>
          <w:szCs w:val="32"/>
          <w:lang w:val="en-US" w:eastAsia="zh-CN"/>
        </w:rPr>
        <w:t>3.</w:t>
      </w:r>
      <w:r>
        <w:rPr>
          <w:rFonts w:ascii="Times New Roman" w:eastAsia="仿宋_GB2312" w:cs="Times New Roman" w:hAnsi="Times New Roman"/>
          <w:sz w:val="32"/>
          <w:szCs w:val="32"/>
          <w:lang w:val="en-US" w:eastAsia="zh-CN"/>
        </w:rPr>
        <w:t>目标实现。</w:t>
      </w:r>
      <w:r>
        <w:rPr>
          <w:rFonts w:ascii="Times New Roman" w:eastAsia="仿宋_GB2312" w:cs="Times New Roman" w:hAnsi="Times New Roman" w:hint="eastAsia"/>
          <w:sz w:val="32"/>
          <w:szCs w:val="32"/>
          <w:lang w:val="en-US" w:eastAsia="zh-CN"/>
        </w:rPr>
        <w:t>部门预算项目各项既定绩效目标</w:t>
      </w:r>
      <w:r>
        <w:rPr>
          <w:rFonts w:ascii="Times New Roman" w:eastAsia="仿宋_GB2312" w:cs="Times New Roman" w:hAnsi="Times New Roman"/>
          <w:sz w:val="32"/>
          <w:szCs w:val="32"/>
          <w:lang w:val="en-US" w:eastAsia="zh-CN"/>
        </w:rPr>
        <w:t>达到预期目标</w:t>
      </w:r>
      <w:r>
        <w:rPr>
          <w:rFonts w:ascii="Times New Roman" w:eastAsia="仿宋_GB2312" w:cs="Times New Roman" w:hAnsi="Times New Roman" w:hint="eastAsia"/>
          <w:sz w:val="32"/>
          <w:szCs w:val="32"/>
          <w:lang w:val="en-US" w:eastAsia="zh-CN"/>
        </w:rPr>
        <w:t>，有效的保障了</w:t>
      </w:r>
      <w:r>
        <w:rPr>
          <w:rFonts w:ascii="Times New Roman" w:eastAsia="仿宋_GB2312" w:cs="Times New Roman" w:hAnsi="Times New Roman"/>
          <w:sz w:val="32"/>
          <w:szCs w:val="32"/>
          <w:lang w:val="en-US" w:eastAsia="zh-CN"/>
        </w:rPr>
        <w:t>公安机关</w:t>
      </w:r>
      <w:r>
        <w:rPr>
          <w:rFonts w:ascii="Times New Roman" w:eastAsia="仿宋_GB2312" w:cs="Times New Roman" w:hAnsi="Times New Roman" w:hint="eastAsia"/>
          <w:sz w:val="32"/>
          <w:szCs w:val="32"/>
          <w:lang w:val="en-US" w:eastAsia="zh-CN"/>
        </w:rPr>
        <w:t>各项工作的有效推进。</w:t>
      </w:r>
    </w:p>
    <w:p>
      <w:pPr>
        <w:pStyle w:val="19"/>
        <w:keepNext w:val="0"/>
        <w:keepLines w:val="0"/>
        <w:pageBreakBefore w:val="0"/>
        <w:widowControl w:val="0"/>
        <w:suppressAutoHyphens/>
        <w:kinsoku/>
        <w:wordWrap/>
        <w:overflowPunct/>
        <w:topLinePunct w:val="0"/>
        <w:autoSpaceDE/>
        <w:autoSpaceDN/>
        <w:bidi w:val="0"/>
        <w:spacing w:line="560" w:lineRule="exact"/>
        <w:ind w:leftChars="0" w:left="0" w:firstLineChars="200" w:firstLine="640"/>
        <w:textAlignment w:val="auto"/>
        <w:rPr>
          <w:rFonts w:ascii="Times New Roman" w:eastAsia="仿宋_GB2312" w:cs="Times New Roman" w:hAnsi="Times New Roman"/>
          <w:sz w:val="32"/>
          <w:szCs w:val="32"/>
          <w:lang w:val="en-US" w:eastAsia="zh-CN"/>
        </w:rPr>
      </w:pPr>
      <w:r>
        <w:rPr>
          <w:rFonts w:ascii="Times New Roman" w:eastAsia="仿宋_GB2312" w:cs="Times New Roman" w:hAnsi="Times New Roman"/>
          <w:b/>
          <w:bCs/>
          <w:sz w:val="32"/>
          <w:szCs w:val="32"/>
          <w:lang w:val="en-US" w:eastAsia="zh-CN"/>
        </w:rPr>
        <w:t>（三）重点领域绩效分析。</w:t>
      </w:r>
      <w:r>
        <w:rPr>
          <w:rFonts w:ascii="Times New Roman" w:eastAsia="仿宋_GB2312" w:cs="Times New Roman" w:hAnsi="Times New Roman"/>
          <w:sz w:val="32"/>
          <w:szCs w:val="32"/>
          <w:lang w:val="en-US" w:eastAsia="zh-CN"/>
        </w:rPr>
        <w:t>我局严格执行政府采购促进中小企业发展相关管理办法，部门政府采购项目资金按照年初编报计划实施，我局无闲置资产。2025年度不涉及国有资本、债券资金、政府购买服务等重点领域。</w:t>
      </w:r>
    </w:p>
    <w:p>
      <w:pPr>
        <w:pStyle w:val="19"/>
        <w:keepNext w:val="0"/>
        <w:keepLines w:val="0"/>
        <w:pageBreakBefore w:val="0"/>
        <w:widowControl w:val="0"/>
        <w:suppressAutoHyphens/>
        <w:kinsoku/>
        <w:wordWrap/>
        <w:overflowPunct/>
        <w:topLinePunct w:val="0"/>
        <w:autoSpaceDE/>
        <w:autoSpaceDN/>
        <w:bidi w:val="0"/>
        <w:spacing w:line="560" w:lineRule="exact"/>
        <w:ind w:leftChars="0" w:left="0" w:firstLineChars="200" w:firstLine="640"/>
        <w:textAlignment w:val="auto"/>
        <w:rPr>
          <w:rFonts w:ascii="Times New Roman" w:eastAsia="仿宋_GB2312" w:cs="Times New Roman" w:hAnsi="Times New Roman"/>
          <w:sz w:val="32"/>
          <w:szCs w:val="32"/>
          <w:lang w:val="en-US" w:eastAsia="zh-CN"/>
        </w:rPr>
      </w:pPr>
      <w:r>
        <w:rPr>
          <w:rFonts w:ascii="Times New Roman" w:eastAsia="仿宋_GB2312" w:cs="Times New Roman" w:hAnsi="Times New Roman"/>
          <w:b/>
          <w:bCs/>
          <w:sz w:val="32"/>
          <w:szCs w:val="32"/>
          <w:lang w:val="en-US" w:eastAsia="zh-CN"/>
        </w:rPr>
        <w:t>（四）绩效结果应用情况</w:t>
      </w:r>
      <w:r>
        <w:rPr>
          <w:rFonts w:ascii="Times New Roman" w:eastAsia="仿宋_GB2312" w:cs="Times New Roman" w:hAnsi="Times New Roman"/>
          <w:sz w:val="32"/>
          <w:szCs w:val="32"/>
          <w:lang w:val="en-US" w:eastAsia="zh-CN"/>
        </w:rPr>
        <w:t>。按财政要求，我局及时将部门预算、决算及部门整体绩效自评情况等通过“中国·茂县门户网站”向社会公开，并确保基础数据、会计信息资料真实、完整、准确，接受社会监督。针对绩效管理过程中发现的问题，我局及时制定解决措施和方案进行整改，将绩效管理结果与预算安排绩效挂钩。同时，按要求及时向财政反馈结果应用情况。</w:t>
      </w:r>
    </w:p>
    <w:p>
      <w:pPr>
        <w:pStyle w:val="19"/>
        <w:keepNext w:val="0"/>
        <w:keepLines w:val="0"/>
        <w:pageBreakBefore w:val="0"/>
        <w:widowControl w:val="0"/>
        <w:suppressAutoHyphens/>
        <w:kinsoku/>
        <w:wordWrap/>
        <w:overflowPunct/>
        <w:topLinePunct w:val="0"/>
        <w:autoSpaceDE/>
        <w:autoSpaceDN/>
        <w:bidi w:val="0"/>
        <w:spacing w:line="560" w:lineRule="exact"/>
        <w:ind w:leftChars="0" w:left="0" w:firstLineChars="200" w:firstLine="640"/>
        <w:textAlignment w:val="auto"/>
        <w:rPr>
          <w:rFonts w:ascii="Times New Roman" w:eastAsia="仿宋_GB2312" w:cs="Times New Roman" w:hAnsi="Times New Roman"/>
          <w:b/>
          <w:bCs/>
          <w:sz w:val="32"/>
          <w:szCs w:val="32"/>
          <w:lang w:val="en-US" w:eastAsia="zh-CN"/>
        </w:rPr>
      </w:pPr>
      <w:r>
        <w:rPr>
          <w:rFonts w:ascii="Times New Roman" w:eastAsia="仿宋_GB2312" w:cs="Times New Roman" w:hAnsi="Times New Roman"/>
          <w:b/>
          <w:bCs/>
          <w:sz w:val="32"/>
          <w:szCs w:val="32"/>
          <w:lang w:val="en-US" w:eastAsia="zh-CN"/>
        </w:rPr>
        <w:t>四、评价结论及建议</w:t>
      </w:r>
    </w:p>
    <w:p>
      <w:pPr>
        <w:pStyle w:val="19"/>
        <w:keepNext w:val="0"/>
        <w:keepLines w:val="0"/>
        <w:pageBreakBefore w:val="0"/>
        <w:widowControl w:val="0"/>
        <w:suppressAutoHyphens/>
        <w:kinsoku/>
        <w:wordWrap/>
        <w:overflowPunct/>
        <w:topLinePunct w:val="0"/>
        <w:autoSpaceDE/>
        <w:autoSpaceDN/>
        <w:bidi w:val="0"/>
        <w:spacing w:line="560" w:lineRule="exact"/>
        <w:ind w:leftChars="0" w:left="0" w:firstLineChars="200" w:firstLine="640"/>
        <w:textAlignment w:val="auto"/>
        <w:rPr>
          <w:rFonts w:ascii="Times New Roman" w:eastAsia="仿宋_GB2312" w:cs="Times New Roman" w:hAnsi="Times New Roman"/>
          <w:sz w:val="32"/>
          <w:szCs w:val="32"/>
          <w:lang w:val="en-US" w:eastAsia="zh-CN"/>
        </w:rPr>
      </w:pPr>
      <w:r>
        <w:rPr>
          <w:rFonts w:ascii="Times New Roman" w:eastAsia="仿宋_GB2312" w:cs="Times New Roman" w:hAnsi="Times New Roman"/>
          <w:b/>
          <w:bCs/>
          <w:sz w:val="32"/>
          <w:szCs w:val="32"/>
          <w:lang w:val="en-US" w:eastAsia="zh-CN"/>
        </w:rPr>
        <w:t>（一）评价结论。</w:t>
      </w:r>
      <w:r>
        <w:rPr>
          <w:rFonts w:ascii="Times New Roman" w:eastAsia="仿宋_GB2312" w:cs="Times New Roman" w:hAnsi="Times New Roman"/>
          <w:sz w:val="32"/>
          <w:szCs w:val="32"/>
          <w:lang w:val="en-US" w:eastAsia="zh-CN"/>
        </w:rPr>
        <w:t>根据预算绩效管理相关制度的要求，结合项目绩效指标完成情况及对项目成本、项目效率、部门绩效目标实现的综合分析，项目综合评价为项目各项指标项均达到指标要求，项目实施达到预期效果，共计开展自评项目3个，自评分均在80分以上。茂县公安局整体支出情况合法、合规，由于严格执行法律、政策、科学分配、有效使用、严密管理，使各项资金基本做到服从全局、科学分配、有效使用、严密管理，资金分配侧重服务基层、倾斜一线，有力地促进了我县各项公安任务的顺利完成和各项目标的实现，整体支出情况良好，自评得分86分。</w:t>
      </w:r>
    </w:p>
    <w:p>
      <w:pPr>
        <w:pStyle w:val="19"/>
        <w:keepNext w:val="0"/>
        <w:keepLines w:val="0"/>
        <w:pageBreakBefore w:val="0"/>
        <w:widowControl w:val="0"/>
        <w:suppressAutoHyphens/>
        <w:kinsoku/>
        <w:wordWrap/>
        <w:overflowPunct/>
        <w:topLinePunct w:val="0"/>
        <w:autoSpaceDE/>
        <w:autoSpaceDN/>
        <w:bidi w:val="0"/>
        <w:spacing w:line="560" w:lineRule="exact"/>
        <w:ind w:leftChars="0" w:left="0" w:firstLineChars="200" w:firstLine="640"/>
        <w:textAlignment w:val="auto"/>
        <w:rPr>
          <w:rFonts w:ascii="Times New Roman" w:eastAsia="仿宋_GB2312" w:cs="Times New Roman" w:hAnsi="Times New Roman"/>
          <w:sz w:val="32"/>
          <w:szCs w:val="32"/>
          <w:lang w:val="en-US" w:eastAsia="zh-CN"/>
        </w:rPr>
      </w:pPr>
      <w:r>
        <w:rPr>
          <w:rFonts w:ascii="Times New Roman" w:eastAsia="仿宋_GB2312" w:cs="Times New Roman" w:hAnsi="Times New Roman"/>
          <w:b/>
          <w:bCs/>
          <w:sz w:val="32"/>
          <w:szCs w:val="32"/>
          <w:lang w:val="en-US" w:eastAsia="zh-CN"/>
        </w:rPr>
        <w:t>（二）存在问题。</w:t>
      </w:r>
      <w:r>
        <w:rPr>
          <w:rFonts w:ascii="Times New Roman" w:eastAsia="仿宋_GB2312" w:cs="Times New Roman" w:hAnsi="Times New Roman"/>
          <w:sz w:val="32"/>
          <w:szCs w:val="32"/>
          <w:lang w:val="en-US" w:eastAsia="zh-CN"/>
        </w:rPr>
        <w:t>由于对支出绩效评价工作的重要性还认识不够，因此对绩效评价工作的重视度还不够，尤其对下属各所队室的支出绩效评价工作较差；部分项目支出绩效指标无法用量化指标来进行考评。</w:t>
      </w:r>
    </w:p>
    <w:p>
      <w:pPr>
        <w:pStyle w:val="19"/>
        <w:keepNext w:val="0"/>
        <w:keepLines w:val="0"/>
        <w:pageBreakBefore w:val="0"/>
        <w:widowControl w:val="0"/>
        <w:suppressAutoHyphens/>
        <w:kinsoku/>
        <w:wordWrap/>
        <w:overflowPunct/>
        <w:topLinePunct w:val="0"/>
        <w:autoSpaceDE/>
        <w:autoSpaceDN/>
        <w:bidi w:val="0"/>
        <w:spacing w:line="560" w:lineRule="exact"/>
        <w:ind w:leftChars="0" w:left="0" w:firstLineChars="200" w:firstLine="640"/>
        <w:textAlignment w:val="auto"/>
        <w:rPr>
          <w:rFonts w:ascii="Times New Roman" w:eastAsia="仿宋_GB2312" w:cs="Times New Roman" w:hAnsi="Times New Roman"/>
          <w:sz w:val="32"/>
          <w:szCs w:val="32"/>
          <w:lang w:val="en-US" w:eastAsia="zh-CN"/>
        </w:rPr>
      </w:pPr>
      <w:r>
        <w:rPr>
          <w:rFonts w:ascii="Times New Roman" w:eastAsia="仿宋_GB2312" w:cs="Times New Roman" w:hAnsi="Times New Roman"/>
          <w:b/>
          <w:bCs/>
          <w:sz w:val="32"/>
          <w:szCs w:val="32"/>
          <w:lang w:val="en-US" w:eastAsia="zh-CN"/>
        </w:rPr>
        <w:t>（三）改进建议。</w:t>
      </w:r>
      <w:r>
        <w:rPr>
          <w:rFonts w:ascii="Times New Roman" w:eastAsia="仿宋_GB2312" w:cs="Times New Roman" w:hAnsi="Times New Roman"/>
          <w:sz w:val="32"/>
          <w:szCs w:val="32"/>
          <w:lang w:val="en-US" w:eastAsia="zh-CN"/>
        </w:rPr>
        <w:t>针对存在的问题，我们将进一步科学设定绩效目标，加强预算执行管理。遵循先有预算、后有支出的原则，加强《新预算法》《政府会计制度》等学习培训，规范部门预算收支核算，加强财务管理和内部控制监督制度。进一步建立健全财务管理制度、固定资产管理制度，进一步强化财务监督体系。进一步加强对本单位绩效评价工作的重视，提高预算绩效申报工作质量，尽量采取定量完成，制定清晰、可衡量的绩效指标。</w:t>
      </w:r>
    </w:p>
    <w:p>
      <w:pPr>
        <w:pStyle w:val="19"/>
        <w:keepNext w:val="0"/>
        <w:keepLines w:val="0"/>
        <w:pageBreakBefore w:val="0"/>
        <w:widowControl w:val="0"/>
        <w:suppressAutoHyphens/>
        <w:kinsoku/>
        <w:wordWrap/>
        <w:overflowPunct/>
        <w:topLinePunct w:val="0"/>
        <w:autoSpaceDE/>
        <w:autoSpaceDN/>
        <w:bidi w:val="0"/>
        <w:spacing w:line="560" w:lineRule="exact"/>
        <w:ind w:leftChars="0" w:left="0" w:firstLineChars="200" w:firstLine="640"/>
        <w:textAlignment w:val="auto"/>
        <w:rPr>
          <w:rFonts w:cs="Times New Roman" w:hint="eastAsia"/>
          <w:color w:val="auto"/>
          <w:sz w:val="32"/>
          <w:szCs w:val="32"/>
          <w:lang w:val="zh-CN" w:eastAsia="zh-CN"/>
          <w:highlight w:val="auto"/>
        </w:rPr>
      </w:pPr>
      <w:r>
        <w:rPr>
          <w:rFonts w:ascii="Times New Roman" w:eastAsia="仿宋_GB2312" w:cs="Times New Roman" w:hAnsi="Times New Roman"/>
          <w:sz w:val="32"/>
          <w:szCs w:val="32"/>
          <w:lang w:val="en-US" w:eastAsia="zh-CN"/>
        </w:rPr>
        <w:t>建议：一是县业务主管部门多进行业务指导和培训；二是本局党委对该项工作进一步提高认识、加强领导，尤其需强化对所属所、队、室支出情况的绩效评价，进一步提高资金使用效率。</w:t>
      </w:r>
    </w:p>
    <w:p>
      <w:pPr>
        <w:pStyle w:val="19"/>
        <w:keepNext w:val="0"/>
        <w:keepLines w:val="0"/>
        <w:pageBreakBefore w:val="0"/>
        <w:widowControl w:val="0"/>
        <w:suppressAutoHyphens/>
        <w:kinsoku/>
        <w:wordWrap/>
        <w:overflowPunct/>
        <w:topLinePunct w:val="0"/>
        <w:autoSpaceDE/>
        <w:autoSpaceDN/>
        <w:bidi w:val="0"/>
        <w:spacing w:line="560" w:lineRule="exact"/>
        <w:textAlignment w:val="auto"/>
        <w:rPr>
          <w:rFonts w:cs="Times New Roman" w:hint="eastAsia"/>
          <w:color w:val="auto"/>
          <w:sz w:val="32"/>
          <w:szCs w:val="32"/>
          <w:lang w:val="zh-CN" w:eastAsia="zh-CN"/>
          <w:highlight w:val="auto"/>
        </w:rPr>
      </w:pPr>
    </w:p>
    <w:p>
      <w:pPr>
        <w:pStyle w:val="19"/>
        <w:keepNext w:val="0"/>
        <w:keepLines w:val="0"/>
        <w:pageBreakBefore w:val="0"/>
        <w:widowControl w:val="0"/>
        <w:suppressAutoHyphens/>
        <w:kinsoku/>
        <w:wordWrap/>
        <w:overflowPunct/>
        <w:topLinePunct w:val="0"/>
        <w:autoSpaceDE/>
        <w:autoSpaceDN/>
        <w:bidi w:val="0"/>
        <w:spacing w:line="560" w:lineRule="exact"/>
        <w:textAlignment w:val="auto"/>
        <w:rPr>
          <w:rFonts w:cs="Times New Roman" w:hint="eastAsia"/>
          <w:color w:val="auto"/>
          <w:sz w:val="32"/>
          <w:szCs w:val="32"/>
          <w:lang w:val="zh-CN" w:eastAsia="zh-CN"/>
          <w:highlight w:val="auto"/>
        </w:rPr>
      </w:pPr>
    </w:p>
    <w:p>
      <w:pPr>
        <w:pStyle w:val="19"/>
        <w:keepNext w:val="0"/>
        <w:keepLines w:val="0"/>
        <w:pageBreakBefore w:val="0"/>
        <w:widowControl w:val="0"/>
        <w:suppressAutoHyphens/>
        <w:kinsoku/>
        <w:wordWrap/>
        <w:overflowPunct/>
        <w:topLinePunct w:val="0"/>
        <w:autoSpaceDE/>
        <w:autoSpaceDN/>
        <w:bidi w:val="0"/>
        <w:spacing w:line="560" w:lineRule="exact"/>
        <w:textAlignment w:val="auto"/>
        <w:rPr>
          <w:rFonts w:cs="Times New Roman" w:hint="eastAsia"/>
          <w:color w:val="auto"/>
          <w:sz w:val="32"/>
          <w:szCs w:val="32"/>
          <w:lang w:val="zh-CN" w:eastAsia="zh-CN"/>
          <w:highlight w:val="auto"/>
        </w:rPr>
      </w:pPr>
    </w:p>
    <w:p>
      <w:pPr>
        <w:pStyle w:val="19"/>
        <w:keepNext w:val="0"/>
        <w:keepLines w:val="0"/>
        <w:pageBreakBefore w:val="0"/>
        <w:widowControl w:val="0"/>
        <w:suppressAutoHyphens/>
        <w:kinsoku/>
        <w:wordWrap/>
        <w:overflowPunct/>
        <w:topLinePunct w:val="0"/>
        <w:autoSpaceDE/>
        <w:autoSpaceDN/>
        <w:bidi w:val="0"/>
        <w:spacing w:line="560" w:lineRule="exact"/>
        <w:textAlignment w:val="auto"/>
        <w:rPr>
          <w:rFonts w:cs="Times New Roman" w:hint="eastAsia"/>
          <w:color w:val="auto"/>
          <w:sz w:val="32"/>
          <w:szCs w:val="32"/>
          <w:lang w:val="zh-CN" w:eastAsia="zh-CN"/>
          <w:highlight w:val="auto"/>
        </w:rPr>
      </w:pPr>
    </w:p>
    <w:p>
      <w:pPr>
        <w:pStyle w:val="19"/>
        <w:keepNext w:val="0"/>
        <w:keepLines w:val="0"/>
        <w:pageBreakBefore w:val="0"/>
        <w:widowControl w:val="0"/>
        <w:suppressAutoHyphens/>
        <w:kinsoku/>
        <w:wordWrap/>
        <w:overflowPunct/>
        <w:topLinePunct w:val="0"/>
        <w:autoSpaceDE/>
        <w:autoSpaceDN/>
        <w:bidi w:val="0"/>
        <w:spacing w:line="560" w:lineRule="exact"/>
        <w:textAlignment w:val="auto"/>
        <w:rPr>
          <w:rFonts w:cs="Times New Roman" w:hint="eastAsia"/>
          <w:color w:val="auto"/>
          <w:sz w:val="32"/>
          <w:szCs w:val="32"/>
          <w:lang w:val="zh-CN" w:eastAsia="zh-CN"/>
          <w:highlight w:val="auto"/>
        </w:rPr>
      </w:pPr>
    </w:p>
    <w:p>
      <w:pPr>
        <w:pStyle w:val="19"/>
        <w:keepNext w:val="0"/>
        <w:keepLines w:val="0"/>
        <w:pageBreakBefore w:val="0"/>
        <w:widowControl w:val="0"/>
        <w:suppressAutoHyphens/>
        <w:kinsoku/>
        <w:wordWrap/>
        <w:overflowPunct/>
        <w:topLinePunct w:val="0"/>
        <w:autoSpaceDE/>
        <w:autoSpaceDN/>
        <w:bidi w:val="0"/>
        <w:spacing w:line="560" w:lineRule="exact"/>
        <w:textAlignment w:val="auto"/>
        <w:rPr>
          <w:rFonts w:cs="Times New Roman" w:hint="eastAsia"/>
          <w:color w:val="auto"/>
          <w:sz w:val="32"/>
          <w:szCs w:val="32"/>
          <w:lang w:val="zh-CN" w:eastAsia="zh-CN"/>
          <w:highlight w:val="auto"/>
        </w:rPr>
      </w:pPr>
    </w:p>
    <w:p>
      <w:pPr>
        <w:pStyle w:val="19"/>
        <w:keepNext w:val="0"/>
        <w:keepLines w:val="0"/>
        <w:pageBreakBefore w:val="0"/>
        <w:widowControl w:val="0"/>
        <w:suppressAutoHyphens/>
        <w:kinsoku/>
        <w:wordWrap/>
        <w:overflowPunct/>
        <w:topLinePunct w:val="0"/>
        <w:autoSpaceDE/>
        <w:autoSpaceDN/>
        <w:bidi w:val="0"/>
        <w:spacing w:line="560" w:lineRule="exact"/>
        <w:textAlignment w:val="auto"/>
        <w:rPr>
          <w:rFonts w:cs="Times New Roman" w:hint="eastAsia"/>
          <w:color w:val="auto"/>
          <w:sz w:val="32"/>
          <w:szCs w:val="32"/>
          <w:lang w:val="zh-CN" w:eastAsia="zh-CN"/>
          <w:highlight w:val="auto"/>
        </w:rPr>
      </w:pPr>
    </w:p>
    <w:p>
      <w:pPr>
        <w:pStyle w:val="19"/>
        <w:keepNext w:val="0"/>
        <w:keepLines w:val="0"/>
        <w:pageBreakBefore w:val="0"/>
        <w:widowControl w:val="0"/>
        <w:suppressAutoHyphens/>
        <w:kinsoku/>
        <w:wordWrap/>
        <w:overflowPunct/>
        <w:topLinePunct w:val="0"/>
        <w:autoSpaceDE/>
        <w:autoSpaceDN/>
        <w:bidi w:val="0"/>
        <w:spacing w:line="560" w:lineRule="exact"/>
        <w:textAlignment w:val="auto"/>
        <w:rPr>
          <w:rFonts w:cs="Times New Roman" w:hint="eastAsia"/>
          <w:color w:val="auto"/>
          <w:sz w:val="32"/>
          <w:szCs w:val="32"/>
          <w:lang w:val="zh-CN" w:eastAsia="zh-CN"/>
          <w:highlight w:val="auto"/>
        </w:rPr>
      </w:pPr>
    </w:p>
    <w:p>
      <w:pPr>
        <w:pStyle w:val="19"/>
        <w:keepNext w:val="0"/>
        <w:keepLines w:val="0"/>
        <w:pageBreakBefore w:val="0"/>
        <w:widowControl w:val="0"/>
        <w:suppressAutoHyphens/>
        <w:kinsoku/>
        <w:wordWrap/>
        <w:overflowPunct/>
        <w:topLinePunct w:val="0"/>
        <w:autoSpaceDE/>
        <w:autoSpaceDN/>
        <w:bidi w:val="0"/>
        <w:spacing w:line="560" w:lineRule="exact"/>
        <w:textAlignment w:val="auto"/>
        <w:rPr>
          <w:rFonts w:cs="Times New Roman" w:hint="eastAsia"/>
          <w:color w:val="auto"/>
          <w:sz w:val="32"/>
          <w:szCs w:val="32"/>
          <w:lang w:val="zh-CN" w:eastAsia="zh-CN"/>
          <w:highlight w:val="auto"/>
        </w:rPr>
      </w:pPr>
    </w:p>
    <w:p>
      <w:pPr>
        <w:pStyle w:val="19"/>
        <w:keepNext w:val="0"/>
        <w:keepLines w:val="0"/>
        <w:pageBreakBefore w:val="0"/>
        <w:widowControl w:val="0"/>
        <w:suppressAutoHyphens/>
        <w:kinsoku/>
        <w:wordWrap/>
        <w:overflowPunct/>
        <w:topLinePunct w:val="0"/>
        <w:autoSpaceDE/>
        <w:autoSpaceDN/>
        <w:bidi w:val="0"/>
        <w:spacing w:line="560" w:lineRule="exact"/>
        <w:textAlignment w:val="auto"/>
        <w:rPr>
          <w:rFonts w:cs="Times New Roman" w:hint="eastAsia"/>
          <w:color w:val="auto"/>
          <w:sz w:val="32"/>
          <w:szCs w:val="32"/>
          <w:lang w:val="zh-CN" w:eastAsia="zh-CN"/>
          <w:highlight w:val="auto"/>
        </w:rPr>
      </w:pPr>
    </w:p>
    <w:p>
      <w:pPr>
        <w:pStyle w:val="19"/>
        <w:keepNext w:val="0"/>
        <w:keepLines w:val="0"/>
        <w:pageBreakBefore w:val="0"/>
        <w:widowControl w:val="0"/>
        <w:suppressAutoHyphens/>
        <w:kinsoku/>
        <w:wordWrap/>
        <w:overflowPunct/>
        <w:topLinePunct w:val="0"/>
        <w:autoSpaceDE/>
        <w:autoSpaceDN/>
        <w:bidi w:val="0"/>
        <w:spacing w:line="560" w:lineRule="exact"/>
        <w:textAlignment w:val="auto"/>
        <w:rPr>
          <w:rFonts w:cs="Times New Roman" w:hint="eastAsia"/>
          <w:color w:val="auto"/>
          <w:sz w:val="32"/>
          <w:szCs w:val="32"/>
          <w:lang w:val="zh-CN" w:eastAsia="zh-CN"/>
          <w:highlight w:val="auto"/>
        </w:rPr>
      </w:pPr>
    </w:p>
    <w:p>
      <w:pPr>
        <w:pStyle w:val="19"/>
        <w:keepNext w:val="0"/>
        <w:keepLines w:val="0"/>
        <w:pageBreakBefore w:val="0"/>
        <w:widowControl w:val="0"/>
        <w:suppressAutoHyphens/>
        <w:kinsoku/>
        <w:wordWrap/>
        <w:overflowPunct/>
        <w:topLinePunct w:val="0"/>
        <w:autoSpaceDE/>
        <w:autoSpaceDN/>
        <w:bidi w:val="0"/>
        <w:spacing w:line="560" w:lineRule="exact"/>
        <w:textAlignment w:val="auto"/>
        <w:rPr>
          <w:rFonts w:cs="Times New Roman" w:hint="eastAsia"/>
          <w:color w:val="auto"/>
          <w:sz w:val="32"/>
          <w:szCs w:val="32"/>
          <w:lang w:val="zh-CN" w:eastAsia="zh-CN"/>
          <w:highlight w:val="auto"/>
        </w:rPr>
      </w:pPr>
    </w:p>
    <w:p>
      <w:pPr>
        <w:pStyle w:val="19"/>
        <w:keepNext w:val="0"/>
        <w:keepLines w:val="0"/>
        <w:pageBreakBefore w:val="0"/>
        <w:widowControl w:val="0"/>
        <w:suppressAutoHyphens/>
        <w:kinsoku/>
        <w:wordWrap/>
        <w:overflowPunct/>
        <w:topLinePunct w:val="0"/>
        <w:autoSpaceDE/>
        <w:autoSpaceDN/>
        <w:bidi w:val="0"/>
        <w:spacing w:line="560" w:lineRule="exact"/>
        <w:textAlignment w:val="auto"/>
        <w:rPr>
          <w:rFonts w:cs="Times New Roman" w:hint="eastAsia"/>
          <w:color w:val="auto"/>
          <w:sz w:val="32"/>
          <w:szCs w:val="32"/>
          <w:lang w:val="zh-CN" w:eastAsia="zh-CN"/>
          <w:highlight w:val="auto"/>
        </w:rPr>
      </w:pPr>
    </w:p>
    <w:p>
      <w:pPr>
        <w:pStyle w:val="19"/>
        <w:keepNext w:val="0"/>
        <w:keepLines w:val="0"/>
        <w:pageBreakBefore w:val="0"/>
        <w:widowControl w:val="0"/>
        <w:suppressAutoHyphens/>
        <w:kinsoku/>
        <w:wordWrap/>
        <w:overflowPunct/>
        <w:topLinePunct w:val="0"/>
        <w:autoSpaceDE/>
        <w:autoSpaceDN/>
        <w:bidi w:val="0"/>
        <w:spacing w:line="560" w:lineRule="exact"/>
        <w:textAlignment w:val="auto"/>
        <w:rPr>
          <w:rFonts w:cs="Times New Roman" w:hint="eastAsia"/>
          <w:color w:val="auto"/>
          <w:sz w:val="32"/>
          <w:szCs w:val="32"/>
          <w:lang w:val="zh-CN" w:eastAsia="zh-CN"/>
          <w:highlight w:val="auto"/>
        </w:rPr>
      </w:pPr>
    </w:p>
    <w:p>
      <w:pPr>
        <w:pStyle w:val="19"/>
        <w:keepNext w:val="0"/>
        <w:keepLines w:val="0"/>
        <w:pageBreakBefore w:val="0"/>
        <w:widowControl w:val="0"/>
        <w:suppressAutoHyphens/>
        <w:kinsoku/>
        <w:wordWrap/>
        <w:overflowPunct/>
        <w:topLinePunct w:val="0"/>
        <w:autoSpaceDE/>
        <w:autoSpaceDN/>
        <w:bidi w:val="0"/>
        <w:spacing w:line="560" w:lineRule="exact"/>
        <w:textAlignment w:val="auto"/>
        <w:rPr>
          <w:rFonts w:cs="Times New Roman" w:hint="eastAsia"/>
          <w:color w:val="auto"/>
          <w:sz w:val="32"/>
          <w:szCs w:val="32"/>
          <w:lang w:val="zh-CN" w:eastAsia="zh-CN"/>
          <w:highlight w:val="auto"/>
        </w:rPr>
      </w:pPr>
    </w:p>
    <w:p>
      <w:pPr>
        <w:pStyle w:val="19"/>
        <w:keepNext w:val="0"/>
        <w:keepLines w:val="0"/>
        <w:pageBreakBefore w:val="0"/>
        <w:widowControl w:val="0"/>
        <w:suppressAutoHyphens/>
        <w:kinsoku/>
        <w:wordWrap/>
        <w:overflowPunct/>
        <w:topLinePunct w:val="0"/>
        <w:autoSpaceDE/>
        <w:autoSpaceDN/>
        <w:bidi w:val="0"/>
        <w:spacing w:line="560" w:lineRule="exact"/>
        <w:textAlignment w:val="auto"/>
        <w:rPr>
          <w:rFonts w:cs="Times New Roman" w:hint="eastAsia"/>
          <w:color w:val="auto"/>
          <w:sz w:val="32"/>
          <w:szCs w:val="32"/>
          <w:lang w:val="zh-CN" w:eastAsia="zh-CN"/>
          <w:highlight w:val="auto"/>
        </w:rPr>
      </w:pPr>
    </w:p>
    <w:p>
      <w:pPr>
        <w:pStyle w:val="19"/>
        <w:keepNext w:val="0"/>
        <w:keepLines w:val="0"/>
        <w:pageBreakBefore w:val="0"/>
        <w:widowControl w:val="0"/>
        <w:suppressAutoHyphens/>
        <w:kinsoku/>
        <w:wordWrap/>
        <w:overflowPunct/>
        <w:topLinePunct w:val="0"/>
        <w:autoSpaceDE/>
        <w:autoSpaceDN/>
        <w:bidi w:val="0"/>
        <w:spacing w:line="560" w:lineRule="exact"/>
        <w:textAlignment w:val="auto"/>
        <w:rPr>
          <w:rFonts w:cs="Times New Roman" w:hint="eastAsia"/>
          <w:color w:val="auto"/>
          <w:sz w:val="32"/>
          <w:szCs w:val="32"/>
          <w:lang w:val="zh-CN" w:eastAsia="zh-CN"/>
          <w:highlight w:val="auto"/>
        </w:rPr>
      </w:pPr>
    </w:p>
    <w:p>
      <w:pPr>
        <w:pStyle w:val="19"/>
        <w:keepNext w:val="0"/>
        <w:keepLines w:val="0"/>
        <w:pageBreakBefore w:val="0"/>
        <w:widowControl w:val="0"/>
        <w:suppressAutoHyphens/>
        <w:kinsoku/>
        <w:wordWrap/>
        <w:overflowPunct/>
        <w:topLinePunct w:val="0"/>
        <w:autoSpaceDE/>
        <w:autoSpaceDN/>
        <w:bidi w:val="0"/>
        <w:spacing w:line="560" w:lineRule="exact"/>
        <w:textAlignment w:val="auto"/>
        <w:rPr>
          <w:rFonts w:cs="Times New Roman" w:hint="eastAsia"/>
          <w:color w:val="auto"/>
          <w:sz w:val="32"/>
          <w:szCs w:val="32"/>
          <w:lang w:val="zh-CN" w:eastAsia="zh-CN"/>
          <w:highlight w:val="auto"/>
        </w:rPr>
      </w:pPr>
    </w:p>
    <w:p>
      <w:pPr>
        <w:pStyle w:val="19"/>
        <w:keepNext w:val="0"/>
        <w:keepLines w:val="0"/>
        <w:pageBreakBefore w:val="0"/>
        <w:widowControl w:val="0"/>
        <w:suppressAutoHyphens/>
        <w:kinsoku/>
        <w:wordWrap/>
        <w:overflowPunct/>
        <w:topLinePunct w:val="0"/>
        <w:autoSpaceDE/>
        <w:autoSpaceDN/>
        <w:bidi w:val="0"/>
        <w:spacing w:line="560" w:lineRule="exact"/>
        <w:textAlignment w:val="auto"/>
        <w:rPr>
          <w:rFonts w:cs="Times New Roman" w:hint="eastAsia"/>
          <w:color w:val="auto"/>
          <w:sz w:val="32"/>
          <w:szCs w:val="32"/>
          <w:lang w:val="zh-CN" w:eastAsia="zh-CN"/>
          <w:highlight w:val="auto"/>
        </w:rPr>
      </w:pPr>
      <w:r>
        <w:rPr>
          <w:rFonts w:cs="Times New Roman" w:hint="eastAsia"/>
          <w:color w:val="auto"/>
          <w:sz w:val="32"/>
          <w:szCs w:val="32"/>
          <w:lang w:val="zh-CN" w:eastAsia="zh-CN"/>
          <w:highlight w:val="auto"/>
        </w:rPr>
        <w:t>附表</w:t>
      </w:r>
      <w:r>
        <w:rPr>
          <w:rFonts w:cs="Times New Roman" w:hint="eastAsia"/>
          <w:color w:val="auto"/>
          <w:sz w:val="32"/>
          <w:szCs w:val="32"/>
          <w:lang w:val="en-US" w:eastAsia="zh-CN"/>
          <w:highlight w:val="auto"/>
        </w:rPr>
        <w:t>1</w:t>
      </w:r>
      <w:r>
        <w:rPr>
          <w:rFonts w:cs="Times New Roman" w:hint="eastAsia"/>
          <w:color w:val="auto"/>
          <w:sz w:val="32"/>
          <w:szCs w:val="32"/>
          <w:lang w:val="zh-CN" w:eastAsia="zh-CN"/>
          <w:highlight w:val="auto"/>
        </w:rPr>
        <w:t>：</w:t>
      </w:r>
    </w:p>
    <w:p>
      <w:pPr>
        <w:widowControl/>
        <w:suppressAutoHyphens/>
        <w:spacing w:line="600" w:lineRule="exact"/>
        <w:jc w:val="center"/>
        <w:textAlignment w:val="center"/>
        <w:rPr>
          <w:rFonts w:eastAsia="方正小标宋简体"/>
          <w:color w:val="000000"/>
          <w:kern w:val="0"/>
          <w:sz w:val="44"/>
          <w:szCs w:val="44"/>
        </w:rPr>
      </w:pPr>
      <w:r>
        <w:rPr>
          <w:rFonts w:eastAsia="方正小标宋简体" w:hint="eastAsia"/>
          <w:color w:val="000000"/>
          <w:kern w:val="0"/>
          <w:sz w:val="44"/>
          <w:szCs w:val="44"/>
        </w:rPr>
        <w:t>部门预算绩效自评打分表</w:t>
      </w:r>
    </w:p>
    <w:tbl>
      <w:tblPr>
        <w:jc w:val="center"/>
        <w:tblW w:w="10819"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1004"/>
        <w:gridCol w:w="1462"/>
        <w:gridCol w:w="1665"/>
        <w:gridCol w:w="720"/>
        <w:gridCol w:w="4734"/>
        <w:gridCol w:w="756"/>
        <w:gridCol w:w="478"/>
      </w:tblGrid>
      <w:tr>
        <w:trPr>
          <w:trHeight w:val="23"/>
        </w:trPr>
        <w:tc>
          <w:tcPr>
            <w:tcW w:w="4851"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center"/>
              <w:textAlignment w:val="center"/>
              <w:rPr>
                <w:rFonts w:ascii="黑体" w:eastAsia="黑体" w:cs="黑体"/>
                <w:color w:val="000000"/>
                <w:sz w:val="24"/>
              </w:rPr>
            </w:pPr>
            <w:r>
              <w:rPr>
                <w:rFonts w:ascii="黑体" w:eastAsia="黑体" w:cs="黑体" w:hint="eastAsia"/>
                <w:color w:val="000000"/>
                <w:kern w:val="0"/>
                <w:sz w:val="24"/>
              </w:rPr>
              <w:t>绩效评价指标指标分值</w:t>
            </w:r>
          </w:p>
        </w:tc>
        <w:tc>
          <w:tcPr>
            <w:tcW w:w="473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center"/>
              <w:textAlignment w:val="center"/>
              <w:rPr>
                <w:rFonts w:ascii="黑体" w:eastAsia="黑体" w:cs="黑体"/>
                <w:color w:val="000000"/>
                <w:sz w:val="24"/>
              </w:rPr>
            </w:pPr>
            <w:r>
              <w:rPr>
                <w:rFonts w:ascii="黑体" w:eastAsia="黑体" w:cs="黑体" w:hint="eastAsia"/>
                <w:color w:val="000000"/>
                <w:kern w:val="0"/>
                <w:sz w:val="24"/>
              </w:rPr>
              <w:t>指标解释</w:t>
            </w:r>
          </w:p>
        </w:tc>
        <w:tc>
          <w:tcPr>
            <w:tcW w:w="756" w:type="dxa"/>
            <w:vMerge w:val="restart"/>
            <w:tcBorders>
              <w:top w:val="single" w:sz="4" w:space="0" w:color="000000"/>
              <w:left w:val="single" w:sz="4" w:space="0" w:color="000000"/>
              <w:right w:val="single" w:sz="4" w:space="0" w:color="000000"/>
            </w:tcBorders>
            <w:shd w:val="clear" w:color="auto" w:fill="auto"/>
            <w:vAlign w:val="center"/>
          </w:tcPr>
          <w:p>
            <w:pPr>
              <w:widowControl/>
              <w:suppressAutoHyphens/>
              <w:spacing w:line="240" w:lineRule="exact"/>
              <w:jc w:val="center"/>
              <w:textAlignment w:val="center"/>
              <w:rPr>
                <w:rFonts w:ascii="黑体" w:eastAsia="黑体" w:cs="黑体"/>
                <w:color w:val="000000"/>
                <w:kern w:val="0"/>
                <w:sz w:val="24"/>
              </w:rPr>
            </w:pPr>
            <w:r>
              <w:rPr>
                <w:rFonts w:ascii="黑体" w:eastAsia="黑体" w:cs="黑体" w:hint="eastAsia"/>
                <w:color w:val="000000"/>
                <w:kern w:val="0"/>
                <w:sz w:val="24"/>
              </w:rPr>
              <w:t>自评得分</w:t>
            </w:r>
          </w:p>
        </w:tc>
        <w:tc>
          <w:tcPr>
            <w:tcW w:w="478" w:type="dxa"/>
            <w:vMerge w:val="restart"/>
            <w:tcBorders>
              <w:top w:val="single" w:sz="4" w:space="0" w:color="000000"/>
              <w:left w:val="single" w:sz="4" w:space="0" w:color="000000"/>
              <w:right w:val="single" w:sz="4" w:space="0" w:color="000000"/>
            </w:tcBorders>
            <w:shd w:val="clear" w:color="auto" w:fill="auto"/>
            <w:vAlign w:val="center"/>
          </w:tcPr>
          <w:p>
            <w:pPr>
              <w:widowControl/>
              <w:suppressAutoHyphens/>
              <w:spacing w:line="240" w:lineRule="exact"/>
              <w:jc w:val="center"/>
              <w:textAlignment w:val="center"/>
              <w:rPr>
                <w:rFonts w:ascii="黑体" w:eastAsia="黑体" w:cs="黑体"/>
                <w:color w:val="000000"/>
                <w:kern w:val="0"/>
                <w:sz w:val="24"/>
              </w:rPr>
            </w:pPr>
            <w:r>
              <w:rPr>
                <w:rFonts w:ascii="黑体" w:eastAsia="黑体" w:cs="黑体" w:hint="eastAsia"/>
                <w:color w:val="000000"/>
                <w:kern w:val="0"/>
                <w:sz w:val="24"/>
              </w:rPr>
              <w:t>备注</w:t>
            </w:r>
          </w:p>
        </w:tc>
      </w:tr>
      <w:tr>
        <w:trPr>
          <w:trHeight w:val="23"/>
        </w:trPr>
        <w:tc>
          <w:tcPr>
            <w:tcW w:w="1004" w:type="dxa"/>
            <w:tcBorders>
              <w:top w:val="single" w:sz="4" w:space="0" w:color="000000"/>
              <w:left w:val="single" w:sz="4" w:space="0" w:color="000000"/>
              <w:bottom w:val="single" w:sz="4" w:space="0" w:color="000000"/>
              <w:right w:val="nil"/>
            </w:tcBorders>
            <w:shd w:val="clear" w:color="auto" w:fill="auto"/>
            <w:vAlign w:val="center"/>
          </w:tcPr>
          <w:p>
            <w:pPr>
              <w:widowControl/>
              <w:suppressAutoHyphens/>
              <w:spacing w:line="240" w:lineRule="exact"/>
              <w:jc w:val="center"/>
              <w:textAlignment w:val="center"/>
              <w:rPr>
                <w:rFonts w:ascii="黑体" w:eastAsia="黑体" w:cs="黑体"/>
                <w:color w:val="000000"/>
                <w:sz w:val="24"/>
              </w:rPr>
            </w:pPr>
            <w:r>
              <w:rPr>
                <w:rFonts w:ascii="黑体" w:eastAsia="黑体" w:cs="黑体" w:hint="eastAsia"/>
                <w:color w:val="000000"/>
                <w:kern w:val="0"/>
                <w:sz w:val="24"/>
              </w:rPr>
              <w:t>一级指标</w:t>
            </w:r>
          </w:p>
        </w:tc>
        <w:tc>
          <w:tcPr>
            <w:tcW w:w="1462"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center"/>
              <w:textAlignment w:val="center"/>
              <w:rPr>
                <w:rFonts w:ascii="黑体" w:eastAsia="黑体" w:cs="黑体"/>
                <w:color w:val="000000"/>
                <w:sz w:val="24"/>
              </w:rPr>
            </w:pPr>
            <w:r>
              <w:rPr>
                <w:rFonts w:ascii="黑体" w:eastAsia="黑体" w:cs="黑体" w:hint="eastAsia"/>
                <w:color w:val="000000"/>
                <w:kern w:val="0"/>
                <w:sz w:val="24"/>
              </w:rPr>
              <w:t>二级指标</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center"/>
              <w:textAlignment w:val="center"/>
              <w:rPr>
                <w:rFonts w:ascii="黑体" w:eastAsia="黑体" w:cs="黑体"/>
                <w:color w:val="000000"/>
                <w:sz w:val="24"/>
              </w:rPr>
            </w:pPr>
            <w:r>
              <w:rPr>
                <w:rFonts w:ascii="黑体" w:eastAsia="黑体" w:cs="黑体" w:hint="eastAsia"/>
                <w:color w:val="000000"/>
                <w:kern w:val="0"/>
                <w:sz w:val="24"/>
              </w:rPr>
              <w:t>三级指标</w:t>
            </w:r>
          </w:p>
        </w:tc>
        <w:tc>
          <w:tcPr>
            <w:tcW w:w="7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center"/>
              <w:textAlignment w:val="center"/>
              <w:rPr>
                <w:rFonts w:ascii="黑体" w:eastAsia="黑体" w:cs="黑体"/>
                <w:color w:val="000000"/>
                <w:sz w:val="24"/>
              </w:rPr>
            </w:pPr>
            <w:r>
              <w:rPr>
                <w:rFonts w:ascii="黑体" w:eastAsia="黑体" w:cs="黑体" w:hint="eastAsia"/>
                <w:color w:val="000000"/>
                <w:kern w:val="0"/>
                <w:sz w:val="24"/>
              </w:rPr>
              <w:t>指标</w:t>
              <w:br/>
              <w:t>分值</w:t>
            </w:r>
          </w:p>
        </w:tc>
        <w:tc>
          <w:tcPr>
            <w:tcW w:w="473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756" w:type="dxa"/>
            <w:vMerge/>
            <w:tcBorders>
              <w:left w:val="single" w:sz="4" w:space="0" w:color="000000"/>
              <w:bottom w:val="single" w:sz="4" w:space="0" w:color="000000"/>
              <w:right w:val="single" w:sz="4" w:space="0" w:color="000000"/>
            </w:tcBorders>
            <w:shd w:val="clear" w:color="auto" w:fill="auto"/>
            <w:vAlign w:val="center"/>
          </w:tcPr>
          <w:p/>
        </w:tc>
        <w:tc>
          <w:tcPr>
            <w:tcW w:w="478" w:type="dxa"/>
            <w:vMerge/>
            <w:tcBorders>
              <w:left w:val="single" w:sz="4" w:space="0" w:color="000000"/>
              <w:bottom w:val="single" w:sz="4" w:space="0" w:color="000000"/>
              <w:right w:val="single" w:sz="4" w:space="0" w:color="000000"/>
            </w:tcBorders>
            <w:shd w:val="clear" w:color="auto" w:fill="auto"/>
            <w:vAlign w:val="center"/>
          </w:tcPr>
          <w:p/>
        </w:tc>
      </w:tr>
      <w:tr>
        <w:trPr>
          <w:trHeight w:val="23"/>
        </w:trPr>
        <w:tc>
          <w:tcPr>
            <w:tcW w:w="100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center"/>
              <w:textAlignment w:val="center"/>
              <w:rPr>
                <w:rFonts w:ascii="宋体" w:eastAsia="宋体" w:cs="宋体"/>
                <w:b/>
                <w:color w:val="000000"/>
                <w:sz w:val="24"/>
              </w:rPr>
            </w:pPr>
            <w:r>
              <w:rPr>
                <w:rFonts w:ascii="宋体" w:eastAsia="宋体" w:cs="宋体" w:hint="eastAsia"/>
                <w:b/>
                <w:color w:val="000000"/>
                <w:kern w:val="0"/>
                <w:sz w:val="24"/>
              </w:rPr>
              <w:t>总体绩效</w:t>
              <w:br/>
              <w:t>（65分）</w:t>
            </w:r>
          </w:p>
        </w:tc>
        <w:tc>
          <w:tcPr>
            <w:tcW w:w="1462"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center"/>
              <w:textAlignment w:val="center"/>
              <w:rPr>
                <w:rFonts w:ascii="宋体" w:eastAsia="宋体" w:cs="宋体"/>
                <w:b/>
                <w:color w:val="000000"/>
                <w:sz w:val="24"/>
              </w:rPr>
            </w:pPr>
            <w:r>
              <w:rPr>
                <w:rFonts w:ascii="宋体" w:eastAsia="宋体" w:cs="宋体" w:hint="eastAsia"/>
                <w:b/>
                <w:color w:val="000000"/>
                <w:kern w:val="0"/>
                <w:sz w:val="24"/>
              </w:rPr>
              <w:t>履职效能</w:t>
              <w:br/>
              <w:t>（15分）</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履职效果</w:t>
            </w:r>
          </w:p>
        </w:tc>
        <w:tc>
          <w:tcPr>
            <w:tcW w:w="720" w:type="dxa"/>
            <w:tcBorders>
              <w:top w:val="nil"/>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15</w:t>
            </w:r>
          </w:p>
        </w:tc>
        <w:tc>
          <w:tcPr>
            <w:tcW w:w="4734"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left"/>
              <w:textAlignment w:val="center"/>
              <w:rPr>
                <w:rFonts w:ascii="宋体" w:eastAsia="宋体" w:cs="宋体"/>
                <w:color w:val="000000"/>
                <w:sz w:val="24"/>
              </w:rPr>
            </w:pPr>
            <w:r>
              <w:rPr>
                <w:rFonts w:ascii="宋体" w:eastAsia="宋体" w:cs="宋体" w:hint="eastAsia"/>
                <w:color w:val="000000"/>
                <w:kern w:val="0"/>
                <w:sz w:val="24"/>
              </w:rPr>
              <w:t>部门整体绩效目标中选定3-5个核心职能目标，反映该项职能目标完成效果情况</w:t>
            </w:r>
          </w:p>
        </w:tc>
        <w:tc>
          <w:tcPr>
            <w:tcW w:w="756"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left"/>
              <w:textAlignment w:val="center"/>
              <w:rPr>
                <w:rFonts w:ascii="宋体" w:eastAsia="宋体" w:cs="宋体"/>
                <w:color w:val="000000"/>
                <w:kern w:val="0"/>
                <w:sz w:val="24"/>
                <w:lang w:val="en-US" w:eastAsia="zh-CN"/>
              </w:rPr>
            </w:pPr>
            <w:r>
              <w:rPr>
                <w:rFonts w:ascii="宋体" w:eastAsia="宋体" w:cs="宋体" w:hint="eastAsia"/>
                <w:color w:val="000000"/>
                <w:kern w:val="0"/>
                <w:sz w:val="24"/>
                <w:lang w:val="en-US" w:eastAsia="zh-CN"/>
              </w:rPr>
              <w:t>12</w:t>
            </w:r>
          </w:p>
        </w:tc>
        <w:tc>
          <w:tcPr>
            <w:tcW w:w="478"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left"/>
              <w:textAlignment w:val="center"/>
              <w:rPr>
                <w:rFonts w:ascii="宋体" w:eastAsia="宋体" w:cs="宋体"/>
                <w:color w:val="000000"/>
                <w:kern w:val="0"/>
                <w:sz w:val="24"/>
              </w:rPr>
            </w:pPr>
          </w:p>
        </w:tc>
      </w:tr>
      <w:tr>
        <w:trPr>
          <w:trHeight w:val="23"/>
        </w:trPr>
        <w:tc>
          <w:tcPr>
            <w:tcW w:w="100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6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center"/>
              <w:textAlignment w:val="center"/>
              <w:rPr>
                <w:rFonts w:ascii="宋体" w:eastAsia="宋体" w:cs="宋体"/>
                <w:b/>
                <w:color w:val="000000"/>
                <w:sz w:val="24"/>
              </w:rPr>
            </w:pPr>
            <w:r>
              <w:rPr>
                <w:rFonts w:ascii="宋体" w:eastAsia="宋体" w:cs="宋体" w:hint="eastAsia"/>
                <w:b/>
                <w:color w:val="000000"/>
                <w:kern w:val="0"/>
                <w:sz w:val="24"/>
              </w:rPr>
              <w:t>预算管理</w:t>
              <w:br/>
              <w:t>（25分）</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预算编制质量</w:t>
            </w:r>
          </w:p>
        </w:tc>
        <w:tc>
          <w:tcPr>
            <w:tcW w:w="7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8</w:t>
            </w:r>
          </w:p>
        </w:tc>
        <w:tc>
          <w:tcPr>
            <w:tcW w:w="4734"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left"/>
              <w:textAlignment w:val="center"/>
              <w:rPr>
                <w:rFonts w:ascii="宋体" w:eastAsia="宋体" w:cs="宋体"/>
                <w:color w:val="000000"/>
                <w:sz w:val="24"/>
              </w:rPr>
            </w:pPr>
            <w:r>
              <w:rPr>
                <w:rFonts w:ascii="宋体" w:eastAsia="宋体" w:cs="宋体" w:hint="eastAsia"/>
                <w:color w:val="000000"/>
                <w:kern w:val="0"/>
                <w:sz w:val="24"/>
              </w:rPr>
              <w:t>部门是否严格按要求编制年初部门预算，年初预算编制的科学性和准确性</w:t>
            </w:r>
          </w:p>
        </w:tc>
        <w:tc>
          <w:tcPr>
            <w:tcW w:w="756"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left"/>
              <w:textAlignment w:val="center"/>
              <w:rPr>
                <w:rFonts w:ascii="宋体" w:eastAsia="宋体" w:cs="宋体" w:hint="eastAsia"/>
                <w:color w:val="000000"/>
                <w:kern w:val="0"/>
                <w:sz w:val="24"/>
                <w:lang w:val="en-US" w:eastAsia="zh-CN"/>
              </w:rPr>
            </w:pPr>
            <w:r>
              <w:rPr>
                <w:rFonts w:ascii="宋体" w:eastAsia="宋体" w:cs="宋体" w:hint="eastAsia"/>
                <w:color w:val="000000"/>
                <w:kern w:val="0"/>
                <w:sz w:val="24"/>
                <w:lang w:val="en-US" w:eastAsia="zh-CN"/>
              </w:rPr>
              <w:t>7</w:t>
            </w:r>
          </w:p>
        </w:tc>
        <w:tc>
          <w:tcPr>
            <w:tcW w:w="478"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left"/>
              <w:textAlignment w:val="center"/>
              <w:rPr>
                <w:rFonts w:ascii="宋体" w:eastAsia="宋体" w:cs="宋体"/>
                <w:color w:val="000000"/>
                <w:kern w:val="0"/>
                <w:sz w:val="24"/>
              </w:rPr>
            </w:pPr>
          </w:p>
        </w:tc>
      </w:tr>
      <w:tr>
        <w:trPr>
          <w:trHeight w:val="23"/>
        </w:trPr>
        <w:tc>
          <w:tcPr>
            <w:tcW w:w="100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6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单位收入统筹</w:t>
            </w:r>
          </w:p>
        </w:tc>
        <w:tc>
          <w:tcPr>
            <w:tcW w:w="7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4</w:t>
            </w:r>
          </w:p>
        </w:tc>
        <w:tc>
          <w:tcPr>
            <w:tcW w:w="4734"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left"/>
              <w:textAlignment w:val="center"/>
              <w:rPr>
                <w:rFonts w:ascii="宋体" w:eastAsia="宋体" w:cs="宋体"/>
                <w:color w:val="000000"/>
                <w:sz w:val="24"/>
              </w:rPr>
            </w:pPr>
            <w:r>
              <w:rPr>
                <w:rFonts w:ascii="宋体" w:eastAsia="宋体" w:cs="宋体" w:hint="eastAsia"/>
                <w:color w:val="000000"/>
                <w:kern w:val="0"/>
                <w:sz w:val="24"/>
              </w:rPr>
              <w:t>部门统筹自有收入程度</w:t>
            </w:r>
          </w:p>
        </w:tc>
        <w:tc>
          <w:tcPr>
            <w:tcW w:w="756"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left"/>
              <w:textAlignment w:val="center"/>
              <w:rPr>
                <w:rFonts w:ascii="宋体" w:eastAsia="宋体" w:cs="宋体" w:hint="eastAsia"/>
                <w:color w:val="000000"/>
                <w:kern w:val="0"/>
                <w:sz w:val="24"/>
                <w:lang w:val="en-US" w:eastAsia="zh-CN"/>
              </w:rPr>
            </w:pPr>
            <w:r>
              <w:rPr>
                <w:rFonts w:ascii="宋体" w:eastAsia="宋体" w:cs="宋体" w:hint="eastAsia"/>
                <w:color w:val="000000"/>
                <w:kern w:val="0"/>
                <w:sz w:val="24"/>
                <w:lang w:val="en-US" w:eastAsia="zh-CN"/>
              </w:rPr>
              <w:t>4</w:t>
            </w:r>
          </w:p>
        </w:tc>
        <w:tc>
          <w:tcPr>
            <w:tcW w:w="478"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left"/>
              <w:textAlignment w:val="center"/>
              <w:rPr>
                <w:rFonts w:ascii="宋体" w:eastAsia="宋体" w:cs="宋体"/>
                <w:color w:val="000000"/>
                <w:kern w:val="0"/>
                <w:sz w:val="24"/>
              </w:rPr>
            </w:pPr>
          </w:p>
        </w:tc>
      </w:tr>
      <w:tr>
        <w:trPr>
          <w:trHeight w:val="23"/>
        </w:trPr>
        <w:tc>
          <w:tcPr>
            <w:tcW w:w="100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6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支出执行进度</w:t>
            </w:r>
          </w:p>
        </w:tc>
        <w:tc>
          <w:tcPr>
            <w:tcW w:w="7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6</w:t>
            </w:r>
          </w:p>
        </w:tc>
        <w:tc>
          <w:tcPr>
            <w:tcW w:w="4734"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left"/>
              <w:textAlignment w:val="center"/>
              <w:rPr>
                <w:rFonts w:ascii="宋体" w:eastAsia="宋体" w:cs="宋体"/>
                <w:color w:val="000000"/>
                <w:sz w:val="24"/>
              </w:rPr>
            </w:pPr>
            <w:r>
              <w:rPr>
                <w:rFonts w:ascii="宋体" w:eastAsia="宋体" w:cs="宋体" w:hint="eastAsia"/>
                <w:color w:val="000000"/>
                <w:kern w:val="0"/>
                <w:sz w:val="24"/>
              </w:rPr>
              <w:t>部门1至6月、1至10月预算执行情况</w:t>
            </w:r>
          </w:p>
        </w:tc>
        <w:tc>
          <w:tcPr>
            <w:tcW w:w="756"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left"/>
              <w:textAlignment w:val="center"/>
              <w:rPr>
                <w:rFonts w:ascii="宋体" w:eastAsia="宋体" w:cs="宋体" w:hint="eastAsia"/>
                <w:color w:val="000000"/>
                <w:kern w:val="0"/>
                <w:sz w:val="24"/>
                <w:lang w:val="en-US" w:eastAsia="zh-CN"/>
              </w:rPr>
            </w:pPr>
            <w:r>
              <w:rPr>
                <w:rFonts w:ascii="宋体" w:eastAsia="宋体" w:cs="宋体" w:hint="eastAsia"/>
                <w:color w:val="000000"/>
                <w:kern w:val="0"/>
                <w:sz w:val="24"/>
                <w:lang w:val="en-US" w:eastAsia="zh-CN"/>
              </w:rPr>
              <w:t>4</w:t>
            </w:r>
          </w:p>
        </w:tc>
        <w:tc>
          <w:tcPr>
            <w:tcW w:w="478"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left"/>
              <w:textAlignment w:val="center"/>
              <w:rPr>
                <w:rFonts w:ascii="宋体" w:eastAsia="宋体" w:cs="宋体"/>
                <w:color w:val="000000"/>
                <w:kern w:val="0"/>
                <w:sz w:val="24"/>
              </w:rPr>
            </w:pPr>
          </w:p>
        </w:tc>
      </w:tr>
      <w:tr>
        <w:trPr>
          <w:trHeight w:val="23"/>
        </w:trPr>
        <w:tc>
          <w:tcPr>
            <w:tcW w:w="100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6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预算年终结余</w:t>
            </w:r>
          </w:p>
        </w:tc>
        <w:tc>
          <w:tcPr>
            <w:tcW w:w="7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2</w:t>
            </w:r>
          </w:p>
        </w:tc>
        <w:tc>
          <w:tcPr>
            <w:tcW w:w="4734"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left"/>
              <w:textAlignment w:val="center"/>
              <w:rPr>
                <w:rFonts w:ascii="宋体" w:eastAsia="宋体" w:cs="宋体"/>
                <w:color w:val="000000"/>
                <w:sz w:val="24"/>
              </w:rPr>
            </w:pPr>
            <w:r>
              <w:rPr>
                <w:rFonts w:ascii="宋体" w:eastAsia="宋体" w:cs="宋体" w:hint="eastAsia"/>
                <w:color w:val="000000"/>
                <w:kern w:val="0"/>
                <w:sz w:val="24"/>
              </w:rPr>
              <w:t>部门整体年终预算结余情况</w:t>
            </w:r>
          </w:p>
        </w:tc>
        <w:tc>
          <w:tcPr>
            <w:tcW w:w="756"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left"/>
              <w:textAlignment w:val="center"/>
              <w:rPr>
                <w:rFonts w:ascii="宋体" w:eastAsia="宋体" w:cs="宋体" w:hint="eastAsia"/>
                <w:color w:val="000000"/>
                <w:kern w:val="0"/>
                <w:sz w:val="24"/>
                <w:lang w:val="en-US" w:eastAsia="zh-CN"/>
              </w:rPr>
            </w:pPr>
            <w:r>
              <w:rPr>
                <w:rFonts w:ascii="宋体" w:eastAsia="宋体" w:cs="宋体" w:hint="eastAsia"/>
                <w:color w:val="000000"/>
                <w:kern w:val="0"/>
                <w:sz w:val="24"/>
                <w:lang w:val="en-US" w:eastAsia="zh-CN"/>
              </w:rPr>
              <w:t>2</w:t>
            </w:r>
          </w:p>
        </w:tc>
        <w:tc>
          <w:tcPr>
            <w:tcW w:w="478"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left"/>
              <w:textAlignment w:val="center"/>
              <w:rPr>
                <w:rFonts w:ascii="宋体" w:eastAsia="宋体" w:cs="宋体"/>
                <w:color w:val="000000"/>
                <w:kern w:val="0"/>
                <w:sz w:val="24"/>
              </w:rPr>
            </w:pPr>
          </w:p>
        </w:tc>
      </w:tr>
      <w:tr>
        <w:trPr>
          <w:trHeight w:val="23"/>
        </w:trPr>
        <w:tc>
          <w:tcPr>
            <w:tcW w:w="100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6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严控一般性支出</w:t>
            </w:r>
          </w:p>
        </w:tc>
        <w:tc>
          <w:tcPr>
            <w:tcW w:w="7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5</w:t>
            </w:r>
          </w:p>
        </w:tc>
        <w:tc>
          <w:tcPr>
            <w:tcW w:w="4734"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left"/>
              <w:textAlignment w:val="center"/>
              <w:rPr>
                <w:rFonts w:ascii="宋体" w:eastAsia="宋体" w:cs="宋体"/>
                <w:color w:val="000000"/>
                <w:sz w:val="24"/>
              </w:rPr>
            </w:pPr>
            <w:r>
              <w:rPr>
                <w:rFonts w:ascii="宋体" w:eastAsia="宋体" w:cs="宋体" w:hint="eastAsia"/>
                <w:color w:val="000000"/>
                <w:kern w:val="0"/>
                <w:sz w:val="24"/>
              </w:rPr>
              <w:t>部门严控“三公”经费、会议、培训、差旅、办节办展、办公设备购置、信息网络及软件购置更新、课题经费等8项一般性支出情况</w:t>
            </w:r>
          </w:p>
        </w:tc>
        <w:tc>
          <w:tcPr>
            <w:tcW w:w="756"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left"/>
              <w:textAlignment w:val="center"/>
              <w:rPr>
                <w:rFonts w:ascii="宋体" w:eastAsia="宋体" w:cs="宋体" w:hint="eastAsia"/>
                <w:color w:val="000000"/>
                <w:kern w:val="0"/>
                <w:sz w:val="24"/>
                <w:lang w:val="en-US" w:eastAsia="zh-CN"/>
              </w:rPr>
            </w:pPr>
            <w:r>
              <w:rPr>
                <w:rFonts w:ascii="宋体" w:eastAsia="宋体" w:cs="宋体" w:hint="eastAsia"/>
                <w:color w:val="000000"/>
                <w:kern w:val="0"/>
                <w:sz w:val="24"/>
                <w:lang w:val="en-US" w:eastAsia="zh-CN"/>
              </w:rPr>
              <w:t>4</w:t>
            </w:r>
          </w:p>
        </w:tc>
        <w:tc>
          <w:tcPr>
            <w:tcW w:w="478"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left"/>
              <w:textAlignment w:val="center"/>
              <w:rPr>
                <w:rFonts w:ascii="宋体" w:eastAsia="宋体" w:cs="宋体"/>
                <w:color w:val="000000"/>
                <w:kern w:val="0"/>
                <w:sz w:val="24"/>
              </w:rPr>
            </w:pPr>
          </w:p>
        </w:tc>
      </w:tr>
      <w:tr>
        <w:trPr>
          <w:trHeight w:val="23"/>
        </w:trPr>
        <w:tc>
          <w:tcPr>
            <w:tcW w:w="100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6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center"/>
              <w:textAlignment w:val="center"/>
              <w:rPr>
                <w:rFonts w:ascii="宋体" w:eastAsia="宋体" w:cs="宋体"/>
                <w:b/>
                <w:color w:val="000000"/>
                <w:sz w:val="24"/>
              </w:rPr>
            </w:pPr>
            <w:r>
              <w:rPr>
                <w:rFonts w:ascii="宋体" w:eastAsia="宋体" w:cs="宋体" w:hint="eastAsia"/>
                <w:b/>
                <w:color w:val="000000"/>
                <w:kern w:val="0"/>
                <w:sz w:val="24"/>
              </w:rPr>
              <w:t>财务管理</w:t>
              <w:br/>
              <w:t>（10分）</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财务管理制度</w:t>
            </w:r>
          </w:p>
        </w:tc>
        <w:tc>
          <w:tcPr>
            <w:tcW w:w="7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4</w:t>
            </w:r>
          </w:p>
        </w:tc>
        <w:tc>
          <w:tcPr>
            <w:tcW w:w="4734"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left"/>
              <w:textAlignment w:val="center"/>
              <w:rPr>
                <w:rFonts w:ascii="宋体" w:eastAsia="宋体" w:cs="宋体"/>
                <w:color w:val="000000"/>
                <w:sz w:val="24"/>
              </w:rPr>
            </w:pPr>
            <w:r>
              <w:rPr>
                <w:rFonts w:ascii="宋体" w:eastAsia="宋体" w:cs="宋体" w:hint="eastAsia"/>
                <w:color w:val="000000"/>
                <w:kern w:val="0"/>
                <w:sz w:val="24"/>
              </w:rPr>
              <w:t>部门财务管理制度建立情况</w:t>
            </w:r>
          </w:p>
        </w:tc>
        <w:tc>
          <w:tcPr>
            <w:tcW w:w="756"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left"/>
              <w:textAlignment w:val="center"/>
              <w:rPr>
                <w:rFonts w:ascii="宋体" w:eastAsia="宋体" w:cs="宋体" w:hint="eastAsia"/>
                <w:color w:val="000000"/>
                <w:kern w:val="0"/>
                <w:sz w:val="24"/>
                <w:lang w:val="en-US" w:eastAsia="zh-CN"/>
              </w:rPr>
            </w:pPr>
            <w:r>
              <w:rPr>
                <w:rFonts w:ascii="宋体" w:eastAsia="宋体" w:cs="宋体" w:hint="eastAsia"/>
                <w:color w:val="000000"/>
                <w:kern w:val="0"/>
                <w:sz w:val="24"/>
                <w:lang w:val="en-US" w:eastAsia="zh-CN"/>
              </w:rPr>
              <w:t>4</w:t>
            </w:r>
          </w:p>
        </w:tc>
        <w:tc>
          <w:tcPr>
            <w:tcW w:w="478"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left"/>
              <w:textAlignment w:val="center"/>
              <w:rPr>
                <w:rFonts w:ascii="宋体" w:eastAsia="宋体" w:cs="宋体"/>
                <w:color w:val="000000"/>
                <w:kern w:val="0"/>
                <w:sz w:val="24"/>
              </w:rPr>
            </w:pPr>
          </w:p>
        </w:tc>
      </w:tr>
      <w:tr>
        <w:trPr>
          <w:trHeight w:val="23"/>
        </w:trPr>
        <w:tc>
          <w:tcPr>
            <w:tcW w:w="100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6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财务岗位设置</w:t>
            </w:r>
          </w:p>
        </w:tc>
        <w:tc>
          <w:tcPr>
            <w:tcW w:w="7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2</w:t>
            </w:r>
          </w:p>
        </w:tc>
        <w:tc>
          <w:tcPr>
            <w:tcW w:w="4734"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left"/>
              <w:textAlignment w:val="center"/>
              <w:rPr>
                <w:rFonts w:ascii="宋体" w:eastAsia="宋体" w:cs="宋体"/>
                <w:color w:val="000000"/>
                <w:sz w:val="24"/>
              </w:rPr>
            </w:pPr>
            <w:r>
              <w:rPr>
                <w:rFonts w:ascii="宋体" w:eastAsia="宋体" w:cs="宋体" w:hint="eastAsia"/>
                <w:color w:val="000000"/>
                <w:kern w:val="0"/>
                <w:sz w:val="24"/>
              </w:rPr>
              <w:t>部门财务岗位设置是否符合相关财务管理制度要求</w:t>
            </w:r>
          </w:p>
        </w:tc>
        <w:tc>
          <w:tcPr>
            <w:tcW w:w="756"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left"/>
              <w:textAlignment w:val="center"/>
              <w:rPr>
                <w:rFonts w:ascii="宋体" w:eastAsia="宋体" w:cs="宋体" w:hint="eastAsia"/>
                <w:color w:val="000000"/>
                <w:kern w:val="0"/>
                <w:sz w:val="24"/>
                <w:lang w:val="en-US" w:eastAsia="zh-CN"/>
              </w:rPr>
            </w:pPr>
            <w:r>
              <w:rPr>
                <w:rFonts w:ascii="宋体" w:eastAsia="宋体" w:cs="宋体" w:hint="eastAsia"/>
                <w:color w:val="000000"/>
                <w:kern w:val="0"/>
                <w:sz w:val="24"/>
                <w:lang w:val="en-US" w:eastAsia="zh-CN"/>
              </w:rPr>
              <w:t>2</w:t>
            </w:r>
          </w:p>
        </w:tc>
        <w:tc>
          <w:tcPr>
            <w:tcW w:w="478"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left"/>
              <w:textAlignment w:val="center"/>
              <w:rPr>
                <w:rFonts w:ascii="宋体" w:eastAsia="宋体" w:cs="宋体"/>
                <w:color w:val="000000"/>
                <w:kern w:val="0"/>
                <w:sz w:val="24"/>
              </w:rPr>
            </w:pPr>
          </w:p>
        </w:tc>
      </w:tr>
      <w:tr>
        <w:trPr>
          <w:trHeight w:val="23"/>
        </w:trPr>
        <w:tc>
          <w:tcPr>
            <w:tcW w:w="100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6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资金使用规范</w:t>
            </w:r>
          </w:p>
        </w:tc>
        <w:tc>
          <w:tcPr>
            <w:tcW w:w="7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4</w:t>
            </w:r>
          </w:p>
        </w:tc>
        <w:tc>
          <w:tcPr>
            <w:tcW w:w="4734"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left"/>
              <w:textAlignment w:val="center"/>
              <w:rPr>
                <w:rFonts w:ascii="宋体" w:eastAsia="宋体" w:cs="宋体"/>
                <w:color w:val="000000"/>
                <w:sz w:val="24"/>
              </w:rPr>
            </w:pPr>
            <w:r>
              <w:rPr>
                <w:rFonts w:ascii="宋体" w:eastAsia="宋体" w:cs="宋体" w:hint="eastAsia"/>
                <w:color w:val="000000"/>
                <w:kern w:val="0"/>
                <w:sz w:val="24"/>
              </w:rPr>
              <w:t>部门资金使用是否符合相关财务管理制度规定</w:t>
            </w:r>
          </w:p>
        </w:tc>
        <w:tc>
          <w:tcPr>
            <w:tcW w:w="756"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left"/>
              <w:textAlignment w:val="center"/>
              <w:rPr>
                <w:rFonts w:ascii="宋体" w:eastAsia="宋体" w:cs="宋体" w:hint="eastAsia"/>
                <w:color w:val="000000"/>
                <w:kern w:val="0"/>
                <w:sz w:val="24"/>
                <w:lang w:val="en-US" w:eastAsia="zh-CN"/>
              </w:rPr>
            </w:pPr>
            <w:r>
              <w:rPr>
                <w:rFonts w:ascii="宋体" w:eastAsia="宋体" w:cs="宋体" w:hint="eastAsia"/>
                <w:color w:val="000000"/>
                <w:kern w:val="0"/>
                <w:sz w:val="24"/>
                <w:lang w:val="en-US" w:eastAsia="zh-CN"/>
              </w:rPr>
              <w:t>4</w:t>
            </w:r>
          </w:p>
        </w:tc>
        <w:tc>
          <w:tcPr>
            <w:tcW w:w="478"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left"/>
              <w:textAlignment w:val="center"/>
              <w:rPr>
                <w:rFonts w:ascii="宋体" w:eastAsia="宋体" w:cs="宋体"/>
                <w:color w:val="000000"/>
                <w:kern w:val="0"/>
                <w:sz w:val="24"/>
              </w:rPr>
            </w:pPr>
          </w:p>
        </w:tc>
      </w:tr>
      <w:tr>
        <w:trPr>
          <w:trHeight w:val="23"/>
        </w:trPr>
        <w:tc>
          <w:tcPr>
            <w:tcW w:w="100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6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center"/>
              <w:textAlignment w:val="center"/>
              <w:rPr>
                <w:rFonts w:ascii="宋体" w:eastAsia="宋体" w:cs="宋体"/>
                <w:b/>
                <w:color w:val="000000"/>
                <w:sz w:val="24"/>
              </w:rPr>
            </w:pPr>
            <w:r>
              <w:rPr>
                <w:rFonts w:ascii="宋体" w:eastAsia="宋体" w:cs="宋体" w:hint="eastAsia"/>
                <w:b/>
                <w:color w:val="000000"/>
                <w:kern w:val="0"/>
                <w:sz w:val="24"/>
              </w:rPr>
              <w:t>资产管理</w:t>
              <w:br/>
              <w:t>（9分）</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人均资产变化率</w:t>
            </w:r>
          </w:p>
        </w:tc>
        <w:tc>
          <w:tcPr>
            <w:tcW w:w="7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3</w:t>
            </w:r>
          </w:p>
        </w:tc>
        <w:tc>
          <w:tcPr>
            <w:tcW w:w="4734"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left"/>
              <w:textAlignment w:val="center"/>
              <w:rPr>
                <w:rFonts w:ascii="宋体" w:eastAsia="宋体" w:cs="宋体"/>
                <w:color w:val="000000"/>
                <w:sz w:val="24"/>
              </w:rPr>
            </w:pPr>
            <w:r>
              <w:rPr>
                <w:rFonts w:ascii="宋体" w:eastAsia="宋体" w:cs="宋体" w:hint="eastAsia"/>
                <w:color w:val="000000"/>
                <w:kern w:val="0"/>
                <w:sz w:val="24"/>
              </w:rPr>
              <w:t>部门人均资产变化情况</w:t>
            </w:r>
          </w:p>
        </w:tc>
        <w:tc>
          <w:tcPr>
            <w:tcW w:w="756"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left"/>
              <w:textAlignment w:val="center"/>
              <w:rPr>
                <w:rFonts w:ascii="宋体" w:eastAsia="宋体" w:cs="宋体" w:hint="eastAsia"/>
                <w:color w:val="000000"/>
                <w:kern w:val="0"/>
                <w:sz w:val="24"/>
                <w:lang w:val="en-US" w:eastAsia="zh-CN"/>
              </w:rPr>
            </w:pPr>
            <w:r>
              <w:rPr>
                <w:rFonts w:ascii="宋体" w:eastAsia="宋体" w:cs="宋体" w:hint="eastAsia"/>
                <w:color w:val="000000"/>
                <w:kern w:val="0"/>
                <w:sz w:val="24"/>
                <w:lang w:val="en-US" w:eastAsia="zh-CN"/>
              </w:rPr>
              <w:t>3</w:t>
            </w:r>
          </w:p>
        </w:tc>
        <w:tc>
          <w:tcPr>
            <w:tcW w:w="478"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left"/>
              <w:textAlignment w:val="center"/>
              <w:rPr>
                <w:rFonts w:ascii="宋体" w:eastAsia="宋体" w:cs="宋体"/>
                <w:color w:val="000000"/>
                <w:kern w:val="0"/>
                <w:sz w:val="24"/>
              </w:rPr>
            </w:pPr>
          </w:p>
        </w:tc>
      </w:tr>
      <w:tr>
        <w:trPr>
          <w:trHeight w:val="23"/>
        </w:trPr>
        <w:tc>
          <w:tcPr>
            <w:tcW w:w="100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6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资产利用率</w:t>
            </w:r>
          </w:p>
        </w:tc>
        <w:tc>
          <w:tcPr>
            <w:tcW w:w="7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3</w:t>
            </w:r>
          </w:p>
        </w:tc>
        <w:tc>
          <w:tcPr>
            <w:tcW w:w="4734"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left"/>
              <w:textAlignment w:val="center"/>
              <w:rPr>
                <w:rFonts w:ascii="宋体" w:eastAsia="宋体" w:cs="宋体"/>
                <w:color w:val="000000"/>
                <w:sz w:val="24"/>
              </w:rPr>
            </w:pPr>
            <w:r>
              <w:rPr>
                <w:rFonts w:ascii="宋体" w:eastAsia="宋体" w:cs="宋体" w:hint="eastAsia"/>
                <w:color w:val="000000"/>
                <w:kern w:val="0"/>
                <w:sz w:val="24"/>
              </w:rPr>
              <w:t>部门资产超最低使用年限情况</w:t>
            </w:r>
          </w:p>
        </w:tc>
        <w:tc>
          <w:tcPr>
            <w:tcW w:w="756"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left"/>
              <w:textAlignment w:val="center"/>
              <w:rPr>
                <w:rFonts w:ascii="宋体" w:eastAsia="宋体" w:cs="宋体" w:hint="eastAsia"/>
                <w:color w:val="000000"/>
                <w:kern w:val="0"/>
                <w:sz w:val="24"/>
                <w:lang w:val="en-US" w:eastAsia="zh-CN"/>
              </w:rPr>
            </w:pPr>
            <w:r>
              <w:rPr>
                <w:rFonts w:ascii="宋体" w:eastAsia="宋体" w:cs="宋体" w:hint="eastAsia"/>
                <w:color w:val="000000"/>
                <w:kern w:val="0"/>
                <w:sz w:val="24"/>
                <w:lang w:val="en-US" w:eastAsia="zh-CN"/>
              </w:rPr>
              <w:t>3</w:t>
            </w:r>
          </w:p>
        </w:tc>
        <w:tc>
          <w:tcPr>
            <w:tcW w:w="478"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left"/>
              <w:textAlignment w:val="center"/>
              <w:rPr>
                <w:rFonts w:ascii="宋体" w:eastAsia="宋体" w:cs="宋体"/>
                <w:color w:val="000000"/>
                <w:kern w:val="0"/>
                <w:sz w:val="24"/>
              </w:rPr>
            </w:pPr>
          </w:p>
        </w:tc>
      </w:tr>
      <w:tr>
        <w:trPr>
          <w:trHeight w:val="23"/>
        </w:trPr>
        <w:tc>
          <w:tcPr>
            <w:tcW w:w="100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center"/>
              <w:textAlignment w:val="center"/>
              <w:rPr>
                <w:rFonts w:ascii="宋体" w:eastAsia="宋体" w:cs="宋体"/>
                <w:b/>
                <w:color w:val="000000"/>
                <w:sz w:val="24"/>
              </w:rPr>
            </w:pPr>
            <w:r>
              <w:rPr>
                <w:rFonts w:ascii="宋体" w:eastAsia="宋体" w:cs="宋体" w:hint="eastAsia"/>
                <w:b/>
                <w:color w:val="000000"/>
                <w:kern w:val="0"/>
                <w:sz w:val="24"/>
              </w:rPr>
              <w:t>总体绩效</w:t>
              <w:br/>
              <w:t>（65分）</w:t>
            </w:r>
          </w:p>
        </w:tc>
        <w:tc>
          <w:tcPr>
            <w:tcW w:w="1462"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center"/>
              <w:textAlignment w:val="center"/>
              <w:rPr>
                <w:rFonts w:ascii="宋体" w:eastAsia="宋体" w:cs="宋体"/>
                <w:b/>
                <w:color w:val="000000"/>
                <w:sz w:val="24"/>
              </w:rPr>
            </w:pPr>
            <w:r>
              <w:rPr>
                <w:rFonts w:ascii="宋体" w:eastAsia="宋体" w:cs="宋体" w:hint="eastAsia"/>
                <w:b/>
                <w:color w:val="000000"/>
                <w:kern w:val="0"/>
                <w:sz w:val="24"/>
              </w:rPr>
              <w:t>资产管理</w:t>
              <w:br/>
              <w:t>（9分）</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资产盘活率</w:t>
            </w:r>
          </w:p>
        </w:tc>
        <w:tc>
          <w:tcPr>
            <w:tcW w:w="7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3</w:t>
            </w:r>
          </w:p>
        </w:tc>
        <w:tc>
          <w:tcPr>
            <w:tcW w:w="4734"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left"/>
              <w:textAlignment w:val="center"/>
              <w:rPr>
                <w:rFonts w:ascii="宋体" w:eastAsia="宋体" w:cs="宋体"/>
                <w:color w:val="000000"/>
                <w:sz w:val="24"/>
              </w:rPr>
            </w:pPr>
            <w:r>
              <w:rPr>
                <w:rFonts w:ascii="宋体" w:eastAsia="宋体" w:cs="宋体" w:hint="eastAsia"/>
                <w:color w:val="000000"/>
                <w:kern w:val="0"/>
                <w:sz w:val="24"/>
              </w:rPr>
              <w:t>部门闲置一年以上的资产盘活情况</w:t>
            </w:r>
          </w:p>
        </w:tc>
        <w:tc>
          <w:tcPr>
            <w:tcW w:w="756"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left"/>
              <w:textAlignment w:val="center"/>
              <w:rPr>
                <w:rFonts w:ascii="宋体" w:eastAsia="宋体" w:cs="宋体" w:hint="eastAsia"/>
                <w:color w:val="000000"/>
                <w:kern w:val="0"/>
                <w:sz w:val="24"/>
                <w:lang w:val="en-US" w:eastAsia="zh-CN"/>
              </w:rPr>
            </w:pPr>
            <w:r>
              <w:rPr>
                <w:rFonts w:ascii="宋体" w:eastAsia="宋体" w:cs="宋体" w:hint="eastAsia"/>
                <w:color w:val="000000"/>
                <w:kern w:val="0"/>
                <w:sz w:val="24"/>
                <w:lang w:val="en-US" w:eastAsia="zh-CN"/>
              </w:rPr>
              <w:t>3</w:t>
            </w:r>
          </w:p>
        </w:tc>
        <w:tc>
          <w:tcPr>
            <w:tcW w:w="478"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left"/>
              <w:textAlignment w:val="center"/>
              <w:rPr>
                <w:rFonts w:ascii="宋体" w:eastAsia="宋体" w:cs="宋体"/>
                <w:color w:val="000000"/>
                <w:kern w:val="0"/>
                <w:sz w:val="24"/>
              </w:rPr>
            </w:pPr>
          </w:p>
        </w:tc>
      </w:tr>
      <w:tr>
        <w:trPr>
          <w:trHeight w:val="23"/>
        </w:trPr>
        <w:tc>
          <w:tcPr>
            <w:tcW w:w="100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6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center"/>
              <w:textAlignment w:val="center"/>
              <w:rPr>
                <w:rFonts w:ascii="宋体" w:eastAsia="宋体" w:cs="宋体"/>
                <w:b/>
                <w:color w:val="000000"/>
                <w:sz w:val="24"/>
              </w:rPr>
            </w:pPr>
            <w:r>
              <w:rPr>
                <w:rFonts w:ascii="宋体" w:eastAsia="宋体" w:cs="宋体" w:hint="eastAsia"/>
                <w:b/>
                <w:color w:val="000000"/>
                <w:kern w:val="0"/>
                <w:sz w:val="24"/>
              </w:rPr>
              <w:t>采购管理</w:t>
              <w:br/>
              <w:t>（6分）</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支持中小企业发展</w:t>
            </w:r>
          </w:p>
        </w:tc>
        <w:tc>
          <w:tcPr>
            <w:tcW w:w="7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3</w:t>
            </w:r>
          </w:p>
        </w:tc>
        <w:tc>
          <w:tcPr>
            <w:tcW w:w="4734"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left"/>
              <w:textAlignment w:val="center"/>
              <w:rPr>
                <w:rFonts w:ascii="宋体" w:eastAsia="宋体" w:cs="宋体"/>
                <w:color w:val="000000"/>
                <w:sz w:val="24"/>
              </w:rPr>
            </w:pPr>
            <w:r>
              <w:rPr>
                <w:rFonts w:ascii="宋体" w:eastAsia="宋体" w:cs="宋体" w:hint="eastAsia"/>
                <w:color w:val="000000"/>
                <w:kern w:val="0"/>
                <w:sz w:val="24"/>
              </w:rPr>
              <w:t>部门是否严格执行政府采购促进中小企业发展相关管理办法</w:t>
            </w:r>
          </w:p>
        </w:tc>
        <w:tc>
          <w:tcPr>
            <w:tcW w:w="756"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left"/>
              <w:textAlignment w:val="center"/>
              <w:rPr>
                <w:rFonts w:ascii="宋体" w:eastAsia="宋体" w:cs="宋体" w:hint="eastAsia"/>
                <w:color w:val="000000"/>
                <w:kern w:val="0"/>
                <w:sz w:val="24"/>
                <w:lang w:val="en-US" w:eastAsia="zh-CN"/>
              </w:rPr>
            </w:pPr>
            <w:r>
              <w:rPr>
                <w:rFonts w:ascii="宋体" w:eastAsia="宋体" w:cs="宋体" w:hint="eastAsia"/>
                <w:color w:val="000000"/>
                <w:kern w:val="0"/>
                <w:sz w:val="24"/>
                <w:lang w:val="en-US" w:eastAsia="zh-CN"/>
              </w:rPr>
              <w:t>3</w:t>
            </w:r>
          </w:p>
        </w:tc>
        <w:tc>
          <w:tcPr>
            <w:tcW w:w="478"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left"/>
              <w:textAlignment w:val="center"/>
              <w:rPr>
                <w:rFonts w:ascii="宋体" w:eastAsia="宋体" w:cs="宋体"/>
                <w:color w:val="000000"/>
                <w:kern w:val="0"/>
                <w:sz w:val="24"/>
              </w:rPr>
            </w:pPr>
          </w:p>
        </w:tc>
      </w:tr>
      <w:tr>
        <w:trPr>
          <w:trHeight w:val="23"/>
        </w:trPr>
        <w:tc>
          <w:tcPr>
            <w:tcW w:w="100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6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采购执行率</w:t>
            </w:r>
          </w:p>
        </w:tc>
        <w:tc>
          <w:tcPr>
            <w:tcW w:w="7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3</w:t>
            </w:r>
          </w:p>
        </w:tc>
        <w:tc>
          <w:tcPr>
            <w:tcW w:w="4734"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left"/>
              <w:textAlignment w:val="center"/>
              <w:rPr>
                <w:rFonts w:ascii="宋体" w:eastAsia="宋体" w:cs="宋体"/>
                <w:color w:val="000000"/>
                <w:sz w:val="24"/>
              </w:rPr>
            </w:pPr>
            <w:r>
              <w:rPr>
                <w:rFonts w:ascii="宋体" w:eastAsia="宋体" w:cs="宋体" w:hint="eastAsia"/>
                <w:color w:val="000000"/>
                <w:kern w:val="0"/>
                <w:sz w:val="24"/>
              </w:rPr>
              <w:t>部门政府采购项目资金支付比例情况</w:t>
            </w:r>
          </w:p>
        </w:tc>
        <w:tc>
          <w:tcPr>
            <w:tcW w:w="756"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left"/>
              <w:textAlignment w:val="center"/>
              <w:rPr>
                <w:rFonts w:ascii="宋体" w:eastAsia="宋体" w:cs="宋体"/>
                <w:color w:val="000000"/>
                <w:kern w:val="0"/>
                <w:sz w:val="24"/>
                <w:lang w:val="en-US" w:eastAsia="zh-CN"/>
              </w:rPr>
            </w:pPr>
            <w:r>
              <w:rPr>
                <w:rFonts w:ascii="宋体" w:eastAsia="宋体" w:cs="宋体" w:hint="eastAsia"/>
                <w:color w:val="000000"/>
                <w:kern w:val="0"/>
                <w:sz w:val="24"/>
                <w:lang w:val="en-US" w:eastAsia="zh-CN"/>
              </w:rPr>
              <w:t>1</w:t>
            </w:r>
          </w:p>
        </w:tc>
        <w:tc>
          <w:tcPr>
            <w:tcW w:w="478"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left"/>
              <w:textAlignment w:val="center"/>
              <w:rPr>
                <w:rFonts w:ascii="宋体" w:eastAsia="宋体" w:cs="宋体"/>
                <w:color w:val="000000"/>
                <w:kern w:val="0"/>
                <w:sz w:val="24"/>
              </w:rPr>
            </w:pPr>
          </w:p>
        </w:tc>
      </w:tr>
      <w:tr>
        <w:trPr>
          <w:trHeight w:val="23"/>
        </w:trPr>
        <w:tc>
          <w:tcPr>
            <w:tcW w:w="100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center"/>
              <w:textAlignment w:val="center"/>
              <w:rPr>
                <w:rFonts w:ascii="宋体" w:eastAsia="宋体" w:cs="宋体"/>
                <w:b/>
                <w:color w:val="000000"/>
                <w:sz w:val="24"/>
              </w:rPr>
            </w:pPr>
            <w:r>
              <w:rPr>
                <w:rFonts w:ascii="宋体" w:eastAsia="宋体" w:cs="宋体" w:hint="eastAsia"/>
                <w:b/>
                <w:color w:val="000000"/>
                <w:kern w:val="0"/>
                <w:sz w:val="24"/>
              </w:rPr>
              <w:t>项目绩效</w:t>
              <w:br/>
              <w:t>（35分）</w:t>
            </w:r>
          </w:p>
        </w:tc>
        <w:tc>
          <w:tcPr>
            <w:tcW w:w="1462" w:type="dxa"/>
            <w:vMerge w:val="restart"/>
            <w:tcBorders>
              <w:top w:val="single" w:sz="4" w:space="0" w:color="000000"/>
              <w:left w:val="single" w:sz="4" w:space="0" w:color="000000"/>
              <w:bottom w:val="nil"/>
              <w:right w:val="single" w:sz="4" w:space="0" w:color="000000"/>
            </w:tcBorders>
            <w:shd w:val="clear" w:color="auto" w:fill="auto"/>
            <w:vAlign w:val="center"/>
          </w:tcPr>
          <w:p>
            <w:pPr>
              <w:widowControl/>
              <w:suppressAutoHyphens/>
              <w:spacing w:line="240" w:lineRule="exact"/>
              <w:jc w:val="center"/>
              <w:textAlignment w:val="center"/>
              <w:rPr>
                <w:rFonts w:ascii="宋体" w:eastAsia="宋体" w:cs="宋体"/>
                <w:b/>
                <w:color w:val="000000"/>
                <w:sz w:val="24"/>
              </w:rPr>
            </w:pPr>
            <w:r>
              <w:rPr>
                <w:rFonts w:ascii="宋体" w:eastAsia="宋体" w:cs="宋体" w:hint="eastAsia"/>
                <w:b/>
                <w:color w:val="000000"/>
                <w:kern w:val="0"/>
                <w:sz w:val="24"/>
              </w:rPr>
              <w:t>项目决策</w:t>
              <w:br/>
              <w:t>（12分）</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决策程序</w:t>
            </w:r>
          </w:p>
        </w:tc>
        <w:tc>
          <w:tcPr>
            <w:tcW w:w="7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4</w:t>
            </w:r>
          </w:p>
        </w:tc>
        <w:tc>
          <w:tcPr>
            <w:tcW w:w="4734"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left"/>
              <w:textAlignment w:val="center"/>
              <w:rPr>
                <w:rFonts w:ascii="宋体" w:eastAsia="宋体" w:cs="宋体"/>
                <w:color w:val="000000"/>
                <w:sz w:val="24"/>
              </w:rPr>
            </w:pPr>
            <w:r>
              <w:rPr>
                <w:rFonts w:ascii="宋体" w:eastAsia="宋体" w:cs="宋体" w:hint="eastAsia"/>
                <w:color w:val="000000"/>
                <w:kern w:val="0"/>
                <w:sz w:val="24"/>
              </w:rPr>
              <w:t>部门预算项目设立是否按规定履行评估论证、申报程序</w:t>
            </w:r>
          </w:p>
        </w:tc>
        <w:tc>
          <w:tcPr>
            <w:tcW w:w="756"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left"/>
              <w:textAlignment w:val="center"/>
              <w:rPr>
                <w:rFonts w:ascii="宋体" w:eastAsia="宋体" w:cs="宋体" w:hint="eastAsia"/>
                <w:color w:val="000000"/>
                <w:kern w:val="0"/>
                <w:sz w:val="24"/>
                <w:lang w:val="en-US" w:eastAsia="zh-CN"/>
              </w:rPr>
            </w:pPr>
            <w:r>
              <w:rPr>
                <w:rFonts w:ascii="宋体" w:eastAsia="宋体" w:cs="宋体" w:hint="eastAsia"/>
                <w:color w:val="000000"/>
                <w:kern w:val="0"/>
                <w:sz w:val="24"/>
                <w:lang w:val="en-US" w:eastAsia="zh-CN"/>
              </w:rPr>
              <w:t>4</w:t>
            </w:r>
          </w:p>
        </w:tc>
        <w:tc>
          <w:tcPr>
            <w:tcW w:w="478"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left"/>
              <w:textAlignment w:val="center"/>
              <w:rPr>
                <w:rFonts w:ascii="宋体" w:eastAsia="宋体" w:cs="宋体"/>
                <w:color w:val="000000"/>
                <w:kern w:val="0"/>
                <w:sz w:val="24"/>
              </w:rPr>
            </w:pPr>
          </w:p>
        </w:tc>
      </w:tr>
      <w:tr>
        <w:trPr>
          <w:trHeight w:val="23"/>
        </w:trPr>
        <w:tc>
          <w:tcPr>
            <w:tcW w:w="100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62" w:type="dxa"/>
            <w:vMerge/>
            <w:tcBorders>
              <w:top w:val="single" w:sz="4" w:space="0" w:color="000000"/>
              <w:left w:val="single" w:sz="4" w:space="0" w:color="000000"/>
              <w:bottom w:val="nil"/>
              <w:right w:val="single" w:sz="4" w:space="0" w:color="000000"/>
            </w:tcBorders>
            <w:shd w:val="clear" w:color="auto" w:fill="auto"/>
            <w:vAlign w:val="center"/>
          </w:tcP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目标设置</w:t>
            </w:r>
          </w:p>
        </w:tc>
        <w:tc>
          <w:tcPr>
            <w:tcW w:w="7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4</w:t>
            </w:r>
          </w:p>
        </w:tc>
        <w:tc>
          <w:tcPr>
            <w:tcW w:w="4734"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left"/>
              <w:textAlignment w:val="center"/>
              <w:rPr>
                <w:rFonts w:ascii="宋体" w:eastAsia="宋体" w:cs="宋体"/>
                <w:color w:val="000000"/>
                <w:sz w:val="24"/>
              </w:rPr>
            </w:pPr>
            <w:r>
              <w:rPr>
                <w:rFonts w:ascii="宋体" w:eastAsia="宋体" w:cs="宋体" w:hint="eastAsia"/>
                <w:color w:val="000000"/>
                <w:kern w:val="0"/>
                <w:sz w:val="24"/>
              </w:rPr>
              <w:t>部门预算项目绩效目标与计划期内的任务量、预算安排的资金量匹配情况，绩效目标设置是否科学合理、规范完整、量化细化、预算匹配</w:t>
            </w:r>
          </w:p>
        </w:tc>
        <w:tc>
          <w:tcPr>
            <w:tcW w:w="756"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left"/>
              <w:textAlignment w:val="center"/>
              <w:rPr>
                <w:rFonts w:ascii="宋体" w:eastAsia="宋体" w:cs="宋体" w:hint="eastAsia"/>
                <w:color w:val="000000"/>
                <w:kern w:val="0"/>
                <w:sz w:val="24"/>
                <w:lang w:val="en-US" w:eastAsia="zh-CN"/>
              </w:rPr>
            </w:pPr>
            <w:r>
              <w:rPr>
                <w:rFonts w:ascii="宋体" w:eastAsia="宋体" w:cs="宋体" w:hint="eastAsia"/>
                <w:color w:val="000000"/>
                <w:kern w:val="0"/>
                <w:sz w:val="24"/>
                <w:lang w:val="en-US" w:eastAsia="zh-CN"/>
              </w:rPr>
              <w:t>3</w:t>
            </w:r>
          </w:p>
        </w:tc>
        <w:tc>
          <w:tcPr>
            <w:tcW w:w="478"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left"/>
              <w:textAlignment w:val="center"/>
              <w:rPr>
                <w:rFonts w:ascii="宋体" w:eastAsia="宋体" w:cs="宋体"/>
                <w:color w:val="000000"/>
                <w:kern w:val="0"/>
                <w:sz w:val="24"/>
              </w:rPr>
            </w:pPr>
          </w:p>
        </w:tc>
      </w:tr>
      <w:tr>
        <w:trPr>
          <w:trHeight w:val="23"/>
        </w:trPr>
        <w:tc>
          <w:tcPr>
            <w:tcW w:w="100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62" w:type="dxa"/>
            <w:vMerge/>
            <w:tcBorders>
              <w:top w:val="single" w:sz="4" w:space="0" w:color="000000"/>
              <w:left w:val="single" w:sz="4" w:space="0" w:color="000000"/>
              <w:bottom w:val="nil"/>
              <w:right w:val="single" w:sz="4" w:space="0" w:color="000000"/>
            </w:tcBorders>
            <w:shd w:val="clear" w:color="auto" w:fill="auto"/>
            <w:vAlign w:val="center"/>
          </w:tcP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项目入库</w:t>
            </w:r>
          </w:p>
        </w:tc>
        <w:tc>
          <w:tcPr>
            <w:tcW w:w="7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4</w:t>
            </w:r>
          </w:p>
        </w:tc>
        <w:tc>
          <w:tcPr>
            <w:tcW w:w="4734"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left"/>
              <w:textAlignment w:val="center"/>
              <w:rPr>
                <w:rFonts w:ascii="宋体" w:eastAsia="宋体" w:cs="宋体"/>
                <w:color w:val="000000"/>
                <w:sz w:val="24"/>
              </w:rPr>
            </w:pPr>
            <w:r>
              <w:rPr>
                <w:rFonts w:ascii="宋体" w:eastAsia="宋体" w:cs="宋体" w:hint="eastAsia"/>
                <w:color w:val="000000"/>
                <w:kern w:val="0"/>
                <w:sz w:val="24"/>
              </w:rPr>
              <w:t>部门预算项目是否在规定时间完成项目入库</w:t>
            </w:r>
          </w:p>
        </w:tc>
        <w:tc>
          <w:tcPr>
            <w:tcW w:w="756"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left"/>
              <w:textAlignment w:val="center"/>
              <w:rPr>
                <w:rFonts w:ascii="宋体" w:eastAsia="宋体" w:cs="宋体" w:hint="eastAsia"/>
                <w:color w:val="000000"/>
                <w:kern w:val="0"/>
                <w:sz w:val="24"/>
                <w:lang w:val="en-US" w:eastAsia="zh-CN"/>
              </w:rPr>
            </w:pPr>
            <w:r>
              <w:rPr>
                <w:rFonts w:ascii="宋体" w:eastAsia="宋体" w:cs="宋体" w:hint="eastAsia"/>
                <w:color w:val="000000"/>
                <w:kern w:val="0"/>
                <w:sz w:val="24"/>
                <w:lang w:val="en-US" w:eastAsia="zh-CN"/>
              </w:rPr>
              <w:t>4</w:t>
            </w:r>
          </w:p>
        </w:tc>
        <w:tc>
          <w:tcPr>
            <w:tcW w:w="478"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left"/>
              <w:textAlignment w:val="center"/>
              <w:rPr>
                <w:rFonts w:ascii="宋体" w:eastAsia="宋体" w:cs="宋体"/>
                <w:color w:val="000000"/>
                <w:kern w:val="0"/>
                <w:sz w:val="24"/>
              </w:rPr>
            </w:pPr>
          </w:p>
        </w:tc>
      </w:tr>
      <w:tr>
        <w:trPr>
          <w:trHeight w:val="23"/>
        </w:trPr>
        <w:tc>
          <w:tcPr>
            <w:tcW w:w="100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62" w:type="dxa"/>
            <w:vMerge w:val="restart"/>
            <w:tcBorders>
              <w:top w:val="single" w:sz="4" w:space="0" w:color="000000"/>
              <w:left w:val="single" w:sz="4" w:space="0" w:color="000000"/>
              <w:bottom w:val="nil"/>
              <w:right w:val="single" w:sz="4" w:space="0" w:color="000000"/>
            </w:tcBorders>
            <w:shd w:val="clear" w:color="auto" w:fill="auto"/>
            <w:vAlign w:val="center"/>
          </w:tcPr>
          <w:p>
            <w:pPr>
              <w:widowControl/>
              <w:suppressAutoHyphens/>
              <w:spacing w:line="240" w:lineRule="exact"/>
              <w:jc w:val="center"/>
              <w:textAlignment w:val="center"/>
              <w:rPr>
                <w:rFonts w:ascii="宋体" w:eastAsia="宋体" w:cs="宋体"/>
                <w:b/>
                <w:color w:val="000000"/>
                <w:sz w:val="24"/>
              </w:rPr>
            </w:pPr>
            <w:r>
              <w:rPr>
                <w:rFonts w:ascii="宋体" w:eastAsia="宋体" w:cs="宋体" w:hint="eastAsia"/>
                <w:b/>
                <w:color w:val="000000"/>
                <w:kern w:val="0"/>
                <w:sz w:val="24"/>
              </w:rPr>
              <w:t>项目执行</w:t>
              <w:br/>
              <w:t>（12分）</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执行同向</w:t>
            </w:r>
          </w:p>
        </w:tc>
        <w:tc>
          <w:tcPr>
            <w:tcW w:w="7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4</w:t>
            </w:r>
          </w:p>
        </w:tc>
        <w:tc>
          <w:tcPr>
            <w:tcW w:w="4734"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left"/>
              <w:textAlignment w:val="center"/>
              <w:rPr>
                <w:rFonts w:ascii="宋体" w:eastAsia="宋体" w:cs="宋体"/>
                <w:color w:val="000000"/>
                <w:sz w:val="24"/>
              </w:rPr>
            </w:pPr>
            <w:r>
              <w:rPr>
                <w:rFonts w:ascii="宋体" w:eastAsia="宋体" w:cs="宋体" w:hint="eastAsia"/>
                <w:color w:val="000000"/>
                <w:kern w:val="0"/>
                <w:sz w:val="24"/>
              </w:rPr>
              <w:t>部门预算项目实际列支内容是否与绩效目标设置方向相符</w:t>
            </w:r>
          </w:p>
        </w:tc>
        <w:tc>
          <w:tcPr>
            <w:tcW w:w="756"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left"/>
              <w:textAlignment w:val="center"/>
              <w:rPr>
                <w:rFonts w:ascii="宋体" w:eastAsia="宋体" w:cs="宋体" w:hint="eastAsia"/>
                <w:color w:val="000000"/>
                <w:kern w:val="0"/>
                <w:sz w:val="24"/>
                <w:lang w:val="en-US" w:eastAsia="zh-CN"/>
              </w:rPr>
            </w:pPr>
            <w:r>
              <w:rPr>
                <w:rFonts w:ascii="宋体" w:eastAsia="宋体" w:cs="宋体" w:hint="eastAsia"/>
                <w:color w:val="000000"/>
                <w:kern w:val="0"/>
                <w:sz w:val="24"/>
                <w:lang w:val="en-US" w:eastAsia="zh-CN"/>
              </w:rPr>
              <w:t>4</w:t>
            </w:r>
          </w:p>
        </w:tc>
        <w:tc>
          <w:tcPr>
            <w:tcW w:w="478"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left"/>
              <w:textAlignment w:val="center"/>
              <w:rPr>
                <w:rFonts w:ascii="宋体" w:eastAsia="宋体" w:cs="宋体"/>
                <w:color w:val="000000"/>
                <w:kern w:val="0"/>
                <w:sz w:val="24"/>
              </w:rPr>
            </w:pPr>
          </w:p>
        </w:tc>
      </w:tr>
      <w:tr>
        <w:trPr>
          <w:trHeight w:val="23"/>
        </w:trPr>
        <w:tc>
          <w:tcPr>
            <w:tcW w:w="100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62" w:type="dxa"/>
            <w:vMerge/>
            <w:tcBorders>
              <w:top w:val="single" w:sz="4" w:space="0" w:color="000000"/>
              <w:left w:val="single" w:sz="4" w:space="0" w:color="000000"/>
              <w:bottom w:val="nil"/>
              <w:right w:val="single" w:sz="4" w:space="0" w:color="000000"/>
            </w:tcBorders>
            <w:shd w:val="clear" w:color="auto" w:fill="auto"/>
            <w:vAlign w:val="center"/>
          </w:tcPr>
          <w:p/>
        </w:tc>
        <w:tc>
          <w:tcPr>
            <w:tcW w:w="1665" w:type="dxa"/>
            <w:tcBorders>
              <w:top w:val="single" w:sz="4" w:space="0" w:color="000000"/>
              <w:left w:val="single" w:sz="4" w:space="0" w:color="000000"/>
              <w:bottom w:val="nil"/>
              <w:right w:val="single" w:sz="4" w:space="0" w:color="000000"/>
            </w:tcBorders>
            <w:shd w:val="clear" w:color="auto" w:fill="auto"/>
            <w:vAlign w:val="center"/>
          </w:tcPr>
          <w:p>
            <w:pPr>
              <w:widowControl/>
              <w:suppressAutoHyphens/>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项目调整</w:t>
            </w:r>
          </w:p>
        </w:tc>
        <w:tc>
          <w:tcPr>
            <w:tcW w:w="7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4</w:t>
            </w:r>
          </w:p>
        </w:tc>
        <w:tc>
          <w:tcPr>
            <w:tcW w:w="4734"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left"/>
              <w:textAlignment w:val="center"/>
              <w:rPr>
                <w:rFonts w:ascii="宋体" w:eastAsia="宋体" w:cs="宋体"/>
                <w:color w:val="000000"/>
                <w:sz w:val="24"/>
              </w:rPr>
            </w:pPr>
            <w:r>
              <w:rPr>
                <w:rFonts w:ascii="宋体" w:eastAsia="宋体" w:cs="宋体" w:hint="eastAsia"/>
                <w:color w:val="000000"/>
                <w:kern w:val="0"/>
                <w:sz w:val="24"/>
              </w:rPr>
              <w:t>部门预算项目是否采取对应调整措施</w:t>
            </w:r>
          </w:p>
        </w:tc>
        <w:tc>
          <w:tcPr>
            <w:tcW w:w="756"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left"/>
              <w:textAlignment w:val="center"/>
              <w:rPr>
                <w:rFonts w:ascii="宋体" w:eastAsia="宋体" w:cs="宋体" w:hint="eastAsia"/>
                <w:color w:val="000000"/>
                <w:kern w:val="0"/>
                <w:sz w:val="24"/>
                <w:lang w:val="en-US" w:eastAsia="zh-CN"/>
              </w:rPr>
            </w:pPr>
            <w:r>
              <w:rPr>
                <w:rFonts w:ascii="宋体" w:eastAsia="宋体" w:cs="宋体" w:hint="eastAsia"/>
                <w:color w:val="000000"/>
                <w:kern w:val="0"/>
                <w:sz w:val="24"/>
                <w:lang w:val="en-US" w:eastAsia="zh-CN"/>
              </w:rPr>
              <w:t>4</w:t>
            </w:r>
          </w:p>
        </w:tc>
        <w:tc>
          <w:tcPr>
            <w:tcW w:w="478"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left"/>
              <w:textAlignment w:val="center"/>
              <w:rPr>
                <w:rFonts w:ascii="宋体" w:eastAsia="宋体" w:cs="宋体"/>
                <w:color w:val="000000"/>
                <w:kern w:val="0"/>
                <w:sz w:val="24"/>
              </w:rPr>
            </w:pPr>
          </w:p>
        </w:tc>
      </w:tr>
      <w:tr>
        <w:trPr>
          <w:trHeight w:val="23"/>
        </w:trPr>
        <w:tc>
          <w:tcPr>
            <w:tcW w:w="100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62" w:type="dxa"/>
            <w:vMerge/>
            <w:tcBorders>
              <w:top w:val="single" w:sz="4" w:space="0" w:color="000000"/>
              <w:left w:val="single" w:sz="4" w:space="0" w:color="000000"/>
              <w:bottom w:val="nil"/>
              <w:right w:val="single" w:sz="4" w:space="0" w:color="000000"/>
            </w:tcBorders>
            <w:shd w:val="clear" w:color="auto" w:fill="auto"/>
            <w:vAlign w:val="center"/>
          </w:tcP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执行结果</w:t>
            </w:r>
          </w:p>
        </w:tc>
        <w:tc>
          <w:tcPr>
            <w:tcW w:w="7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4</w:t>
            </w:r>
          </w:p>
        </w:tc>
        <w:tc>
          <w:tcPr>
            <w:tcW w:w="4734"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left"/>
              <w:textAlignment w:val="center"/>
              <w:rPr>
                <w:rFonts w:ascii="宋体" w:eastAsia="宋体" w:cs="宋体"/>
                <w:color w:val="000000"/>
                <w:sz w:val="24"/>
              </w:rPr>
            </w:pPr>
            <w:r>
              <w:rPr>
                <w:rFonts w:ascii="宋体" w:eastAsia="宋体" w:cs="宋体" w:hint="eastAsia"/>
                <w:color w:val="000000"/>
                <w:kern w:val="0"/>
                <w:sz w:val="24"/>
              </w:rPr>
              <w:t>部门预算项目预算执行情况</w:t>
            </w:r>
          </w:p>
        </w:tc>
        <w:tc>
          <w:tcPr>
            <w:tcW w:w="756"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left"/>
              <w:textAlignment w:val="center"/>
              <w:rPr>
                <w:rFonts w:ascii="宋体" w:eastAsia="宋体" w:cs="宋体" w:hint="eastAsia"/>
                <w:color w:val="000000"/>
                <w:kern w:val="0"/>
                <w:sz w:val="24"/>
                <w:lang w:val="en-US" w:eastAsia="zh-CN"/>
              </w:rPr>
            </w:pPr>
            <w:r>
              <w:rPr>
                <w:rFonts w:ascii="宋体" w:eastAsia="宋体" w:cs="宋体" w:hint="eastAsia"/>
                <w:color w:val="000000"/>
                <w:kern w:val="0"/>
                <w:sz w:val="24"/>
                <w:lang w:val="en-US" w:eastAsia="zh-CN"/>
              </w:rPr>
              <w:t>4</w:t>
            </w:r>
          </w:p>
        </w:tc>
        <w:tc>
          <w:tcPr>
            <w:tcW w:w="478"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left"/>
              <w:textAlignment w:val="center"/>
              <w:rPr>
                <w:rFonts w:ascii="宋体" w:eastAsia="宋体" w:cs="宋体"/>
                <w:color w:val="000000"/>
                <w:kern w:val="0"/>
                <w:sz w:val="24"/>
              </w:rPr>
            </w:pPr>
          </w:p>
        </w:tc>
      </w:tr>
      <w:tr>
        <w:trPr>
          <w:trHeight w:val="23"/>
        </w:trPr>
        <w:tc>
          <w:tcPr>
            <w:tcW w:w="100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6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center"/>
              <w:textAlignment w:val="center"/>
              <w:rPr>
                <w:rFonts w:ascii="宋体" w:eastAsia="宋体" w:cs="宋体"/>
                <w:b/>
                <w:color w:val="000000"/>
                <w:sz w:val="24"/>
              </w:rPr>
            </w:pPr>
            <w:r>
              <w:rPr>
                <w:rFonts w:ascii="宋体" w:eastAsia="宋体" w:cs="宋体" w:hint="eastAsia"/>
                <w:b/>
                <w:color w:val="000000"/>
                <w:kern w:val="0"/>
                <w:sz w:val="24"/>
              </w:rPr>
              <w:t>目标实现</w:t>
              <w:br/>
              <w:t>（11分）</w:t>
            </w: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目标完成</w:t>
            </w:r>
          </w:p>
        </w:tc>
        <w:tc>
          <w:tcPr>
            <w:tcW w:w="7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4</w:t>
            </w:r>
          </w:p>
        </w:tc>
        <w:tc>
          <w:tcPr>
            <w:tcW w:w="4734"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left"/>
              <w:textAlignment w:val="center"/>
              <w:rPr>
                <w:rFonts w:ascii="宋体" w:eastAsia="宋体" w:cs="宋体"/>
                <w:color w:val="000000"/>
                <w:sz w:val="24"/>
              </w:rPr>
            </w:pPr>
            <w:r>
              <w:rPr>
                <w:rFonts w:ascii="宋体" w:eastAsia="宋体" w:cs="宋体" w:hint="eastAsia"/>
                <w:color w:val="000000"/>
                <w:kern w:val="0"/>
                <w:sz w:val="24"/>
              </w:rPr>
              <w:t>部门预算项目绩效目标数量指标完成情况</w:t>
            </w:r>
          </w:p>
        </w:tc>
        <w:tc>
          <w:tcPr>
            <w:tcW w:w="756"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left"/>
              <w:textAlignment w:val="center"/>
              <w:rPr>
                <w:rFonts w:ascii="宋体" w:eastAsia="宋体" w:cs="宋体" w:hint="eastAsia"/>
                <w:color w:val="000000"/>
                <w:kern w:val="0"/>
                <w:sz w:val="24"/>
                <w:lang w:val="en-US" w:eastAsia="zh-CN"/>
              </w:rPr>
            </w:pPr>
            <w:r>
              <w:rPr>
                <w:rFonts w:ascii="宋体" w:eastAsia="宋体" w:cs="宋体" w:hint="eastAsia"/>
                <w:color w:val="000000"/>
                <w:kern w:val="0"/>
                <w:sz w:val="24"/>
                <w:lang w:val="en-US" w:eastAsia="zh-CN"/>
              </w:rPr>
              <w:t>2</w:t>
            </w:r>
          </w:p>
        </w:tc>
        <w:tc>
          <w:tcPr>
            <w:tcW w:w="478"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left"/>
              <w:textAlignment w:val="center"/>
              <w:rPr>
                <w:rFonts w:ascii="宋体" w:eastAsia="宋体" w:cs="宋体"/>
                <w:color w:val="000000"/>
                <w:kern w:val="0"/>
                <w:sz w:val="24"/>
              </w:rPr>
            </w:pPr>
          </w:p>
        </w:tc>
      </w:tr>
      <w:tr>
        <w:trPr>
          <w:trHeight w:val="23"/>
        </w:trPr>
        <w:tc>
          <w:tcPr>
            <w:tcW w:w="100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6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目标偏离</w:t>
            </w:r>
          </w:p>
        </w:tc>
        <w:tc>
          <w:tcPr>
            <w:tcW w:w="7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4</w:t>
            </w:r>
          </w:p>
        </w:tc>
        <w:tc>
          <w:tcPr>
            <w:tcW w:w="4734"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left"/>
              <w:textAlignment w:val="center"/>
              <w:rPr>
                <w:rFonts w:ascii="宋体" w:eastAsia="宋体" w:cs="宋体"/>
                <w:color w:val="000000"/>
                <w:sz w:val="24"/>
              </w:rPr>
            </w:pPr>
            <w:r>
              <w:rPr>
                <w:rFonts w:ascii="宋体" w:eastAsia="宋体" w:cs="宋体" w:hint="eastAsia"/>
                <w:color w:val="000000"/>
                <w:kern w:val="0"/>
                <w:sz w:val="24"/>
              </w:rPr>
              <w:t>部门预算项目绩效目标数量指标实现程度与预期目标的偏离情况</w:t>
            </w:r>
          </w:p>
        </w:tc>
        <w:tc>
          <w:tcPr>
            <w:tcW w:w="756"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left"/>
              <w:textAlignment w:val="center"/>
              <w:rPr>
                <w:rFonts w:ascii="宋体" w:eastAsia="宋体" w:cs="宋体" w:hint="eastAsia"/>
                <w:color w:val="000000"/>
                <w:kern w:val="0"/>
                <w:sz w:val="24"/>
                <w:lang w:val="en-US" w:eastAsia="zh-CN"/>
              </w:rPr>
            </w:pPr>
            <w:r>
              <w:rPr>
                <w:rFonts w:ascii="宋体" w:eastAsia="宋体" w:cs="宋体" w:hint="eastAsia"/>
                <w:color w:val="000000"/>
                <w:kern w:val="0"/>
                <w:sz w:val="24"/>
                <w:lang w:val="en-US" w:eastAsia="zh-CN"/>
              </w:rPr>
              <w:t>3</w:t>
            </w:r>
          </w:p>
        </w:tc>
        <w:tc>
          <w:tcPr>
            <w:tcW w:w="478"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left"/>
              <w:textAlignment w:val="center"/>
              <w:rPr>
                <w:rFonts w:ascii="宋体" w:eastAsia="宋体" w:cs="宋体"/>
                <w:color w:val="000000"/>
                <w:kern w:val="0"/>
                <w:sz w:val="24"/>
              </w:rPr>
            </w:pPr>
          </w:p>
        </w:tc>
      </w:tr>
      <w:tr>
        <w:trPr>
          <w:trHeight w:val="23"/>
        </w:trPr>
        <w:tc>
          <w:tcPr>
            <w:tcW w:w="100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6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665"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实现效果</w:t>
            </w:r>
          </w:p>
        </w:tc>
        <w:tc>
          <w:tcPr>
            <w:tcW w:w="7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3</w:t>
            </w:r>
          </w:p>
        </w:tc>
        <w:tc>
          <w:tcPr>
            <w:tcW w:w="4734"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left"/>
              <w:textAlignment w:val="center"/>
              <w:rPr>
                <w:rFonts w:ascii="宋体" w:eastAsia="宋体" w:cs="宋体"/>
                <w:color w:val="000000"/>
                <w:sz w:val="24"/>
              </w:rPr>
            </w:pPr>
            <w:r>
              <w:rPr>
                <w:rFonts w:ascii="宋体" w:eastAsia="宋体" w:cs="宋体" w:hint="eastAsia"/>
                <w:color w:val="000000"/>
                <w:kern w:val="0"/>
                <w:sz w:val="24"/>
              </w:rPr>
              <w:t>部门预算项目绩效目标效益指标实施效果</w:t>
            </w:r>
          </w:p>
        </w:tc>
        <w:tc>
          <w:tcPr>
            <w:tcW w:w="756"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left"/>
              <w:textAlignment w:val="center"/>
              <w:rPr>
                <w:rFonts w:ascii="宋体" w:eastAsia="宋体" w:cs="宋体" w:hint="eastAsia"/>
                <w:color w:val="000000"/>
                <w:kern w:val="0"/>
                <w:sz w:val="24"/>
                <w:lang w:val="en-US" w:eastAsia="zh-CN"/>
              </w:rPr>
            </w:pPr>
            <w:r>
              <w:rPr>
                <w:rFonts w:ascii="宋体" w:eastAsia="宋体" w:cs="宋体" w:hint="eastAsia"/>
                <w:color w:val="000000"/>
                <w:kern w:val="0"/>
                <w:sz w:val="24"/>
                <w:lang w:val="en-US" w:eastAsia="zh-CN"/>
              </w:rPr>
              <w:t>2</w:t>
            </w:r>
          </w:p>
        </w:tc>
        <w:tc>
          <w:tcPr>
            <w:tcW w:w="478"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left"/>
              <w:textAlignment w:val="center"/>
              <w:rPr>
                <w:rFonts w:ascii="宋体" w:eastAsia="宋体" w:cs="宋体"/>
                <w:color w:val="000000"/>
                <w:kern w:val="0"/>
                <w:sz w:val="24"/>
              </w:rPr>
            </w:pPr>
          </w:p>
        </w:tc>
      </w:tr>
      <w:tr>
        <w:trPr>
          <w:trHeight w:val="23"/>
        </w:trPr>
        <w:tc>
          <w:tcPr>
            <w:tcW w:w="1004"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center"/>
              <w:textAlignment w:val="center"/>
              <w:rPr>
                <w:rFonts w:ascii="宋体" w:eastAsia="宋体" w:cs="宋体"/>
                <w:b/>
                <w:color w:val="000000"/>
                <w:sz w:val="24"/>
              </w:rPr>
            </w:pPr>
            <w:r>
              <w:rPr>
                <w:rFonts w:ascii="宋体" w:eastAsia="宋体" w:cs="宋体" w:hint="eastAsia"/>
                <w:b/>
                <w:color w:val="000000"/>
                <w:kern w:val="0"/>
                <w:sz w:val="24"/>
              </w:rPr>
              <w:t>扣分项</w:t>
              <w:br/>
              <w:t>（10分）</w:t>
            </w:r>
          </w:p>
        </w:tc>
        <w:tc>
          <w:tcPr>
            <w:tcW w:w="312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被评价部门配合度</w:t>
            </w:r>
          </w:p>
        </w:tc>
        <w:tc>
          <w:tcPr>
            <w:tcW w:w="72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center"/>
              <w:textAlignment w:val="center"/>
              <w:rPr>
                <w:rFonts w:ascii="宋体" w:eastAsia="宋体" w:cs="宋体"/>
                <w:color w:val="000000"/>
                <w:sz w:val="24"/>
              </w:rPr>
            </w:pPr>
            <w:r>
              <w:rPr>
                <w:rFonts w:ascii="宋体" w:eastAsia="宋体" w:cs="宋体" w:hint="eastAsia"/>
                <w:color w:val="000000"/>
                <w:kern w:val="0"/>
                <w:sz w:val="24"/>
              </w:rPr>
              <w:t>-</w:t>
            </w:r>
          </w:p>
        </w:tc>
        <w:tc>
          <w:tcPr>
            <w:tcW w:w="4734"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left"/>
              <w:textAlignment w:val="center"/>
              <w:rPr>
                <w:rFonts w:ascii="宋体" w:eastAsia="宋体" w:cs="宋体"/>
                <w:color w:val="000000"/>
                <w:sz w:val="24"/>
              </w:rPr>
            </w:pPr>
            <w:r>
              <w:rPr>
                <w:rFonts w:ascii="宋体" w:eastAsia="宋体" w:cs="宋体" w:hint="eastAsia"/>
                <w:color w:val="000000"/>
                <w:kern w:val="0"/>
                <w:sz w:val="24"/>
              </w:rPr>
              <w:t>被评价对象工作配合情况</w:t>
            </w:r>
          </w:p>
        </w:tc>
        <w:tc>
          <w:tcPr>
            <w:tcW w:w="756"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left"/>
              <w:textAlignment w:val="center"/>
              <w:rPr>
                <w:rFonts w:ascii="宋体" w:eastAsia="宋体" w:cs="宋体"/>
                <w:color w:val="000000"/>
                <w:kern w:val="0"/>
                <w:sz w:val="24"/>
              </w:rPr>
            </w:pPr>
          </w:p>
        </w:tc>
        <w:tc>
          <w:tcPr>
            <w:tcW w:w="478"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240" w:lineRule="exact"/>
              <w:jc w:val="left"/>
              <w:textAlignment w:val="center"/>
              <w:rPr>
                <w:rFonts w:ascii="宋体" w:eastAsia="宋体" w:cs="宋体"/>
                <w:color w:val="000000"/>
                <w:kern w:val="0"/>
                <w:sz w:val="24"/>
              </w:rPr>
            </w:pPr>
          </w:p>
        </w:tc>
      </w:tr>
    </w:tbl>
    <w:p>
      <w:pPr>
        <w:pStyle w:val="15"/>
        <w:spacing w:line="20" w:lineRule="exact"/>
      </w:pPr>
    </w:p>
    <w:p>
      <w:pPr>
        <w:rPr>
          <w:rFonts w:ascii="仿宋_GB2312" w:eastAsia="宋体" w:cs="Times New Roman" w:hAnsi="仿宋_GB2312" w:hint="eastAsia"/>
          <w:color w:val="auto"/>
          <w:kern w:val="2"/>
          <w:sz w:val="32"/>
          <w:szCs w:val="32"/>
          <w:lang w:val="zh-CN" w:eastAsia="zh-CN" w:bidi="ar-SA"/>
          <w:highlight w:val="auto"/>
        </w:rPr>
      </w:pPr>
      <w:r>
        <w:rPr>
          <w:rFonts w:eastAsia="黑体"/>
        </w:rPr>
        <w:br w:type="page"/>
      </w:r>
      <w:r>
        <w:rPr>
          <w:rFonts w:ascii="仿宋_GB2312" w:eastAsia="宋体" w:cs="Times New Roman" w:hAnsi="仿宋_GB2312" w:hint="eastAsia"/>
          <w:color w:val="auto"/>
          <w:kern w:val="2"/>
          <w:sz w:val="32"/>
          <w:szCs w:val="32"/>
          <w:lang w:val="zh-CN" w:eastAsia="zh-CN" w:bidi="ar-SA"/>
          <w:highlight w:val="auto"/>
        </w:rPr>
        <w:t>附表2</w:t>
      </w:r>
    </w:p>
    <w:tbl>
      <w:tblPr>
        <w:jc w:val="center"/>
        <w:tblW w:w="10560" w:type="dxa"/>
        <w:tblBorders>
          <w:top w:val="none" w:sz="0" w:space="0" w:color="auto"/>
          <w:left w:val="none" w:sz="0" w:space="0" w:color="auto"/>
          <w:bottom w:val="none" w:sz="0" w:space="0" w:color="auto"/>
          <w:right w:val="none" w:sz="0" w:space="0" w:color="auto"/>
        </w:tblBorders>
        <w:tblLayout w:type="fixed"/>
        <w:tblCellMar>
          <w:top w:w="15" w:type="dxa"/>
          <w:left w:w="15" w:type="dxa"/>
          <w:bottom w:w="15" w:type="dxa"/>
          <w:right w:w="15" w:type="dxa"/>
        </w:tblCellMar>
      </w:tblPr>
      <w:tblGrid>
        <w:gridCol w:w="1308"/>
        <w:gridCol w:w="1347"/>
        <w:gridCol w:w="1273"/>
        <w:gridCol w:w="1100"/>
        <w:gridCol w:w="1145"/>
        <w:gridCol w:w="1289"/>
        <w:gridCol w:w="1058"/>
        <w:gridCol w:w="926"/>
        <w:gridCol w:w="1114"/>
      </w:tblGrid>
      <w:tr>
        <w:trPr>
          <w:trHeight w:hRule="exact" w:val="762"/>
        </w:trPr>
        <w:tc>
          <w:tcPr>
            <w:tcW w:w="10560" w:type="dxa"/>
            <w:gridSpan w:val="9"/>
            <w:tcBorders>
              <w:top w:val="nil"/>
              <w:left w:val="nil"/>
              <w:bottom w:val="nil"/>
              <w:right w:val="nil"/>
            </w:tcBorders>
            <w:shd w:val="clear" w:color="auto" w:fill="auto"/>
            <w:vAlign w:val="center"/>
          </w:tcPr>
          <w:p>
            <w:pPr>
              <w:widowControl/>
              <w:suppressAutoHyphens/>
              <w:spacing w:line="600" w:lineRule="exact"/>
              <w:jc w:val="center"/>
              <w:textAlignment w:val="center"/>
              <w:rPr>
                <w:rFonts w:eastAsia="黑体"/>
                <w:color w:val="000000"/>
                <w:sz w:val="28"/>
                <w:szCs w:val="28"/>
              </w:rPr>
            </w:pPr>
            <w:r>
              <w:rPr>
                <w:rFonts w:eastAsia="方正小标宋简体"/>
                <w:color w:val="000000"/>
                <w:kern w:val="0"/>
                <w:sz w:val="44"/>
                <w:szCs w:val="44"/>
              </w:rPr>
              <w:t>部门整体绩效目标完成情况自评表</w:t>
            </w:r>
          </w:p>
        </w:tc>
      </w:tr>
      <w:tr>
        <w:trPr>
          <w:trHeight w:val="23"/>
        </w:trPr>
        <w:tc>
          <w:tcPr>
            <w:tcW w:w="10560" w:type="dxa"/>
            <w:gridSpan w:val="9"/>
            <w:tcBorders>
              <w:top w:val="nil"/>
              <w:left w:val="nil"/>
              <w:bottom w:val="nil"/>
              <w:right w:val="nil"/>
            </w:tcBorders>
            <w:shd w:val="clear" w:color="auto" w:fill="auto"/>
            <w:vAlign w:val="center"/>
          </w:tcPr>
          <w:p>
            <w:pPr>
              <w:widowControl/>
              <w:suppressAutoHyphens/>
              <w:spacing w:line="300" w:lineRule="exact"/>
              <w:jc w:val="center"/>
              <w:textAlignment w:val="center"/>
              <w:rPr>
                <w:rFonts w:eastAsia="宋体"/>
                <w:color w:val="000000"/>
                <w:sz w:val="28"/>
                <w:szCs w:val="28"/>
              </w:rPr>
            </w:pPr>
            <w:r>
              <w:rPr>
                <w:rFonts w:eastAsia="宋体"/>
                <w:color w:val="000000"/>
                <w:kern w:val="0"/>
                <w:sz w:val="28"/>
                <w:szCs w:val="28"/>
              </w:rPr>
              <w:t>（202</w:t>
            </w:r>
            <w:r>
              <w:rPr>
                <w:rFonts w:eastAsia="宋体" w:hint="eastAsia"/>
                <w:color w:val="000000"/>
                <w:kern w:val="0"/>
                <w:sz w:val="28"/>
                <w:szCs w:val="28"/>
                <w:lang w:val="en-US" w:eastAsia="zh-CN"/>
              </w:rPr>
              <w:t>5</w:t>
            </w:r>
            <w:r>
              <w:rPr>
                <w:rFonts w:eastAsia="宋体"/>
                <w:color w:val="000000"/>
                <w:kern w:val="0"/>
                <w:sz w:val="28"/>
                <w:szCs w:val="28"/>
              </w:rPr>
              <w:t>年度）</w:t>
            </w:r>
          </w:p>
        </w:tc>
      </w:tr>
      <w:tr>
        <w:trPr>
          <w:trHeight w:val="23"/>
        </w:trPr>
        <w:tc>
          <w:tcPr>
            <w:tcW w:w="10560" w:type="dxa"/>
            <w:gridSpan w:val="9"/>
            <w:tcBorders>
              <w:bottom w:val="single" w:sz="4" w:space="0" w:color="000000"/>
            </w:tcBorders>
            <w:shd w:val="clear" w:color="auto" w:fill="auto"/>
            <w:vAlign w:val="center"/>
          </w:tcPr>
          <w:p>
            <w:pPr>
              <w:widowControl/>
              <w:suppressAutoHyphens/>
              <w:spacing w:line="300" w:lineRule="exact"/>
              <w:jc w:val="right"/>
              <w:textAlignment w:val="center"/>
              <w:rPr>
                <w:rFonts w:eastAsia="宋体"/>
                <w:color w:val="000000"/>
                <w:sz w:val="21"/>
                <w:szCs w:val="21"/>
              </w:rPr>
            </w:pPr>
            <w:r>
              <w:rPr>
                <w:rFonts w:eastAsia="宋体"/>
                <w:color w:val="000000"/>
                <w:kern w:val="0"/>
                <w:sz w:val="21"/>
                <w:szCs w:val="21"/>
              </w:rPr>
              <w:t>单位：万元</w:t>
            </w:r>
          </w:p>
        </w:tc>
      </w:tr>
      <w:tr>
        <w:trPr>
          <w:trHeight w:val="23"/>
        </w:trPr>
        <w:tc>
          <w:tcPr>
            <w:tcW w:w="392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300" w:lineRule="exact"/>
              <w:jc w:val="center"/>
              <w:textAlignment w:val="center"/>
              <w:rPr>
                <w:rFonts w:eastAsia="宋体"/>
                <w:color w:val="000000"/>
                <w:sz w:val="24"/>
              </w:rPr>
            </w:pPr>
            <w:r>
              <w:rPr>
                <w:rFonts w:eastAsia="宋体"/>
                <w:color w:val="000000"/>
                <w:kern w:val="0"/>
                <w:sz w:val="24"/>
              </w:rPr>
              <w:t>部门名称</w:t>
            </w:r>
          </w:p>
        </w:tc>
        <w:tc>
          <w:tcPr>
            <w:tcW w:w="6632"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300" w:lineRule="exact"/>
              <w:jc w:val="center"/>
              <w:textAlignment w:val="center"/>
              <w:rPr>
                <w:rFonts w:eastAsia="宋体"/>
                <w:color w:val="000000"/>
                <w:sz w:val="24"/>
                <w:lang w:val="en-US" w:eastAsia="zh-CN"/>
              </w:rPr>
            </w:pPr>
            <w:r>
              <w:rPr>
                <w:rFonts w:eastAsia="宋体" w:hint="eastAsia"/>
                <w:color w:val="000000"/>
                <w:sz w:val="24"/>
                <w:lang w:val="en-US" w:eastAsia="zh-CN"/>
              </w:rPr>
              <w:t>茂县公安局</w:t>
            </w:r>
          </w:p>
        </w:tc>
      </w:tr>
      <w:tr>
        <w:trPr>
          <w:trHeight w:val="23"/>
        </w:trPr>
        <w:tc>
          <w:tcPr>
            <w:tcW w:w="130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300" w:lineRule="exact"/>
              <w:jc w:val="center"/>
              <w:textAlignment w:val="center"/>
              <w:rPr>
                <w:rFonts w:eastAsia="宋体"/>
                <w:color w:val="000000"/>
                <w:sz w:val="24"/>
              </w:rPr>
            </w:pPr>
            <w:r>
              <w:rPr>
                <w:rFonts w:eastAsia="宋体"/>
                <w:color w:val="000000"/>
                <w:kern w:val="0"/>
                <w:sz w:val="24"/>
              </w:rPr>
              <w:t>年度部门整体支出预算</w:t>
            </w:r>
          </w:p>
        </w:tc>
        <w:tc>
          <w:tcPr>
            <w:tcW w:w="262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300" w:lineRule="exact"/>
              <w:jc w:val="center"/>
              <w:textAlignment w:val="center"/>
              <w:rPr>
                <w:rFonts w:eastAsia="宋体"/>
                <w:color w:val="000000"/>
                <w:sz w:val="24"/>
              </w:rPr>
            </w:pPr>
            <w:r>
              <w:rPr>
                <w:rFonts w:eastAsia="宋体"/>
                <w:color w:val="000000"/>
                <w:kern w:val="0"/>
                <w:sz w:val="24"/>
              </w:rPr>
              <w:t>资金总额</w:t>
            </w:r>
          </w:p>
        </w:tc>
        <w:tc>
          <w:tcPr>
            <w:tcW w:w="224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300" w:lineRule="exact"/>
              <w:jc w:val="center"/>
              <w:textAlignment w:val="center"/>
              <w:rPr>
                <w:rFonts w:eastAsia="宋体"/>
                <w:color w:val="000000"/>
                <w:sz w:val="24"/>
              </w:rPr>
            </w:pPr>
            <w:r>
              <w:rPr>
                <w:rFonts w:eastAsia="宋体"/>
                <w:color w:val="000000"/>
                <w:kern w:val="0"/>
                <w:sz w:val="24"/>
              </w:rPr>
              <w:t>财政拨款</w:t>
            </w:r>
          </w:p>
        </w:tc>
        <w:tc>
          <w:tcPr>
            <w:tcW w:w="4387"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300" w:lineRule="exact"/>
              <w:jc w:val="center"/>
              <w:textAlignment w:val="center"/>
              <w:rPr>
                <w:rFonts w:eastAsia="宋体"/>
                <w:color w:val="000000"/>
                <w:sz w:val="24"/>
              </w:rPr>
            </w:pPr>
            <w:r>
              <w:rPr>
                <w:rFonts w:eastAsia="宋体"/>
                <w:color w:val="000000"/>
                <w:kern w:val="0"/>
                <w:sz w:val="24"/>
              </w:rPr>
              <w:t>其他资金</w:t>
            </w:r>
          </w:p>
        </w:tc>
      </w:tr>
      <w:tr>
        <w:trPr>
          <w:trHeight w:val="23"/>
        </w:trPr>
        <w:tc>
          <w:tcPr>
            <w:tcW w:w="130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62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300" w:lineRule="exact"/>
              <w:jc w:val="center"/>
              <w:textAlignment w:val="center"/>
              <w:rPr>
                <w:rFonts w:eastAsia="宋体"/>
                <w:color w:val="000000"/>
                <w:sz w:val="24"/>
              </w:rPr>
            </w:pPr>
            <w:r>
              <w:rPr>
                <w:rFonts w:eastAsia="宋体" w:hint="eastAsia"/>
                <w:color w:val="000000"/>
                <w:kern w:val="0"/>
                <w:sz w:val="24"/>
                <w:lang w:val="en-US" w:eastAsia="zh-CN"/>
              </w:rPr>
              <w:t>8604.6</w:t>
            </w:r>
            <w:r>
              <w:rPr>
                <w:rFonts w:hint="eastAsia"/>
                <w:color w:val="000000"/>
                <w:kern w:val="0"/>
                <w:sz w:val="24"/>
                <w:lang w:val="en-US" w:eastAsia="zh-CN"/>
              </w:rPr>
              <w:t>8</w:t>
            </w:r>
          </w:p>
        </w:tc>
        <w:tc>
          <w:tcPr>
            <w:tcW w:w="224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300" w:lineRule="exact"/>
              <w:jc w:val="center"/>
              <w:textAlignment w:val="center"/>
              <w:rPr>
                <w:rFonts w:eastAsia="宋体"/>
                <w:color w:val="000000"/>
                <w:sz w:val="24"/>
              </w:rPr>
            </w:pPr>
            <w:r>
              <w:rPr>
                <w:rFonts w:eastAsia="宋体" w:hint="eastAsia"/>
                <w:color w:val="000000"/>
                <w:kern w:val="0"/>
                <w:sz w:val="24"/>
                <w:lang w:val="en-US" w:eastAsia="zh-CN"/>
              </w:rPr>
              <w:t>8599.2</w:t>
            </w:r>
            <w:r>
              <w:rPr>
                <w:rFonts w:hint="eastAsia"/>
                <w:color w:val="000000"/>
                <w:kern w:val="0"/>
                <w:sz w:val="24"/>
                <w:lang w:val="en-US" w:eastAsia="zh-CN"/>
              </w:rPr>
              <w:t>2</w:t>
            </w:r>
          </w:p>
        </w:tc>
        <w:tc>
          <w:tcPr>
            <w:tcW w:w="4387"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300" w:lineRule="exact"/>
              <w:jc w:val="center"/>
              <w:textAlignment w:val="center"/>
              <w:rPr>
                <w:rFonts w:eastAsia="宋体" w:hint="eastAsia"/>
                <w:color w:val="000000"/>
                <w:sz w:val="24"/>
                <w:lang w:eastAsia="zh-CN"/>
              </w:rPr>
            </w:pPr>
            <w:r>
              <w:rPr>
                <w:rFonts w:eastAsia="宋体" w:hint="eastAsia"/>
                <w:color w:val="000000"/>
                <w:kern w:val="0"/>
                <w:sz w:val="24"/>
                <w:lang w:val="en-US" w:eastAsia="zh-CN"/>
              </w:rPr>
              <w:t>2.46</w:t>
            </w:r>
          </w:p>
        </w:tc>
      </w:tr>
      <w:tr>
        <w:trPr>
          <w:trHeight w:val="23"/>
        </w:trPr>
        <w:tc>
          <w:tcPr>
            <w:tcW w:w="1308"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300" w:lineRule="exact"/>
              <w:jc w:val="center"/>
              <w:textAlignment w:val="center"/>
              <w:rPr>
                <w:rFonts w:eastAsia="宋体"/>
                <w:color w:val="000000"/>
                <w:kern w:val="0"/>
                <w:sz w:val="24"/>
              </w:rPr>
            </w:pPr>
            <w:r>
              <w:rPr>
                <w:rFonts w:eastAsia="宋体"/>
                <w:color w:val="000000"/>
                <w:kern w:val="0"/>
                <w:sz w:val="24"/>
              </w:rPr>
              <w:t>年度总体</w:t>
            </w:r>
          </w:p>
          <w:p>
            <w:pPr>
              <w:widowControl/>
              <w:suppressAutoHyphens/>
              <w:spacing w:line="300" w:lineRule="exact"/>
              <w:jc w:val="center"/>
              <w:textAlignment w:val="center"/>
              <w:rPr>
                <w:rFonts w:eastAsia="宋体"/>
                <w:color w:val="000000"/>
                <w:sz w:val="24"/>
              </w:rPr>
            </w:pPr>
            <w:r>
              <w:rPr>
                <w:rFonts w:eastAsia="宋体"/>
                <w:color w:val="000000"/>
                <w:kern w:val="0"/>
                <w:sz w:val="24"/>
              </w:rPr>
              <w:t>目标</w:t>
            </w:r>
          </w:p>
        </w:tc>
        <w:tc>
          <w:tcPr>
            <w:tcW w:w="9252"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300" w:lineRule="exact"/>
              <w:jc w:val="left"/>
              <w:textAlignment w:val="center"/>
              <w:rPr>
                <w:rFonts w:eastAsia="宋体"/>
                <w:color w:val="000000"/>
                <w:sz w:val="24"/>
              </w:rPr>
            </w:pPr>
            <w:r>
              <w:rPr>
                <w:rFonts w:eastAsia="宋体"/>
                <w:color w:val="000000"/>
                <w:kern w:val="0"/>
                <w:sz w:val="24"/>
              </w:rPr>
              <w:t>以习近平新时代中国特色社会主义思想为指导，深入贯彻习近平法治思想和习近平总书记关于新时代公安工作的重要论述，增强“四个意识”、坚定“四个自信”、做到“两个维护”，坚定“两个确立”，坚决贯彻“对党忠诚、服务人民、执法公正、纪律严明”十六字方针，持续开展维护社会稳定、打击违反犯罪、守护公共安全、服务人民群众等工作，确保辖区整治安全、社会稳定、人民安宁、网络安靖，向第二个百年奋斗目标砥砺奋进。</w:t>
            </w:r>
          </w:p>
        </w:tc>
      </w:tr>
      <w:tr>
        <w:trPr>
          <w:trHeight w:val="23"/>
        </w:trPr>
        <w:tc>
          <w:tcPr>
            <w:tcW w:w="130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300" w:lineRule="exact"/>
              <w:jc w:val="center"/>
              <w:textAlignment w:val="center"/>
              <w:rPr>
                <w:rFonts w:eastAsia="宋体"/>
                <w:color w:val="000000"/>
                <w:kern w:val="0"/>
                <w:sz w:val="24"/>
              </w:rPr>
            </w:pPr>
            <w:r>
              <w:rPr>
                <w:rFonts w:eastAsia="宋体"/>
                <w:color w:val="000000"/>
                <w:kern w:val="0"/>
                <w:sz w:val="24"/>
              </w:rPr>
              <w:t>年度主要</w:t>
            </w:r>
          </w:p>
          <w:p>
            <w:pPr>
              <w:widowControl/>
              <w:suppressAutoHyphens/>
              <w:spacing w:line="300" w:lineRule="exact"/>
              <w:jc w:val="center"/>
              <w:textAlignment w:val="center"/>
              <w:rPr>
                <w:rFonts w:eastAsia="宋体"/>
                <w:color w:val="000000"/>
                <w:sz w:val="24"/>
              </w:rPr>
            </w:pPr>
            <w:r>
              <w:rPr>
                <w:rFonts w:eastAsia="宋体"/>
                <w:color w:val="000000"/>
                <w:kern w:val="0"/>
                <w:sz w:val="24"/>
              </w:rPr>
              <w:t>任务</w:t>
            </w:r>
          </w:p>
        </w:tc>
        <w:tc>
          <w:tcPr>
            <w:tcW w:w="262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300" w:lineRule="exact"/>
              <w:jc w:val="center"/>
              <w:textAlignment w:val="center"/>
              <w:rPr>
                <w:rFonts w:eastAsia="宋体"/>
                <w:color w:val="000000"/>
                <w:sz w:val="24"/>
              </w:rPr>
            </w:pPr>
            <w:r>
              <w:rPr>
                <w:rFonts w:eastAsia="宋体"/>
                <w:color w:val="000000"/>
                <w:kern w:val="0"/>
                <w:sz w:val="24"/>
              </w:rPr>
              <w:t>任务名称</w:t>
            </w:r>
          </w:p>
        </w:tc>
        <w:tc>
          <w:tcPr>
            <w:tcW w:w="6632"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300" w:lineRule="exact"/>
              <w:jc w:val="center"/>
              <w:textAlignment w:val="center"/>
              <w:rPr>
                <w:rFonts w:eastAsia="宋体"/>
                <w:color w:val="000000"/>
                <w:sz w:val="24"/>
              </w:rPr>
            </w:pPr>
            <w:r>
              <w:rPr>
                <w:rFonts w:eastAsia="宋体"/>
                <w:color w:val="000000"/>
                <w:kern w:val="0"/>
                <w:sz w:val="24"/>
              </w:rPr>
              <w:t>主要内容</w:t>
            </w:r>
          </w:p>
        </w:tc>
      </w:tr>
      <w:tr>
        <w:trPr>
          <w:trHeight w:val="23"/>
        </w:trPr>
        <w:tc>
          <w:tcPr>
            <w:tcW w:w="1308" w:type="dxa"/>
            <w:vMerge/>
            <w:tcBorders>
              <w:left w:val="single" w:sz="4" w:space="0" w:color="000000"/>
              <w:right w:val="single" w:sz="4" w:space="0" w:color="000000"/>
            </w:tcBorders>
            <w:shd w:val="clear" w:color="auto" w:fill="auto"/>
            <w:vAlign w:val="center"/>
          </w:tcPr>
          <w:p/>
        </w:tc>
        <w:tc>
          <w:tcPr>
            <w:tcW w:w="262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300" w:lineRule="exact"/>
              <w:jc w:val="center"/>
              <w:textAlignment w:val="center"/>
              <w:rPr>
                <w:rFonts w:eastAsia="宋体"/>
                <w:color w:val="000000"/>
                <w:kern w:val="0"/>
                <w:sz w:val="24"/>
              </w:rPr>
            </w:pPr>
            <w:r>
              <w:rPr>
                <w:rFonts w:ascii="宋体" w:eastAsia="宋体" w:cs="宋体"/>
                <w:sz w:val="24"/>
                <w:szCs w:val="24"/>
              </w:rPr>
              <w:t>严打各类刑事犯罪</w:t>
            </w:r>
          </w:p>
        </w:tc>
        <w:tc>
          <w:tcPr>
            <w:tcW w:w="6632"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300" w:lineRule="exact"/>
              <w:jc w:val="center"/>
              <w:textAlignment w:val="center"/>
              <w:rPr>
                <w:rFonts w:eastAsia="宋体"/>
                <w:color w:val="000000"/>
                <w:kern w:val="0"/>
                <w:sz w:val="24"/>
              </w:rPr>
            </w:pPr>
            <w:r>
              <w:rPr>
                <w:rFonts w:eastAsia="宋体"/>
                <w:color w:val="000000"/>
                <w:kern w:val="0"/>
                <w:sz w:val="24"/>
              </w:rPr>
              <w:t>坚持严打方针不动摇，始终保持对违法犯罪活动的高压态势，切实提高严打犯罪的针对性、主动性和实践性。严打涉黑恶、传统盗抢、网络电诈等突出违法犯罪，加强道路交通、森林防火等领域安全监管，不断增强人民安全感。</w:t>
            </w:r>
          </w:p>
        </w:tc>
      </w:tr>
      <w:tr>
        <w:trPr>
          <w:trHeight w:val="23"/>
        </w:trPr>
        <w:tc>
          <w:tcPr>
            <w:tcW w:w="1308" w:type="dxa"/>
            <w:vMerge/>
            <w:tcBorders>
              <w:left w:val="single" w:sz="4" w:space="0" w:color="000000"/>
              <w:right w:val="single" w:sz="4" w:space="0" w:color="000000"/>
            </w:tcBorders>
            <w:shd w:val="clear" w:color="auto" w:fill="auto"/>
            <w:vAlign w:val="center"/>
          </w:tcPr>
          <w:p/>
        </w:tc>
        <w:tc>
          <w:tcPr>
            <w:tcW w:w="262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300" w:lineRule="exact"/>
              <w:jc w:val="center"/>
              <w:textAlignment w:val="center"/>
              <w:rPr>
                <w:rFonts w:eastAsia="宋体"/>
                <w:color w:val="000000"/>
                <w:kern w:val="0"/>
                <w:sz w:val="24"/>
              </w:rPr>
            </w:pPr>
            <w:r>
              <w:rPr>
                <w:rFonts w:ascii="宋体" w:eastAsia="宋体" w:cs="宋体"/>
                <w:sz w:val="24"/>
                <w:szCs w:val="24"/>
              </w:rPr>
              <w:t>全力维护政治安全</w:t>
            </w:r>
          </w:p>
        </w:tc>
        <w:tc>
          <w:tcPr>
            <w:tcW w:w="6632"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300" w:lineRule="exact"/>
              <w:jc w:val="center"/>
              <w:textAlignment w:val="center"/>
              <w:rPr>
                <w:rFonts w:eastAsia="宋体"/>
                <w:color w:val="000000"/>
                <w:kern w:val="0"/>
                <w:sz w:val="24"/>
              </w:rPr>
            </w:pPr>
            <w:r>
              <w:rPr>
                <w:rFonts w:ascii="宋体" w:eastAsia="宋体" w:cs="宋体"/>
                <w:sz w:val="24"/>
                <w:szCs w:val="24"/>
              </w:rPr>
              <w:t>忠实践行“两个维护”，抓好巩固“不忘初心、牢记使命”主题教育成果的落实，加强情报信息收集研判工作，深化对敌斗争、强化反恐防恐工作，做好信访维稳工作，确保社会总体稳定。</w:t>
            </w:r>
          </w:p>
        </w:tc>
      </w:tr>
      <w:tr>
        <w:trPr>
          <w:trHeight w:val="23"/>
        </w:trPr>
        <w:tc>
          <w:tcPr>
            <w:tcW w:w="130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62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300" w:lineRule="exact"/>
              <w:jc w:val="center"/>
              <w:textAlignment w:val="center"/>
              <w:rPr>
                <w:rFonts w:eastAsia="宋体"/>
                <w:color w:val="000000"/>
                <w:sz w:val="24"/>
              </w:rPr>
            </w:pPr>
            <w:r>
              <w:rPr>
                <w:rFonts w:ascii="宋体" w:eastAsia="宋体" w:cs="宋体"/>
                <w:sz w:val="24"/>
                <w:szCs w:val="24"/>
              </w:rPr>
              <w:t>保障日常运转</w:t>
            </w:r>
          </w:p>
        </w:tc>
        <w:tc>
          <w:tcPr>
            <w:tcW w:w="6632"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300" w:lineRule="exact"/>
              <w:jc w:val="left"/>
              <w:textAlignment w:val="center"/>
              <w:rPr>
                <w:rFonts w:eastAsia="宋体"/>
                <w:color w:val="000000"/>
                <w:sz w:val="24"/>
              </w:rPr>
            </w:pPr>
            <w:r>
              <w:rPr>
                <w:rFonts w:ascii="宋体" w:eastAsia="宋体" w:cs="宋体"/>
                <w:sz w:val="24"/>
                <w:szCs w:val="24"/>
              </w:rPr>
              <w:t>通过财政下达人员经费和日常公用经费，保障机构日常运转和民警职工劳动报酬足额发放，为圆满完成各项公安工作任务提供有效保障。</w:t>
            </w:r>
          </w:p>
        </w:tc>
      </w:tr>
      <w:tr>
        <w:trPr>
          <w:trHeight w:val="23"/>
        </w:trPr>
        <w:tc>
          <w:tcPr>
            <w:tcW w:w="130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62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300" w:lineRule="exact"/>
              <w:jc w:val="center"/>
              <w:rPr>
                <w:rFonts w:eastAsia="宋体"/>
                <w:color w:val="000000"/>
                <w:sz w:val="24"/>
              </w:rPr>
            </w:pPr>
            <w:r>
              <w:rPr>
                <w:rFonts w:ascii="宋体" w:eastAsia="宋体" w:cs="宋体"/>
                <w:sz w:val="24"/>
                <w:szCs w:val="24"/>
              </w:rPr>
              <w:t>重大活动安保维稳</w:t>
            </w:r>
          </w:p>
        </w:tc>
        <w:tc>
          <w:tcPr>
            <w:tcW w:w="6632"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300" w:lineRule="exact"/>
              <w:jc w:val="left"/>
              <w:rPr>
                <w:rFonts w:eastAsia="宋体"/>
                <w:color w:val="000000"/>
                <w:sz w:val="24"/>
              </w:rPr>
            </w:pPr>
            <w:r>
              <w:rPr>
                <w:rFonts w:ascii="宋体" w:eastAsia="宋体" w:cs="宋体"/>
                <w:sz w:val="24"/>
                <w:szCs w:val="24"/>
              </w:rPr>
              <w:t>坚决完成各类重大活动安保维稳任务</w:t>
            </w:r>
            <w:r>
              <w:rPr>
                <w:rFonts w:ascii="宋体" w:eastAsia="宋体" w:cs="宋体" w:hint="eastAsia"/>
                <w:sz w:val="24"/>
                <w:szCs w:val="24"/>
                <w:lang w:eastAsia="zh-CN"/>
              </w:rPr>
              <w:t>。</w:t>
            </w:r>
          </w:p>
        </w:tc>
      </w:tr>
      <w:tr>
        <w:trPr>
          <w:trHeight w:val="23"/>
        </w:trPr>
        <w:tc>
          <w:tcPr>
            <w:tcW w:w="130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300" w:lineRule="exact"/>
              <w:jc w:val="center"/>
              <w:textAlignment w:val="center"/>
              <w:rPr>
                <w:rFonts w:eastAsia="宋体"/>
                <w:color w:val="000000"/>
                <w:kern w:val="0"/>
                <w:sz w:val="24"/>
              </w:rPr>
            </w:pPr>
            <w:r>
              <w:rPr>
                <w:rFonts w:eastAsia="宋体"/>
                <w:color w:val="000000"/>
                <w:kern w:val="0"/>
                <w:sz w:val="24"/>
              </w:rPr>
              <w:t>年度绩效</w:t>
            </w:r>
          </w:p>
          <w:p>
            <w:pPr>
              <w:widowControl/>
              <w:suppressAutoHyphens/>
              <w:spacing w:line="300" w:lineRule="exact"/>
              <w:jc w:val="center"/>
              <w:textAlignment w:val="center"/>
              <w:rPr>
                <w:rFonts w:eastAsia="宋体"/>
                <w:color w:val="000000"/>
                <w:sz w:val="24"/>
              </w:rPr>
            </w:pPr>
            <w:r>
              <w:rPr>
                <w:rFonts w:eastAsia="宋体"/>
                <w:color w:val="000000"/>
                <w:kern w:val="0"/>
                <w:sz w:val="24"/>
              </w:rPr>
              <w:t>指标</w:t>
            </w:r>
          </w:p>
        </w:tc>
        <w:tc>
          <w:tcPr>
            <w:tcW w:w="1347"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300" w:lineRule="exact"/>
              <w:jc w:val="center"/>
              <w:textAlignment w:val="center"/>
              <w:rPr>
                <w:rFonts w:eastAsia="宋体"/>
                <w:color w:val="000000"/>
                <w:sz w:val="24"/>
              </w:rPr>
            </w:pPr>
            <w:r>
              <w:rPr>
                <w:rFonts w:eastAsia="宋体"/>
                <w:color w:val="000000"/>
                <w:kern w:val="0"/>
                <w:sz w:val="24"/>
              </w:rPr>
              <w:t>一级指标</w:t>
            </w:r>
          </w:p>
        </w:tc>
        <w:tc>
          <w:tcPr>
            <w:tcW w:w="1273"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300" w:lineRule="exact"/>
              <w:jc w:val="center"/>
              <w:textAlignment w:val="center"/>
              <w:rPr>
                <w:rFonts w:eastAsia="宋体"/>
                <w:color w:val="000000"/>
                <w:sz w:val="24"/>
              </w:rPr>
            </w:pPr>
            <w:r>
              <w:rPr>
                <w:rFonts w:eastAsia="宋体"/>
                <w:color w:val="000000"/>
                <w:kern w:val="0"/>
                <w:sz w:val="24"/>
              </w:rPr>
              <w:t>二级指标</w:t>
            </w:r>
          </w:p>
        </w:tc>
        <w:tc>
          <w:tcPr>
            <w:tcW w:w="110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300" w:lineRule="exact"/>
              <w:jc w:val="center"/>
              <w:textAlignment w:val="center"/>
              <w:rPr>
                <w:rFonts w:eastAsia="宋体"/>
                <w:color w:val="000000"/>
                <w:sz w:val="24"/>
              </w:rPr>
            </w:pPr>
            <w:r>
              <w:rPr>
                <w:rFonts w:eastAsia="宋体"/>
                <w:color w:val="000000"/>
                <w:kern w:val="0"/>
                <w:sz w:val="24"/>
              </w:rPr>
              <w:t>三级指标</w:t>
            </w:r>
          </w:p>
        </w:tc>
        <w:tc>
          <w:tcPr>
            <w:tcW w:w="1145"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300" w:lineRule="exact"/>
              <w:jc w:val="center"/>
              <w:textAlignment w:val="center"/>
              <w:rPr>
                <w:rFonts w:eastAsia="宋体"/>
                <w:color w:val="000000"/>
                <w:kern w:val="0"/>
                <w:sz w:val="24"/>
              </w:rPr>
            </w:pPr>
            <w:r>
              <w:rPr>
                <w:rFonts w:eastAsia="宋体"/>
                <w:color w:val="000000"/>
                <w:kern w:val="0"/>
                <w:sz w:val="24"/>
              </w:rPr>
              <w:t>绩效指标</w:t>
            </w:r>
          </w:p>
          <w:p>
            <w:pPr>
              <w:widowControl/>
              <w:suppressAutoHyphens/>
              <w:spacing w:line="300" w:lineRule="exact"/>
              <w:jc w:val="center"/>
              <w:textAlignment w:val="center"/>
              <w:rPr>
                <w:rFonts w:eastAsia="宋体"/>
                <w:color w:val="000000"/>
                <w:sz w:val="24"/>
              </w:rPr>
            </w:pPr>
            <w:r>
              <w:rPr>
                <w:rFonts w:eastAsia="宋体"/>
                <w:color w:val="000000"/>
                <w:kern w:val="0"/>
                <w:sz w:val="24"/>
              </w:rPr>
              <w:t>性质</w:t>
            </w:r>
          </w:p>
        </w:tc>
        <w:tc>
          <w:tcPr>
            <w:tcW w:w="1289"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300" w:lineRule="exact"/>
              <w:jc w:val="center"/>
              <w:textAlignment w:val="center"/>
              <w:rPr>
                <w:rFonts w:eastAsia="宋体"/>
                <w:color w:val="000000"/>
                <w:sz w:val="24"/>
              </w:rPr>
            </w:pPr>
            <w:r>
              <w:rPr>
                <w:rFonts w:eastAsia="宋体"/>
                <w:color w:val="000000"/>
                <w:kern w:val="0"/>
                <w:sz w:val="24"/>
              </w:rPr>
              <w:t>绩效指标值</w:t>
            </w:r>
          </w:p>
        </w:tc>
        <w:tc>
          <w:tcPr>
            <w:tcW w:w="1058"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300" w:lineRule="exact"/>
              <w:jc w:val="center"/>
              <w:textAlignment w:val="center"/>
              <w:rPr>
                <w:rFonts w:eastAsia="宋体"/>
                <w:color w:val="000000"/>
                <w:sz w:val="24"/>
              </w:rPr>
            </w:pPr>
            <w:r>
              <w:rPr>
                <w:rFonts w:eastAsia="宋体"/>
                <w:color w:val="000000"/>
                <w:kern w:val="0"/>
                <w:sz w:val="24"/>
              </w:rPr>
              <w:t>绩效度量单位</w:t>
            </w:r>
          </w:p>
        </w:tc>
        <w:tc>
          <w:tcPr>
            <w:tcW w:w="926" w:type="dxa"/>
            <w:tcBorders>
              <w:top w:val="single" w:sz="4" w:space="0" w:color="000000"/>
              <w:left w:val="single" w:sz="4" w:space="0" w:color="000000"/>
              <w:bottom w:val="single" w:sz="4" w:space="0" w:color="000000"/>
            </w:tcBorders>
            <w:shd w:val="clear" w:color="auto" w:fill="auto"/>
            <w:vAlign w:val="center"/>
          </w:tcPr>
          <w:p>
            <w:pPr>
              <w:widowControl/>
              <w:suppressAutoHyphens/>
              <w:spacing w:line="300" w:lineRule="exact"/>
              <w:jc w:val="center"/>
              <w:textAlignment w:val="center"/>
              <w:rPr>
                <w:rFonts w:eastAsia="宋体"/>
                <w:color w:val="000000"/>
                <w:sz w:val="24"/>
              </w:rPr>
            </w:pPr>
            <w:r>
              <w:rPr>
                <w:rFonts w:eastAsia="宋体"/>
                <w:color w:val="000000"/>
                <w:kern w:val="0"/>
                <w:sz w:val="24"/>
              </w:rPr>
              <w:t>权重</w:t>
            </w:r>
          </w:p>
        </w:tc>
        <w:tc>
          <w:tcPr>
            <w:tcW w:w="1114"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300" w:lineRule="exact"/>
              <w:jc w:val="center"/>
              <w:textAlignment w:val="center"/>
              <w:rPr>
                <w:rFonts w:eastAsia="宋体"/>
                <w:color w:val="000000"/>
                <w:kern w:val="0"/>
                <w:sz w:val="24"/>
              </w:rPr>
            </w:pPr>
            <w:r>
              <w:rPr>
                <w:rFonts w:eastAsia="宋体"/>
                <w:color w:val="000000"/>
                <w:kern w:val="0"/>
                <w:sz w:val="24"/>
              </w:rPr>
              <w:t>实际完成</w:t>
            </w:r>
          </w:p>
          <w:p>
            <w:pPr>
              <w:widowControl/>
              <w:suppressAutoHyphens/>
              <w:spacing w:line="300" w:lineRule="exact"/>
              <w:jc w:val="center"/>
              <w:textAlignment w:val="center"/>
              <w:rPr>
                <w:rFonts w:eastAsia="宋体"/>
                <w:color w:val="000000"/>
                <w:sz w:val="24"/>
              </w:rPr>
            </w:pPr>
            <w:r>
              <w:rPr>
                <w:rFonts w:eastAsia="宋体"/>
                <w:color w:val="000000"/>
                <w:kern w:val="0"/>
                <w:sz w:val="24"/>
              </w:rPr>
              <w:t>指标值</w:t>
            </w:r>
          </w:p>
        </w:tc>
      </w:tr>
      <w:tr>
        <w:trPr>
          <w:trHeight w:val="23"/>
        </w:trPr>
        <w:tc>
          <w:tcPr>
            <w:tcW w:w="130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34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300" w:lineRule="exact"/>
              <w:jc w:val="center"/>
              <w:textAlignment w:val="center"/>
              <w:rPr>
                <w:rFonts w:eastAsia="宋体"/>
                <w:color w:val="000000"/>
                <w:sz w:val="24"/>
              </w:rPr>
            </w:pPr>
            <w:r>
              <w:rPr>
                <w:rFonts w:eastAsia="宋体"/>
                <w:color w:val="000000"/>
                <w:kern w:val="0"/>
                <w:sz w:val="24"/>
              </w:rPr>
              <w:t>产出指标</w:t>
            </w:r>
          </w:p>
        </w:tc>
        <w:tc>
          <w:tcPr>
            <w:tcW w:w="127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300" w:lineRule="exact"/>
              <w:jc w:val="center"/>
              <w:textAlignment w:val="center"/>
              <w:rPr>
                <w:rFonts w:eastAsia="宋体"/>
                <w:color w:val="000000"/>
                <w:sz w:val="24"/>
              </w:rPr>
            </w:pPr>
            <w:r>
              <w:rPr>
                <w:rFonts w:eastAsia="宋体"/>
                <w:color w:val="000000"/>
                <w:kern w:val="0"/>
                <w:sz w:val="24"/>
              </w:rPr>
              <w:t>数量指标</w:t>
            </w:r>
          </w:p>
        </w:tc>
        <w:tc>
          <w:tcPr>
            <w:tcW w:w="110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300" w:lineRule="exact"/>
              <w:jc w:val="center"/>
              <w:textAlignment w:val="center"/>
              <w:rPr>
                <w:rFonts w:eastAsia="宋体"/>
                <w:color w:val="000000"/>
                <w:kern w:val="0"/>
                <w:sz w:val="24"/>
              </w:rPr>
            </w:pPr>
            <w:r>
              <w:rPr>
                <w:rFonts w:eastAsia="宋体"/>
                <w:color w:val="000000"/>
                <w:kern w:val="0"/>
                <w:sz w:val="24"/>
              </w:rPr>
              <w:t>完成培训人数</w:t>
            </w:r>
          </w:p>
        </w:tc>
        <w:tc>
          <w:tcPr>
            <w:tcW w:w="1145"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300" w:lineRule="exact"/>
              <w:jc w:val="left"/>
              <w:textAlignment w:val="center"/>
              <w:rPr>
                <w:rFonts w:eastAsia="宋体" w:hint="eastAsia"/>
                <w:color w:val="000000"/>
                <w:sz w:val="24"/>
                <w:lang w:eastAsia="zh-CN"/>
              </w:rPr>
            </w:pPr>
            <w:r>
              <w:rPr>
                <w:rFonts w:eastAsia="宋体" w:hint="eastAsia"/>
                <w:color w:val="000000"/>
                <w:kern w:val="0"/>
                <w:sz w:val="24"/>
                <w:lang w:eastAsia="zh-CN"/>
              </w:rPr>
              <w:t>≥</w:t>
            </w:r>
          </w:p>
        </w:tc>
        <w:tc>
          <w:tcPr>
            <w:tcW w:w="1289"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300" w:lineRule="exact"/>
              <w:jc w:val="left"/>
              <w:textAlignment w:val="center"/>
              <w:rPr>
                <w:rFonts w:eastAsia="宋体"/>
                <w:color w:val="000000"/>
                <w:sz w:val="24"/>
                <w:lang w:val="en-US" w:eastAsia="zh-CN"/>
              </w:rPr>
            </w:pPr>
            <w:r>
              <w:rPr>
                <w:rFonts w:eastAsia="宋体" w:hint="eastAsia"/>
                <w:color w:val="000000"/>
                <w:kern w:val="0"/>
                <w:sz w:val="24"/>
                <w:lang w:val="en-US" w:eastAsia="zh-CN"/>
              </w:rPr>
              <w:t>780</w:t>
            </w:r>
          </w:p>
        </w:tc>
        <w:tc>
          <w:tcPr>
            <w:tcW w:w="1058"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300" w:lineRule="exact"/>
              <w:jc w:val="left"/>
              <w:textAlignment w:val="center"/>
              <w:rPr>
                <w:rFonts w:eastAsia="宋体" w:hint="eastAsia"/>
                <w:color w:val="000000"/>
                <w:sz w:val="24"/>
                <w:lang w:eastAsia="zh-CN"/>
              </w:rPr>
            </w:pPr>
            <w:r>
              <w:rPr>
                <w:rFonts w:eastAsia="宋体" w:hint="eastAsia"/>
                <w:color w:val="000000"/>
                <w:kern w:val="0"/>
                <w:sz w:val="24"/>
                <w:lang w:eastAsia="zh-CN"/>
              </w:rPr>
              <w:t>人次</w:t>
            </w:r>
          </w:p>
        </w:tc>
        <w:tc>
          <w:tcPr>
            <w:tcW w:w="926"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300" w:lineRule="exact"/>
              <w:jc w:val="left"/>
              <w:textAlignment w:val="center"/>
              <w:rPr>
                <w:rFonts w:eastAsia="宋体"/>
                <w:color w:val="000000"/>
                <w:sz w:val="24"/>
              </w:rPr>
            </w:pPr>
            <w:r>
              <w:rPr>
                <w:rFonts w:eastAsia="宋体" w:hint="eastAsia"/>
                <w:color w:val="000000"/>
                <w:kern w:val="0"/>
                <w:sz w:val="24"/>
                <w:lang w:val="en-US" w:eastAsia="zh-CN"/>
              </w:rPr>
              <w:t>10</w:t>
            </w:r>
            <w:r>
              <w:rPr>
                <w:rFonts w:eastAsia="宋体"/>
                <w:color w:val="000000"/>
                <w:kern w:val="0"/>
                <w:sz w:val="24"/>
              </w:rPr>
              <w:t>%</w:t>
            </w:r>
          </w:p>
        </w:tc>
        <w:tc>
          <w:tcPr>
            <w:tcW w:w="1114" w:type="dxa"/>
            <w:tcBorders>
              <w:left w:val="single" w:sz="4" w:space="0" w:color="000000"/>
              <w:bottom w:val="single" w:sz="4" w:space="0" w:color="000000"/>
              <w:right w:val="single" w:sz="4" w:space="0" w:color="000000"/>
            </w:tcBorders>
            <w:shd w:val="clear" w:color="auto" w:fill="auto"/>
            <w:vAlign w:val="center"/>
          </w:tcPr>
          <w:p>
            <w:pPr>
              <w:widowControl/>
              <w:suppressAutoHyphens/>
              <w:spacing w:line="300" w:lineRule="exact"/>
              <w:jc w:val="left"/>
              <w:textAlignment w:val="center"/>
              <w:rPr>
                <w:rFonts w:eastAsia="宋体"/>
                <w:color w:val="000000"/>
                <w:sz w:val="24"/>
                <w:lang w:val="en-US" w:eastAsia="zh-CN"/>
              </w:rPr>
            </w:pPr>
            <w:r>
              <w:rPr>
                <w:rFonts w:eastAsia="宋体" w:hint="eastAsia"/>
                <w:color w:val="000000"/>
                <w:kern w:val="0"/>
                <w:sz w:val="24"/>
                <w:lang w:val="en-US" w:eastAsia="zh-CN"/>
              </w:rPr>
              <w:t>800</w:t>
            </w:r>
          </w:p>
        </w:tc>
      </w:tr>
      <w:tr>
        <w:trPr>
          <w:trHeight w:val="23"/>
        </w:trPr>
        <w:tc>
          <w:tcPr>
            <w:tcW w:w="130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34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2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10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300" w:lineRule="exact"/>
              <w:jc w:val="center"/>
              <w:textAlignment w:val="center"/>
              <w:rPr>
                <w:rFonts w:eastAsia="宋体"/>
                <w:color w:val="000000"/>
                <w:kern w:val="0"/>
                <w:sz w:val="24"/>
              </w:rPr>
            </w:pPr>
            <w:r>
              <w:rPr>
                <w:rFonts w:eastAsia="宋体"/>
                <w:color w:val="000000"/>
                <w:kern w:val="0"/>
                <w:sz w:val="24"/>
              </w:rPr>
              <w:t>采购设备数量</w:t>
            </w:r>
          </w:p>
        </w:tc>
        <w:tc>
          <w:tcPr>
            <w:tcW w:w="1145"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300" w:lineRule="exact"/>
              <w:jc w:val="left"/>
              <w:rPr>
                <w:rFonts w:eastAsia="宋体"/>
                <w:color w:val="000000"/>
                <w:sz w:val="24"/>
              </w:rPr>
            </w:pPr>
            <w:r>
              <w:rPr>
                <w:rFonts w:eastAsia="宋体" w:hint="eastAsia"/>
                <w:color w:val="000000"/>
                <w:kern w:val="0"/>
                <w:sz w:val="24"/>
                <w:lang w:eastAsia="zh-CN"/>
              </w:rPr>
              <w:t>≥</w:t>
            </w:r>
          </w:p>
        </w:tc>
        <w:tc>
          <w:tcPr>
            <w:tcW w:w="1289"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300" w:lineRule="exact"/>
              <w:jc w:val="left"/>
              <w:rPr>
                <w:rFonts w:eastAsia="宋体"/>
                <w:color w:val="000000"/>
                <w:sz w:val="24"/>
                <w:lang w:val="en-US" w:eastAsia="zh-CN"/>
              </w:rPr>
            </w:pPr>
            <w:r>
              <w:rPr>
                <w:rFonts w:eastAsia="宋体" w:hint="eastAsia"/>
                <w:color w:val="000000"/>
                <w:sz w:val="24"/>
                <w:lang w:val="en-US" w:eastAsia="zh-CN"/>
              </w:rPr>
              <w:t>1894</w:t>
            </w:r>
          </w:p>
        </w:tc>
        <w:tc>
          <w:tcPr>
            <w:tcW w:w="1058"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300" w:lineRule="exact"/>
              <w:jc w:val="left"/>
              <w:rPr>
                <w:rFonts w:eastAsia="宋体" w:hint="eastAsia"/>
                <w:color w:val="000000"/>
                <w:sz w:val="24"/>
                <w:lang w:eastAsia="zh-CN"/>
              </w:rPr>
            </w:pPr>
            <w:r>
              <w:rPr>
                <w:rFonts w:eastAsia="宋体" w:hint="eastAsia"/>
                <w:color w:val="000000"/>
                <w:sz w:val="24"/>
                <w:lang w:eastAsia="zh-CN"/>
              </w:rPr>
              <w:t>套</w:t>
            </w:r>
          </w:p>
        </w:tc>
        <w:tc>
          <w:tcPr>
            <w:tcW w:w="926"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300" w:lineRule="exact"/>
              <w:jc w:val="left"/>
              <w:rPr>
                <w:rFonts w:eastAsia="宋体"/>
                <w:color w:val="000000"/>
                <w:sz w:val="24"/>
              </w:rPr>
            </w:pPr>
            <w:r>
              <w:rPr>
                <w:rFonts w:eastAsia="宋体" w:hint="eastAsia"/>
                <w:color w:val="000000"/>
                <w:kern w:val="0"/>
                <w:sz w:val="24"/>
                <w:lang w:val="en-US" w:eastAsia="zh-CN"/>
              </w:rPr>
              <w:t>10</w:t>
            </w:r>
            <w:r>
              <w:rPr>
                <w:rFonts w:eastAsia="宋体"/>
                <w:color w:val="000000"/>
                <w:kern w:val="0"/>
                <w:sz w:val="24"/>
              </w:rPr>
              <w:t>%</w:t>
            </w:r>
          </w:p>
        </w:tc>
        <w:tc>
          <w:tcPr>
            <w:tcW w:w="1114"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300" w:lineRule="exact"/>
              <w:jc w:val="left"/>
              <w:rPr>
                <w:rFonts w:eastAsia="宋体"/>
                <w:color w:val="000000"/>
                <w:sz w:val="24"/>
                <w:lang w:val="en-US" w:eastAsia="zh-CN"/>
              </w:rPr>
            </w:pPr>
            <w:r>
              <w:rPr>
                <w:rFonts w:eastAsia="宋体" w:hint="eastAsia"/>
                <w:color w:val="000000"/>
                <w:sz w:val="24"/>
                <w:lang w:val="en-US" w:eastAsia="zh-CN"/>
              </w:rPr>
              <w:t>1920</w:t>
            </w:r>
          </w:p>
        </w:tc>
      </w:tr>
      <w:tr>
        <w:trPr>
          <w:trHeight w:val="23"/>
        </w:trPr>
        <w:tc>
          <w:tcPr>
            <w:tcW w:w="130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34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273" w:type="dxa"/>
            <w:vMerge w:val="restart"/>
            <w:tcBorders>
              <w:top w:val="single" w:sz="4" w:space="0" w:color="000000"/>
              <w:left w:val="single" w:sz="4" w:space="0" w:color="000000"/>
              <w:right w:val="single" w:sz="4" w:space="0" w:color="000000"/>
            </w:tcBorders>
            <w:shd w:val="clear" w:color="auto" w:fill="auto"/>
            <w:vAlign w:val="center"/>
          </w:tcPr>
          <w:p>
            <w:pPr>
              <w:widowControl/>
              <w:suppressAutoHyphens/>
              <w:spacing w:line="300" w:lineRule="exact"/>
              <w:jc w:val="center"/>
              <w:textAlignment w:val="center"/>
              <w:rPr>
                <w:rFonts w:eastAsia="宋体"/>
                <w:color w:val="000000"/>
                <w:sz w:val="24"/>
              </w:rPr>
            </w:pPr>
            <w:r>
              <w:rPr>
                <w:rFonts w:eastAsia="宋体"/>
                <w:color w:val="000000"/>
                <w:kern w:val="0"/>
                <w:sz w:val="24"/>
              </w:rPr>
              <w:t>质量指标</w:t>
            </w:r>
          </w:p>
        </w:tc>
        <w:tc>
          <w:tcPr>
            <w:tcW w:w="110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300" w:lineRule="exact"/>
              <w:jc w:val="center"/>
              <w:textAlignment w:val="center"/>
              <w:rPr>
                <w:rFonts w:eastAsia="宋体"/>
                <w:color w:val="000000"/>
                <w:kern w:val="0"/>
                <w:sz w:val="24"/>
              </w:rPr>
            </w:pPr>
            <w:r>
              <w:rPr>
                <w:rFonts w:eastAsia="宋体"/>
                <w:color w:val="000000"/>
                <w:kern w:val="0"/>
                <w:sz w:val="24"/>
              </w:rPr>
              <w:t>购买设备合格率</w:t>
            </w:r>
          </w:p>
        </w:tc>
        <w:tc>
          <w:tcPr>
            <w:tcW w:w="1145"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300" w:lineRule="exact"/>
              <w:jc w:val="left"/>
              <w:rPr>
                <w:rFonts w:eastAsia="宋体" w:hint="eastAsia"/>
                <w:color w:val="000000"/>
                <w:sz w:val="24"/>
                <w:lang w:eastAsia="zh-CN"/>
              </w:rPr>
            </w:pPr>
            <w:r>
              <w:rPr>
                <w:rFonts w:eastAsia="宋体" w:hint="eastAsia"/>
                <w:color w:val="000000"/>
                <w:sz w:val="24"/>
                <w:lang w:eastAsia="zh-CN"/>
              </w:rPr>
              <w:t>＝</w:t>
            </w:r>
          </w:p>
        </w:tc>
        <w:tc>
          <w:tcPr>
            <w:tcW w:w="1289"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300" w:lineRule="exact"/>
              <w:jc w:val="left"/>
              <w:rPr>
                <w:rFonts w:eastAsia="宋体"/>
                <w:color w:val="000000"/>
                <w:sz w:val="24"/>
                <w:lang w:val="en-US" w:eastAsia="zh-CN"/>
              </w:rPr>
            </w:pPr>
            <w:r>
              <w:rPr>
                <w:rFonts w:eastAsia="宋体" w:hint="eastAsia"/>
                <w:color w:val="000000"/>
                <w:sz w:val="24"/>
                <w:lang w:val="en-US" w:eastAsia="zh-CN"/>
              </w:rPr>
              <w:t>100</w:t>
            </w:r>
          </w:p>
        </w:tc>
        <w:tc>
          <w:tcPr>
            <w:tcW w:w="1058"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300" w:lineRule="exact"/>
              <w:jc w:val="left"/>
              <w:rPr>
                <w:rFonts w:eastAsia="宋体" w:hint="eastAsia"/>
                <w:color w:val="000000"/>
                <w:sz w:val="24"/>
                <w:lang w:val="en-US" w:eastAsia="zh-CN"/>
              </w:rPr>
            </w:pPr>
            <w:r>
              <w:rPr>
                <w:rFonts w:eastAsia="宋体" w:hint="eastAsia"/>
                <w:color w:val="000000"/>
                <w:sz w:val="24"/>
                <w:lang w:val="en-US" w:eastAsia="zh-CN"/>
              </w:rPr>
              <w:t>%</w:t>
            </w:r>
          </w:p>
        </w:tc>
        <w:tc>
          <w:tcPr>
            <w:tcW w:w="926"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300" w:lineRule="exact"/>
              <w:jc w:val="left"/>
              <w:rPr>
                <w:rFonts w:eastAsia="宋体"/>
                <w:color w:val="000000"/>
                <w:sz w:val="24"/>
              </w:rPr>
            </w:pPr>
            <w:r>
              <w:rPr>
                <w:rFonts w:eastAsia="宋体" w:hint="eastAsia"/>
                <w:color w:val="000000"/>
                <w:kern w:val="0"/>
                <w:sz w:val="24"/>
                <w:lang w:val="en-US" w:eastAsia="zh-CN"/>
              </w:rPr>
              <w:t>15</w:t>
            </w:r>
            <w:r>
              <w:rPr>
                <w:rFonts w:eastAsia="宋体"/>
                <w:color w:val="000000"/>
                <w:kern w:val="0"/>
                <w:sz w:val="24"/>
              </w:rPr>
              <w:t>%</w:t>
            </w:r>
          </w:p>
        </w:tc>
        <w:tc>
          <w:tcPr>
            <w:tcW w:w="1114"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300" w:lineRule="exact"/>
              <w:jc w:val="left"/>
              <w:rPr>
                <w:rFonts w:eastAsia="宋体"/>
                <w:color w:val="000000"/>
                <w:sz w:val="24"/>
              </w:rPr>
            </w:pPr>
            <w:r>
              <w:rPr>
                <w:rFonts w:eastAsia="宋体" w:hint="eastAsia"/>
                <w:color w:val="000000"/>
                <w:kern w:val="0"/>
                <w:sz w:val="24"/>
                <w:lang w:val="en-US" w:eastAsia="zh-CN"/>
              </w:rPr>
              <w:t>100</w:t>
            </w:r>
            <w:r>
              <w:rPr>
                <w:rFonts w:eastAsia="宋体"/>
                <w:color w:val="000000"/>
                <w:kern w:val="0"/>
                <w:sz w:val="24"/>
              </w:rPr>
              <w:t>%</w:t>
            </w:r>
          </w:p>
        </w:tc>
      </w:tr>
      <w:tr>
        <w:trPr>
          <w:trHeight w:val="23"/>
        </w:trPr>
        <w:tc>
          <w:tcPr>
            <w:tcW w:w="130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34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273" w:type="dxa"/>
            <w:vMerge/>
            <w:tcBorders>
              <w:left w:val="single" w:sz="4" w:space="0" w:color="000000"/>
              <w:bottom w:val="single" w:sz="4" w:space="0" w:color="000000"/>
              <w:right w:val="single" w:sz="4" w:space="0" w:color="000000"/>
            </w:tcBorders>
            <w:shd w:val="clear" w:color="auto" w:fill="auto"/>
            <w:vAlign w:val="center"/>
          </w:tcPr>
          <w:p/>
        </w:tc>
        <w:tc>
          <w:tcPr>
            <w:tcW w:w="110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300" w:lineRule="exact"/>
              <w:jc w:val="center"/>
              <w:textAlignment w:val="center"/>
              <w:rPr>
                <w:rFonts w:eastAsia="宋体"/>
                <w:color w:val="000000"/>
                <w:kern w:val="0"/>
                <w:sz w:val="24"/>
              </w:rPr>
            </w:pPr>
            <w:r>
              <w:rPr>
                <w:rFonts w:eastAsia="宋体"/>
                <w:color w:val="000000"/>
                <w:kern w:val="0"/>
                <w:sz w:val="24"/>
              </w:rPr>
              <w:t>信访案件、矛盾纠纷化解率</w:t>
            </w:r>
          </w:p>
        </w:tc>
        <w:tc>
          <w:tcPr>
            <w:tcW w:w="1145"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300" w:lineRule="exact"/>
              <w:jc w:val="left"/>
              <w:rPr>
                <w:rFonts w:eastAsia="宋体"/>
                <w:color w:val="000000"/>
                <w:sz w:val="24"/>
              </w:rPr>
            </w:pPr>
            <w:r>
              <w:rPr>
                <w:rFonts w:eastAsia="宋体" w:hint="eastAsia"/>
                <w:color w:val="000000"/>
                <w:kern w:val="0"/>
                <w:sz w:val="24"/>
                <w:lang w:eastAsia="zh-CN"/>
              </w:rPr>
              <w:t>≥</w:t>
            </w:r>
          </w:p>
        </w:tc>
        <w:tc>
          <w:tcPr>
            <w:tcW w:w="1289"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300" w:lineRule="exact"/>
              <w:jc w:val="left"/>
              <w:rPr>
                <w:rFonts w:eastAsia="宋体"/>
                <w:color w:val="000000"/>
                <w:sz w:val="24"/>
                <w:lang w:val="en-US" w:eastAsia="zh-CN"/>
              </w:rPr>
            </w:pPr>
            <w:r>
              <w:rPr>
                <w:rFonts w:eastAsia="宋体" w:hint="eastAsia"/>
                <w:color w:val="000000"/>
                <w:sz w:val="24"/>
                <w:lang w:val="en-US" w:eastAsia="zh-CN"/>
              </w:rPr>
              <w:t>90</w:t>
            </w:r>
          </w:p>
        </w:tc>
        <w:tc>
          <w:tcPr>
            <w:tcW w:w="1058"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300" w:lineRule="exact"/>
              <w:jc w:val="left"/>
              <w:rPr>
                <w:rFonts w:eastAsia="宋体" w:hint="eastAsia"/>
                <w:color w:val="000000"/>
                <w:sz w:val="24"/>
                <w:lang w:val="en-US" w:eastAsia="zh-CN"/>
              </w:rPr>
            </w:pPr>
            <w:r>
              <w:rPr>
                <w:rFonts w:eastAsia="宋体" w:hint="eastAsia"/>
                <w:color w:val="000000"/>
                <w:sz w:val="24"/>
                <w:lang w:val="en-US" w:eastAsia="zh-CN"/>
              </w:rPr>
              <w:t>%</w:t>
            </w:r>
          </w:p>
        </w:tc>
        <w:tc>
          <w:tcPr>
            <w:tcW w:w="926"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300" w:lineRule="exact"/>
              <w:jc w:val="left"/>
              <w:rPr>
                <w:rFonts w:eastAsia="宋体"/>
                <w:color w:val="000000"/>
                <w:sz w:val="24"/>
              </w:rPr>
            </w:pPr>
            <w:r>
              <w:rPr>
                <w:rFonts w:eastAsia="宋体" w:hint="eastAsia"/>
                <w:color w:val="000000"/>
                <w:kern w:val="0"/>
                <w:sz w:val="24"/>
                <w:lang w:val="en-US" w:eastAsia="zh-CN"/>
              </w:rPr>
              <w:t>15</w:t>
            </w:r>
            <w:r>
              <w:rPr>
                <w:rFonts w:eastAsia="宋体"/>
                <w:color w:val="000000"/>
                <w:kern w:val="0"/>
                <w:sz w:val="24"/>
              </w:rPr>
              <w:t>%</w:t>
            </w:r>
          </w:p>
        </w:tc>
        <w:tc>
          <w:tcPr>
            <w:tcW w:w="1114"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300" w:lineRule="exact"/>
              <w:jc w:val="left"/>
              <w:rPr>
                <w:rFonts w:eastAsia="宋体"/>
                <w:color w:val="000000"/>
                <w:sz w:val="24"/>
              </w:rPr>
            </w:pPr>
            <w:r>
              <w:rPr>
                <w:rFonts w:eastAsia="宋体" w:hint="eastAsia"/>
                <w:color w:val="000000"/>
                <w:kern w:val="0"/>
                <w:sz w:val="24"/>
                <w:lang w:val="en-US" w:eastAsia="zh-CN"/>
              </w:rPr>
              <w:t>92</w:t>
            </w:r>
            <w:r>
              <w:rPr>
                <w:rFonts w:eastAsia="宋体"/>
                <w:color w:val="000000"/>
                <w:kern w:val="0"/>
                <w:sz w:val="24"/>
              </w:rPr>
              <w:t>%</w:t>
            </w:r>
          </w:p>
        </w:tc>
      </w:tr>
      <w:tr>
        <w:trPr>
          <w:trHeight w:val="23"/>
        </w:trPr>
        <w:tc>
          <w:tcPr>
            <w:tcW w:w="130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34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273"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300" w:lineRule="exact"/>
              <w:jc w:val="center"/>
              <w:textAlignment w:val="center"/>
              <w:rPr>
                <w:rFonts w:eastAsia="宋体" w:hint="eastAsia"/>
                <w:color w:val="000000"/>
                <w:sz w:val="24"/>
                <w:lang w:eastAsia="zh-CN"/>
              </w:rPr>
            </w:pPr>
            <w:r>
              <w:rPr>
                <w:rFonts w:eastAsia="宋体" w:hint="eastAsia"/>
                <w:color w:val="000000"/>
                <w:kern w:val="0"/>
                <w:sz w:val="24"/>
                <w:lang w:eastAsia="zh-CN"/>
              </w:rPr>
              <w:t>时效指标</w:t>
            </w:r>
          </w:p>
        </w:tc>
        <w:tc>
          <w:tcPr>
            <w:tcW w:w="110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300" w:lineRule="exact"/>
              <w:jc w:val="left"/>
              <w:rPr>
                <w:rFonts w:eastAsia="宋体"/>
                <w:color w:val="000000"/>
                <w:sz w:val="24"/>
              </w:rPr>
            </w:pPr>
            <w:r>
              <w:rPr>
                <w:rFonts w:ascii="宋体" w:eastAsia="宋体" w:cs="宋体"/>
                <w:sz w:val="24"/>
                <w:szCs w:val="24"/>
              </w:rPr>
              <w:t>刑事案件侦办及时率</w:t>
            </w:r>
          </w:p>
        </w:tc>
        <w:tc>
          <w:tcPr>
            <w:tcW w:w="1145"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300" w:lineRule="exact"/>
              <w:jc w:val="left"/>
              <w:rPr>
                <w:rFonts w:eastAsia="宋体" w:hint="eastAsia"/>
                <w:color w:val="000000"/>
                <w:sz w:val="24"/>
                <w:lang w:eastAsia="zh-CN"/>
              </w:rPr>
            </w:pPr>
            <w:r>
              <w:rPr>
                <w:rFonts w:eastAsia="宋体" w:hint="eastAsia"/>
                <w:color w:val="000000"/>
                <w:sz w:val="24"/>
                <w:lang w:eastAsia="zh-CN"/>
              </w:rPr>
              <w:t>＝</w:t>
            </w:r>
          </w:p>
        </w:tc>
        <w:tc>
          <w:tcPr>
            <w:tcW w:w="1289"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300" w:lineRule="exact"/>
              <w:jc w:val="left"/>
              <w:rPr>
                <w:rFonts w:eastAsia="宋体"/>
                <w:color w:val="000000"/>
                <w:sz w:val="24"/>
                <w:lang w:val="en-US" w:eastAsia="zh-CN"/>
              </w:rPr>
            </w:pPr>
            <w:r>
              <w:rPr>
                <w:rFonts w:eastAsia="宋体" w:hint="eastAsia"/>
                <w:color w:val="000000"/>
                <w:sz w:val="24"/>
                <w:lang w:val="en-US" w:eastAsia="zh-CN"/>
              </w:rPr>
              <w:t>100</w:t>
            </w:r>
          </w:p>
        </w:tc>
        <w:tc>
          <w:tcPr>
            <w:tcW w:w="1058"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300" w:lineRule="exact"/>
              <w:jc w:val="left"/>
              <w:rPr>
                <w:rFonts w:eastAsia="宋体" w:hint="eastAsia"/>
                <w:color w:val="000000"/>
                <w:sz w:val="24"/>
                <w:lang w:val="en-US" w:eastAsia="zh-CN"/>
              </w:rPr>
            </w:pPr>
            <w:r>
              <w:rPr>
                <w:rFonts w:eastAsia="宋体" w:hint="eastAsia"/>
                <w:color w:val="000000"/>
                <w:sz w:val="24"/>
                <w:lang w:val="en-US" w:eastAsia="zh-CN"/>
              </w:rPr>
              <w:t>%</w:t>
            </w:r>
          </w:p>
        </w:tc>
        <w:tc>
          <w:tcPr>
            <w:tcW w:w="926"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300" w:lineRule="exact"/>
              <w:jc w:val="left"/>
              <w:rPr>
                <w:rFonts w:eastAsia="宋体"/>
                <w:color w:val="000000"/>
                <w:sz w:val="24"/>
                <w:lang w:val="en-US" w:eastAsia="zh-CN"/>
              </w:rPr>
            </w:pPr>
            <w:r>
              <w:rPr>
                <w:rFonts w:eastAsia="宋体" w:hint="eastAsia"/>
                <w:color w:val="000000"/>
                <w:sz w:val="24"/>
                <w:lang w:val="en-US" w:eastAsia="zh-CN"/>
              </w:rPr>
              <w:t>20%</w:t>
            </w:r>
          </w:p>
        </w:tc>
        <w:tc>
          <w:tcPr>
            <w:tcW w:w="1114"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300" w:lineRule="exact"/>
              <w:jc w:val="left"/>
              <w:rPr>
                <w:rFonts w:eastAsia="宋体"/>
                <w:color w:val="000000"/>
                <w:sz w:val="24"/>
                <w:lang w:val="en-US" w:eastAsia="zh-CN"/>
              </w:rPr>
            </w:pPr>
            <w:r>
              <w:rPr>
                <w:rFonts w:eastAsia="宋体" w:hint="eastAsia"/>
                <w:color w:val="000000"/>
                <w:sz w:val="24"/>
                <w:lang w:val="en-US" w:eastAsia="zh-CN"/>
              </w:rPr>
              <w:t>100%</w:t>
            </w:r>
          </w:p>
        </w:tc>
      </w:tr>
      <w:tr>
        <w:trPr>
          <w:trHeight w:val="23"/>
        </w:trPr>
        <w:tc>
          <w:tcPr>
            <w:tcW w:w="130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347"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300" w:lineRule="exact"/>
              <w:jc w:val="center"/>
              <w:textAlignment w:val="center"/>
              <w:rPr>
                <w:rFonts w:ascii="Times New Roman" w:eastAsia="宋体" w:cs="Times New Roman" w:hAnsi="Times New Roman"/>
                <w:color w:val="000000"/>
                <w:kern w:val="2"/>
                <w:sz w:val="24"/>
                <w:szCs w:val="24"/>
                <w:lang w:val="en-US" w:eastAsia="zh-CN" w:bidi="ar-SA"/>
              </w:rPr>
            </w:pPr>
            <w:r>
              <w:rPr>
                <w:rFonts w:eastAsia="宋体"/>
                <w:color w:val="000000"/>
                <w:kern w:val="0"/>
                <w:sz w:val="24"/>
              </w:rPr>
              <w:t>效益指标</w:t>
            </w:r>
          </w:p>
        </w:tc>
        <w:tc>
          <w:tcPr>
            <w:tcW w:w="1273" w:type="dxa"/>
            <w:tcBorders>
              <w:top w:val="single" w:sz="4" w:space="0" w:color="000000"/>
              <w:left w:val="single" w:sz="4" w:space="0" w:color="000000"/>
              <w:right w:val="single" w:sz="4" w:space="0" w:color="000000"/>
            </w:tcBorders>
            <w:shd w:val="clear" w:color="auto" w:fill="auto"/>
            <w:vAlign w:val="center"/>
          </w:tcPr>
          <w:p>
            <w:pPr>
              <w:widowControl/>
              <w:suppressAutoHyphens/>
              <w:spacing w:line="300" w:lineRule="exact"/>
              <w:jc w:val="center"/>
              <w:textAlignment w:val="center"/>
              <w:rPr>
                <w:rFonts w:eastAsia="宋体"/>
                <w:color w:val="000000"/>
                <w:kern w:val="0"/>
                <w:sz w:val="24"/>
              </w:rPr>
            </w:pPr>
            <w:r>
              <w:rPr>
                <w:rFonts w:eastAsia="宋体"/>
                <w:color w:val="000000"/>
                <w:kern w:val="0"/>
                <w:sz w:val="24"/>
              </w:rPr>
              <w:t>社会效益</w:t>
            </w:r>
          </w:p>
          <w:p>
            <w:pPr>
              <w:widowControl/>
              <w:suppressAutoHyphens/>
              <w:spacing w:line="300" w:lineRule="exact"/>
              <w:jc w:val="center"/>
              <w:textAlignment w:val="center"/>
              <w:rPr>
                <w:rFonts w:ascii="Times New Roman" w:eastAsia="宋体" w:cs="Times New Roman" w:hAnsi="Times New Roman"/>
                <w:color w:val="000000"/>
                <w:kern w:val="2"/>
                <w:sz w:val="24"/>
                <w:szCs w:val="24"/>
                <w:lang w:val="en-US" w:eastAsia="zh-CN" w:bidi="ar-SA"/>
              </w:rPr>
            </w:pPr>
            <w:r>
              <w:rPr>
                <w:rFonts w:eastAsia="宋体"/>
                <w:color w:val="000000"/>
                <w:kern w:val="0"/>
                <w:sz w:val="24"/>
              </w:rPr>
              <w:t>指标</w:t>
            </w:r>
          </w:p>
        </w:tc>
        <w:tc>
          <w:tcPr>
            <w:tcW w:w="110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300" w:lineRule="exact"/>
              <w:jc w:val="left"/>
              <w:rPr>
                <w:rFonts w:ascii="Times New Roman" w:eastAsia="宋体" w:cs="Times New Roman" w:hAnsi="Times New Roman" w:hint="eastAsia"/>
                <w:color w:val="000000"/>
                <w:kern w:val="2"/>
                <w:sz w:val="24"/>
                <w:szCs w:val="24"/>
                <w:lang w:val="en-US" w:eastAsia="zh-CN" w:bidi="ar-SA"/>
              </w:rPr>
            </w:pPr>
            <w:r>
              <w:rPr>
                <w:rFonts w:eastAsia="宋体" w:hint="eastAsia"/>
                <w:color w:val="000000"/>
                <w:sz w:val="24"/>
                <w:lang w:val="en-US" w:eastAsia="zh-CN"/>
              </w:rPr>
              <w:t>社会治安大局平稳</w:t>
            </w:r>
          </w:p>
        </w:tc>
        <w:tc>
          <w:tcPr>
            <w:tcW w:w="1145"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300" w:lineRule="exact"/>
              <w:jc w:val="left"/>
              <w:rPr>
                <w:rFonts w:ascii="Times New Roman" w:eastAsia="宋体" w:cs="Times New Roman" w:hAnsi="Times New Roman" w:hint="eastAsia"/>
                <w:color w:val="000000"/>
                <w:kern w:val="2"/>
                <w:sz w:val="24"/>
                <w:szCs w:val="24"/>
                <w:lang w:val="en-US" w:eastAsia="zh-CN" w:bidi="ar-SA"/>
              </w:rPr>
            </w:pPr>
            <w:r>
              <w:rPr>
                <w:rFonts w:eastAsia="宋体" w:hint="eastAsia"/>
                <w:color w:val="000000"/>
                <w:sz w:val="24"/>
                <w:lang w:eastAsia="zh-CN"/>
              </w:rPr>
              <w:t>定性</w:t>
            </w:r>
          </w:p>
        </w:tc>
        <w:tc>
          <w:tcPr>
            <w:tcW w:w="1289"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300" w:lineRule="exact"/>
              <w:jc w:val="left"/>
              <w:rPr>
                <w:rFonts w:ascii="Times New Roman" w:eastAsia="宋体" w:cs="Times New Roman" w:hAnsi="Times New Roman"/>
                <w:color w:val="000000"/>
                <w:kern w:val="2"/>
                <w:sz w:val="24"/>
                <w:szCs w:val="24"/>
                <w:lang w:val="en-US" w:eastAsia="zh-CN" w:bidi="ar-SA"/>
              </w:rPr>
            </w:pPr>
            <w:r>
              <w:rPr>
                <w:rFonts w:ascii="宋体" w:eastAsia="宋体" w:cs="宋体"/>
                <w:sz w:val="24"/>
                <w:szCs w:val="24"/>
              </w:rPr>
              <w:t>优良中低差</w:t>
            </w:r>
          </w:p>
        </w:tc>
        <w:tc>
          <w:tcPr>
            <w:tcW w:w="1058"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300" w:lineRule="exact"/>
              <w:jc w:val="left"/>
              <w:rPr>
                <w:rFonts w:ascii="Times New Roman" w:eastAsia="宋体" w:cs="Times New Roman" w:hAnsi="Times New Roman"/>
                <w:color w:val="000000"/>
                <w:kern w:val="2"/>
                <w:sz w:val="24"/>
                <w:szCs w:val="24"/>
                <w:lang w:val="en-US" w:eastAsia="zh-CN" w:bidi="ar-SA"/>
              </w:rPr>
            </w:pPr>
          </w:p>
        </w:tc>
        <w:tc>
          <w:tcPr>
            <w:tcW w:w="926"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300" w:lineRule="exact"/>
              <w:jc w:val="left"/>
              <w:rPr>
                <w:rFonts w:ascii="Times New Roman" w:eastAsia="宋体" w:cs="Times New Roman" w:hAnsi="Times New Roman" w:hint="eastAsia"/>
                <w:color w:val="000000"/>
                <w:kern w:val="2"/>
                <w:sz w:val="24"/>
                <w:szCs w:val="24"/>
                <w:lang w:val="en-US" w:eastAsia="zh-CN" w:bidi="ar-SA"/>
              </w:rPr>
            </w:pPr>
            <w:r>
              <w:rPr>
                <w:rFonts w:eastAsia="宋体" w:hint="eastAsia"/>
                <w:color w:val="000000"/>
                <w:sz w:val="24"/>
                <w:lang w:val="en-US" w:eastAsia="zh-CN"/>
              </w:rPr>
              <w:t>15%</w:t>
            </w:r>
          </w:p>
        </w:tc>
        <w:tc>
          <w:tcPr>
            <w:tcW w:w="1114"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300" w:lineRule="exact"/>
              <w:jc w:val="left"/>
              <w:rPr>
                <w:rFonts w:ascii="Times New Roman" w:eastAsia="宋体" w:cs="Times New Roman" w:hAnsi="Times New Roman" w:hint="eastAsia"/>
                <w:color w:val="000000"/>
                <w:kern w:val="2"/>
                <w:sz w:val="24"/>
                <w:szCs w:val="24"/>
                <w:lang w:val="en-US" w:eastAsia="zh-CN" w:bidi="ar-SA"/>
              </w:rPr>
            </w:pPr>
            <w:r>
              <w:rPr>
                <w:rFonts w:eastAsia="宋体" w:hint="eastAsia"/>
                <w:color w:val="000000"/>
                <w:sz w:val="24"/>
                <w:lang w:eastAsia="zh-CN"/>
              </w:rPr>
              <w:t>良好</w:t>
            </w:r>
          </w:p>
        </w:tc>
      </w:tr>
      <w:tr>
        <w:trPr>
          <w:trHeight w:val="23"/>
        </w:trPr>
        <w:tc>
          <w:tcPr>
            <w:tcW w:w="130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347"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300" w:lineRule="exact"/>
              <w:jc w:val="center"/>
              <w:textAlignment w:val="center"/>
              <w:rPr>
                <w:rFonts w:eastAsia="宋体"/>
                <w:color w:val="000000"/>
                <w:sz w:val="24"/>
              </w:rPr>
            </w:pPr>
            <w:r>
              <w:rPr>
                <w:rFonts w:eastAsia="宋体"/>
                <w:color w:val="000000"/>
                <w:kern w:val="0"/>
                <w:sz w:val="24"/>
              </w:rPr>
              <w:t>满意度指标</w:t>
            </w:r>
          </w:p>
        </w:tc>
        <w:tc>
          <w:tcPr>
            <w:tcW w:w="1273" w:type="dxa"/>
            <w:tcBorders>
              <w:top w:val="single" w:sz="4" w:space="0" w:color="000000"/>
              <w:left w:val="single" w:sz="4" w:space="0" w:color="000000"/>
              <w:right w:val="single" w:sz="4" w:space="0" w:color="000000"/>
            </w:tcBorders>
            <w:shd w:val="clear" w:color="auto" w:fill="auto"/>
            <w:vAlign w:val="center"/>
          </w:tcPr>
          <w:p>
            <w:pPr>
              <w:widowControl/>
              <w:suppressAutoHyphens/>
              <w:spacing w:line="300" w:lineRule="exact"/>
              <w:jc w:val="center"/>
              <w:textAlignment w:val="center"/>
              <w:rPr>
                <w:rFonts w:ascii="Times New Roman" w:eastAsia="宋体" w:cs="Times New Roman" w:hAnsi="Times New Roman"/>
                <w:color w:val="000000"/>
                <w:kern w:val="2"/>
                <w:sz w:val="24"/>
                <w:szCs w:val="24"/>
                <w:lang w:val="en-US" w:eastAsia="zh-CN" w:bidi="ar-SA"/>
              </w:rPr>
            </w:pPr>
            <w:r>
              <w:rPr>
                <w:rFonts w:ascii="宋体" w:eastAsia="宋体" w:cs="宋体"/>
                <w:sz w:val="24"/>
                <w:szCs w:val="24"/>
              </w:rPr>
              <w:t>服务对象满意度指标</w:t>
            </w:r>
          </w:p>
        </w:tc>
        <w:tc>
          <w:tcPr>
            <w:tcW w:w="110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300" w:lineRule="exact"/>
              <w:jc w:val="left"/>
              <w:rPr>
                <w:rFonts w:ascii="Times New Roman" w:eastAsia="宋体" w:cs="Times New Roman" w:hAnsi="Times New Roman" w:hint="eastAsia"/>
                <w:color w:val="000000"/>
                <w:kern w:val="2"/>
                <w:sz w:val="24"/>
                <w:szCs w:val="24"/>
                <w:lang w:val="en-US" w:eastAsia="zh-CN" w:bidi="ar-SA"/>
              </w:rPr>
            </w:pPr>
            <w:r>
              <w:rPr>
                <w:rFonts w:ascii="宋体" w:eastAsia="宋体" w:cs="宋体"/>
                <w:sz w:val="24"/>
                <w:szCs w:val="24"/>
              </w:rPr>
              <w:t>群众满意度</w:t>
            </w:r>
          </w:p>
        </w:tc>
        <w:tc>
          <w:tcPr>
            <w:tcW w:w="1145"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300" w:lineRule="exact"/>
              <w:jc w:val="left"/>
              <w:rPr>
                <w:rFonts w:ascii="Times New Roman" w:eastAsia="宋体" w:cs="Times New Roman" w:hAnsi="Times New Roman" w:hint="eastAsia"/>
                <w:color w:val="000000"/>
                <w:kern w:val="2"/>
                <w:sz w:val="24"/>
                <w:szCs w:val="24"/>
                <w:lang w:val="en-US" w:eastAsia="zh-CN" w:bidi="ar-SA"/>
              </w:rPr>
            </w:pPr>
            <w:r>
              <w:rPr>
                <w:rFonts w:eastAsia="宋体" w:hint="eastAsia"/>
                <w:color w:val="000000"/>
                <w:sz w:val="24"/>
                <w:lang w:eastAsia="zh-CN"/>
              </w:rPr>
              <w:t>≥</w:t>
            </w:r>
          </w:p>
        </w:tc>
        <w:tc>
          <w:tcPr>
            <w:tcW w:w="1289"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300" w:lineRule="exact"/>
              <w:jc w:val="left"/>
              <w:rPr>
                <w:rFonts w:ascii="Times New Roman" w:eastAsia="宋体" w:cs="Times New Roman" w:hAnsi="Times New Roman"/>
                <w:color w:val="000000"/>
                <w:kern w:val="2"/>
                <w:sz w:val="24"/>
                <w:szCs w:val="24"/>
                <w:lang w:val="en-US" w:eastAsia="zh-CN" w:bidi="ar-SA"/>
              </w:rPr>
            </w:pPr>
            <w:r>
              <w:rPr>
                <w:rFonts w:eastAsia="宋体" w:hint="eastAsia"/>
                <w:color w:val="000000"/>
                <w:sz w:val="24"/>
                <w:lang w:val="en-US" w:eastAsia="zh-CN"/>
              </w:rPr>
              <w:t>95</w:t>
            </w:r>
          </w:p>
        </w:tc>
        <w:tc>
          <w:tcPr>
            <w:tcW w:w="1058"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300" w:lineRule="exact"/>
              <w:jc w:val="left"/>
              <w:rPr>
                <w:rFonts w:ascii="Times New Roman" w:eastAsia="宋体" w:cs="Times New Roman" w:hAnsi="Times New Roman" w:hint="eastAsia"/>
                <w:color w:val="000000"/>
                <w:kern w:val="2"/>
                <w:sz w:val="24"/>
                <w:szCs w:val="24"/>
                <w:lang w:val="en-US" w:eastAsia="zh-CN" w:bidi="ar-SA"/>
              </w:rPr>
            </w:pPr>
            <w:r>
              <w:rPr>
                <w:rFonts w:eastAsia="宋体" w:hint="eastAsia"/>
                <w:color w:val="000000"/>
                <w:sz w:val="24"/>
                <w:lang w:val="en-US" w:eastAsia="zh-CN"/>
              </w:rPr>
              <w:t>%</w:t>
            </w:r>
          </w:p>
        </w:tc>
        <w:tc>
          <w:tcPr>
            <w:tcW w:w="926"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300" w:lineRule="exact"/>
              <w:jc w:val="left"/>
              <w:rPr>
                <w:rFonts w:ascii="Times New Roman" w:eastAsia="宋体" w:cs="Times New Roman" w:hAnsi="Times New Roman"/>
                <w:color w:val="000000"/>
                <w:kern w:val="2"/>
                <w:sz w:val="24"/>
                <w:szCs w:val="24"/>
                <w:lang w:val="en-US" w:eastAsia="zh-CN" w:bidi="ar-SA"/>
              </w:rPr>
            </w:pPr>
            <w:r>
              <w:rPr>
                <w:rFonts w:eastAsia="宋体" w:hint="eastAsia"/>
                <w:color w:val="000000"/>
                <w:sz w:val="24"/>
                <w:lang w:val="en-US" w:eastAsia="zh-CN"/>
              </w:rPr>
              <w:t>10%</w:t>
            </w:r>
          </w:p>
        </w:tc>
        <w:tc>
          <w:tcPr>
            <w:tcW w:w="1114"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300" w:lineRule="exact"/>
              <w:jc w:val="left"/>
              <w:rPr>
                <w:rFonts w:ascii="Times New Roman" w:eastAsia="宋体" w:cs="Times New Roman" w:hAnsi="Times New Roman" w:hint="eastAsia"/>
                <w:color w:val="000000"/>
                <w:kern w:val="2"/>
                <w:sz w:val="24"/>
                <w:szCs w:val="24"/>
                <w:lang w:val="en-US" w:eastAsia="zh-CN" w:bidi="ar-SA"/>
              </w:rPr>
            </w:pPr>
            <w:r>
              <w:rPr>
                <w:rFonts w:eastAsia="宋体" w:hint="eastAsia"/>
                <w:color w:val="000000"/>
                <w:sz w:val="24"/>
                <w:lang w:val="en-US" w:eastAsia="zh-CN"/>
              </w:rPr>
              <w:t>95%</w:t>
            </w:r>
          </w:p>
        </w:tc>
      </w:tr>
      <w:tr>
        <w:trPr>
          <w:trHeight w:val="23"/>
        </w:trPr>
        <w:tc>
          <w:tcPr>
            <w:tcW w:w="130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347"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300" w:lineRule="exact"/>
              <w:jc w:val="center"/>
              <w:textAlignment w:val="center"/>
              <w:rPr>
                <w:rFonts w:eastAsia="宋体"/>
                <w:color w:val="000000"/>
                <w:sz w:val="24"/>
              </w:rPr>
            </w:pPr>
            <w:r>
              <w:rPr>
                <w:rFonts w:eastAsia="宋体"/>
                <w:color w:val="000000"/>
                <w:kern w:val="0"/>
                <w:sz w:val="24"/>
              </w:rPr>
              <w:t>满意度指标</w:t>
            </w:r>
          </w:p>
        </w:tc>
        <w:tc>
          <w:tcPr>
            <w:tcW w:w="1273"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300" w:lineRule="exact"/>
              <w:jc w:val="center"/>
              <w:textAlignment w:val="center"/>
              <w:rPr>
                <w:rFonts w:eastAsia="宋体"/>
                <w:color w:val="000000"/>
                <w:sz w:val="24"/>
              </w:rPr>
            </w:pPr>
            <w:r>
              <w:rPr>
                <w:rFonts w:ascii="宋体" w:eastAsia="宋体" w:cs="宋体" w:hint="eastAsia"/>
                <w:sz w:val="24"/>
                <w:szCs w:val="24"/>
              </w:rPr>
              <w:t>满意度指标</w:t>
            </w:r>
          </w:p>
        </w:tc>
        <w:tc>
          <w:tcPr>
            <w:tcW w:w="1100"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300" w:lineRule="exact"/>
              <w:jc w:val="left"/>
              <w:rPr>
                <w:rFonts w:eastAsia="宋体"/>
                <w:color w:val="000000"/>
                <w:sz w:val="24"/>
              </w:rPr>
            </w:pPr>
            <w:r>
              <w:rPr>
                <w:rFonts w:ascii="宋体" w:eastAsia="宋体" w:cs="宋体" w:hint="eastAsia"/>
                <w:sz w:val="24"/>
                <w:szCs w:val="24"/>
              </w:rPr>
              <w:t>民警职工满意度</w:t>
            </w:r>
          </w:p>
        </w:tc>
        <w:tc>
          <w:tcPr>
            <w:tcW w:w="1145"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300" w:lineRule="exact"/>
              <w:jc w:val="left"/>
              <w:rPr>
                <w:rFonts w:eastAsia="宋体" w:hint="eastAsia"/>
                <w:color w:val="000000"/>
                <w:sz w:val="24"/>
                <w:lang w:eastAsia="zh-CN"/>
              </w:rPr>
            </w:pPr>
            <w:r>
              <w:rPr>
                <w:rFonts w:eastAsia="宋体" w:hint="eastAsia"/>
                <w:color w:val="000000"/>
                <w:sz w:val="24"/>
                <w:lang w:eastAsia="zh-CN"/>
              </w:rPr>
              <w:t>≥</w:t>
            </w:r>
          </w:p>
        </w:tc>
        <w:tc>
          <w:tcPr>
            <w:tcW w:w="1289"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300" w:lineRule="exact"/>
              <w:jc w:val="left"/>
              <w:rPr>
                <w:rFonts w:eastAsia="宋体"/>
                <w:color w:val="000000"/>
                <w:sz w:val="24"/>
                <w:lang w:val="en-US" w:eastAsia="zh-CN"/>
              </w:rPr>
            </w:pPr>
            <w:r>
              <w:rPr>
                <w:rFonts w:eastAsia="宋体" w:hint="eastAsia"/>
                <w:color w:val="000000"/>
                <w:sz w:val="24"/>
                <w:lang w:val="en-US" w:eastAsia="zh-CN"/>
              </w:rPr>
              <w:t>97</w:t>
            </w:r>
          </w:p>
        </w:tc>
        <w:tc>
          <w:tcPr>
            <w:tcW w:w="1058"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300" w:lineRule="exact"/>
              <w:jc w:val="left"/>
              <w:rPr>
                <w:rFonts w:eastAsia="宋体" w:hint="eastAsia"/>
                <w:color w:val="000000"/>
                <w:sz w:val="24"/>
                <w:lang w:val="en-US" w:eastAsia="zh-CN"/>
              </w:rPr>
            </w:pPr>
            <w:r>
              <w:rPr>
                <w:rFonts w:eastAsia="宋体" w:hint="eastAsia"/>
                <w:color w:val="000000"/>
                <w:sz w:val="24"/>
                <w:lang w:val="en-US" w:eastAsia="zh-CN"/>
              </w:rPr>
              <w:t>%</w:t>
            </w:r>
          </w:p>
        </w:tc>
        <w:tc>
          <w:tcPr>
            <w:tcW w:w="926"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300" w:lineRule="exact"/>
              <w:jc w:val="left"/>
              <w:rPr>
                <w:rFonts w:eastAsia="宋体"/>
                <w:color w:val="000000"/>
                <w:sz w:val="24"/>
                <w:lang w:val="en-US" w:eastAsia="zh-CN"/>
              </w:rPr>
            </w:pPr>
            <w:r>
              <w:rPr>
                <w:rFonts w:eastAsia="宋体" w:hint="eastAsia"/>
                <w:color w:val="000000"/>
                <w:sz w:val="24"/>
                <w:lang w:val="en-US" w:eastAsia="zh-CN"/>
              </w:rPr>
              <w:t>10%</w:t>
            </w:r>
          </w:p>
        </w:tc>
        <w:tc>
          <w:tcPr>
            <w:tcW w:w="1114"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suppressAutoHyphens/>
              <w:spacing w:line="300" w:lineRule="exact"/>
              <w:jc w:val="left"/>
              <w:rPr>
                <w:rFonts w:eastAsia="宋体"/>
                <w:color w:val="000000"/>
                <w:sz w:val="24"/>
                <w:lang w:val="en-US" w:eastAsia="zh-CN"/>
              </w:rPr>
            </w:pPr>
            <w:r>
              <w:rPr>
                <w:rFonts w:eastAsia="宋体" w:hint="eastAsia"/>
                <w:color w:val="000000"/>
                <w:sz w:val="24"/>
                <w:lang w:val="en-US" w:eastAsia="zh-CN"/>
              </w:rPr>
              <w:t>97%</w:t>
            </w:r>
          </w:p>
        </w:tc>
      </w:tr>
    </w:tbl>
    <w:p>
      <w:pPr>
        <w:pStyle w:val="19"/>
        <w:ind w:leftChars="0" w:left="0" w:firstLineChars="0" w:firstLine="0"/>
        <w:rPr>
          <w:rFonts w:ascii="Times New Roman" w:eastAsia="黑体" w:hAnsi="Times New Roman"/>
          <w:sz w:val="24"/>
          <w:szCs w:val="24"/>
        </w:rPr>
      </w:pPr>
    </w:p>
    <w:p>
      <w:pPr>
        <w:rPr>
          <w:rFonts w:eastAsia="黑体"/>
          <w:sz w:val="24"/>
        </w:rPr>
      </w:pPr>
    </w:p>
    <w:p>
      <w:pPr>
        <w:pStyle w:val="23"/>
        <w:rPr>
          <w:rFonts w:eastAsia="黑体"/>
          <w:sz w:val="24"/>
        </w:rPr>
      </w:pPr>
    </w:p>
    <w:p>
      <w:pPr>
        <w:rPr>
          <w:rFonts w:eastAsia="黑体"/>
          <w:sz w:val="24"/>
        </w:rPr>
      </w:pPr>
    </w:p>
    <w:p>
      <w:pPr>
        <w:pStyle w:val="23"/>
        <w:rPr>
          <w:rFonts w:eastAsia="黑体"/>
          <w:sz w:val="24"/>
        </w:rPr>
      </w:pPr>
    </w:p>
    <w:p>
      <w:pPr>
        <w:rPr>
          <w:rFonts w:eastAsia="黑体"/>
          <w:sz w:val="24"/>
        </w:rPr>
      </w:pPr>
    </w:p>
    <w:p>
      <w:pPr>
        <w:pStyle w:val="23"/>
        <w:rPr>
          <w:rFonts w:eastAsia="黑体"/>
          <w:sz w:val="24"/>
        </w:rPr>
      </w:pPr>
    </w:p>
    <w:p>
      <w:pPr>
        <w:rPr>
          <w:rFonts w:eastAsia="黑体"/>
          <w:sz w:val="24"/>
        </w:rPr>
      </w:pPr>
    </w:p>
    <w:p>
      <w:pPr>
        <w:pStyle w:val="23"/>
        <w:rPr>
          <w:rFonts w:eastAsia="黑体"/>
          <w:sz w:val="24"/>
        </w:rPr>
      </w:pPr>
    </w:p>
    <w:p>
      <w:pPr>
        <w:rPr>
          <w:rFonts w:eastAsia="黑体"/>
          <w:sz w:val="24"/>
        </w:rPr>
      </w:pPr>
    </w:p>
    <w:p>
      <w:pPr>
        <w:pStyle w:val="23"/>
        <w:rPr>
          <w:rFonts w:eastAsia="黑体"/>
          <w:sz w:val="24"/>
        </w:rPr>
      </w:pPr>
    </w:p>
    <w:p>
      <w:pPr>
        <w:rPr>
          <w:rFonts w:eastAsia="黑体"/>
          <w:sz w:val="24"/>
        </w:rPr>
      </w:pPr>
    </w:p>
    <w:p>
      <w:pPr>
        <w:pStyle w:val="23"/>
        <w:rPr>
          <w:rFonts w:eastAsia="黑体"/>
          <w:sz w:val="24"/>
        </w:rPr>
      </w:pPr>
    </w:p>
    <w:p>
      <w:pPr>
        <w:rPr>
          <w:rFonts w:eastAsia="黑体"/>
          <w:sz w:val="24"/>
        </w:rPr>
      </w:pPr>
    </w:p>
    <w:p>
      <w:pPr>
        <w:pStyle w:val="23"/>
        <w:rPr>
          <w:rFonts w:eastAsia="黑体"/>
          <w:sz w:val="24"/>
        </w:rPr>
      </w:pPr>
    </w:p>
    <w:p>
      <w:pPr>
        <w:rPr>
          <w:rFonts w:eastAsia="黑体"/>
          <w:sz w:val="24"/>
        </w:rPr>
      </w:pPr>
    </w:p>
    <w:p>
      <w:pPr>
        <w:pStyle w:val="23"/>
        <w:rPr>
          <w:rFonts w:eastAsia="黑体"/>
          <w:sz w:val="24"/>
        </w:rPr>
      </w:pPr>
    </w:p>
    <w:p>
      <w:pPr>
        <w:rPr>
          <w:rFonts w:eastAsia="黑体"/>
          <w:sz w:val="24"/>
        </w:rPr>
      </w:pPr>
    </w:p>
    <w:p>
      <w:pPr>
        <w:pStyle w:val="23"/>
        <w:rPr>
          <w:rFonts w:eastAsia="黑体"/>
          <w:sz w:val="24"/>
        </w:rPr>
      </w:pPr>
    </w:p>
    <w:p>
      <w:pPr>
        <w:rPr>
          <w:rFonts w:eastAsia="黑体"/>
          <w:sz w:val="24"/>
        </w:rPr>
      </w:pPr>
    </w:p>
    <w:p>
      <w:pPr>
        <w:pStyle w:val="15"/>
        <w:rPr>
          <w:rFonts w:eastAsia="黑体"/>
          <w:sz w:val="24"/>
        </w:rPr>
      </w:pPr>
    </w:p>
    <w:p>
      <w:pPr>
        <w:rPr>
          <w:rFonts w:eastAsia="黑体"/>
          <w:sz w:val="24"/>
        </w:rPr>
      </w:pPr>
    </w:p>
    <w:p>
      <w:pPr>
        <w:pStyle w:val="15"/>
        <w:rPr>
          <w:rFonts w:eastAsia="黑体"/>
          <w:sz w:val="24"/>
        </w:rPr>
      </w:pPr>
    </w:p>
    <w:p>
      <w:pPr>
        <w:rPr>
          <w:rFonts w:eastAsia="黑体"/>
          <w:sz w:val="24"/>
        </w:rPr>
      </w:pPr>
    </w:p>
    <w:p>
      <w:pPr>
        <w:pStyle w:val="15"/>
        <w:rPr>
          <w:rFonts w:eastAsia="黑体"/>
          <w:sz w:val="24"/>
        </w:rPr>
      </w:pPr>
    </w:p>
    <w:p>
      <w:pPr>
        <w:rPr>
          <w:rFonts w:eastAsia="黑体"/>
          <w:sz w:val="24"/>
        </w:rPr>
      </w:pPr>
    </w:p>
    <w:p>
      <w:pPr>
        <w:pStyle w:val="15"/>
      </w:pPr>
    </w:p>
    <w:p>
      <w:pPr>
        <w:pStyle w:val="23"/>
        <w:rPr>
          <w:rFonts w:eastAsia="黑体"/>
          <w:sz w:val="24"/>
        </w:rPr>
      </w:pPr>
    </w:p>
    <w:p>
      <w:pPr>
        <w:rPr>
          <w:rFonts w:eastAsia="黑体"/>
          <w:sz w:val="24"/>
        </w:rPr>
      </w:pPr>
    </w:p>
    <w:p>
      <w:pPr>
        <w:pStyle w:val="23"/>
        <w:rPr>
          <w:rFonts w:eastAsia="黑体"/>
          <w:sz w:val="24"/>
        </w:rPr>
      </w:pPr>
    </w:p>
    <w:p/>
    <w:p>
      <w:pPr>
        <w:rPr>
          <w:rFonts w:ascii="仿宋_GB2312" w:eastAsia="宋体" w:cs="Times New Roman" w:hAnsi="仿宋_GB2312" w:hint="eastAsia"/>
          <w:color w:val="auto"/>
          <w:kern w:val="2"/>
          <w:sz w:val="32"/>
          <w:szCs w:val="32"/>
          <w:lang w:val="zh-CN" w:eastAsia="zh-CN" w:bidi="ar-SA"/>
          <w:highlight w:val="auto"/>
        </w:rPr>
      </w:pPr>
      <w:r>
        <w:rPr>
          <w:rFonts w:ascii="仿宋_GB2312" w:eastAsia="宋体" w:cs="Times New Roman" w:hAnsi="仿宋_GB2312" w:hint="eastAsia"/>
          <w:color w:val="auto"/>
          <w:kern w:val="2"/>
          <w:sz w:val="32"/>
          <w:szCs w:val="32"/>
          <w:lang w:val="zh-CN" w:eastAsia="zh-CN" w:bidi="ar-SA"/>
          <w:highlight w:val="auto"/>
        </w:rPr>
        <w:t>附表3</w:t>
      </w:r>
    </w:p>
    <w:p>
      <w:pPr>
        <w:widowControl/>
        <w:suppressAutoHyphens/>
        <w:spacing w:line="578" w:lineRule="exact"/>
        <w:jc w:val="center"/>
        <w:textAlignment w:val="center"/>
        <w:rPr>
          <w:rFonts w:eastAsia="方正小标宋简体"/>
          <w:color w:val="000000"/>
          <w:kern w:val="0"/>
          <w:sz w:val="44"/>
          <w:szCs w:val="44"/>
        </w:rPr>
      </w:pPr>
      <w:r>
        <w:rPr>
          <w:rFonts w:eastAsia="方正小标宋简体"/>
          <w:color w:val="000000"/>
          <w:kern w:val="0"/>
          <w:sz w:val="44"/>
          <w:szCs w:val="44"/>
        </w:rPr>
        <w:t>部门预算项目支出绩效评价表</w:t>
      </w:r>
    </w:p>
    <w:p>
      <w:pPr>
        <w:widowControl/>
        <w:suppressAutoHyphens/>
        <w:spacing w:line="300" w:lineRule="exact"/>
        <w:jc w:val="center"/>
        <w:textAlignment w:val="center"/>
        <w:rPr>
          <w:rFonts w:eastAsia="宋体"/>
          <w:color w:val="000000"/>
          <w:kern w:val="0"/>
          <w:sz w:val="28"/>
          <w:szCs w:val="28"/>
        </w:rPr>
      </w:pPr>
      <w:r>
        <w:rPr>
          <w:rFonts w:eastAsia="宋体"/>
          <w:color w:val="000000"/>
          <w:kern w:val="0"/>
          <w:sz w:val="28"/>
          <w:szCs w:val="28"/>
        </w:rPr>
        <w:t>（202</w:t>
      </w:r>
      <w:r>
        <w:rPr>
          <w:rFonts w:hint="eastAsia"/>
          <w:color w:val="000000"/>
          <w:kern w:val="0"/>
          <w:sz w:val="28"/>
          <w:szCs w:val="28"/>
          <w:lang w:val="en-US" w:eastAsia="zh-CN"/>
        </w:rPr>
        <w:t>5</w:t>
      </w:r>
      <w:r>
        <w:rPr>
          <w:rFonts w:eastAsia="宋体"/>
          <w:color w:val="000000"/>
          <w:kern w:val="0"/>
          <w:sz w:val="28"/>
          <w:szCs w:val="28"/>
        </w:rPr>
        <w:t>年度）</w:t>
      </w:r>
    </w:p>
    <w:p>
      <w:pPr>
        <w:spacing w:line="578" w:lineRule="exact"/>
        <w:ind w:firstLineChars="200" w:firstLine="420"/>
        <w:rPr>
          <w:rFonts w:hint="eastAsia"/>
          <w:color w:val="000000"/>
          <w:kern w:val="0"/>
          <w:szCs w:val="32"/>
          <w:shd w:val="clear" w:color="auto" w:fill="FFFFFF"/>
        </w:rPr>
      </w:pPr>
    </w:p>
    <w:tbl>
      <w:tblPr>
        <w:jc w:val="left"/>
        <w:tblInd w:w="-801" w:type="dxa"/>
        <w:tblW w:w="14498"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14498"/>
      </w:tblGrid>
      <w:tr>
        <w:trPr>
          <w:trHeight w:val="90"/>
        </w:trPr>
        <w:tc>
          <w:tcPr>
            <w:tcW w:w="14498" w:type="dxa"/>
            <w:tcBorders>
              <w:top w:val="nil"/>
              <w:left w:val="nil"/>
              <w:bottom w:val="nil"/>
              <w:right w:val="nil"/>
            </w:tcBorders>
            <w:shd w:val="clear" w:color="auto" w:fill="auto"/>
            <w:vAlign w:val="center"/>
          </w:tcPr>
          <w:tbl>
            <w:tblPr>
              <w:tblpPr w:leftFromText="180" w:rightFromText="180" w:vertAnchor="text" w:horzAnchor="page" w:tblpX="-128" w:tblpY="312"/>
              <w:tblOverlap w:val="never"/>
              <w:tblW w:w="10740"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576"/>
              <w:gridCol w:w="1445"/>
              <w:gridCol w:w="1259"/>
              <w:gridCol w:w="1609"/>
              <w:gridCol w:w="396"/>
              <w:gridCol w:w="1258"/>
              <w:gridCol w:w="398"/>
              <w:gridCol w:w="1099"/>
              <w:gridCol w:w="486"/>
              <w:gridCol w:w="396"/>
              <w:gridCol w:w="1818"/>
            </w:tblGrid>
            <w:tr>
              <w:trPr>
                <w:trHeight w:val="1248"/>
              </w:trPr>
              <w:tc>
                <w:tcPr>
                  <w:tcW w:w="10740" w:type="dxa"/>
                  <w:gridSpan w:val="11"/>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黑体" w:eastAsia="黑体" w:cs="黑体"/>
                      <w:b/>
                      <w:bCs/>
                      <w:i w:val="0"/>
                      <w:iCs w:val="0"/>
                      <w:color w:val="000000"/>
                      <w:sz w:val="30"/>
                      <w:szCs w:val="30"/>
                      <w:u w:val="none"/>
                    </w:rPr>
                  </w:pPr>
                  <w:r>
                    <w:rPr>
                      <w:rFonts w:ascii="黑体" w:eastAsia="黑体" w:cs="黑体" w:hint="eastAsia"/>
                      <w:b/>
                      <w:bCs/>
                      <w:i w:val="0"/>
                      <w:iCs w:val="0"/>
                      <w:color w:val="000000"/>
                      <w:kern w:val="0"/>
                      <w:sz w:val="30"/>
                      <w:szCs w:val="30"/>
                      <w:u w:val="none"/>
                      <w:lang w:val="en-US" w:eastAsia="zh-CN"/>
                    </w:rPr>
                    <w:t>部门预算项目支出绩效自评表（2025年度）</w:t>
                  </w:r>
                </w:p>
              </w:tc>
            </w:tr>
            <w:tr>
              <w:trPr>
                <w:trHeight w:val="621"/>
              </w:trPr>
              <w:tc>
                <w:tcPr>
                  <w:tcW w:w="202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8719"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51322321T000000051770-辅警经费</w:t>
                  </w:r>
                </w:p>
              </w:tc>
            </w:tr>
            <w:tr>
              <w:trPr>
                <w:trHeight w:val="1777"/>
              </w:trPr>
              <w:tc>
                <w:tcPr>
                  <w:tcW w:w="202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4920"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茂县公安局本级</w:t>
                  </w:r>
                </w:p>
              </w:tc>
              <w:tc>
                <w:tcPr>
                  <w:tcW w:w="1099" w:type="dxa"/>
                  <w:tcBorders>
                    <w:top w:val="nil"/>
                    <w:left w:val="nil"/>
                    <w:bottom w:val="nil"/>
                    <w:right w:val="nil"/>
                  </w:tcBorders>
                  <w:shd w:val="clear" w:color="auto" w:fill="auto"/>
                  <w:vAlign w:val="center"/>
                </w:tcPr>
                <w:p>
                  <w:pPr>
                    <w:keepNext w:val="0"/>
                    <w:keepLines w:val="0"/>
                    <w:widowControl/>
                    <w:suppressLineNumbers w:val="0"/>
                    <w:suppressAutoHyphens/>
                    <w:jc w:val="left"/>
                    <w:textAlignment w:val="center"/>
                    <w:rPr>
                      <w:rFonts w:ascii="黑体" w:eastAsia="黑体" w:cs="黑体"/>
                      <w:i w:val="0"/>
                      <w:iCs w:val="0"/>
                      <w:color w:val="000000"/>
                      <w:sz w:val="18"/>
                      <w:szCs w:val="18"/>
                      <w:u w:val="none"/>
                    </w:rPr>
                  </w:pPr>
                  <w:r>
                    <w:rPr>
                      <w:rFonts w:ascii="黑体" w:eastAsia="黑体" w:cs="黑体" w:hint="eastAsia"/>
                      <w:i w:val="0"/>
                      <w:iCs w:val="0"/>
                      <w:color w:val="000000"/>
                      <w:kern w:val="0"/>
                      <w:sz w:val="18"/>
                      <w:szCs w:val="18"/>
                      <w:u w:val="none"/>
                      <w:lang w:val="en-US" w:eastAsia="zh-CN"/>
                    </w:rPr>
                    <w:t>实施单位 （盖章）</w:t>
                  </w:r>
                </w:p>
              </w:tc>
              <w:tc>
                <w:tcPr>
                  <w:tcW w:w="270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茂县公安局</w:t>
                  </w:r>
                </w:p>
              </w:tc>
            </w:tr>
            <w:tr>
              <w:trPr>
                <w:trHeight w:val="621"/>
              </w:trPr>
              <w:tc>
                <w:tcPr>
                  <w:tcW w:w="5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144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4920"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3799"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年度目标完成情况</w:t>
                  </w:r>
                </w:p>
              </w:tc>
            </w:tr>
            <w:tr>
              <w:trPr>
                <w:trHeight w:val="2943"/>
              </w:trPr>
              <w:tc>
                <w:tcPr>
                  <w:tcW w:w="5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4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4920"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　保障警务辅助人员合法权益，充分发挥警务辅助力量在协助维护社会治安、打击违法犯罪、开展行政管理和服务人民群众等发面发挥积极作用</w:t>
                  </w:r>
                </w:p>
              </w:tc>
              <w:tc>
                <w:tcPr>
                  <w:tcW w:w="3799"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缓解了茂县公安局经费紧张的问题。辅警的日常工作也一定程度上缓解了茂县公安局警力供需矛盾，充实了基层警力，更好地服务于全县经济社会发展；总体上来说辅警的工作开展维护了茂县社会政治稳定。</w:t>
                  </w:r>
                </w:p>
              </w:tc>
            </w:tr>
            <w:tr>
              <w:trPr>
                <w:trHeight w:val="1777"/>
              </w:trPr>
              <w:tc>
                <w:tcPr>
                  <w:tcW w:w="5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4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8719"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该项目资金使用按照县局制定的《茂县公安机关警务辅助人员使用管理办法》执行。人员经费根据考勤经政工监督室审核，按月发放辅警工资卡上。五大保险根据县社会保障局下达的标准，按月足额缴纳。</w:t>
                  </w:r>
                </w:p>
              </w:tc>
            </w:tr>
            <w:tr>
              <w:trPr>
                <w:trHeight w:val="1202"/>
              </w:trPr>
              <w:tc>
                <w:tcPr>
                  <w:tcW w:w="5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144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125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16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205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181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trPr>
                <w:trHeight w:val="621"/>
              </w:trPr>
              <w:tc>
                <w:tcPr>
                  <w:tcW w:w="5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4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125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6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75.70</w:t>
                  </w:r>
                </w:p>
              </w:tc>
              <w:tc>
                <w:tcPr>
                  <w:tcW w:w="205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75.70</w:t>
                  </w: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宋体" w:eastAsia="宋体" w:cs="宋体"/>
                      <w:i w:val="0"/>
                      <w:iCs w:val="0"/>
                      <w:color w:val="000000"/>
                      <w:sz w:val="18"/>
                      <w:szCs w:val="18"/>
                      <w:u w:val="none"/>
                    </w:rPr>
                  </w:pPr>
                </w:p>
              </w:tc>
              <w:tc>
                <w:tcPr>
                  <w:tcW w:w="181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rPr>
                      <w:rFonts w:ascii="黑体" w:eastAsia="黑体" w:cs="黑体" w:hint="eastAsia"/>
                      <w:i/>
                      <w:iCs/>
                      <w:color w:val="000000"/>
                      <w:sz w:val="18"/>
                      <w:szCs w:val="18"/>
                      <w:u w:val="none"/>
                    </w:rPr>
                  </w:pPr>
                  <w:r>
                    <w:rPr>
                      <w:rFonts w:ascii="黑体" w:eastAsia="黑体" w:cs="黑体" w:hint="eastAsia"/>
                      <w:i/>
                      <w:iCs/>
                      <w:color w:val="000000"/>
                      <w:kern w:val="0"/>
                      <w:sz w:val="18"/>
                      <w:szCs w:val="18"/>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trPr>
                <w:trHeight w:val="621"/>
              </w:trPr>
              <w:tc>
                <w:tcPr>
                  <w:tcW w:w="5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4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125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6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75.70</w:t>
                  </w:r>
                </w:p>
              </w:tc>
              <w:tc>
                <w:tcPr>
                  <w:tcW w:w="205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75.70</w:t>
                  </w: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8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1194"/>
              </w:trPr>
              <w:tc>
                <w:tcPr>
                  <w:tcW w:w="5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4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125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6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05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8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621"/>
              </w:trPr>
              <w:tc>
                <w:tcPr>
                  <w:tcW w:w="5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4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125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6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05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8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3523"/>
              </w:trPr>
              <w:tc>
                <w:tcPr>
                  <w:tcW w:w="5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4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其他资金</w:t>
                  </w:r>
                </w:p>
              </w:tc>
              <w:tc>
                <w:tcPr>
                  <w:tcW w:w="1259"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c>
                <w:tcPr>
                  <w:tcW w:w="1609"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c>
                <w:tcPr>
                  <w:tcW w:w="205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8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2360"/>
              </w:trPr>
              <w:tc>
                <w:tcPr>
                  <w:tcW w:w="5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144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125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16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125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39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权重</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181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trPr>
                <w:trHeight w:val="1183"/>
              </w:trPr>
              <w:tc>
                <w:tcPr>
                  <w:tcW w:w="5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4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125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16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保障人员</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25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188</w:t>
                  </w:r>
                </w:p>
              </w:tc>
              <w:tc>
                <w:tcPr>
                  <w:tcW w:w="39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微软雅黑" w:eastAsia="微软雅黑" w:cs="微软雅黑" w:hint="eastAsia"/>
                      <w:i/>
                      <w:iCs/>
                      <w:color w:val="000000"/>
                      <w:sz w:val="16"/>
                      <w:szCs w:val="16"/>
                      <w:u w:val="none"/>
                    </w:rPr>
                  </w:pPr>
                  <w:r>
                    <w:rPr>
                      <w:rFonts w:ascii="宋体" w:eastAsia="宋体" w:cs="宋体"/>
                      <w:i w:val="0"/>
                      <w:iCs w:val="0"/>
                      <w:color w:val="000000"/>
                      <w:kern w:val="0"/>
                      <w:sz w:val="18"/>
                      <w:szCs w:val="18"/>
                      <w:u w:val="none"/>
                      <w:lang w:val="en-US" w:eastAsia="zh-CN"/>
                    </w:rPr>
                    <w:t>人</w:t>
                  </w: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微软雅黑" w:eastAsia="微软雅黑" w:cs="微软雅黑" w:hint="eastAsia"/>
                      <w:i/>
                      <w:iCs/>
                      <w:color w:val="000000"/>
                      <w:kern w:val="0"/>
                      <w:sz w:val="16"/>
                      <w:szCs w:val="16"/>
                      <w:u w:val="none"/>
                      <w:lang w:val="en-US" w:eastAsia="zh-CN"/>
                    </w:rPr>
                    <w:t>181</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10</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6</w:t>
                  </w:r>
                </w:p>
              </w:tc>
              <w:tc>
                <w:tcPr>
                  <w:tcW w:w="1818"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r>
            <w:tr>
              <w:trPr>
                <w:trHeight w:val="5278"/>
              </w:trPr>
              <w:tc>
                <w:tcPr>
                  <w:tcW w:w="5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4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25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质量指标</w:t>
                  </w:r>
                </w:p>
              </w:tc>
              <w:tc>
                <w:tcPr>
                  <w:tcW w:w="16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经费支出合规率</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25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hint="eastAsia"/>
                      <w:i w:val="0"/>
                      <w:iCs w:val="0"/>
                      <w:color w:val="000000"/>
                      <w:sz w:val="18"/>
                      <w:szCs w:val="18"/>
                      <w:u w:val="none"/>
                    </w:rPr>
                  </w:pPr>
                  <w:r>
                    <w:rPr>
                      <w:rFonts w:ascii="宋体" w:eastAsia="宋体" w:cs="宋体"/>
                      <w:i w:val="0"/>
                      <w:iCs w:val="0"/>
                      <w:color w:val="000000"/>
                      <w:kern w:val="0"/>
                      <w:sz w:val="18"/>
                      <w:szCs w:val="18"/>
                      <w:u w:val="none"/>
                      <w:lang w:val="en-US" w:eastAsia="zh-CN"/>
                    </w:rPr>
                    <w:t>98</w:t>
                  </w:r>
                </w:p>
              </w:tc>
              <w:tc>
                <w:tcPr>
                  <w:tcW w:w="39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微软雅黑" w:eastAsia="微软雅黑" w:cs="微软雅黑" w:hint="eastAsia"/>
                      <w:i/>
                      <w:iCs/>
                      <w:color w:val="000000"/>
                      <w:sz w:val="16"/>
                      <w:szCs w:val="16"/>
                      <w:u w:val="none"/>
                    </w:rPr>
                  </w:pPr>
                  <w:r>
                    <w:rPr>
                      <w:rFonts w:ascii="宋体" w:eastAsia="宋体" w:cs="宋体"/>
                      <w:i w:val="0"/>
                      <w:iCs w:val="0"/>
                      <w:color w:val="000000"/>
                      <w:kern w:val="0"/>
                      <w:sz w:val="18"/>
                      <w:szCs w:val="18"/>
                      <w:u w:val="none"/>
                      <w:lang w:val="en-US" w:eastAsia="zh-CN"/>
                    </w:rPr>
                    <w:t>%</w:t>
                  </w: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微软雅黑" w:eastAsia="微软雅黑" w:cs="微软雅黑" w:hint="eastAsia"/>
                      <w:i/>
                      <w:iCs/>
                      <w:color w:val="000000"/>
                      <w:kern w:val="0"/>
                      <w:sz w:val="16"/>
                      <w:szCs w:val="16"/>
                      <w:u w:val="none"/>
                      <w:lang w:val="en-US" w:eastAsia="zh-CN"/>
                    </w:rPr>
                    <w:t>良好</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15</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17</w:t>
                  </w:r>
                </w:p>
              </w:tc>
              <w:tc>
                <w:tcPr>
                  <w:tcW w:w="1818"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r>
            <w:tr>
              <w:trPr>
                <w:trHeight w:val="1183"/>
              </w:trPr>
              <w:tc>
                <w:tcPr>
                  <w:tcW w:w="5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4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25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时效指标</w:t>
                  </w:r>
                </w:p>
              </w:tc>
              <w:tc>
                <w:tcPr>
                  <w:tcW w:w="16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项目完成时限</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25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12</w:t>
                  </w:r>
                </w:p>
              </w:tc>
              <w:tc>
                <w:tcPr>
                  <w:tcW w:w="39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微软雅黑" w:eastAsia="微软雅黑" w:cs="微软雅黑" w:hint="eastAsia"/>
                      <w:i/>
                      <w:iCs/>
                      <w:color w:val="000000"/>
                      <w:sz w:val="16"/>
                      <w:szCs w:val="16"/>
                      <w:u w:val="none"/>
                    </w:rPr>
                  </w:pPr>
                  <w:r>
                    <w:rPr>
                      <w:rFonts w:ascii="宋体" w:eastAsia="宋体" w:cs="宋体"/>
                      <w:i w:val="0"/>
                      <w:iCs w:val="0"/>
                      <w:color w:val="000000"/>
                      <w:kern w:val="0"/>
                      <w:sz w:val="18"/>
                      <w:szCs w:val="18"/>
                      <w:u w:val="none"/>
                      <w:lang w:val="en-US" w:eastAsia="zh-CN"/>
                    </w:rPr>
                    <w:t>月</w:t>
                  </w: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微软雅黑" w:eastAsia="微软雅黑" w:cs="微软雅黑" w:hint="eastAsia"/>
                      <w:i/>
                      <w:iCs/>
                      <w:color w:val="000000"/>
                      <w:kern w:val="0"/>
                      <w:sz w:val="16"/>
                      <w:szCs w:val="16"/>
                      <w:u w:val="none"/>
                      <w:lang w:val="en-US" w:eastAsia="zh-CN"/>
                    </w:rPr>
                    <w:t>1年</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15</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818"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r>
            <w:tr>
              <w:trPr>
                <w:trHeight w:val="3527"/>
              </w:trPr>
              <w:tc>
                <w:tcPr>
                  <w:tcW w:w="5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4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W w:w="125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社会效益指标</w:t>
                  </w:r>
                </w:p>
              </w:tc>
              <w:tc>
                <w:tcPr>
                  <w:tcW w:w="16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充分发挥警务辅助力量在协助维护社会治安、打击违法犯罪、开展行政管理和服务人民群众</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125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hint="eastAsia"/>
                      <w:i w:val="0"/>
                      <w:iCs w:val="0"/>
                      <w:color w:val="000000"/>
                      <w:sz w:val="18"/>
                      <w:szCs w:val="18"/>
                      <w:u w:val="none"/>
                    </w:rPr>
                  </w:pPr>
                  <w:r>
                    <w:rPr>
                      <w:rFonts w:ascii="宋体" w:eastAsia="宋体" w:cs="宋体"/>
                      <w:i w:val="0"/>
                      <w:iCs w:val="0"/>
                      <w:color w:val="000000"/>
                      <w:kern w:val="0"/>
                      <w:sz w:val="18"/>
                      <w:szCs w:val="18"/>
                      <w:u w:val="none"/>
                      <w:lang w:val="en-US" w:eastAsia="zh-CN"/>
                    </w:rPr>
                    <w:t>良好</w:t>
                  </w:r>
                </w:p>
              </w:tc>
              <w:tc>
                <w:tcPr>
                  <w:tcW w:w="398"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微软雅黑" w:eastAsia="微软雅黑" w:cs="微软雅黑" w:hint="eastAsia"/>
                      <w:i/>
                      <w:iCs/>
                      <w:color w:val="000000"/>
                      <w:kern w:val="0"/>
                      <w:sz w:val="16"/>
                      <w:szCs w:val="16"/>
                      <w:u w:val="none"/>
                      <w:lang w:val="en-US" w:eastAsia="zh-CN"/>
                    </w:rPr>
                    <w:t>良好</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20</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17</w:t>
                  </w:r>
                </w:p>
              </w:tc>
              <w:tc>
                <w:tcPr>
                  <w:tcW w:w="1818"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r>
            <w:tr>
              <w:trPr>
                <w:trHeight w:val="1768"/>
              </w:trPr>
              <w:tc>
                <w:tcPr>
                  <w:tcW w:w="5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4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25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可持续影响指标</w:t>
                  </w:r>
                </w:p>
              </w:tc>
              <w:tc>
                <w:tcPr>
                  <w:tcW w:w="16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维护社会大局平稳</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125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hint="eastAsia"/>
                      <w:i w:val="0"/>
                      <w:iCs w:val="0"/>
                      <w:color w:val="000000"/>
                      <w:sz w:val="18"/>
                      <w:szCs w:val="18"/>
                      <w:u w:val="none"/>
                    </w:rPr>
                  </w:pPr>
                  <w:r>
                    <w:rPr>
                      <w:rFonts w:ascii="宋体" w:eastAsia="宋体" w:cs="宋体"/>
                      <w:i w:val="0"/>
                      <w:iCs w:val="0"/>
                      <w:color w:val="000000"/>
                      <w:kern w:val="0"/>
                      <w:sz w:val="18"/>
                      <w:szCs w:val="18"/>
                      <w:u w:val="none"/>
                      <w:lang w:val="en-US" w:eastAsia="zh-CN"/>
                    </w:rPr>
                    <w:t>良好</w:t>
                  </w:r>
                </w:p>
              </w:tc>
              <w:tc>
                <w:tcPr>
                  <w:tcW w:w="398"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微软雅黑" w:eastAsia="微软雅黑" w:cs="微软雅黑" w:hint="eastAsia"/>
                      <w:i/>
                      <w:iCs/>
                      <w:color w:val="000000"/>
                      <w:kern w:val="0"/>
                      <w:sz w:val="16"/>
                      <w:szCs w:val="16"/>
                      <w:u w:val="none"/>
                      <w:lang w:val="en-US" w:eastAsia="zh-CN"/>
                    </w:rPr>
                    <w:t>良好</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20</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16</w:t>
                  </w:r>
                </w:p>
              </w:tc>
              <w:tc>
                <w:tcPr>
                  <w:tcW w:w="1818"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r>
            <w:tr>
              <w:trPr>
                <w:trHeight w:val="621"/>
              </w:trPr>
              <w:tc>
                <w:tcPr>
                  <w:tcW w:w="5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4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125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服务对象满意度指标</w:t>
                  </w:r>
                </w:p>
              </w:tc>
              <w:tc>
                <w:tcPr>
                  <w:tcW w:w="16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人民群众满意度</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25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39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微软雅黑" w:eastAsia="微软雅黑" w:cs="微软雅黑" w:hint="eastAsia"/>
                      <w:i/>
                      <w:iCs/>
                      <w:color w:val="000000"/>
                      <w:sz w:val="16"/>
                      <w:szCs w:val="16"/>
                      <w:u w:val="none"/>
                    </w:rPr>
                  </w:pPr>
                  <w:r>
                    <w:rPr>
                      <w:rFonts w:ascii="宋体" w:eastAsia="宋体" w:cs="宋体"/>
                      <w:i w:val="0"/>
                      <w:iCs w:val="0"/>
                      <w:color w:val="000000"/>
                      <w:kern w:val="0"/>
                      <w:sz w:val="18"/>
                      <w:szCs w:val="18"/>
                      <w:u w:val="none"/>
                      <w:lang w:val="en-US" w:eastAsia="zh-CN"/>
                    </w:rPr>
                    <w:t>%</w:t>
                  </w: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微软雅黑" w:eastAsia="微软雅黑" w:cs="微软雅黑" w:hint="eastAsia"/>
                      <w:i/>
                      <w:iCs/>
                      <w:color w:val="000000"/>
                      <w:kern w:val="0"/>
                      <w:sz w:val="16"/>
                      <w:szCs w:val="16"/>
                      <w:u w:val="none"/>
                      <w:lang w:val="en-US" w:eastAsia="zh-CN"/>
                    </w:rPr>
                    <w:t>95%</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5</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4</w:t>
                  </w:r>
                </w:p>
              </w:tc>
              <w:tc>
                <w:tcPr>
                  <w:tcW w:w="1818"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r>
            <w:tr>
              <w:trPr>
                <w:trHeight w:val="1194"/>
              </w:trPr>
              <w:tc>
                <w:tcPr>
                  <w:tcW w:w="5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4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25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6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辅警人员满意度</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25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39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微软雅黑" w:eastAsia="微软雅黑" w:cs="微软雅黑" w:hint="eastAsia"/>
                      <w:i/>
                      <w:iCs/>
                      <w:color w:val="000000"/>
                      <w:sz w:val="16"/>
                      <w:szCs w:val="16"/>
                      <w:u w:val="none"/>
                    </w:rPr>
                  </w:pPr>
                  <w:r>
                    <w:rPr>
                      <w:rFonts w:ascii="宋体" w:eastAsia="宋体" w:cs="宋体"/>
                      <w:i w:val="0"/>
                      <w:iCs w:val="0"/>
                      <w:color w:val="000000"/>
                      <w:kern w:val="0"/>
                      <w:sz w:val="18"/>
                      <w:szCs w:val="18"/>
                      <w:u w:val="none"/>
                      <w:lang w:val="en-US" w:eastAsia="zh-CN"/>
                    </w:rPr>
                    <w:t>%</w:t>
                  </w: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微软雅黑" w:eastAsia="微软雅黑" w:cs="微软雅黑" w:hint="eastAsia"/>
                      <w:i/>
                      <w:iCs/>
                      <w:color w:val="000000"/>
                      <w:kern w:val="0"/>
                      <w:sz w:val="16"/>
                      <w:szCs w:val="16"/>
                      <w:u w:val="none"/>
                      <w:lang w:val="en-US" w:eastAsia="zh-CN"/>
                    </w:rPr>
                    <w:t>95%</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5</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4</w:t>
                  </w:r>
                </w:p>
              </w:tc>
              <w:tc>
                <w:tcPr>
                  <w:tcW w:w="1818"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r>
            <w:tr>
              <w:trPr>
                <w:trHeight w:val="621"/>
              </w:trPr>
              <w:tc>
                <w:tcPr>
                  <w:tcW w:w="8040"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84</w:t>
                  </w:r>
                </w:p>
              </w:tc>
              <w:tc>
                <w:tcPr>
                  <w:tcW w:w="1818"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eastAsia="宋体" w:cs="宋体" w:hint="eastAsia"/>
                      <w:i w:val="0"/>
                      <w:iCs w:val="0"/>
                      <w:color w:val="000000"/>
                      <w:sz w:val="18"/>
                      <w:szCs w:val="18"/>
                      <w:u w:val="none"/>
                    </w:rPr>
                  </w:pPr>
                </w:p>
              </w:tc>
            </w:tr>
            <w:tr>
              <w:trPr>
                <w:trHeight w:val="1202"/>
              </w:trPr>
              <w:tc>
                <w:tcPr>
                  <w:tcW w:w="57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10164"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根据预算绩效管理相关制度的要求，结合项目绩效指标完成情况及对项目成本、项目效率、部门绩效目标实现的综合分析，项目综合评价为项目各项指标项均达到指标要求，项目实施达到预期效果。</w:t>
                  </w:r>
                </w:p>
              </w:tc>
            </w:tr>
            <w:tr>
              <w:trPr>
                <w:trHeight w:val="1202"/>
              </w:trPr>
              <w:tc>
                <w:tcPr>
                  <w:tcW w:w="57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10164"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由于对支出绩效评价工作的重要性还认识不够，因此对绩效评价工作的重视度还不够，部分项目支出绩效指标无法用量化指标来进行考评。</w:t>
                  </w:r>
                </w:p>
              </w:tc>
            </w:tr>
            <w:tr>
              <w:trPr>
                <w:trHeight w:val="1202"/>
              </w:trPr>
              <w:tc>
                <w:tcPr>
                  <w:tcW w:w="57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tcW w:w="10164"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针对存在的问题，我们将进一步科学设定绩效目标，加强预算执行管理。遵循先有预算、后有支出的原则，加强《新预算法》、《政府会计制度》等学习培训，规范部门预算收支核算，加强财务管理和内部控制监督制度。</w:t>
                  </w:r>
                </w:p>
              </w:tc>
            </w:tr>
            <w:tr>
              <w:trPr>
                <w:trHeight w:val="621"/>
              </w:trPr>
              <w:tc>
                <w:tcPr>
                  <w:tcW w:w="5285"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项目负责人：陈茂川</w:t>
                  </w:r>
                </w:p>
              </w:tc>
              <w:tc>
                <w:tcPr>
                  <w:tcW w:w="5455"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财务负责人：蒲哇泽哩</w:t>
                  </w:r>
                </w:p>
              </w:tc>
            </w:tr>
            <w:tr>
              <w:trPr>
                <w:trHeight w:val="621"/>
              </w:trPr>
              <w:tc>
                <w:tcPr>
                  <w:tcW w:w="576" w:type="dxa"/>
                  <w:tcBorders>
                    <w:top w:val="nil"/>
                    <w:left w:val="nil"/>
                    <w:bottom w:val="nil"/>
                    <w:right w:val="nil"/>
                  </w:tcBorders>
                  <w:shd w:val="clear" w:color="auto" w:fill="auto"/>
                  <w:vAlign w:val="center"/>
                </w:tcPr>
                <w:p>
                  <w:pPr>
                    <w:rPr>
                      <w:rFonts w:ascii="宋体" w:eastAsia="宋体" w:cs="宋体" w:hint="eastAsia"/>
                      <w:i w:val="0"/>
                      <w:iCs w:val="0"/>
                      <w:color w:val="000000"/>
                      <w:sz w:val="18"/>
                      <w:szCs w:val="18"/>
                      <w:u w:val="none"/>
                    </w:rPr>
                  </w:pPr>
                </w:p>
              </w:tc>
              <w:tc>
                <w:tcPr>
                  <w:tcW w:w="1445" w:type="dxa"/>
                  <w:tcBorders>
                    <w:top w:val="nil"/>
                    <w:left w:val="nil"/>
                    <w:bottom w:val="nil"/>
                    <w:right w:val="nil"/>
                  </w:tcBorders>
                  <w:shd w:val="clear" w:color="auto" w:fill="auto"/>
                  <w:vAlign w:val="center"/>
                </w:tcPr>
                <w:p>
                  <w:pPr>
                    <w:rPr>
                      <w:rFonts w:ascii="宋体" w:eastAsia="宋体" w:cs="宋体" w:hint="eastAsia"/>
                      <w:i w:val="0"/>
                      <w:iCs w:val="0"/>
                      <w:color w:val="000000"/>
                      <w:sz w:val="18"/>
                      <w:szCs w:val="18"/>
                      <w:u w:val="none"/>
                    </w:rPr>
                  </w:pPr>
                </w:p>
              </w:tc>
              <w:tc>
                <w:tcPr>
                  <w:tcW w:w="1259" w:type="dxa"/>
                  <w:tcBorders>
                    <w:top w:val="nil"/>
                    <w:left w:val="nil"/>
                    <w:bottom w:val="nil"/>
                    <w:right w:val="nil"/>
                  </w:tcBorders>
                  <w:shd w:val="clear" w:color="auto" w:fill="auto"/>
                  <w:vAlign w:val="center"/>
                </w:tcPr>
                <w:p>
                  <w:pPr>
                    <w:rPr>
                      <w:rFonts w:ascii="宋体" w:eastAsia="宋体" w:cs="宋体" w:hint="eastAsia"/>
                      <w:i w:val="0"/>
                      <w:iCs w:val="0"/>
                      <w:color w:val="000000"/>
                      <w:sz w:val="18"/>
                      <w:szCs w:val="18"/>
                      <w:u w:val="none"/>
                    </w:rPr>
                  </w:pPr>
                </w:p>
              </w:tc>
              <w:tc>
                <w:tcPr>
                  <w:tcW w:w="1609" w:type="dxa"/>
                  <w:tcBorders>
                    <w:top w:val="nil"/>
                    <w:left w:val="nil"/>
                    <w:bottom w:val="nil"/>
                    <w:right w:val="nil"/>
                  </w:tcBorders>
                  <w:shd w:val="clear" w:color="auto" w:fill="auto"/>
                  <w:vAlign w:val="center"/>
                </w:tcPr>
                <w:p>
                  <w:pPr>
                    <w:rPr>
                      <w:rFonts w:ascii="宋体" w:eastAsia="宋体" w:cs="宋体" w:hint="eastAsia"/>
                      <w:i w:val="0"/>
                      <w:iCs w:val="0"/>
                      <w:color w:val="000000"/>
                      <w:sz w:val="18"/>
                      <w:szCs w:val="18"/>
                      <w:u w:val="none"/>
                    </w:rPr>
                  </w:pPr>
                </w:p>
              </w:tc>
              <w:tc>
                <w:tcPr>
                  <w:tcW w:w="396" w:type="dxa"/>
                  <w:tcBorders>
                    <w:top w:val="nil"/>
                    <w:left w:val="nil"/>
                    <w:bottom w:val="nil"/>
                    <w:right w:val="nil"/>
                  </w:tcBorders>
                  <w:shd w:val="clear" w:color="auto" w:fill="auto"/>
                  <w:vAlign w:val="center"/>
                </w:tcPr>
                <w:p>
                  <w:pPr>
                    <w:rPr>
                      <w:rFonts w:ascii="宋体" w:eastAsia="宋体" w:cs="宋体" w:hint="eastAsia"/>
                      <w:i w:val="0"/>
                      <w:iCs w:val="0"/>
                      <w:color w:val="000000"/>
                      <w:sz w:val="18"/>
                      <w:szCs w:val="18"/>
                      <w:u w:val="none"/>
                    </w:rPr>
                  </w:pPr>
                </w:p>
              </w:tc>
              <w:tc>
                <w:tcPr>
                  <w:tcW w:w="1258" w:type="dxa"/>
                  <w:tcBorders>
                    <w:top w:val="nil"/>
                    <w:left w:val="nil"/>
                    <w:bottom w:val="nil"/>
                    <w:right w:val="nil"/>
                  </w:tcBorders>
                  <w:shd w:val="clear" w:color="auto" w:fill="auto"/>
                  <w:vAlign w:val="center"/>
                </w:tcPr>
                <w:p>
                  <w:pPr>
                    <w:rPr>
                      <w:rFonts w:ascii="宋体" w:eastAsia="宋体" w:cs="宋体" w:hint="eastAsia"/>
                      <w:i w:val="0"/>
                      <w:iCs w:val="0"/>
                      <w:color w:val="000000"/>
                      <w:sz w:val="18"/>
                      <w:szCs w:val="18"/>
                      <w:u w:val="none"/>
                    </w:rPr>
                  </w:pPr>
                </w:p>
              </w:tc>
              <w:tc>
                <w:tcPr>
                  <w:tcW w:w="398" w:type="dxa"/>
                  <w:tcBorders>
                    <w:top w:val="nil"/>
                    <w:left w:val="nil"/>
                    <w:bottom w:val="nil"/>
                    <w:right w:val="nil"/>
                  </w:tcBorders>
                  <w:shd w:val="clear" w:color="auto" w:fill="auto"/>
                  <w:vAlign w:val="center"/>
                </w:tcPr>
                <w:p>
                  <w:pPr>
                    <w:rPr>
                      <w:rFonts w:ascii="宋体" w:eastAsia="宋体" w:cs="宋体" w:hint="eastAsia"/>
                      <w:i w:val="0"/>
                      <w:iCs w:val="0"/>
                      <w:color w:val="000000"/>
                      <w:sz w:val="18"/>
                      <w:szCs w:val="18"/>
                      <w:u w:val="none"/>
                    </w:rPr>
                  </w:pPr>
                </w:p>
              </w:tc>
              <w:tc>
                <w:tcPr>
                  <w:tcW w:w="1099" w:type="dxa"/>
                  <w:tcBorders>
                    <w:top w:val="nil"/>
                    <w:left w:val="nil"/>
                    <w:bottom w:val="nil"/>
                    <w:right w:val="nil"/>
                  </w:tcBorders>
                  <w:shd w:val="clear" w:color="auto" w:fill="auto"/>
                  <w:vAlign w:val="center"/>
                </w:tcPr>
                <w:p>
                  <w:pPr>
                    <w:rPr>
                      <w:rFonts w:ascii="宋体" w:eastAsia="宋体" w:cs="宋体" w:hint="eastAsia"/>
                      <w:i w:val="0"/>
                      <w:iCs w:val="0"/>
                      <w:color w:val="000000"/>
                      <w:sz w:val="18"/>
                      <w:szCs w:val="18"/>
                      <w:u w:val="none"/>
                    </w:rPr>
                  </w:pPr>
                </w:p>
              </w:tc>
              <w:tc>
                <w:tcPr>
                  <w:tcW w:w="486" w:type="dxa"/>
                  <w:tcBorders>
                    <w:top w:val="nil"/>
                    <w:left w:val="nil"/>
                    <w:bottom w:val="nil"/>
                    <w:right w:val="nil"/>
                  </w:tcBorders>
                  <w:shd w:val="clear" w:color="auto" w:fill="auto"/>
                  <w:vAlign w:val="center"/>
                </w:tcPr>
                <w:p/>
              </w:tc>
              <w:tc>
                <w:tcPr>
                  <w:tcW w:w="396" w:type="dxa"/>
                  <w:tcBorders>
                    <w:top w:val="nil"/>
                    <w:left w:val="nil"/>
                    <w:bottom w:val="nil"/>
                    <w:right w:val="nil"/>
                  </w:tcBorders>
                  <w:shd w:val="clear" w:color="auto" w:fill="auto"/>
                  <w:vAlign w:val="center"/>
                </w:tcPr>
                <w:p>
                  <w:pPr>
                    <w:rPr>
                      <w:rFonts w:ascii="宋体" w:eastAsia="宋体" w:cs="宋体" w:hint="eastAsia"/>
                      <w:i w:val="0"/>
                      <w:iCs w:val="0"/>
                      <w:color w:val="000000"/>
                      <w:sz w:val="18"/>
                      <w:szCs w:val="18"/>
                      <w:u w:val="none"/>
                    </w:rPr>
                  </w:pPr>
                </w:p>
              </w:tc>
              <w:tc>
                <w:tcPr>
                  <w:tcW w:w="1818" w:type="dxa"/>
                  <w:tcBorders>
                    <w:top w:val="nil"/>
                    <w:left w:val="nil"/>
                    <w:bottom w:val="nil"/>
                    <w:right w:val="nil"/>
                  </w:tcBorders>
                  <w:shd w:val="clear" w:color="auto" w:fill="auto"/>
                  <w:vAlign w:val="center"/>
                </w:tcPr>
                <w:p>
                  <w:pPr>
                    <w:rPr>
                      <w:rFonts w:ascii="宋体" w:eastAsia="宋体" w:cs="宋体" w:hint="eastAsia"/>
                      <w:i w:val="0"/>
                      <w:iCs w:val="0"/>
                      <w:color w:val="000000"/>
                      <w:sz w:val="18"/>
                      <w:szCs w:val="18"/>
                      <w:u w:val="none"/>
                    </w:rPr>
                  </w:pPr>
                </w:p>
              </w:tc>
            </w:tr>
            <w:tr>
              <w:trPr>
                <w:trHeight w:val="1248"/>
              </w:trPr>
              <w:tc>
                <w:tcPr>
                  <w:tcW w:w="10740" w:type="dxa"/>
                  <w:gridSpan w:val="11"/>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黑体" w:eastAsia="黑体" w:cs="黑体" w:hint="eastAsia"/>
                      <w:b/>
                      <w:bCs/>
                      <w:i w:val="0"/>
                      <w:iCs w:val="0"/>
                      <w:color w:val="000000"/>
                      <w:sz w:val="30"/>
                      <w:szCs w:val="30"/>
                      <w:u w:val="none"/>
                    </w:rPr>
                  </w:pPr>
                  <w:r>
                    <w:rPr>
                      <w:rFonts w:ascii="黑体" w:eastAsia="黑体" w:cs="黑体" w:hint="eastAsia"/>
                      <w:b/>
                      <w:bCs/>
                      <w:i w:val="0"/>
                      <w:iCs w:val="0"/>
                      <w:color w:val="000000"/>
                      <w:kern w:val="0"/>
                      <w:sz w:val="30"/>
                      <w:szCs w:val="30"/>
                      <w:u w:val="none"/>
                      <w:lang w:val="en-US" w:eastAsia="zh-CN"/>
                    </w:rPr>
                    <w:t>部门预算项目支出绩效自评表（2025年度）</w:t>
                  </w:r>
                </w:p>
              </w:tc>
            </w:tr>
            <w:tr>
              <w:trPr>
                <w:trHeight w:val="621"/>
              </w:trPr>
              <w:tc>
                <w:tcPr>
                  <w:tcW w:w="202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8719"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51322321T000000051886-天网租赁费</w:t>
                  </w:r>
                </w:p>
              </w:tc>
            </w:tr>
            <w:tr>
              <w:trPr>
                <w:trHeight w:val="1777"/>
              </w:trPr>
              <w:tc>
                <w:tcPr>
                  <w:tcW w:w="202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4920"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茂县公安局本级</w:t>
                  </w:r>
                </w:p>
              </w:tc>
              <w:tc>
                <w:tcPr>
                  <w:tcW w:w="1099" w:type="dxa"/>
                  <w:tcBorders>
                    <w:top w:val="nil"/>
                    <w:left w:val="nil"/>
                    <w:bottom w:val="nil"/>
                    <w:right w:val="nil"/>
                  </w:tcBorders>
                  <w:shd w:val="clear" w:color="auto" w:fill="auto"/>
                  <w:vAlign w:val="center"/>
                </w:tcPr>
                <w:p>
                  <w:pPr>
                    <w:keepNext w:val="0"/>
                    <w:keepLines w:val="0"/>
                    <w:widowControl/>
                    <w:suppressLineNumbers w:val="0"/>
                    <w:suppressAutoHyphens/>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实施单位 （盖章）</w:t>
                  </w:r>
                </w:p>
              </w:tc>
              <w:tc>
                <w:tcPr>
                  <w:tcW w:w="270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茂县公安局</w:t>
                  </w:r>
                </w:p>
              </w:tc>
            </w:tr>
            <w:tr>
              <w:trPr>
                <w:trHeight w:val="621"/>
              </w:trPr>
              <w:tc>
                <w:tcPr>
                  <w:tcW w:w="5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144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4920"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3799"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年度目标完成情况</w:t>
                  </w:r>
                </w:p>
              </w:tc>
            </w:tr>
            <w:tr>
              <w:trPr>
                <w:trHeight w:val="2360"/>
              </w:trPr>
              <w:tc>
                <w:tcPr>
                  <w:tcW w:w="5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4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4920"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　利用科技手段，震慑预防一大批犯罪案件的发生，尤其是侵财类案件的发生，提高了社会的文明程度，人民安全感满意度上升。</w:t>
                  </w:r>
                </w:p>
              </w:tc>
              <w:tc>
                <w:tcPr>
                  <w:tcW w:w="3799"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一方面缓解日益繁忙的社会面管控压力和警力不足之间的矛盾，同时在一定程度上消除了道路社会面管理在时间和空间上的“盲点”，有效抑制了违法事故的发生。</w:t>
                  </w:r>
                </w:p>
              </w:tc>
            </w:tr>
            <w:tr>
              <w:trPr>
                <w:trHeight w:val="2360"/>
              </w:trPr>
              <w:tc>
                <w:tcPr>
                  <w:tcW w:w="5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4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8719"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天网工程通过在交通要道、治安卡口、公共聚集场所、宾馆、学校、医院以及治安复杂场所安装视频监控设备，利用网络把一定区域内所有视频监控点图像传播到监控中心(即天网工程管理平台)，对刑事案件、治安案件、交通违章、城管违章等图像信息分类，为强化城市综合管理、预防打击犯罪和突发性治安灾害事故提供可靠的影像资料。</w:t>
                  </w:r>
                </w:p>
              </w:tc>
            </w:tr>
            <w:tr>
              <w:trPr>
                <w:trHeight w:val="1202"/>
              </w:trPr>
              <w:tc>
                <w:tcPr>
                  <w:tcW w:w="5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144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125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16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205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181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trPr>
                <w:trHeight w:val="621"/>
              </w:trPr>
              <w:tc>
                <w:tcPr>
                  <w:tcW w:w="5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4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125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6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540.76</w:t>
                  </w:r>
                </w:p>
              </w:tc>
              <w:tc>
                <w:tcPr>
                  <w:tcW w:w="205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540.76</w:t>
                  </w: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宋体" w:eastAsia="宋体" w:cs="宋体"/>
                      <w:i w:val="0"/>
                      <w:iCs w:val="0"/>
                      <w:color w:val="000000"/>
                      <w:sz w:val="18"/>
                      <w:szCs w:val="18"/>
                      <w:u w:val="none"/>
                    </w:rPr>
                  </w:pPr>
                </w:p>
              </w:tc>
              <w:tc>
                <w:tcPr>
                  <w:tcW w:w="181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rPr>
                      <w:rFonts w:ascii="黑体" w:eastAsia="黑体" w:cs="黑体" w:hint="eastAsia"/>
                      <w:i/>
                      <w:iCs/>
                      <w:color w:val="000000"/>
                      <w:sz w:val="18"/>
                      <w:szCs w:val="18"/>
                      <w:u w:val="none"/>
                    </w:rPr>
                  </w:pPr>
                  <w:r>
                    <w:rPr>
                      <w:rFonts w:ascii="黑体" w:eastAsia="黑体" w:cs="黑体" w:hint="eastAsia"/>
                      <w:i/>
                      <w:iCs/>
                      <w:color w:val="000000"/>
                      <w:kern w:val="0"/>
                      <w:sz w:val="18"/>
                      <w:szCs w:val="18"/>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trPr>
                <w:trHeight w:val="621"/>
              </w:trPr>
              <w:tc>
                <w:tcPr>
                  <w:tcW w:w="5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4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125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6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540.76</w:t>
                  </w:r>
                </w:p>
              </w:tc>
              <w:tc>
                <w:tcPr>
                  <w:tcW w:w="205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540.76</w:t>
                  </w: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8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1194"/>
              </w:trPr>
              <w:tc>
                <w:tcPr>
                  <w:tcW w:w="5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4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125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6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05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8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621"/>
              </w:trPr>
              <w:tc>
                <w:tcPr>
                  <w:tcW w:w="5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4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125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6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05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8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3390"/>
              </w:trPr>
              <w:tc>
                <w:tcPr>
                  <w:tcW w:w="5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4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其他资金</w:t>
                  </w:r>
                </w:p>
              </w:tc>
              <w:tc>
                <w:tcPr>
                  <w:tcW w:w="1259"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c>
                <w:tcPr>
                  <w:tcW w:w="1609"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c>
                <w:tcPr>
                  <w:tcW w:w="205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8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2362"/>
              </w:trPr>
              <w:tc>
                <w:tcPr>
                  <w:tcW w:w="5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144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125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16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125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39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权重</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181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trPr>
                <w:trHeight w:val="1194"/>
              </w:trPr>
              <w:tc>
                <w:tcPr>
                  <w:tcW w:w="5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4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125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16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治安监控视频覆盖率</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25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50</w:t>
                  </w:r>
                </w:p>
              </w:tc>
              <w:tc>
                <w:tcPr>
                  <w:tcW w:w="39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微软雅黑" w:eastAsia="微软雅黑" w:cs="微软雅黑" w:hint="eastAsia"/>
                      <w:i/>
                      <w:iCs/>
                      <w:color w:val="000000"/>
                      <w:sz w:val="16"/>
                      <w:szCs w:val="16"/>
                      <w:u w:val="none"/>
                    </w:rPr>
                  </w:pPr>
                  <w:r>
                    <w:rPr>
                      <w:rFonts w:ascii="宋体" w:eastAsia="宋体" w:cs="宋体"/>
                      <w:i w:val="0"/>
                      <w:iCs w:val="0"/>
                      <w:color w:val="000000"/>
                      <w:kern w:val="0"/>
                      <w:sz w:val="18"/>
                      <w:szCs w:val="18"/>
                      <w:u w:val="none"/>
                      <w:lang w:val="en-US" w:eastAsia="zh-CN"/>
                    </w:rPr>
                    <w:t>%</w:t>
                  </w: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微软雅黑" w:eastAsia="微软雅黑" w:cs="微软雅黑" w:hint="eastAsia"/>
                      <w:i/>
                      <w:iCs/>
                      <w:color w:val="000000"/>
                      <w:kern w:val="0"/>
                      <w:sz w:val="16"/>
                      <w:szCs w:val="16"/>
                      <w:u w:val="none"/>
                      <w:lang w:val="en-US" w:eastAsia="zh-CN"/>
                    </w:rPr>
                    <w:t>80</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15</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13</w:t>
                  </w:r>
                </w:p>
              </w:tc>
              <w:tc>
                <w:tcPr>
                  <w:tcW w:w="1818"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r>
            <w:tr>
              <w:trPr>
                <w:trHeight w:val="5278"/>
              </w:trPr>
              <w:tc>
                <w:tcPr>
                  <w:tcW w:w="5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4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25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质量指标</w:t>
                  </w:r>
                </w:p>
              </w:tc>
              <w:tc>
                <w:tcPr>
                  <w:tcW w:w="16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　利用科技手段，震慑预防一大批犯罪案件的发生，尤其是侵财类案件的发生，提高了社会的文明程度，人民安全感满意度上升。</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125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hint="eastAsia"/>
                      <w:i w:val="0"/>
                      <w:iCs w:val="0"/>
                      <w:color w:val="000000"/>
                      <w:sz w:val="18"/>
                      <w:szCs w:val="18"/>
                      <w:u w:val="none"/>
                    </w:rPr>
                  </w:pPr>
                  <w:r>
                    <w:rPr>
                      <w:rFonts w:ascii="宋体" w:eastAsia="宋体" w:cs="宋体"/>
                      <w:i w:val="0"/>
                      <w:iCs w:val="0"/>
                      <w:color w:val="000000"/>
                      <w:kern w:val="0"/>
                      <w:sz w:val="18"/>
                      <w:szCs w:val="18"/>
                      <w:u w:val="none"/>
                      <w:lang w:val="en-US" w:eastAsia="zh-CN"/>
                    </w:rPr>
                    <w:t>良好</w:t>
                  </w:r>
                </w:p>
              </w:tc>
              <w:tc>
                <w:tcPr>
                  <w:tcW w:w="398"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微软雅黑" w:eastAsia="微软雅黑" w:cs="微软雅黑" w:hint="eastAsia"/>
                      <w:i/>
                      <w:iCs/>
                      <w:color w:val="000000"/>
                      <w:kern w:val="0"/>
                      <w:sz w:val="16"/>
                      <w:szCs w:val="16"/>
                      <w:u w:val="none"/>
                      <w:lang w:val="en-US" w:eastAsia="zh-CN"/>
                    </w:rPr>
                    <w:t>良好</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15</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13</w:t>
                  </w:r>
                </w:p>
              </w:tc>
              <w:tc>
                <w:tcPr>
                  <w:tcW w:w="1818"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r>
            <w:tr>
              <w:trPr>
                <w:trHeight w:val="1183"/>
              </w:trPr>
              <w:tc>
                <w:tcPr>
                  <w:tcW w:w="5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4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25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时效指标</w:t>
                  </w:r>
                </w:p>
              </w:tc>
              <w:tc>
                <w:tcPr>
                  <w:tcW w:w="16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经费年度</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25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w:t>
                  </w:r>
                </w:p>
              </w:tc>
              <w:tc>
                <w:tcPr>
                  <w:tcW w:w="39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微软雅黑" w:eastAsia="微软雅黑" w:cs="微软雅黑" w:hint="eastAsia"/>
                      <w:i/>
                      <w:iCs/>
                      <w:color w:val="000000"/>
                      <w:sz w:val="16"/>
                      <w:szCs w:val="16"/>
                      <w:u w:val="none"/>
                    </w:rPr>
                  </w:pPr>
                  <w:r>
                    <w:rPr>
                      <w:rFonts w:ascii="宋体" w:eastAsia="宋体" w:cs="宋体"/>
                      <w:i w:val="0"/>
                      <w:iCs w:val="0"/>
                      <w:color w:val="000000"/>
                      <w:kern w:val="0"/>
                      <w:sz w:val="18"/>
                      <w:szCs w:val="18"/>
                      <w:u w:val="none"/>
                      <w:lang w:val="en-US" w:eastAsia="zh-CN"/>
                    </w:rPr>
                    <w:t>年</w:t>
                  </w: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微软雅黑" w:eastAsia="微软雅黑" w:cs="微软雅黑" w:hint="eastAsia"/>
                      <w:i/>
                      <w:iCs/>
                      <w:color w:val="000000"/>
                      <w:kern w:val="0"/>
                      <w:sz w:val="16"/>
                      <w:szCs w:val="16"/>
                      <w:u w:val="none"/>
                      <w:lang w:val="en-US" w:eastAsia="zh-CN"/>
                    </w:rPr>
                    <w:t>1年</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10</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1818"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r>
            <w:tr>
              <w:trPr>
                <w:trHeight w:val="5278"/>
              </w:trPr>
              <w:tc>
                <w:tcPr>
                  <w:tcW w:w="5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4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W w:w="125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社会效益指标</w:t>
                  </w:r>
                </w:p>
              </w:tc>
              <w:tc>
                <w:tcPr>
                  <w:tcW w:w="16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利用科技手段，震慑预防一大批犯罪案件的发生，尤其是侵财类案件的发生，提高了社会的文明程度，人民安全感满意度上升。</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125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hint="eastAsia"/>
                      <w:i w:val="0"/>
                      <w:iCs w:val="0"/>
                      <w:color w:val="000000"/>
                      <w:sz w:val="18"/>
                      <w:szCs w:val="18"/>
                      <w:u w:val="none"/>
                    </w:rPr>
                  </w:pPr>
                  <w:r>
                    <w:rPr>
                      <w:rFonts w:ascii="宋体" w:eastAsia="宋体" w:cs="宋体"/>
                      <w:i w:val="0"/>
                      <w:iCs w:val="0"/>
                      <w:color w:val="000000"/>
                      <w:kern w:val="0"/>
                      <w:sz w:val="18"/>
                      <w:szCs w:val="18"/>
                      <w:u w:val="none"/>
                      <w:lang w:val="en-US" w:eastAsia="zh-CN"/>
                    </w:rPr>
                    <w:t>良好</w:t>
                  </w:r>
                </w:p>
              </w:tc>
              <w:tc>
                <w:tcPr>
                  <w:tcW w:w="398"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微软雅黑" w:eastAsia="微软雅黑" w:cs="微软雅黑" w:hint="eastAsia"/>
                      <w:i/>
                      <w:iCs/>
                      <w:color w:val="000000"/>
                      <w:kern w:val="0"/>
                      <w:sz w:val="16"/>
                      <w:szCs w:val="16"/>
                      <w:u w:val="none"/>
                      <w:lang w:val="en-US" w:eastAsia="zh-CN"/>
                    </w:rPr>
                    <w:t>良好</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15</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19</w:t>
                  </w:r>
                </w:p>
              </w:tc>
              <w:tc>
                <w:tcPr>
                  <w:tcW w:w="1818"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r>
            <w:tr>
              <w:trPr>
                <w:trHeight w:val="5278"/>
              </w:trPr>
              <w:tc>
                <w:tcPr>
                  <w:tcW w:w="5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4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25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可持续影响指标</w:t>
                  </w:r>
                </w:p>
              </w:tc>
              <w:tc>
                <w:tcPr>
                  <w:tcW w:w="16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利用科技手段，震慑预防一大批犯罪案件的发生，尤其是侵财类案件的发生，提高了社会的文明程度，人民安全感满意度上升。</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125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hint="eastAsia"/>
                      <w:i w:val="0"/>
                      <w:iCs w:val="0"/>
                      <w:color w:val="000000"/>
                      <w:sz w:val="18"/>
                      <w:szCs w:val="18"/>
                      <w:u w:val="none"/>
                    </w:rPr>
                  </w:pPr>
                  <w:r>
                    <w:rPr>
                      <w:rFonts w:ascii="宋体" w:eastAsia="宋体" w:cs="宋体"/>
                      <w:i w:val="0"/>
                      <w:iCs w:val="0"/>
                      <w:color w:val="000000"/>
                      <w:kern w:val="0"/>
                      <w:sz w:val="18"/>
                      <w:szCs w:val="18"/>
                      <w:u w:val="none"/>
                      <w:lang w:val="en-US" w:eastAsia="zh-CN"/>
                    </w:rPr>
                    <w:t>良好</w:t>
                  </w:r>
                </w:p>
              </w:tc>
              <w:tc>
                <w:tcPr>
                  <w:tcW w:w="398"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微软雅黑" w:eastAsia="微软雅黑" w:cs="微软雅黑" w:hint="eastAsia"/>
                      <w:i/>
                      <w:iCs/>
                      <w:color w:val="000000"/>
                      <w:kern w:val="0"/>
                      <w:sz w:val="16"/>
                      <w:szCs w:val="16"/>
                      <w:u w:val="none"/>
                      <w:lang w:val="en-US" w:eastAsia="zh-CN"/>
                    </w:rPr>
                    <w:t>良好</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15</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14</w:t>
                  </w:r>
                </w:p>
              </w:tc>
              <w:tc>
                <w:tcPr>
                  <w:tcW w:w="1818"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r>
            <w:tr>
              <w:trPr>
                <w:trHeight w:val="1777"/>
              </w:trPr>
              <w:tc>
                <w:tcPr>
                  <w:tcW w:w="5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4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125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服务对象满意度指标</w:t>
                  </w:r>
                </w:p>
              </w:tc>
              <w:tc>
                <w:tcPr>
                  <w:tcW w:w="16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群众满意度</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25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39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微软雅黑" w:eastAsia="微软雅黑" w:cs="微软雅黑" w:hint="eastAsia"/>
                      <w:i/>
                      <w:iCs/>
                      <w:color w:val="000000"/>
                      <w:sz w:val="16"/>
                      <w:szCs w:val="16"/>
                      <w:u w:val="none"/>
                    </w:rPr>
                  </w:pPr>
                  <w:r>
                    <w:rPr>
                      <w:rFonts w:ascii="宋体" w:eastAsia="宋体" w:cs="宋体"/>
                      <w:i w:val="0"/>
                      <w:iCs w:val="0"/>
                      <w:color w:val="000000"/>
                      <w:kern w:val="0"/>
                      <w:sz w:val="18"/>
                      <w:szCs w:val="18"/>
                      <w:u w:val="none"/>
                      <w:lang w:val="en-US" w:eastAsia="zh-CN"/>
                    </w:rPr>
                    <w:t>%</w:t>
                  </w: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微软雅黑" w:eastAsia="微软雅黑" w:cs="微软雅黑" w:hint="eastAsia"/>
                      <w:i/>
                      <w:iCs/>
                      <w:color w:val="000000"/>
                      <w:kern w:val="0"/>
                      <w:sz w:val="16"/>
                      <w:szCs w:val="16"/>
                      <w:u w:val="none"/>
                      <w:lang w:val="en-US" w:eastAsia="zh-CN"/>
                    </w:rPr>
                    <w:t>95%</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10</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w:t>
                  </w:r>
                </w:p>
              </w:tc>
              <w:tc>
                <w:tcPr>
                  <w:tcW w:w="1818"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r>
            <w:tr>
              <w:trPr>
                <w:trHeight w:val="1202"/>
              </w:trPr>
              <w:tc>
                <w:tcPr>
                  <w:tcW w:w="5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4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成本指标</w:t>
                  </w:r>
                </w:p>
              </w:tc>
              <w:tc>
                <w:tcPr>
                  <w:tcW w:w="125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经济成本指标</w:t>
                  </w:r>
                </w:p>
              </w:tc>
              <w:tc>
                <w:tcPr>
                  <w:tcW w:w="16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经费</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25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1231.1</w:t>
                  </w:r>
                </w:p>
              </w:tc>
              <w:tc>
                <w:tcPr>
                  <w:tcW w:w="39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微软雅黑" w:eastAsia="微软雅黑" w:cs="微软雅黑" w:hint="eastAsia"/>
                      <w:i/>
                      <w:iCs/>
                      <w:color w:val="000000"/>
                      <w:sz w:val="16"/>
                      <w:szCs w:val="16"/>
                      <w:u w:val="none"/>
                    </w:rPr>
                  </w:pPr>
                  <w:r>
                    <w:rPr>
                      <w:rFonts w:ascii="宋体" w:eastAsia="宋体" w:cs="宋体"/>
                      <w:i w:val="0"/>
                      <w:iCs w:val="0"/>
                      <w:color w:val="000000"/>
                      <w:kern w:val="0"/>
                      <w:sz w:val="18"/>
                      <w:szCs w:val="18"/>
                      <w:u w:val="none"/>
                      <w:lang w:val="en-US" w:eastAsia="zh-CN"/>
                    </w:rPr>
                    <w:t>万元</w:t>
                  </w: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微软雅黑" w:eastAsia="微软雅黑" w:cs="微软雅黑" w:hint="eastAsia"/>
                      <w:i/>
                      <w:iCs/>
                      <w:color w:val="000000"/>
                      <w:kern w:val="0"/>
                      <w:sz w:val="16"/>
                      <w:szCs w:val="16"/>
                      <w:u w:val="none"/>
                      <w:lang w:val="en-US" w:eastAsia="zh-CN"/>
                    </w:rPr>
                    <w:t>540.76</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10</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4</w:t>
                  </w:r>
                </w:p>
              </w:tc>
              <w:tc>
                <w:tcPr>
                  <w:tcW w:w="1818"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r>
            <w:tr>
              <w:trPr>
                <w:trHeight w:val="621"/>
              </w:trPr>
              <w:tc>
                <w:tcPr>
                  <w:tcW w:w="8040"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86</w:t>
                  </w:r>
                </w:p>
              </w:tc>
              <w:tc>
                <w:tcPr>
                  <w:tcW w:w="1818"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eastAsia="宋体" w:cs="宋体" w:hint="eastAsia"/>
                      <w:i w:val="0"/>
                      <w:iCs w:val="0"/>
                      <w:color w:val="000000"/>
                      <w:sz w:val="18"/>
                      <w:szCs w:val="18"/>
                      <w:u w:val="none"/>
                    </w:rPr>
                  </w:pPr>
                </w:p>
              </w:tc>
            </w:tr>
            <w:tr>
              <w:trPr>
                <w:trHeight w:val="1202"/>
              </w:trPr>
              <w:tc>
                <w:tcPr>
                  <w:tcW w:w="57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10164"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根据预算绩效管理相关制度的要求，结合项目绩效指标完成情况及对项目成本、项目效率、部门绩效目标实现的综合分析，项目综合评价为项目各项指标项均达到指标要求，项目实施达到预期效果。</w:t>
                  </w:r>
                </w:p>
              </w:tc>
            </w:tr>
            <w:tr>
              <w:trPr>
                <w:trHeight w:val="1202"/>
              </w:trPr>
              <w:tc>
                <w:tcPr>
                  <w:tcW w:w="57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10164"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由于对支出绩效评价工作的重要性还认识不够，因此对绩效评价工作的重视度还不够，部分项目支出绩效指标无法用量化指标来进行考评。</w:t>
                  </w:r>
                </w:p>
              </w:tc>
            </w:tr>
            <w:tr>
              <w:trPr>
                <w:trHeight w:val="1202"/>
              </w:trPr>
              <w:tc>
                <w:tcPr>
                  <w:tcW w:w="57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tcW w:w="10164"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针对存在的问题，我们将进一步科学设定绩效目标，加强预算执行管理。遵循先有预算、后有支出的原则，加强《新预算法》、《政府会计制度》等学习培训，规范部门预算收支核算，加强财务管理和内部控制监督制度。</w:t>
                  </w:r>
                </w:p>
              </w:tc>
            </w:tr>
            <w:tr>
              <w:trPr>
                <w:trHeight w:val="621"/>
              </w:trPr>
              <w:tc>
                <w:tcPr>
                  <w:tcW w:w="5285"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项目负责人：陈茂川</w:t>
                  </w:r>
                </w:p>
              </w:tc>
              <w:tc>
                <w:tcPr>
                  <w:tcW w:w="5455"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财务负责人：蒲哇泽哩</w:t>
                  </w:r>
                </w:p>
              </w:tc>
            </w:tr>
            <w:tr>
              <w:trPr>
                <w:trHeight w:val="621"/>
              </w:trPr>
              <w:tc>
                <w:tcPr>
                  <w:tcW w:w="576" w:type="dxa"/>
                  <w:tcBorders>
                    <w:top w:val="nil"/>
                    <w:left w:val="nil"/>
                    <w:bottom w:val="nil"/>
                    <w:right w:val="nil"/>
                  </w:tcBorders>
                  <w:shd w:val="clear" w:color="auto" w:fill="auto"/>
                  <w:vAlign w:val="center"/>
                </w:tcPr>
                <w:p>
                  <w:pPr>
                    <w:rPr>
                      <w:rFonts w:ascii="宋体" w:eastAsia="宋体" w:cs="宋体" w:hint="eastAsia"/>
                      <w:i w:val="0"/>
                      <w:iCs w:val="0"/>
                      <w:color w:val="000000"/>
                      <w:sz w:val="18"/>
                      <w:szCs w:val="18"/>
                      <w:u w:val="none"/>
                    </w:rPr>
                  </w:pPr>
                </w:p>
              </w:tc>
              <w:tc>
                <w:tcPr>
                  <w:tcW w:w="1445" w:type="dxa"/>
                  <w:tcBorders>
                    <w:top w:val="nil"/>
                    <w:left w:val="nil"/>
                    <w:bottom w:val="nil"/>
                    <w:right w:val="nil"/>
                  </w:tcBorders>
                  <w:shd w:val="clear" w:color="auto" w:fill="auto"/>
                  <w:vAlign w:val="center"/>
                </w:tcPr>
                <w:p>
                  <w:pPr>
                    <w:rPr>
                      <w:rFonts w:ascii="宋体" w:eastAsia="宋体" w:cs="宋体" w:hint="eastAsia"/>
                      <w:i w:val="0"/>
                      <w:iCs w:val="0"/>
                      <w:color w:val="000000"/>
                      <w:sz w:val="18"/>
                      <w:szCs w:val="18"/>
                      <w:u w:val="none"/>
                    </w:rPr>
                  </w:pPr>
                </w:p>
              </w:tc>
              <w:tc>
                <w:tcPr>
                  <w:tcW w:w="1259" w:type="dxa"/>
                  <w:tcBorders>
                    <w:top w:val="nil"/>
                    <w:left w:val="nil"/>
                    <w:bottom w:val="nil"/>
                    <w:right w:val="nil"/>
                  </w:tcBorders>
                  <w:shd w:val="clear" w:color="auto" w:fill="auto"/>
                  <w:vAlign w:val="center"/>
                </w:tcPr>
                <w:p>
                  <w:pPr>
                    <w:rPr>
                      <w:rFonts w:ascii="宋体" w:eastAsia="宋体" w:cs="宋体" w:hint="eastAsia"/>
                      <w:i w:val="0"/>
                      <w:iCs w:val="0"/>
                      <w:color w:val="000000"/>
                      <w:sz w:val="18"/>
                      <w:szCs w:val="18"/>
                      <w:u w:val="none"/>
                    </w:rPr>
                  </w:pPr>
                </w:p>
              </w:tc>
              <w:tc>
                <w:tcPr>
                  <w:tcW w:w="1609" w:type="dxa"/>
                  <w:tcBorders>
                    <w:top w:val="nil"/>
                    <w:left w:val="nil"/>
                    <w:bottom w:val="nil"/>
                    <w:right w:val="nil"/>
                  </w:tcBorders>
                  <w:shd w:val="clear" w:color="auto" w:fill="auto"/>
                  <w:vAlign w:val="center"/>
                </w:tcPr>
                <w:p>
                  <w:pPr>
                    <w:rPr>
                      <w:rFonts w:ascii="宋体" w:eastAsia="宋体" w:cs="宋体" w:hint="eastAsia"/>
                      <w:i w:val="0"/>
                      <w:iCs w:val="0"/>
                      <w:color w:val="000000"/>
                      <w:sz w:val="18"/>
                      <w:szCs w:val="18"/>
                      <w:u w:val="none"/>
                    </w:rPr>
                  </w:pPr>
                </w:p>
              </w:tc>
              <w:tc>
                <w:tcPr>
                  <w:tcW w:w="396" w:type="dxa"/>
                  <w:tcBorders>
                    <w:top w:val="nil"/>
                    <w:left w:val="nil"/>
                    <w:bottom w:val="nil"/>
                    <w:right w:val="nil"/>
                  </w:tcBorders>
                  <w:shd w:val="clear" w:color="auto" w:fill="auto"/>
                  <w:vAlign w:val="center"/>
                </w:tcPr>
                <w:p>
                  <w:pPr>
                    <w:rPr>
                      <w:rFonts w:ascii="宋体" w:eastAsia="宋体" w:cs="宋体" w:hint="eastAsia"/>
                      <w:i w:val="0"/>
                      <w:iCs w:val="0"/>
                      <w:color w:val="000000"/>
                      <w:sz w:val="18"/>
                      <w:szCs w:val="18"/>
                      <w:u w:val="none"/>
                    </w:rPr>
                  </w:pPr>
                </w:p>
              </w:tc>
              <w:tc>
                <w:tcPr>
                  <w:tcW w:w="1258" w:type="dxa"/>
                  <w:tcBorders>
                    <w:top w:val="nil"/>
                    <w:left w:val="nil"/>
                    <w:bottom w:val="nil"/>
                    <w:right w:val="nil"/>
                  </w:tcBorders>
                  <w:shd w:val="clear" w:color="auto" w:fill="auto"/>
                  <w:vAlign w:val="center"/>
                </w:tcPr>
                <w:p>
                  <w:pPr>
                    <w:rPr>
                      <w:rFonts w:ascii="宋体" w:eastAsia="宋体" w:cs="宋体" w:hint="eastAsia"/>
                      <w:i w:val="0"/>
                      <w:iCs w:val="0"/>
                      <w:color w:val="000000"/>
                      <w:sz w:val="18"/>
                      <w:szCs w:val="18"/>
                      <w:u w:val="none"/>
                    </w:rPr>
                  </w:pPr>
                </w:p>
              </w:tc>
              <w:tc>
                <w:tcPr>
                  <w:tcW w:w="398" w:type="dxa"/>
                  <w:tcBorders>
                    <w:top w:val="nil"/>
                    <w:left w:val="nil"/>
                    <w:bottom w:val="nil"/>
                    <w:right w:val="nil"/>
                  </w:tcBorders>
                  <w:shd w:val="clear" w:color="auto" w:fill="auto"/>
                  <w:vAlign w:val="center"/>
                </w:tcPr>
                <w:p>
                  <w:pPr>
                    <w:rPr>
                      <w:rFonts w:ascii="宋体" w:eastAsia="宋体" w:cs="宋体" w:hint="eastAsia"/>
                      <w:i w:val="0"/>
                      <w:iCs w:val="0"/>
                      <w:color w:val="000000"/>
                      <w:sz w:val="18"/>
                      <w:szCs w:val="18"/>
                      <w:u w:val="none"/>
                    </w:rPr>
                  </w:pPr>
                </w:p>
              </w:tc>
              <w:tc>
                <w:tcPr>
                  <w:tcW w:w="1099" w:type="dxa"/>
                  <w:tcBorders>
                    <w:top w:val="nil"/>
                    <w:left w:val="nil"/>
                    <w:bottom w:val="nil"/>
                    <w:right w:val="nil"/>
                  </w:tcBorders>
                  <w:shd w:val="clear" w:color="auto" w:fill="auto"/>
                  <w:vAlign w:val="center"/>
                </w:tcPr>
                <w:p>
                  <w:pPr>
                    <w:rPr>
                      <w:rFonts w:ascii="宋体" w:eastAsia="宋体" w:cs="宋体" w:hint="eastAsia"/>
                      <w:i w:val="0"/>
                      <w:iCs w:val="0"/>
                      <w:color w:val="000000"/>
                      <w:sz w:val="18"/>
                      <w:szCs w:val="18"/>
                      <w:u w:val="none"/>
                    </w:rPr>
                  </w:pPr>
                </w:p>
              </w:tc>
              <w:tc>
                <w:tcPr>
                  <w:tcW w:w="486" w:type="dxa"/>
                  <w:tcBorders>
                    <w:top w:val="nil"/>
                    <w:left w:val="nil"/>
                    <w:bottom w:val="nil"/>
                    <w:right w:val="nil"/>
                  </w:tcBorders>
                  <w:shd w:val="clear" w:color="auto" w:fill="auto"/>
                  <w:vAlign w:val="center"/>
                </w:tcPr>
                <w:p/>
              </w:tc>
              <w:tc>
                <w:tcPr>
                  <w:tcW w:w="396" w:type="dxa"/>
                  <w:tcBorders>
                    <w:top w:val="nil"/>
                    <w:left w:val="nil"/>
                    <w:bottom w:val="nil"/>
                    <w:right w:val="nil"/>
                  </w:tcBorders>
                  <w:shd w:val="clear" w:color="auto" w:fill="auto"/>
                  <w:vAlign w:val="center"/>
                </w:tcPr>
                <w:p>
                  <w:pPr>
                    <w:rPr>
                      <w:rFonts w:ascii="宋体" w:eastAsia="宋体" w:cs="宋体" w:hint="eastAsia"/>
                      <w:i w:val="0"/>
                      <w:iCs w:val="0"/>
                      <w:color w:val="000000"/>
                      <w:sz w:val="18"/>
                      <w:szCs w:val="18"/>
                      <w:u w:val="none"/>
                    </w:rPr>
                  </w:pPr>
                </w:p>
              </w:tc>
              <w:tc>
                <w:tcPr>
                  <w:tcW w:w="1818" w:type="dxa"/>
                  <w:tcBorders>
                    <w:top w:val="nil"/>
                    <w:left w:val="nil"/>
                    <w:bottom w:val="nil"/>
                    <w:right w:val="nil"/>
                  </w:tcBorders>
                  <w:shd w:val="clear" w:color="auto" w:fill="auto"/>
                  <w:vAlign w:val="center"/>
                </w:tcPr>
                <w:p>
                  <w:pPr>
                    <w:rPr>
                      <w:rFonts w:ascii="宋体" w:eastAsia="宋体" w:cs="宋体" w:hint="eastAsia"/>
                      <w:i w:val="0"/>
                      <w:iCs w:val="0"/>
                      <w:color w:val="000000"/>
                      <w:sz w:val="18"/>
                      <w:szCs w:val="18"/>
                      <w:u w:val="none"/>
                    </w:rPr>
                  </w:pPr>
                </w:p>
              </w:tc>
            </w:tr>
            <w:tr>
              <w:trPr>
                <w:trHeight w:val="1248"/>
              </w:trPr>
              <w:tc>
                <w:tcPr>
                  <w:tcW w:w="10740" w:type="dxa"/>
                  <w:gridSpan w:val="11"/>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黑体" w:eastAsia="黑体" w:cs="黑体" w:hint="eastAsia"/>
                      <w:b/>
                      <w:bCs/>
                      <w:i w:val="0"/>
                      <w:iCs w:val="0"/>
                      <w:color w:val="000000"/>
                      <w:sz w:val="30"/>
                      <w:szCs w:val="30"/>
                      <w:u w:val="none"/>
                    </w:rPr>
                  </w:pPr>
                  <w:r>
                    <w:rPr>
                      <w:rFonts w:ascii="黑体" w:eastAsia="黑体" w:cs="黑体" w:hint="eastAsia"/>
                      <w:b/>
                      <w:bCs/>
                      <w:i w:val="0"/>
                      <w:iCs w:val="0"/>
                      <w:color w:val="000000"/>
                      <w:kern w:val="0"/>
                      <w:sz w:val="30"/>
                      <w:szCs w:val="30"/>
                      <w:u w:val="none"/>
                      <w:lang w:val="en-US" w:eastAsia="zh-CN"/>
                    </w:rPr>
                    <w:t>部门预算项目支出绩效自评表（2025年度）</w:t>
                  </w:r>
                </w:p>
              </w:tc>
            </w:tr>
            <w:tr>
              <w:trPr>
                <w:trHeight w:val="621"/>
              </w:trPr>
              <w:tc>
                <w:tcPr>
                  <w:tcW w:w="202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8719"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51322322T000006115164-“雪亮”工程运行维护</w:t>
                  </w:r>
                </w:p>
              </w:tc>
            </w:tr>
            <w:tr>
              <w:trPr>
                <w:trHeight w:val="1777"/>
              </w:trPr>
              <w:tc>
                <w:tcPr>
                  <w:tcW w:w="202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4920"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茂县公安局本级</w:t>
                  </w:r>
                </w:p>
              </w:tc>
              <w:tc>
                <w:tcPr>
                  <w:tcW w:w="1099" w:type="dxa"/>
                  <w:tcBorders>
                    <w:top w:val="nil"/>
                    <w:left w:val="nil"/>
                    <w:bottom w:val="nil"/>
                    <w:right w:val="nil"/>
                  </w:tcBorders>
                  <w:shd w:val="clear" w:color="auto" w:fill="auto"/>
                  <w:vAlign w:val="center"/>
                </w:tcPr>
                <w:p>
                  <w:pPr>
                    <w:keepNext w:val="0"/>
                    <w:keepLines w:val="0"/>
                    <w:widowControl/>
                    <w:suppressLineNumbers w:val="0"/>
                    <w:suppressAutoHyphens/>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实施单位 （盖章）</w:t>
                  </w:r>
                </w:p>
              </w:tc>
              <w:tc>
                <w:tcPr>
                  <w:tcW w:w="270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茂县公安局</w:t>
                  </w:r>
                </w:p>
              </w:tc>
            </w:tr>
            <w:tr>
              <w:trPr>
                <w:trHeight w:val="621"/>
              </w:trPr>
              <w:tc>
                <w:tcPr>
                  <w:tcW w:w="5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144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4920"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3799"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年度目标完成情况</w:t>
                  </w:r>
                </w:p>
              </w:tc>
            </w:tr>
            <w:tr>
              <w:trPr>
                <w:trHeight w:val="1194"/>
              </w:trPr>
              <w:tc>
                <w:tcPr>
                  <w:tcW w:w="5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4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4920"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利用科技手段，震慑预防一大批犯罪案件的发生，尤其是侵财类案件的发生，提高了社会的文明程度，人民安全感满意度上升。</w:t>
                  </w:r>
                </w:p>
              </w:tc>
              <w:tc>
                <w:tcPr>
                  <w:tcW w:w="3799"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一方面缓解日益繁忙的社会面管控压力和警力不足之间的矛盾，同时在一定程度上消除了道路社会面管理在时间和空间上的“盲点”，有效抑制了违法事故的发生。</w:t>
                  </w:r>
                </w:p>
              </w:tc>
            </w:tr>
            <w:tr>
              <w:trPr>
                <w:trHeight w:val="1202"/>
              </w:trPr>
              <w:tc>
                <w:tcPr>
                  <w:tcW w:w="5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4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8719"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天网工程通过在交通要道、治安卡口、公共聚集场所、宾馆、学校、医院以及治安复杂场所安装视频监控设备，利用网络把一定区域内所有视频监控点图像传播到监控中心(即天网工程管理平台)，对刑事案件、治安案件、交通违章、城管违章等图像信息分类，为强化城市综合管理、预防打击犯罪和突发性治安灾害事故提供可靠的影像资料。</w:t>
                  </w:r>
                </w:p>
              </w:tc>
            </w:tr>
            <w:tr>
              <w:trPr>
                <w:trHeight w:val="1202"/>
              </w:trPr>
              <w:tc>
                <w:tcPr>
                  <w:tcW w:w="5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144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125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16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205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181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trPr>
                <w:trHeight w:val="621"/>
              </w:trPr>
              <w:tc>
                <w:tcPr>
                  <w:tcW w:w="5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4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125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6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186.85</w:t>
                  </w:r>
                </w:p>
              </w:tc>
              <w:tc>
                <w:tcPr>
                  <w:tcW w:w="205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186.85</w:t>
                  </w: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宋体" w:eastAsia="宋体" w:cs="宋体"/>
                      <w:i w:val="0"/>
                      <w:iCs w:val="0"/>
                      <w:color w:val="000000"/>
                      <w:sz w:val="18"/>
                      <w:szCs w:val="18"/>
                      <w:u w:val="none"/>
                    </w:rPr>
                  </w:pPr>
                </w:p>
              </w:tc>
              <w:tc>
                <w:tcPr>
                  <w:tcW w:w="181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rPr>
                      <w:rFonts w:ascii="黑体" w:eastAsia="黑体" w:cs="黑体" w:hint="eastAsia"/>
                      <w:i/>
                      <w:iCs/>
                      <w:color w:val="000000"/>
                      <w:sz w:val="18"/>
                      <w:szCs w:val="18"/>
                      <w:u w:val="none"/>
                    </w:rPr>
                  </w:pPr>
                  <w:r>
                    <w:rPr>
                      <w:rFonts w:ascii="黑体" w:eastAsia="黑体" w:cs="黑体" w:hint="eastAsia"/>
                      <w:i/>
                      <w:iCs/>
                      <w:color w:val="000000"/>
                      <w:kern w:val="0"/>
                      <w:sz w:val="18"/>
                      <w:szCs w:val="18"/>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trPr>
                <w:trHeight w:val="621"/>
              </w:trPr>
              <w:tc>
                <w:tcPr>
                  <w:tcW w:w="5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4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125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6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186.85</w:t>
                  </w:r>
                </w:p>
              </w:tc>
              <w:tc>
                <w:tcPr>
                  <w:tcW w:w="205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186.85</w:t>
                  </w: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8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1194"/>
              </w:trPr>
              <w:tc>
                <w:tcPr>
                  <w:tcW w:w="5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4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125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6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05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8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621"/>
              </w:trPr>
              <w:tc>
                <w:tcPr>
                  <w:tcW w:w="5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4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125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6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05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8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3426"/>
              </w:trPr>
              <w:tc>
                <w:tcPr>
                  <w:tcW w:w="5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4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其他资金</w:t>
                  </w:r>
                </w:p>
              </w:tc>
              <w:tc>
                <w:tcPr>
                  <w:tcW w:w="1259"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c>
                <w:tcPr>
                  <w:tcW w:w="1609"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c>
                <w:tcPr>
                  <w:tcW w:w="205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8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2362"/>
              </w:trPr>
              <w:tc>
                <w:tcPr>
                  <w:tcW w:w="5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144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125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16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125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39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权重</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181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trPr>
                <w:trHeight w:val="621"/>
              </w:trPr>
              <w:tc>
                <w:tcPr>
                  <w:tcW w:w="5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4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125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16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经费总额</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25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3183513.33</w:t>
                  </w:r>
                </w:p>
              </w:tc>
              <w:tc>
                <w:tcPr>
                  <w:tcW w:w="39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微软雅黑" w:eastAsia="微软雅黑" w:cs="微软雅黑" w:hint="eastAsia"/>
                      <w:i/>
                      <w:iCs/>
                      <w:color w:val="000000"/>
                      <w:sz w:val="16"/>
                      <w:szCs w:val="16"/>
                      <w:u w:val="none"/>
                    </w:rPr>
                  </w:pPr>
                  <w:r>
                    <w:rPr>
                      <w:rFonts w:ascii="宋体" w:eastAsia="宋体" w:cs="宋体"/>
                      <w:i w:val="0"/>
                      <w:iCs w:val="0"/>
                      <w:color w:val="000000"/>
                      <w:kern w:val="0"/>
                      <w:sz w:val="18"/>
                      <w:szCs w:val="18"/>
                      <w:u w:val="none"/>
                      <w:lang w:val="en-US" w:eastAsia="zh-CN"/>
                    </w:rPr>
                    <w:t>元</w:t>
                  </w: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微软雅黑" w:eastAsia="微软雅黑" w:cs="微软雅黑" w:hint="eastAsia"/>
                      <w:i/>
                      <w:iCs/>
                      <w:color w:val="000000"/>
                      <w:kern w:val="0"/>
                      <w:sz w:val="16"/>
                      <w:szCs w:val="16"/>
                      <w:u w:val="none"/>
                      <w:lang w:val="en-US" w:eastAsia="zh-CN"/>
                    </w:rPr>
                    <w:t>1034373.33</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10</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4</w:t>
                  </w:r>
                </w:p>
              </w:tc>
              <w:tc>
                <w:tcPr>
                  <w:tcW w:w="1818"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r>
            <w:tr>
              <w:trPr>
                <w:trHeight w:val="1202"/>
              </w:trPr>
              <w:tc>
                <w:tcPr>
                  <w:tcW w:w="5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4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25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hint="eastAsia"/>
                      <w:i w:val="0"/>
                      <w:iCs w:val="0"/>
                      <w:color w:val="000000"/>
                      <w:sz w:val="18"/>
                      <w:szCs w:val="18"/>
                      <w:u w:val="none"/>
                    </w:rPr>
                  </w:pPr>
                  <w:r>
                    <w:rPr>
                      <w:rFonts w:ascii="宋体" w:eastAsia="宋体" w:cs="宋体"/>
                      <w:i w:val="0"/>
                      <w:iCs w:val="0"/>
                      <w:color w:val="000000"/>
                      <w:kern w:val="0"/>
                      <w:sz w:val="18"/>
                      <w:szCs w:val="18"/>
                      <w:u w:val="none"/>
                      <w:lang w:val="en-US" w:eastAsia="zh-CN"/>
                    </w:rPr>
                    <w:t>质量指标</w:t>
                  </w:r>
                </w:p>
              </w:tc>
              <w:tc>
                <w:tcPr>
                  <w:tcW w:w="16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利用科技手段，震慑预防一大批犯罪案件的发生，尤其是侵财类案件的发生，提高了社会的文明程度，人民安全感满意度上升。</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125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良好</w:t>
                  </w:r>
                </w:p>
              </w:tc>
              <w:tc>
                <w:tcPr>
                  <w:tcW w:w="398"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微软雅黑" w:eastAsia="微软雅黑" w:cs="微软雅黑" w:hint="eastAsia"/>
                      <w:i/>
                      <w:iCs/>
                      <w:color w:val="000000"/>
                      <w:kern w:val="0"/>
                      <w:sz w:val="16"/>
                      <w:szCs w:val="16"/>
                      <w:u w:val="none"/>
                      <w:lang w:val="en-US" w:eastAsia="zh-CN"/>
                    </w:rPr>
                    <w:t>良好</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20</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16</w:t>
                  </w:r>
                </w:p>
              </w:tc>
              <w:tc>
                <w:tcPr>
                  <w:tcW w:w="1818"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r>
            <w:tr>
              <w:trPr>
                <w:trHeight w:val="1202"/>
              </w:trPr>
              <w:tc>
                <w:tcPr>
                  <w:tcW w:w="5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4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25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时效指标</w:t>
                  </w:r>
                </w:p>
              </w:tc>
              <w:tc>
                <w:tcPr>
                  <w:tcW w:w="16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2022年度</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25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hint="eastAsia"/>
                      <w:i w:val="0"/>
                      <w:iCs w:val="0"/>
                      <w:color w:val="000000"/>
                      <w:sz w:val="18"/>
                      <w:szCs w:val="18"/>
                      <w:u w:val="none"/>
                    </w:rPr>
                  </w:pPr>
                  <w:r>
                    <w:rPr>
                      <w:rFonts w:ascii="宋体" w:eastAsia="宋体" w:cs="宋体"/>
                      <w:i w:val="0"/>
                      <w:iCs w:val="0"/>
                      <w:color w:val="000000"/>
                      <w:kern w:val="0"/>
                      <w:sz w:val="18"/>
                      <w:szCs w:val="18"/>
                      <w:u w:val="none"/>
                      <w:lang w:val="en-US" w:eastAsia="zh-CN"/>
                    </w:rPr>
                    <w:t>1</w:t>
                  </w:r>
                </w:p>
              </w:tc>
              <w:tc>
                <w:tcPr>
                  <w:tcW w:w="39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微软雅黑" w:eastAsia="微软雅黑" w:cs="微软雅黑" w:hint="eastAsia"/>
                      <w:i/>
                      <w:iCs/>
                      <w:color w:val="000000"/>
                      <w:sz w:val="16"/>
                      <w:szCs w:val="16"/>
                      <w:u w:val="none"/>
                    </w:rPr>
                  </w:pPr>
                  <w:r>
                    <w:rPr>
                      <w:rFonts w:ascii="宋体" w:eastAsia="宋体" w:cs="宋体"/>
                      <w:i w:val="0"/>
                      <w:iCs w:val="0"/>
                      <w:color w:val="000000"/>
                      <w:kern w:val="0"/>
                      <w:sz w:val="18"/>
                      <w:szCs w:val="18"/>
                      <w:u w:val="none"/>
                      <w:lang w:val="en-US" w:eastAsia="zh-CN"/>
                    </w:rPr>
                    <w:t>年</w:t>
                  </w: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微软雅黑" w:eastAsia="微软雅黑" w:cs="微软雅黑" w:hint="eastAsia"/>
                      <w:i/>
                      <w:iCs/>
                      <w:color w:val="000000"/>
                      <w:kern w:val="0"/>
                      <w:sz w:val="16"/>
                      <w:szCs w:val="16"/>
                      <w:u w:val="none"/>
                      <w:lang w:val="en-US" w:eastAsia="zh-CN"/>
                    </w:rPr>
                    <w:t>1</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10</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818"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r>
            <w:tr>
              <w:trPr>
                <w:trHeight w:val="1194"/>
              </w:trPr>
              <w:tc>
                <w:tcPr>
                  <w:tcW w:w="5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4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hint="eastAsia"/>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W w:w="125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hint="eastAsia"/>
                      <w:i w:val="0"/>
                      <w:iCs w:val="0"/>
                      <w:color w:val="000000"/>
                      <w:sz w:val="18"/>
                      <w:szCs w:val="18"/>
                      <w:u w:val="none"/>
                    </w:rPr>
                  </w:pPr>
                  <w:r>
                    <w:rPr>
                      <w:rFonts w:ascii="宋体" w:eastAsia="宋体" w:cs="宋体"/>
                      <w:i w:val="0"/>
                      <w:iCs w:val="0"/>
                      <w:color w:val="000000"/>
                      <w:kern w:val="0"/>
                      <w:sz w:val="18"/>
                      <w:szCs w:val="18"/>
                      <w:u w:val="none"/>
                      <w:lang w:val="en-US" w:eastAsia="zh-CN"/>
                    </w:rPr>
                    <w:t>社会效益指标</w:t>
                  </w:r>
                </w:p>
              </w:tc>
              <w:tc>
                <w:tcPr>
                  <w:tcW w:w="16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提高了社会的文明程度，人民安全感满意度上升。</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125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hint="eastAsia"/>
                      <w:i w:val="0"/>
                      <w:iCs w:val="0"/>
                      <w:color w:val="000000"/>
                      <w:sz w:val="18"/>
                      <w:szCs w:val="18"/>
                      <w:u w:val="none"/>
                    </w:rPr>
                  </w:pPr>
                  <w:r>
                    <w:rPr>
                      <w:rFonts w:ascii="宋体" w:eastAsia="宋体" w:cs="宋体"/>
                      <w:i w:val="0"/>
                      <w:iCs w:val="0"/>
                      <w:color w:val="000000"/>
                      <w:kern w:val="0"/>
                      <w:sz w:val="18"/>
                      <w:szCs w:val="18"/>
                      <w:u w:val="none"/>
                      <w:lang w:val="en-US" w:eastAsia="zh-CN"/>
                    </w:rPr>
                    <w:t>良好</w:t>
                  </w:r>
                </w:p>
              </w:tc>
              <w:tc>
                <w:tcPr>
                  <w:tcW w:w="398"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微软雅黑" w:eastAsia="微软雅黑" w:cs="微软雅黑" w:hint="eastAsia"/>
                      <w:i/>
                      <w:iCs/>
                      <w:color w:val="000000"/>
                      <w:kern w:val="0"/>
                      <w:sz w:val="16"/>
                      <w:szCs w:val="16"/>
                      <w:u w:val="none"/>
                      <w:lang w:val="en-US" w:eastAsia="zh-CN"/>
                    </w:rPr>
                    <w:t>良好</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15</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14</w:t>
                  </w:r>
                </w:p>
              </w:tc>
              <w:tc>
                <w:tcPr>
                  <w:tcW w:w="1818"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r>
            <w:tr>
              <w:trPr>
                <w:trHeight w:val="1183"/>
              </w:trPr>
              <w:tc>
                <w:tcPr>
                  <w:tcW w:w="5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4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25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可持续发展指标</w:t>
                  </w:r>
                </w:p>
              </w:tc>
              <w:tc>
                <w:tcPr>
                  <w:tcW w:w="16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震慑预防一大批犯罪案件的发生，提高了社会的文明程度，人民安全感满意度上升。</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125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良好</w:t>
                  </w:r>
                </w:p>
              </w:tc>
              <w:tc>
                <w:tcPr>
                  <w:tcW w:w="398"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微软雅黑" w:eastAsia="微软雅黑" w:cs="微软雅黑" w:hint="eastAsia"/>
                      <w:i/>
                      <w:iCs/>
                      <w:color w:val="000000"/>
                      <w:kern w:val="0"/>
                      <w:sz w:val="16"/>
                      <w:szCs w:val="16"/>
                      <w:u w:val="none"/>
                      <w:lang w:val="en-US" w:eastAsia="zh-CN"/>
                    </w:rPr>
                    <w:t>良好</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15</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13</w:t>
                  </w:r>
                </w:p>
              </w:tc>
              <w:tc>
                <w:tcPr>
                  <w:tcW w:w="1818"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r>
            <w:tr>
              <w:trPr>
                <w:trHeight w:val="1202"/>
              </w:trPr>
              <w:tc>
                <w:tcPr>
                  <w:tcW w:w="5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4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125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服务对象满意度指标</w:t>
                  </w:r>
                </w:p>
              </w:tc>
              <w:tc>
                <w:tcPr>
                  <w:tcW w:w="16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人民群众满意度</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25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hint="eastAsia"/>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39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微软雅黑" w:eastAsia="微软雅黑" w:cs="微软雅黑" w:hint="eastAsia"/>
                      <w:i/>
                      <w:iCs/>
                      <w:color w:val="000000"/>
                      <w:sz w:val="16"/>
                      <w:szCs w:val="16"/>
                      <w:u w:val="none"/>
                    </w:rPr>
                  </w:pPr>
                  <w:r>
                    <w:rPr>
                      <w:rFonts w:ascii="宋体" w:eastAsia="宋体" w:cs="宋体"/>
                      <w:i w:val="0"/>
                      <w:iCs w:val="0"/>
                      <w:color w:val="000000"/>
                      <w:kern w:val="0"/>
                      <w:sz w:val="18"/>
                      <w:szCs w:val="18"/>
                      <w:u w:val="none"/>
                      <w:lang w:val="en-US" w:eastAsia="zh-CN"/>
                    </w:rPr>
                    <w:t>%</w:t>
                  </w: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微软雅黑" w:eastAsia="微软雅黑" w:cs="微软雅黑" w:hint="eastAsia"/>
                      <w:i/>
                      <w:iCs/>
                      <w:color w:val="000000"/>
                      <w:kern w:val="0"/>
                      <w:sz w:val="16"/>
                      <w:szCs w:val="16"/>
                      <w:u w:val="none"/>
                      <w:lang w:val="en-US" w:eastAsia="zh-CN"/>
                    </w:rPr>
                    <w:t>95</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10</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1818"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r>
            <w:tr>
              <w:trPr>
                <w:trHeight w:val="1777"/>
              </w:trPr>
              <w:tc>
                <w:tcPr>
                  <w:tcW w:w="5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4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成本指标</w:t>
                  </w:r>
                </w:p>
              </w:tc>
              <w:tc>
                <w:tcPr>
                  <w:tcW w:w="125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经济成本指标</w:t>
                  </w:r>
                </w:p>
              </w:tc>
              <w:tc>
                <w:tcPr>
                  <w:tcW w:w="16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经费</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25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318.3</w:t>
                  </w:r>
                </w:p>
              </w:tc>
              <w:tc>
                <w:tcPr>
                  <w:tcW w:w="39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微软雅黑" w:eastAsia="微软雅黑" w:cs="微软雅黑" w:hint="eastAsia"/>
                      <w:i/>
                      <w:iCs/>
                      <w:color w:val="000000"/>
                      <w:sz w:val="16"/>
                      <w:szCs w:val="16"/>
                      <w:u w:val="none"/>
                    </w:rPr>
                  </w:pPr>
                  <w:r>
                    <w:rPr>
                      <w:rFonts w:ascii="宋体" w:eastAsia="宋体" w:cs="宋体"/>
                      <w:i w:val="0"/>
                      <w:iCs w:val="0"/>
                      <w:color w:val="000000"/>
                      <w:kern w:val="0"/>
                      <w:sz w:val="18"/>
                      <w:szCs w:val="18"/>
                      <w:u w:val="none"/>
                      <w:lang w:val="en-US" w:eastAsia="zh-CN"/>
                    </w:rPr>
                    <w:t>万元</w:t>
                  </w: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微软雅黑" w:eastAsia="微软雅黑" w:cs="微软雅黑" w:hint="eastAsia"/>
                      <w:i/>
                      <w:iCs/>
                      <w:color w:val="000000"/>
                      <w:kern w:val="0"/>
                      <w:sz w:val="16"/>
                      <w:szCs w:val="16"/>
                      <w:u w:val="none"/>
                      <w:lang w:val="en-US" w:eastAsia="zh-CN"/>
                    </w:rPr>
                    <w:t>186.85</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10</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1818"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r>
            <w:tr>
              <w:trPr>
                <w:trHeight w:val="621"/>
              </w:trPr>
              <w:tc>
                <w:tcPr>
                  <w:tcW w:w="8040"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81</w:t>
                  </w:r>
                </w:p>
              </w:tc>
              <w:tc>
                <w:tcPr>
                  <w:tcW w:w="1818"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eastAsia="宋体" w:cs="宋体" w:hint="eastAsia"/>
                      <w:i w:val="0"/>
                      <w:iCs w:val="0"/>
                      <w:color w:val="000000"/>
                      <w:sz w:val="18"/>
                      <w:szCs w:val="18"/>
                      <w:u w:val="none"/>
                    </w:rPr>
                  </w:pPr>
                </w:p>
              </w:tc>
            </w:tr>
            <w:tr>
              <w:trPr>
                <w:trHeight w:val="1202"/>
              </w:trPr>
              <w:tc>
                <w:tcPr>
                  <w:tcW w:w="57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10164"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根据预算绩效管理相关制度的要求，结合项目绩效指标完成情况及对项目成本、项目效率、部门绩效目标实现的综合分析，项目综合评价为项目各项指标项均达到指标要求，项目实施达到预期效果。</w:t>
                  </w:r>
                </w:p>
              </w:tc>
            </w:tr>
            <w:tr>
              <w:trPr>
                <w:trHeight w:val="1202"/>
              </w:trPr>
              <w:tc>
                <w:tcPr>
                  <w:tcW w:w="57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10164"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由于对支出绩效评价工作的重要性还认识不够，因此对绩效评价工作的重视度还不够，部分项目支出绩效指标无法用量化指标来进行考评。</w:t>
                  </w:r>
                </w:p>
              </w:tc>
            </w:tr>
            <w:tr>
              <w:trPr>
                <w:trHeight w:val="1202"/>
              </w:trPr>
              <w:tc>
                <w:tcPr>
                  <w:tcW w:w="57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tcW w:w="10164"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针对存在的问题，我们将进一步科学设定绩效目标，加强预算执行管理。遵循先有预算、后有支出的原则，加强《新预算法》、《政府会计制度》等学习培训，规范部门预算收支核算，加强财务管理和内部控制监督制度。</w:t>
                  </w:r>
                </w:p>
              </w:tc>
            </w:tr>
            <w:tr>
              <w:trPr>
                <w:trHeight w:val="621"/>
              </w:trPr>
              <w:tc>
                <w:tcPr>
                  <w:tcW w:w="5285"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项目负责人：陈茂川</w:t>
                  </w:r>
                </w:p>
              </w:tc>
              <w:tc>
                <w:tcPr>
                  <w:tcW w:w="5455"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财务负责人：蒲哇泽哩</w:t>
                  </w:r>
                </w:p>
              </w:tc>
            </w:tr>
            <w:tr>
              <w:trPr>
                <w:trHeight w:val="621"/>
              </w:trPr>
              <w:tc>
                <w:tcPr>
                  <w:tcW w:w="576" w:type="dxa"/>
                  <w:tcBorders>
                    <w:top w:val="nil"/>
                    <w:left w:val="nil"/>
                    <w:bottom w:val="nil"/>
                    <w:right w:val="nil"/>
                  </w:tcBorders>
                  <w:shd w:val="clear" w:color="auto" w:fill="auto"/>
                  <w:vAlign w:val="center"/>
                </w:tcPr>
                <w:p>
                  <w:pPr>
                    <w:rPr>
                      <w:rFonts w:ascii="宋体" w:eastAsia="宋体" w:cs="宋体" w:hint="eastAsia"/>
                      <w:i w:val="0"/>
                      <w:iCs w:val="0"/>
                      <w:color w:val="000000"/>
                      <w:sz w:val="18"/>
                      <w:szCs w:val="18"/>
                      <w:u w:val="none"/>
                    </w:rPr>
                  </w:pPr>
                </w:p>
              </w:tc>
              <w:tc>
                <w:tcPr>
                  <w:tcW w:w="1445" w:type="dxa"/>
                  <w:tcBorders>
                    <w:top w:val="nil"/>
                    <w:left w:val="nil"/>
                    <w:bottom w:val="nil"/>
                    <w:right w:val="nil"/>
                  </w:tcBorders>
                  <w:shd w:val="clear" w:color="auto" w:fill="auto"/>
                  <w:vAlign w:val="center"/>
                </w:tcPr>
                <w:p>
                  <w:pPr>
                    <w:rPr>
                      <w:rFonts w:ascii="宋体" w:eastAsia="宋体" w:cs="宋体" w:hint="eastAsia"/>
                      <w:i w:val="0"/>
                      <w:iCs w:val="0"/>
                      <w:color w:val="000000"/>
                      <w:sz w:val="18"/>
                      <w:szCs w:val="18"/>
                      <w:u w:val="none"/>
                    </w:rPr>
                  </w:pPr>
                </w:p>
              </w:tc>
              <w:tc>
                <w:tcPr>
                  <w:tcW w:w="1259" w:type="dxa"/>
                  <w:tcBorders>
                    <w:top w:val="nil"/>
                    <w:left w:val="nil"/>
                    <w:bottom w:val="nil"/>
                    <w:right w:val="nil"/>
                  </w:tcBorders>
                  <w:shd w:val="clear" w:color="auto" w:fill="auto"/>
                  <w:vAlign w:val="center"/>
                </w:tcPr>
                <w:p>
                  <w:pPr>
                    <w:rPr>
                      <w:rFonts w:ascii="宋体" w:eastAsia="宋体" w:cs="宋体" w:hint="eastAsia"/>
                      <w:i w:val="0"/>
                      <w:iCs w:val="0"/>
                      <w:color w:val="000000"/>
                      <w:sz w:val="18"/>
                      <w:szCs w:val="18"/>
                      <w:u w:val="none"/>
                    </w:rPr>
                  </w:pPr>
                </w:p>
              </w:tc>
              <w:tc>
                <w:tcPr>
                  <w:tcW w:w="1609" w:type="dxa"/>
                  <w:tcBorders>
                    <w:top w:val="nil"/>
                    <w:left w:val="nil"/>
                    <w:bottom w:val="nil"/>
                    <w:right w:val="nil"/>
                  </w:tcBorders>
                  <w:shd w:val="clear" w:color="auto" w:fill="auto"/>
                  <w:vAlign w:val="center"/>
                </w:tcPr>
                <w:p>
                  <w:pPr>
                    <w:rPr>
                      <w:rFonts w:ascii="宋体" w:eastAsia="宋体" w:cs="宋体" w:hint="eastAsia"/>
                      <w:i w:val="0"/>
                      <w:iCs w:val="0"/>
                      <w:color w:val="000000"/>
                      <w:sz w:val="18"/>
                      <w:szCs w:val="18"/>
                      <w:u w:val="none"/>
                    </w:rPr>
                  </w:pPr>
                </w:p>
              </w:tc>
              <w:tc>
                <w:tcPr>
                  <w:tcW w:w="396" w:type="dxa"/>
                  <w:tcBorders>
                    <w:top w:val="nil"/>
                    <w:left w:val="nil"/>
                    <w:bottom w:val="nil"/>
                    <w:right w:val="nil"/>
                  </w:tcBorders>
                  <w:shd w:val="clear" w:color="auto" w:fill="auto"/>
                  <w:vAlign w:val="center"/>
                </w:tcPr>
                <w:p>
                  <w:pPr>
                    <w:rPr>
                      <w:rFonts w:ascii="宋体" w:eastAsia="宋体" w:cs="宋体" w:hint="eastAsia"/>
                      <w:i w:val="0"/>
                      <w:iCs w:val="0"/>
                      <w:color w:val="000000"/>
                      <w:sz w:val="18"/>
                      <w:szCs w:val="18"/>
                      <w:u w:val="none"/>
                    </w:rPr>
                  </w:pPr>
                </w:p>
              </w:tc>
              <w:tc>
                <w:tcPr>
                  <w:tcW w:w="1258" w:type="dxa"/>
                  <w:tcBorders>
                    <w:top w:val="nil"/>
                    <w:left w:val="nil"/>
                    <w:bottom w:val="nil"/>
                    <w:right w:val="nil"/>
                  </w:tcBorders>
                  <w:shd w:val="clear" w:color="auto" w:fill="auto"/>
                  <w:vAlign w:val="center"/>
                </w:tcPr>
                <w:p>
                  <w:pPr>
                    <w:rPr>
                      <w:rFonts w:ascii="宋体" w:eastAsia="宋体" w:cs="宋体" w:hint="eastAsia"/>
                      <w:i w:val="0"/>
                      <w:iCs w:val="0"/>
                      <w:color w:val="000000"/>
                      <w:sz w:val="18"/>
                      <w:szCs w:val="18"/>
                      <w:u w:val="none"/>
                    </w:rPr>
                  </w:pPr>
                </w:p>
              </w:tc>
              <w:tc>
                <w:tcPr>
                  <w:tcW w:w="398" w:type="dxa"/>
                  <w:tcBorders>
                    <w:top w:val="nil"/>
                    <w:left w:val="nil"/>
                    <w:bottom w:val="nil"/>
                    <w:right w:val="nil"/>
                  </w:tcBorders>
                  <w:shd w:val="clear" w:color="auto" w:fill="auto"/>
                  <w:vAlign w:val="center"/>
                </w:tcPr>
                <w:p>
                  <w:pPr>
                    <w:rPr>
                      <w:rFonts w:ascii="宋体" w:eastAsia="宋体" w:cs="宋体" w:hint="eastAsia"/>
                      <w:i w:val="0"/>
                      <w:iCs w:val="0"/>
                      <w:color w:val="000000"/>
                      <w:sz w:val="18"/>
                      <w:szCs w:val="18"/>
                      <w:u w:val="none"/>
                    </w:rPr>
                  </w:pPr>
                </w:p>
              </w:tc>
              <w:tc>
                <w:tcPr>
                  <w:tcW w:w="1099" w:type="dxa"/>
                  <w:tcBorders>
                    <w:top w:val="nil"/>
                    <w:left w:val="nil"/>
                    <w:bottom w:val="nil"/>
                    <w:right w:val="nil"/>
                  </w:tcBorders>
                  <w:shd w:val="clear" w:color="auto" w:fill="auto"/>
                  <w:vAlign w:val="center"/>
                </w:tcPr>
                <w:p>
                  <w:pPr>
                    <w:rPr>
                      <w:rFonts w:ascii="宋体" w:eastAsia="宋体" w:cs="宋体" w:hint="eastAsia"/>
                      <w:i w:val="0"/>
                      <w:iCs w:val="0"/>
                      <w:color w:val="000000"/>
                      <w:sz w:val="18"/>
                      <w:szCs w:val="18"/>
                      <w:u w:val="none"/>
                    </w:rPr>
                  </w:pPr>
                </w:p>
              </w:tc>
              <w:tc>
                <w:tcPr>
                  <w:tcW w:w="486" w:type="dxa"/>
                  <w:tcBorders>
                    <w:top w:val="nil"/>
                    <w:left w:val="nil"/>
                    <w:bottom w:val="nil"/>
                    <w:right w:val="nil"/>
                  </w:tcBorders>
                  <w:shd w:val="clear" w:color="auto" w:fill="auto"/>
                  <w:vAlign w:val="center"/>
                </w:tcPr>
                <w:p/>
              </w:tc>
              <w:tc>
                <w:tcPr>
                  <w:tcW w:w="396" w:type="dxa"/>
                  <w:tcBorders>
                    <w:top w:val="nil"/>
                    <w:left w:val="nil"/>
                    <w:bottom w:val="nil"/>
                    <w:right w:val="nil"/>
                  </w:tcBorders>
                  <w:shd w:val="clear" w:color="auto" w:fill="auto"/>
                  <w:vAlign w:val="center"/>
                </w:tcPr>
                <w:p>
                  <w:pPr>
                    <w:rPr>
                      <w:rFonts w:ascii="宋体" w:eastAsia="宋体" w:cs="宋体" w:hint="eastAsia"/>
                      <w:i w:val="0"/>
                      <w:iCs w:val="0"/>
                      <w:color w:val="000000"/>
                      <w:sz w:val="18"/>
                      <w:szCs w:val="18"/>
                      <w:u w:val="none"/>
                    </w:rPr>
                  </w:pPr>
                </w:p>
              </w:tc>
              <w:tc>
                <w:tcPr>
                  <w:tcW w:w="1818" w:type="dxa"/>
                  <w:tcBorders>
                    <w:top w:val="nil"/>
                    <w:left w:val="nil"/>
                    <w:bottom w:val="nil"/>
                    <w:right w:val="nil"/>
                  </w:tcBorders>
                  <w:shd w:val="clear" w:color="auto" w:fill="auto"/>
                  <w:vAlign w:val="center"/>
                </w:tcPr>
                <w:p>
                  <w:pPr>
                    <w:rPr>
                      <w:rFonts w:ascii="宋体" w:eastAsia="宋体" w:cs="宋体" w:hint="eastAsia"/>
                      <w:i w:val="0"/>
                      <w:iCs w:val="0"/>
                      <w:color w:val="000000"/>
                      <w:sz w:val="18"/>
                      <w:szCs w:val="18"/>
                      <w:u w:val="none"/>
                    </w:rPr>
                  </w:pPr>
                </w:p>
              </w:tc>
            </w:tr>
            <w:tr>
              <w:trPr>
                <w:trHeight w:val="1248"/>
              </w:trPr>
              <w:tc>
                <w:tcPr>
                  <w:tcW w:w="10740" w:type="dxa"/>
                  <w:gridSpan w:val="11"/>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黑体" w:eastAsia="黑体" w:cs="黑体" w:hint="eastAsia"/>
                      <w:b/>
                      <w:bCs/>
                      <w:i w:val="0"/>
                      <w:iCs w:val="0"/>
                      <w:color w:val="000000"/>
                      <w:sz w:val="30"/>
                      <w:szCs w:val="30"/>
                      <w:u w:val="none"/>
                    </w:rPr>
                  </w:pPr>
                  <w:r>
                    <w:rPr>
                      <w:rFonts w:ascii="黑体" w:eastAsia="黑体" w:cs="黑体" w:hint="eastAsia"/>
                      <w:b/>
                      <w:bCs/>
                      <w:i w:val="0"/>
                      <w:iCs w:val="0"/>
                      <w:color w:val="000000"/>
                      <w:kern w:val="0"/>
                      <w:sz w:val="30"/>
                      <w:szCs w:val="30"/>
                      <w:u w:val="none"/>
                      <w:lang w:val="en-US" w:eastAsia="zh-CN"/>
                    </w:rPr>
                    <w:t>部门预算项目支出绩效自评表（2025年度）</w:t>
                  </w:r>
                </w:p>
              </w:tc>
            </w:tr>
            <w:tr>
              <w:trPr>
                <w:trHeight w:val="621"/>
              </w:trPr>
              <w:tc>
                <w:tcPr>
                  <w:tcW w:w="202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8719"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51322322T000006144147-考务费</w:t>
                  </w:r>
                </w:p>
              </w:tc>
            </w:tr>
            <w:tr>
              <w:trPr>
                <w:trHeight w:val="1777"/>
              </w:trPr>
              <w:tc>
                <w:tcPr>
                  <w:tcW w:w="202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4920"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茂县公安局本级</w:t>
                  </w:r>
                </w:p>
              </w:tc>
              <w:tc>
                <w:tcPr>
                  <w:tcW w:w="1099" w:type="dxa"/>
                  <w:tcBorders>
                    <w:top w:val="nil"/>
                    <w:left w:val="nil"/>
                    <w:bottom w:val="nil"/>
                    <w:right w:val="nil"/>
                  </w:tcBorders>
                  <w:shd w:val="clear" w:color="auto" w:fill="auto"/>
                  <w:vAlign w:val="center"/>
                </w:tcPr>
                <w:p>
                  <w:pPr>
                    <w:keepNext w:val="0"/>
                    <w:keepLines w:val="0"/>
                    <w:widowControl/>
                    <w:suppressLineNumbers w:val="0"/>
                    <w:suppressAutoHyphens/>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实施单位 （盖章）</w:t>
                  </w:r>
                </w:p>
              </w:tc>
              <w:tc>
                <w:tcPr>
                  <w:tcW w:w="270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茂县公安局</w:t>
                  </w:r>
                </w:p>
              </w:tc>
            </w:tr>
            <w:tr>
              <w:trPr>
                <w:trHeight w:val="621"/>
              </w:trPr>
              <w:tc>
                <w:tcPr>
                  <w:tcW w:w="5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144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4920"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3799"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年度目标完成情况</w:t>
                  </w:r>
                </w:p>
              </w:tc>
            </w:tr>
            <w:tr>
              <w:trPr>
                <w:trHeight w:val="1783"/>
              </w:trPr>
              <w:tc>
                <w:tcPr>
                  <w:tcW w:w="5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4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4920"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录用公务员考试、招聘事业单位工作人员等考试考务费。维护考场秩序。</w:t>
                  </w:r>
                </w:p>
              </w:tc>
              <w:tc>
                <w:tcPr>
                  <w:tcW w:w="3799"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有效地保障人事考试工作安全平稳运行。</w:t>
                  </w:r>
                </w:p>
              </w:tc>
            </w:tr>
            <w:tr>
              <w:trPr>
                <w:trHeight w:val="1202"/>
              </w:trPr>
              <w:tc>
                <w:tcPr>
                  <w:tcW w:w="5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4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8719"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按照《阿坝州人力资源和社会保障局人事考试等劳务费支出标准》阿州人社办〔2017〕220号文，支付考试工作人员考试考务费。</w:t>
                  </w:r>
                </w:p>
              </w:tc>
            </w:tr>
            <w:tr>
              <w:trPr>
                <w:trHeight w:val="1202"/>
              </w:trPr>
              <w:tc>
                <w:tcPr>
                  <w:tcW w:w="5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144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125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16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205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181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trPr>
                <w:trHeight w:val="621"/>
              </w:trPr>
              <w:tc>
                <w:tcPr>
                  <w:tcW w:w="5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4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125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6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6.97</w:t>
                  </w:r>
                </w:p>
              </w:tc>
              <w:tc>
                <w:tcPr>
                  <w:tcW w:w="205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6.97</w:t>
                  </w: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宋体" w:eastAsia="宋体" w:cs="宋体"/>
                      <w:i w:val="0"/>
                      <w:iCs w:val="0"/>
                      <w:color w:val="000000"/>
                      <w:sz w:val="18"/>
                      <w:szCs w:val="18"/>
                      <w:u w:val="none"/>
                    </w:rPr>
                  </w:pPr>
                </w:p>
              </w:tc>
              <w:tc>
                <w:tcPr>
                  <w:tcW w:w="181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rPr>
                      <w:rFonts w:ascii="黑体" w:eastAsia="黑体" w:cs="黑体" w:hint="eastAsia"/>
                      <w:i/>
                      <w:iCs/>
                      <w:color w:val="000000"/>
                      <w:sz w:val="18"/>
                      <w:szCs w:val="18"/>
                      <w:u w:val="none"/>
                    </w:rPr>
                  </w:pPr>
                  <w:r>
                    <w:rPr>
                      <w:rFonts w:ascii="黑体" w:eastAsia="黑体" w:cs="黑体" w:hint="eastAsia"/>
                      <w:i/>
                      <w:iCs/>
                      <w:color w:val="000000"/>
                      <w:kern w:val="0"/>
                      <w:sz w:val="18"/>
                      <w:szCs w:val="18"/>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trPr>
                <w:trHeight w:val="621"/>
              </w:trPr>
              <w:tc>
                <w:tcPr>
                  <w:tcW w:w="5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4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125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6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05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8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1194"/>
              </w:trPr>
              <w:tc>
                <w:tcPr>
                  <w:tcW w:w="5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4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125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6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05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8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621"/>
              </w:trPr>
              <w:tc>
                <w:tcPr>
                  <w:tcW w:w="5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4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125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6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6.97</w:t>
                  </w:r>
                </w:p>
              </w:tc>
              <w:tc>
                <w:tcPr>
                  <w:tcW w:w="205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6.97</w:t>
                  </w: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8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3523"/>
              </w:trPr>
              <w:tc>
                <w:tcPr>
                  <w:tcW w:w="5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4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其他资金</w:t>
                  </w:r>
                </w:p>
              </w:tc>
              <w:tc>
                <w:tcPr>
                  <w:tcW w:w="1259"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c>
                <w:tcPr>
                  <w:tcW w:w="1609"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c>
                <w:tcPr>
                  <w:tcW w:w="205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8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2362"/>
              </w:trPr>
              <w:tc>
                <w:tcPr>
                  <w:tcW w:w="5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144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125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16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125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39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权重</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181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trPr>
                <w:trHeight w:val="621"/>
              </w:trPr>
              <w:tc>
                <w:tcPr>
                  <w:tcW w:w="5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4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125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16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派出警力</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25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42</w:t>
                  </w:r>
                </w:p>
              </w:tc>
              <w:tc>
                <w:tcPr>
                  <w:tcW w:w="39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微软雅黑" w:eastAsia="微软雅黑" w:cs="微软雅黑" w:hint="eastAsia"/>
                      <w:i/>
                      <w:iCs/>
                      <w:color w:val="000000"/>
                      <w:sz w:val="16"/>
                      <w:szCs w:val="16"/>
                      <w:u w:val="none"/>
                    </w:rPr>
                  </w:pPr>
                  <w:r>
                    <w:rPr>
                      <w:rFonts w:ascii="宋体" w:eastAsia="宋体" w:cs="宋体"/>
                      <w:i w:val="0"/>
                      <w:iCs w:val="0"/>
                      <w:color w:val="000000"/>
                      <w:kern w:val="0"/>
                      <w:sz w:val="18"/>
                      <w:szCs w:val="18"/>
                      <w:u w:val="none"/>
                      <w:lang w:val="en-US" w:eastAsia="zh-CN"/>
                    </w:rPr>
                    <w:t>人次</w:t>
                  </w: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微软雅黑" w:eastAsia="微软雅黑" w:cs="微软雅黑" w:hint="eastAsia"/>
                      <w:i/>
                      <w:iCs/>
                      <w:color w:val="000000"/>
                      <w:kern w:val="0"/>
                      <w:sz w:val="16"/>
                      <w:szCs w:val="16"/>
                      <w:u w:val="none"/>
                      <w:lang w:val="en-US" w:eastAsia="zh-CN"/>
                    </w:rPr>
                    <w:t>4</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10</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15</w:t>
                  </w:r>
                </w:p>
              </w:tc>
              <w:tc>
                <w:tcPr>
                  <w:tcW w:w="1818"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r>
            <w:tr>
              <w:trPr>
                <w:trHeight w:val="1202"/>
              </w:trPr>
              <w:tc>
                <w:tcPr>
                  <w:tcW w:w="5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4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25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6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考试场数</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25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w:t>
                  </w:r>
                </w:p>
              </w:tc>
              <w:tc>
                <w:tcPr>
                  <w:tcW w:w="39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微软雅黑" w:eastAsia="微软雅黑" w:cs="微软雅黑" w:hint="eastAsia"/>
                      <w:i/>
                      <w:iCs/>
                      <w:color w:val="000000"/>
                      <w:sz w:val="16"/>
                      <w:szCs w:val="16"/>
                      <w:u w:val="none"/>
                    </w:rPr>
                  </w:pPr>
                  <w:r>
                    <w:rPr>
                      <w:rFonts w:ascii="宋体" w:eastAsia="宋体" w:cs="宋体"/>
                      <w:i w:val="0"/>
                      <w:iCs w:val="0"/>
                      <w:color w:val="000000"/>
                      <w:kern w:val="0"/>
                      <w:sz w:val="18"/>
                      <w:szCs w:val="18"/>
                      <w:u w:val="none"/>
                      <w:lang w:val="en-US" w:eastAsia="zh-CN"/>
                    </w:rPr>
                    <w:t>次</w:t>
                  </w: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微软雅黑" w:eastAsia="微软雅黑" w:cs="微软雅黑" w:hint="eastAsia"/>
                      <w:i/>
                      <w:iCs/>
                      <w:color w:val="000000"/>
                      <w:kern w:val="0"/>
                      <w:sz w:val="16"/>
                      <w:szCs w:val="16"/>
                      <w:u w:val="none"/>
                      <w:lang w:val="en-US" w:eastAsia="zh-CN"/>
                    </w:rPr>
                    <w:t>60</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10</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818"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r>
            <w:tr>
              <w:trPr>
                <w:trHeight w:val="621"/>
              </w:trPr>
              <w:tc>
                <w:tcPr>
                  <w:tcW w:w="5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4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25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hint="eastAsia"/>
                      <w:i w:val="0"/>
                      <w:iCs w:val="0"/>
                      <w:color w:val="000000"/>
                      <w:sz w:val="18"/>
                      <w:szCs w:val="18"/>
                      <w:u w:val="none"/>
                    </w:rPr>
                  </w:pPr>
                  <w:r>
                    <w:rPr>
                      <w:rFonts w:ascii="宋体" w:eastAsia="宋体" w:cs="宋体"/>
                      <w:i w:val="0"/>
                      <w:iCs w:val="0"/>
                      <w:color w:val="000000"/>
                      <w:kern w:val="0"/>
                      <w:sz w:val="18"/>
                      <w:szCs w:val="18"/>
                      <w:u w:val="none"/>
                      <w:lang w:val="en-US" w:eastAsia="zh-CN"/>
                    </w:rPr>
                    <w:t>质量指标</w:t>
                  </w:r>
                </w:p>
              </w:tc>
              <w:tc>
                <w:tcPr>
                  <w:tcW w:w="16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维护考场周边秩序</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125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良好</w:t>
                  </w:r>
                </w:p>
              </w:tc>
              <w:tc>
                <w:tcPr>
                  <w:tcW w:w="398"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微软雅黑" w:eastAsia="微软雅黑" w:cs="微软雅黑" w:hint="eastAsia"/>
                      <w:i/>
                      <w:iCs/>
                      <w:color w:val="000000"/>
                      <w:kern w:val="0"/>
                      <w:sz w:val="16"/>
                      <w:szCs w:val="16"/>
                      <w:u w:val="none"/>
                      <w:lang w:val="en-US" w:eastAsia="zh-CN"/>
                    </w:rPr>
                    <w:t>良好</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10</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13</w:t>
                  </w:r>
                </w:p>
              </w:tc>
              <w:tc>
                <w:tcPr>
                  <w:tcW w:w="1818"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r>
            <w:tr>
              <w:trPr>
                <w:trHeight w:val="1183"/>
              </w:trPr>
              <w:tc>
                <w:tcPr>
                  <w:tcW w:w="5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4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25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6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维护考场网络安全</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125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良好</w:t>
                  </w:r>
                </w:p>
              </w:tc>
              <w:tc>
                <w:tcPr>
                  <w:tcW w:w="398"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微软雅黑" w:eastAsia="微软雅黑" w:cs="微软雅黑" w:hint="eastAsia"/>
                      <w:i/>
                      <w:iCs/>
                      <w:color w:val="000000"/>
                      <w:kern w:val="0"/>
                      <w:sz w:val="16"/>
                      <w:szCs w:val="16"/>
                      <w:u w:val="none"/>
                      <w:lang w:val="en-US" w:eastAsia="zh-CN"/>
                    </w:rPr>
                    <w:t>良好</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10</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13</w:t>
                  </w:r>
                </w:p>
              </w:tc>
              <w:tc>
                <w:tcPr>
                  <w:tcW w:w="1818"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r>
            <w:tr>
              <w:trPr>
                <w:trHeight w:val="1202"/>
              </w:trPr>
              <w:tc>
                <w:tcPr>
                  <w:tcW w:w="5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4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25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时效指标</w:t>
                  </w:r>
                </w:p>
              </w:tc>
              <w:tc>
                <w:tcPr>
                  <w:tcW w:w="16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25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hint="eastAsia"/>
                      <w:i w:val="0"/>
                      <w:iCs w:val="0"/>
                      <w:color w:val="000000"/>
                      <w:sz w:val="18"/>
                      <w:szCs w:val="18"/>
                      <w:u w:val="none"/>
                    </w:rPr>
                  </w:pPr>
                  <w:r>
                    <w:rPr>
                      <w:rFonts w:ascii="宋体" w:eastAsia="宋体" w:cs="宋体"/>
                      <w:i w:val="0"/>
                      <w:iCs w:val="0"/>
                      <w:color w:val="000000"/>
                      <w:kern w:val="0"/>
                      <w:sz w:val="18"/>
                      <w:szCs w:val="18"/>
                      <w:u w:val="none"/>
                      <w:lang w:val="en-US" w:eastAsia="zh-CN"/>
                    </w:rPr>
                    <w:t>1</w:t>
                  </w:r>
                </w:p>
              </w:tc>
              <w:tc>
                <w:tcPr>
                  <w:tcW w:w="39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微软雅黑" w:eastAsia="微软雅黑" w:cs="微软雅黑" w:hint="eastAsia"/>
                      <w:i/>
                      <w:iCs/>
                      <w:color w:val="000000"/>
                      <w:sz w:val="16"/>
                      <w:szCs w:val="16"/>
                      <w:u w:val="none"/>
                    </w:rPr>
                  </w:pPr>
                  <w:r>
                    <w:rPr>
                      <w:rFonts w:ascii="宋体" w:eastAsia="宋体" w:cs="宋体"/>
                      <w:i w:val="0"/>
                      <w:iCs w:val="0"/>
                      <w:color w:val="000000"/>
                      <w:kern w:val="0"/>
                      <w:sz w:val="18"/>
                      <w:szCs w:val="18"/>
                      <w:u w:val="none"/>
                      <w:lang w:val="en-US" w:eastAsia="zh-CN"/>
                    </w:rPr>
                    <w:t>年</w:t>
                  </w: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微软雅黑" w:eastAsia="微软雅黑" w:cs="微软雅黑" w:hint="eastAsia"/>
                      <w:i/>
                      <w:iCs/>
                      <w:color w:val="000000"/>
                      <w:kern w:val="0"/>
                      <w:sz w:val="16"/>
                      <w:szCs w:val="16"/>
                      <w:u w:val="none"/>
                      <w:lang w:val="en-US" w:eastAsia="zh-CN"/>
                    </w:rPr>
                    <w:t>1年</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10</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1818"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r>
            <w:tr>
              <w:trPr>
                <w:trHeight w:val="1777"/>
              </w:trPr>
              <w:tc>
                <w:tcPr>
                  <w:tcW w:w="5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4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W w:w="125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社会效益指标</w:t>
                  </w:r>
                </w:p>
              </w:tc>
              <w:tc>
                <w:tcPr>
                  <w:tcW w:w="16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维护考场秩序</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125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良好</w:t>
                  </w:r>
                </w:p>
              </w:tc>
              <w:tc>
                <w:tcPr>
                  <w:tcW w:w="398"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微软雅黑" w:eastAsia="微软雅黑" w:cs="微软雅黑" w:hint="eastAsia"/>
                      <w:i/>
                      <w:iCs/>
                      <w:color w:val="000000"/>
                      <w:kern w:val="0"/>
                      <w:sz w:val="16"/>
                      <w:szCs w:val="16"/>
                      <w:u w:val="none"/>
                      <w:lang w:val="en-US" w:eastAsia="zh-CN"/>
                    </w:rPr>
                    <w:t>良好</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30</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13</w:t>
                  </w:r>
                </w:p>
              </w:tc>
              <w:tc>
                <w:tcPr>
                  <w:tcW w:w="1818"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r>
            <w:tr>
              <w:trPr>
                <w:trHeight w:val="1202"/>
              </w:trPr>
              <w:tc>
                <w:tcPr>
                  <w:tcW w:w="5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4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125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服务对象满意度指标</w:t>
                  </w:r>
                </w:p>
              </w:tc>
              <w:tc>
                <w:tcPr>
                  <w:tcW w:w="16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考试人员满意度</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25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39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微软雅黑" w:eastAsia="微软雅黑" w:cs="微软雅黑" w:hint="eastAsia"/>
                      <w:i/>
                      <w:iCs/>
                      <w:color w:val="000000"/>
                      <w:sz w:val="16"/>
                      <w:szCs w:val="16"/>
                      <w:u w:val="none"/>
                    </w:rPr>
                  </w:pPr>
                  <w:r>
                    <w:rPr>
                      <w:rFonts w:ascii="宋体" w:eastAsia="宋体" w:cs="宋体"/>
                      <w:i w:val="0"/>
                      <w:iCs w:val="0"/>
                      <w:color w:val="000000"/>
                      <w:kern w:val="0"/>
                      <w:sz w:val="18"/>
                      <w:szCs w:val="18"/>
                      <w:u w:val="none"/>
                      <w:lang w:val="en-US" w:eastAsia="zh-CN"/>
                    </w:rPr>
                    <w:t>%</w:t>
                  </w: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微软雅黑" w:eastAsia="微软雅黑" w:cs="微软雅黑" w:hint="eastAsia"/>
                      <w:i/>
                      <w:iCs/>
                      <w:color w:val="000000"/>
                      <w:kern w:val="0"/>
                      <w:sz w:val="16"/>
                      <w:szCs w:val="16"/>
                      <w:u w:val="none"/>
                      <w:lang w:val="en-US" w:eastAsia="zh-CN"/>
                    </w:rPr>
                    <w:t>96%</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10</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1818"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r>
            <w:tr>
              <w:trPr>
                <w:trHeight w:val="621"/>
              </w:trPr>
              <w:tc>
                <w:tcPr>
                  <w:tcW w:w="8040"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89</w:t>
                  </w:r>
                </w:p>
              </w:tc>
              <w:tc>
                <w:tcPr>
                  <w:tcW w:w="1818"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eastAsia="宋体" w:cs="宋体" w:hint="eastAsia"/>
                      <w:i w:val="0"/>
                      <w:iCs w:val="0"/>
                      <w:color w:val="000000"/>
                      <w:sz w:val="18"/>
                      <w:szCs w:val="18"/>
                      <w:u w:val="none"/>
                    </w:rPr>
                  </w:pPr>
                </w:p>
              </w:tc>
            </w:tr>
            <w:tr>
              <w:trPr>
                <w:trHeight w:val="1202"/>
              </w:trPr>
              <w:tc>
                <w:tcPr>
                  <w:tcW w:w="57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10164"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根据预算绩效管理相关制度的要求，结合项目绩效指标完成情况及对项目成本、项目效率、部门绩效目标实现的综合分析，项目综合评价为项目各项指标项均达到指标要求，项目实施达到预期效果。</w:t>
                  </w:r>
                </w:p>
              </w:tc>
            </w:tr>
            <w:tr>
              <w:trPr>
                <w:trHeight w:val="1202"/>
              </w:trPr>
              <w:tc>
                <w:tcPr>
                  <w:tcW w:w="57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10164"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由于对支出绩效评价工作的重要性还认识不够，因此对绩效评价工作的重视度还不够，部分项目支出绩效指标无法用量化指标来进行考评。</w:t>
                  </w:r>
                </w:p>
              </w:tc>
            </w:tr>
            <w:tr>
              <w:trPr>
                <w:trHeight w:val="1202"/>
              </w:trPr>
              <w:tc>
                <w:tcPr>
                  <w:tcW w:w="57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tcW w:w="10164"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rPr>
                      <w:rFonts w:ascii="微软雅黑" w:eastAsia="微软雅黑" w:cs="微软雅黑" w:hint="eastAsia"/>
                      <w:i/>
                      <w:iCs/>
                      <w:color w:val="000000"/>
                      <w:sz w:val="16"/>
                      <w:szCs w:val="16"/>
                      <w:u w:val="none"/>
                    </w:rPr>
                  </w:pPr>
                  <w:r>
                    <w:rPr>
                      <w:rFonts w:ascii="微软雅黑" w:eastAsia="微软雅黑" w:cs="微软雅黑" w:hint="eastAsia"/>
                      <w:i/>
                      <w:iCs/>
                      <w:color w:val="000000"/>
                      <w:kern w:val="0"/>
                      <w:sz w:val="16"/>
                      <w:szCs w:val="16"/>
                      <w:u w:val="none"/>
                      <w:lang w:val="en-US" w:eastAsia="zh-CN"/>
                    </w:rPr>
                    <w:t>针对存在的问题，我们将进一步科学设定绩效目标，加强预算执行管理。遵循先有预算、后有支出的原则，加强《新预算法》、《政府会计制度》等学习培训，规范部门预算收支核算，加强财务管理和内部控制监督制度。</w:t>
                  </w:r>
                </w:p>
              </w:tc>
            </w:tr>
            <w:tr>
              <w:trPr>
                <w:trHeight w:val="621"/>
              </w:trPr>
              <w:tc>
                <w:tcPr>
                  <w:tcW w:w="5285"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项目负责人：坤吉伦</w:t>
                  </w:r>
                </w:p>
              </w:tc>
              <w:tc>
                <w:tcPr>
                  <w:tcW w:w="5455"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财务负责人：蒲哇泽哩</w:t>
                  </w:r>
                </w:p>
              </w:tc>
            </w:tr>
            <w:tr>
              <w:trPr>
                <w:trHeight w:val="621"/>
              </w:trPr>
              <w:tc>
                <w:tcPr>
                  <w:tcW w:w="576" w:type="dxa"/>
                  <w:tcBorders>
                    <w:top w:val="nil"/>
                    <w:left w:val="nil"/>
                    <w:bottom w:val="nil"/>
                    <w:right w:val="nil"/>
                  </w:tcBorders>
                  <w:shd w:val="clear" w:color="auto" w:fill="auto"/>
                  <w:vAlign w:val="center"/>
                </w:tcPr>
                <w:p>
                  <w:pPr>
                    <w:rPr>
                      <w:rFonts w:ascii="宋体" w:eastAsia="宋体" w:cs="宋体" w:hint="eastAsia"/>
                      <w:i w:val="0"/>
                      <w:iCs w:val="0"/>
                      <w:color w:val="000000"/>
                      <w:sz w:val="18"/>
                      <w:szCs w:val="18"/>
                      <w:u w:val="none"/>
                    </w:rPr>
                  </w:pPr>
                </w:p>
              </w:tc>
              <w:tc>
                <w:tcPr>
                  <w:tcW w:w="1445" w:type="dxa"/>
                  <w:tcBorders>
                    <w:top w:val="nil"/>
                    <w:left w:val="nil"/>
                    <w:bottom w:val="nil"/>
                    <w:right w:val="nil"/>
                  </w:tcBorders>
                  <w:shd w:val="clear" w:color="auto" w:fill="auto"/>
                  <w:vAlign w:val="center"/>
                </w:tcPr>
                <w:p>
                  <w:pPr>
                    <w:rPr>
                      <w:rFonts w:ascii="宋体" w:eastAsia="宋体" w:cs="宋体" w:hint="eastAsia"/>
                      <w:i w:val="0"/>
                      <w:iCs w:val="0"/>
                      <w:color w:val="000000"/>
                      <w:sz w:val="18"/>
                      <w:szCs w:val="18"/>
                      <w:u w:val="none"/>
                    </w:rPr>
                  </w:pPr>
                </w:p>
              </w:tc>
              <w:tc>
                <w:tcPr>
                  <w:tcW w:w="1259" w:type="dxa"/>
                  <w:tcBorders>
                    <w:top w:val="nil"/>
                    <w:left w:val="nil"/>
                    <w:bottom w:val="nil"/>
                    <w:right w:val="nil"/>
                  </w:tcBorders>
                  <w:shd w:val="clear" w:color="auto" w:fill="auto"/>
                  <w:vAlign w:val="center"/>
                </w:tcPr>
                <w:p>
                  <w:pPr>
                    <w:rPr>
                      <w:rFonts w:ascii="宋体" w:eastAsia="宋体" w:cs="宋体" w:hint="eastAsia"/>
                      <w:i w:val="0"/>
                      <w:iCs w:val="0"/>
                      <w:color w:val="000000"/>
                      <w:sz w:val="18"/>
                      <w:szCs w:val="18"/>
                      <w:u w:val="none"/>
                    </w:rPr>
                  </w:pPr>
                </w:p>
              </w:tc>
              <w:tc>
                <w:tcPr>
                  <w:tcW w:w="1609" w:type="dxa"/>
                  <w:tcBorders>
                    <w:top w:val="nil"/>
                    <w:left w:val="nil"/>
                    <w:bottom w:val="nil"/>
                    <w:right w:val="nil"/>
                  </w:tcBorders>
                  <w:shd w:val="clear" w:color="auto" w:fill="auto"/>
                  <w:vAlign w:val="center"/>
                </w:tcPr>
                <w:p>
                  <w:pPr>
                    <w:rPr>
                      <w:rFonts w:ascii="宋体" w:eastAsia="宋体" w:cs="宋体" w:hint="eastAsia"/>
                      <w:i w:val="0"/>
                      <w:iCs w:val="0"/>
                      <w:color w:val="000000"/>
                      <w:sz w:val="18"/>
                      <w:szCs w:val="18"/>
                      <w:u w:val="none"/>
                    </w:rPr>
                  </w:pPr>
                </w:p>
              </w:tc>
              <w:tc>
                <w:tcPr>
                  <w:tcW w:w="396" w:type="dxa"/>
                  <w:tcBorders>
                    <w:top w:val="nil"/>
                    <w:left w:val="nil"/>
                    <w:bottom w:val="nil"/>
                    <w:right w:val="nil"/>
                  </w:tcBorders>
                  <w:shd w:val="clear" w:color="auto" w:fill="auto"/>
                  <w:vAlign w:val="center"/>
                </w:tcPr>
                <w:p>
                  <w:pPr>
                    <w:rPr>
                      <w:rFonts w:ascii="宋体" w:eastAsia="宋体" w:cs="宋体" w:hint="eastAsia"/>
                      <w:i w:val="0"/>
                      <w:iCs w:val="0"/>
                      <w:color w:val="000000"/>
                      <w:sz w:val="18"/>
                      <w:szCs w:val="18"/>
                      <w:u w:val="none"/>
                    </w:rPr>
                  </w:pPr>
                </w:p>
              </w:tc>
              <w:tc>
                <w:tcPr>
                  <w:tcW w:w="1258" w:type="dxa"/>
                  <w:tcBorders>
                    <w:top w:val="nil"/>
                    <w:left w:val="nil"/>
                    <w:bottom w:val="nil"/>
                    <w:right w:val="nil"/>
                  </w:tcBorders>
                  <w:shd w:val="clear" w:color="auto" w:fill="auto"/>
                  <w:vAlign w:val="center"/>
                </w:tcPr>
                <w:p>
                  <w:pPr>
                    <w:rPr>
                      <w:rFonts w:ascii="宋体" w:eastAsia="宋体" w:cs="宋体" w:hint="eastAsia"/>
                      <w:i w:val="0"/>
                      <w:iCs w:val="0"/>
                      <w:color w:val="000000"/>
                      <w:sz w:val="18"/>
                      <w:szCs w:val="18"/>
                      <w:u w:val="none"/>
                    </w:rPr>
                  </w:pPr>
                </w:p>
              </w:tc>
              <w:tc>
                <w:tcPr>
                  <w:tcW w:w="398" w:type="dxa"/>
                  <w:tcBorders>
                    <w:top w:val="nil"/>
                    <w:left w:val="nil"/>
                    <w:bottom w:val="nil"/>
                    <w:right w:val="nil"/>
                  </w:tcBorders>
                  <w:shd w:val="clear" w:color="auto" w:fill="auto"/>
                  <w:vAlign w:val="center"/>
                </w:tcPr>
                <w:p>
                  <w:pPr>
                    <w:rPr>
                      <w:rFonts w:ascii="宋体" w:eastAsia="宋体" w:cs="宋体" w:hint="eastAsia"/>
                      <w:i w:val="0"/>
                      <w:iCs w:val="0"/>
                      <w:color w:val="000000"/>
                      <w:sz w:val="18"/>
                      <w:szCs w:val="18"/>
                      <w:u w:val="none"/>
                    </w:rPr>
                  </w:pPr>
                </w:p>
              </w:tc>
              <w:tc>
                <w:tcPr>
                  <w:tcW w:w="1099" w:type="dxa"/>
                  <w:tcBorders>
                    <w:top w:val="nil"/>
                    <w:left w:val="nil"/>
                    <w:bottom w:val="nil"/>
                    <w:right w:val="nil"/>
                  </w:tcBorders>
                  <w:shd w:val="clear" w:color="auto" w:fill="auto"/>
                  <w:vAlign w:val="center"/>
                </w:tcPr>
                <w:p>
                  <w:pPr>
                    <w:rPr>
                      <w:rFonts w:ascii="宋体" w:eastAsia="宋体" w:cs="宋体" w:hint="eastAsia"/>
                      <w:i w:val="0"/>
                      <w:iCs w:val="0"/>
                      <w:color w:val="000000"/>
                      <w:sz w:val="18"/>
                      <w:szCs w:val="18"/>
                      <w:u w:val="none"/>
                    </w:rPr>
                  </w:pPr>
                </w:p>
              </w:tc>
              <w:tc>
                <w:tcPr>
                  <w:tcW w:w="486" w:type="dxa"/>
                  <w:tcBorders>
                    <w:top w:val="nil"/>
                    <w:left w:val="nil"/>
                    <w:bottom w:val="nil"/>
                    <w:right w:val="nil"/>
                  </w:tcBorders>
                  <w:shd w:val="clear" w:color="auto" w:fill="auto"/>
                  <w:vAlign w:val="center"/>
                </w:tcPr>
                <w:p/>
              </w:tc>
              <w:tc>
                <w:tcPr>
                  <w:tcW w:w="396" w:type="dxa"/>
                  <w:tcBorders>
                    <w:top w:val="nil"/>
                    <w:left w:val="nil"/>
                    <w:bottom w:val="nil"/>
                    <w:right w:val="nil"/>
                  </w:tcBorders>
                  <w:shd w:val="clear" w:color="auto" w:fill="auto"/>
                  <w:vAlign w:val="center"/>
                </w:tcPr>
                <w:p>
                  <w:pPr>
                    <w:rPr>
                      <w:rFonts w:ascii="宋体" w:eastAsia="宋体" w:cs="宋体" w:hint="eastAsia"/>
                      <w:i w:val="0"/>
                      <w:iCs w:val="0"/>
                      <w:color w:val="000000"/>
                      <w:sz w:val="18"/>
                      <w:szCs w:val="18"/>
                      <w:u w:val="none"/>
                    </w:rPr>
                  </w:pPr>
                </w:p>
              </w:tc>
              <w:tc>
                <w:tcPr>
                  <w:tcW w:w="1818" w:type="dxa"/>
                  <w:tcBorders>
                    <w:top w:val="nil"/>
                    <w:left w:val="nil"/>
                    <w:bottom w:val="nil"/>
                    <w:right w:val="nil"/>
                  </w:tcBorders>
                  <w:shd w:val="clear" w:color="auto" w:fill="auto"/>
                  <w:vAlign w:val="center"/>
                </w:tcPr>
                <w:p>
                  <w:pPr>
                    <w:rPr>
                      <w:rFonts w:ascii="宋体" w:eastAsia="宋体" w:cs="宋体" w:hint="eastAsia"/>
                      <w:i w:val="0"/>
                      <w:iCs w:val="0"/>
                      <w:color w:val="000000"/>
                      <w:sz w:val="18"/>
                      <w:szCs w:val="18"/>
                      <w:u w:val="none"/>
                    </w:rPr>
                  </w:pPr>
                </w:p>
              </w:tc>
            </w:tr>
            <w:tr>
              <w:trPr>
                <w:trHeight w:val="1248"/>
              </w:trPr>
              <w:tc>
                <w:tcPr>
                  <w:tcW w:w="10740" w:type="dxa"/>
                  <w:gridSpan w:val="11"/>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黑体" w:eastAsia="黑体" w:cs="黑体" w:hint="eastAsia"/>
                      <w:b/>
                      <w:bCs/>
                      <w:i w:val="0"/>
                      <w:iCs w:val="0"/>
                      <w:color w:val="000000"/>
                      <w:sz w:val="30"/>
                      <w:szCs w:val="30"/>
                      <w:u w:val="none"/>
                    </w:rPr>
                  </w:pPr>
                  <w:r>
                    <w:rPr>
                      <w:rFonts w:ascii="黑体" w:eastAsia="黑体" w:cs="黑体" w:hint="eastAsia"/>
                      <w:b/>
                      <w:bCs/>
                      <w:i w:val="0"/>
                      <w:iCs w:val="0"/>
                      <w:color w:val="000000"/>
                      <w:kern w:val="0"/>
                      <w:sz w:val="30"/>
                      <w:szCs w:val="30"/>
                      <w:u w:val="none"/>
                      <w:lang w:val="en-US" w:eastAsia="zh-CN"/>
                    </w:rPr>
                    <w:t>部门预算项目支出绩效自评表（2025年度）</w:t>
                  </w:r>
                </w:p>
              </w:tc>
            </w:tr>
            <w:tr>
              <w:trPr>
                <w:trHeight w:val="621"/>
              </w:trPr>
              <w:tc>
                <w:tcPr>
                  <w:tcW w:w="202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8719"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51322322T000006347214-包虫病经费</w:t>
                  </w:r>
                </w:p>
              </w:tc>
            </w:tr>
            <w:tr>
              <w:trPr>
                <w:trHeight w:val="1777"/>
              </w:trPr>
              <w:tc>
                <w:tcPr>
                  <w:tcW w:w="202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4920"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茂县公安局本级</w:t>
                  </w:r>
                </w:p>
              </w:tc>
              <w:tc>
                <w:tcPr>
                  <w:tcW w:w="1099" w:type="dxa"/>
                  <w:tcBorders>
                    <w:top w:val="nil"/>
                    <w:left w:val="nil"/>
                    <w:bottom w:val="nil"/>
                    <w:right w:val="nil"/>
                  </w:tcBorders>
                  <w:shd w:val="clear" w:color="auto" w:fill="auto"/>
                  <w:vAlign w:val="center"/>
                </w:tcPr>
                <w:p>
                  <w:pPr>
                    <w:keepNext w:val="0"/>
                    <w:keepLines w:val="0"/>
                    <w:widowControl/>
                    <w:suppressLineNumbers w:val="0"/>
                    <w:suppressAutoHyphens/>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实施单位 （盖章）</w:t>
                  </w:r>
                </w:p>
              </w:tc>
              <w:tc>
                <w:tcPr>
                  <w:tcW w:w="270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茂县公安局</w:t>
                  </w:r>
                </w:p>
              </w:tc>
            </w:tr>
            <w:tr>
              <w:trPr>
                <w:trHeight w:val="621"/>
              </w:trPr>
              <w:tc>
                <w:tcPr>
                  <w:tcW w:w="5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144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4920"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3799"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年度目标完成情况</w:t>
                  </w:r>
                </w:p>
              </w:tc>
            </w:tr>
            <w:tr>
              <w:trPr>
                <w:trHeight w:val="2360"/>
              </w:trPr>
              <w:tc>
                <w:tcPr>
                  <w:tcW w:w="5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4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4920"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协助开展包虫病防治工作，进行犬只登记、管理。</w:t>
                  </w:r>
                </w:p>
              </w:tc>
              <w:tc>
                <w:tcPr>
                  <w:tcW w:w="3799"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rPr>
                      <w:rFonts w:ascii="黑体" w:eastAsia="黑体" w:cs="黑体" w:hint="eastAsia"/>
                      <w:i w:val="0"/>
                      <w:iCs w:val="0"/>
                      <w:color w:val="000000"/>
                      <w:sz w:val="18"/>
                      <w:szCs w:val="18"/>
                      <w:u w:val="none"/>
                    </w:rPr>
                  </w:pPr>
                  <w:r>
                    <w:rPr>
                      <w:rFonts w:ascii="黑体" w:eastAsia="黑体" w:cs="黑体" w:hint="eastAsia"/>
                      <w:i w:val="0"/>
                      <w:iCs w:val="0"/>
                      <w:color w:val="000000"/>
                      <w:kern w:val="0"/>
                      <w:sz w:val="18"/>
                      <w:szCs w:val="18"/>
                      <w:u w:val="none"/>
                      <w:lang w:val="en-US" w:eastAsia="zh-CN"/>
                    </w:rPr>
                    <w:t>保障了居民的生命健康。提高养犬登记办证率、文明规范养犬；减少流浪犬、无主犬和犬伤人、扰民的问题，普及包虫病防治知识。</w:t>
                  </w:r>
                </w:p>
              </w:tc>
            </w:tr>
            <w:tr>
              <w:trPr>
                <w:trHeight w:val="2360"/>
              </w:trPr>
              <w:tc>
                <w:tcPr>
                  <w:tcW w:w="5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4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8719"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普及包虫病防治知识宣传费，聘请第三方机构对犬只进行捕捉，支付劳务费。</w:t>
                  </w:r>
                </w:p>
              </w:tc>
            </w:tr>
            <w:tr>
              <w:trPr>
                <w:trHeight w:val="1202"/>
              </w:trPr>
              <w:tc>
                <w:tcPr>
                  <w:tcW w:w="5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144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125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16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205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181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trPr>
                <w:trHeight w:val="621"/>
              </w:trPr>
              <w:tc>
                <w:tcPr>
                  <w:tcW w:w="5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4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125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6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4.00</w:t>
                  </w:r>
                </w:p>
              </w:tc>
              <w:tc>
                <w:tcPr>
                  <w:tcW w:w="205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4.00</w:t>
                  </w: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宋体" w:eastAsia="宋体" w:cs="宋体"/>
                      <w:i w:val="0"/>
                      <w:iCs w:val="0"/>
                      <w:color w:val="000000"/>
                      <w:sz w:val="18"/>
                      <w:szCs w:val="18"/>
                      <w:u w:val="none"/>
                    </w:rPr>
                  </w:pPr>
                </w:p>
              </w:tc>
              <w:tc>
                <w:tcPr>
                  <w:tcW w:w="181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rPr>
                      <w:rFonts w:ascii="黑体" w:eastAsia="黑体" w:cs="黑体" w:hint="eastAsia"/>
                      <w:i/>
                      <w:iCs/>
                      <w:color w:val="000000"/>
                      <w:sz w:val="18"/>
                      <w:szCs w:val="18"/>
                      <w:u w:val="none"/>
                    </w:rPr>
                  </w:pPr>
                  <w:r>
                    <w:rPr>
                      <w:rFonts w:ascii="黑体" w:eastAsia="黑体" w:cs="黑体" w:hint="eastAsia"/>
                      <w:i/>
                      <w:iCs/>
                      <w:color w:val="000000"/>
                      <w:kern w:val="0"/>
                      <w:sz w:val="18"/>
                      <w:szCs w:val="18"/>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trPr>
                <w:trHeight w:val="621"/>
              </w:trPr>
              <w:tc>
                <w:tcPr>
                  <w:tcW w:w="5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4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125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6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4.00</w:t>
                  </w:r>
                </w:p>
              </w:tc>
              <w:tc>
                <w:tcPr>
                  <w:tcW w:w="205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4.00</w:t>
                  </w: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8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1194"/>
              </w:trPr>
              <w:tc>
                <w:tcPr>
                  <w:tcW w:w="5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4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125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6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05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8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621"/>
              </w:trPr>
              <w:tc>
                <w:tcPr>
                  <w:tcW w:w="5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4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125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6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05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8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3523"/>
              </w:trPr>
              <w:tc>
                <w:tcPr>
                  <w:tcW w:w="5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4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其他资金</w:t>
                  </w:r>
                </w:p>
              </w:tc>
              <w:tc>
                <w:tcPr>
                  <w:tcW w:w="1259"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c>
                <w:tcPr>
                  <w:tcW w:w="1609"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c>
                <w:tcPr>
                  <w:tcW w:w="205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8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2362"/>
              </w:trPr>
              <w:tc>
                <w:tcPr>
                  <w:tcW w:w="5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144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125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16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125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39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权重</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181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trPr>
                <w:trHeight w:val="4693"/>
              </w:trPr>
              <w:tc>
                <w:tcPr>
                  <w:tcW w:w="5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4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125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16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全县犬只登记</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25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hint="eastAsia"/>
                      <w:i w:val="0"/>
                      <w:iCs w:val="0"/>
                      <w:color w:val="000000"/>
                      <w:sz w:val="18"/>
                      <w:szCs w:val="18"/>
                      <w:u w:val="none"/>
                    </w:rPr>
                  </w:pPr>
                  <w:r>
                    <w:rPr>
                      <w:rFonts w:ascii="宋体" w:eastAsia="宋体" w:cs="宋体"/>
                      <w:i w:val="0"/>
                      <w:iCs w:val="0"/>
                      <w:color w:val="000000"/>
                      <w:kern w:val="0"/>
                      <w:sz w:val="18"/>
                      <w:szCs w:val="18"/>
                      <w:u w:val="none"/>
                      <w:lang w:val="en-US" w:eastAsia="zh-CN"/>
                    </w:rPr>
                    <w:t>85</w:t>
                  </w:r>
                </w:p>
              </w:tc>
              <w:tc>
                <w:tcPr>
                  <w:tcW w:w="39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微软雅黑" w:eastAsia="微软雅黑" w:cs="微软雅黑" w:hint="eastAsia"/>
                      <w:i/>
                      <w:iCs/>
                      <w:color w:val="000000"/>
                      <w:sz w:val="16"/>
                      <w:szCs w:val="16"/>
                      <w:u w:val="none"/>
                    </w:rPr>
                  </w:pPr>
                  <w:r>
                    <w:rPr>
                      <w:rFonts w:ascii="宋体" w:eastAsia="宋体" w:cs="宋体"/>
                      <w:i w:val="0"/>
                      <w:iCs w:val="0"/>
                      <w:color w:val="000000"/>
                      <w:kern w:val="0"/>
                      <w:sz w:val="18"/>
                      <w:szCs w:val="18"/>
                      <w:u w:val="none"/>
                      <w:lang w:val="en-US" w:eastAsia="zh-CN"/>
                    </w:rPr>
                    <w:t>只</w:t>
                  </w: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微软雅黑" w:eastAsia="微软雅黑" w:cs="微软雅黑" w:hint="eastAsia"/>
                      <w:i/>
                      <w:iCs/>
                      <w:color w:val="000000"/>
                      <w:kern w:val="0"/>
                      <w:sz w:val="16"/>
                      <w:szCs w:val="16"/>
                      <w:u w:val="none"/>
                      <w:lang w:val="en-US" w:eastAsia="zh-CN"/>
                    </w:rPr>
                    <w:t>526</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10</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15</w:t>
                  </w:r>
                </w:p>
              </w:tc>
              <w:tc>
                <w:tcPr>
                  <w:tcW w:w="1818"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r>
            <w:tr>
              <w:trPr>
                <w:trHeight w:val="1768"/>
              </w:trPr>
              <w:tc>
                <w:tcPr>
                  <w:tcW w:w="5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4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25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6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经费支出合规率</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25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hint="eastAsia"/>
                      <w:i w:val="0"/>
                      <w:iCs w:val="0"/>
                      <w:color w:val="000000"/>
                      <w:sz w:val="18"/>
                      <w:szCs w:val="18"/>
                      <w:u w:val="none"/>
                    </w:rPr>
                  </w:pPr>
                  <w:r>
                    <w:rPr>
                      <w:rFonts w:ascii="宋体" w:eastAsia="宋体" w:cs="宋体"/>
                      <w:i w:val="0"/>
                      <w:iCs w:val="0"/>
                      <w:color w:val="000000"/>
                      <w:kern w:val="0"/>
                      <w:sz w:val="18"/>
                      <w:szCs w:val="18"/>
                      <w:u w:val="none"/>
                      <w:lang w:val="en-US" w:eastAsia="zh-CN"/>
                    </w:rPr>
                    <w:t>98</w:t>
                  </w:r>
                </w:p>
              </w:tc>
              <w:tc>
                <w:tcPr>
                  <w:tcW w:w="39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微软雅黑" w:eastAsia="微软雅黑" w:cs="微软雅黑" w:hint="eastAsia"/>
                      <w:i/>
                      <w:iCs/>
                      <w:color w:val="000000"/>
                      <w:sz w:val="16"/>
                      <w:szCs w:val="16"/>
                      <w:u w:val="none"/>
                    </w:rPr>
                  </w:pPr>
                  <w:r>
                    <w:rPr>
                      <w:rFonts w:ascii="宋体" w:eastAsia="宋体" w:cs="宋体"/>
                      <w:i w:val="0"/>
                      <w:iCs w:val="0"/>
                      <w:color w:val="000000"/>
                      <w:kern w:val="0"/>
                      <w:sz w:val="18"/>
                      <w:szCs w:val="18"/>
                      <w:u w:val="none"/>
                      <w:lang w:val="en-US" w:eastAsia="zh-CN"/>
                    </w:rPr>
                    <w:t>%</w:t>
                  </w: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微软雅黑" w:eastAsia="微软雅黑" w:cs="微软雅黑" w:hint="eastAsia"/>
                      <w:i/>
                      <w:iCs/>
                      <w:color w:val="000000"/>
                      <w:kern w:val="0"/>
                      <w:sz w:val="16"/>
                      <w:szCs w:val="16"/>
                      <w:u w:val="none"/>
                      <w:lang w:val="en-US" w:eastAsia="zh-CN"/>
                    </w:rPr>
                    <w:t>100</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5</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w:t>
                  </w:r>
                </w:p>
              </w:tc>
              <w:tc>
                <w:tcPr>
                  <w:tcW w:w="1818"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r>
            <w:tr>
              <w:trPr>
                <w:trHeight w:val="4693"/>
              </w:trPr>
              <w:tc>
                <w:tcPr>
                  <w:tcW w:w="5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4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25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6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犬只管理、灭犬</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25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hint="eastAsia"/>
                      <w:i w:val="0"/>
                      <w:iCs w:val="0"/>
                      <w:color w:val="000000"/>
                      <w:sz w:val="18"/>
                      <w:szCs w:val="18"/>
                      <w:u w:val="none"/>
                    </w:rPr>
                  </w:pPr>
                  <w:r>
                    <w:rPr>
                      <w:rFonts w:ascii="宋体" w:eastAsia="宋体" w:cs="宋体"/>
                      <w:i w:val="0"/>
                      <w:iCs w:val="0"/>
                      <w:color w:val="000000"/>
                      <w:kern w:val="0"/>
                      <w:sz w:val="18"/>
                      <w:szCs w:val="18"/>
                      <w:u w:val="none"/>
                      <w:lang w:val="en-US" w:eastAsia="zh-CN"/>
                    </w:rPr>
                    <w:t>360</w:t>
                  </w:r>
                </w:p>
              </w:tc>
              <w:tc>
                <w:tcPr>
                  <w:tcW w:w="39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微软雅黑" w:eastAsia="微软雅黑" w:cs="微软雅黑" w:hint="eastAsia"/>
                      <w:i/>
                      <w:iCs/>
                      <w:color w:val="000000"/>
                      <w:sz w:val="16"/>
                      <w:szCs w:val="16"/>
                      <w:u w:val="none"/>
                    </w:rPr>
                  </w:pPr>
                  <w:r>
                    <w:rPr>
                      <w:rFonts w:ascii="宋体" w:eastAsia="宋体" w:cs="宋体"/>
                      <w:i w:val="0"/>
                      <w:iCs w:val="0"/>
                      <w:color w:val="000000"/>
                      <w:kern w:val="0"/>
                      <w:sz w:val="18"/>
                      <w:szCs w:val="18"/>
                      <w:u w:val="none"/>
                      <w:lang w:val="en-US" w:eastAsia="zh-CN"/>
                    </w:rPr>
                    <w:t>只</w:t>
                  </w: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微软雅黑" w:eastAsia="微软雅黑" w:cs="微软雅黑" w:hint="eastAsia"/>
                      <w:i/>
                      <w:iCs/>
                      <w:color w:val="000000"/>
                      <w:kern w:val="0"/>
                      <w:sz w:val="16"/>
                      <w:szCs w:val="16"/>
                      <w:u w:val="none"/>
                      <w:lang w:val="en-US" w:eastAsia="zh-CN"/>
                    </w:rPr>
                    <w:t>214</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15</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15</w:t>
                  </w:r>
                </w:p>
              </w:tc>
              <w:tc>
                <w:tcPr>
                  <w:tcW w:w="1818"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r>
            <w:tr>
              <w:trPr>
                <w:trHeight w:val="1777"/>
              </w:trPr>
              <w:tc>
                <w:tcPr>
                  <w:tcW w:w="5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4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25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时效指标</w:t>
                  </w:r>
                </w:p>
              </w:tc>
              <w:tc>
                <w:tcPr>
                  <w:tcW w:w="16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项目完成时限</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25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12</w:t>
                  </w:r>
                </w:p>
              </w:tc>
              <w:tc>
                <w:tcPr>
                  <w:tcW w:w="39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微软雅黑" w:eastAsia="微软雅黑" w:cs="微软雅黑" w:hint="eastAsia"/>
                      <w:i/>
                      <w:iCs/>
                      <w:color w:val="000000"/>
                      <w:sz w:val="16"/>
                      <w:szCs w:val="16"/>
                      <w:u w:val="none"/>
                    </w:rPr>
                  </w:pPr>
                  <w:r>
                    <w:rPr>
                      <w:rFonts w:ascii="宋体" w:eastAsia="宋体" w:cs="宋体"/>
                      <w:i w:val="0"/>
                      <w:iCs w:val="0"/>
                      <w:color w:val="000000"/>
                      <w:kern w:val="0"/>
                      <w:sz w:val="18"/>
                      <w:szCs w:val="18"/>
                      <w:u w:val="none"/>
                      <w:lang w:val="en-US" w:eastAsia="zh-CN"/>
                    </w:rPr>
                    <w:t>月</w:t>
                  </w: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微软雅黑" w:eastAsia="微软雅黑" w:cs="微软雅黑" w:hint="eastAsia"/>
                      <w:i/>
                      <w:iCs/>
                      <w:color w:val="000000"/>
                      <w:kern w:val="0"/>
                      <w:sz w:val="16"/>
                      <w:szCs w:val="16"/>
                      <w:u w:val="none"/>
                      <w:lang w:val="en-US" w:eastAsia="zh-CN"/>
                    </w:rPr>
                    <w:t>1</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10</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7</w:t>
                  </w:r>
                </w:p>
              </w:tc>
              <w:tc>
                <w:tcPr>
                  <w:tcW w:w="1818"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r>
            <w:tr>
              <w:trPr>
                <w:trHeight w:val="621"/>
              </w:trPr>
              <w:tc>
                <w:tcPr>
                  <w:tcW w:w="5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4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W w:w="125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社会效益指标</w:t>
                  </w:r>
                </w:p>
              </w:tc>
              <w:tc>
                <w:tcPr>
                  <w:tcW w:w="16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有效预防包虫病</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定性</w:t>
                  </w:r>
                </w:p>
              </w:tc>
              <w:tc>
                <w:tcPr>
                  <w:tcW w:w="125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良好</w:t>
                  </w:r>
                </w:p>
              </w:tc>
              <w:tc>
                <w:tcPr>
                  <w:tcW w:w="398"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宋体" w:eastAsia="宋体" w:cs="宋体"/>
                      <w:i w:val="0"/>
                      <w:iCs w:val="0"/>
                      <w:color w:val="000000"/>
                      <w:sz w:val="18"/>
                      <w:szCs w:val="18"/>
                      <w:u w:val="none"/>
                    </w:rPr>
                  </w:pP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微软雅黑" w:eastAsia="微软雅黑" w:cs="微软雅黑" w:hint="eastAsia"/>
                      <w:i/>
                      <w:iCs/>
                      <w:color w:val="000000"/>
                      <w:kern w:val="0"/>
                      <w:sz w:val="16"/>
                      <w:szCs w:val="16"/>
                      <w:u w:val="none"/>
                      <w:lang w:val="en-US" w:eastAsia="zh-CN"/>
                    </w:rPr>
                    <w:t>良好</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25</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hint="eastAsia"/>
                      <w:i w:val="0"/>
                      <w:iCs w:val="0"/>
                      <w:color w:val="000000"/>
                      <w:sz w:val="18"/>
                      <w:szCs w:val="18"/>
                      <w:u w:val="none"/>
                    </w:rPr>
                  </w:pPr>
                  <w:r>
                    <w:rPr>
                      <w:rFonts w:ascii="宋体" w:eastAsia="宋体" w:cs="宋体"/>
                      <w:i w:val="0"/>
                      <w:iCs w:val="0"/>
                      <w:color w:val="000000"/>
                      <w:kern w:val="0"/>
                      <w:sz w:val="18"/>
                      <w:szCs w:val="18"/>
                      <w:u w:val="none"/>
                      <w:lang w:val="en-US" w:eastAsia="zh-CN"/>
                    </w:rPr>
                    <w:t>17</w:t>
                  </w:r>
                </w:p>
              </w:tc>
              <w:tc>
                <w:tcPr>
                  <w:tcW w:w="1818"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pPr>
                </w:p>
              </w:tc>
            </w:tr>
            <w:tr>
              <w:trPr>
                <w:trHeight w:val="1202"/>
              </w:trPr>
              <w:tc>
                <w:tcPr>
                  <w:tcW w:w="5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4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微软雅黑" w:eastAsia="微软雅黑" w:cs="微软雅黑" w:hint="eastAsia"/>
                      <w:i/>
                      <w:iCs/>
                      <w:color w:val="000000"/>
                      <w:sz w:val="16"/>
                      <w:szCs w:val="16"/>
                      <w:u w:val="none"/>
                    </w:rPr>
                  </w:pPr>
                  <w:r>
                    <w:rPr>
                      <w:rFonts w:ascii="宋体" w:eastAsia="宋体" w:cs="宋体"/>
                      <w:i w:val="0"/>
                      <w:iCs w:val="0"/>
                      <w:color w:val="000000"/>
                      <w:kern w:val="0"/>
                      <w:sz w:val="18"/>
                      <w:szCs w:val="18"/>
                      <w:u w:val="none"/>
                      <w:lang w:val="en-US" w:eastAsia="zh-CN"/>
                    </w:rPr>
                    <w:t>满意度指标</w:t>
                  </w:r>
                </w:p>
              </w:tc>
              <w:tc>
                <w:tcPr>
                  <w:tcW w:w="125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服务对象满意度指标</w:t>
                  </w:r>
                </w:p>
              </w:tc>
              <w:tc>
                <w:tcPr>
                  <w:tcW w:w="16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群众满意度</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w:t>
                  </w:r>
                </w:p>
              </w:tc>
              <w:tc>
                <w:tcPr>
                  <w:tcW w:w="125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95</w:t>
                  </w:r>
                </w:p>
              </w:tc>
              <w:tc>
                <w:tcPr>
                  <w:tcW w:w="39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w:t>
                  </w: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微软雅黑" w:eastAsia="微软雅黑" w:cs="微软雅黑" w:hint="eastAsia"/>
                      <w:i/>
                      <w:iCs/>
                      <w:color w:val="000000"/>
                      <w:kern w:val="0"/>
                      <w:sz w:val="16"/>
                      <w:szCs w:val="16"/>
                      <w:u w:val="none"/>
                      <w:lang w:val="en-US" w:eastAsia="zh-CN"/>
                    </w:rPr>
                    <w:t>95%</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10</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8</w:t>
                  </w:r>
                </w:p>
              </w:tc>
              <w:tc>
                <w:tcPr>
                  <w:tcW w:w="1818"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pPr>
                </w:p>
              </w:tc>
            </w:tr>
            <w:tr>
              <w:trPr>
                <w:trHeight w:val="1202"/>
              </w:trPr>
              <w:tc>
                <w:tcPr>
                  <w:tcW w:w="5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4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微软雅黑" w:eastAsia="微软雅黑" w:cs="微软雅黑" w:hint="eastAsia"/>
                      <w:i/>
                      <w:iCs/>
                      <w:color w:val="000000"/>
                      <w:sz w:val="16"/>
                      <w:szCs w:val="16"/>
                      <w:u w:val="none"/>
                    </w:rPr>
                  </w:pPr>
                  <w:r>
                    <w:rPr>
                      <w:rFonts w:ascii="宋体" w:eastAsia="宋体" w:cs="宋体"/>
                      <w:i w:val="0"/>
                      <w:iCs w:val="0"/>
                      <w:color w:val="000000"/>
                      <w:kern w:val="0"/>
                      <w:sz w:val="18"/>
                      <w:szCs w:val="18"/>
                      <w:u w:val="none"/>
                      <w:lang w:val="en-US" w:eastAsia="zh-CN"/>
                    </w:rPr>
                    <w:t>成本指标</w:t>
                  </w:r>
                </w:p>
              </w:tc>
              <w:tc>
                <w:tcPr>
                  <w:tcW w:w="125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经济成本指标</w:t>
                  </w:r>
                </w:p>
              </w:tc>
              <w:tc>
                <w:tcPr>
                  <w:tcW w:w="16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资金支出</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w:t>
                  </w:r>
                </w:p>
              </w:tc>
              <w:tc>
                <w:tcPr>
                  <w:tcW w:w="125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4</w:t>
                  </w:r>
                </w:p>
              </w:tc>
              <w:tc>
                <w:tcPr>
                  <w:tcW w:w="39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万元</w:t>
                  </w: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微软雅黑" w:eastAsia="微软雅黑" w:cs="微软雅黑" w:hint="eastAsia"/>
                      <w:i/>
                      <w:iCs/>
                      <w:color w:val="000000"/>
                      <w:kern w:val="0"/>
                      <w:sz w:val="16"/>
                      <w:szCs w:val="16"/>
                      <w:u w:val="none"/>
                      <w:lang w:val="en-US" w:eastAsia="zh-CN"/>
                    </w:rPr>
                    <w:t>4</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15</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5</w:t>
                  </w:r>
                </w:p>
              </w:tc>
              <w:tc>
                <w:tcPr>
                  <w:tcW w:w="1818"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pPr>
                </w:p>
              </w:tc>
            </w:tr>
            <w:tr>
              <w:trPr>
                <w:trHeight w:val="1202"/>
              </w:trPr>
              <w:tc>
                <w:tcPr>
                  <w:tcW w:w="8040"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微软雅黑" w:eastAsia="微软雅黑" w:cs="微软雅黑" w:hint="eastAsia"/>
                      <w:i/>
                      <w:iCs/>
                      <w:color w:val="000000"/>
                      <w:sz w:val="16"/>
                      <w:szCs w:val="16"/>
                      <w:u w:val="none"/>
                    </w:rPr>
                  </w:pPr>
                  <w:r>
                    <w:rPr>
                      <w:rFonts w:ascii="宋体" w:eastAsia="宋体" w:cs="宋体"/>
                      <w:i w:val="0"/>
                      <w:iCs w:val="0"/>
                      <w:color w:val="000000"/>
                      <w:kern w:val="0"/>
                      <w:sz w:val="18"/>
                      <w:szCs w:val="18"/>
                      <w:u w:val="none"/>
                      <w:lang w:val="en-US" w:eastAsia="zh-CN"/>
                    </w:rPr>
                    <w:t>100</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right"/>
                    <w:textAlignment w:val="center"/>
                  </w:pPr>
                  <w:r>
                    <w:rPr>
                      <w:rFonts w:ascii="宋体" w:eastAsia="宋体" w:cs="宋体"/>
                      <w:i w:val="0"/>
                      <w:iCs w:val="0"/>
                      <w:color w:val="000000"/>
                      <w:kern w:val="0"/>
                      <w:sz w:val="18"/>
                      <w:szCs w:val="18"/>
                      <w:u w:val="none"/>
                      <w:lang w:val="en-US" w:eastAsia="zh-CN"/>
                    </w:rPr>
                    <w:t>85</w:t>
                  </w:r>
                </w:p>
              </w:tc>
              <w:tc>
                <w:tcPr>
                  <w:tcW w:w="1818" w:type="dxa"/>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621"/>
              </w:trPr>
              <w:tc>
                <w:tcPr>
                  <w:tcW w:w="57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黑体" w:eastAsia="黑体" w:cs="黑体" w:hint="eastAsia"/>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10164"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rPr>
                      <w:rFonts w:ascii="黑体" w:eastAsia="黑体" w:cs="黑体" w:hint="eastAsia"/>
                      <w:i w:val="0"/>
                      <w:iCs w:val="0"/>
                      <w:color w:val="000000"/>
                      <w:sz w:val="18"/>
                      <w:szCs w:val="18"/>
                      <w:u w:val="none"/>
                    </w:rPr>
                  </w:pPr>
                  <w:r>
                    <w:rPr>
                      <w:rFonts w:ascii="微软雅黑" w:eastAsia="微软雅黑" w:cs="微软雅黑" w:hint="eastAsia"/>
                      <w:i/>
                      <w:iCs/>
                      <w:color w:val="000000"/>
                      <w:kern w:val="0"/>
                      <w:sz w:val="16"/>
                      <w:szCs w:val="16"/>
                      <w:u w:val="none"/>
                      <w:lang w:val="en-US" w:eastAsia="zh-CN"/>
                    </w:rPr>
                    <w:t>根据预算绩效管理相关制度的要求，结合项目绩效指标完成情况及对项目成本、项目效率、部门绩效目标实现的综合分析，项目综合评价为项目各项指标项均达到指标要求，项目实施达到预期效果。</w:t>
                  </w:r>
                </w:p>
              </w:tc>
            </w:tr>
            <w:tr>
              <w:trPr>
                <w:trHeight w:val="621"/>
              </w:trPr>
              <w:tc>
                <w:tcPr>
                  <w:tcW w:w="576" w:type="dxa"/>
                  <w:tcBorders>
                    <w:top w:val="nil"/>
                    <w:left w:val="nil"/>
                    <w:bottom w:val="nil"/>
                    <w:right w:val="nil"/>
                  </w:tcBorders>
                  <w:shd w:val="clear" w:color="auto" w:fill="auto"/>
                  <w:vAlign w:val="center"/>
                </w:tcPr>
                <w:p>
                  <w:pPr>
                    <w:keepNext w:val="0"/>
                    <w:keepLines w:val="0"/>
                    <w:widowControl/>
                    <w:suppressLineNumbers w:val="0"/>
                    <w:suppressAutoHyphens/>
                    <w:jc w:val="center"/>
                    <w:textAlignment w:val="center"/>
                    <w:rPr>
                      <w:rFonts w:ascii="宋体" w:eastAsia="宋体" w:cs="宋体" w:hint="eastAsia"/>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10164" w:type="dxa"/>
                  <w:gridSpan w:val="10"/>
                  <w:tcBorders>
                    <w:top w:val="nil"/>
                    <w:left w:val="nil"/>
                    <w:bottom w:val="nil"/>
                    <w:right w:val="nil"/>
                  </w:tcBorders>
                  <w:shd w:val="clear" w:color="auto" w:fill="auto"/>
                  <w:vAlign w:val="center"/>
                </w:tcPr>
                <w:p>
                  <w:pPr>
                    <w:keepNext w:val="0"/>
                    <w:keepLines w:val="0"/>
                    <w:widowControl/>
                    <w:suppressLineNumbers w:val="0"/>
                    <w:suppressAutoHyphens/>
                    <w:jc w:val="left"/>
                    <w:textAlignment w:val="center"/>
                    <w:rPr>
                      <w:rFonts w:ascii="宋体" w:eastAsia="宋体" w:cs="宋体" w:hint="eastAsia"/>
                      <w:i w:val="0"/>
                      <w:iCs w:val="0"/>
                      <w:color w:val="000000"/>
                      <w:sz w:val="18"/>
                      <w:szCs w:val="18"/>
                      <w:u w:val="none"/>
                    </w:rPr>
                  </w:pPr>
                  <w:r>
                    <w:rPr>
                      <w:rFonts w:ascii="微软雅黑" w:eastAsia="微软雅黑" w:cs="微软雅黑" w:hint="eastAsia"/>
                      <w:i/>
                      <w:iCs/>
                      <w:color w:val="000000"/>
                      <w:kern w:val="0"/>
                      <w:sz w:val="16"/>
                      <w:szCs w:val="16"/>
                      <w:u w:val="none"/>
                      <w:lang w:val="en-US" w:eastAsia="zh-CN"/>
                    </w:rPr>
                    <w:t>由于对支出绩效评价工作的重要性还认识不够，因此对绩效评价工作的重视度还不够，部分项目支出绩效指标无法用量化指标来进行考评。</w:t>
                  </w:r>
                </w:p>
              </w:tc>
            </w:tr>
            <w:tr>
              <w:trPr>
                <w:trHeight w:val="1248"/>
              </w:trPr>
              <w:tc>
                <w:tcPr>
                  <w:tcW w:w="57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黑体" w:eastAsia="黑体" w:cs="黑体" w:hint="eastAsia"/>
                      <w:b/>
                      <w:bCs/>
                      <w:i w:val="0"/>
                      <w:iCs w:val="0"/>
                      <w:color w:val="000000"/>
                      <w:sz w:val="30"/>
                      <w:szCs w:val="30"/>
                      <w:u w:val="none"/>
                    </w:rPr>
                  </w:pPr>
                  <w:r>
                    <w:rPr>
                      <w:rFonts w:ascii="宋体" w:eastAsia="宋体" w:cs="宋体"/>
                      <w:i w:val="0"/>
                      <w:iCs w:val="0"/>
                      <w:color w:val="000000"/>
                      <w:kern w:val="0"/>
                      <w:sz w:val="18"/>
                      <w:szCs w:val="18"/>
                      <w:u w:val="none"/>
                      <w:lang w:val="en-US" w:eastAsia="zh-CN"/>
                    </w:rPr>
                    <w:t>改进措施</w:t>
                  </w:r>
                </w:p>
              </w:tc>
              <w:tc>
                <w:tcPr>
                  <w:tcW w:w="10164"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pPr>
                  <w:r>
                    <w:rPr>
                      <w:rFonts w:ascii="微软雅黑" w:eastAsia="微软雅黑" w:cs="微软雅黑" w:hint="eastAsia"/>
                      <w:i/>
                      <w:iCs/>
                      <w:color w:val="000000"/>
                      <w:kern w:val="0"/>
                      <w:sz w:val="16"/>
                      <w:szCs w:val="16"/>
                      <w:u w:val="none"/>
                      <w:lang w:val="en-US" w:eastAsia="zh-CN"/>
                    </w:rPr>
                    <w:t>针对存在的问题，我们将进一步科学设定绩效目标，加强预算执行管理。遵循先有预算、后有支出的原则，加强《新预算法》、《政府会计制度》等学习培训，规范部门预算收支核算，加强财务管理和内部控制监督制度。</w:t>
                  </w:r>
                </w:p>
              </w:tc>
            </w:tr>
            <w:tr>
              <w:trPr>
                <w:trHeight w:val="621"/>
              </w:trPr>
              <w:tc>
                <w:tcPr>
                  <w:tcW w:w="5285"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rPr>
                      <w:rFonts w:ascii="宋体" w:eastAsia="宋体" w:cs="宋体"/>
                      <w:i w:val="0"/>
                      <w:iCs w:val="0"/>
                      <w:color w:val="000000"/>
                      <w:sz w:val="18"/>
                      <w:szCs w:val="18"/>
                      <w:u w:val="none"/>
                    </w:rPr>
                  </w:pPr>
                  <w:r>
                    <w:rPr>
                      <w:rFonts w:ascii="黑体" w:eastAsia="黑体" w:cs="黑体" w:hint="eastAsia"/>
                      <w:i w:val="0"/>
                      <w:iCs w:val="0"/>
                      <w:color w:val="000000"/>
                      <w:kern w:val="0"/>
                      <w:sz w:val="18"/>
                      <w:szCs w:val="18"/>
                      <w:u w:val="none"/>
                      <w:lang w:val="en-US" w:eastAsia="zh-CN"/>
                    </w:rPr>
                    <w:t>项目负责人：坤吉伦</w:t>
                  </w:r>
                </w:p>
              </w:tc>
              <w:tc>
                <w:tcPr>
                  <w:tcW w:w="5455"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rPr>
                      <w:rFonts w:ascii="宋体" w:eastAsia="宋体" w:cs="宋体"/>
                      <w:i w:val="0"/>
                      <w:iCs w:val="0"/>
                      <w:color w:val="000000"/>
                      <w:sz w:val="18"/>
                      <w:szCs w:val="18"/>
                      <w:u w:val="none"/>
                    </w:rPr>
                  </w:pPr>
                  <w:r>
                    <w:rPr>
                      <w:rFonts w:ascii="黑体" w:eastAsia="黑体" w:cs="黑体" w:hint="eastAsia"/>
                      <w:i w:val="0"/>
                      <w:iCs w:val="0"/>
                      <w:color w:val="000000"/>
                      <w:kern w:val="0"/>
                      <w:sz w:val="18"/>
                      <w:szCs w:val="18"/>
                      <w:u w:val="none"/>
                      <w:lang w:val="en-US" w:eastAsia="zh-CN"/>
                    </w:rPr>
                    <w:t>财务负责人：蒲哇泽哩</w:t>
                  </w:r>
                </w:p>
              </w:tc>
            </w:tr>
            <w:tr>
              <w:trPr>
                <w:trHeight w:val="1777"/>
              </w:trPr>
              <w:tc>
                <w:tcPr>
                  <w:tcW w:w="576"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eastAsia="宋体" w:cs="宋体"/>
                      <w:i w:val="0"/>
                      <w:iCs w:val="0"/>
                      <w:color w:val="000000"/>
                      <w:sz w:val="18"/>
                      <w:szCs w:val="18"/>
                      <w:u w:val="none"/>
                    </w:rPr>
                  </w:pPr>
                </w:p>
              </w:tc>
              <w:tc>
                <w:tcPr>
                  <w:tcW w:w="1445" w:type="dxa"/>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25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eastAsia="宋体" w:cs="宋体"/>
                      <w:i w:val="0"/>
                      <w:iCs w:val="0"/>
                      <w:color w:val="000000"/>
                      <w:sz w:val="18"/>
                      <w:szCs w:val="18"/>
                      <w:u w:val="none"/>
                    </w:rPr>
                  </w:pPr>
                </w:p>
              </w:tc>
              <w:tc>
                <w:tcPr>
                  <w:tcW w:w="1609" w:type="dxa"/>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258" w:type="dxa"/>
                  <w:tcBorders>
                    <w:top w:val="nil"/>
                    <w:left w:val="nil"/>
                    <w:bottom w:val="nil"/>
                    <w:right w:val="nil"/>
                  </w:tcBorders>
                  <w:shd w:val="clear" w:color="auto" w:fill="auto"/>
                  <w:vAlign w:val="center"/>
                </w:tcPr>
                <w:p>
                  <w:pPr>
                    <w:rPr>
                      <w:rFonts w:ascii="黑体" w:eastAsia="黑体" w:cs="黑体" w:hint="eastAsia"/>
                      <w:i w:val="0"/>
                      <w:iCs w:val="0"/>
                      <w:color w:val="000000"/>
                      <w:sz w:val="18"/>
                      <w:szCs w:val="18"/>
                      <w:u w:val="none"/>
                    </w:rPr>
                  </w:pPr>
                </w:p>
              </w:tc>
              <w:tc>
                <w:tcPr>
                  <w:tcW w:w="398"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eastAsia="宋体" w:cs="宋体"/>
                      <w:i w:val="0"/>
                      <w:iCs w:val="0"/>
                      <w:color w:val="000000"/>
                      <w:sz w:val="18"/>
                      <w:szCs w:val="18"/>
                      <w:u w:val="none"/>
                    </w:rPr>
                  </w:pP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818" w:type="dxa"/>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621"/>
              </w:trPr>
              <w:tc>
                <w:tcPr>
                  <w:tcW w:w="10740" w:type="dxa"/>
                  <w:gridSpan w:val="11"/>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黑体" w:eastAsia="黑体" w:cs="黑体" w:hint="eastAsia"/>
                      <w:i w:val="0"/>
                      <w:iCs w:val="0"/>
                      <w:color w:val="000000"/>
                      <w:sz w:val="18"/>
                      <w:szCs w:val="18"/>
                      <w:u w:val="none"/>
                    </w:rPr>
                  </w:pPr>
                  <w:r>
                    <w:rPr>
                      <w:rFonts w:ascii="黑体" w:eastAsia="黑体" w:cs="黑体" w:hint="eastAsia"/>
                      <w:b/>
                      <w:bCs/>
                      <w:i w:val="0"/>
                      <w:iCs w:val="0"/>
                      <w:color w:val="000000"/>
                      <w:kern w:val="0"/>
                      <w:sz w:val="30"/>
                      <w:szCs w:val="30"/>
                      <w:u w:val="none"/>
                      <w:lang w:val="en-US" w:eastAsia="zh-CN"/>
                    </w:rPr>
                    <w:t>部门预算项目支出绩效自评表（2025年度）</w:t>
                  </w:r>
                </w:p>
              </w:tc>
            </w:tr>
            <w:tr>
              <w:trPr>
                <w:trHeight w:val="2360"/>
              </w:trPr>
              <w:tc>
                <w:tcPr>
                  <w:tcW w:w="202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rPr>
                      <w:rFonts w:ascii="宋体" w:eastAsia="宋体" w:cs="宋体" w:hint="eastAsia"/>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8719"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rPr>
                      <w:rFonts w:ascii="黑体" w:eastAsia="黑体" w:cs="黑体" w:hint="eastAsia"/>
                      <w:i w:val="0"/>
                      <w:iCs w:val="0"/>
                      <w:color w:val="000000"/>
                      <w:sz w:val="18"/>
                      <w:szCs w:val="18"/>
                      <w:u w:val="none"/>
                    </w:rPr>
                  </w:pPr>
                  <w:r>
                    <w:rPr>
                      <w:rFonts w:ascii="宋体" w:eastAsia="宋体" w:cs="宋体"/>
                      <w:i w:val="0"/>
                      <w:iCs w:val="0"/>
                      <w:color w:val="000000"/>
                      <w:kern w:val="0"/>
                      <w:sz w:val="18"/>
                      <w:szCs w:val="18"/>
                      <w:u w:val="none"/>
                      <w:lang w:val="en-US" w:eastAsia="zh-CN"/>
                    </w:rPr>
                    <w:t>51322323T000008110732-川烟经营市场维护工作经费</w:t>
                  </w:r>
                </w:p>
              </w:tc>
            </w:tr>
            <w:tr>
              <w:trPr>
                <w:trHeight w:val="1202"/>
              </w:trPr>
              <w:tc>
                <w:tcPr>
                  <w:tcW w:w="202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4920"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茂县公安局本级</w:t>
                  </w: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pPr>
                  <w:r>
                    <w:rPr>
                      <w:rFonts w:ascii="黑体" w:eastAsia="黑体" w:cs="黑体" w:hint="eastAsia"/>
                      <w:i w:val="0"/>
                      <w:iCs w:val="0"/>
                      <w:color w:val="000000"/>
                      <w:kern w:val="0"/>
                      <w:sz w:val="18"/>
                      <w:szCs w:val="18"/>
                      <w:u w:val="none"/>
                      <w:lang w:val="en-US" w:eastAsia="zh-CN"/>
                    </w:rPr>
                    <w:t>实施单位 （盖章）</w:t>
                  </w:r>
                </w:p>
              </w:tc>
              <w:tc>
                <w:tcPr>
                  <w:tcW w:w="270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茂县公安局</w:t>
                  </w:r>
                </w:p>
              </w:tc>
            </w:tr>
            <w:tr>
              <w:trPr>
                <w:trHeight w:val="1202"/>
              </w:trPr>
              <w:tc>
                <w:tcPr>
                  <w:tcW w:w="5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144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4920"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3799"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黑体" w:eastAsia="黑体" w:cs="黑体" w:hint="eastAsia"/>
                      <w:i w:val="0"/>
                      <w:iCs w:val="0"/>
                      <w:color w:val="000000"/>
                      <w:kern w:val="0"/>
                      <w:sz w:val="18"/>
                      <w:szCs w:val="18"/>
                      <w:u w:val="none"/>
                      <w:lang w:val="en-US" w:eastAsia="zh-CN"/>
                    </w:rPr>
                    <w:t>年度目标完成情况</w:t>
                  </w:r>
                </w:p>
              </w:tc>
            </w:tr>
            <w:tr>
              <w:trPr>
                <w:trHeight w:val="621"/>
              </w:trPr>
              <w:tc>
                <w:tcPr>
                  <w:tcW w:w="5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4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4920"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烟草市场专项整治，打击假烟生产、销售。</w:t>
                  </w:r>
                </w:p>
              </w:tc>
              <w:tc>
                <w:tcPr>
                  <w:tcW w:w="3799"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rPr>
                      <w:rFonts w:ascii="黑体" w:eastAsia="黑体" w:cs="黑体" w:hint="eastAsia"/>
                      <w:i/>
                      <w:iCs/>
                      <w:color w:val="000000"/>
                      <w:sz w:val="18"/>
                      <w:szCs w:val="18"/>
                      <w:u w:val="none"/>
                    </w:rPr>
                  </w:pPr>
                  <w:r>
                    <w:rPr>
                      <w:rFonts w:ascii="黑体" w:eastAsia="黑体" w:cs="黑体" w:hint="eastAsia"/>
                      <w:i w:val="0"/>
                      <w:iCs w:val="0"/>
                      <w:color w:val="000000"/>
                      <w:kern w:val="0"/>
                      <w:sz w:val="18"/>
                      <w:szCs w:val="18"/>
                      <w:u w:val="none"/>
                      <w:lang w:val="en-US" w:eastAsia="zh-CN"/>
                    </w:rPr>
                    <w:t>切实强化了市场管控，提升打击涉烟违法犯罪效能。</w:t>
                  </w:r>
                </w:p>
              </w:tc>
            </w:tr>
            <w:tr>
              <w:trPr>
                <w:trHeight w:val="621"/>
              </w:trPr>
              <w:tc>
                <w:tcPr>
                  <w:tcW w:w="5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4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8719"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rPr>
                      <w:rFonts w:ascii="黑体" w:eastAsia="黑体" w:cs="黑体" w:hint="eastAsia"/>
                      <w:i/>
                      <w:iCs/>
                      <w:color w:val="000000"/>
                      <w:sz w:val="18"/>
                      <w:szCs w:val="18"/>
                      <w:u w:val="none"/>
                    </w:rPr>
                  </w:pPr>
                  <w:r>
                    <w:rPr>
                      <w:rFonts w:ascii="宋体" w:eastAsia="宋体" w:cs="宋体"/>
                      <w:i w:val="0"/>
                      <w:iCs w:val="0"/>
                      <w:color w:val="000000"/>
                      <w:kern w:val="0"/>
                      <w:sz w:val="18"/>
                      <w:szCs w:val="18"/>
                      <w:u w:val="none"/>
                      <w:lang w:val="en-US" w:eastAsia="zh-CN"/>
                    </w:rPr>
                    <w:t>与茂县烟草专卖局深化协同工作机制、加强情报共享、案件联办、开展专项整治、强化市场管控，切实提升打击涉烟违法犯罪效能。</w:t>
                  </w:r>
                </w:p>
              </w:tc>
            </w:tr>
            <w:tr>
              <w:trPr>
                <w:trHeight w:val="1194"/>
              </w:trPr>
              <w:tc>
                <w:tcPr>
                  <w:tcW w:w="5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hint="eastAsia"/>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144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125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16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205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181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黑体" w:eastAsia="黑体" w:cs="黑体" w:hint="eastAsia"/>
                      <w:i/>
                      <w:iCs/>
                      <w:color w:val="000000"/>
                      <w:sz w:val="18"/>
                      <w:szCs w:val="18"/>
                      <w:u w:val="none"/>
                    </w:rPr>
                  </w:pPr>
                  <w:r>
                    <w:rPr>
                      <w:rFonts w:ascii="宋体" w:eastAsia="宋体" w:cs="宋体"/>
                      <w:i w:val="0"/>
                      <w:iCs w:val="0"/>
                      <w:color w:val="000000"/>
                      <w:kern w:val="0"/>
                      <w:sz w:val="18"/>
                      <w:szCs w:val="18"/>
                      <w:u w:val="none"/>
                      <w:lang w:val="en-US" w:eastAsia="zh-CN"/>
                    </w:rPr>
                    <w:t>原因</w:t>
                  </w:r>
                </w:p>
              </w:tc>
            </w:tr>
            <w:tr>
              <w:trPr>
                <w:trHeight w:val="621"/>
              </w:trPr>
              <w:tc>
                <w:tcPr>
                  <w:tcW w:w="5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4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125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6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2.96</w:t>
                  </w:r>
                </w:p>
              </w:tc>
              <w:tc>
                <w:tcPr>
                  <w:tcW w:w="205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2.96</w:t>
                  </w: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宋体" w:eastAsia="宋体" w:cs="宋体"/>
                      <w:i w:val="0"/>
                      <w:iCs w:val="0"/>
                      <w:color w:val="000000"/>
                      <w:sz w:val="18"/>
                      <w:szCs w:val="18"/>
                      <w:u w:val="none"/>
                    </w:rPr>
                  </w:pPr>
                </w:p>
              </w:tc>
              <w:tc>
                <w:tcPr>
                  <w:tcW w:w="181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rPr>
                      <w:rFonts w:ascii="黑体" w:eastAsia="黑体" w:cs="黑体" w:hint="eastAsia"/>
                      <w:i/>
                      <w:iCs/>
                      <w:color w:val="000000"/>
                      <w:sz w:val="18"/>
                      <w:szCs w:val="18"/>
                      <w:u w:val="none"/>
                    </w:rPr>
                  </w:pPr>
                  <w:r>
                    <w:rPr>
                      <w:rFonts w:ascii="黑体" w:eastAsia="黑体" w:cs="黑体" w:hint="eastAsia"/>
                      <w:i/>
                      <w:iCs/>
                      <w:color w:val="000000"/>
                      <w:kern w:val="0"/>
                      <w:sz w:val="18"/>
                      <w:szCs w:val="18"/>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trPr>
                <w:trHeight w:val="3426"/>
              </w:trPr>
              <w:tc>
                <w:tcPr>
                  <w:tcW w:w="5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4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125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微软雅黑" w:eastAsia="微软雅黑" w:cs="微软雅黑" w:hint="eastAsia"/>
                      <w:i/>
                      <w:iCs/>
                      <w:color w:val="000000"/>
                      <w:sz w:val="16"/>
                      <w:szCs w:val="16"/>
                      <w:u w:val="none"/>
                    </w:rPr>
                  </w:pPr>
                  <w:r>
                    <w:rPr>
                      <w:rFonts w:ascii="宋体" w:eastAsia="宋体" w:cs="宋体"/>
                      <w:i w:val="0"/>
                      <w:iCs w:val="0"/>
                      <w:color w:val="000000"/>
                      <w:kern w:val="0"/>
                      <w:sz w:val="18"/>
                      <w:szCs w:val="18"/>
                      <w:u w:val="none"/>
                      <w:lang w:val="en-US" w:eastAsia="zh-CN"/>
                    </w:rPr>
                    <w:t>0.00</w:t>
                  </w:r>
                </w:p>
              </w:tc>
              <w:tc>
                <w:tcPr>
                  <w:tcW w:w="16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微软雅黑" w:eastAsia="微软雅黑" w:cs="微软雅黑" w:hint="eastAsia"/>
                      <w:i/>
                      <w:iCs/>
                      <w:color w:val="000000"/>
                      <w:sz w:val="16"/>
                      <w:szCs w:val="16"/>
                      <w:u w:val="none"/>
                    </w:rPr>
                  </w:pPr>
                  <w:r>
                    <w:rPr>
                      <w:rFonts w:ascii="宋体" w:eastAsia="宋体" w:cs="宋体"/>
                      <w:i w:val="0"/>
                      <w:iCs w:val="0"/>
                      <w:color w:val="000000"/>
                      <w:kern w:val="0"/>
                      <w:sz w:val="18"/>
                      <w:szCs w:val="18"/>
                      <w:u w:val="none"/>
                      <w:lang w:val="en-US" w:eastAsia="zh-CN"/>
                    </w:rPr>
                    <w:t>2.96</w:t>
                  </w:r>
                </w:p>
              </w:tc>
              <w:tc>
                <w:tcPr>
                  <w:tcW w:w="205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微软雅黑" w:eastAsia="微软雅黑" w:cs="微软雅黑" w:hint="eastAsia"/>
                      <w:i/>
                      <w:iCs/>
                      <w:color w:val="000000"/>
                      <w:sz w:val="16"/>
                      <w:szCs w:val="16"/>
                      <w:u w:val="none"/>
                    </w:rPr>
                  </w:pPr>
                  <w:r>
                    <w:rPr>
                      <w:rFonts w:ascii="宋体" w:eastAsia="宋体" w:cs="宋体"/>
                      <w:i w:val="0"/>
                      <w:iCs w:val="0"/>
                      <w:color w:val="000000"/>
                      <w:kern w:val="0"/>
                      <w:sz w:val="18"/>
                      <w:szCs w:val="18"/>
                      <w:u w:val="none"/>
                      <w:lang w:val="en-US" w:eastAsia="zh-CN"/>
                    </w:rPr>
                    <w:t>2.96</w:t>
                  </w: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微软雅黑" w:eastAsia="微软雅黑" w:cs="微软雅黑" w:hint="eastAsia"/>
                      <w:i/>
                      <w:iCs/>
                      <w:color w:val="000000"/>
                      <w:sz w:val="16"/>
                      <w:szCs w:val="16"/>
                      <w:u w:val="none"/>
                    </w:rPr>
                  </w:pPr>
                  <w:r>
                    <w:rPr>
                      <w:rFonts w:ascii="宋体" w:eastAsia="宋体" w:cs="宋体"/>
                      <w:i w:val="0"/>
                      <w:iCs w:val="0"/>
                      <w:color w:val="000000"/>
                      <w:kern w:val="0"/>
                      <w:sz w:val="18"/>
                      <w:szCs w:val="18"/>
                      <w:u w:val="none"/>
                      <w:lang w:val="en-US" w:eastAsia="zh-CN"/>
                    </w:rPr>
                    <w:t>100.00%</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8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2362"/>
              </w:trPr>
              <w:tc>
                <w:tcPr>
                  <w:tcW w:w="5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4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125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6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05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8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1183"/>
              </w:trPr>
              <w:tc>
                <w:tcPr>
                  <w:tcW w:w="5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4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125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6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05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微软雅黑" w:eastAsia="微软雅黑" w:cs="微软雅黑" w:hint="eastAsia"/>
                      <w:i/>
                      <w:iCs/>
                      <w:color w:val="000000"/>
                      <w:sz w:val="16"/>
                      <w:szCs w:val="16"/>
                      <w:u w:val="none"/>
                    </w:rPr>
                  </w:pPr>
                  <w:r>
                    <w:rPr>
                      <w:rFonts w:ascii="宋体" w:eastAsia="宋体" w:cs="宋体"/>
                      <w:i w:val="0"/>
                      <w:iCs w:val="0"/>
                      <w:color w:val="000000"/>
                      <w:kern w:val="0"/>
                      <w:sz w:val="18"/>
                      <w:szCs w:val="18"/>
                      <w:u w:val="none"/>
                      <w:lang w:val="en-US" w:eastAsia="zh-CN"/>
                    </w:rPr>
                    <w:t>0.00%</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8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1202"/>
              </w:trPr>
              <w:tc>
                <w:tcPr>
                  <w:tcW w:w="5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4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hint="eastAsia"/>
                      <w:i w:val="0"/>
                      <w:iCs w:val="0"/>
                      <w:color w:val="000000"/>
                      <w:sz w:val="18"/>
                      <w:szCs w:val="18"/>
                      <w:u w:val="none"/>
                    </w:rPr>
                  </w:pPr>
                  <w:r>
                    <w:rPr>
                      <w:rFonts w:ascii="宋体" w:eastAsia="宋体" w:cs="宋体"/>
                      <w:i w:val="0"/>
                      <w:iCs w:val="0"/>
                      <w:color w:val="000000"/>
                      <w:kern w:val="0"/>
                      <w:sz w:val="18"/>
                      <w:szCs w:val="18"/>
                      <w:u w:val="none"/>
                      <w:lang w:val="en-US" w:eastAsia="zh-CN"/>
                    </w:rPr>
                    <w:t>其他资金</w:t>
                  </w:r>
                </w:p>
              </w:tc>
              <w:tc>
                <w:tcPr>
                  <w:tcW w:w="1259"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宋体" w:eastAsia="宋体" w:cs="宋体"/>
                      <w:i w:val="0"/>
                      <w:iCs w:val="0"/>
                      <w:color w:val="000000"/>
                      <w:sz w:val="18"/>
                      <w:szCs w:val="18"/>
                      <w:u w:val="none"/>
                    </w:rPr>
                  </w:pPr>
                </w:p>
              </w:tc>
              <w:tc>
                <w:tcPr>
                  <w:tcW w:w="1609"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宋体" w:eastAsia="宋体" w:cs="宋体"/>
                      <w:i w:val="0"/>
                      <w:iCs w:val="0"/>
                      <w:color w:val="000000"/>
                      <w:sz w:val="18"/>
                      <w:szCs w:val="18"/>
                      <w:u w:val="none"/>
                    </w:rPr>
                  </w:pPr>
                </w:p>
              </w:tc>
              <w:tc>
                <w:tcPr>
                  <w:tcW w:w="205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宋体" w:eastAsia="宋体" w:cs="宋体" w:hint="eastAsia"/>
                      <w:i w:val="0"/>
                      <w:iCs w:val="0"/>
                      <w:color w:val="000000"/>
                      <w:sz w:val="18"/>
                      <w:szCs w:val="18"/>
                      <w:u w:val="none"/>
                    </w:rPr>
                  </w:pP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8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6448"/>
              </w:trPr>
              <w:tc>
                <w:tcPr>
                  <w:tcW w:w="5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hint="eastAsia"/>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144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hint="eastAsia"/>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125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hint="eastAsia"/>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16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125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hint="eastAsia"/>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39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微软雅黑" w:eastAsia="微软雅黑" w:cs="微软雅黑" w:hint="eastAsia"/>
                      <w:i/>
                      <w:iCs/>
                      <w:color w:val="000000"/>
                      <w:sz w:val="16"/>
                      <w:szCs w:val="16"/>
                      <w:u w:val="none"/>
                    </w:rPr>
                  </w:pPr>
                  <w:r>
                    <w:rPr>
                      <w:rFonts w:ascii="宋体" w:eastAsia="宋体" w:cs="宋体"/>
                      <w:i w:val="0"/>
                      <w:iCs w:val="0"/>
                      <w:color w:val="000000"/>
                      <w:kern w:val="0"/>
                      <w:sz w:val="18"/>
                      <w:szCs w:val="18"/>
                      <w:u w:val="none"/>
                      <w:lang w:val="en-US" w:eastAsia="zh-CN"/>
                    </w:rPr>
                    <w:t>度量单位</w:t>
                  </w: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权重</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181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微软雅黑" w:eastAsia="微软雅黑" w:cs="微软雅黑" w:hint="eastAsia"/>
                      <w:i/>
                      <w:iCs/>
                      <w:color w:val="000000"/>
                      <w:sz w:val="16"/>
                      <w:szCs w:val="16"/>
                      <w:u w:val="none"/>
                    </w:rPr>
                  </w:pPr>
                  <w:r>
                    <w:rPr>
                      <w:rFonts w:ascii="宋体" w:eastAsia="宋体" w:cs="宋体"/>
                      <w:i w:val="0"/>
                      <w:iCs w:val="0"/>
                      <w:color w:val="000000"/>
                      <w:kern w:val="0"/>
                      <w:sz w:val="18"/>
                      <w:szCs w:val="18"/>
                      <w:u w:val="none"/>
                      <w:lang w:val="en-US" w:eastAsia="zh-CN"/>
                    </w:rPr>
                    <w:t>未完成原因分析</w:t>
                  </w:r>
                </w:p>
              </w:tc>
            </w:tr>
            <w:tr>
              <w:trPr>
                <w:trHeight w:val="1183"/>
              </w:trPr>
              <w:tc>
                <w:tcPr>
                  <w:tcW w:w="5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4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hint="eastAsia"/>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125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16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发放宣传资料</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25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2000</w:t>
                  </w:r>
                </w:p>
              </w:tc>
              <w:tc>
                <w:tcPr>
                  <w:tcW w:w="39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微软雅黑" w:eastAsia="微软雅黑" w:cs="微软雅黑" w:hint="eastAsia"/>
                      <w:i/>
                      <w:iCs/>
                      <w:color w:val="000000"/>
                      <w:sz w:val="16"/>
                      <w:szCs w:val="16"/>
                      <w:u w:val="none"/>
                    </w:rPr>
                  </w:pPr>
                  <w:r>
                    <w:rPr>
                      <w:rFonts w:ascii="宋体" w:eastAsia="宋体" w:cs="宋体"/>
                      <w:i w:val="0"/>
                      <w:iCs w:val="0"/>
                      <w:color w:val="000000"/>
                      <w:kern w:val="0"/>
                      <w:sz w:val="18"/>
                      <w:szCs w:val="18"/>
                      <w:u w:val="none"/>
                      <w:lang w:val="en-US" w:eastAsia="zh-CN"/>
                    </w:rPr>
                    <w:t>份</w:t>
                  </w: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微软雅黑" w:eastAsia="微软雅黑" w:cs="微软雅黑" w:hint="eastAsia"/>
                      <w:i/>
                      <w:iCs/>
                      <w:color w:val="000000"/>
                      <w:kern w:val="0"/>
                      <w:sz w:val="16"/>
                      <w:szCs w:val="16"/>
                      <w:u w:val="none"/>
                      <w:lang w:val="en-US" w:eastAsia="zh-CN"/>
                    </w:rPr>
                    <w:t>5000</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8</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w:t>
                  </w:r>
                </w:p>
              </w:tc>
              <w:tc>
                <w:tcPr>
                  <w:tcW w:w="1818"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r>
            <w:tr>
              <w:trPr>
                <w:trHeight w:val="7618"/>
              </w:trPr>
              <w:tc>
                <w:tcPr>
                  <w:tcW w:w="5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4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25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6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协助烟草部门办理案件</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25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hint="eastAsia"/>
                      <w:i w:val="0"/>
                      <w:iCs w:val="0"/>
                      <w:color w:val="000000"/>
                      <w:sz w:val="18"/>
                      <w:szCs w:val="18"/>
                      <w:u w:val="none"/>
                    </w:rPr>
                  </w:pPr>
                  <w:r>
                    <w:rPr>
                      <w:rFonts w:ascii="宋体" w:eastAsia="宋体" w:cs="宋体"/>
                      <w:i w:val="0"/>
                      <w:iCs w:val="0"/>
                      <w:color w:val="000000"/>
                      <w:kern w:val="0"/>
                      <w:sz w:val="18"/>
                      <w:szCs w:val="18"/>
                      <w:u w:val="none"/>
                      <w:lang w:val="en-US" w:eastAsia="zh-CN"/>
                    </w:rPr>
                    <w:t>5</w:t>
                  </w:r>
                </w:p>
              </w:tc>
              <w:tc>
                <w:tcPr>
                  <w:tcW w:w="39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微软雅黑" w:eastAsia="微软雅黑" w:cs="微软雅黑" w:hint="eastAsia"/>
                      <w:i/>
                      <w:iCs/>
                      <w:color w:val="000000"/>
                      <w:sz w:val="16"/>
                      <w:szCs w:val="16"/>
                      <w:u w:val="none"/>
                    </w:rPr>
                  </w:pPr>
                  <w:r>
                    <w:rPr>
                      <w:rFonts w:ascii="宋体" w:eastAsia="宋体" w:cs="宋体"/>
                      <w:i w:val="0"/>
                      <w:iCs w:val="0"/>
                      <w:color w:val="000000"/>
                      <w:kern w:val="0"/>
                      <w:sz w:val="18"/>
                      <w:szCs w:val="18"/>
                      <w:u w:val="none"/>
                      <w:lang w:val="en-US" w:eastAsia="zh-CN"/>
                    </w:rPr>
                    <w:t>起</w:t>
                  </w: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微软雅黑" w:eastAsia="微软雅黑" w:cs="微软雅黑" w:hint="eastAsia"/>
                      <w:i/>
                      <w:iCs/>
                      <w:color w:val="000000"/>
                      <w:kern w:val="0"/>
                      <w:sz w:val="16"/>
                      <w:szCs w:val="16"/>
                      <w:u w:val="none"/>
                      <w:lang w:val="en-US" w:eastAsia="zh-CN"/>
                    </w:rPr>
                    <w:t>6</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8</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w:t>
                  </w:r>
                </w:p>
              </w:tc>
              <w:tc>
                <w:tcPr>
                  <w:tcW w:w="1818"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r>
            <w:tr>
              <w:trPr>
                <w:trHeight w:val="1777"/>
              </w:trPr>
              <w:tc>
                <w:tcPr>
                  <w:tcW w:w="5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4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25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6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无证运输烟草</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25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30</w:t>
                  </w:r>
                </w:p>
              </w:tc>
              <w:tc>
                <w:tcPr>
                  <w:tcW w:w="39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微软雅黑" w:eastAsia="微软雅黑" w:cs="微软雅黑" w:hint="eastAsia"/>
                      <w:i/>
                      <w:iCs/>
                      <w:color w:val="000000"/>
                      <w:sz w:val="16"/>
                      <w:szCs w:val="16"/>
                      <w:u w:val="none"/>
                    </w:rPr>
                  </w:pPr>
                  <w:r>
                    <w:rPr>
                      <w:rFonts w:ascii="宋体" w:eastAsia="宋体" w:cs="宋体"/>
                      <w:i w:val="0"/>
                      <w:iCs w:val="0"/>
                      <w:color w:val="000000"/>
                      <w:kern w:val="0"/>
                      <w:sz w:val="18"/>
                      <w:szCs w:val="18"/>
                      <w:u w:val="none"/>
                      <w:lang w:val="en-US" w:eastAsia="zh-CN"/>
                    </w:rPr>
                    <w:t>条</w:t>
                  </w: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微软雅黑" w:eastAsia="微软雅黑" w:cs="微软雅黑" w:hint="eastAsia"/>
                      <w:i/>
                      <w:iCs/>
                      <w:color w:val="000000"/>
                      <w:kern w:val="0"/>
                      <w:sz w:val="16"/>
                      <w:szCs w:val="16"/>
                      <w:u w:val="none"/>
                      <w:lang w:val="en-US" w:eastAsia="zh-CN"/>
                    </w:rPr>
                    <w:t>300</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8</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w:t>
                  </w:r>
                </w:p>
              </w:tc>
              <w:tc>
                <w:tcPr>
                  <w:tcW w:w="1818"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r>
            <w:tr>
              <w:trPr>
                <w:trHeight w:val="1202"/>
              </w:trPr>
              <w:tc>
                <w:tcPr>
                  <w:tcW w:w="5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4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25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6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清查行动</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25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6</w:t>
                  </w:r>
                </w:p>
              </w:tc>
              <w:tc>
                <w:tcPr>
                  <w:tcW w:w="39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微软雅黑" w:eastAsia="微软雅黑" w:cs="微软雅黑" w:hint="eastAsia"/>
                      <w:i/>
                      <w:iCs/>
                      <w:color w:val="000000"/>
                      <w:sz w:val="16"/>
                      <w:szCs w:val="16"/>
                      <w:u w:val="none"/>
                    </w:rPr>
                  </w:pPr>
                  <w:r>
                    <w:rPr>
                      <w:rFonts w:ascii="宋体" w:eastAsia="宋体" w:cs="宋体"/>
                      <w:i w:val="0"/>
                      <w:iCs w:val="0"/>
                      <w:color w:val="000000"/>
                      <w:kern w:val="0"/>
                      <w:sz w:val="18"/>
                      <w:szCs w:val="18"/>
                      <w:u w:val="none"/>
                      <w:lang w:val="en-US" w:eastAsia="zh-CN"/>
                    </w:rPr>
                    <w:t>次</w:t>
                  </w: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微软雅黑" w:eastAsia="微软雅黑" w:cs="微软雅黑" w:hint="eastAsia"/>
                      <w:i/>
                      <w:iCs/>
                      <w:color w:val="000000"/>
                      <w:kern w:val="0"/>
                      <w:sz w:val="16"/>
                      <w:szCs w:val="16"/>
                      <w:u w:val="none"/>
                      <w:lang w:val="en-US" w:eastAsia="zh-CN"/>
                    </w:rPr>
                    <w:t>6</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8</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7</w:t>
                  </w:r>
                </w:p>
              </w:tc>
              <w:tc>
                <w:tcPr>
                  <w:tcW w:w="1818"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r>
            <w:tr>
              <w:trPr>
                <w:trHeight w:val="621"/>
              </w:trPr>
              <w:tc>
                <w:tcPr>
                  <w:tcW w:w="5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4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25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质量指标</w:t>
                  </w:r>
                </w:p>
              </w:tc>
              <w:tc>
                <w:tcPr>
                  <w:tcW w:w="16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资金使用合规性</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定性</w:t>
                  </w:r>
                </w:p>
              </w:tc>
              <w:tc>
                <w:tcPr>
                  <w:tcW w:w="125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合理合规</w:t>
                  </w:r>
                </w:p>
              </w:tc>
              <w:tc>
                <w:tcPr>
                  <w:tcW w:w="398"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宋体" w:eastAsia="宋体" w:cs="宋体"/>
                      <w:i w:val="0"/>
                      <w:iCs w:val="0"/>
                      <w:color w:val="000000"/>
                      <w:sz w:val="18"/>
                      <w:szCs w:val="18"/>
                      <w:u w:val="none"/>
                    </w:rPr>
                  </w:pP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微软雅黑" w:eastAsia="微软雅黑" w:cs="微软雅黑" w:hint="eastAsia"/>
                      <w:i/>
                      <w:iCs/>
                      <w:color w:val="000000"/>
                      <w:kern w:val="0"/>
                      <w:sz w:val="16"/>
                      <w:szCs w:val="16"/>
                      <w:u w:val="none"/>
                      <w:lang w:val="en-US" w:eastAsia="zh-CN"/>
                    </w:rPr>
                    <w:t>合规</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8</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hint="eastAsia"/>
                      <w:i w:val="0"/>
                      <w:iCs w:val="0"/>
                      <w:color w:val="000000"/>
                      <w:sz w:val="18"/>
                      <w:szCs w:val="18"/>
                      <w:u w:val="none"/>
                    </w:rPr>
                  </w:pPr>
                  <w:r>
                    <w:rPr>
                      <w:rFonts w:ascii="宋体" w:eastAsia="宋体" w:cs="宋体"/>
                      <w:i w:val="0"/>
                      <w:iCs w:val="0"/>
                      <w:color w:val="000000"/>
                      <w:kern w:val="0"/>
                      <w:sz w:val="18"/>
                      <w:szCs w:val="18"/>
                      <w:u w:val="none"/>
                      <w:lang w:val="en-US" w:eastAsia="zh-CN"/>
                    </w:rPr>
                    <w:t>8</w:t>
                  </w:r>
                </w:p>
              </w:tc>
              <w:tc>
                <w:tcPr>
                  <w:tcW w:w="1818"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pPr>
                </w:p>
              </w:tc>
            </w:tr>
            <w:tr>
              <w:trPr>
                <w:trHeight w:val="1202"/>
              </w:trPr>
              <w:tc>
                <w:tcPr>
                  <w:tcW w:w="5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4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微软雅黑" w:eastAsia="微软雅黑" w:cs="微软雅黑" w:hint="eastAsia"/>
                      <w:i/>
                      <w:iCs/>
                      <w:color w:val="000000"/>
                      <w:sz w:val="16"/>
                      <w:szCs w:val="16"/>
                      <w:u w:val="none"/>
                    </w:rPr>
                  </w:pPr>
                  <w:r>
                    <w:rPr>
                      <w:rFonts w:ascii="宋体" w:eastAsia="宋体" w:cs="宋体"/>
                      <w:i w:val="0"/>
                      <w:iCs w:val="0"/>
                      <w:color w:val="000000"/>
                      <w:kern w:val="0"/>
                      <w:sz w:val="18"/>
                      <w:szCs w:val="18"/>
                      <w:u w:val="none"/>
                      <w:lang w:val="en-US" w:eastAsia="zh-CN"/>
                    </w:rPr>
                    <w:t>效益指标</w:t>
                  </w:r>
                </w:p>
              </w:tc>
              <w:tc>
                <w:tcPr>
                  <w:tcW w:w="125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社会效益指标</w:t>
                  </w:r>
                </w:p>
              </w:tc>
              <w:tc>
                <w:tcPr>
                  <w:tcW w:w="16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规范了烟草市场秩序</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定性</w:t>
                  </w:r>
                </w:p>
              </w:tc>
              <w:tc>
                <w:tcPr>
                  <w:tcW w:w="125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良好</w:t>
                  </w:r>
                </w:p>
              </w:tc>
              <w:tc>
                <w:tcPr>
                  <w:tcW w:w="398"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pP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微软雅黑" w:eastAsia="微软雅黑" w:cs="微软雅黑" w:hint="eastAsia"/>
                      <w:i/>
                      <w:iCs/>
                      <w:color w:val="000000"/>
                      <w:kern w:val="0"/>
                      <w:sz w:val="16"/>
                      <w:szCs w:val="16"/>
                      <w:u w:val="none"/>
                      <w:lang w:val="en-US" w:eastAsia="zh-CN"/>
                    </w:rPr>
                    <w:t>良好</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40</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32</w:t>
                  </w:r>
                </w:p>
              </w:tc>
              <w:tc>
                <w:tcPr>
                  <w:tcW w:w="1818"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pPr>
                </w:p>
              </w:tc>
            </w:tr>
            <w:tr>
              <w:trPr>
                <w:trHeight w:val="1202"/>
              </w:trPr>
              <w:tc>
                <w:tcPr>
                  <w:tcW w:w="5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4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微软雅黑" w:eastAsia="微软雅黑" w:cs="微软雅黑" w:hint="eastAsia"/>
                      <w:i/>
                      <w:iCs/>
                      <w:color w:val="000000"/>
                      <w:sz w:val="16"/>
                      <w:szCs w:val="16"/>
                      <w:u w:val="none"/>
                    </w:rPr>
                  </w:pPr>
                  <w:r>
                    <w:rPr>
                      <w:rFonts w:ascii="宋体" w:eastAsia="宋体" w:cs="宋体"/>
                      <w:i w:val="0"/>
                      <w:iCs w:val="0"/>
                      <w:color w:val="000000"/>
                      <w:kern w:val="0"/>
                      <w:sz w:val="18"/>
                      <w:szCs w:val="18"/>
                      <w:u w:val="none"/>
                      <w:lang w:val="en-US" w:eastAsia="zh-CN"/>
                    </w:rPr>
                    <w:t>满意度指标</w:t>
                  </w:r>
                </w:p>
              </w:tc>
              <w:tc>
                <w:tcPr>
                  <w:tcW w:w="125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满意度指标</w:t>
                  </w:r>
                </w:p>
              </w:tc>
              <w:tc>
                <w:tcPr>
                  <w:tcW w:w="16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群众满意度</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w:t>
                  </w:r>
                </w:p>
              </w:tc>
              <w:tc>
                <w:tcPr>
                  <w:tcW w:w="125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95</w:t>
                  </w:r>
                </w:p>
              </w:tc>
              <w:tc>
                <w:tcPr>
                  <w:tcW w:w="39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w:t>
                  </w: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微软雅黑" w:eastAsia="微软雅黑" w:cs="微软雅黑" w:hint="eastAsia"/>
                      <w:i/>
                      <w:iCs/>
                      <w:color w:val="000000"/>
                      <w:kern w:val="0"/>
                      <w:sz w:val="16"/>
                      <w:szCs w:val="16"/>
                      <w:u w:val="none"/>
                      <w:lang w:val="en-US" w:eastAsia="zh-CN"/>
                    </w:rPr>
                    <w:t>96</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10</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8</w:t>
                  </w:r>
                </w:p>
              </w:tc>
              <w:tc>
                <w:tcPr>
                  <w:tcW w:w="1818"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pPr>
                </w:p>
              </w:tc>
            </w:tr>
            <w:tr>
              <w:trPr>
                <w:trHeight w:val="1202"/>
              </w:trPr>
              <w:tc>
                <w:tcPr>
                  <w:tcW w:w="8040"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微软雅黑" w:eastAsia="微软雅黑" w:cs="微软雅黑" w:hint="eastAsia"/>
                      <w:i/>
                      <w:iCs/>
                      <w:color w:val="000000"/>
                      <w:sz w:val="16"/>
                      <w:szCs w:val="16"/>
                      <w:u w:val="none"/>
                    </w:rPr>
                  </w:pPr>
                  <w:r>
                    <w:rPr>
                      <w:rFonts w:ascii="宋体" w:eastAsia="宋体" w:cs="宋体"/>
                      <w:i w:val="0"/>
                      <w:iCs w:val="0"/>
                      <w:color w:val="000000"/>
                      <w:kern w:val="0"/>
                      <w:sz w:val="18"/>
                      <w:szCs w:val="18"/>
                      <w:u w:val="none"/>
                      <w:lang w:val="en-US" w:eastAsia="zh-CN"/>
                    </w:rPr>
                    <w:t>100</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right"/>
                    <w:textAlignment w:val="center"/>
                  </w:pPr>
                  <w:r>
                    <w:rPr>
                      <w:rFonts w:ascii="宋体" w:eastAsia="宋体" w:cs="宋体"/>
                      <w:i w:val="0"/>
                      <w:iCs w:val="0"/>
                      <w:color w:val="000000"/>
                      <w:kern w:val="0"/>
                      <w:sz w:val="18"/>
                      <w:szCs w:val="18"/>
                      <w:u w:val="none"/>
                      <w:lang w:val="en-US" w:eastAsia="zh-CN"/>
                    </w:rPr>
                    <w:t>89</w:t>
                  </w:r>
                </w:p>
              </w:tc>
              <w:tc>
                <w:tcPr>
                  <w:tcW w:w="1818" w:type="dxa"/>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621"/>
              </w:trPr>
              <w:tc>
                <w:tcPr>
                  <w:tcW w:w="57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黑体" w:eastAsia="黑体" w:cs="黑体" w:hint="eastAsia"/>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10164"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rPr>
                      <w:rFonts w:ascii="黑体" w:eastAsia="黑体" w:cs="黑体" w:hint="eastAsia"/>
                      <w:i w:val="0"/>
                      <w:iCs w:val="0"/>
                      <w:color w:val="000000"/>
                      <w:sz w:val="18"/>
                      <w:szCs w:val="18"/>
                      <w:u w:val="none"/>
                    </w:rPr>
                  </w:pPr>
                  <w:r>
                    <w:rPr>
                      <w:rFonts w:ascii="微软雅黑" w:eastAsia="微软雅黑" w:cs="微软雅黑" w:hint="eastAsia"/>
                      <w:i/>
                      <w:iCs/>
                      <w:color w:val="000000"/>
                      <w:kern w:val="0"/>
                      <w:sz w:val="16"/>
                      <w:szCs w:val="16"/>
                      <w:u w:val="none"/>
                      <w:lang w:val="en-US" w:eastAsia="zh-CN"/>
                    </w:rPr>
                    <w:t>根据预算绩效管理相关制度的要求，结合项目绩效指标完成情况及对项目成本、项目效率、部门绩效目标实现的综合分析，项目综合评价为项目各项指标项均达到指标要求，项目实施达到预期效果。</w:t>
                  </w:r>
                </w:p>
              </w:tc>
            </w:tr>
            <w:tr>
              <w:trPr>
                <w:trHeight w:val="621"/>
              </w:trPr>
              <w:tc>
                <w:tcPr>
                  <w:tcW w:w="576" w:type="dxa"/>
                  <w:tcBorders>
                    <w:top w:val="nil"/>
                    <w:left w:val="nil"/>
                    <w:bottom w:val="nil"/>
                    <w:right w:val="nil"/>
                  </w:tcBorders>
                  <w:shd w:val="clear" w:color="auto" w:fill="auto"/>
                  <w:vAlign w:val="center"/>
                </w:tcPr>
                <w:p>
                  <w:pPr>
                    <w:keepNext w:val="0"/>
                    <w:keepLines w:val="0"/>
                    <w:widowControl/>
                    <w:suppressLineNumbers w:val="0"/>
                    <w:suppressAutoHyphens/>
                    <w:jc w:val="center"/>
                    <w:textAlignment w:val="center"/>
                    <w:rPr>
                      <w:rFonts w:ascii="宋体" w:eastAsia="宋体" w:cs="宋体" w:hint="eastAsia"/>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10164" w:type="dxa"/>
                  <w:gridSpan w:val="10"/>
                  <w:tcBorders>
                    <w:top w:val="nil"/>
                    <w:left w:val="nil"/>
                    <w:bottom w:val="nil"/>
                    <w:right w:val="nil"/>
                  </w:tcBorders>
                  <w:shd w:val="clear" w:color="auto" w:fill="auto"/>
                  <w:vAlign w:val="center"/>
                </w:tcPr>
                <w:p>
                  <w:pPr>
                    <w:keepNext w:val="0"/>
                    <w:keepLines w:val="0"/>
                    <w:widowControl/>
                    <w:suppressLineNumbers w:val="0"/>
                    <w:suppressAutoHyphens/>
                    <w:jc w:val="left"/>
                    <w:textAlignment w:val="center"/>
                    <w:rPr>
                      <w:rFonts w:ascii="宋体" w:eastAsia="宋体" w:cs="宋体" w:hint="eastAsia"/>
                      <w:i w:val="0"/>
                      <w:iCs w:val="0"/>
                      <w:color w:val="000000"/>
                      <w:sz w:val="18"/>
                      <w:szCs w:val="18"/>
                      <w:u w:val="none"/>
                    </w:rPr>
                  </w:pPr>
                  <w:r>
                    <w:rPr>
                      <w:rFonts w:ascii="微软雅黑" w:eastAsia="微软雅黑" w:cs="微软雅黑" w:hint="eastAsia"/>
                      <w:i/>
                      <w:iCs/>
                      <w:color w:val="000000"/>
                      <w:kern w:val="0"/>
                      <w:sz w:val="16"/>
                      <w:szCs w:val="16"/>
                      <w:u w:val="none"/>
                      <w:lang w:val="en-US" w:eastAsia="zh-CN"/>
                    </w:rPr>
                    <w:t>由于对支出绩效评价工作的重要性还认识不够，因此对绩效评价工作的重视度还不够，部分项目支出绩效指标无法用量化指标来进行考评。</w:t>
                  </w:r>
                </w:p>
              </w:tc>
            </w:tr>
            <w:tr>
              <w:trPr>
                <w:trHeight w:val="1248"/>
              </w:trPr>
              <w:tc>
                <w:tcPr>
                  <w:tcW w:w="57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黑体" w:eastAsia="黑体" w:cs="黑体" w:hint="eastAsia"/>
                      <w:b/>
                      <w:bCs/>
                      <w:i w:val="0"/>
                      <w:iCs w:val="0"/>
                      <w:color w:val="000000"/>
                      <w:sz w:val="30"/>
                      <w:szCs w:val="30"/>
                      <w:u w:val="none"/>
                    </w:rPr>
                  </w:pPr>
                  <w:r>
                    <w:rPr>
                      <w:rFonts w:ascii="宋体" w:eastAsia="宋体" w:cs="宋体"/>
                      <w:i w:val="0"/>
                      <w:iCs w:val="0"/>
                      <w:color w:val="000000"/>
                      <w:kern w:val="0"/>
                      <w:sz w:val="18"/>
                      <w:szCs w:val="18"/>
                      <w:u w:val="none"/>
                      <w:lang w:val="en-US" w:eastAsia="zh-CN"/>
                    </w:rPr>
                    <w:t>改进措施</w:t>
                  </w:r>
                </w:p>
              </w:tc>
              <w:tc>
                <w:tcPr>
                  <w:tcW w:w="10164"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pPr>
                  <w:r>
                    <w:rPr>
                      <w:rFonts w:ascii="微软雅黑" w:eastAsia="微软雅黑" w:cs="微软雅黑" w:hint="eastAsia"/>
                      <w:i/>
                      <w:iCs/>
                      <w:color w:val="000000"/>
                      <w:kern w:val="0"/>
                      <w:sz w:val="16"/>
                      <w:szCs w:val="16"/>
                      <w:u w:val="none"/>
                      <w:lang w:val="en-US" w:eastAsia="zh-CN"/>
                    </w:rPr>
                    <w:t>针对存在的问题，我们将进一步科学设定绩效目标，加强预算执行管理。遵循先有预算、后有支出的原则，加强《新预算法》、《政府会计制度》等学习培训，规范部门预算收支核算，加强财务管理和内部控制监督制度。</w:t>
                  </w:r>
                </w:p>
              </w:tc>
            </w:tr>
            <w:tr>
              <w:trPr>
                <w:trHeight w:val="621"/>
              </w:trPr>
              <w:tc>
                <w:tcPr>
                  <w:tcW w:w="5285"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rPr>
                      <w:rFonts w:ascii="宋体" w:eastAsia="宋体" w:cs="宋体"/>
                      <w:i w:val="0"/>
                      <w:iCs w:val="0"/>
                      <w:color w:val="000000"/>
                      <w:sz w:val="18"/>
                      <w:szCs w:val="18"/>
                      <w:u w:val="none"/>
                    </w:rPr>
                  </w:pPr>
                  <w:r>
                    <w:rPr>
                      <w:rFonts w:ascii="黑体" w:eastAsia="黑体" w:cs="黑体" w:hint="eastAsia"/>
                      <w:i w:val="0"/>
                      <w:iCs w:val="0"/>
                      <w:color w:val="000000"/>
                      <w:kern w:val="0"/>
                      <w:sz w:val="18"/>
                      <w:szCs w:val="18"/>
                      <w:u w:val="none"/>
                      <w:lang w:val="en-US" w:eastAsia="zh-CN"/>
                    </w:rPr>
                    <w:t>项目负责人：何星雄</w:t>
                  </w:r>
                </w:p>
              </w:tc>
              <w:tc>
                <w:tcPr>
                  <w:tcW w:w="5455"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rPr>
                      <w:rFonts w:ascii="宋体" w:eastAsia="宋体" w:cs="宋体"/>
                      <w:i w:val="0"/>
                      <w:iCs w:val="0"/>
                      <w:color w:val="000000"/>
                      <w:sz w:val="18"/>
                      <w:szCs w:val="18"/>
                      <w:u w:val="none"/>
                    </w:rPr>
                  </w:pPr>
                  <w:r>
                    <w:rPr>
                      <w:rFonts w:ascii="黑体" w:eastAsia="黑体" w:cs="黑体" w:hint="eastAsia"/>
                      <w:i w:val="0"/>
                      <w:iCs w:val="0"/>
                      <w:color w:val="000000"/>
                      <w:kern w:val="0"/>
                      <w:sz w:val="18"/>
                      <w:szCs w:val="18"/>
                      <w:u w:val="none"/>
                      <w:lang w:val="en-US" w:eastAsia="zh-CN"/>
                    </w:rPr>
                    <w:t>财务负责人：蒲哇泽哩</w:t>
                  </w:r>
                </w:p>
              </w:tc>
            </w:tr>
            <w:tr>
              <w:trPr>
                <w:trHeight w:val="1777"/>
              </w:trPr>
              <w:tc>
                <w:tcPr>
                  <w:tcW w:w="576"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eastAsia="宋体" w:cs="宋体"/>
                      <w:i w:val="0"/>
                      <w:iCs w:val="0"/>
                      <w:color w:val="000000"/>
                      <w:sz w:val="18"/>
                      <w:szCs w:val="18"/>
                      <w:u w:val="none"/>
                    </w:rPr>
                  </w:pPr>
                </w:p>
              </w:tc>
              <w:tc>
                <w:tcPr>
                  <w:tcW w:w="1445" w:type="dxa"/>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259"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eastAsia="宋体" w:cs="宋体"/>
                      <w:i w:val="0"/>
                      <w:iCs w:val="0"/>
                      <w:color w:val="000000"/>
                      <w:sz w:val="18"/>
                      <w:szCs w:val="18"/>
                      <w:u w:val="none"/>
                    </w:rPr>
                  </w:pPr>
                </w:p>
              </w:tc>
              <w:tc>
                <w:tcPr>
                  <w:tcW w:w="1609" w:type="dxa"/>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258" w:type="dxa"/>
                  <w:tcBorders>
                    <w:top w:val="nil"/>
                    <w:left w:val="nil"/>
                    <w:bottom w:val="nil"/>
                    <w:right w:val="nil"/>
                  </w:tcBorders>
                  <w:shd w:val="clear" w:color="auto" w:fill="auto"/>
                  <w:vAlign w:val="center"/>
                </w:tcPr>
                <w:p>
                  <w:pPr>
                    <w:rPr>
                      <w:rFonts w:ascii="黑体" w:eastAsia="黑体" w:cs="黑体" w:hint="eastAsia"/>
                      <w:i w:val="0"/>
                      <w:iCs w:val="0"/>
                      <w:color w:val="000000"/>
                      <w:sz w:val="18"/>
                      <w:szCs w:val="18"/>
                      <w:u w:val="none"/>
                    </w:rPr>
                  </w:pPr>
                </w:p>
              </w:tc>
              <w:tc>
                <w:tcPr>
                  <w:tcW w:w="398"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eastAsia="宋体" w:cs="宋体"/>
                      <w:i w:val="0"/>
                      <w:iCs w:val="0"/>
                      <w:color w:val="000000"/>
                      <w:sz w:val="18"/>
                      <w:szCs w:val="18"/>
                      <w:u w:val="none"/>
                    </w:rPr>
                  </w:pP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818" w:type="dxa"/>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621"/>
              </w:trPr>
              <w:tc>
                <w:tcPr>
                  <w:tcW w:w="10740" w:type="dxa"/>
                  <w:gridSpan w:val="11"/>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黑体" w:eastAsia="黑体" w:cs="黑体" w:hint="eastAsia"/>
                      <w:i w:val="0"/>
                      <w:iCs w:val="0"/>
                      <w:color w:val="000000"/>
                      <w:sz w:val="18"/>
                      <w:szCs w:val="18"/>
                      <w:u w:val="none"/>
                    </w:rPr>
                  </w:pPr>
                  <w:r>
                    <w:rPr>
                      <w:rFonts w:ascii="黑体" w:eastAsia="黑体" w:cs="黑体" w:hint="eastAsia"/>
                      <w:b/>
                      <w:bCs/>
                      <w:i w:val="0"/>
                      <w:iCs w:val="0"/>
                      <w:color w:val="000000"/>
                      <w:kern w:val="0"/>
                      <w:sz w:val="30"/>
                      <w:szCs w:val="30"/>
                      <w:u w:val="none"/>
                      <w:lang w:val="en-US" w:eastAsia="zh-CN"/>
                    </w:rPr>
                    <w:t>部门预算项目支出绩效自评表（2025年度）</w:t>
                  </w:r>
                </w:p>
              </w:tc>
            </w:tr>
            <w:tr>
              <w:trPr>
                <w:trHeight w:val="1777"/>
              </w:trPr>
              <w:tc>
                <w:tcPr>
                  <w:tcW w:w="202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rPr>
                      <w:rFonts w:ascii="宋体" w:eastAsia="宋体" w:cs="宋体" w:hint="eastAsia"/>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8719"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rPr>
                      <w:rFonts w:ascii="黑体" w:eastAsia="黑体" w:cs="黑体" w:hint="eastAsia"/>
                      <w:i w:val="0"/>
                      <w:iCs w:val="0"/>
                      <w:color w:val="000000"/>
                      <w:sz w:val="18"/>
                      <w:szCs w:val="18"/>
                      <w:u w:val="none"/>
                    </w:rPr>
                  </w:pPr>
                  <w:r>
                    <w:rPr>
                      <w:rFonts w:ascii="宋体" w:eastAsia="宋体" w:cs="宋体"/>
                      <w:i w:val="0"/>
                      <w:iCs w:val="0"/>
                      <w:color w:val="000000"/>
                      <w:kern w:val="0"/>
                      <w:sz w:val="18"/>
                      <w:szCs w:val="18"/>
                      <w:u w:val="none"/>
                      <w:lang w:val="en-US" w:eastAsia="zh-CN"/>
                    </w:rPr>
                    <w:t>51322323T000008906107-元旦新春慰问金</w:t>
                  </w:r>
                </w:p>
              </w:tc>
            </w:tr>
            <w:tr>
              <w:trPr>
                <w:trHeight w:val="1777"/>
              </w:trPr>
              <w:tc>
                <w:tcPr>
                  <w:tcW w:w="202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4920"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茂县公安局本级</w:t>
                  </w: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pPr>
                  <w:r>
                    <w:rPr>
                      <w:rFonts w:ascii="黑体" w:eastAsia="黑体" w:cs="黑体" w:hint="eastAsia"/>
                      <w:i w:val="0"/>
                      <w:iCs w:val="0"/>
                      <w:color w:val="000000"/>
                      <w:kern w:val="0"/>
                      <w:sz w:val="18"/>
                      <w:szCs w:val="18"/>
                      <w:u w:val="none"/>
                      <w:lang w:val="en-US" w:eastAsia="zh-CN"/>
                    </w:rPr>
                    <w:t>实施单位 （盖章）</w:t>
                  </w:r>
                </w:p>
              </w:tc>
              <w:tc>
                <w:tcPr>
                  <w:tcW w:w="270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茂县公安局</w:t>
                  </w:r>
                </w:p>
              </w:tc>
            </w:tr>
            <w:tr>
              <w:trPr>
                <w:trHeight w:val="1202"/>
              </w:trPr>
              <w:tc>
                <w:tcPr>
                  <w:tcW w:w="5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144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4920"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3799"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黑体" w:eastAsia="黑体" w:cs="黑体" w:hint="eastAsia"/>
                      <w:i w:val="0"/>
                      <w:iCs w:val="0"/>
                      <w:color w:val="000000"/>
                      <w:kern w:val="0"/>
                      <w:sz w:val="18"/>
                      <w:szCs w:val="18"/>
                      <w:u w:val="none"/>
                      <w:lang w:val="en-US" w:eastAsia="zh-CN"/>
                    </w:rPr>
                    <w:t>年度目标完成情况</w:t>
                  </w:r>
                </w:p>
              </w:tc>
            </w:tr>
            <w:tr>
              <w:trPr>
                <w:trHeight w:val="621"/>
              </w:trPr>
              <w:tc>
                <w:tcPr>
                  <w:tcW w:w="5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4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4920"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深入推进扫黑除恶专项斗争、依法打击违法犯罪、大力整治社会治安乱点、持续强化安全生产监管、优化夯实服务社会民生、全力维护社会稳定、积极守护人民群众新时代的美好生活。</w:t>
                  </w:r>
                </w:p>
              </w:tc>
              <w:tc>
                <w:tcPr>
                  <w:tcW w:w="3799"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rPr>
                      <w:rFonts w:ascii="黑体" w:eastAsia="黑体" w:cs="黑体" w:hint="eastAsia"/>
                      <w:i/>
                      <w:iCs/>
                      <w:color w:val="000000"/>
                      <w:sz w:val="18"/>
                      <w:szCs w:val="18"/>
                      <w:u w:val="none"/>
                    </w:rPr>
                  </w:pPr>
                  <w:r>
                    <w:rPr>
                      <w:rFonts w:ascii="黑体" w:eastAsia="黑体" w:cs="黑体" w:hint="eastAsia"/>
                      <w:i w:val="0"/>
                      <w:iCs w:val="0"/>
                      <w:color w:val="000000"/>
                      <w:kern w:val="0"/>
                      <w:sz w:val="18"/>
                      <w:szCs w:val="18"/>
                      <w:u w:val="none"/>
                      <w:lang w:val="en-US" w:eastAsia="zh-CN"/>
                    </w:rPr>
                    <w:t>慰问各基层所队，全力维护社会稳定、积极守护人民群众新时代的美好生活。</w:t>
                  </w:r>
                </w:p>
              </w:tc>
            </w:tr>
            <w:tr>
              <w:trPr>
                <w:trHeight w:val="621"/>
              </w:trPr>
              <w:tc>
                <w:tcPr>
                  <w:tcW w:w="5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4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8719"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rPr>
                      <w:rFonts w:ascii="黑体" w:eastAsia="黑体" w:cs="黑体" w:hint="eastAsia"/>
                      <w:i/>
                      <w:iCs/>
                      <w:color w:val="000000"/>
                      <w:sz w:val="18"/>
                      <w:szCs w:val="18"/>
                      <w:u w:val="none"/>
                    </w:rPr>
                  </w:pPr>
                  <w:r>
                    <w:rPr>
                      <w:rFonts w:ascii="宋体" w:eastAsia="宋体" w:cs="宋体"/>
                      <w:i w:val="0"/>
                      <w:iCs w:val="0"/>
                      <w:color w:val="000000"/>
                      <w:kern w:val="0"/>
                      <w:sz w:val="18"/>
                      <w:szCs w:val="18"/>
                      <w:u w:val="none"/>
                      <w:lang w:val="en-US" w:eastAsia="zh-CN"/>
                    </w:rPr>
                    <w:t>慰问各基层所队。</w:t>
                  </w:r>
                </w:p>
              </w:tc>
            </w:tr>
            <w:tr>
              <w:trPr>
                <w:trHeight w:val="1194"/>
              </w:trPr>
              <w:tc>
                <w:tcPr>
                  <w:tcW w:w="5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hint="eastAsia"/>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144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125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16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205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181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黑体" w:eastAsia="黑体" w:cs="黑体" w:hint="eastAsia"/>
                      <w:i/>
                      <w:iCs/>
                      <w:color w:val="000000"/>
                      <w:sz w:val="18"/>
                      <w:szCs w:val="18"/>
                      <w:u w:val="none"/>
                    </w:rPr>
                  </w:pPr>
                  <w:r>
                    <w:rPr>
                      <w:rFonts w:ascii="宋体" w:eastAsia="宋体" w:cs="宋体"/>
                      <w:i w:val="0"/>
                      <w:iCs w:val="0"/>
                      <w:color w:val="000000"/>
                      <w:kern w:val="0"/>
                      <w:sz w:val="18"/>
                      <w:szCs w:val="18"/>
                      <w:u w:val="none"/>
                      <w:lang w:val="en-US" w:eastAsia="zh-CN"/>
                    </w:rPr>
                    <w:t>原因</w:t>
                  </w:r>
                </w:p>
              </w:tc>
            </w:tr>
            <w:tr>
              <w:trPr>
                <w:trHeight w:val="621"/>
              </w:trPr>
              <w:tc>
                <w:tcPr>
                  <w:tcW w:w="5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4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125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6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1.80</w:t>
                  </w:r>
                </w:p>
              </w:tc>
              <w:tc>
                <w:tcPr>
                  <w:tcW w:w="205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1.80</w:t>
                  </w: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宋体" w:eastAsia="宋体" w:cs="宋体"/>
                      <w:i w:val="0"/>
                      <w:iCs w:val="0"/>
                      <w:color w:val="000000"/>
                      <w:sz w:val="18"/>
                      <w:szCs w:val="18"/>
                      <w:u w:val="none"/>
                    </w:rPr>
                  </w:pPr>
                </w:p>
              </w:tc>
              <w:tc>
                <w:tcPr>
                  <w:tcW w:w="181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rPr>
                      <w:rFonts w:ascii="黑体" w:eastAsia="黑体" w:cs="黑体" w:hint="eastAsia"/>
                      <w:i/>
                      <w:iCs/>
                      <w:color w:val="000000"/>
                      <w:sz w:val="18"/>
                      <w:szCs w:val="18"/>
                      <w:u w:val="none"/>
                    </w:rPr>
                  </w:pPr>
                  <w:r>
                    <w:rPr>
                      <w:rFonts w:ascii="黑体" w:eastAsia="黑体" w:cs="黑体" w:hint="eastAsia"/>
                      <w:i/>
                      <w:iCs/>
                      <w:color w:val="000000"/>
                      <w:kern w:val="0"/>
                      <w:sz w:val="18"/>
                      <w:szCs w:val="18"/>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trPr>
                <w:trHeight w:val="3462"/>
              </w:trPr>
              <w:tc>
                <w:tcPr>
                  <w:tcW w:w="5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4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125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微软雅黑" w:eastAsia="微软雅黑" w:cs="微软雅黑" w:hint="eastAsia"/>
                      <w:i/>
                      <w:iCs/>
                      <w:color w:val="000000"/>
                      <w:sz w:val="16"/>
                      <w:szCs w:val="16"/>
                      <w:u w:val="none"/>
                    </w:rPr>
                  </w:pPr>
                  <w:r>
                    <w:rPr>
                      <w:rFonts w:ascii="宋体" w:eastAsia="宋体" w:cs="宋体"/>
                      <w:i w:val="0"/>
                      <w:iCs w:val="0"/>
                      <w:color w:val="000000"/>
                      <w:kern w:val="0"/>
                      <w:sz w:val="18"/>
                      <w:szCs w:val="18"/>
                      <w:u w:val="none"/>
                      <w:lang w:val="en-US" w:eastAsia="zh-CN"/>
                    </w:rPr>
                    <w:t>0.00</w:t>
                  </w:r>
                </w:p>
              </w:tc>
              <w:tc>
                <w:tcPr>
                  <w:tcW w:w="16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微软雅黑" w:eastAsia="微软雅黑" w:cs="微软雅黑" w:hint="eastAsia"/>
                      <w:i/>
                      <w:iCs/>
                      <w:color w:val="000000"/>
                      <w:sz w:val="16"/>
                      <w:szCs w:val="16"/>
                      <w:u w:val="none"/>
                    </w:rPr>
                  </w:pPr>
                  <w:r>
                    <w:rPr>
                      <w:rFonts w:ascii="宋体" w:eastAsia="宋体" w:cs="宋体"/>
                      <w:i w:val="0"/>
                      <w:iCs w:val="0"/>
                      <w:color w:val="000000"/>
                      <w:kern w:val="0"/>
                      <w:sz w:val="18"/>
                      <w:szCs w:val="18"/>
                      <w:u w:val="none"/>
                      <w:lang w:val="en-US" w:eastAsia="zh-CN"/>
                    </w:rPr>
                    <w:t>1.80</w:t>
                  </w:r>
                </w:p>
              </w:tc>
              <w:tc>
                <w:tcPr>
                  <w:tcW w:w="205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微软雅黑" w:eastAsia="微软雅黑" w:cs="微软雅黑" w:hint="eastAsia"/>
                      <w:i/>
                      <w:iCs/>
                      <w:color w:val="000000"/>
                      <w:sz w:val="16"/>
                      <w:szCs w:val="16"/>
                      <w:u w:val="none"/>
                    </w:rPr>
                  </w:pPr>
                  <w:r>
                    <w:rPr>
                      <w:rFonts w:ascii="宋体" w:eastAsia="宋体" w:cs="宋体"/>
                      <w:i w:val="0"/>
                      <w:iCs w:val="0"/>
                      <w:color w:val="000000"/>
                      <w:kern w:val="0"/>
                      <w:sz w:val="18"/>
                      <w:szCs w:val="18"/>
                      <w:u w:val="none"/>
                      <w:lang w:val="en-US" w:eastAsia="zh-CN"/>
                    </w:rPr>
                    <w:t>1.80</w:t>
                  </w: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微软雅黑" w:eastAsia="微软雅黑" w:cs="微软雅黑" w:hint="eastAsia"/>
                      <w:i/>
                      <w:iCs/>
                      <w:color w:val="000000"/>
                      <w:sz w:val="16"/>
                      <w:szCs w:val="16"/>
                      <w:u w:val="none"/>
                    </w:rPr>
                  </w:pPr>
                  <w:r>
                    <w:rPr>
                      <w:rFonts w:ascii="宋体" w:eastAsia="宋体" w:cs="宋体"/>
                      <w:i w:val="0"/>
                      <w:iCs w:val="0"/>
                      <w:color w:val="000000"/>
                      <w:kern w:val="0"/>
                      <w:sz w:val="18"/>
                      <w:szCs w:val="18"/>
                      <w:u w:val="none"/>
                      <w:lang w:val="en-US" w:eastAsia="zh-CN"/>
                    </w:rPr>
                    <w:t>100.00%</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8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2362"/>
              </w:trPr>
              <w:tc>
                <w:tcPr>
                  <w:tcW w:w="5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4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125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6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05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8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1183"/>
              </w:trPr>
              <w:tc>
                <w:tcPr>
                  <w:tcW w:w="5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4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125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6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05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微软雅黑" w:eastAsia="微软雅黑" w:cs="微软雅黑" w:hint="eastAsia"/>
                      <w:i/>
                      <w:iCs/>
                      <w:color w:val="000000"/>
                      <w:sz w:val="16"/>
                      <w:szCs w:val="16"/>
                      <w:u w:val="none"/>
                    </w:rPr>
                  </w:pPr>
                  <w:r>
                    <w:rPr>
                      <w:rFonts w:ascii="宋体" w:eastAsia="宋体" w:cs="宋体"/>
                      <w:i w:val="0"/>
                      <w:iCs w:val="0"/>
                      <w:color w:val="000000"/>
                      <w:kern w:val="0"/>
                      <w:sz w:val="18"/>
                      <w:szCs w:val="18"/>
                      <w:u w:val="none"/>
                      <w:lang w:val="en-US" w:eastAsia="zh-CN"/>
                    </w:rPr>
                    <w:t>0.00%</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8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1202"/>
              </w:trPr>
              <w:tc>
                <w:tcPr>
                  <w:tcW w:w="5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4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hint="eastAsia"/>
                      <w:i w:val="0"/>
                      <w:iCs w:val="0"/>
                      <w:color w:val="000000"/>
                      <w:sz w:val="18"/>
                      <w:szCs w:val="18"/>
                      <w:u w:val="none"/>
                    </w:rPr>
                  </w:pPr>
                  <w:r>
                    <w:rPr>
                      <w:rFonts w:ascii="宋体" w:eastAsia="宋体" w:cs="宋体"/>
                      <w:i w:val="0"/>
                      <w:iCs w:val="0"/>
                      <w:color w:val="000000"/>
                      <w:kern w:val="0"/>
                      <w:sz w:val="18"/>
                      <w:szCs w:val="18"/>
                      <w:u w:val="none"/>
                      <w:lang w:val="en-US" w:eastAsia="zh-CN"/>
                    </w:rPr>
                    <w:t>其他资金</w:t>
                  </w:r>
                </w:p>
              </w:tc>
              <w:tc>
                <w:tcPr>
                  <w:tcW w:w="1259"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宋体" w:eastAsia="宋体" w:cs="宋体"/>
                      <w:i w:val="0"/>
                      <w:iCs w:val="0"/>
                      <w:color w:val="000000"/>
                      <w:sz w:val="18"/>
                      <w:szCs w:val="18"/>
                      <w:u w:val="none"/>
                    </w:rPr>
                  </w:pPr>
                </w:p>
              </w:tc>
              <w:tc>
                <w:tcPr>
                  <w:tcW w:w="1609"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宋体" w:eastAsia="宋体" w:cs="宋体"/>
                      <w:i w:val="0"/>
                      <w:iCs w:val="0"/>
                      <w:color w:val="000000"/>
                      <w:sz w:val="18"/>
                      <w:szCs w:val="18"/>
                      <w:u w:val="none"/>
                    </w:rPr>
                  </w:pPr>
                </w:p>
              </w:tc>
              <w:tc>
                <w:tcPr>
                  <w:tcW w:w="205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宋体" w:eastAsia="宋体" w:cs="宋体" w:hint="eastAsia"/>
                      <w:i w:val="0"/>
                      <w:iCs w:val="0"/>
                      <w:color w:val="000000"/>
                      <w:sz w:val="18"/>
                      <w:szCs w:val="18"/>
                      <w:u w:val="none"/>
                    </w:rPr>
                  </w:pP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lang w:val="en-US"/>
                    </w:rPr>
                  </w:pPr>
                  <w:r>
                    <w:rPr>
                      <w:rFonts w:ascii="宋体" w:eastAsia="宋体" w:cs="宋体"/>
                      <w:i w:val="0"/>
                      <w:iCs w:val="0"/>
                      <w:color w:val="000000"/>
                      <w:kern w:val="0"/>
                      <w:sz w:val="18"/>
                      <w:szCs w:val="18"/>
                      <w:u w:val="none"/>
                      <w:lang w:val="en-US" w:eastAsia="zh-CN"/>
                    </w:rPr>
                    <w:t>/</w:t>
                  </w:r>
                </w:p>
              </w:tc>
              <w:tc>
                <w:tcPr>
                  <w:tcW w:w="18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1183"/>
              </w:trPr>
              <w:tc>
                <w:tcPr>
                  <w:tcW w:w="5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hint="eastAsia"/>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144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hint="eastAsia"/>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125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16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125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39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微软雅黑" w:eastAsia="微软雅黑" w:cs="微软雅黑" w:hint="eastAsia"/>
                      <w:i/>
                      <w:iCs/>
                      <w:color w:val="000000"/>
                      <w:sz w:val="16"/>
                      <w:szCs w:val="16"/>
                      <w:u w:val="none"/>
                    </w:rPr>
                  </w:pPr>
                  <w:r>
                    <w:rPr>
                      <w:rFonts w:ascii="宋体" w:eastAsia="宋体" w:cs="宋体"/>
                      <w:i w:val="0"/>
                      <w:iCs w:val="0"/>
                      <w:color w:val="000000"/>
                      <w:kern w:val="0"/>
                      <w:sz w:val="18"/>
                      <w:szCs w:val="18"/>
                      <w:u w:val="none"/>
                      <w:lang w:val="en-US" w:eastAsia="zh-CN"/>
                    </w:rPr>
                    <w:t>度量单位</w:t>
                  </w: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权重</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lang w:val="en-US"/>
                    </w:rPr>
                  </w:pPr>
                  <w:r>
                    <w:rPr>
                      <w:rFonts w:ascii="宋体" w:eastAsia="宋体" w:cs="宋体"/>
                      <w:i w:val="0"/>
                      <w:iCs w:val="0"/>
                      <w:color w:val="000000"/>
                      <w:kern w:val="0"/>
                      <w:sz w:val="18"/>
                      <w:szCs w:val="18"/>
                      <w:u w:val="none"/>
                      <w:lang w:val="en-US" w:eastAsia="zh-CN"/>
                    </w:rPr>
                    <w:t>得分</w:t>
                  </w:r>
                </w:p>
              </w:tc>
              <w:tc>
                <w:tcPr>
                  <w:tcW w:w="181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微软雅黑" w:eastAsia="微软雅黑" w:cs="微软雅黑" w:hint="eastAsia"/>
                      <w:i/>
                      <w:iCs/>
                      <w:color w:val="000000"/>
                      <w:sz w:val="16"/>
                      <w:szCs w:val="16"/>
                      <w:u w:val="none"/>
                    </w:rPr>
                  </w:pPr>
                  <w:r>
                    <w:rPr>
                      <w:rFonts w:ascii="宋体" w:eastAsia="宋体" w:cs="宋体"/>
                      <w:i w:val="0"/>
                      <w:iCs w:val="0"/>
                      <w:color w:val="000000"/>
                      <w:kern w:val="0"/>
                      <w:sz w:val="18"/>
                      <w:szCs w:val="18"/>
                      <w:u w:val="none"/>
                      <w:lang w:val="en-US" w:eastAsia="zh-CN"/>
                    </w:rPr>
                    <w:t>未完成原因分析</w:t>
                  </w:r>
                </w:p>
              </w:tc>
            </w:tr>
            <w:tr>
              <w:trPr>
                <w:trHeight w:val="1202"/>
              </w:trPr>
              <w:tc>
                <w:tcPr>
                  <w:tcW w:w="5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4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125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16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慰问民辅警人数</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25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hint="eastAsia"/>
                      <w:i w:val="0"/>
                      <w:iCs w:val="0"/>
                      <w:color w:val="000000"/>
                      <w:sz w:val="18"/>
                      <w:szCs w:val="18"/>
                      <w:u w:val="none"/>
                    </w:rPr>
                  </w:pPr>
                  <w:r>
                    <w:rPr>
                      <w:rFonts w:ascii="宋体" w:eastAsia="宋体" w:cs="宋体"/>
                      <w:i w:val="0"/>
                      <w:iCs w:val="0"/>
                      <w:color w:val="000000"/>
                      <w:kern w:val="0"/>
                      <w:sz w:val="18"/>
                      <w:szCs w:val="18"/>
                      <w:u w:val="none"/>
                      <w:lang w:val="en-US" w:eastAsia="zh-CN"/>
                    </w:rPr>
                    <w:t>200</w:t>
                  </w:r>
                </w:p>
              </w:tc>
              <w:tc>
                <w:tcPr>
                  <w:tcW w:w="39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微软雅黑" w:eastAsia="微软雅黑" w:cs="微软雅黑" w:hint="eastAsia"/>
                      <w:i/>
                      <w:iCs/>
                      <w:color w:val="000000"/>
                      <w:sz w:val="16"/>
                      <w:szCs w:val="16"/>
                      <w:u w:val="none"/>
                    </w:rPr>
                  </w:pPr>
                  <w:r>
                    <w:rPr>
                      <w:rFonts w:ascii="宋体" w:eastAsia="宋体" w:cs="宋体"/>
                      <w:i w:val="0"/>
                      <w:iCs w:val="0"/>
                      <w:color w:val="000000"/>
                      <w:kern w:val="0"/>
                      <w:sz w:val="18"/>
                      <w:szCs w:val="18"/>
                      <w:u w:val="none"/>
                      <w:lang w:val="en-US" w:eastAsia="zh-CN"/>
                    </w:rPr>
                    <w:t>人</w:t>
                  </w: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微软雅黑" w:eastAsia="微软雅黑" w:cs="微软雅黑" w:hint="eastAsia"/>
                      <w:i/>
                      <w:iCs/>
                      <w:color w:val="000000"/>
                      <w:kern w:val="0"/>
                      <w:sz w:val="16"/>
                      <w:szCs w:val="16"/>
                      <w:u w:val="none"/>
                      <w:lang w:val="en-US" w:eastAsia="zh-CN"/>
                    </w:rPr>
                    <w:t>200</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10</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lang w:val="en-US"/>
                    </w:rPr>
                  </w:pPr>
                  <w:r>
                    <w:rPr>
                      <w:rFonts w:ascii="宋体" w:eastAsia="宋体" w:cs="宋体"/>
                      <w:i w:val="0"/>
                      <w:iCs w:val="0"/>
                      <w:color w:val="000000"/>
                      <w:kern w:val="0"/>
                      <w:sz w:val="18"/>
                      <w:szCs w:val="18"/>
                      <w:u w:val="none"/>
                      <w:lang w:val="en-US" w:eastAsia="zh-CN"/>
                    </w:rPr>
                    <w:t>7</w:t>
                  </w:r>
                </w:p>
              </w:tc>
              <w:tc>
                <w:tcPr>
                  <w:tcW w:w="1818"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r>
            <w:tr>
              <w:trPr>
                <w:trHeight w:val="1777"/>
              </w:trPr>
              <w:tc>
                <w:tcPr>
                  <w:tcW w:w="5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4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25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6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经费支出合规率</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25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98</w:t>
                  </w:r>
                </w:p>
              </w:tc>
              <w:tc>
                <w:tcPr>
                  <w:tcW w:w="39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微软雅黑" w:eastAsia="微软雅黑" w:cs="微软雅黑" w:hint="eastAsia"/>
                      <w:i/>
                      <w:iCs/>
                      <w:color w:val="000000"/>
                      <w:sz w:val="16"/>
                      <w:szCs w:val="16"/>
                      <w:u w:val="none"/>
                    </w:rPr>
                  </w:pPr>
                  <w:r>
                    <w:rPr>
                      <w:rFonts w:ascii="宋体" w:eastAsia="宋体" w:cs="宋体"/>
                      <w:i w:val="0"/>
                      <w:iCs w:val="0"/>
                      <w:color w:val="000000"/>
                      <w:kern w:val="0"/>
                      <w:sz w:val="18"/>
                      <w:szCs w:val="18"/>
                      <w:u w:val="none"/>
                      <w:lang w:val="en-US" w:eastAsia="zh-CN"/>
                    </w:rPr>
                    <w:t>%</w:t>
                  </w: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微软雅黑" w:eastAsia="微软雅黑" w:cs="微软雅黑" w:hint="eastAsia"/>
                      <w:i/>
                      <w:iCs/>
                      <w:color w:val="000000"/>
                      <w:kern w:val="0"/>
                      <w:sz w:val="16"/>
                      <w:szCs w:val="16"/>
                      <w:u w:val="none"/>
                      <w:lang w:val="en-US" w:eastAsia="zh-CN"/>
                    </w:rPr>
                    <w:t>100</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10</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1818"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r>
            <w:tr>
              <w:trPr>
                <w:trHeight w:val="1194"/>
              </w:trPr>
              <w:tc>
                <w:tcPr>
                  <w:tcW w:w="5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4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25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质量指标</w:t>
                  </w:r>
                </w:p>
              </w:tc>
              <w:tc>
                <w:tcPr>
                  <w:tcW w:w="16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深入推进扫黑除恶专项斗争、依法打击违法犯罪、大力整治社会治安乱点、持续强化安全生产监管、优化夯实服务社会民生、全力维护社会稳定、积极守护人民群众新时代的美好生活。</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125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良好</w:t>
                  </w:r>
                </w:p>
              </w:tc>
              <w:tc>
                <w:tcPr>
                  <w:tcW w:w="398"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微软雅黑" w:eastAsia="微软雅黑" w:cs="微软雅黑" w:hint="eastAsia"/>
                      <w:i/>
                      <w:iCs/>
                      <w:color w:val="000000"/>
                      <w:kern w:val="0"/>
                      <w:sz w:val="16"/>
                      <w:szCs w:val="16"/>
                      <w:u w:val="none"/>
                      <w:lang w:val="en-US" w:eastAsia="zh-CN"/>
                    </w:rPr>
                    <w:t>良好</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5</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6</w:t>
                  </w:r>
                </w:p>
              </w:tc>
              <w:tc>
                <w:tcPr>
                  <w:tcW w:w="1818"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r>
            <w:tr>
              <w:trPr>
                <w:trHeight w:val="1202"/>
              </w:trPr>
              <w:tc>
                <w:tcPr>
                  <w:tcW w:w="5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4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25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6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确保公安工作顺利进行</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125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良好</w:t>
                  </w:r>
                </w:p>
              </w:tc>
              <w:tc>
                <w:tcPr>
                  <w:tcW w:w="398"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微软雅黑" w:eastAsia="微软雅黑" w:cs="微软雅黑" w:hint="eastAsia"/>
                      <w:i/>
                      <w:iCs/>
                      <w:color w:val="000000"/>
                      <w:kern w:val="0"/>
                      <w:sz w:val="16"/>
                      <w:szCs w:val="16"/>
                      <w:u w:val="none"/>
                      <w:lang w:val="en-US" w:eastAsia="zh-CN"/>
                    </w:rPr>
                    <w:t>良好</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10</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1818"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r>
            <w:tr>
              <w:trPr>
                <w:trHeight w:val="621"/>
              </w:trPr>
              <w:tc>
                <w:tcPr>
                  <w:tcW w:w="5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4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25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时效指标</w:t>
                  </w:r>
                </w:p>
              </w:tc>
              <w:tc>
                <w:tcPr>
                  <w:tcW w:w="16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项目完成时限</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w:t>
                  </w:r>
                </w:p>
              </w:tc>
              <w:tc>
                <w:tcPr>
                  <w:tcW w:w="125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12</w:t>
                  </w:r>
                </w:p>
              </w:tc>
              <w:tc>
                <w:tcPr>
                  <w:tcW w:w="39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月</w:t>
                  </w: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lang w:val="en-US"/>
                    </w:rPr>
                  </w:pPr>
                  <w:r>
                    <w:rPr>
                      <w:rFonts w:ascii="微软雅黑" w:eastAsia="微软雅黑" w:cs="微软雅黑" w:hint="eastAsia"/>
                      <w:i/>
                      <w:iCs/>
                      <w:color w:val="000000"/>
                      <w:kern w:val="0"/>
                      <w:sz w:val="16"/>
                      <w:szCs w:val="16"/>
                      <w:u w:val="none"/>
                      <w:lang w:val="en-US" w:eastAsia="zh-CN"/>
                    </w:rPr>
                    <w:t>12</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5</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hint="eastAsia"/>
                      <w:i w:val="0"/>
                      <w:iCs w:val="0"/>
                      <w:color w:val="000000"/>
                      <w:sz w:val="18"/>
                      <w:szCs w:val="18"/>
                      <w:u w:val="none"/>
                    </w:rPr>
                  </w:pPr>
                  <w:r>
                    <w:rPr>
                      <w:rFonts w:ascii="宋体" w:eastAsia="宋体" w:cs="宋体"/>
                      <w:i w:val="0"/>
                      <w:iCs w:val="0"/>
                      <w:color w:val="000000"/>
                      <w:kern w:val="0"/>
                      <w:sz w:val="18"/>
                      <w:szCs w:val="18"/>
                      <w:u w:val="none"/>
                      <w:lang w:val="en-US" w:eastAsia="zh-CN"/>
                    </w:rPr>
                    <w:t>4</w:t>
                  </w:r>
                </w:p>
              </w:tc>
              <w:tc>
                <w:tcPr>
                  <w:tcW w:w="1818"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pPr>
                </w:p>
              </w:tc>
            </w:tr>
            <w:tr>
              <w:trPr>
                <w:trHeight w:val="1202"/>
              </w:trPr>
              <w:tc>
                <w:tcPr>
                  <w:tcW w:w="5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4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微软雅黑" w:eastAsia="微软雅黑" w:cs="微软雅黑" w:hint="eastAsia"/>
                      <w:i/>
                      <w:iCs/>
                      <w:color w:val="000000"/>
                      <w:sz w:val="16"/>
                      <w:szCs w:val="16"/>
                      <w:u w:val="none"/>
                    </w:rPr>
                  </w:pPr>
                  <w:r>
                    <w:rPr>
                      <w:rFonts w:ascii="宋体" w:eastAsia="宋体" w:cs="宋体"/>
                      <w:i w:val="0"/>
                      <w:iCs w:val="0"/>
                      <w:color w:val="000000"/>
                      <w:kern w:val="0"/>
                      <w:sz w:val="18"/>
                      <w:szCs w:val="18"/>
                      <w:u w:val="none"/>
                      <w:lang w:val="en-US" w:eastAsia="zh-CN"/>
                    </w:rPr>
                    <w:t>效益指标</w:t>
                  </w:r>
                </w:p>
              </w:tc>
              <w:tc>
                <w:tcPr>
                  <w:tcW w:w="125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社会效益指标</w:t>
                  </w:r>
                </w:p>
              </w:tc>
              <w:tc>
                <w:tcPr>
                  <w:tcW w:w="16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维护社会稳定</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定性</w:t>
                  </w:r>
                </w:p>
              </w:tc>
              <w:tc>
                <w:tcPr>
                  <w:tcW w:w="125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良好</w:t>
                  </w:r>
                </w:p>
              </w:tc>
              <w:tc>
                <w:tcPr>
                  <w:tcW w:w="398"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pP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微软雅黑" w:eastAsia="微软雅黑" w:cs="微软雅黑" w:hint="eastAsia"/>
                      <w:i/>
                      <w:iCs/>
                      <w:color w:val="000000"/>
                      <w:kern w:val="0"/>
                      <w:sz w:val="16"/>
                      <w:szCs w:val="16"/>
                      <w:u w:val="none"/>
                      <w:lang w:val="en-US" w:eastAsia="zh-CN"/>
                    </w:rPr>
                    <w:t>良好</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30</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26</w:t>
                  </w:r>
                </w:p>
              </w:tc>
              <w:tc>
                <w:tcPr>
                  <w:tcW w:w="1818"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pPr>
                </w:p>
              </w:tc>
            </w:tr>
            <w:tr>
              <w:trPr>
                <w:trHeight w:val="1202"/>
              </w:trPr>
              <w:tc>
                <w:tcPr>
                  <w:tcW w:w="5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4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微软雅黑" w:eastAsia="微软雅黑" w:cs="微软雅黑" w:hint="eastAsia"/>
                      <w:i/>
                      <w:iCs/>
                      <w:color w:val="000000"/>
                      <w:sz w:val="16"/>
                      <w:szCs w:val="16"/>
                      <w:u w:val="none"/>
                    </w:rPr>
                  </w:pPr>
                  <w:r>
                    <w:rPr>
                      <w:rFonts w:ascii="宋体" w:eastAsia="宋体" w:cs="宋体"/>
                      <w:i w:val="0"/>
                      <w:iCs w:val="0"/>
                      <w:color w:val="000000"/>
                      <w:kern w:val="0"/>
                      <w:sz w:val="18"/>
                      <w:szCs w:val="18"/>
                      <w:u w:val="none"/>
                      <w:lang w:val="en-US" w:eastAsia="zh-CN"/>
                    </w:rPr>
                    <w:t>满意度指标</w:t>
                  </w:r>
                </w:p>
              </w:tc>
              <w:tc>
                <w:tcPr>
                  <w:tcW w:w="125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服务对象满意度指标</w:t>
                  </w:r>
                </w:p>
              </w:tc>
              <w:tc>
                <w:tcPr>
                  <w:tcW w:w="16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民警满意度</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w:t>
                  </w:r>
                </w:p>
              </w:tc>
              <w:tc>
                <w:tcPr>
                  <w:tcW w:w="125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98</w:t>
                  </w:r>
                </w:p>
              </w:tc>
              <w:tc>
                <w:tcPr>
                  <w:tcW w:w="39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w:t>
                  </w: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微软雅黑" w:eastAsia="微软雅黑" w:cs="微软雅黑" w:hint="eastAsia"/>
                      <w:i/>
                      <w:iCs/>
                      <w:color w:val="000000"/>
                      <w:kern w:val="0"/>
                      <w:sz w:val="16"/>
                      <w:szCs w:val="16"/>
                      <w:u w:val="none"/>
                      <w:lang w:val="en-US" w:eastAsia="zh-CN"/>
                    </w:rPr>
                    <w:t>98</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10</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8</w:t>
                  </w:r>
                </w:p>
              </w:tc>
              <w:tc>
                <w:tcPr>
                  <w:tcW w:w="1818"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pPr>
                </w:p>
              </w:tc>
            </w:tr>
            <w:tr>
              <w:trPr>
                <w:trHeight w:val="1202"/>
              </w:trPr>
              <w:tc>
                <w:tcPr>
                  <w:tcW w:w="5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4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微软雅黑" w:eastAsia="微软雅黑" w:cs="微软雅黑" w:hint="eastAsia"/>
                      <w:i/>
                      <w:iCs/>
                      <w:color w:val="000000"/>
                      <w:sz w:val="16"/>
                      <w:szCs w:val="16"/>
                      <w:u w:val="none"/>
                    </w:rPr>
                  </w:pPr>
                  <w:r>
                    <w:rPr>
                      <w:rFonts w:ascii="宋体" w:eastAsia="宋体" w:cs="宋体"/>
                      <w:i w:val="0"/>
                      <w:iCs w:val="0"/>
                      <w:color w:val="000000"/>
                      <w:kern w:val="0"/>
                      <w:sz w:val="18"/>
                      <w:szCs w:val="18"/>
                      <w:u w:val="none"/>
                      <w:lang w:val="en-US" w:eastAsia="zh-CN"/>
                    </w:rPr>
                    <w:t>成本指标</w:t>
                  </w:r>
                </w:p>
              </w:tc>
              <w:tc>
                <w:tcPr>
                  <w:tcW w:w="125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经济成本指标</w:t>
                  </w:r>
                </w:p>
              </w:tc>
              <w:tc>
                <w:tcPr>
                  <w:tcW w:w="160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1.8万元</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w:t>
                  </w:r>
                </w:p>
              </w:tc>
              <w:tc>
                <w:tcPr>
                  <w:tcW w:w="125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1.8</w:t>
                  </w:r>
                </w:p>
              </w:tc>
              <w:tc>
                <w:tcPr>
                  <w:tcW w:w="398"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万元</w:t>
                  </w: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微软雅黑" w:eastAsia="微软雅黑" w:cs="微软雅黑" w:hint="eastAsia"/>
                      <w:i/>
                      <w:iCs/>
                      <w:color w:val="000000"/>
                      <w:kern w:val="0"/>
                      <w:sz w:val="16"/>
                      <w:szCs w:val="16"/>
                      <w:u w:val="none"/>
                      <w:lang w:val="en-US" w:eastAsia="zh-CN"/>
                    </w:rPr>
                    <w:t>1.8</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10</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pPr>
                  <w:r>
                    <w:rPr>
                      <w:rFonts w:ascii="宋体" w:eastAsia="宋体" w:cs="宋体"/>
                      <w:i w:val="0"/>
                      <w:iCs w:val="0"/>
                      <w:color w:val="000000"/>
                      <w:kern w:val="0"/>
                      <w:sz w:val="18"/>
                      <w:szCs w:val="18"/>
                      <w:u w:val="none"/>
                      <w:lang w:val="en-US" w:eastAsia="zh-CN"/>
                    </w:rPr>
                    <w:t>8</w:t>
                  </w:r>
                </w:p>
              </w:tc>
              <w:tc>
                <w:tcPr>
                  <w:tcW w:w="1818"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pPr>
                </w:p>
              </w:tc>
            </w:tr>
            <w:tr>
              <w:trPr>
                <w:trHeight w:val="621"/>
              </w:trPr>
              <w:tc>
                <w:tcPr>
                  <w:tcW w:w="8040"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黑体" w:eastAsia="黑体" w:cs="黑体" w:hint="eastAsia"/>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48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黑体" w:eastAsia="黑体" w:cs="黑体" w:hint="eastAsia"/>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3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right"/>
                    <w:textAlignment w:val="center"/>
                  </w:pPr>
                  <w:r>
                    <w:rPr>
                      <w:rFonts w:ascii="宋体" w:eastAsia="宋体" w:cs="宋体"/>
                      <w:i w:val="0"/>
                      <w:iCs w:val="0"/>
                      <w:color w:val="000000"/>
                      <w:kern w:val="0"/>
                      <w:sz w:val="18"/>
                      <w:szCs w:val="18"/>
                      <w:u w:val="none"/>
                      <w:lang w:val="en-US" w:eastAsia="zh-CN"/>
                    </w:rPr>
                    <w:t>87</w:t>
                  </w:r>
                </w:p>
              </w:tc>
              <w:tc>
                <w:tcPr>
                  <w:tcW w:w="1818" w:type="dxa"/>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621"/>
              </w:trPr>
              <w:tc>
                <w:tcPr>
                  <w:tcW w:w="576" w:type="dxa"/>
                  <w:tcBorders>
                    <w:top w:val="nil"/>
                    <w:left w:val="nil"/>
                    <w:bottom w:val="nil"/>
                    <w:right w:val="nil"/>
                  </w:tcBorders>
                  <w:shd w:val="clear" w:color="auto" w:fill="auto"/>
                  <w:vAlign w:val="center"/>
                </w:tcPr>
                <w:p>
                  <w:pPr>
                    <w:keepNext w:val="0"/>
                    <w:keepLines w:val="0"/>
                    <w:widowControl/>
                    <w:suppressLineNumbers w:val="0"/>
                    <w:suppressAutoHyphens/>
                    <w:jc w:val="center"/>
                    <w:textAlignment w:val="center"/>
                    <w:rPr>
                      <w:rFonts w:ascii="宋体" w:eastAsia="宋体" w:cs="宋体" w:hint="eastAsia"/>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10164" w:type="dxa"/>
                  <w:gridSpan w:val="10"/>
                  <w:tcBorders>
                    <w:top w:val="nil"/>
                    <w:left w:val="nil"/>
                    <w:bottom w:val="nil"/>
                    <w:right w:val="nil"/>
                  </w:tcBorders>
                  <w:shd w:val="clear" w:color="auto" w:fill="auto"/>
                  <w:vAlign w:val="center"/>
                </w:tcPr>
                <w:p>
                  <w:pPr>
                    <w:keepNext w:val="0"/>
                    <w:keepLines w:val="0"/>
                    <w:widowControl/>
                    <w:suppressLineNumbers w:val="0"/>
                    <w:suppressAutoHyphens/>
                    <w:jc w:val="left"/>
                    <w:textAlignment w:val="center"/>
                    <w:rPr>
                      <w:rFonts w:ascii="宋体" w:eastAsia="宋体" w:cs="宋体" w:hint="eastAsia"/>
                      <w:i w:val="0"/>
                      <w:iCs w:val="0"/>
                      <w:color w:val="000000"/>
                      <w:sz w:val="18"/>
                      <w:szCs w:val="18"/>
                      <w:u w:val="none"/>
                    </w:rPr>
                  </w:pPr>
                  <w:r>
                    <w:rPr>
                      <w:rFonts w:ascii="微软雅黑" w:eastAsia="微软雅黑" w:cs="微软雅黑" w:hint="eastAsia"/>
                      <w:i/>
                      <w:iCs/>
                      <w:color w:val="000000"/>
                      <w:kern w:val="0"/>
                      <w:sz w:val="16"/>
                      <w:szCs w:val="16"/>
                      <w:u w:val="none"/>
                      <w:lang w:val="en-US" w:eastAsia="zh-CN"/>
                    </w:rPr>
                    <w:t>根据预算绩效管理相关制度的要求，结合项目绩效指标完成情况及对项目成本、项目效率、部门绩效目标实现的综合分析，项目综合评价为项目各项指标项均达到指标要求，项目实施达到预期效果。</w:t>
                  </w:r>
                </w:p>
              </w:tc>
            </w:tr>
            <w:tr>
              <w:trPr>
                <w:trHeight w:val="1248"/>
              </w:trPr>
              <w:tc>
                <w:tcPr>
                  <w:tcW w:w="57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黑体" w:eastAsia="黑体" w:cs="黑体" w:hint="eastAsia"/>
                      <w:b/>
                      <w:bCs/>
                      <w:i w:val="0"/>
                      <w:iCs w:val="0"/>
                      <w:color w:val="000000"/>
                      <w:sz w:val="30"/>
                      <w:szCs w:val="30"/>
                      <w:u w:val="none"/>
                    </w:rPr>
                  </w:pPr>
                  <w:r>
                    <w:rPr>
                      <w:rFonts w:ascii="宋体" w:eastAsia="宋体" w:cs="宋体"/>
                      <w:i w:val="0"/>
                      <w:iCs w:val="0"/>
                      <w:color w:val="000000"/>
                      <w:kern w:val="0"/>
                      <w:sz w:val="18"/>
                      <w:szCs w:val="18"/>
                      <w:u w:val="none"/>
                      <w:lang w:val="en-US" w:eastAsia="zh-CN"/>
                    </w:rPr>
                    <w:t>存在问题</w:t>
                  </w:r>
                </w:p>
              </w:tc>
              <w:tc>
                <w:tcPr>
                  <w:tcW w:w="10164"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pPr>
                  <w:r>
                    <w:rPr>
                      <w:rFonts w:ascii="微软雅黑" w:eastAsia="微软雅黑" w:cs="微软雅黑" w:hint="eastAsia"/>
                      <w:i/>
                      <w:iCs/>
                      <w:color w:val="000000"/>
                      <w:kern w:val="0"/>
                      <w:sz w:val="16"/>
                      <w:szCs w:val="16"/>
                      <w:u w:val="none"/>
                      <w:lang w:val="en-US" w:eastAsia="zh-CN"/>
                    </w:rPr>
                    <w:t>由于对支出绩效评价工作的重要性还认识不够，因此对绩效评价工作的重视度还不够，部分项目支出绩效指标无法用量化指标来进行考评。</w:t>
                  </w:r>
                </w:p>
              </w:tc>
            </w:tr>
            <w:tr>
              <w:trPr>
                <w:trHeight w:val="621"/>
              </w:trPr>
              <w:tc>
                <w:tcPr>
                  <w:tcW w:w="57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tcW w:w="10164"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rPr>
                      <w:rFonts w:ascii="宋体" w:eastAsia="宋体" w:cs="宋体"/>
                      <w:i w:val="0"/>
                      <w:iCs w:val="0"/>
                      <w:color w:val="000000"/>
                      <w:sz w:val="18"/>
                      <w:szCs w:val="18"/>
                      <w:u w:val="none"/>
                    </w:rPr>
                  </w:pPr>
                  <w:r>
                    <w:rPr>
                      <w:rFonts w:ascii="微软雅黑" w:eastAsia="微软雅黑" w:cs="微软雅黑" w:hint="eastAsia"/>
                      <w:i/>
                      <w:iCs/>
                      <w:color w:val="000000"/>
                      <w:kern w:val="0"/>
                      <w:sz w:val="16"/>
                      <w:szCs w:val="16"/>
                      <w:u w:val="none"/>
                      <w:lang w:val="en-US" w:eastAsia="zh-CN"/>
                    </w:rPr>
                    <w:t>针对存在的问题，我们将进一步科学设定绩效目标，加强预算执行管理。遵循先有预算、后有支出的原则，加强《新预算法》、《政府会计制度》等学习培训，规范部门预算收支核算，加强财务管理和内部控制监督制度。</w:t>
                  </w:r>
                </w:p>
              </w:tc>
            </w:tr>
            <w:tr>
              <w:trPr>
                <w:trHeight w:val="1777"/>
              </w:trPr>
              <w:tc>
                <w:tcPr>
                  <w:tcW w:w="5285"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rPr>
                      <w:rFonts w:ascii="宋体" w:eastAsia="宋体" w:cs="宋体"/>
                      <w:i w:val="0"/>
                      <w:iCs w:val="0"/>
                      <w:color w:val="000000"/>
                      <w:sz w:val="18"/>
                      <w:szCs w:val="18"/>
                      <w:u w:val="none"/>
                    </w:rPr>
                  </w:pPr>
                  <w:r>
                    <w:rPr>
                      <w:rFonts w:ascii="黑体" w:eastAsia="黑体" w:cs="黑体" w:hint="eastAsia"/>
                      <w:i w:val="0"/>
                      <w:iCs w:val="0"/>
                      <w:color w:val="000000"/>
                      <w:kern w:val="0"/>
                      <w:sz w:val="18"/>
                      <w:szCs w:val="18"/>
                      <w:u w:val="none"/>
                      <w:lang w:val="en-US" w:eastAsia="zh-CN"/>
                    </w:rPr>
                    <w:t>项目负责人：毛永兰</w:t>
                  </w:r>
                </w:p>
              </w:tc>
              <w:tc>
                <w:tcPr>
                  <w:tcW w:w="5455"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uppressAutoHyphens/>
                    <w:jc w:val="left"/>
                    <w:textAlignment w:val="center"/>
                    <w:rPr>
                      <w:rFonts w:ascii="宋体" w:eastAsia="宋体" w:cs="宋体"/>
                      <w:i w:val="0"/>
                      <w:iCs w:val="0"/>
                      <w:color w:val="000000"/>
                      <w:sz w:val="18"/>
                      <w:szCs w:val="18"/>
                      <w:u w:val="none"/>
                    </w:rPr>
                  </w:pPr>
                  <w:r>
                    <w:rPr>
                      <w:rFonts w:ascii="黑体" w:eastAsia="黑体" w:cs="黑体" w:hint="eastAsia"/>
                      <w:i w:val="0"/>
                      <w:iCs w:val="0"/>
                      <w:color w:val="000000"/>
                      <w:kern w:val="0"/>
                      <w:sz w:val="18"/>
                      <w:szCs w:val="18"/>
                      <w:u w:val="none"/>
                      <w:lang w:val="en-US" w:eastAsia="zh-CN"/>
                    </w:rPr>
                    <w:t>财务负责人：蒲哇泽哩</w:t>
                  </w:r>
                </w:p>
              </w:tc>
            </w:tr>
          </w:tbl>
          <w:p>
            <w:pPr>
              <w:keepNext w:val="0"/>
              <w:keepLines w:val="0"/>
              <w:widowControl/>
              <w:suppressLineNumbers w:val="0"/>
              <w:suppressAutoHyphens/>
              <w:jc w:val="left"/>
              <w:textAlignment w:val="center"/>
              <w:rPr>
                <w:rFonts w:ascii="黑体" w:eastAsia="黑体" w:cs="黑体"/>
                <w:b/>
                <w:bCs/>
                <w:i w:val="0"/>
                <w:iCs w:val="0"/>
                <w:color w:val="000000"/>
                <w:sz w:val="30"/>
                <w:szCs w:val="30"/>
                <w:u w:val="none"/>
              </w:rPr>
            </w:pPr>
            <w:r>
              <w:rPr>
                <w:rFonts w:ascii="宋体" w:eastAsia="宋体" w:cs="宋体"/>
                <w:i w:val="0"/>
                <w:iCs w:val="0"/>
                <w:color w:val="000000"/>
                <w:kern w:val="0"/>
                <w:sz w:val="18"/>
                <w:szCs w:val="18"/>
                <w:u w:val="none"/>
                <w:lang w:val="en-US" w:eastAsia="zh-CN"/>
              </w:rPr>
              <w:t>适用用户：部门用户、单位用户</w:t>
            </w:r>
          </w:p>
        </w:tc>
      </w:tr>
    </w:tbl>
    <w:p>
      <w:pPr>
        <w:pStyle w:val="15"/>
        <w:rPr>
          <w:rFonts w:hint="eastAsia"/>
          <w:lang w:val="zh-CN"/>
        </w:rPr>
      </w:pPr>
    </w:p>
    <w:p>
      <w:pPr>
        <w:rPr>
          <w:rFonts w:hint="eastAsia"/>
          <w:lang w:val="zh-CN"/>
        </w:rPr>
      </w:pPr>
    </w:p>
    <w:p>
      <w:pPr>
        <w:pStyle w:val="15"/>
        <w:rPr>
          <w:rFonts w:hint="eastAsia"/>
          <w:lang w:val="zh-CN"/>
        </w:rPr>
      </w:pPr>
    </w:p>
    <w:p>
      <w:pPr>
        <w:rPr>
          <w:rFonts w:hint="eastAsia"/>
          <w:lang w:val="zh-CN"/>
        </w:rPr>
      </w:pPr>
    </w:p>
    <w:p>
      <w:pPr>
        <w:pStyle w:val="15"/>
        <w:rPr>
          <w:rFonts w:hint="eastAsia"/>
          <w:lang w:val="zh-CN"/>
        </w:rPr>
      </w:pPr>
    </w:p>
    <w:p>
      <w:pPr>
        <w:rPr>
          <w:rFonts w:hint="eastAsia"/>
          <w:lang w:val="zh-CN"/>
        </w:rPr>
      </w:pPr>
    </w:p>
    <w:p>
      <w:pPr>
        <w:pStyle w:val="15"/>
        <w:rPr>
          <w:rFonts w:hint="eastAsia"/>
          <w:lang w:val="zh-CN"/>
        </w:rPr>
      </w:pPr>
    </w:p>
    <w:p>
      <w:pPr>
        <w:rPr>
          <w:rFonts w:hint="eastAsia"/>
          <w:lang w:val="zh-CN"/>
        </w:rPr>
      </w:pPr>
    </w:p>
    <w:p>
      <w:pPr>
        <w:pStyle w:val="15"/>
        <w:rPr>
          <w:rFonts w:hint="eastAsia"/>
          <w:lang w:val="zh-CN"/>
        </w:rPr>
      </w:pPr>
    </w:p>
    <w:p>
      <w:pPr>
        <w:rPr>
          <w:rFonts w:hint="eastAsia"/>
          <w:lang w:val="zh-CN"/>
        </w:rPr>
      </w:pPr>
    </w:p>
    <w:p>
      <w:pPr>
        <w:pStyle w:val="15"/>
        <w:rPr>
          <w:rFonts w:hint="eastAsia"/>
          <w:lang w:val="zh-CN"/>
        </w:rPr>
      </w:pPr>
    </w:p>
    <w:p>
      <w:pPr>
        <w:rPr>
          <w:rFonts w:hint="eastAsia"/>
          <w:lang w:val="zh-CN"/>
        </w:rPr>
      </w:pPr>
    </w:p>
    <w:p>
      <w:pPr>
        <w:pStyle w:val="15"/>
        <w:rPr>
          <w:rFonts w:hint="eastAsia"/>
          <w:lang w:val="zh-CN"/>
        </w:rPr>
      </w:pPr>
    </w:p>
    <w:p>
      <w:pPr>
        <w:rPr>
          <w:rFonts w:hint="eastAsia"/>
          <w:lang w:val="zh-CN"/>
        </w:rPr>
      </w:pPr>
    </w:p>
    <w:p>
      <w:pPr>
        <w:pStyle w:val="15"/>
        <w:rPr>
          <w:rFonts w:hint="eastAsia"/>
          <w:lang w:val="zh-CN"/>
        </w:rPr>
      </w:pPr>
    </w:p>
    <w:p>
      <w:pPr>
        <w:rPr>
          <w:rFonts w:hint="eastAsia"/>
          <w:lang w:val="zh-CN"/>
        </w:rPr>
      </w:pPr>
    </w:p>
    <w:p>
      <w:pPr>
        <w:pStyle w:val="15"/>
        <w:rPr>
          <w:rFonts w:hint="eastAsia"/>
          <w:lang w:val="zh-CN"/>
        </w:rPr>
      </w:pPr>
    </w:p>
    <w:p>
      <w:pPr>
        <w:rPr>
          <w:rFonts w:hint="eastAsia"/>
          <w:lang w:val="zh-CN"/>
        </w:rPr>
      </w:pPr>
    </w:p>
    <w:p>
      <w:pPr>
        <w:pStyle w:val="15"/>
        <w:rPr>
          <w:rFonts w:hint="eastAsia"/>
          <w:lang w:val="zh-CN"/>
        </w:rPr>
      </w:pPr>
    </w:p>
    <w:p>
      <w:pPr>
        <w:pStyle w:val="17"/>
        <w:pageBreakBefore w:val="0"/>
        <w:widowControl w:val="0"/>
        <w:suppressAutoHyphens/>
        <w:kinsoku/>
        <w:wordWrap/>
        <w:overflowPunct/>
        <w:topLinePunct w:val="0"/>
        <w:bidi w:val="0"/>
        <w:spacing w:line="560" w:lineRule="exact"/>
        <w:textAlignment w:val="auto"/>
        <w:rPr>
          <w:rFonts w:ascii="仿宋_GB2312" w:eastAsia="仿宋_GB2312" w:cs="仿宋_GB2312" w:hint="eastAsia"/>
          <w:color w:val="000000"/>
          <w:kern w:val="0"/>
          <w:sz w:val="32"/>
          <w:szCs w:val="32"/>
          <w:shd w:val="clear" w:color="auto" w:fill="FFFFFF"/>
          <w:lang w:val="en-US" w:eastAsia="zh-CN"/>
        </w:rPr>
      </w:pPr>
      <w:r>
        <w:rPr>
          <w:rFonts w:ascii="黑体" w:eastAsia="黑体" w:cs="黑体" w:hint="eastAsia"/>
          <w:color w:val="auto"/>
          <w:kern w:val="0"/>
          <w:sz w:val="32"/>
          <w:szCs w:val="32"/>
          <w:shd w:val="clear" w:color="auto" w:fill="FFFFFF"/>
          <w:lang w:val="zh-CN"/>
          <w:highlight w:val="auto"/>
        </w:rPr>
        <w:t>附件</w:t>
      </w:r>
      <w:r>
        <w:rPr>
          <w:rFonts w:ascii="黑体" w:eastAsia="黑体" w:cs="黑体" w:hint="eastAsia"/>
          <w:color w:val="auto"/>
          <w:kern w:val="0"/>
          <w:sz w:val="32"/>
          <w:szCs w:val="32"/>
          <w:shd w:val="clear" w:color="auto" w:fill="FFFFFF"/>
          <w:lang w:val="en-US" w:eastAsia="zh-CN"/>
          <w:highlight w:val="auto"/>
        </w:rPr>
        <w:t>2</w:t>
      </w:r>
    </w:p>
    <w:p>
      <w:pPr>
        <w:pStyle w:val="33"/>
        <w:spacing w:line="578" w:lineRule="exact"/>
        <w:jc w:val="center"/>
        <w:rPr>
          <w:rFonts w:ascii="方正小标宋简体" w:eastAsia="方正小标宋简体" w:cs="方正小标宋简体"/>
          <w:color w:val="auto"/>
          <w:kern w:val="2"/>
          <w:sz w:val="44"/>
          <w:szCs w:val="44"/>
          <w:lang w:val="en-US" w:eastAsia="zh-CN"/>
        </w:rPr>
      </w:pPr>
      <w:r>
        <w:rPr>
          <w:rFonts w:ascii="方正小标宋简体" w:eastAsia="方正小标宋简体" w:cs="方正小标宋简体" w:hint="eastAsia"/>
          <w:color w:val="auto"/>
          <w:kern w:val="2"/>
          <w:sz w:val="44"/>
          <w:szCs w:val="44"/>
          <w:lang w:val="en-US" w:eastAsia="zh-CN"/>
        </w:rPr>
        <w:t>专项预算项目绩效评价报告</w:t>
      </w:r>
    </w:p>
    <w:p>
      <w:pPr>
        <w:widowControl w:val="0"/>
        <w:tabs>
          <w:tab w:val="left" w:pos="1911"/>
        </w:tabs>
        <w:suppressAutoHyphens/>
        <w:bidi w:val="0"/>
        <w:jc w:val="center"/>
        <w:rPr>
          <w:rFonts w:ascii="Times New Roman" w:eastAsia="仿宋_GB2312" w:hAnsi="Times New Roman"/>
          <w:kern w:val="0"/>
          <w:sz w:val="32"/>
          <w:szCs w:val="32"/>
          <w:lang w:val="en-US" w:eastAsia="zh-CN"/>
        </w:rPr>
      </w:pPr>
      <w:bookmarkStart w:id="55" w:name="_Toc15396618"/>
      <w:r>
        <w:rPr>
          <w:rFonts w:ascii="Times New Roman" w:eastAsia="仿宋_GB2312" w:hAnsi="Times New Roman" w:hint="eastAsia"/>
          <w:kern w:val="0"/>
          <w:sz w:val="32"/>
          <w:szCs w:val="32"/>
          <w:lang w:val="en-US" w:eastAsia="zh-CN"/>
        </w:rPr>
        <w:t>（本部门不涉及此类项目）</w:t>
      </w:r>
    </w:p>
    <w:p>
      <w:pPr>
        <w:pStyle w:val="15"/>
        <w:rPr>
          <w:rFonts w:ascii="Times New Roman" w:eastAsia="仿宋_GB2312" w:hAnsi="Times New Roman"/>
          <w:kern w:val="0"/>
          <w:sz w:val="32"/>
          <w:szCs w:val="32"/>
        </w:rPr>
      </w:pPr>
    </w:p>
    <w:p>
      <w:pPr>
        <w:rPr>
          <w:rFonts w:ascii="Times New Roman" w:eastAsia="仿宋_GB2312" w:hAnsi="Times New Roman"/>
          <w:kern w:val="0"/>
          <w:sz w:val="32"/>
          <w:szCs w:val="32"/>
        </w:rPr>
      </w:pPr>
    </w:p>
    <w:p>
      <w:pPr>
        <w:pStyle w:val="15"/>
        <w:rPr>
          <w:rFonts w:ascii="Times New Roman" w:eastAsia="仿宋_GB2312" w:hAnsi="Times New Roman"/>
          <w:kern w:val="0"/>
          <w:sz w:val="32"/>
          <w:szCs w:val="32"/>
        </w:rPr>
      </w:pPr>
    </w:p>
    <w:p>
      <w:pPr>
        <w:rPr>
          <w:rFonts w:ascii="Times New Roman" w:eastAsia="仿宋_GB2312" w:hAnsi="Times New Roman"/>
          <w:kern w:val="0"/>
          <w:sz w:val="32"/>
          <w:szCs w:val="32"/>
        </w:rPr>
      </w:pPr>
    </w:p>
    <w:p>
      <w:pPr>
        <w:pStyle w:val="15"/>
        <w:rPr>
          <w:rFonts w:ascii="Times New Roman" w:eastAsia="仿宋_GB2312" w:hAnsi="Times New Roman"/>
          <w:kern w:val="0"/>
          <w:sz w:val="32"/>
          <w:szCs w:val="32"/>
        </w:rPr>
      </w:pPr>
    </w:p>
    <w:p>
      <w:pPr>
        <w:rPr>
          <w:rFonts w:ascii="Times New Roman" w:eastAsia="仿宋_GB2312" w:hAnsi="Times New Roman"/>
          <w:kern w:val="0"/>
          <w:sz w:val="32"/>
          <w:szCs w:val="32"/>
        </w:rPr>
      </w:pPr>
    </w:p>
    <w:p>
      <w:pPr>
        <w:pStyle w:val="15"/>
      </w:pPr>
    </w:p>
    <w:p>
      <w:pPr>
        <w:pStyle w:val="33"/>
        <w:widowControl w:val="0"/>
        <w:suppressAutoHyphens/>
        <w:bidi w:val="0"/>
        <w:spacing w:line="578" w:lineRule="exact"/>
        <w:jc w:val="center"/>
        <w:rPr>
          <w:rFonts w:ascii="方正小标宋简体" w:eastAsia="方正小标宋简体" w:cs="方正小标宋简体" w:hint="eastAsia"/>
          <w:color w:val="auto"/>
          <w:kern w:val="2"/>
          <w:sz w:val="44"/>
          <w:szCs w:val="44"/>
          <w:lang w:val="en-US"/>
        </w:rPr>
      </w:pPr>
    </w:p>
    <w:p>
      <w:pPr>
        <w:pStyle w:val="33"/>
        <w:widowControl w:val="0"/>
        <w:suppressAutoHyphens/>
        <w:bidi w:val="0"/>
        <w:spacing w:line="578" w:lineRule="exact"/>
        <w:jc w:val="center"/>
        <w:rPr>
          <w:rFonts w:ascii="方正小标宋简体" w:eastAsia="方正小标宋简体" w:cs="方正小标宋简体" w:hint="eastAsia"/>
          <w:color w:val="auto"/>
          <w:kern w:val="2"/>
          <w:sz w:val="44"/>
          <w:szCs w:val="44"/>
          <w:lang w:val="en-US"/>
        </w:rPr>
      </w:pPr>
    </w:p>
    <w:p>
      <w:pPr>
        <w:pStyle w:val="33"/>
        <w:widowControl w:val="0"/>
        <w:suppressAutoHyphens/>
        <w:bidi w:val="0"/>
        <w:spacing w:line="578" w:lineRule="exact"/>
        <w:jc w:val="center"/>
        <w:rPr>
          <w:rFonts w:ascii="方正小标宋简体" w:eastAsia="方正小标宋简体" w:cs="方正小标宋简体" w:hint="eastAsia"/>
          <w:color w:val="auto"/>
          <w:kern w:val="2"/>
          <w:sz w:val="44"/>
          <w:szCs w:val="44"/>
          <w:lang w:val="en-US"/>
        </w:rPr>
      </w:pPr>
    </w:p>
    <w:p>
      <w:pPr>
        <w:pStyle w:val="33"/>
        <w:widowControl w:val="0"/>
        <w:suppressAutoHyphens/>
        <w:bidi w:val="0"/>
        <w:spacing w:line="578" w:lineRule="exact"/>
        <w:jc w:val="center"/>
        <w:rPr>
          <w:rFonts w:ascii="方正小标宋简体" w:eastAsia="方正小标宋简体" w:cs="方正小标宋简体" w:hint="eastAsia"/>
          <w:color w:val="auto"/>
          <w:kern w:val="2"/>
          <w:sz w:val="44"/>
          <w:szCs w:val="44"/>
          <w:lang w:val="en-US"/>
        </w:rPr>
      </w:pPr>
    </w:p>
    <w:p>
      <w:pPr>
        <w:pStyle w:val="33"/>
        <w:widowControl w:val="0"/>
        <w:suppressAutoHyphens/>
        <w:bidi w:val="0"/>
        <w:spacing w:line="578" w:lineRule="exact"/>
        <w:jc w:val="center"/>
        <w:rPr>
          <w:rFonts w:ascii="方正小标宋简体" w:eastAsia="方正小标宋简体" w:cs="方正小标宋简体" w:hint="eastAsia"/>
          <w:color w:val="auto"/>
          <w:kern w:val="2"/>
          <w:sz w:val="44"/>
          <w:szCs w:val="44"/>
          <w:lang w:val="en-US"/>
        </w:rPr>
      </w:pPr>
    </w:p>
    <w:p>
      <w:pPr>
        <w:pStyle w:val="33"/>
        <w:widowControl w:val="0"/>
        <w:suppressAutoHyphens/>
        <w:bidi w:val="0"/>
        <w:spacing w:line="578" w:lineRule="exact"/>
        <w:jc w:val="center"/>
        <w:rPr>
          <w:rFonts w:ascii="方正小标宋简体" w:eastAsia="方正小标宋简体" w:cs="方正小标宋简体" w:hint="eastAsia"/>
          <w:color w:val="auto"/>
          <w:kern w:val="2"/>
          <w:sz w:val="44"/>
          <w:szCs w:val="44"/>
          <w:lang w:val="en-US"/>
        </w:rPr>
      </w:pPr>
    </w:p>
    <w:p>
      <w:pPr>
        <w:pStyle w:val="33"/>
        <w:widowControl w:val="0"/>
        <w:suppressAutoHyphens/>
        <w:bidi w:val="0"/>
        <w:spacing w:line="578" w:lineRule="exact"/>
        <w:jc w:val="center"/>
        <w:rPr>
          <w:rFonts w:ascii="方正小标宋简体" w:eastAsia="方正小标宋简体" w:cs="方正小标宋简体" w:hint="eastAsia"/>
          <w:color w:val="auto"/>
          <w:kern w:val="2"/>
          <w:sz w:val="44"/>
          <w:szCs w:val="44"/>
          <w:lang w:val="en-US"/>
        </w:rPr>
      </w:pPr>
    </w:p>
    <w:p>
      <w:pPr>
        <w:pStyle w:val="33"/>
        <w:widowControl w:val="0"/>
        <w:suppressAutoHyphens/>
        <w:bidi w:val="0"/>
        <w:spacing w:line="578" w:lineRule="exact"/>
        <w:jc w:val="center"/>
        <w:rPr>
          <w:rFonts w:ascii="方正小标宋简体" w:eastAsia="方正小标宋简体" w:cs="方正小标宋简体" w:hint="eastAsia"/>
          <w:color w:val="auto"/>
          <w:kern w:val="2"/>
          <w:sz w:val="44"/>
          <w:szCs w:val="44"/>
          <w:lang w:val="en-US"/>
        </w:rPr>
      </w:pPr>
    </w:p>
    <w:p>
      <w:pPr>
        <w:pStyle w:val="33"/>
        <w:widowControl w:val="0"/>
        <w:suppressAutoHyphens/>
        <w:bidi w:val="0"/>
        <w:spacing w:line="578" w:lineRule="exact"/>
        <w:jc w:val="center"/>
        <w:rPr>
          <w:rFonts w:ascii="方正小标宋简体" w:eastAsia="方正小标宋简体" w:cs="方正小标宋简体" w:hint="eastAsia"/>
          <w:color w:val="auto"/>
          <w:kern w:val="2"/>
          <w:sz w:val="44"/>
          <w:szCs w:val="44"/>
          <w:lang w:val="en-US"/>
        </w:rPr>
      </w:pPr>
    </w:p>
    <w:p>
      <w:pPr>
        <w:pStyle w:val="33"/>
        <w:widowControl w:val="0"/>
        <w:suppressAutoHyphens/>
        <w:bidi w:val="0"/>
        <w:spacing w:line="578" w:lineRule="exact"/>
        <w:jc w:val="center"/>
        <w:rPr>
          <w:rFonts w:ascii="方正小标宋简体" w:eastAsia="方正小标宋简体" w:cs="方正小标宋简体" w:hint="eastAsia"/>
          <w:color w:val="auto"/>
          <w:kern w:val="2"/>
          <w:sz w:val="44"/>
          <w:szCs w:val="44"/>
          <w:lang w:val="en-US"/>
        </w:rPr>
      </w:pPr>
    </w:p>
    <w:p>
      <w:pPr>
        <w:pageBreakBefore w:val="0"/>
        <w:widowControl/>
        <w:suppressAutoHyphens/>
        <w:kinsoku/>
        <w:wordWrap/>
        <w:overflowPunct/>
        <w:topLinePunct w:val="0"/>
        <w:bidi w:val="0"/>
        <w:spacing w:line="560" w:lineRule="exact"/>
        <w:jc w:val="center"/>
        <w:textAlignment w:val="auto"/>
        <w:outlineLvl w:val="0"/>
        <w:rPr>
          <w:rFonts w:ascii="仿宋" w:eastAsia="仿宋" w:hint="eastAsia"/>
          <w:b w:val="0"/>
          <w:color w:val="auto"/>
          <w:highlight w:val="auto"/>
        </w:rPr>
      </w:pPr>
      <w:bookmarkStart w:id="56" w:name="_Toc14832"/>
      <w:r>
        <w:rPr>
          <w:rFonts w:ascii="黑体" w:eastAsia="黑体" w:hint="eastAsia"/>
          <w:color w:val="auto"/>
          <w:sz w:val="44"/>
          <w:szCs w:val="44"/>
          <w:highlight w:val="auto"/>
        </w:rPr>
        <w:t>第</w:t>
      </w:r>
      <w:r>
        <w:rPr>
          <w:rStyle w:val="1Char"/>
          <w:rFonts w:ascii="黑体" w:eastAsia="黑体" w:hint="eastAsia"/>
          <w:b w:val="0"/>
          <w:color w:val="auto"/>
          <w:highlight w:val="auto"/>
        </w:rPr>
        <w:t>五部分 附表</w:t>
      </w:r>
      <w:bookmarkStart w:id="57" w:name="_Toc15396619"/>
      <w:bookmarkEnd w:id="50"/>
      <w:bookmarkEnd w:id="55"/>
      <w:bookmarkEnd w:id="56"/>
    </w:p>
    <w:p>
      <w:pPr>
        <w:pStyle w:val="2"/>
        <w:keepNext/>
        <w:keepLines/>
        <w:pageBreakBefore w:val="0"/>
        <w:widowControl w:val="0"/>
        <w:suppressAutoHyphens/>
        <w:kinsoku/>
        <w:wordWrap/>
        <w:overflowPunct/>
        <w:topLinePunct w:val="0"/>
        <w:bidi w:val="0"/>
        <w:spacing w:line="560" w:lineRule="exact"/>
        <w:textAlignment w:val="auto"/>
        <w:rPr>
          <w:rFonts w:ascii="仿宋" w:eastAsia="仿宋"/>
          <w:color w:val="auto"/>
          <w:highlight w:val="auto"/>
        </w:rPr>
      </w:pPr>
      <w:bookmarkStart w:id="58" w:name="_Toc15137"/>
      <w:r>
        <w:rPr>
          <w:rFonts w:ascii="仿宋" w:eastAsia="仿宋" w:hint="eastAsia"/>
          <w:b w:val="0"/>
          <w:color w:val="auto"/>
          <w:highlight w:val="auto"/>
        </w:rPr>
        <w:t>一、收</w:t>
      </w:r>
      <w:r>
        <w:rPr>
          <w:rStyle w:val="2Char"/>
          <w:rFonts w:ascii="仿宋" w:eastAsia="仿宋" w:hint="eastAsia"/>
          <w:b w:val="0"/>
          <w:bCs w:val="0"/>
          <w:color w:val="auto"/>
          <w:highlight w:val="auto"/>
        </w:rPr>
        <w:t>入支出决算总表</w:t>
      </w:r>
      <w:bookmarkEnd w:id="57"/>
      <w:bookmarkEnd w:id="58"/>
    </w:p>
    <w:p>
      <w:pPr>
        <w:pStyle w:val="2"/>
        <w:keepNext/>
        <w:keepLines/>
        <w:pageBreakBefore w:val="0"/>
        <w:widowControl w:val="0"/>
        <w:suppressAutoHyphens/>
        <w:kinsoku/>
        <w:wordWrap/>
        <w:overflowPunct/>
        <w:topLinePunct w:val="0"/>
        <w:bidi w:val="0"/>
        <w:spacing w:line="560" w:lineRule="exact"/>
        <w:textAlignment w:val="auto"/>
        <w:rPr>
          <w:rFonts w:ascii="仿宋" w:eastAsia="仿宋"/>
          <w:color w:val="auto"/>
          <w:highlight w:val="auto"/>
        </w:rPr>
      </w:pPr>
      <w:bookmarkStart w:id="59" w:name="_Toc9907"/>
      <w:bookmarkStart w:id="60" w:name="_Toc15396620"/>
      <w:r>
        <w:rPr>
          <w:rFonts w:ascii="仿宋" w:eastAsia="仿宋" w:hint="eastAsia"/>
          <w:b w:val="0"/>
          <w:color w:val="auto"/>
          <w:highlight w:val="auto"/>
        </w:rPr>
        <w:t>二、收</w:t>
      </w:r>
      <w:r>
        <w:rPr>
          <w:rStyle w:val="2Char"/>
          <w:rFonts w:ascii="仿宋" w:eastAsia="仿宋" w:hint="eastAsia"/>
          <w:b w:val="0"/>
          <w:bCs w:val="0"/>
          <w:color w:val="auto"/>
          <w:highlight w:val="auto"/>
        </w:rPr>
        <w:t>入决算表</w:t>
      </w:r>
      <w:bookmarkEnd w:id="59"/>
      <w:bookmarkEnd w:id="60"/>
    </w:p>
    <w:p>
      <w:pPr>
        <w:pStyle w:val="2"/>
        <w:keepNext/>
        <w:keepLines/>
        <w:pageBreakBefore w:val="0"/>
        <w:widowControl w:val="0"/>
        <w:suppressAutoHyphens/>
        <w:kinsoku/>
        <w:wordWrap/>
        <w:overflowPunct/>
        <w:topLinePunct w:val="0"/>
        <w:bidi w:val="0"/>
        <w:spacing w:line="560" w:lineRule="exact"/>
        <w:textAlignment w:val="auto"/>
        <w:rPr>
          <w:rFonts w:ascii="仿宋" w:eastAsia="仿宋"/>
          <w:color w:val="auto"/>
          <w:highlight w:val="auto"/>
        </w:rPr>
      </w:pPr>
      <w:bookmarkStart w:id="61" w:name="_Toc15396621"/>
      <w:bookmarkStart w:id="62" w:name="_Toc12602"/>
      <w:r>
        <w:rPr>
          <w:rStyle w:val="2Char"/>
          <w:rFonts w:ascii="仿宋" w:eastAsia="仿宋" w:hint="eastAsia"/>
          <w:b w:val="0"/>
          <w:bCs w:val="0"/>
          <w:color w:val="auto"/>
          <w:highlight w:val="auto"/>
        </w:rPr>
        <w:t>三、</w:t>
      </w:r>
      <w:r>
        <w:rPr>
          <w:rFonts w:ascii="仿宋" w:eastAsia="仿宋" w:hint="eastAsia"/>
          <w:b w:val="0"/>
          <w:color w:val="auto"/>
          <w:highlight w:val="auto"/>
        </w:rPr>
        <w:t>支</w:t>
      </w:r>
      <w:r>
        <w:rPr>
          <w:rStyle w:val="2Char"/>
          <w:rFonts w:ascii="仿宋" w:eastAsia="仿宋" w:hint="eastAsia"/>
          <w:b w:val="0"/>
          <w:bCs w:val="0"/>
          <w:color w:val="auto"/>
          <w:highlight w:val="auto"/>
        </w:rPr>
        <w:t>出决算表</w:t>
      </w:r>
      <w:bookmarkEnd w:id="61"/>
      <w:bookmarkEnd w:id="62"/>
    </w:p>
    <w:p>
      <w:pPr>
        <w:pStyle w:val="2"/>
        <w:keepNext/>
        <w:keepLines/>
        <w:pageBreakBefore w:val="0"/>
        <w:widowControl w:val="0"/>
        <w:suppressAutoHyphens/>
        <w:kinsoku/>
        <w:wordWrap/>
        <w:overflowPunct/>
        <w:topLinePunct w:val="0"/>
        <w:bidi w:val="0"/>
        <w:spacing w:line="560" w:lineRule="exact"/>
        <w:textAlignment w:val="auto"/>
        <w:rPr>
          <w:rFonts w:ascii="仿宋" w:eastAsia="仿宋"/>
          <w:b w:val="0"/>
          <w:color w:val="auto"/>
          <w:highlight w:val="auto"/>
        </w:rPr>
      </w:pPr>
      <w:bookmarkStart w:id="63" w:name="_Toc15396622"/>
      <w:bookmarkStart w:id="64" w:name="_Toc6626"/>
      <w:r>
        <w:rPr>
          <w:rStyle w:val="2Char"/>
          <w:rFonts w:ascii="仿宋" w:eastAsia="仿宋" w:hint="eastAsia"/>
          <w:b w:val="0"/>
          <w:bCs w:val="0"/>
          <w:color w:val="auto"/>
          <w:highlight w:val="auto"/>
        </w:rPr>
        <w:t>四、</w:t>
      </w:r>
      <w:r>
        <w:rPr>
          <w:rFonts w:ascii="仿宋" w:eastAsia="仿宋" w:hint="eastAsia"/>
          <w:b w:val="0"/>
          <w:color w:val="auto"/>
          <w:highlight w:val="auto"/>
        </w:rPr>
        <w:t>财</w:t>
      </w:r>
      <w:r>
        <w:rPr>
          <w:rStyle w:val="2Char"/>
          <w:rFonts w:ascii="仿宋" w:eastAsia="仿宋" w:hint="eastAsia"/>
          <w:b w:val="0"/>
          <w:bCs w:val="0"/>
          <w:color w:val="auto"/>
          <w:highlight w:val="auto"/>
        </w:rPr>
        <w:t>政拨款收入支出决算总表</w:t>
      </w:r>
      <w:bookmarkEnd w:id="63"/>
      <w:bookmarkEnd w:id="64"/>
    </w:p>
    <w:p>
      <w:pPr>
        <w:pStyle w:val="2"/>
        <w:keepNext/>
        <w:keepLines/>
        <w:pageBreakBefore w:val="0"/>
        <w:widowControl w:val="0"/>
        <w:suppressAutoHyphens/>
        <w:kinsoku/>
        <w:wordWrap/>
        <w:overflowPunct/>
        <w:topLinePunct w:val="0"/>
        <w:bidi w:val="0"/>
        <w:spacing w:line="560" w:lineRule="exact"/>
        <w:textAlignment w:val="auto"/>
        <w:rPr>
          <w:rStyle w:val="2Char"/>
          <w:rFonts w:ascii="仿宋" w:eastAsia="仿宋"/>
          <w:b w:val="0"/>
          <w:bCs w:val="0"/>
          <w:color w:val="auto"/>
          <w:highlight w:val="auto"/>
        </w:rPr>
      </w:pPr>
      <w:bookmarkStart w:id="65" w:name="_Toc14176"/>
      <w:bookmarkStart w:id="66" w:name="_Toc15396623"/>
      <w:r>
        <w:rPr>
          <w:rStyle w:val="2Char"/>
          <w:rFonts w:ascii="仿宋" w:eastAsia="仿宋" w:hint="eastAsia"/>
          <w:b w:val="0"/>
          <w:bCs w:val="0"/>
          <w:color w:val="auto"/>
          <w:highlight w:val="auto"/>
        </w:rPr>
        <w:t>五、</w:t>
      </w:r>
      <w:r>
        <w:rPr>
          <w:rFonts w:ascii="仿宋" w:eastAsia="仿宋" w:hint="eastAsia"/>
          <w:b w:val="0"/>
          <w:color w:val="auto"/>
          <w:highlight w:val="auto"/>
        </w:rPr>
        <w:t>财</w:t>
      </w:r>
      <w:r>
        <w:rPr>
          <w:rStyle w:val="2Char"/>
          <w:rFonts w:ascii="仿宋" w:eastAsia="仿宋" w:hint="eastAsia"/>
          <w:b w:val="0"/>
          <w:bCs w:val="0"/>
          <w:color w:val="auto"/>
          <w:highlight w:val="auto"/>
        </w:rPr>
        <w:t>政拨款支出决算明细表</w:t>
      </w:r>
      <w:bookmarkStart w:id="67" w:name="_Toc15396624"/>
      <w:bookmarkEnd w:id="65"/>
      <w:bookmarkEnd w:id="66"/>
    </w:p>
    <w:p>
      <w:pPr>
        <w:pStyle w:val="2"/>
        <w:keepNext/>
        <w:keepLines/>
        <w:pageBreakBefore w:val="0"/>
        <w:widowControl w:val="0"/>
        <w:suppressAutoHyphens/>
        <w:kinsoku/>
        <w:wordWrap/>
        <w:overflowPunct/>
        <w:topLinePunct w:val="0"/>
        <w:bidi w:val="0"/>
        <w:spacing w:line="560" w:lineRule="exact"/>
        <w:textAlignment w:val="auto"/>
        <w:rPr>
          <w:rFonts w:ascii="仿宋" w:eastAsia="仿宋"/>
          <w:color w:val="auto"/>
          <w:highlight w:val="auto"/>
        </w:rPr>
      </w:pPr>
      <w:bookmarkStart w:id="68" w:name="_Toc18423"/>
      <w:r>
        <w:rPr>
          <w:rStyle w:val="2Char"/>
          <w:rFonts w:ascii="仿宋" w:eastAsia="仿宋" w:hint="eastAsia"/>
          <w:b w:val="0"/>
          <w:bCs w:val="0"/>
          <w:color w:val="auto"/>
          <w:highlight w:val="auto"/>
        </w:rPr>
        <w:t>六、</w:t>
      </w:r>
      <w:r>
        <w:rPr>
          <w:rFonts w:ascii="仿宋" w:eastAsia="仿宋" w:hint="eastAsia"/>
          <w:b w:val="0"/>
          <w:color w:val="auto"/>
          <w:highlight w:val="auto"/>
        </w:rPr>
        <w:t>一</w:t>
      </w:r>
      <w:r>
        <w:rPr>
          <w:rStyle w:val="2Char"/>
          <w:rFonts w:ascii="仿宋" w:eastAsia="仿宋" w:hint="eastAsia"/>
          <w:b w:val="0"/>
          <w:bCs w:val="0"/>
          <w:color w:val="auto"/>
          <w:highlight w:val="auto"/>
        </w:rPr>
        <w:t>般公共预算财政拨款支出决算表</w:t>
      </w:r>
      <w:bookmarkEnd w:id="67"/>
      <w:bookmarkEnd w:id="68"/>
    </w:p>
    <w:p>
      <w:pPr>
        <w:pStyle w:val="2"/>
        <w:keepNext/>
        <w:keepLines/>
        <w:pageBreakBefore w:val="0"/>
        <w:widowControl w:val="0"/>
        <w:suppressAutoHyphens/>
        <w:kinsoku/>
        <w:wordWrap/>
        <w:overflowPunct/>
        <w:topLinePunct w:val="0"/>
        <w:bidi w:val="0"/>
        <w:spacing w:line="560" w:lineRule="exact"/>
        <w:textAlignment w:val="auto"/>
        <w:rPr>
          <w:rFonts w:ascii="仿宋" w:eastAsia="仿宋"/>
          <w:color w:val="auto"/>
          <w:highlight w:val="auto"/>
        </w:rPr>
      </w:pPr>
      <w:bookmarkStart w:id="69" w:name="_Toc15396625"/>
      <w:bookmarkStart w:id="70" w:name="_Toc19631"/>
      <w:r>
        <w:rPr>
          <w:rStyle w:val="2Char"/>
          <w:rFonts w:ascii="仿宋" w:eastAsia="仿宋" w:hint="eastAsia"/>
          <w:b w:val="0"/>
          <w:bCs w:val="0"/>
          <w:color w:val="auto"/>
          <w:highlight w:val="auto"/>
        </w:rPr>
        <w:t>七、</w:t>
      </w:r>
      <w:r>
        <w:rPr>
          <w:rFonts w:ascii="仿宋" w:eastAsia="仿宋" w:hint="eastAsia"/>
          <w:b w:val="0"/>
          <w:color w:val="auto"/>
          <w:highlight w:val="auto"/>
        </w:rPr>
        <w:t>一</w:t>
      </w:r>
      <w:r>
        <w:rPr>
          <w:rStyle w:val="2Char"/>
          <w:rFonts w:ascii="仿宋" w:eastAsia="仿宋" w:hint="eastAsia"/>
          <w:b w:val="0"/>
          <w:bCs w:val="0"/>
          <w:color w:val="auto"/>
          <w:highlight w:val="auto"/>
        </w:rPr>
        <w:t>般公共预算财政拨款支出决算明细表</w:t>
      </w:r>
      <w:bookmarkEnd w:id="69"/>
      <w:bookmarkEnd w:id="70"/>
    </w:p>
    <w:p>
      <w:pPr>
        <w:pStyle w:val="2"/>
        <w:keepNext/>
        <w:keepLines/>
        <w:pageBreakBefore w:val="0"/>
        <w:widowControl w:val="0"/>
        <w:suppressAutoHyphens/>
        <w:kinsoku/>
        <w:wordWrap/>
        <w:overflowPunct/>
        <w:topLinePunct w:val="0"/>
        <w:bidi w:val="0"/>
        <w:spacing w:line="560" w:lineRule="exact"/>
        <w:textAlignment w:val="auto"/>
        <w:rPr>
          <w:rFonts w:ascii="仿宋" w:eastAsia="仿宋"/>
          <w:color w:val="auto"/>
          <w:highlight w:val="auto"/>
        </w:rPr>
      </w:pPr>
      <w:bookmarkStart w:id="71" w:name="_Toc1532"/>
      <w:bookmarkStart w:id="72" w:name="_Toc15396626"/>
      <w:r>
        <w:rPr>
          <w:rStyle w:val="2Char"/>
          <w:rFonts w:ascii="仿宋" w:eastAsia="仿宋" w:hint="eastAsia"/>
          <w:b w:val="0"/>
          <w:bCs w:val="0"/>
          <w:color w:val="auto"/>
          <w:highlight w:val="auto"/>
        </w:rPr>
        <w:t>八、</w:t>
      </w:r>
      <w:r>
        <w:rPr>
          <w:rFonts w:ascii="仿宋" w:eastAsia="仿宋" w:hint="eastAsia"/>
          <w:b w:val="0"/>
          <w:color w:val="auto"/>
          <w:highlight w:val="auto"/>
        </w:rPr>
        <w:t>一</w:t>
      </w:r>
      <w:r>
        <w:rPr>
          <w:rStyle w:val="2Char"/>
          <w:rFonts w:ascii="仿宋" w:eastAsia="仿宋" w:hint="eastAsia"/>
          <w:b w:val="0"/>
          <w:bCs w:val="0"/>
          <w:color w:val="auto"/>
          <w:highlight w:val="auto"/>
        </w:rPr>
        <w:t>般公共预算财政拨款基本支出决算表</w:t>
      </w:r>
      <w:bookmarkEnd w:id="71"/>
      <w:bookmarkEnd w:id="72"/>
    </w:p>
    <w:p>
      <w:pPr>
        <w:pStyle w:val="2"/>
        <w:keepNext/>
        <w:keepLines/>
        <w:pageBreakBefore w:val="0"/>
        <w:widowControl w:val="0"/>
        <w:suppressAutoHyphens/>
        <w:kinsoku/>
        <w:wordWrap/>
        <w:overflowPunct/>
        <w:topLinePunct w:val="0"/>
        <w:bidi w:val="0"/>
        <w:spacing w:line="560" w:lineRule="exact"/>
        <w:textAlignment w:val="auto"/>
        <w:rPr>
          <w:rFonts w:ascii="仿宋" w:eastAsia="仿宋"/>
          <w:color w:val="auto"/>
          <w:highlight w:val="auto"/>
        </w:rPr>
      </w:pPr>
      <w:bookmarkStart w:id="73" w:name="_Toc15396627"/>
      <w:bookmarkStart w:id="74" w:name="_Toc740"/>
      <w:r>
        <w:rPr>
          <w:rStyle w:val="2Char"/>
          <w:rFonts w:ascii="仿宋" w:eastAsia="仿宋" w:hint="eastAsia"/>
          <w:b w:val="0"/>
          <w:bCs w:val="0"/>
          <w:color w:val="auto"/>
          <w:highlight w:val="auto"/>
        </w:rPr>
        <w:t>九、</w:t>
      </w:r>
      <w:r>
        <w:rPr>
          <w:rFonts w:ascii="仿宋" w:eastAsia="仿宋" w:hint="eastAsia"/>
          <w:b w:val="0"/>
          <w:color w:val="auto"/>
          <w:highlight w:val="auto"/>
        </w:rPr>
        <w:t>一</w:t>
      </w:r>
      <w:r>
        <w:rPr>
          <w:rStyle w:val="2Char"/>
          <w:rFonts w:ascii="仿宋" w:eastAsia="仿宋" w:hint="eastAsia"/>
          <w:b w:val="0"/>
          <w:bCs w:val="0"/>
          <w:color w:val="auto"/>
          <w:highlight w:val="auto"/>
        </w:rPr>
        <w:t>般公共预算财政拨款项目支出决算表</w:t>
      </w:r>
      <w:bookmarkEnd w:id="73"/>
      <w:bookmarkEnd w:id="74"/>
    </w:p>
    <w:p>
      <w:pPr>
        <w:pStyle w:val="2"/>
        <w:keepNext/>
        <w:keepLines/>
        <w:pageBreakBefore w:val="0"/>
        <w:widowControl w:val="0"/>
        <w:suppressAutoHyphens/>
        <w:kinsoku/>
        <w:wordWrap/>
        <w:overflowPunct/>
        <w:topLinePunct w:val="0"/>
        <w:bidi w:val="0"/>
        <w:spacing w:line="560" w:lineRule="exact"/>
        <w:textAlignment w:val="auto"/>
        <w:rPr>
          <w:rFonts w:ascii="仿宋" w:eastAsia="仿宋"/>
          <w:color w:val="auto"/>
          <w:highlight w:val="auto"/>
        </w:rPr>
      </w:pPr>
      <w:bookmarkStart w:id="75" w:name="_Toc15396628"/>
      <w:bookmarkStart w:id="76" w:name="_Toc21555"/>
      <w:r>
        <w:rPr>
          <w:rStyle w:val="2Char"/>
          <w:rFonts w:ascii="仿宋" w:eastAsia="仿宋" w:hint="eastAsia"/>
          <w:b w:val="0"/>
          <w:bCs w:val="0"/>
          <w:color w:val="auto"/>
          <w:highlight w:val="auto"/>
        </w:rPr>
        <w:t>十、</w:t>
      </w:r>
      <w:bookmarkEnd w:id="75"/>
      <w:r>
        <w:rPr>
          <w:rFonts w:ascii="仿宋" w:eastAsia="仿宋" w:hint="eastAsia"/>
          <w:b w:val="0"/>
          <w:color w:val="auto"/>
          <w:highlight w:val="auto"/>
        </w:rPr>
        <w:t>政</w:t>
      </w:r>
      <w:r>
        <w:rPr>
          <w:rStyle w:val="2Char"/>
          <w:rFonts w:ascii="仿宋" w:eastAsia="仿宋" w:hint="eastAsia"/>
          <w:b w:val="0"/>
          <w:bCs w:val="0"/>
          <w:color w:val="auto"/>
          <w:highlight w:val="auto"/>
        </w:rPr>
        <w:t>府性基金预算财政拨款收入支出决算表</w:t>
      </w:r>
      <w:bookmarkEnd w:id="76"/>
    </w:p>
    <w:p>
      <w:pPr>
        <w:pStyle w:val="2"/>
        <w:keepNext/>
        <w:keepLines/>
        <w:pageBreakBefore w:val="0"/>
        <w:widowControl w:val="0"/>
        <w:suppressAutoHyphens/>
        <w:kinsoku/>
        <w:wordWrap/>
        <w:overflowPunct/>
        <w:topLinePunct w:val="0"/>
        <w:bidi w:val="0"/>
        <w:spacing w:line="560" w:lineRule="exact"/>
        <w:textAlignment w:val="auto"/>
        <w:rPr>
          <w:rFonts w:ascii="仿宋" w:eastAsia="仿宋"/>
          <w:color w:val="auto"/>
          <w:highlight w:val="auto"/>
        </w:rPr>
      </w:pPr>
      <w:bookmarkStart w:id="77" w:name="_Toc15396629"/>
      <w:bookmarkStart w:id="78" w:name="_Toc225"/>
      <w:r>
        <w:rPr>
          <w:rStyle w:val="2Char"/>
          <w:rFonts w:ascii="仿宋" w:eastAsia="仿宋" w:hint="eastAsia"/>
          <w:b w:val="0"/>
          <w:bCs w:val="0"/>
          <w:color w:val="auto"/>
          <w:highlight w:val="auto"/>
        </w:rPr>
        <w:t>十一、</w:t>
      </w:r>
      <w:bookmarkEnd w:id="77"/>
      <w:r>
        <w:rPr>
          <w:rFonts w:ascii="仿宋" w:eastAsia="仿宋" w:hint="eastAsia"/>
          <w:b w:val="0"/>
          <w:color w:val="auto"/>
          <w:highlight w:val="auto"/>
        </w:rPr>
        <w:t>国</w:t>
      </w:r>
      <w:r>
        <w:rPr>
          <w:rStyle w:val="2Char"/>
          <w:rFonts w:ascii="仿宋" w:eastAsia="仿宋" w:hint="eastAsia"/>
          <w:b w:val="0"/>
          <w:bCs w:val="0"/>
          <w:color w:val="auto"/>
          <w:highlight w:val="auto"/>
        </w:rPr>
        <w:t>有资本经营预算</w:t>
      </w:r>
      <w:r>
        <w:rPr>
          <w:rStyle w:val="2Char"/>
          <w:rFonts w:ascii="仿宋" w:eastAsia="仿宋" w:hint="eastAsia"/>
          <w:b w:val="0"/>
          <w:bCs w:val="0"/>
          <w:color w:val="auto"/>
          <w:lang w:eastAsia="zh-CN"/>
          <w:highlight w:val="auto"/>
        </w:rPr>
        <w:t>财政拨款收入</w:t>
      </w:r>
      <w:r>
        <w:rPr>
          <w:rStyle w:val="2Char"/>
          <w:rFonts w:ascii="仿宋" w:eastAsia="仿宋" w:hint="eastAsia"/>
          <w:b w:val="0"/>
          <w:bCs w:val="0"/>
          <w:color w:val="auto"/>
          <w:highlight w:val="auto"/>
        </w:rPr>
        <w:t>支出决算表</w:t>
      </w:r>
      <w:bookmarkEnd w:id="78"/>
    </w:p>
    <w:p>
      <w:pPr>
        <w:pStyle w:val="2"/>
        <w:keepNext/>
        <w:keepLines/>
        <w:pageBreakBefore w:val="0"/>
        <w:widowControl w:val="0"/>
        <w:suppressAutoHyphens/>
        <w:kinsoku/>
        <w:wordWrap/>
        <w:overflowPunct/>
        <w:topLinePunct w:val="0"/>
        <w:bidi w:val="0"/>
        <w:spacing w:line="560" w:lineRule="exact"/>
        <w:textAlignment w:val="auto"/>
        <w:rPr>
          <w:rFonts w:ascii="仿宋" w:eastAsia="仿宋"/>
          <w:color w:val="auto"/>
          <w:highlight w:val="auto"/>
        </w:rPr>
      </w:pPr>
      <w:bookmarkStart w:id="79" w:name="_Toc15396630"/>
      <w:bookmarkStart w:id="80" w:name="_Toc28402"/>
      <w:r>
        <w:rPr>
          <w:rStyle w:val="2Char"/>
          <w:rFonts w:ascii="仿宋" w:eastAsia="仿宋" w:hint="eastAsia"/>
          <w:b w:val="0"/>
          <w:bCs w:val="0"/>
          <w:color w:val="auto"/>
          <w:highlight w:val="auto"/>
        </w:rPr>
        <w:t>十二、</w:t>
      </w:r>
      <w:bookmarkEnd w:id="79"/>
      <w:r>
        <w:rPr>
          <w:rStyle w:val="2Char"/>
          <w:rFonts w:ascii="仿宋" w:eastAsia="仿宋" w:hint="eastAsia"/>
          <w:b w:val="0"/>
          <w:bCs w:val="0"/>
          <w:color w:val="auto"/>
          <w:lang w:eastAsia="zh-CN"/>
          <w:highlight w:val="auto"/>
        </w:rPr>
        <w:t>国有资本经营预算财政拨款支出决算表</w:t>
      </w:r>
      <w:bookmarkEnd w:id="80"/>
    </w:p>
    <w:p>
      <w:pPr>
        <w:pStyle w:val="2"/>
        <w:keepNext/>
        <w:keepLines/>
        <w:pageBreakBefore w:val="0"/>
        <w:widowControl w:val="0"/>
        <w:suppressAutoHyphens/>
        <w:kinsoku/>
        <w:wordWrap/>
        <w:overflowPunct/>
        <w:topLinePunct w:val="0"/>
        <w:bidi w:val="0"/>
        <w:spacing w:line="560" w:lineRule="exact"/>
        <w:textAlignment w:val="auto"/>
        <w:rPr>
          <w:rStyle w:val="2Char"/>
          <w:rFonts w:ascii="仿宋" w:eastAsia="仿宋" w:hint="eastAsia"/>
          <w:b w:val="0"/>
          <w:bCs w:val="0"/>
          <w:color w:val="auto"/>
          <w:lang w:eastAsia="zh-CN"/>
          <w:highlight w:val="auto"/>
        </w:rPr>
      </w:pPr>
      <w:bookmarkStart w:id="81" w:name="_Toc15396631"/>
      <w:bookmarkStart w:id="82" w:name="_Toc1699"/>
      <w:r>
        <w:rPr>
          <w:rStyle w:val="2Char"/>
          <w:rFonts w:ascii="仿宋" w:eastAsia="仿宋" w:hint="eastAsia"/>
          <w:b w:val="0"/>
          <w:bCs w:val="0"/>
          <w:color w:val="auto"/>
          <w:highlight w:val="auto"/>
        </w:rPr>
        <w:t>十三、</w:t>
      </w:r>
      <w:bookmarkEnd w:id="81"/>
      <w:r>
        <w:rPr>
          <w:rStyle w:val="2Char"/>
          <w:rFonts w:ascii="仿宋" w:eastAsia="仿宋" w:hint="eastAsia"/>
          <w:b w:val="0"/>
          <w:bCs w:val="0"/>
          <w:color w:val="auto"/>
          <w:lang w:eastAsia="zh-CN"/>
          <w:highlight w:val="auto"/>
        </w:rPr>
        <w:t>财政拨款“三公”经费支出决算表</w:t>
      </w:r>
      <w:bookmarkEnd w:id="82"/>
    </w:p>
    <w:p>
      <w:pPr>
        <w:pageBreakBefore w:val="0"/>
        <w:widowControl w:val="0"/>
        <w:suppressAutoHyphens/>
        <w:kinsoku/>
        <w:wordWrap/>
        <w:overflowPunct/>
        <w:topLinePunct w:val="0"/>
        <w:bidi w:val="0"/>
        <w:spacing w:line="560" w:lineRule="exact"/>
        <w:textAlignment w:val="auto"/>
      </w:pPr>
    </w:p>
    <w:sectPr>
      <w:pgSz w:w="11906" w:h="16838"/>
      <w:pgMar w:top="1440" w:right="1800" w:bottom="1440" w:left="1800" w:header="720" w:footer="720"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方正小标宋简体">
    <w:panose1 w:val="02010601030101010101"/>
    <w:charset w:val="86"/>
    <w:family w:val="script"/>
    <w:pitch w:val="variable"/>
    <w:sig w:usb0="00000001" w:usb1="080E0000" w:usb2="00000000" w:usb3="00000000" w:csb0="00040000" w:csb1="00000000"/>
  </w:font>
  <w:font w:name="Times New Roman">
    <w:panose1 w:val="02020603050405020304"/>
    <w:charset w:val="01"/>
    <w:family w:val="auto"/>
    <w:pitch w:val="variable"/>
    <w:sig w:usb0="E0002AFF" w:usb1="C0007841" w:usb2="00000009" w:usb3="00000000" w:csb0="400001FF" w:csb1="FFFF0000"/>
  </w:font>
  <w:font w:name="黑体">
    <w:panose1 w:val="02010609060101010101"/>
    <w:charset w:val="86"/>
    <w:family w:val="auto"/>
    <w:pitch w:val="variable"/>
    <w:sig w:usb0="800002BF" w:usb1="38CF7CFA" w:usb2="00000016" w:usb3="00000000" w:csb0="00040001" w:csb1="00000000"/>
  </w:font>
  <w:font w:name="宋体">
    <w:panose1 w:val="02010600030101010101"/>
    <w:charset w:val="7A"/>
    <w:family w:val="auto"/>
    <w:pitch w:val="variable"/>
    <w:sig w:usb0="00000003" w:usb1="288F0000" w:usb2="00000006" w:usb3="00000000" w:csb0="00040001" w:csb1="00000000"/>
  </w:font>
  <w:font w:name="仿宋">
    <w:altName w:val="仿宋_GB2312"/>
    <w:panose1 w:val="02010609060101010101"/>
    <w:charset w:val="86"/>
    <w:family w:val="modern"/>
    <w:pitch w:val="variable"/>
    <w:sig w:usb0="800002BF" w:usb1="38CF7CFA" w:usb2="00000016" w:usb3="00000000" w:csb0="00040001" w:csb1="00000000"/>
  </w:font>
  <w:font w:name="仿宋_GB2312">
    <w:panose1 w:val="02010609030101010101"/>
    <w:charset w:val="86"/>
    <w:family w:val="modern"/>
    <w:pitch w:val="variable"/>
    <w:sig w:usb0="00000001" w:usb1="080E0000" w:usb2="00000000" w:usb3="00000000" w:csb0="00040000" w:csb1="00000000"/>
  </w:font>
  <w:font w:name="楷体_GB2312">
    <w:altName w:val="楷体"/>
    <w:panose1 w:val="02010609030101010101"/>
    <w:charset w:val="86"/>
    <w:family w:val="auto"/>
    <w:pitch w:val="variable"/>
    <w:sig w:usb0="00000000" w:usb1="00000000" w:usb2="00000000" w:usb3="00000000" w:csb0="00040000" w:csb1="00000000"/>
  </w:font>
  <w:font w:name="微软雅黑">
    <w:altName w:val="宋体"/>
    <w:panose1 w:val="020B0503020204020204"/>
    <w:charset w:val="86"/>
    <w:family w:val="auto"/>
    <w:pitch w:val="variable"/>
    <w:sig w:usb0="80000287" w:usb1="280F3C52" w:usb2="00000016" w:usb3="00000000" w:csb0="0004001F" w:csb1="00000000"/>
  </w:font>
  <w:font w:name="Calibri">
    <w:altName w:val="Times New Roman"/>
    <w:panose1 w:val="020F0502020204030204"/>
    <w:charset w:val="00"/>
    <w:family w:val="swiss"/>
    <w:pitch w:val="variable"/>
    <w:sig w:usb0="E00002FF" w:usb1="4000ACFF" w:usb2="00000001" w:usb3="00000000" w:csb0="2000019F" w:csb1="00000000"/>
  </w:font>
  <w:font w:name="Cambria">
    <w:altName w:val="DejaVu Sans"/>
    <w:panose1 w:val="02040503050406030204"/>
    <w:charset w:val="00"/>
    <w:family w:val="roman"/>
    <w:pitch w:val="variable"/>
    <w:sig w:usb0="E00002FF" w:usb1="400004FF" w:usb2="00000000" w:usb3="00000000" w:csb0="2000019F" w:csb1="00000000"/>
  </w:font>
  <w:font w:name="Arial">
    <w:altName w:val="DejaVu Sans"/>
    <w:panose1 w:val="020B0604020202020204"/>
    <w:charset w:val="01"/>
    <w:family w:val="swiss"/>
    <w:pitch w:val="variable"/>
    <w:sig w:usb0="E0002AFF" w:usb1="C0007843" w:usb2="00000009" w:usb3="00000000" w:csb0="400001FF" w:csb1="FFFF0000"/>
  </w:font>
  <w:font w:name="Liberation Sans">
    <w:altName w:val="宋体"/>
    <w:panose1 w:val="00000000000000000000"/>
    <w:charset w:val="00"/>
    <w:family w:val="swiss"/>
    <w:pitch w:val="variable"/>
    <w:sig w:usb0="00000000" w:usb1="00000000" w:usb2="00000000" w:usb3="00000000" w:csb0="00040001" w:csb1="00000000"/>
  </w:font>
  <w:font w:name="Noto Sans CJK SC Regular">
    <w:altName w:val="宋体"/>
    <w:panose1 w:val="020B0500000000000000"/>
    <w:charset w:val="86"/>
    <w:family w:val="auto"/>
    <w:pitch w:val="variable"/>
    <w:sig w:usb0="00000000" w:usb1="00000000" w:usb2="00000016" w:usb3="00000000" w:csb0="602E0107" w:csb1="00000000"/>
  </w:font>
  <w:font w:name="??">
    <w:altName w:val="Times New Roman"/>
    <w:panose1 w:val="00000000000000000000"/>
    <w:charset w:val="00"/>
    <w:family w:val="roman"/>
    <w:pitch w:val="variable"/>
    <w:sig w:usb0="00000000" w:usb1="00000000" w:usb2="00000000" w:usb3="00000000" w:csb0="00040001" w:csb1="00000000"/>
  </w:font>
</w:fonts>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nsid w:val="1272550B"/>
    <w:multiLevelType w:val="multilevel"/>
    <w:tmpl w:val="1272550B"/>
    <w:lvl w:ilvl="0">
      <w:start w:val="1"/>
      <w:numFmt w:val="japaneseCounting"/>
      <w:lvlRestart w:val="0"/>
      <w:lvlText w:val="%1、"/>
      <w:lvlJc w:val="left"/>
      <w:pPr>
        <w:tabs>
          <w:tab w:val="num" w:pos="0"/>
        </w:tabs>
        <w:ind w:left="1360" w:hanging="720"/>
      </w:pPr>
      <w:rPr>
        <w:rFonts w:hint="default"/>
        <w:b w:val="0"/>
      </w:rPr>
    </w:lvl>
    <w:lvl w:ilvl="1">
      <w:start w:val="1"/>
      <w:numFmt w:val="lowerLetter"/>
      <w:lvlText w:val="%2)"/>
      <w:lvlJc w:val="left"/>
      <w:pPr>
        <w:tabs>
          <w:tab w:val="num" w:pos="0"/>
        </w:tabs>
        <w:ind w:left="1480" w:hanging="420"/>
      </w:pPr>
    </w:lvl>
    <w:lvl w:ilvl="2">
      <w:start w:val="1"/>
      <w:numFmt w:val="lowerRoman"/>
      <w:lvlText w:val="%3."/>
      <w:lvlJc w:val="right"/>
      <w:pPr>
        <w:tabs>
          <w:tab w:val="num" w:pos="0"/>
        </w:tabs>
        <w:ind w:left="1900" w:hanging="420"/>
      </w:pPr>
    </w:lvl>
    <w:lvl w:ilvl="3">
      <w:start w:val="1"/>
      <w:numFmt w:val="decimal"/>
      <w:lvlText w:val="%4."/>
      <w:lvlJc w:val="left"/>
      <w:pPr>
        <w:tabs>
          <w:tab w:val="num" w:pos="0"/>
        </w:tabs>
        <w:ind w:left="2320" w:hanging="420"/>
      </w:pPr>
    </w:lvl>
    <w:lvl w:ilvl="4">
      <w:start w:val="1"/>
      <w:numFmt w:val="lowerLetter"/>
      <w:lvlText w:val="%5)"/>
      <w:lvlJc w:val="left"/>
      <w:pPr>
        <w:tabs>
          <w:tab w:val="num" w:pos="0"/>
        </w:tabs>
        <w:ind w:left="2740" w:hanging="420"/>
      </w:pPr>
    </w:lvl>
    <w:lvl w:ilvl="5">
      <w:start w:val="1"/>
      <w:numFmt w:val="lowerRoman"/>
      <w:lvlText w:val="%6."/>
      <w:lvlJc w:val="right"/>
      <w:pPr>
        <w:tabs>
          <w:tab w:val="num" w:pos="0"/>
        </w:tabs>
        <w:ind w:left="3160" w:hanging="420"/>
      </w:pPr>
    </w:lvl>
    <w:lvl w:ilvl="6">
      <w:start w:val="1"/>
      <w:numFmt w:val="decimal"/>
      <w:lvlText w:val="%7."/>
      <w:lvlJc w:val="left"/>
      <w:pPr>
        <w:tabs>
          <w:tab w:val="num" w:pos="0"/>
        </w:tabs>
        <w:ind w:left="3580" w:hanging="420"/>
      </w:pPr>
    </w:lvl>
    <w:lvl w:ilvl="7">
      <w:start w:val="1"/>
      <w:numFmt w:val="lowerLetter"/>
      <w:lvlText w:val="%8)"/>
      <w:lvlJc w:val="left"/>
      <w:pPr>
        <w:tabs>
          <w:tab w:val="num" w:pos="0"/>
        </w:tabs>
        <w:ind w:left="4000" w:hanging="420"/>
      </w:pPr>
    </w:lvl>
    <w:lvl w:ilvl="8">
      <w:start w:val="1"/>
      <w:numFmt w:val="lowerRoman"/>
      <w:lvlText w:val="%9."/>
      <w:lvlJc w:val="right"/>
      <w:pPr>
        <w:tabs>
          <w:tab w:val="num" w:pos="0"/>
        </w:tabs>
        <w:ind w:left="4420" w:hanging="420"/>
      </w:pPr>
    </w:lvl>
  </w:abstractNum>
  <w:abstractNum w:abstractNumId="1">
    <w:nsid w:val="CF652CEC"/>
    <w:multiLevelType w:val="singleLevel"/>
    <w:tmpl w:val="CF652CEC"/>
    <w:lvl w:ilvl="0">
      <w:start w:val="9"/>
      <w:numFmt w:val="chineseCounting"/>
      <w:lvlRestart w:val="0"/>
      <w:suff w:val="nothing"/>
      <w:lvlText w:val="%1、"/>
      <w:lvlJc w:val="left"/>
      <w:pPr>
        <w:tabs>
          <w:tab w:val="num" w:pos="0"/>
        </w:tabs>
        <w:ind w:left="0" w:hanging="0"/>
      </w:pPr>
      <w:rPr>
        <w:rFonts w:hint="eastAsia"/>
      </w:rPr>
    </w:lvl>
  </w:abstractNum>
  <w:num w:numId="1">
    <w:abstractNumId w:val="0"/>
  </w:num>
  <w:num w:numId="2">
    <w:abstractNumId w:val="1"/>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displayBackgroundShape/>
  <w:bordersDoNotSurroundHeader w:val="0"/>
  <w:bordersDoNotSurroundFooter w:val="0"/>
  <w:defaultTabStop w:val="420"/>
  <w:drawingGridHorizontalSpacing w:val="1"/>
  <w:drawingGridVerticalSpacing w:val="1"/>
  <w:doNotUseMarginsForDrawingGridOrigin/>
  <w:drawingGridHorizontalOrigin w:val="0"/>
  <w:drawingGridVerticalOrigin w:val="0"/>
  <w:displayHorizontalDrawingGridEvery w:val="1"/>
  <w:displayVerticalDrawingGridEvery w:val="1"/>
  <w:noPunctuationKerning/>
  <w:characterSpacingControl w:val="compressPunctuation"/>
  <w:compat>
    <w:spaceForUL/>
    <w:balanceSingleByteDoubleByteWidth/>
    <w:ulTrailSpace/>
    <w:doNotExpandShiftReturn/>
    <w:adjustLineHeightInTable/>
    <w:doNotUseIndentAsNumberingTabStop/>
    <w:compatSetting w:name="compatibilityMode" w:uri="http://schemas.microsoft.com/office/word" w:val="14"/>
  </w:compat>
  <w:docVars>
    <w:docVar w:name="commondata" w:val="eyJoZGlkIjoiNjhjN2ExZmE2ZGVjZTFmOGNiMjRmZmUzNWZmZWE1MmQifQ=="/>
  </w:docVars>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next w:val="15"/>
    <w:pPr>
      <w:widowControl w:val="0"/>
      <w:suppressAutoHyphens/>
      <w:bidi w:val="0"/>
      <w:jc w:val="both"/>
    </w:pPr>
    <w:rPr>
      <w:rFonts w:ascii="Calibri" w:eastAsia="宋体" w:cs="Times New Roman" w:hAnsi="Calibri"/>
      <w:color w:val="auto"/>
      <w:kern w:val="2"/>
      <w:sz w:val="21"/>
      <w:szCs w:val="24"/>
      <w:lang w:val="en-US" w:eastAsia="zh-CN" w:bidi="ar-SA"/>
    </w:rPr>
  </w:style>
  <w:style w:type="paragraph" w:styleId="1">
    <w:name w:val="heading 1"/>
    <w:basedOn w:val="0"/>
    <w:next w:val="0"/>
    <w:link w:val="1Char"/>
    <w:pPr>
      <w:keepNext/>
      <w:keepLines/>
      <w:widowControl w:val="0"/>
      <w:suppressAutoHyphens/>
      <w:spacing w:before="340" w:after="330" w:line="578" w:lineRule="auto"/>
      <w:outlineLvl w:val="0"/>
    </w:pPr>
    <w:rPr>
      <w:b/>
      <w:bCs/>
      <w:kern w:val="44"/>
      <w:sz w:val="44"/>
      <w:szCs w:val="44"/>
    </w:rPr>
  </w:style>
  <w:style w:type="character" w:customStyle="1" w:styleId="1Char">
    <w:name w:val="heading 1 Char"/>
    <w:basedOn w:val="10"/>
    <w:link w:val="1"/>
    <w:rPr>
      <w:rFonts w:ascii="Calibri" w:eastAsia="宋体" w:cs="Times New Roman" w:hAnsi="Calibri"/>
      <w:b/>
      <w:bCs/>
      <w:color w:val="auto"/>
      <w:kern w:val="44"/>
      <w:sz w:val="44"/>
      <w:szCs w:val="44"/>
      <w:lang w:val="en-US" w:eastAsia="zh-CN" w:bidi="ar-SA"/>
    </w:rPr>
  </w:style>
  <w:style w:type="paragraph" w:styleId="2">
    <w:name w:val="heading 2"/>
    <w:basedOn w:val="0"/>
    <w:next w:val="0"/>
    <w:link w:val="2Char"/>
    <w:pPr>
      <w:keepNext/>
      <w:keepLines/>
      <w:widowControl w:val="0"/>
      <w:suppressAutoHyphens/>
      <w:spacing w:before="260" w:after="260" w:line="415" w:lineRule="auto"/>
      <w:outlineLvl w:val="1"/>
    </w:pPr>
    <w:rPr>
      <w:rFonts w:ascii="Cambria" w:eastAsia="宋体" w:cs="Times New Roman" w:hAnsi="Cambria"/>
      <w:b/>
      <w:bCs/>
      <w:sz w:val="32"/>
      <w:szCs w:val="32"/>
    </w:rPr>
  </w:style>
  <w:style w:type="character" w:customStyle="1" w:styleId="2Char">
    <w:name w:val="heading 2 Char"/>
    <w:basedOn w:val="10"/>
    <w:link w:val="2"/>
    <w:rPr>
      <w:rFonts w:ascii="Cambria" w:eastAsia="宋体" w:cs="Times New Roman" w:hAnsi="Cambria"/>
      <w:b/>
      <w:bCs/>
      <w:color w:val="auto"/>
      <w:kern w:val="2"/>
      <w:sz w:val="32"/>
      <w:szCs w:val="32"/>
      <w:lang w:val="en-US" w:eastAsia="zh-CN" w:bidi="ar-SA"/>
    </w:rPr>
  </w:style>
  <w:style w:type="paragraph" w:styleId="3">
    <w:name w:val="heading 3"/>
    <w:basedOn w:val="0"/>
    <w:next w:val="0"/>
    <w:pPr>
      <w:keepNext/>
      <w:keepLines/>
      <w:widowControl w:val="0"/>
      <w:suppressAutoHyphens/>
      <w:spacing w:before="260" w:after="260" w:line="415" w:lineRule="auto"/>
      <w:outlineLvl w:val="2"/>
    </w:pPr>
    <w:rPr>
      <w:b/>
      <w:bCs/>
      <w:sz w:val="32"/>
      <w:szCs w:val="32"/>
    </w:rPr>
  </w:style>
  <w:style w:type="character" w:default="1" w:styleId="10">
    <w:name w:val="Default Paragraph Font"/>
  </w:style>
  <w:style w:type="paragraph" w:customStyle="1" w:styleId="15">
    <w:name w:val="标题 5（有编号）（绿盟科技）"/>
    <w:next w:val="0"/>
    <w:pPr>
      <w:keepNext/>
      <w:keepLines/>
      <w:widowControl w:val="0"/>
      <w:spacing w:before="280" w:after="156" w:line="377" w:lineRule="auto"/>
      <w:outlineLvl w:val="4"/>
    </w:pPr>
    <w:rPr>
      <w:rFonts w:ascii="Arial" w:eastAsia="黑体" w:cs="Times New Roman" w:hAnsi="Arial"/>
      <w:b/>
      <w:kern w:val="2"/>
      <w:sz w:val="24"/>
      <w:szCs w:val="28"/>
      <w:lang w:val="en-US" w:eastAsia="zh-CN" w:bidi="ar-SA"/>
    </w:rPr>
  </w:style>
  <w:style w:type="paragraph" w:styleId="16">
    <w:name w:val="caption"/>
    <w:basedOn w:val="0"/>
    <w:next w:val="0"/>
    <w:pPr>
      <w:widowControl w:val="0"/>
      <w:suppressLineNumbers/>
      <w:suppressAutoHyphens/>
      <w:spacing w:before="120" w:after="120"/>
    </w:pPr>
    <w:rPr>
      <w:i/>
      <w:iCs/>
      <w:sz w:val="24"/>
      <w:szCs w:val="24"/>
    </w:rPr>
  </w:style>
  <w:style w:type="paragraph" w:styleId="17">
    <w:name w:val="Body Text"/>
    <w:basedOn w:val="0"/>
    <w:pPr>
      <w:spacing w:before="0" w:after="140" w:line="276" w:lineRule="auto"/>
    </w:pPr>
  </w:style>
  <w:style w:type="paragraph" w:styleId="18">
    <w:name w:val="Body Text Indent"/>
    <w:basedOn w:val="0"/>
    <w:next w:val="19"/>
    <w:pPr>
      <w:spacing w:after="120"/>
      <w:ind w:leftChars="200" w:left="200"/>
    </w:pPr>
    <w:rPr>
      <w:rFonts w:ascii="仿宋_GB2312" w:hAnsi="仿宋_GB2312"/>
      <w:szCs w:val="32"/>
    </w:rPr>
  </w:style>
  <w:style w:type="paragraph" w:styleId="19">
    <w:name w:val="Body Text First Indent 2"/>
    <w:basedOn w:val="18"/>
    <w:pPr>
      <w:ind w:firstLineChars="200" w:firstLine="200"/>
    </w:pPr>
  </w:style>
  <w:style w:type="paragraph" w:styleId="20">
    <w:name w:val="toc 1"/>
    <w:basedOn w:val="0"/>
    <w:next w:val="0"/>
    <w:pPr>
      <w:tabs>
        <w:tab w:val="right" w:leader="dot" w:pos="8296"/>
      </w:tabs>
      <w:spacing w:before="93"/>
      <w:jc w:val="center"/>
    </w:pPr>
    <w:rPr>
      <w:rFonts w:ascii="仿宋" w:eastAsia="仿宋"/>
      <w:sz w:val="28"/>
      <w:szCs w:val="28"/>
    </w:rPr>
  </w:style>
  <w:style w:type="paragraph" w:styleId="21">
    <w:name w:val="List"/>
    <w:basedOn w:val="17"/>
  </w:style>
  <w:style w:type="paragraph" w:styleId="22">
    <w:name w:val="footnote text"/>
    <w:basedOn w:val="0"/>
    <w:next w:val="19"/>
    <w:pPr>
      <w:snapToGrid w:val="0"/>
      <w:jc w:val="left"/>
    </w:pPr>
    <w:rPr>
      <w:sz w:val="18"/>
      <w:szCs w:val="18"/>
    </w:rPr>
  </w:style>
  <w:style w:type="paragraph" w:styleId="23">
    <w:name w:val="table of figures"/>
    <w:basedOn w:val="0"/>
    <w:next w:val="0"/>
    <w:pPr>
      <w:ind w:leftChars="200" w:left="400" w:hangingChars="200" w:hanging="200"/>
    </w:pPr>
    <w:rPr>
      <w:sz w:val="32"/>
      <w:szCs w:val="21"/>
    </w:rPr>
  </w:style>
  <w:style w:type="paragraph" w:styleId="24">
    <w:name w:val="toc 2"/>
    <w:basedOn w:val="0"/>
    <w:next w:val="0"/>
    <w:pPr>
      <w:tabs>
        <w:tab w:val="right" w:leader="dot" w:pos="8296"/>
      </w:tabs>
      <w:ind w:leftChars="200" w:left="200"/>
    </w:pPr>
  </w:style>
  <w:style w:type="paragraph" w:styleId="25">
    <w:name w:val="Normal (Web)"/>
    <w:basedOn w:val="0"/>
    <w:pPr>
      <w:spacing w:before="100" w:beforeAutospacing="1" w:after="100" w:afterAutospacing="1"/>
      <w:ind w:left="0" w:right="0"/>
      <w:jc w:val="left"/>
    </w:pPr>
    <w:rPr>
      <w:kern w:val="0"/>
      <w:sz w:val="24"/>
      <w:lang w:val="en-US" w:eastAsia="zh-CN"/>
    </w:rPr>
  </w:style>
  <w:style w:type="character" w:styleId="26">
    <w:name w:val="Strong"/>
    <w:basedOn w:val="10"/>
    <w:rPr>
      <w:b/>
    </w:rPr>
  </w:style>
  <w:style w:type="character" w:styleId="27">
    <w:name w:val="Hyperlink"/>
    <w:basedOn w:val="10"/>
    <w:rPr>
      <w:color w:val="0000FF"/>
      <w:u w:val="single"/>
    </w:rPr>
  </w:style>
  <w:style w:type="character" w:customStyle="1" w:styleId="28">
    <w:name w:val="默认段落字体1"/>
  </w:style>
  <w:style w:type="paragraph" w:customStyle="1" w:styleId="29">
    <w:name w:val="Heading"/>
    <w:basedOn w:val="0"/>
    <w:next w:val="17"/>
    <w:pPr>
      <w:keepNext/>
      <w:widowControl w:val="0"/>
      <w:suppressAutoHyphens/>
      <w:spacing w:before="240" w:after="120"/>
    </w:pPr>
    <w:rPr>
      <w:rFonts w:ascii="Liberation Sans" w:eastAsia="Noto Sans CJK SC Regular" w:cs="Noto Sans CJK SC Regular" w:hAnsi="Liberation Sans"/>
      <w:sz w:val="28"/>
      <w:szCs w:val="28"/>
      <w:lang w:bidi="ar-SA"/>
    </w:rPr>
  </w:style>
  <w:style w:type="paragraph" w:customStyle="1" w:styleId="30">
    <w:name w:val="Index"/>
    <w:basedOn w:val="0"/>
    <w:pPr>
      <w:widowControl w:val="0"/>
      <w:suppressLineNumbers/>
      <w:suppressAutoHyphens/>
    </w:pPr>
  </w:style>
  <w:style w:type="paragraph" w:customStyle="1" w:styleId="31">
    <w:name w:val="List Paragraph"/>
    <w:basedOn w:val="0"/>
    <w:pPr>
      <w:ind w:firstLineChars="200" w:firstLine="200"/>
    </w:pPr>
  </w:style>
  <w:style w:type="paragraph" w:customStyle="1" w:styleId="32">
    <w:name w:val="Default"/>
    <w:pPr>
      <w:widowControl w:val="0"/>
      <w:autoSpaceDE w:val="0"/>
      <w:autoSpaceDN w:val="0"/>
      <w:adjustRightInd w:val="0"/>
    </w:pPr>
    <w:rPr>
      <w:rFonts w:ascii="仿宋" w:eastAsia="仿宋" w:cs="仿宋"/>
      <w:color w:val="000000"/>
      <w:sz w:val="24"/>
      <w:szCs w:val="24"/>
      <w:lang w:val="en-US" w:eastAsia="zh-CN" w:bidi="ar-SA"/>
    </w:rPr>
  </w:style>
  <w:style w:type="paragraph" w:customStyle="1" w:styleId="33">
    <w:name w:val="四号正文"/>
    <w:basedOn w:val="0"/>
    <w:pPr>
      <w:spacing w:line="360" w:lineRule="auto"/>
    </w:pPr>
    <w:rPr>
      <w:rFonts w:ascii="??" w:eastAsia="宋体" w:hAnsi="??"/>
      <w:color w:val="000000"/>
      <w:kern w:val="0"/>
      <w:sz w:val="28"/>
      <w:szCs w:val="21"/>
      <w:lang w:val="zh-CN" w:eastAsia="zh-CN"/>
    </w:rPr>
  </w:style>
  <w:style w:type="paragraph" w:customStyle="1" w:styleId="34">
    <w:name w:val="WPSOffice手动目录 1"/>
    <w:rPr>
      <w:rFonts w:ascii="Times New Roman" w:eastAsia="宋体" w:cs="Times New Roman" w:hAnsi="Times New Roman"/>
      <w:sz w:val="20"/>
      <w:szCs w:val="20"/>
      <w:lang w:val="en-US" w:eastAsia="zh-CN" w:bidi="ar-SA"/>
    </w:rPr>
  </w:style>
  <w:style w:type="paragraph" w:customStyle="1" w:styleId="35">
    <w:name w:val="WPSOffice手动目录 2"/>
    <w:pPr>
      <w:ind w:leftChars="200" w:left="200"/>
    </w:pPr>
    <w:rPr>
      <w:rFonts w:ascii="Times New Roman" w:eastAsia="宋体" w:cs="Times New Roman" w:hAnsi="Times New Roman"/>
      <w:sz w:val="20"/>
      <w:szCs w:val="20"/>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image" Target="media/2.emf"/><Relationship Id="rId3" Type="http://schemas.openxmlformats.org/officeDocument/2006/relationships/oleObject" Target="embeddings/oleObject1.bin"/><Relationship Id="rId4" Type="http://schemas.openxmlformats.org/officeDocument/2006/relationships/image" Target="media/4.png"/><Relationship Id="rId5" Type="http://schemas.openxmlformats.org/officeDocument/2006/relationships/image" Target="media/7.png"/><Relationship Id="rId6" Type="http://schemas.openxmlformats.org/officeDocument/2006/relationships/image" Target="media/10.png"/><Relationship Id="rId7" Type="http://schemas.openxmlformats.org/officeDocument/2006/relationships/image" Target="media/13.png"/><Relationship Id="rId8" Type="http://schemas.openxmlformats.org/officeDocument/2006/relationships/image" Target="media/16.png"/><Relationship Id="rId9" Type="http://schemas.openxmlformats.org/officeDocument/2006/relationships/image" Target="media/19.png"/><Relationship Id="rId10" Type="http://schemas.openxmlformats.org/officeDocument/2006/relationships/image" Target="media/22.png"/><Relationship Id="rId11" Type="http://schemas.openxmlformats.org/officeDocument/2006/relationships/styles" Target="styles.xml"/><Relationship Id="rId12" Type="http://schemas.openxmlformats.org/officeDocument/2006/relationships/numbering" Target="numbering.xml"/><Relationship Id="rId13" Type="http://schemas.openxmlformats.org/officeDocument/2006/relationships/fontTable" Target="fontTable.xml"/></Relationships>
</file>

<file path=docProps/app.xml><?xml version="1.0" encoding="utf-8"?>
<Properties xmlns="http://schemas.openxmlformats.org/officeDocument/2006/extended-properties">
  <Template>Normal.eit</Template>
  <TotalTime>18</TotalTime>
  <Application>Yozo_Office27021597764231179</Application>
  <Pages>52</Pages>
  <Words>17554</Words>
  <Characters>19228</Characters>
  <Lines>2424</Lines>
  <Paragraphs>1348</Paragraphs>
  <CharactersWithSpaces>19325</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creator>user</dc:creator>
  <cp:lastModifiedBy>user</cp:lastModifiedBy>
  <cp:revision>2</cp:revision>
  <cp:lastPrinted>2026-09-04T01:27:08Z</cp:lastPrinted>
  <dcterms:created xsi:type="dcterms:W3CDTF">2018-11-27T01:47:00Z</dcterms:created>
  <dcterms:modified xsi:type="dcterms:W3CDTF">2026-09-15T01:36:04Z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2052-12.1.0.28505</vt:lpwstr>
  </property>
  <property fmtid="{D5CDD505-2E9C-101B-9397-08002B2CF9AE}" pid="3" name="ICV">
    <vt:lpwstr>96DC34A0765E4D1DA33E09F0C6EAEDAE_13</vt:lpwstr>
  </property>
  <property fmtid="{D5CDD505-2E9C-101B-9397-08002B2CF9AE}" pid="4" name="KSOTemplateDocerSaveRecord">
    <vt:lpwstr>eyJoZGlkIjoiM2I4NWY2ZWQ3NGJjZWZiMjEwMWZmYzhhNWQyMmI5NjAiLCJ1c2VySWQiOiI2NzIxMjEyOTYifQ==</vt:lpwstr>
  </property>
</Properties>
</file>