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93"/>
        <w:rPr>
          <w:rFonts w:ascii="Times New Roman" w:eastAsia="方正小标宋简体"/>
          <w:kern w:val="2"/>
          <w:sz w:val="44"/>
          <w:szCs w:val="44"/>
        </w:rPr>
      </w:pPr>
      <w:bookmarkStart w:id="0" w:name="_Toc15377425"/>
      <w:bookmarkStart w:id="1" w:name="_Toc15396597"/>
      <w:bookmarkStart w:id="2" w:name="_Toc15378441"/>
      <w:bookmarkStart w:id="3" w:name="_Toc15396475"/>
      <w:bookmarkStart w:id="4" w:name="_Toc15377193"/>
      <w:bookmarkStart w:id="5" w:name="_Toc15306267"/>
    </w:p>
    <w:bookmarkEnd w:id="0"/>
    <w:bookmarkEnd w:id="1"/>
    <w:bookmarkEnd w:id="2"/>
    <w:bookmarkEnd w:id="3"/>
    <w:bookmarkEnd w:id="4"/>
    <w:p>
      <w:pPr>
        <w:pStyle w:val="6"/>
        <w:spacing w:before="93"/>
        <w:jc w:val="center"/>
        <w:rPr>
          <w:rFonts w:ascii="Times New Roman" w:eastAsia="方正小标宋简体"/>
          <w:kern w:val="2"/>
          <w:sz w:val="44"/>
          <w:szCs w:val="44"/>
        </w:rPr>
      </w:pPr>
      <w:bookmarkStart w:id="6" w:name="_Toc15377194"/>
      <w:bookmarkStart w:id="7" w:name="_Toc15396598"/>
      <w:bookmarkStart w:id="8" w:name="_Toc15377426"/>
      <w:bookmarkStart w:id="9" w:name="_Toc15378442"/>
      <w:bookmarkStart w:id="10" w:name="_Toc15396476"/>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rPr>
        <w:t>阿坝州茂县财政局</w:t>
      </w:r>
    </w:p>
    <w:p>
      <w:pPr>
        <w:pStyle w:val="6"/>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sdt>
      <w:sdtPr>
        <w:rPr>
          <w:rFonts w:hint="eastAsia" w:ascii="方正小标宋简体" w:hAnsi="宋体" w:eastAsia="方正小标宋简体"/>
          <w:sz w:val="44"/>
          <w:szCs w:val="44"/>
        </w:rPr>
        <w:id w:val="147477820"/>
        <w15:color w:val="DBDBDB"/>
        <w:docPartObj>
          <w:docPartGallery w:val="Table of Contents"/>
          <w:docPartUnique/>
        </w:docPartObj>
      </w:sdtPr>
      <w:sdtEndPr>
        <w:rPr>
          <w:rFonts w:hint="eastAsia" w:ascii="黑体" w:hAnsi="黑体" w:eastAsia="黑体" w:cs="黑体"/>
          <w:b/>
          <w:sz w:val="44"/>
          <w:szCs w:val="44"/>
        </w:rPr>
      </w:sdtEndPr>
      <w:sdtContent>
        <w:p>
          <w:pPr>
            <w:suppressAutoHyphens/>
            <w:spacing w:line="600" w:lineRule="exact"/>
            <w:jc w:val="center"/>
            <w:rPr>
              <w:rFonts w:ascii="方正小标宋简体" w:hAnsi="宋体" w:eastAsia="方正小标宋简体"/>
              <w:sz w:val="44"/>
              <w:szCs w:val="44"/>
            </w:rPr>
          </w:pPr>
          <w:bookmarkStart w:id="12" w:name="_Toc15396599"/>
          <w:bookmarkStart w:id="13" w:name="_Toc15377196"/>
          <w:r>
            <w:rPr>
              <w:rFonts w:hint="eastAsia" w:ascii="方正小标宋简体" w:hAnsi="宋体" w:eastAsia="方正小标宋简体"/>
              <w:sz w:val="44"/>
              <w:szCs w:val="44"/>
            </w:rPr>
            <w:t>目录</w:t>
          </w:r>
        </w:p>
        <w:p>
          <w:pPr>
            <w:pStyle w:val="13"/>
            <w:tabs>
              <w:tab w:val="right" w:leader="dot" w:pos="8306"/>
              <w:tab w:val="clear" w:pos="8296"/>
            </w:tabs>
            <w:suppressAutoHyphens/>
            <w:spacing w:line="600" w:lineRule="exact"/>
            <w:rPr>
              <w:rFonts w:ascii="黑体" w:hAnsi="黑体" w:eastAsia="黑体" w:cs="黑体"/>
              <w:sz w:val="32"/>
              <w:szCs w:val="32"/>
            </w:rPr>
          </w:pPr>
          <w:r>
            <w:rPr>
              <w:rFonts w:hint="eastAsia" w:ascii="黑体" w:hAnsi="黑体" w:eastAsia="黑体" w:cs="黑体"/>
              <w:sz w:val="32"/>
              <w:szCs w:val="32"/>
            </w:rPr>
            <w:t>公开时间：2026年9月4日</w:t>
          </w:r>
        </w:p>
        <w:p/>
        <w:p>
          <w:pPr>
            <w:pStyle w:val="13"/>
            <w:tabs>
              <w:tab w:val="right" w:leader="dot" w:pos="8306"/>
              <w:tab w:val="clear" w:pos="8296"/>
            </w:tabs>
            <w:rPr>
              <w:rFonts w:ascii="黑体" w:hAnsi="黑体" w:eastAsia="黑体" w:cs="黑体"/>
            </w:rPr>
          </w:pPr>
          <w:r>
            <w:fldChar w:fldCharType="begin"/>
          </w:r>
          <w:r>
            <w:instrText xml:space="preserve">TOC \o "1-2" \h \u </w:instrText>
          </w:r>
          <w:r>
            <w:fldChar w:fldCharType="separate"/>
          </w:r>
          <w:r>
            <w:fldChar w:fldCharType="begin"/>
          </w:r>
          <w:r>
            <w:instrText xml:space="preserve"> HYPERLINK \l "_Toc24519" </w:instrText>
          </w:r>
          <w:r>
            <w:fldChar w:fldCharType="separate"/>
          </w:r>
          <w:r>
            <w:rPr>
              <w:rFonts w:hint="eastAsia" w:ascii="黑体" w:hAnsi="黑体" w:eastAsia="黑体" w:cs="黑体"/>
            </w:rPr>
            <w:t>第一部分  部门概况</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_Toc24519 \h </w:instrText>
          </w:r>
          <w:r>
            <w:rPr>
              <w:rFonts w:hint="eastAsia" w:ascii="黑体" w:hAnsi="黑体" w:eastAsia="黑体" w:cs="黑体"/>
            </w:rPr>
            <w:fldChar w:fldCharType="separate"/>
          </w:r>
          <w:r>
            <w:rPr>
              <w:rFonts w:hint="eastAsia" w:ascii="黑体" w:hAnsi="黑体" w:eastAsia="黑体" w:cs="黑体"/>
            </w:rPr>
            <w:t>4</w:t>
          </w:r>
          <w:r>
            <w:rPr>
              <w:rFonts w:hint="eastAsia" w:ascii="黑体" w:hAnsi="黑体" w:eastAsia="黑体" w:cs="黑体"/>
            </w:rPr>
            <w:fldChar w:fldCharType="end"/>
          </w:r>
          <w:r>
            <w:rPr>
              <w:rFonts w:hint="eastAsia" w:ascii="黑体" w:hAnsi="黑体" w:eastAsia="黑体" w:cs="黑体"/>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"_Toc9247" </w:instrText>
          </w:r>
          <w:r>
            <w:fldChar w:fldCharType="separate"/>
          </w:r>
          <w:r>
            <w:rPr>
              <w:rFonts w:hint="eastAsia" w:ascii="仿宋_GB2312" w:eastAsia="仿宋_GB2312"/>
              <w:color w:val="000000"/>
              <w:sz w:val="32"/>
              <w:szCs w:val="32"/>
              <w:lang w:val="zh-CN"/>
            </w:rPr>
            <w:t>一、部门职责</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_Toc9247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4</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"_Toc28353" </w:instrText>
          </w:r>
          <w:r>
            <w:fldChar w:fldCharType="separate"/>
          </w:r>
          <w:r>
            <w:rPr>
              <w:rFonts w:hint="eastAsia" w:ascii="仿宋_GB2312" w:eastAsia="仿宋_GB2312"/>
              <w:color w:val="000000"/>
              <w:sz w:val="32"/>
              <w:szCs w:val="32"/>
              <w:lang w:val="zh-CN"/>
            </w:rPr>
            <w:t>二、机构设置</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_Toc28353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6</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3"/>
            <w:tabs>
              <w:tab w:val="right" w:leader="dot" w:pos="8306"/>
              <w:tab w:val="clear" w:pos="8296"/>
            </w:tabs>
            <w:rPr>
              <w:rFonts w:ascii="黑体" w:hAnsi="黑体" w:eastAsia="黑体" w:cs="黑体"/>
            </w:rPr>
          </w:pPr>
          <w:r>
            <w:fldChar w:fldCharType="begin"/>
          </w:r>
          <w:r>
            <w:instrText xml:space="preserve"> HYPERLINK \l "_Toc22606" </w:instrText>
          </w:r>
          <w:r>
            <w:fldChar w:fldCharType="separate"/>
          </w:r>
          <w:r>
            <w:rPr>
              <w:rFonts w:hint="eastAsia" w:ascii="黑体" w:hAnsi="黑体" w:eastAsia="黑体" w:cs="黑体"/>
            </w:rPr>
            <w:t>第二部分  2025年度部门决算情况说明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_Toc22606 \h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"_Toc19962" </w:instrText>
          </w:r>
          <w:r>
            <w:fldChar w:fldCharType="separate"/>
          </w:r>
          <w:r>
            <w:rPr>
              <w:rFonts w:hint="eastAsia" w:ascii="仿宋_GB2312" w:eastAsia="仿宋_GB2312"/>
              <w:color w:val="000000"/>
              <w:sz w:val="32"/>
              <w:szCs w:val="32"/>
              <w:lang w:val="zh-CN"/>
            </w:rPr>
            <w:t>一、收入支出决算总体情况说明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_Toc19962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"_Toc27115" </w:instrText>
          </w:r>
          <w:r>
            <w:fldChar w:fldCharType="separate"/>
          </w:r>
          <w:r>
            <w:rPr>
              <w:rFonts w:hint="eastAsia" w:ascii="仿宋_GB2312" w:eastAsia="仿宋_GB2312"/>
              <w:color w:val="000000"/>
              <w:sz w:val="32"/>
              <w:szCs w:val="32"/>
            </w:rPr>
            <w:t>二、收入决算情况说明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_Toc27115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"_Toc9068" </w:instrText>
          </w:r>
          <w:r>
            <w:fldChar w:fldCharType="separate"/>
          </w:r>
          <w:r>
            <w:rPr>
              <w:rFonts w:hint="eastAsia" w:ascii="仿宋_GB2312" w:eastAsia="仿宋_GB2312"/>
              <w:color w:val="000000"/>
              <w:sz w:val="32"/>
              <w:szCs w:val="32"/>
            </w:rPr>
            <w:t>三、支出决算情况说明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_Toc9068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7</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"_Toc600" </w:instrText>
          </w:r>
          <w:r>
            <w:fldChar w:fldCharType="separate"/>
          </w:r>
          <w:r>
            <w:rPr>
              <w:rFonts w:hint="eastAsia" w:ascii="仿宋_GB2312" w:eastAsia="仿宋_GB2312"/>
              <w:color w:val="000000"/>
              <w:sz w:val="32"/>
              <w:szCs w:val="32"/>
            </w:rPr>
            <w:t>四、财政拨款收入支出决算总体情况说明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_Toc600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8</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"_Toc26877" </w:instrText>
          </w:r>
          <w:r>
            <w:fldChar w:fldCharType="separate"/>
          </w:r>
          <w:r>
            <w:rPr>
              <w:rFonts w:hint="eastAsia" w:ascii="仿宋_GB2312" w:eastAsia="仿宋_GB2312"/>
              <w:color w:val="000000"/>
              <w:sz w:val="32"/>
              <w:szCs w:val="32"/>
            </w:rPr>
            <w:t>五、一般公共预算财政拨款支出决算情况说明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_Toc26877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8</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"_Toc31177" </w:instrText>
          </w:r>
          <w:r>
            <w:fldChar w:fldCharType="separate"/>
          </w:r>
          <w:r>
            <w:rPr>
              <w:rFonts w:hint="eastAsia" w:ascii="仿宋_GB2312" w:eastAsia="仿宋_GB2312"/>
              <w:color w:val="000000"/>
              <w:sz w:val="32"/>
              <w:szCs w:val="32"/>
            </w:rPr>
            <w:t>六、一般公共预算财政拨款基本支出决算情况说明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_Toc31177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10</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"_Toc19555" </w:instrText>
          </w:r>
          <w:r>
            <w:fldChar w:fldCharType="separate"/>
          </w:r>
          <w:r>
            <w:rPr>
              <w:rFonts w:hint="eastAsia" w:ascii="仿宋_GB2312" w:eastAsia="仿宋_GB2312"/>
              <w:color w:val="000000"/>
              <w:sz w:val="32"/>
              <w:szCs w:val="32"/>
            </w:rPr>
            <w:t>七、财政拨款“三公”经费支出决算情况说明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_Toc19555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"_Toc3079" </w:instrText>
          </w:r>
          <w:r>
            <w:fldChar w:fldCharType="separate"/>
          </w:r>
          <w:r>
            <w:rPr>
              <w:rFonts w:hint="eastAsia" w:ascii="仿宋_GB2312" w:eastAsia="仿宋_GB2312"/>
              <w:color w:val="000000"/>
              <w:sz w:val="32"/>
              <w:szCs w:val="32"/>
            </w:rPr>
            <w:t>八、政府性基金预算支出决算情况说明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_Toc3079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13</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"_Toc4977" </w:instrText>
          </w:r>
          <w:r>
            <w:fldChar w:fldCharType="separate"/>
          </w:r>
          <w:r>
            <w:rPr>
              <w:rFonts w:hint="eastAsia" w:ascii="仿宋_GB2312" w:eastAsia="仿宋_GB2312"/>
              <w:color w:val="000000"/>
              <w:sz w:val="32"/>
              <w:szCs w:val="32"/>
            </w:rPr>
            <w:t>九、国有资本经营预算支出决算情况说明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_Toc4977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13</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"_Toc9249" </w:instrText>
          </w:r>
          <w:r>
            <w:fldChar w:fldCharType="separate"/>
          </w:r>
          <w:r>
            <w:rPr>
              <w:rFonts w:hint="eastAsia" w:ascii="仿宋_GB2312" w:eastAsia="仿宋_GB2312"/>
              <w:color w:val="000000"/>
              <w:sz w:val="32"/>
              <w:szCs w:val="32"/>
            </w:rPr>
            <w:t>十、其他重要事项的情况说明</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_Toc9249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13</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3"/>
            <w:tabs>
              <w:tab w:val="right" w:leader="dot" w:pos="8306"/>
              <w:tab w:val="clear" w:pos="8296"/>
            </w:tabs>
            <w:rPr>
              <w:rFonts w:ascii="黑体" w:hAnsi="黑体" w:eastAsia="黑体" w:cs="黑体"/>
            </w:rPr>
          </w:pPr>
          <w:r>
            <w:fldChar w:fldCharType="begin"/>
          </w:r>
          <w:r>
            <w:instrText xml:space="preserve"> HYPERLINK \l "_Toc20342" </w:instrText>
          </w:r>
          <w:r>
            <w:fldChar w:fldCharType="separate"/>
          </w:r>
          <w:r>
            <w:rPr>
              <w:rFonts w:hint="eastAsia" w:ascii="黑体" w:hAnsi="黑体" w:eastAsia="黑体" w:cs="黑体"/>
            </w:rPr>
            <w:t>第三部分  名词解释</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_Toc20342 \h </w:instrText>
          </w:r>
          <w:r>
            <w:rPr>
              <w:rFonts w:hint="eastAsia" w:ascii="黑体" w:hAnsi="黑体" w:eastAsia="黑体" w:cs="黑体"/>
            </w:rPr>
            <w:fldChar w:fldCharType="separate"/>
          </w:r>
          <w:r>
            <w:rPr>
              <w:rFonts w:hint="eastAsia" w:ascii="黑体" w:hAnsi="黑体" w:eastAsia="黑体" w:cs="黑体"/>
            </w:rPr>
            <w:t>15</w:t>
          </w:r>
          <w:r>
            <w:rPr>
              <w:rFonts w:hint="eastAsia" w:ascii="黑体" w:hAnsi="黑体" w:eastAsia="黑体" w:cs="黑体"/>
            </w:rPr>
            <w:fldChar w:fldCharType="end"/>
          </w:r>
          <w:r>
            <w:rPr>
              <w:rFonts w:hint="eastAsia" w:ascii="黑体" w:hAnsi="黑体" w:eastAsia="黑体" w:cs="黑体"/>
            </w:rPr>
            <w:fldChar w:fldCharType="end"/>
          </w:r>
        </w:p>
        <w:p>
          <w:pPr>
            <w:pStyle w:val="13"/>
            <w:tabs>
              <w:tab w:val="right" w:leader="dot" w:pos="8306"/>
              <w:tab w:val="clear" w:pos="8296"/>
            </w:tabs>
            <w:rPr>
              <w:rFonts w:ascii="黑体" w:hAnsi="黑体" w:eastAsia="黑体" w:cs="黑体"/>
            </w:rPr>
          </w:pPr>
          <w:r>
            <w:fldChar w:fldCharType="begin"/>
          </w:r>
          <w:r>
            <w:instrText xml:space="preserve"> HYPERLINK \l "_Toc32443" </w:instrText>
          </w:r>
          <w:r>
            <w:fldChar w:fldCharType="separate"/>
          </w:r>
          <w:r>
            <w:rPr>
              <w:rFonts w:hint="eastAsia" w:ascii="黑体" w:hAnsi="黑体" w:eastAsia="黑体" w:cs="黑体"/>
            </w:rPr>
            <w:t>第四部分 附件</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_Toc32443 \h </w:instrText>
          </w:r>
          <w:r>
            <w:rPr>
              <w:rFonts w:hint="eastAsia" w:ascii="黑体" w:hAnsi="黑体" w:eastAsia="黑体" w:cs="黑体"/>
            </w:rPr>
            <w:fldChar w:fldCharType="separate"/>
          </w:r>
          <w:r>
            <w:rPr>
              <w:rFonts w:hint="eastAsia" w:ascii="黑体" w:hAnsi="黑体" w:eastAsia="黑体" w:cs="黑体"/>
            </w:rPr>
            <w:t>18</w:t>
          </w:r>
          <w:r>
            <w:rPr>
              <w:rFonts w:hint="eastAsia" w:ascii="黑体" w:hAnsi="黑体" w:eastAsia="黑体" w:cs="黑体"/>
            </w:rPr>
            <w:fldChar w:fldCharType="end"/>
          </w:r>
          <w:r>
            <w:rPr>
              <w:rFonts w:hint="eastAsia" w:ascii="黑体" w:hAnsi="黑体" w:eastAsia="黑体" w:cs="黑体"/>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"_Toc16588" </w:instrText>
          </w:r>
          <w:r>
            <w:fldChar w:fldCharType="separate"/>
          </w:r>
          <w:r>
            <w:rPr>
              <w:rFonts w:hint="eastAsia" w:ascii="仿宋_GB2312" w:eastAsia="仿宋_GB2312"/>
              <w:color w:val="000000"/>
              <w:sz w:val="32"/>
              <w:szCs w:val="32"/>
              <w:lang w:val="zh-CN"/>
            </w:rPr>
            <w:t>一、部门（单位）基本情况</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_Toc16588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18</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"_Toc8168" </w:instrText>
          </w:r>
          <w:r>
            <w:fldChar w:fldCharType="separate"/>
          </w:r>
          <w:r>
            <w:rPr>
              <w:rFonts w:hint="eastAsia" w:ascii="仿宋_GB2312" w:eastAsia="仿宋_GB2312"/>
              <w:color w:val="000000"/>
              <w:sz w:val="32"/>
              <w:szCs w:val="32"/>
              <w:lang w:val="zh-CN"/>
            </w:rPr>
            <w:t>二、部门资金收支情况</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_Toc8168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21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"_Toc5082" </w:instrText>
          </w:r>
          <w:r>
            <w:fldChar w:fldCharType="separate"/>
          </w:r>
          <w:r>
            <w:rPr>
              <w:rFonts w:hint="eastAsia" w:ascii="仿宋_GB2312" w:eastAsia="仿宋_GB2312"/>
              <w:color w:val="000000"/>
              <w:sz w:val="32"/>
              <w:szCs w:val="32"/>
              <w:lang w:val="zh-CN"/>
            </w:rPr>
            <w:t>三、部门预算绩效分析</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_Toc5082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21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"_Toc16551" </w:instrText>
          </w:r>
          <w:r>
            <w:fldChar w:fldCharType="separate"/>
          </w:r>
          <w:r>
            <w:rPr>
              <w:rFonts w:hint="eastAsia" w:ascii="仿宋_GB2312" w:eastAsia="仿宋_GB2312"/>
              <w:color w:val="000000"/>
              <w:sz w:val="32"/>
              <w:szCs w:val="32"/>
              <w:lang w:val="zh-CN"/>
            </w:rPr>
            <w:t>四、评价结论及建议</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_Toc16551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25</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3"/>
            <w:tabs>
              <w:tab w:val="right" w:leader="dot" w:pos="8306"/>
              <w:tab w:val="clear" w:pos="8296"/>
            </w:tabs>
            <w:rPr>
              <w:rFonts w:ascii="黑体" w:hAnsi="黑体" w:eastAsia="黑体" w:cs="黑体"/>
            </w:rPr>
          </w:pPr>
          <w:r>
            <w:fldChar w:fldCharType="begin"/>
          </w:r>
          <w:r>
            <w:instrText xml:space="preserve"> HYPERLINK \l "_Toc11016" </w:instrText>
          </w:r>
          <w:r>
            <w:fldChar w:fldCharType="separate"/>
          </w:r>
          <w:r>
            <w:rPr>
              <w:rFonts w:hint="eastAsia" w:ascii="黑体" w:hAnsi="黑体" w:eastAsia="黑体" w:cs="黑体"/>
            </w:rPr>
            <w:t>第五部分 附表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_Toc11016 \h </w:instrText>
          </w:r>
          <w:r>
            <w:rPr>
              <w:rFonts w:hint="eastAsia" w:ascii="黑体" w:hAnsi="黑体" w:eastAsia="黑体" w:cs="黑体"/>
            </w:rPr>
            <w:fldChar w:fldCharType="separate"/>
          </w:r>
          <w:r>
            <w:rPr>
              <w:rFonts w:hint="eastAsia" w:ascii="黑体" w:hAnsi="黑体" w:eastAsia="黑体" w:cs="黑体"/>
            </w:rPr>
            <w:t>31</w:t>
          </w:r>
          <w:r>
            <w:rPr>
              <w:rFonts w:hint="eastAsia" w:ascii="黑体" w:hAnsi="黑体" w:eastAsia="黑体" w:cs="黑体"/>
            </w:rPr>
            <w:fldChar w:fldCharType="end"/>
          </w:r>
          <w:r>
            <w:rPr>
              <w:rFonts w:hint="eastAsia" w:ascii="黑体" w:hAnsi="黑体" w:eastAsia="黑体" w:cs="黑体"/>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"_Toc14718" </w:instrText>
          </w:r>
          <w:r>
            <w:fldChar w:fldCharType="separate"/>
          </w:r>
          <w:r>
            <w:rPr>
              <w:rFonts w:hint="eastAsia" w:ascii="仿宋_GB2312" w:eastAsia="仿宋_GB2312"/>
              <w:color w:val="000000"/>
              <w:sz w:val="32"/>
              <w:szCs w:val="32"/>
            </w:rPr>
            <w:t>一、收入支出决算总表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_Toc14718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"_Toc1403" </w:instrText>
          </w:r>
          <w:r>
            <w:fldChar w:fldCharType="separate"/>
          </w:r>
          <w:r>
            <w:rPr>
              <w:rFonts w:hint="eastAsia" w:ascii="仿宋_GB2312" w:eastAsia="仿宋_GB2312"/>
              <w:color w:val="000000"/>
              <w:sz w:val="32"/>
              <w:szCs w:val="32"/>
            </w:rPr>
            <w:t>二、收入决算表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_Toc1403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"_Toc23250" </w:instrText>
          </w:r>
          <w:r>
            <w:fldChar w:fldCharType="separate"/>
          </w:r>
          <w:r>
            <w:rPr>
              <w:rFonts w:hint="eastAsia" w:ascii="仿宋_GB2312" w:eastAsia="仿宋_GB2312"/>
              <w:color w:val="000000"/>
              <w:sz w:val="32"/>
              <w:szCs w:val="32"/>
            </w:rPr>
            <w:t>三、支出决算表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_Toc23250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"_Toc4248" </w:instrText>
          </w:r>
          <w:r>
            <w:fldChar w:fldCharType="separate"/>
          </w:r>
          <w:r>
            <w:rPr>
              <w:rFonts w:hint="eastAsia" w:ascii="仿宋_GB2312" w:eastAsia="仿宋_GB2312"/>
              <w:color w:val="000000"/>
              <w:sz w:val="32"/>
              <w:szCs w:val="32"/>
            </w:rPr>
            <w:t>四、财政拨款收入支出决算总表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_Toc4248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"_Toc26839" </w:instrText>
          </w:r>
          <w:r>
            <w:fldChar w:fldCharType="separate"/>
          </w:r>
          <w:r>
            <w:rPr>
              <w:rFonts w:hint="eastAsia" w:ascii="仿宋_GB2312" w:eastAsia="仿宋_GB2312"/>
              <w:color w:val="000000"/>
              <w:sz w:val="32"/>
              <w:szCs w:val="32"/>
            </w:rPr>
            <w:t>五、财政拨款支出决算明细表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_Toc26839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"_Toc25235" </w:instrText>
          </w:r>
          <w:r>
            <w:fldChar w:fldCharType="separate"/>
          </w:r>
          <w:r>
            <w:rPr>
              <w:rFonts w:hint="eastAsia" w:ascii="仿宋_GB2312" w:eastAsia="仿宋_GB2312"/>
              <w:color w:val="000000"/>
              <w:sz w:val="32"/>
              <w:szCs w:val="32"/>
            </w:rPr>
            <w:t>六、一般公共预算财政拨款支出决算表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_Toc25235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"_Toc24673" </w:instrText>
          </w:r>
          <w:r>
            <w:fldChar w:fldCharType="separate"/>
          </w:r>
          <w:r>
            <w:rPr>
              <w:rFonts w:hint="eastAsia" w:ascii="仿宋_GB2312" w:eastAsia="仿宋_GB2312"/>
              <w:color w:val="000000"/>
              <w:sz w:val="32"/>
              <w:szCs w:val="32"/>
            </w:rPr>
            <w:t>七、一般公共预算财政拨款支出决算明细表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_Toc24673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"_Toc3744" </w:instrText>
          </w:r>
          <w:r>
            <w:fldChar w:fldCharType="separate"/>
          </w:r>
          <w:r>
            <w:rPr>
              <w:rFonts w:hint="eastAsia" w:ascii="仿宋_GB2312" w:eastAsia="仿宋_GB2312"/>
              <w:color w:val="000000"/>
              <w:sz w:val="32"/>
              <w:szCs w:val="32"/>
            </w:rPr>
            <w:t>八、一般公共预算财政拨款基本支出决算表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_Toc3744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"_Toc4826" </w:instrText>
          </w:r>
          <w:r>
            <w:fldChar w:fldCharType="separate"/>
          </w:r>
          <w:r>
            <w:rPr>
              <w:rFonts w:hint="eastAsia" w:ascii="仿宋_GB2312" w:eastAsia="仿宋_GB2312"/>
              <w:color w:val="000000"/>
              <w:sz w:val="32"/>
              <w:szCs w:val="32"/>
            </w:rPr>
            <w:t>九、一般公共预算财政拨款项目支出决算表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_Toc4826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"_Toc1916" </w:instrText>
          </w:r>
          <w:r>
            <w:fldChar w:fldCharType="separate"/>
          </w:r>
          <w:r>
            <w:rPr>
              <w:rFonts w:hint="eastAsia" w:ascii="仿宋_GB2312" w:eastAsia="仿宋_GB2312"/>
              <w:color w:val="000000"/>
              <w:sz w:val="32"/>
              <w:szCs w:val="32"/>
            </w:rPr>
            <w:t>十、政府性基金预算财政拨款收入支出决算表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_Toc1916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"_Toc23321" </w:instrText>
          </w:r>
          <w:r>
            <w:fldChar w:fldCharType="separate"/>
          </w:r>
          <w:r>
            <w:rPr>
              <w:rFonts w:hint="eastAsia" w:ascii="仿宋_GB2312" w:eastAsia="仿宋_GB2312"/>
              <w:color w:val="000000"/>
              <w:sz w:val="32"/>
              <w:szCs w:val="32"/>
            </w:rPr>
            <w:t>十一、国有资本经营预算财政拨款收入支出决算表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_Toc23321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"_Toc27493" </w:instrText>
          </w:r>
          <w:r>
            <w:fldChar w:fldCharType="separate"/>
          </w:r>
          <w:r>
            <w:rPr>
              <w:rFonts w:hint="eastAsia" w:ascii="仿宋_GB2312" w:eastAsia="仿宋_GB2312"/>
              <w:color w:val="000000"/>
              <w:sz w:val="32"/>
              <w:szCs w:val="32"/>
            </w:rPr>
            <w:t>十二、国有资本经营预算财政拨款支出决算表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_Toc27493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pStyle w:val="15"/>
            <w:tabs>
              <w:tab w:val="right" w:leader="dot" w:pos="8306"/>
              <w:tab w:val="clear" w:pos="8296"/>
            </w:tabs>
            <w:suppressAutoHyphens/>
            <w:spacing w:line="560" w:lineRule="exact"/>
            <w:rPr>
              <w:rFonts w:ascii="仿宋_GB2312" w:eastAsia="仿宋_GB2312"/>
              <w:color w:val="000000"/>
              <w:sz w:val="32"/>
              <w:szCs w:val="32"/>
            </w:rPr>
          </w:pPr>
          <w:r>
            <w:fldChar w:fldCharType="begin"/>
          </w:r>
          <w:r>
            <w:instrText xml:space="preserve"> HYPERLINK \l "_Toc31238" </w:instrText>
          </w:r>
          <w:r>
            <w:fldChar w:fldCharType="separate"/>
          </w:r>
          <w:r>
            <w:rPr>
              <w:rFonts w:hint="eastAsia" w:ascii="仿宋_GB2312" w:eastAsia="仿宋_GB2312"/>
              <w:color w:val="000000"/>
              <w:sz w:val="32"/>
              <w:szCs w:val="32"/>
            </w:rPr>
            <w:t>十三、财政拨款“三公”经费支出决算表</w:t>
          </w:r>
          <w:r>
            <w:rPr>
              <w:rFonts w:hint="eastAsia" w:ascii="仿宋_GB2312" w:eastAsia="仿宋_GB2312"/>
              <w:color w:val="000000"/>
              <w:sz w:val="32"/>
              <w:szCs w:val="32"/>
            </w:rPr>
            <w:tab/>
          </w:r>
          <w:r>
            <w:rPr>
              <w:rFonts w:hint="eastAsia" w:ascii="仿宋_GB2312" w:eastAsia="仿宋_GB2312"/>
              <w:color w:val="000000"/>
              <w:sz w:val="32"/>
              <w:szCs w:val="32"/>
            </w:rPr>
            <w:fldChar w:fldCharType="begin"/>
          </w:r>
          <w:r>
            <w:rPr>
              <w:rFonts w:hint="eastAsia" w:ascii="仿宋_GB2312" w:eastAsia="仿宋_GB2312"/>
              <w:color w:val="000000"/>
              <w:sz w:val="32"/>
              <w:szCs w:val="32"/>
            </w:rPr>
            <w:instrText xml:space="preserve"> PAGEREF _Toc31238 \h </w:instrText>
          </w:r>
          <w:r>
            <w:rPr>
              <w:rFonts w:hint="eastAsia" w:ascii="仿宋_GB2312" w:eastAsia="仿宋_GB2312"/>
              <w:color w:val="000000"/>
              <w:sz w:val="32"/>
              <w:szCs w:val="32"/>
            </w:rPr>
            <w:fldChar w:fldCharType="separate"/>
          </w:r>
          <w:r>
            <w:rPr>
              <w:rFonts w:hint="eastAsia" w:ascii="仿宋_GB2312" w:eastAsia="仿宋_GB2312"/>
              <w:color w:val="000000"/>
              <w:sz w:val="32"/>
              <w:szCs w:val="32"/>
            </w:rPr>
            <w:t>31</w:t>
          </w:r>
          <w:r>
            <w:rPr>
              <w:rFonts w:hint="eastAsia" w:ascii="仿宋_GB2312" w:eastAsia="仿宋_GB2312"/>
              <w:color w:val="000000"/>
              <w:sz w:val="32"/>
              <w:szCs w:val="32"/>
            </w:rPr>
            <w:fldChar w:fldCharType="end"/>
          </w:r>
          <w:r>
            <w:rPr>
              <w:rFonts w:hint="eastAsia" w:ascii="仿宋_GB2312" w:eastAsia="仿宋_GB2312"/>
              <w:color w:val="000000"/>
              <w:sz w:val="32"/>
              <w:szCs w:val="32"/>
            </w:rPr>
            <w:fldChar w:fldCharType="end"/>
          </w:r>
        </w:p>
        <w:p>
          <w:pPr>
            <w:spacing w:line="570" w:lineRule="exact"/>
          </w:pPr>
          <w:r>
            <w:fldChar w:fldCharType="end"/>
          </w:r>
        </w:p>
      </w:sdtContent>
    </w:sdt>
    <w:p>
      <w:pPr>
        <w:pStyle w:val="3"/>
        <w:spacing w:line="600" w:lineRule="exact"/>
        <w:jc w:val="center"/>
        <w:rPr>
          <w:rFonts w:eastAsia="方正小标宋简体" w:cs="方正小标宋简体"/>
          <w:b w:val="0"/>
        </w:rPr>
        <w:sectPr>
          <w:footerReference r:id="rId6" w:type="first"/>
          <w:footerReference r:id="rId5" w:type="default"/>
          <w:pgSz w:w="11906" w:h="16838"/>
          <w:pgMar w:top="1440" w:right="1800" w:bottom="1440" w:left="1800" w:header="851" w:footer="992" w:gutter="0"/>
          <w:pgNumType w:start="2"/>
          <w:cols w:space="425" w:num="1"/>
          <w:docGrid w:type="lines" w:linePitch="312" w:charSpace="0"/>
        </w:sectPr>
      </w:pPr>
    </w:p>
    <w:p>
      <w:pPr>
        <w:pStyle w:val="3"/>
        <w:spacing w:line="600" w:lineRule="exact"/>
        <w:jc w:val="center"/>
        <w:rPr>
          <w:rFonts w:eastAsia="黑体"/>
          <w:b w:val="0"/>
        </w:rPr>
      </w:pPr>
      <w:bookmarkStart w:id="14" w:name="_Toc24519"/>
      <w:r>
        <w:rPr>
          <w:rFonts w:hint="eastAsia" w:eastAsia="方正小标宋简体" w:cs="方正小标宋简体"/>
          <w:b w:val="0"/>
        </w:rPr>
        <w:t xml:space="preserve">第一部分  </w:t>
      </w:r>
      <w:r>
        <w:rPr>
          <w:rStyle w:val="29"/>
          <w:rFonts w:hint="eastAsia" w:eastAsia="方正小标宋简体" w:cs="方正小标宋简体"/>
          <w:b w:val="0"/>
          <w:bCs/>
        </w:rPr>
        <w:t>部门概况</w:t>
      </w:r>
      <w:bookmarkEnd w:id="12"/>
      <w:bookmarkEnd w:id="13"/>
      <w:bookmarkEnd w:id="14"/>
    </w:p>
    <w:p>
      <w:pPr>
        <w:widowControl/>
        <w:adjustRightInd w:val="0"/>
        <w:snapToGrid w:val="0"/>
        <w:spacing w:line="560" w:lineRule="exact"/>
        <w:ind w:firstLine="640" w:firstLineChars="200"/>
        <w:contextualSpacing/>
        <w:jc w:val="left"/>
        <w:outlineLvl w:val="1"/>
        <w:rPr>
          <w:rFonts w:eastAsia="黑体"/>
          <w:color w:val="000000"/>
          <w:kern w:val="0"/>
          <w:sz w:val="32"/>
          <w:szCs w:val="32"/>
          <w:shd w:val="clear" w:color="auto" w:fill="FFFFFF"/>
          <w:lang w:val="zh-CN"/>
        </w:rPr>
      </w:pPr>
      <w:bookmarkStart w:id="15" w:name="_Toc15377197"/>
      <w:bookmarkStart w:id="16" w:name="_Toc15396600"/>
      <w:bookmarkStart w:id="17" w:name="_Toc9247"/>
      <w:r>
        <w:rPr>
          <w:rFonts w:hint="eastAsia" w:eastAsia="黑体"/>
          <w:color w:val="000000"/>
          <w:kern w:val="0"/>
          <w:sz w:val="32"/>
          <w:szCs w:val="32"/>
          <w:shd w:val="clear" w:color="auto" w:fill="FFFFFF"/>
          <w:lang w:val="zh-CN"/>
        </w:rPr>
        <w:t>一、</w:t>
      </w:r>
      <w:bookmarkEnd w:id="15"/>
      <w:bookmarkEnd w:id="16"/>
      <w:r>
        <w:rPr>
          <w:rFonts w:hint="eastAsia" w:eastAsia="黑体"/>
          <w:color w:val="000000"/>
          <w:kern w:val="0"/>
          <w:sz w:val="32"/>
          <w:szCs w:val="32"/>
          <w:shd w:val="clear" w:color="auto" w:fill="FFFFFF"/>
          <w:lang w:val="zh-CN"/>
        </w:rPr>
        <w:t>部门职责</w:t>
      </w:r>
      <w:bookmarkEnd w:id="17"/>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bookmarkStart w:id="18" w:name="_Toc31397"/>
      <w:r>
        <w:rPr>
          <w:rFonts w:hint="eastAsia" w:ascii="仿宋_GB2312" w:hAnsi="仿宋_GB2312" w:eastAsia="仿宋_GB2312" w:cs="仿宋_GB2312"/>
          <w:sz w:val="32"/>
          <w:szCs w:val="32"/>
        </w:rPr>
        <w:t>（一）拟订全县财税发展战略、规划、政策和改革方案并组织实施。分析预测宏观经济形势，参与执行宏观经济政策，提出运用财税政策实施宏观调控和综合平衡社会财力的建议。拟订国家与企业的分配政策，贯彻落实公益事业发展的财税政策。</w:t>
      </w:r>
      <w:bookmarkEnd w:id="18"/>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（二）贯彻执行财政、税收、财务、会计管理的法律法规和规章。组织实施财税地方性法规。按照管理权限管理全县税政事项。</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负责管理各项财政收支。编制年度县级预决算草案并组织执行。组织制定经费开支标准、定额，审核批复部门（单位）年度预决算。受县人民政府委托，向县人大及其常委会报告财政预算、执行和决算等情况。负责政府投资基金县级财政出资的资产管理。负责县级预决算公开。负责全面实施预算绩效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（四）按分工负责政府非税收入管理。负责政府性基金管理，按规定管理行政事业性收费等其他非税收入。管理财政票据。执行彩票管理政策和有关办法。</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（五）组织制定全县国库管理制度、国库集中收付制度，指导和监督国库业务，开展国库现金管理工作。贯彻执行政府财务报告编制办法并组织实施。负责制定政府采购制度并监督管理。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（六）贯彻执行地方政府债务管理制度和政策，制定具体管理办法，编制地方政府债余额限额计划，统一管理政府外债，防范财政风险。</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牵头编制全县国有资产管理情况报告。负责加强对地方金融行业的监督、管理和发展。根据县人民政府授权，集中统一履行县级国有金融资本出资人职责。制订县级国有金融资本管理制度。拟订全县行政事业单位国有资产管理制度并组织实施。制定需要全县统一规定的开支标准和支出政策。</w:t>
      </w:r>
    </w:p>
    <w:p>
      <w:pPr>
        <w:widowControl/>
        <w:adjustRightInd w:val="0"/>
        <w:snapToGrid w:val="0"/>
        <w:spacing w:line="56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八）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（九）负责审核并汇总编制全县社会保险基金预决算草案，会同有关部门拟订有关资金（基金）财务管理制度，承担社会保险基金财政监管工作。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（十）负责办理和监督县级财政的经济发展支出、县级政府性投资项目的财政拨款，负责投资评审管理工作，参与拟订县级基建投资有关政策，执行基建财务管理制度。</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（十一）管理外国政府和国际金融机构贷（赠）款项目的有关业务，参与财经领域的国际交流与合作。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（十二）负责管理全县会计工作，监督和规范会计行为，组织实施国家统一的会计制度，指导和管理社会审计。依法管理资产评估有关工作。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（十三）负责贯彻落实中央关于金融工作的方针政策和省委、州委、县委决策部署。统筹协调全县金融相关工作，做好金融风险防范和处置的协调、督促和落实。</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（十四）加强与中央驻县金融机构的沟通联系，负责全县“7+4”类机构的日常监管，做好打击非法金融活动和风险处置有关工作。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（十五）指导全县地方国有金融企业党建工作，配合有关部门抓好非公金融企业党建工作。负责金融对外交流合作相关工作。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（十六）负责职责范围内的安全生产和职业健康、生态环境保护、审批服务便民化等工作。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（十七）完成县委、县政府交办的其他任务。</w:t>
      </w:r>
    </w:p>
    <w:p>
      <w:pPr>
        <w:widowControl/>
        <w:adjustRightInd w:val="0"/>
        <w:snapToGrid w:val="0"/>
        <w:spacing w:line="560" w:lineRule="exact"/>
        <w:ind w:firstLine="640" w:firstLineChars="200"/>
        <w:contextualSpacing/>
        <w:jc w:val="left"/>
        <w:outlineLvl w:val="1"/>
        <w:rPr>
          <w:rFonts w:eastAsia="黑体"/>
          <w:color w:val="000000"/>
          <w:kern w:val="0"/>
          <w:sz w:val="32"/>
          <w:szCs w:val="32"/>
          <w:shd w:val="clear" w:color="auto" w:fill="FFFFFF"/>
          <w:lang w:val="zh-CN"/>
        </w:rPr>
      </w:pPr>
      <w:bookmarkStart w:id="19" w:name="_Toc15396601"/>
      <w:bookmarkStart w:id="20" w:name="_Toc15377200"/>
      <w:bookmarkStart w:id="21" w:name="_Toc28353"/>
      <w:r>
        <w:rPr>
          <w:rFonts w:hint="eastAsia" w:eastAsia="黑体"/>
          <w:color w:val="000000"/>
          <w:kern w:val="0"/>
          <w:sz w:val="32"/>
          <w:szCs w:val="32"/>
          <w:shd w:val="clear" w:color="auto" w:fill="FFFFFF"/>
          <w:lang w:val="zh-CN"/>
        </w:rPr>
        <w:t>二、机构设置</w:t>
      </w:r>
      <w:bookmarkEnd w:id="19"/>
      <w:bookmarkEnd w:id="20"/>
      <w:bookmarkEnd w:id="21"/>
    </w:p>
    <w:p>
      <w:pPr>
        <w:shd w:val="clear" w:color="auto" w:fill="FFFFFF"/>
        <w:spacing w:line="560" w:lineRule="exact"/>
        <w:ind w:firstLine="640" w:firstLineChars="200"/>
        <w:rPr>
          <w:rFonts w:ascii="仿宋_GB2312" w:eastAsia="仿宋_GB2312" w:cs="仿宋_GB2312"/>
          <w:sz w:val="32"/>
          <w:szCs w:val="32"/>
          <w:lang w:val="en" w:bidi="en-US"/>
        </w:rPr>
      </w:pPr>
      <w:r>
        <w:rPr>
          <w:rFonts w:hint="eastAsia" w:ascii="仿宋_GB2312" w:eastAsia="仿宋_GB2312" w:cs="仿宋_GB2312"/>
          <w:sz w:val="32"/>
          <w:szCs w:val="32"/>
          <w:lang w:val="en" w:bidi="en-US"/>
        </w:rPr>
        <w:t>茂县财政局下属二级预算单位</w:t>
      </w:r>
      <w:r>
        <w:rPr>
          <w:rFonts w:hint="eastAsia" w:ascii="仿宋_GB2312" w:eastAsia="仿宋_GB2312" w:cs="仿宋_GB2312"/>
          <w:sz w:val="32"/>
          <w:szCs w:val="32"/>
          <w:lang w:bidi="en-US"/>
        </w:rPr>
        <w:t>2</w:t>
      </w:r>
      <w:r>
        <w:rPr>
          <w:rFonts w:hint="eastAsia" w:ascii="仿宋_GB2312" w:eastAsia="仿宋_GB2312" w:cs="仿宋_GB2312"/>
          <w:sz w:val="32"/>
          <w:szCs w:val="32"/>
          <w:lang w:val="en" w:bidi="en-US"/>
        </w:rPr>
        <w:t>个，其中:行政单位</w:t>
      </w:r>
      <w:r>
        <w:rPr>
          <w:rFonts w:hint="eastAsia" w:ascii="仿宋_GB2312" w:eastAsia="仿宋_GB2312" w:cs="仿宋_GB2312"/>
          <w:sz w:val="32"/>
          <w:szCs w:val="32"/>
          <w:lang w:bidi="en-US"/>
        </w:rPr>
        <w:t>1个，</w:t>
      </w:r>
      <w:r>
        <w:rPr>
          <w:rFonts w:hint="eastAsia" w:ascii="仿宋_GB2312" w:eastAsia="仿宋_GB2312" w:cs="仿宋_GB2312"/>
          <w:sz w:val="32"/>
          <w:szCs w:val="32"/>
          <w:lang w:val="en" w:bidi="en-US"/>
        </w:rPr>
        <w:t>参照公务员法管理的事业单位</w:t>
      </w:r>
      <w:r>
        <w:rPr>
          <w:rFonts w:hint="eastAsia" w:ascii="仿宋_GB2312" w:eastAsia="仿宋_GB2312" w:cs="仿宋_GB2312"/>
          <w:sz w:val="32"/>
          <w:szCs w:val="32"/>
          <w:lang w:bidi="en-US"/>
        </w:rPr>
        <w:t>0</w:t>
      </w:r>
      <w:r>
        <w:rPr>
          <w:rFonts w:hint="eastAsia" w:ascii="仿宋_GB2312" w:eastAsia="仿宋_GB2312" w:cs="仿宋_GB2312"/>
          <w:sz w:val="32"/>
          <w:szCs w:val="32"/>
          <w:lang w:val="en" w:bidi="en-US"/>
        </w:rPr>
        <w:t>个，其他事业单位</w:t>
      </w:r>
      <w:r>
        <w:rPr>
          <w:rFonts w:hint="eastAsia" w:ascii="仿宋_GB2312" w:eastAsia="仿宋_GB2312" w:cs="仿宋_GB2312"/>
          <w:sz w:val="32"/>
          <w:szCs w:val="32"/>
          <w:lang w:bidi="en-US"/>
        </w:rPr>
        <w:t>1</w:t>
      </w:r>
      <w:r>
        <w:rPr>
          <w:rFonts w:hint="eastAsia" w:ascii="仿宋_GB2312" w:eastAsia="仿宋_GB2312" w:cs="仿宋_GB2312"/>
          <w:sz w:val="32"/>
          <w:szCs w:val="32"/>
          <w:lang w:val="en" w:bidi="en-US"/>
        </w:rPr>
        <w:t>个。</w:t>
      </w:r>
    </w:p>
    <w:p>
      <w:pPr>
        <w:pStyle w:val="6"/>
        <w:adjustRightInd w:val="0"/>
        <w:snapToGrid w:val="0"/>
        <w:spacing w:before="93" w:line="560" w:lineRule="exact"/>
        <w:ind w:firstLine="672" w:firstLineChars="210"/>
        <w:rPr>
          <w:rFonts w:cs="仿宋_GB2312"/>
          <w:kern w:val="2"/>
          <w:sz w:val="32"/>
          <w:szCs w:val="32"/>
          <w:lang w:val="en" w:bidi="en-US"/>
        </w:rPr>
      </w:pPr>
      <w:r>
        <w:rPr>
          <w:rFonts w:hint="eastAsia" w:cs="仿宋_GB2312"/>
          <w:kern w:val="2"/>
          <w:sz w:val="32"/>
          <w:szCs w:val="32"/>
          <w:lang w:val="en" w:bidi="en-US"/>
        </w:rPr>
        <w:t>纳入茂县财政局2025年度部门决算编制范围的二级预算单位包括：</w:t>
      </w:r>
    </w:p>
    <w:p>
      <w:pPr>
        <w:pStyle w:val="6"/>
        <w:adjustRightInd w:val="0"/>
        <w:snapToGrid w:val="0"/>
        <w:spacing w:before="93" w:line="560" w:lineRule="exact"/>
        <w:ind w:firstLine="640" w:firstLineChars="200"/>
        <w:rPr>
          <w:rFonts w:cs="仿宋_GB2312"/>
          <w:kern w:val="2"/>
          <w:sz w:val="32"/>
          <w:szCs w:val="32"/>
          <w:lang w:bidi="en-US"/>
        </w:rPr>
      </w:pPr>
      <w:r>
        <w:rPr>
          <w:rFonts w:hint="eastAsia" w:cs="仿宋_GB2312"/>
          <w:kern w:val="2"/>
          <w:sz w:val="32"/>
          <w:szCs w:val="32"/>
          <w:lang w:bidi="en-US"/>
        </w:rPr>
        <w:t>1.茂县财政局（本级）</w:t>
      </w:r>
    </w:p>
    <w:p>
      <w:pPr>
        <w:pStyle w:val="6"/>
        <w:adjustRightInd w:val="0"/>
        <w:snapToGrid w:val="0"/>
        <w:spacing w:before="93" w:line="560" w:lineRule="exact"/>
      </w:pPr>
      <w:r>
        <w:rPr>
          <w:rFonts w:hint="eastAsia" w:cs="仿宋_GB2312"/>
          <w:kern w:val="2"/>
          <w:sz w:val="32"/>
          <w:szCs w:val="32"/>
          <w:lang w:bidi="en-US"/>
        </w:rPr>
        <w:t xml:space="preserve">    2.茂县财政局财政投资评审中心</w:t>
      </w:r>
    </w:p>
    <w:p>
      <w:pPr>
        <w:pStyle w:val="3"/>
        <w:spacing w:line="600" w:lineRule="exact"/>
        <w:jc w:val="center"/>
      </w:pPr>
      <w:bookmarkStart w:id="22" w:name="_Toc22606"/>
      <w:bookmarkStart w:id="23" w:name="_Toc15377204"/>
      <w:bookmarkStart w:id="24" w:name="_Toc15396602"/>
      <w:r>
        <w:rPr>
          <w:rFonts w:hint="eastAsia" w:eastAsia="方正小标宋简体" w:cs="方正小标宋简体"/>
          <w:b w:val="0"/>
        </w:rPr>
        <w:t>第二部分  2025年度部门决算情况说明</w:t>
      </w:r>
      <w:bookmarkEnd w:id="22"/>
      <w:bookmarkEnd w:id="23"/>
      <w:bookmarkEnd w:id="24"/>
    </w:p>
    <w:p>
      <w:pPr>
        <w:widowControl/>
        <w:adjustRightInd w:val="0"/>
        <w:snapToGrid w:val="0"/>
        <w:spacing w:line="560" w:lineRule="exact"/>
        <w:ind w:firstLine="640" w:firstLineChars="200"/>
        <w:contextualSpacing/>
        <w:jc w:val="left"/>
        <w:outlineLvl w:val="1"/>
        <w:rPr>
          <w:rFonts w:eastAsia="黑体"/>
          <w:color w:val="000000"/>
          <w:kern w:val="0"/>
          <w:sz w:val="32"/>
          <w:szCs w:val="32"/>
          <w:shd w:val="clear" w:color="auto" w:fill="FFFFFF"/>
          <w:lang w:val="zh-CN"/>
        </w:rPr>
      </w:pPr>
      <w:bookmarkStart w:id="25" w:name="_Toc15377205"/>
      <w:bookmarkStart w:id="26" w:name="_Toc19962"/>
      <w:bookmarkStart w:id="27" w:name="_Toc15396603"/>
      <w:r>
        <w:rPr>
          <w:rFonts w:hint="eastAsia" w:eastAsia="黑体"/>
          <w:color w:val="000000"/>
          <w:kern w:val="0"/>
          <w:sz w:val="32"/>
          <w:szCs w:val="32"/>
          <w:shd w:val="clear" w:color="auto" w:fill="FFFFFF"/>
          <w:lang w:val="zh-CN"/>
        </w:rPr>
        <w:t>一、收入支出决算总体情况说明</w:t>
      </w:r>
      <w:bookmarkEnd w:id="25"/>
      <w:bookmarkEnd w:id="26"/>
      <w:bookmarkEnd w:id="27"/>
    </w:p>
    <w:p>
      <w:pPr>
        <w:pStyle w:val="28"/>
        <w:spacing w:line="560" w:lineRule="exact"/>
        <w:ind w:firstLine="640"/>
        <w:rPr>
          <w:rFonts w:eastAsia="仿宋_GB2312" w:cs="仿宋_GB2312"/>
          <w:sz w:val="32"/>
          <w:szCs w:val="32"/>
        </w:rPr>
      </w:pPr>
      <w:r>
        <w:rPr>
          <w:rFonts w:hint="eastAsia" w:ascii="仿宋_GB2312" w:eastAsia="仿宋_GB2312"/>
          <w:color w:val="000000"/>
          <w:sz w:val="32"/>
          <w:szCs w:val="32"/>
        </w:rPr>
        <w:t>2025年度收入、支出总计均为614.8万元。与上年度相比，收入、支出总计各减少198.24万元，下降24.38%。主要变动原因是：2025年机构改革，本单位17人调入茂县国有资产管理中心。</w:t>
      </w:r>
    </w:p>
    <w:p>
      <w:pPr>
        <w:pStyle w:val="28"/>
        <w:spacing w:line="560" w:lineRule="exact"/>
        <w:outlineLvl w:val="1"/>
        <w:rPr>
          <w:rFonts w:eastAsia="黑体"/>
          <w:sz w:val="32"/>
          <w:szCs w:val="32"/>
        </w:rPr>
      </w:pPr>
      <w:bookmarkStart w:id="28" w:name="_Toc15396604"/>
      <w:bookmarkStart w:id="29" w:name="_Toc15377206"/>
      <w:bookmarkStart w:id="30" w:name="_Toc27115"/>
      <w:r>
        <w:drawing>
          <wp:anchor distT="0" distB="0" distL="114300" distR="114300" simplePos="0" relativeHeight="251659264" behindDoc="0" locked="0" layoutInCell="1" allowOverlap="1">
            <wp:simplePos x="0" y="0"/>
            <wp:positionH relativeFrom="column">
              <wp:posOffset>623570</wp:posOffset>
            </wp:positionH>
            <wp:positionV relativeFrom="paragraph">
              <wp:posOffset>108585</wp:posOffset>
            </wp:positionV>
            <wp:extent cx="3953510" cy="2324735"/>
            <wp:effectExtent l="4445" t="4445" r="23495" b="13970"/>
            <wp:wrapTopAndBottom/>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黑体"/>
          <w:sz w:val="32"/>
          <w:szCs w:val="32"/>
        </w:rPr>
        <w:t>二、收入决算情况说明</w:t>
      </w:r>
      <w:bookmarkEnd w:id="28"/>
      <w:bookmarkEnd w:id="29"/>
      <w:bookmarkEnd w:id="30"/>
    </w:p>
    <w:p>
      <w:pPr>
        <w:pStyle w:val="28"/>
        <w:spacing w:line="560" w:lineRule="exact"/>
        <w:ind w:firstLine="640"/>
        <w:rPr>
          <w:rFonts w:ascii="仿宋_GB2312" w:eastAsia="仿宋_GB2312"/>
          <w:color w:val="000000"/>
          <w:sz w:val="32"/>
          <w:szCs w:val="32"/>
        </w:rPr>
      </w:pPr>
      <w:r>
        <w:rPr>
          <w:rFonts w:hint="eastAsia" w:ascii="仿宋_GB2312" w:eastAsia="仿宋_GB2312"/>
          <w:color w:val="000000"/>
          <w:sz w:val="32"/>
          <w:szCs w:val="32"/>
        </w:rPr>
        <w:drawing>
          <wp:anchor distT="0" distB="0" distL="114300" distR="114300" simplePos="0" relativeHeight="251660288" behindDoc="0" locked="0" layoutInCell="1" allowOverlap="1">
            <wp:simplePos x="0" y="0"/>
            <wp:positionH relativeFrom="column">
              <wp:posOffset>690245</wp:posOffset>
            </wp:positionH>
            <wp:positionV relativeFrom="paragraph">
              <wp:posOffset>835025</wp:posOffset>
            </wp:positionV>
            <wp:extent cx="3952875" cy="2305685"/>
            <wp:effectExtent l="4445" t="5080" r="5080" b="1333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_GB2312" w:eastAsia="仿宋_GB2312"/>
          <w:color w:val="000000"/>
          <w:sz w:val="32"/>
          <w:szCs w:val="32"/>
        </w:rPr>
        <w:t>2025年度本年收入合计614.8万元，其中：一般公共预算财政拨款收入614.8万元，占100%。</w:t>
      </w:r>
    </w:p>
    <w:p>
      <w:pPr>
        <w:pStyle w:val="28"/>
        <w:spacing w:line="560" w:lineRule="exact"/>
        <w:ind w:firstLine="640"/>
        <w:outlineLvl w:val="1"/>
        <w:rPr>
          <w:rStyle w:val="30"/>
          <w:rFonts w:ascii="Times New Roman" w:hAnsi="Times New Roman" w:eastAsia="黑体"/>
          <w:b w:val="0"/>
        </w:rPr>
      </w:pPr>
      <w:bookmarkStart w:id="31" w:name="_Toc15377207"/>
      <w:bookmarkStart w:id="32" w:name="_Toc9068"/>
      <w:bookmarkStart w:id="33" w:name="_Toc15396605"/>
      <w:r>
        <w:rPr>
          <w:rFonts w:hint="eastAsia" w:eastAsia="黑体"/>
          <w:sz w:val="32"/>
          <w:szCs w:val="32"/>
        </w:rPr>
        <w:t>三、支</w:t>
      </w:r>
      <w:r>
        <w:rPr>
          <w:rStyle w:val="30"/>
          <w:rFonts w:hint="eastAsia" w:ascii="Times New Roman" w:hAnsi="Times New Roman" w:eastAsia="黑体"/>
          <w:b w:val="0"/>
        </w:rPr>
        <w:t>出决算情况说明</w:t>
      </w:r>
      <w:bookmarkEnd w:id="31"/>
      <w:bookmarkEnd w:id="32"/>
      <w:bookmarkEnd w:id="33"/>
    </w:p>
    <w:p>
      <w:pPr>
        <w:pStyle w:val="28"/>
        <w:spacing w:line="560" w:lineRule="exact"/>
        <w:ind w:firstLine="640"/>
        <w:rPr>
          <w:rFonts w:ascii="仿宋_GB2312" w:eastAsia="仿宋_GB2312"/>
          <w:color w:val="000000"/>
          <w:sz w:val="32"/>
          <w:szCs w:val="32"/>
        </w:rPr>
      </w:pPr>
      <w:r>
        <w:rPr>
          <w:rFonts w:hint="eastAsia" w:ascii="仿宋_GB2312" w:eastAsia="仿宋_GB2312"/>
          <w:color w:val="000000"/>
          <w:sz w:val="32"/>
          <w:szCs w:val="32"/>
        </w:rPr>
        <w:t>2025年度本年支出合计614.8万元，其中：基本支出516.66万元，占84.04%；项目支出98.15万元，占15.96%。</w:t>
      </w:r>
    </w:p>
    <w:p>
      <w:pPr>
        <w:spacing w:line="560" w:lineRule="exact"/>
        <w:ind w:firstLine="640" w:firstLineChars="200"/>
        <w:outlineLvl w:val="1"/>
        <w:rPr>
          <w:rStyle w:val="30"/>
          <w:rFonts w:ascii="Times New Roman" w:hAnsi="Times New Roman" w:eastAsia="黑体"/>
          <w:b w:val="0"/>
        </w:rPr>
      </w:pPr>
      <w:bookmarkStart w:id="34" w:name="_Toc600"/>
      <w:bookmarkStart w:id="35" w:name="_Toc15396606"/>
      <w:bookmarkStart w:id="36" w:name="_Toc15377208"/>
      <w:r>
        <w:rPr>
          <w:rFonts w:hint="eastAsia" w:ascii="仿宋_GB2312" w:eastAsia="仿宋_GB2312"/>
          <w:color w:val="000000"/>
          <w:sz w:val="32"/>
          <w:szCs w:val="32"/>
        </w:rPr>
        <w:drawing>
          <wp:anchor distT="0" distB="0" distL="114300" distR="114300" simplePos="0" relativeHeight="251661312" behindDoc="0" locked="0" layoutInCell="1" allowOverlap="1">
            <wp:simplePos x="0" y="0"/>
            <wp:positionH relativeFrom="column">
              <wp:posOffset>633095</wp:posOffset>
            </wp:positionH>
            <wp:positionV relativeFrom="paragraph">
              <wp:posOffset>80010</wp:posOffset>
            </wp:positionV>
            <wp:extent cx="3866515" cy="2181860"/>
            <wp:effectExtent l="4445" t="4445" r="15240" b="23495"/>
            <wp:wrapTopAndBottom/>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黑体"/>
          <w:sz w:val="32"/>
          <w:szCs w:val="32"/>
        </w:rPr>
        <w:t>四、财</w:t>
      </w:r>
      <w:r>
        <w:rPr>
          <w:rStyle w:val="30"/>
          <w:rFonts w:hint="eastAsia" w:ascii="Times New Roman" w:hAnsi="Times New Roman" w:eastAsia="黑体"/>
          <w:b w:val="0"/>
        </w:rPr>
        <w:t>政拨款收入支出决算总体情况说明</w:t>
      </w:r>
      <w:bookmarkEnd w:id="34"/>
      <w:bookmarkEnd w:id="35"/>
      <w:bookmarkEnd w:id="36"/>
    </w:p>
    <w:p>
      <w:pPr>
        <w:pStyle w:val="28"/>
        <w:spacing w:line="560" w:lineRule="exact"/>
        <w:ind w:firstLine="640"/>
        <w:jc w:val="left"/>
        <w:rPr>
          <w:rFonts w:ascii="仿宋_GB2312" w:eastAsia="仿宋_GB2312"/>
          <w:color w:val="000000"/>
          <w:sz w:val="32"/>
          <w:szCs w:val="32"/>
        </w:rPr>
      </w:pPr>
      <w:r>
        <w:rPr>
          <w:rFonts w:hint="eastAsia" w:ascii="仿宋_GB2312" w:eastAsia="仿宋_GB2312"/>
          <w:color w:val="000000"/>
          <w:sz w:val="32"/>
          <w:szCs w:val="32"/>
        </w:rPr>
        <w:t>2025年度财政拨款收入、支出总计均为614.8万元。与上年度相比，财政拨款收入、支出总计各减少198.24万元，下降24.38%。主要变动原因是：2025年机构改革，本单位17人调入茂县国有资产管理中心。</w:t>
      </w:r>
    </w:p>
    <w:p>
      <w:pPr>
        <w:spacing w:line="560" w:lineRule="exact"/>
        <w:ind w:firstLine="420" w:firstLineChars="200"/>
        <w:outlineLvl w:val="1"/>
        <w:rPr>
          <w:rStyle w:val="30"/>
          <w:rFonts w:ascii="Times New Roman" w:hAnsi="Times New Roman" w:eastAsia="黑体"/>
          <w:b w:val="0"/>
        </w:rPr>
      </w:pPr>
      <w:bookmarkStart w:id="37" w:name="_Toc15377209"/>
      <w:bookmarkStart w:id="38" w:name="_Toc26877"/>
      <w:bookmarkStart w:id="39" w:name="_Toc15396607"/>
      <w:r>
        <w:drawing>
          <wp:anchor distT="0" distB="0" distL="114300" distR="114300" simplePos="0" relativeHeight="251661312" behindDoc="0" locked="0" layoutInCell="1" allowOverlap="1">
            <wp:simplePos x="0" y="0"/>
            <wp:positionH relativeFrom="column">
              <wp:posOffset>629920</wp:posOffset>
            </wp:positionH>
            <wp:positionV relativeFrom="paragraph">
              <wp:posOffset>102870</wp:posOffset>
            </wp:positionV>
            <wp:extent cx="3895725" cy="2343785"/>
            <wp:effectExtent l="4445" t="4445" r="5080" b="1397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37"/>
      <w:bookmarkEnd w:id="38"/>
      <w:bookmarkEnd w:id="39"/>
    </w:p>
    <w:p>
      <w:pPr>
        <w:spacing w:line="600" w:lineRule="exact"/>
        <w:ind w:firstLine="643" w:firstLineChars="200"/>
        <w:rPr>
          <w:rFonts w:eastAsia="楷体_GB2312" w:cs="楷体_GB2312"/>
          <w:b/>
          <w:sz w:val="32"/>
          <w:szCs w:val="32"/>
        </w:rPr>
      </w:pPr>
      <w:bookmarkStart w:id="40" w:name="_Toc15377210"/>
      <w:r>
        <w:rPr>
          <w:rFonts w:hint="eastAsia" w:eastAsia="楷体_GB2312" w:cs="楷体_GB2312"/>
          <w:b/>
          <w:sz w:val="32"/>
          <w:szCs w:val="32"/>
        </w:rPr>
        <w:t>（一）一般公共预算财政拨款支出决算总体情况</w:t>
      </w:r>
      <w:bookmarkEnd w:id="40"/>
    </w:p>
    <w:p>
      <w:pPr>
        <w:pStyle w:val="28"/>
        <w:spacing w:line="560" w:lineRule="exact"/>
        <w:ind w:firstLine="640"/>
        <w:rPr>
          <w:rFonts w:ascii="仿宋_GB2312" w:eastAsia="仿宋_GB2312"/>
          <w:color w:val="000000"/>
          <w:sz w:val="32"/>
          <w:szCs w:val="32"/>
        </w:rPr>
      </w:pPr>
      <w:r>
        <w:rPr>
          <w:rFonts w:hint="eastAsia" w:ascii="仿宋_GB2312" w:eastAsia="仿宋_GB2312"/>
          <w:color w:val="000000"/>
          <w:sz w:val="32"/>
          <w:szCs w:val="32"/>
        </w:rPr>
        <w:t>2025年度一般公共预算财政拨款支出614.8万元，占本年支出合计的100%。与上年度相比，一般公共预算财政拨款支出减少198.24万元，下降24.38%。主要变动原因是：2025年机构改革，本单位17人调入茂县国有资产管理中心。</w:t>
      </w:r>
    </w:p>
    <w:p>
      <w:pPr>
        <w:spacing w:line="600" w:lineRule="exact"/>
        <w:ind w:firstLine="643" w:firstLineChars="200"/>
        <w:rPr>
          <w:rFonts w:eastAsia="楷体_GB2312" w:cs="楷体_GB2312"/>
          <w:b/>
          <w:sz w:val="32"/>
          <w:szCs w:val="32"/>
        </w:rPr>
      </w:pPr>
      <w:bookmarkStart w:id="41" w:name="_Toc15377211"/>
      <w:r>
        <w:rPr>
          <w:rFonts w:hint="eastAsia" w:eastAsia="楷体_GB2312" w:cs="楷体_GB2312"/>
          <w:b/>
          <w:sz w:val="32"/>
          <w:szCs w:val="32"/>
        </w:rPr>
        <w:drawing>
          <wp:anchor distT="0" distB="0" distL="114300" distR="114300" simplePos="0" relativeHeight="251662336" behindDoc="0" locked="0" layoutInCell="1" allowOverlap="1">
            <wp:simplePos x="0" y="0"/>
            <wp:positionH relativeFrom="column">
              <wp:posOffset>848995</wp:posOffset>
            </wp:positionH>
            <wp:positionV relativeFrom="paragraph">
              <wp:posOffset>67945</wp:posOffset>
            </wp:positionV>
            <wp:extent cx="3783330" cy="2076450"/>
            <wp:effectExtent l="4445" t="4445" r="22225" b="14605"/>
            <wp:wrapTopAndBottom/>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楷体_GB2312" w:cs="楷体_GB2312"/>
          <w:b/>
          <w:sz w:val="32"/>
          <w:szCs w:val="32"/>
        </w:rPr>
        <w:t>（二）一般公共预算财政拨款支出决算结构情况</w:t>
      </w:r>
      <w:bookmarkEnd w:id="41"/>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2025年度一般公共预算财政拨款支出614.8万元，主要用于以下方面：一般公共服务支出486.68万元，占79.16%；社会保障和就业支出65.14万元，占10.6%；卫生健康支出27.25万元，占4.43%；住房保障支出35.73万元，占5.81%。</w:t>
      </w:r>
    </w:p>
    <w:p>
      <w:pPr>
        <w:spacing w:line="600" w:lineRule="exact"/>
        <w:ind w:firstLine="643" w:firstLineChars="200"/>
        <w:rPr>
          <w:rFonts w:eastAsia="楷体_GB2312" w:cs="楷体_GB2312"/>
          <w:b/>
          <w:sz w:val="32"/>
          <w:szCs w:val="32"/>
        </w:rPr>
      </w:pPr>
      <w:bookmarkStart w:id="42" w:name="_Toc15377212"/>
      <w:r>
        <w:rPr>
          <w:rFonts w:hint="eastAsia" w:eastAsia="楷体_GB2312" w:cs="楷体_GB2312"/>
          <w:b/>
          <w:sz w:val="32"/>
          <w:szCs w:val="32"/>
        </w:rPr>
        <w:drawing>
          <wp:anchor distT="0" distB="0" distL="114300" distR="114300" simplePos="0" relativeHeight="251663360" behindDoc="0" locked="0" layoutInCell="1" allowOverlap="1">
            <wp:simplePos x="0" y="0"/>
            <wp:positionH relativeFrom="column">
              <wp:posOffset>963930</wp:posOffset>
            </wp:positionH>
            <wp:positionV relativeFrom="paragraph">
              <wp:posOffset>216535</wp:posOffset>
            </wp:positionV>
            <wp:extent cx="3667760" cy="2200910"/>
            <wp:effectExtent l="4445" t="4445" r="23495" b="23495"/>
            <wp:wrapTopAndBottom/>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楷体_GB2312" w:cs="楷体_GB2312"/>
          <w:b/>
          <w:sz w:val="32"/>
          <w:szCs w:val="32"/>
        </w:rPr>
        <w:t>（三）一般公共预算财政拨款支出决算具体情况</w:t>
      </w:r>
      <w:bookmarkEnd w:id="42"/>
    </w:p>
    <w:p>
      <w:pPr>
        <w:spacing w:line="560" w:lineRule="exact"/>
        <w:ind w:firstLine="640"/>
        <w:rPr>
          <w:rFonts w:ascii="仿宋_GB2312" w:eastAsia="仿宋_GB2312"/>
          <w:color w:val="000000"/>
          <w:sz w:val="32"/>
          <w:szCs w:val="32"/>
        </w:rPr>
      </w:pPr>
      <w:bookmarkStart w:id="43" w:name="_Toc15377444"/>
      <w:bookmarkStart w:id="44" w:name="_Toc15377213"/>
      <w:bookmarkStart w:id="45" w:name="_Toc15378460"/>
      <w:r>
        <w:rPr>
          <w:rFonts w:hint="eastAsia" w:ascii="仿宋_GB2312" w:eastAsia="仿宋_GB2312"/>
          <w:color w:val="000000"/>
          <w:sz w:val="32"/>
          <w:szCs w:val="32"/>
        </w:rPr>
        <w:t>2025年度一般公共预算支出决算数为614.8万元，完成预算100%。其中：</w:t>
      </w:r>
      <w:bookmarkEnd w:id="43"/>
      <w:bookmarkEnd w:id="44"/>
      <w:bookmarkEnd w:id="45"/>
    </w:p>
    <w:p>
      <w:pPr>
        <w:spacing w:line="56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1.一般公共服务（类）财政事务（款）行政运行（项）:</w:t>
      </w:r>
      <w:r>
        <w:rPr>
          <w:rFonts w:hint="eastAsia" w:ascii="仿宋_GB2312" w:eastAsia="仿宋_GB2312"/>
          <w:color w:val="000000"/>
          <w:sz w:val="32"/>
          <w:szCs w:val="32"/>
        </w:rPr>
        <w:t>支出决算为228.34万元，完成预算100%，决算数等于预算数。</w:t>
      </w:r>
    </w:p>
    <w:p>
      <w:pPr>
        <w:spacing w:line="56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2.一般公共服务支出（类）财政事务（款）事业运行（项）:</w:t>
      </w:r>
      <w:r>
        <w:rPr>
          <w:rStyle w:val="18"/>
          <w:rFonts w:ascii="仿宋" w:hAnsi="仿宋" w:eastAsia="仿宋"/>
          <w:b w:val="0"/>
          <w:bCs/>
          <w:sz w:val="32"/>
          <w:szCs w:val="32"/>
        </w:rPr>
        <w:t xml:space="preserve"> </w:t>
      </w:r>
      <w:r>
        <w:rPr>
          <w:rFonts w:hint="eastAsia" w:ascii="仿宋_GB2312" w:eastAsia="仿宋_GB2312"/>
          <w:color w:val="000000"/>
          <w:sz w:val="32"/>
          <w:szCs w:val="32"/>
        </w:rPr>
        <w:t>支出决算为160.19万元，完成预算100%，决算数等于预算数。</w:t>
      </w:r>
    </w:p>
    <w:p>
      <w:pPr>
        <w:spacing w:line="56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3.一般公共服务（类）财政事务（款）其他财政事务支出（项）:</w:t>
      </w:r>
      <w:r>
        <w:rPr>
          <w:rStyle w:val="18"/>
          <w:rFonts w:ascii="仿宋" w:hAnsi="仿宋" w:eastAsia="仿宋"/>
          <w:b w:val="0"/>
          <w:bCs/>
          <w:sz w:val="32"/>
          <w:szCs w:val="32"/>
        </w:rPr>
        <w:t xml:space="preserve"> </w:t>
      </w:r>
      <w:r>
        <w:rPr>
          <w:rFonts w:hint="eastAsia" w:ascii="仿宋_GB2312" w:eastAsia="仿宋_GB2312"/>
          <w:color w:val="000000"/>
          <w:sz w:val="32"/>
          <w:szCs w:val="32"/>
        </w:rPr>
        <w:t>支出决算为98.15万元，完成预算100%，决算数等于预算数。</w:t>
      </w:r>
    </w:p>
    <w:p>
      <w:pPr>
        <w:spacing w:line="56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 xml:space="preserve">4.社会保障和就业（类）行政事业单位养老支出（款）机关事业单位基本养老保险缴费支出（项）: </w:t>
      </w:r>
      <w:r>
        <w:rPr>
          <w:rFonts w:hint="eastAsia" w:ascii="仿宋_GB2312" w:eastAsia="仿宋_GB2312"/>
          <w:color w:val="000000"/>
          <w:sz w:val="32"/>
          <w:szCs w:val="32"/>
        </w:rPr>
        <w:t>支出决算为43.43万元，完成预算100%，决算数等于预算数。</w:t>
      </w:r>
    </w:p>
    <w:p>
      <w:pPr>
        <w:spacing w:line="560" w:lineRule="exact"/>
        <w:ind w:firstLine="643" w:firstLineChars="200"/>
        <w:rPr>
          <w:rFonts w:ascii="仿宋" w:hAnsi="仿宋" w:eastAsia="仿宋"/>
          <w:b/>
          <w:sz w:val="32"/>
          <w:szCs w:val="32"/>
        </w:rPr>
      </w:pPr>
      <w:r>
        <w:rPr>
          <w:rFonts w:hint="eastAsia" w:ascii="仿宋_GB2312" w:eastAsia="仿宋_GB2312"/>
          <w:b/>
          <w:bCs/>
          <w:color w:val="000000"/>
          <w:sz w:val="32"/>
          <w:szCs w:val="32"/>
        </w:rPr>
        <w:t>5.社会保障和就业（类）行政事业单位养老支出（款）机关事业单位职业年金缴费支出（项）:</w:t>
      </w:r>
      <w:r>
        <w:rPr>
          <w:rStyle w:val="18"/>
          <w:rFonts w:ascii="仿宋" w:hAnsi="仿宋" w:eastAsia="仿宋"/>
          <w:b w:val="0"/>
          <w:bCs/>
          <w:sz w:val="32"/>
          <w:szCs w:val="32"/>
        </w:rPr>
        <w:t xml:space="preserve"> </w:t>
      </w:r>
      <w:r>
        <w:rPr>
          <w:rFonts w:hint="eastAsia" w:ascii="仿宋_GB2312" w:eastAsia="仿宋_GB2312"/>
          <w:color w:val="000000"/>
          <w:sz w:val="32"/>
          <w:szCs w:val="32"/>
        </w:rPr>
        <w:t>支出决算为21.71万元，完成预算100%，决算数等于预算数。</w:t>
      </w:r>
    </w:p>
    <w:p>
      <w:pPr>
        <w:spacing w:line="56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6.卫生健康（类）行政事业单位医疗（款）行政单位医疗（项）:</w:t>
      </w:r>
      <w:r>
        <w:rPr>
          <w:rFonts w:hint="eastAsia" w:ascii="仿宋_GB2312" w:eastAsia="仿宋_GB2312"/>
          <w:color w:val="000000"/>
          <w:sz w:val="32"/>
          <w:szCs w:val="32"/>
        </w:rPr>
        <w:t>支出决算为17.09万元，完成预算100%，决算数等于预算数。</w:t>
      </w:r>
    </w:p>
    <w:p>
      <w:pPr>
        <w:spacing w:line="560" w:lineRule="exact"/>
        <w:ind w:firstLine="643" w:firstLineChars="200"/>
        <w:rPr>
          <w:rFonts w:ascii="仿宋" w:hAnsi="仿宋" w:eastAsia="仿宋"/>
          <w:b/>
          <w:sz w:val="32"/>
          <w:szCs w:val="32"/>
        </w:rPr>
      </w:pPr>
      <w:r>
        <w:rPr>
          <w:rFonts w:hint="eastAsia" w:ascii="仿宋_GB2312" w:eastAsia="仿宋_GB2312"/>
          <w:b/>
          <w:bCs/>
          <w:color w:val="000000"/>
          <w:sz w:val="32"/>
          <w:szCs w:val="32"/>
        </w:rPr>
        <w:t>7.卫生健康（类）行政事业单位医疗（款）事业单位医疗（项）:</w:t>
      </w:r>
      <w:r>
        <w:rPr>
          <w:rFonts w:hint="eastAsia" w:ascii="仿宋_GB2312" w:eastAsia="仿宋_GB2312"/>
          <w:color w:val="000000"/>
          <w:sz w:val="32"/>
          <w:szCs w:val="32"/>
        </w:rPr>
        <w:t>支出决算为10.16万元，完成预算100%，决算数等于预算数。</w:t>
      </w:r>
    </w:p>
    <w:p>
      <w:pPr>
        <w:tabs>
          <w:tab w:val="right" w:pos="8306"/>
        </w:tabs>
        <w:spacing w:line="560" w:lineRule="exact"/>
        <w:ind w:firstLine="643" w:firstLineChars="200"/>
        <w:rPr>
          <w:rFonts w:ascii="仿宋_GB2312" w:eastAsia="仿宋_GB2312"/>
          <w:color w:val="000000"/>
          <w:sz w:val="32"/>
          <w:szCs w:val="32"/>
        </w:rPr>
      </w:pPr>
      <w:bookmarkStart w:id="46" w:name="_Toc5352"/>
      <w:bookmarkStart w:id="47" w:name="_Toc29098"/>
      <w:bookmarkStart w:id="48" w:name="_Toc20453"/>
      <w:r>
        <w:rPr>
          <w:rFonts w:hint="eastAsia" w:ascii="仿宋_GB2312" w:eastAsia="仿宋_GB2312"/>
          <w:b/>
          <w:bCs/>
          <w:color w:val="000000"/>
          <w:sz w:val="32"/>
          <w:szCs w:val="32"/>
        </w:rPr>
        <w:t>8.住房保障（类）住房改革支出（款）住房公积金（项）:</w:t>
      </w:r>
      <w:r>
        <w:rPr>
          <w:rFonts w:hint="eastAsia" w:ascii="仿宋_GB2312" w:eastAsia="仿宋_GB2312"/>
          <w:color w:val="000000"/>
          <w:sz w:val="32"/>
          <w:szCs w:val="32"/>
        </w:rPr>
        <w:t>支出决算为35.73万元，完成预算100%，决算数等于预算数。</w:t>
      </w:r>
      <w:bookmarkEnd w:id="46"/>
      <w:bookmarkEnd w:id="47"/>
      <w:bookmarkEnd w:id="48"/>
      <w:r>
        <w:rPr>
          <w:rFonts w:hint="eastAsia" w:ascii="仿宋_GB2312" w:eastAsia="仿宋_GB2312"/>
          <w:color w:val="000000"/>
          <w:sz w:val="32"/>
          <w:szCs w:val="32"/>
        </w:rPr>
        <w:t xml:space="preserve"> </w:t>
      </w:r>
    </w:p>
    <w:p>
      <w:pPr>
        <w:tabs>
          <w:tab w:val="right" w:pos="8306"/>
        </w:tabs>
        <w:spacing w:line="560" w:lineRule="exact"/>
        <w:ind w:firstLine="640"/>
        <w:outlineLvl w:val="1"/>
        <w:rPr>
          <w:rStyle w:val="30"/>
          <w:rFonts w:ascii="Times New Roman" w:hAnsi="Times New Roman"/>
        </w:rPr>
      </w:pPr>
      <w:bookmarkStart w:id="49" w:name="_Toc15377214"/>
      <w:bookmarkStart w:id="50" w:name="_Toc15396608"/>
      <w:bookmarkStart w:id="51" w:name="_Toc31177"/>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49"/>
      <w:bookmarkEnd w:id="50"/>
      <w:bookmarkEnd w:id="51"/>
      <w:r>
        <w:rPr>
          <w:rStyle w:val="30"/>
          <w:rFonts w:ascii="Times New Roman" w:hAnsi="Times New Roman" w:eastAsia="黑体"/>
          <w:b w:val="0"/>
        </w:rPr>
        <w:tab/>
      </w:r>
    </w:p>
    <w:p>
      <w:pPr>
        <w:tabs>
          <w:tab w:val="right" w:pos="8306"/>
        </w:tabs>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2025年度一般公共预算财政拨款基本支出516.66万元，其中：</w:t>
      </w:r>
    </w:p>
    <w:p>
      <w:pPr>
        <w:tabs>
          <w:tab w:val="right" w:pos="8306"/>
        </w:tabs>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人员经费463.97万元，主要包括：基本工资、津贴补贴、奖金、绩效工资、机关事业单位基本养老保险缴费、职业年金缴费、职工基本医疗保险缴费、公务员医疗补助缴费、其他社会保障缴费、住房公积金、医疗费、生活补助、 奖励金。</w:t>
      </w:r>
    </w:p>
    <w:p>
      <w:pPr>
        <w:tabs>
          <w:tab w:val="right" w:pos="8306"/>
        </w:tabs>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公用经费52.69万元，主要包括：办公费、邮电费、差旅费、培训费、公务接待费、福利费、公务用车运行维护费、其他商品和服务支出。</w:t>
      </w:r>
    </w:p>
    <w:p>
      <w:pPr>
        <w:spacing w:line="600" w:lineRule="exact"/>
        <w:ind w:firstLine="640"/>
        <w:outlineLvl w:val="1"/>
        <w:rPr>
          <w:rStyle w:val="30"/>
          <w:rFonts w:ascii="Times New Roman" w:hAnsi="Times New Roman" w:eastAsia="黑体"/>
          <w:b w:val="0"/>
        </w:rPr>
      </w:pPr>
      <w:bookmarkStart w:id="52" w:name="_Toc15396609"/>
      <w:bookmarkStart w:id="53" w:name="_Toc15377215"/>
      <w:bookmarkStart w:id="54" w:name="_Toc1955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52"/>
      <w:bookmarkEnd w:id="53"/>
      <w:bookmarkEnd w:id="54"/>
    </w:p>
    <w:p>
      <w:pPr>
        <w:spacing w:line="600" w:lineRule="exact"/>
        <w:ind w:firstLine="643" w:firstLineChars="200"/>
        <w:rPr>
          <w:rFonts w:eastAsia="楷体_GB2312" w:cs="楷体_GB2312"/>
          <w:b/>
          <w:sz w:val="32"/>
          <w:szCs w:val="32"/>
        </w:rPr>
      </w:pPr>
      <w:bookmarkStart w:id="55" w:name="_Toc15377216"/>
      <w:r>
        <w:rPr>
          <w:rFonts w:hint="eastAsia" w:eastAsia="楷体_GB2312" w:cs="楷体_GB2312"/>
          <w:b/>
          <w:sz w:val="32"/>
          <w:szCs w:val="32"/>
        </w:rPr>
        <w:t>（一）财政拨款“三公”经费支出决算总体情况说明</w:t>
      </w:r>
      <w:bookmarkEnd w:id="55"/>
    </w:p>
    <w:p>
      <w:pPr>
        <w:tabs>
          <w:tab w:val="right" w:pos="8306"/>
        </w:tabs>
        <w:spacing w:line="560" w:lineRule="exact"/>
        <w:ind w:firstLine="640" w:firstLineChars="200"/>
        <w:jc w:val="left"/>
        <w:rPr>
          <w:rFonts w:ascii="仿宋_GB2312" w:eastAsia="仿宋_GB2312"/>
          <w:color w:val="000000"/>
          <w:sz w:val="32"/>
          <w:szCs w:val="32"/>
        </w:rPr>
      </w:pPr>
      <w:r>
        <w:rPr>
          <w:rFonts w:hint="eastAsia" w:ascii="仿宋_GB2312" w:eastAsia="仿宋_GB2312"/>
          <w:color w:val="000000"/>
          <w:sz w:val="32"/>
          <w:szCs w:val="32"/>
        </w:rPr>
        <w:t>2025年度财政拨款“三公”经费支出决算为46.4万元，完成预算100%，与上年度相比增加38.05万元，增长455.68%。决算数与预算数持平。</w:t>
      </w:r>
    </w:p>
    <w:p>
      <w:pPr>
        <w:spacing w:line="600" w:lineRule="exact"/>
        <w:ind w:firstLine="643" w:firstLineChars="200"/>
        <w:rPr>
          <w:rFonts w:eastAsia="楷体_GB2312" w:cs="楷体_GB2312"/>
          <w:b/>
          <w:sz w:val="32"/>
          <w:szCs w:val="32"/>
        </w:rPr>
      </w:pPr>
      <w:bookmarkStart w:id="56" w:name="_Toc15377217"/>
      <w:r>
        <w:rPr>
          <w:rFonts w:hint="eastAsia" w:eastAsia="楷体_GB2312" w:cs="楷体_GB2312"/>
          <w:b/>
          <w:sz w:val="32"/>
          <w:szCs w:val="32"/>
        </w:rPr>
        <w:t>（二）财政拨款“三公”经费支出决算具体情况说明</w:t>
      </w:r>
      <w:bookmarkEnd w:id="56"/>
    </w:p>
    <w:p>
      <w:pPr>
        <w:tabs>
          <w:tab w:val="right" w:pos="8306"/>
        </w:tabs>
        <w:spacing w:line="560" w:lineRule="exact"/>
        <w:ind w:firstLine="640" w:firstLineChars="200"/>
        <w:rPr>
          <w:rFonts w:eastAsia="仿宋_GB2312" w:cs="仿宋_GB2312"/>
          <w:sz w:val="32"/>
          <w:szCs w:val="32"/>
        </w:rPr>
      </w:pPr>
      <w:r>
        <w:rPr>
          <w:rFonts w:hint="eastAsia" w:ascii="仿宋_GB2312" w:eastAsia="仿宋_GB2312"/>
          <w:color w:val="000000"/>
          <w:sz w:val="32"/>
          <w:szCs w:val="32"/>
        </w:rPr>
        <w:drawing>
          <wp:anchor distT="0" distB="0" distL="114300" distR="114300" simplePos="0" relativeHeight="251664384" behindDoc="0" locked="0" layoutInCell="1" allowOverlap="1">
            <wp:simplePos x="0" y="0"/>
            <wp:positionH relativeFrom="column">
              <wp:posOffset>1010920</wp:posOffset>
            </wp:positionH>
            <wp:positionV relativeFrom="paragraph">
              <wp:posOffset>1798955</wp:posOffset>
            </wp:positionV>
            <wp:extent cx="3334385" cy="1800860"/>
            <wp:effectExtent l="4445" t="4445" r="13970" b="23495"/>
            <wp:wrapTopAndBottom/>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_GB2312" w:eastAsia="仿宋_GB2312"/>
          <w:color w:val="000000"/>
          <w:sz w:val="32"/>
          <w:szCs w:val="32"/>
        </w:rPr>
        <w:t>2025年度财政拨款“三公”经费支出决算中，因公出国（境）费支出决算0万元，占0%；公务用车购置费支出决算38.1万元，占82.11%；公务用车运行维护费支出决算8.12万元，占17.5%；公务接待费支出决算0.18万元，占0.39%。具体情况如下：</w:t>
      </w:r>
    </w:p>
    <w:p>
      <w:pPr>
        <w:spacing w:line="60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1.因公出国（境）经费支出0万元，完成预算0%。</w:t>
      </w:r>
      <w:r>
        <w:rPr>
          <w:rFonts w:hint="eastAsia" w:ascii="仿宋_GB2312" w:eastAsia="仿宋_GB2312"/>
          <w:color w:val="000000"/>
          <w:sz w:val="32"/>
          <w:szCs w:val="32"/>
        </w:rPr>
        <w:t>因公出国（境）支出决算与上年度相比增加0万元，增长0%。</w:t>
      </w:r>
    </w:p>
    <w:p>
      <w:pPr>
        <w:spacing w:line="60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2.公务用车购置及运行维护费支出46.22万元，完成预算100%。</w:t>
      </w:r>
      <w:r>
        <w:rPr>
          <w:rFonts w:hint="eastAsia" w:ascii="仿宋_GB2312" w:eastAsia="仿宋_GB2312"/>
          <w:color w:val="000000"/>
          <w:sz w:val="32"/>
          <w:szCs w:val="32"/>
        </w:rPr>
        <w:t>公务用车购置及运行维护费支出决算与上年度相比增加38.27万元，增长481.38%。主要原因是：2025年新购置公务用车1辆。</w:t>
      </w:r>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bCs/>
          <w:color w:val="000000"/>
          <w:sz w:val="32"/>
          <w:szCs w:val="32"/>
        </w:rPr>
        <w:t>公务用车购置支出38.1万元。</w:t>
      </w:r>
      <w:r>
        <w:rPr>
          <w:rFonts w:hint="eastAsia" w:ascii="仿宋_GB2312" w:eastAsia="仿宋_GB2312"/>
          <w:color w:val="000000"/>
          <w:sz w:val="32"/>
          <w:szCs w:val="32"/>
        </w:rPr>
        <w:t>全年按规定更新购置公务用车1辆，其中：越野车1辆、金额38.1万元，主要用于日常公务出行，业务下乡等。截至2025年12月31日，单位共有公务用车2辆，其中：越野车2辆。</w:t>
      </w:r>
    </w:p>
    <w:p>
      <w:pPr>
        <w:spacing w:line="60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公务用车运行维护费支出8.12万元。</w:t>
      </w:r>
      <w:r>
        <w:rPr>
          <w:rFonts w:hint="eastAsia" w:ascii="仿宋_GB2312" w:eastAsia="仿宋_GB2312"/>
          <w:color w:val="000000"/>
          <w:sz w:val="32"/>
          <w:szCs w:val="32"/>
        </w:rPr>
        <w:t>主要用于日常办理公务、处理突发事件公务活动工作等所需的公务用车燃料费、维修费、过路过桥费、保险费等支出。</w:t>
      </w:r>
    </w:p>
    <w:p>
      <w:pPr>
        <w:spacing w:line="60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3.公务接待费支出0.18万元，完成预算100%。</w:t>
      </w:r>
      <w:r>
        <w:rPr>
          <w:rFonts w:hint="eastAsia" w:ascii="仿宋_GB2312" w:eastAsia="仿宋_GB2312"/>
          <w:color w:val="000000"/>
          <w:sz w:val="32"/>
          <w:szCs w:val="32"/>
        </w:rPr>
        <w:t>公务接待费支出决算与上年度相比减少0.22万元，下降55%。主要原因是：公务接待次数减少。其中：</w:t>
      </w:r>
    </w:p>
    <w:p>
      <w:pPr>
        <w:spacing w:line="600" w:lineRule="exact"/>
        <w:ind w:firstLine="643" w:firstLineChars="200"/>
        <w:rPr>
          <w:rFonts w:ascii="仿宋_GB2312" w:eastAsia="仿宋_GB2312"/>
          <w:color w:val="000000"/>
          <w:sz w:val="32"/>
          <w:szCs w:val="32"/>
        </w:rPr>
      </w:pPr>
      <w:r>
        <w:rPr>
          <w:rFonts w:hint="eastAsia" w:ascii="仿宋_GB2312" w:eastAsia="仿宋_GB2312"/>
          <w:b/>
          <w:bCs/>
          <w:color w:val="000000"/>
          <w:sz w:val="32"/>
          <w:szCs w:val="32"/>
        </w:rPr>
        <w:t>国内公务接待支出0.18万元</w:t>
      </w:r>
      <w:r>
        <w:rPr>
          <w:rFonts w:hint="eastAsia" w:ascii="仿宋_GB2312" w:eastAsia="仿宋_GB2312"/>
          <w:color w:val="000000"/>
          <w:sz w:val="32"/>
          <w:szCs w:val="32"/>
        </w:rPr>
        <w:t>，主要用于执行公务、开展业务活动开支的用餐费。国内公务接待2批次，18人次，共计支出0.18万元，具体内容包括：2025年州财政局等一行到茂县开展2025年度拟开工普通国省干线项目调研工作公务接待支出0.16万元、四川担保集团有限公司赴茂县财政局进行调研座谈公务接待支出0.02万元。</w:t>
      </w:r>
    </w:p>
    <w:p>
      <w:pPr>
        <w:spacing w:line="600" w:lineRule="exact"/>
        <w:ind w:firstLine="643" w:firstLineChars="200"/>
        <w:rPr>
          <w:rFonts w:eastAsia="仿宋_GB2312" w:cs="仿宋_GB2312"/>
          <w:sz w:val="32"/>
          <w:szCs w:val="32"/>
        </w:rPr>
      </w:pPr>
      <w:r>
        <w:rPr>
          <w:rFonts w:hint="eastAsia" w:ascii="仿宋_GB2312" w:eastAsia="仿宋_GB2312"/>
          <w:b/>
          <w:bCs/>
          <w:color w:val="000000"/>
          <w:sz w:val="32"/>
          <w:szCs w:val="32"/>
        </w:rPr>
        <w:t>外事接待支出0万元</w:t>
      </w:r>
      <w:r>
        <w:rPr>
          <w:rFonts w:hint="eastAsia" w:ascii="仿宋_GB2312" w:eastAsia="仿宋_GB2312"/>
          <w:color w:val="000000"/>
          <w:sz w:val="32"/>
          <w:szCs w:val="32"/>
        </w:rPr>
        <w:t>。</w:t>
      </w:r>
      <w:bookmarkStart w:id="57" w:name="_Toc15377218"/>
      <w:bookmarkStart w:id="58" w:name="_Toc15396610"/>
    </w:p>
    <w:p>
      <w:pPr>
        <w:spacing w:line="600" w:lineRule="exact"/>
        <w:ind w:firstLine="640"/>
        <w:outlineLvl w:val="1"/>
        <w:rPr>
          <w:rStyle w:val="30"/>
          <w:rFonts w:ascii="Times New Roman" w:hAnsi="Times New Roman" w:eastAsia="黑体"/>
        </w:rPr>
      </w:pPr>
      <w:bookmarkStart w:id="59" w:name="_Toc3079"/>
      <w:r>
        <w:rPr>
          <w:rFonts w:hint="eastAsia" w:eastAsia="黑体"/>
          <w:sz w:val="32"/>
          <w:szCs w:val="32"/>
        </w:rPr>
        <w:t>八、</w:t>
      </w:r>
      <w:r>
        <w:rPr>
          <w:rStyle w:val="30"/>
          <w:rFonts w:hint="eastAsia" w:ascii="Times New Roman" w:hAnsi="Times New Roman" w:eastAsia="黑体"/>
          <w:b w:val="0"/>
        </w:rPr>
        <w:t>政府性基金预算支出决算情况说明</w:t>
      </w:r>
      <w:bookmarkEnd w:id="57"/>
      <w:bookmarkEnd w:id="58"/>
      <w:bookmarkEnd w:id="59"/>
    </w:p>
    <w:p>
      <w:pPr>
        <w:spacing w:line="560" w:lineRule="exact"/>
        <w:ind w:firstLine="640" w:firstLineChars="200"/>
        <w:rPr>
          <w:rFonts w:ascii="仿宋_GB2312" w:eastAsia="仿宋_GB2312"/>
          <w:color w:val="000000"/>
          <w:sz w:val="32"/>
          <w:szCs w:val="32"/>
        </w:rPr>
      </w:pPr>
      <w:bookmarkStart w:id="60" w:name="_Toc15396611"/>
      <w:bookmarkStart w:id="61" w:name="_Toc15377219"/>
      <w:r>
        <w:rPr>
          <w:rFonts w:hint="eastAsia" w:ascii="仿宋_GB2312" w:eastAsia="仿宋_GB2312"/>
          <w:color w:val="000000"/>
          <w:sz w:val="32"/>
          <w:szCs w:val="32"/>
        </w:rPr>
        <w:t>2025年度政府性基金预算财政拨款支出0万元。</w:t>
      </w:r>
    </w:p>
    <w:p>
      <w:pPr>
        <w:spacing w:line="600" w:lineRule="exact"/>
        <w:ind w:left="630"/>
        <w:outlineLvl w:val="1"/>
        <w:rPr>
          <w:rStyle w:val="30"/>
          <w:rFonts w:ascii="Times New Roman" w:hAnsi="Times New Roman" w:eastAsia="黑体"/>
          <w:b w:val="0"/>
        </w:rPr>
      </w:pPr>
      <w:bookmarkStart w:id="62" w:name="_Toc4977"/>
      <w:r>
        <w:rPr>
          <w:rStyle w:val="30"/>
          <w:rFonts w:hint="eastAsia" w:ascii="Times New Roman" w:hAnsi="Times New Roman" w:eastAsia="黑体"/>
          <w:b w:val="0"/>
        </w:rPr>
        <w:t>九、国有资本经营预算支出决算情况说明</w:t>
      </w:r>
      <w:bookmarkEnd w:id="60"/>
      <w:bookmarkEnd w:id="61"/>
      <w:bookmarkEnd w:id="62"/>
    </w:p>
    <w:p>
      <w:pPr>
        <w:spacing w:line="560" w:lineRule="exact"/>
        <w:ind w:firstLine="640" w:firstLineChars="200"/>
        <w:rPr>
          <w:rFonts w:ascii="仿宋_GB2312" w:eastAsia="仿宋_GB2312"/>
          <w:color w:val="000000"/>
          <w:sz w:val="32"/>
          <w:szCs w:val="32"/>
        </w:rPr>
      </w:pPr>
      <w:bookmarkStart w:id="63" w:name="_Toc15396612"/>
      <w:bookmarkStart w:id="64" w:name="_Toc15377221"/>
      <w:r>
        <w:rPr>
          <w:rFonts w:hint="eastAsia" w:ascii="仿宋_GB2312" w:eastAsia="仿宋_GB2312"/>
          <w:color w:val="000000"/>
          <w:sz w:val="32"/>
          <w:szCs w:val="32"/>
        </w:rPr>
        <w:t>2025年度国有资本经营预算财政拨款支出0万元。</w:t>
      </w:r>
    </w:p>
    <w:p>
      <w:pPr>
        <w:spacing w:line="600" w:lineRule="exact"/>
        <w:ind w:left="630"/>
        <w:outlineLvl w:val="1"/>
        <w:rPr>
          <w:rStyle w:val="30"/>
          <w:rFonts w:ascii="Times New Roman" w:hAnsi="Times New Roman" w:eastAsia="黑体"/>
          <w:b w:val="0"/>
        </w:rPr>
      </w:pPr>
      <w:bookmarkStart w:id="65" w:name="_Toc9249"/>
      <w:r>
        <w:rPr>
          <w:rStyle w:val="30"/>
          <w:rFonts w:hint="eastAsia" w:ascii="Times New Roman" w:hAnsi="Times New Roman" w:eastAsia="黑体"/>
          <w:b w:val="0"/>
        </w:rPr>
        <w:t>十、其他重要事项的情况说明</w:t>
      </w:r>
      <w:bookmarkEnd w:id="63"/>
      <w:bookmarkEnd w:id="64"/>
      <w:bookmarkEnd w:id="65"/>
    </w:p>
    <w:p>
      <w:pPr>
        <w:spacing w:line="600" w:lineRule="exact"/>
        <w:ind w:firstLine="643" w:firstLineChars="200"/>
        <w:rPr>
          <w:rFonts w:eastAsia="楷体_GB2312" w:cs="楷体_GB2312"/>
          <w:b/>
          <w:sz w:val="32"/>
          <w:szCs w:val="32"/>
        </w:rPr>
      </w:pPr>
      <w:bookmarkStart w:id="66" w:name="_Toc15377222"/>
      <w:r>
        <w:rPr>
          <w:rFonts w:hint="eastAsia" w:eastAsia="楷体_GB2312" w:cs="楷体_GB2312"/>
          <w:b/>
          <w:sz w:val="32"/>
          <w:szCs w:val="32"/>
        </w:rPr>
        <w:t>（一）机关运行经费支出情况</w:t>
      </w:r>
      <w:bookmarkEnd w:id="66"/>
    </w:p>
    <w:p>
      <w:pPr>
        <w:spacing w:line="560" w:lineRule="exact"/>
        <w:ind w:firstLine="640" w:firstLineChars="200"/>
        <w:rPr>
          <w:rFonts w:eastAsia="仿宋_GB2312" w:cs="仿宋_GB2312"/>
          <w:sz w:val="32"/>
          <w:szCs w:val="32"/>
        </w:rPr>
      </w:pPr>
      <w:r>
        <w:rPr>
          <w:rFonts w:hint="eastAsia" w:ascii="仿宋_GB2312" w:eastAsia="仿宋_GB2312"/>
          <w:color w:val="000000"/>
          <w:sz w:val="32"/>
          <w:szCs w:val="32"/>
        </w:rPr>
        <w:t>2025年度，茂县财政局机关运行经费支出22.73万元，与上年度相比增加6.34万元，增长38.68%。主要原因是：2025年公用经费支出增加。</w:t>
      </w:r>
    </w:p>
    <w:p>
      <w:pPr>
        <w:spacing w:line="600" w:lineRule="exact"/>
        <w:ind w:firstLine="643" w:firstLineChars="200"/>
        <w:rPr>
          <w:rFonts w:eastAsia="楷体_GB2312" w:cs="楷体_GB2312"/>
          <w:b/>
          <w:sz w:val="32"/>
          <w:szCs w:val="32"/>
        </w:rPr>
      </w:pPr>
      <w:bookmarkStart w:id="67" w:name="_Toc15377223"/>
      <w:r>
        <w:rPr>
          <w:rFonts w:hint="eastAsia" w:eastAsia="楷体_GB2312" w:cs="楷体_GB2312"/>
          <w:b/>
          <w:sz w:val="32"/>
          <w:szCs w:val="32"/>
        </w:rPr>
        <w:t>（二）政府采购支出情况</w:t>
      </w:r>
      <w:bookmarkEnd w:id="67"/>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2025年度，茂县财政局政府采购支出总额0万元</w:t>
      </w:r>
      <w:bookmarkStart w:id="68" w:name="_Toc15377224"/>
      <w:r>
        <w:rPr>
          <w:rFonts w:hint="eastAsia" w:ascii="仿宋_GB2312" w:eastAsia="仿宋_GB2312"/>
          <w:color w:val="000000"/>
          <w:sz w:val="32"/>
          <w:szCs w:val="32"/>
        </w:rPr>
        <w:t>。</w:t>
      </w:r>
    </w:p>
    <w:p>
      <w:pPr>
        <w:spacing w:line="600" w:lineRule="exact"/>
        <w:ind w:firstLine="643" w:firstLineChars="200"/>
        <w:rPr>
          <w:rFonts w:eastAsia="楷体_GB2312" w:cs="楷体_GB2312"/>
          <w:b/>
          <w:sz w:val="32"/>
          <w:szCs w:val="32"/>
        </w:rPr>
      </w:pPr>
      <w:r>
        <w:rPr>
          <w:rFonts w:hint="eastAsia" w:eastAsia="楷体_GB2312" w:cs="楷体_GB2312"/>
          <w:b/>
          <w:sz w:val="32"/>
          <w:szCs w:val="32"/>
        </w:rPr>
        <w:t>（三）国有资产占有使用情况</w:t>
      </w:r>
      <w:bookmarkEnd w:id="68"/>
    </w:p>
    <w:p>
      <w:pPr>
        <w:spacing w:line="560" w:lineRule="exact"/>
        <w:ind w:firstLine="640" w:firstLineChars="200"/>
        <w:rPr>
          <w:rFonts w:eastAsia="仿宋_GB2312" w:cs="仿宋_GB2312"/>
          <w:sz w:val="32"/>
          <w:szCs w:val="32"/>
        </w:rPr>
      </w:pPr>
      <w:r>
        <w:rPr>
          <w:rFonts w:hint="eastAsia" w:ascii="仿宋_GB2312" w:eastAsia="仿宋_GB2312"/>
          <w:color w:val="000000"/>
          <w:sz w:val="32"/>
          <w:szCs w:val="32"/>
        </w:rPr>
        <w:t>截至2025年12月31日，茂县财政局共有车辆2辆，其中：应急保障用车2辆。</w:t>
      </w:r>
    </w:p>
    <w:p>
      <w:pPr>
        <w:spacing w:line="600" w:lineRule="exact"/>
        <w:ind w:firstLine="643" w:firstLineChars="200"/>
        <w:rPr>
          <w:rFonts w:eastAsia="楷体_GB2312" w:cs="楷体_GB2312"/>
          <w:b/>
          <w:sz w:val="32"/>
          <w:szCs w:val="32"/>
        </w:rPr>
      </w:pPr>
      <w:r>
        <w:rPr>
          <w:rFonts w:hint="eastAsia" w:eastAsia="楷体_GB2312" w:cs="楷体_GB2312"/>
          <w:b/>
          <w:sz w:val="32"/>
          <w:szCs w:val="32"/>
        </w:rPr>
        <w:t>（四）预算绩效管理情况</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根据预算绩效管理要求，茂县财政局</w:t>
      </w:r>
      <w:r>
        <w:rPr>
          <w:rFonts w:hint="eastAsia" w:ascii="仿宋_GB2312" w:eastAsia="仿宋_GB2312"/>
          <w:sz w:val="32"/>
          <w:szCs w:val="32"/>
        </w:rPr>
        <w:t>在2025年度预算编制阶段，不涉及预算事前绩效评估</w:t>
      </w:r>
      <w:r>
        <w:rPr>
          <w:rFonts w:hint="eastAsia" w:ascii="仿宋_GB2312" w:eastAsia="仿宋_GB2312"/>
          <w:color w:val="000000"/>
          <w:sz w:val="32"/>
          <w:szCs w:val="32"/>
        </w:rPr>
        <w:t>，对26个项目编制了绩效目标，预算执行过程中，选取6个项目开展绩效监控。</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组织对2025年度一般公共预算支出全面开展绩效自评，形成茂县财政局部门预算绩效自评报告。绩效自评报告详见附件。</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2025年度茂县财政局部门整体支出绩效自查自评结果良好，全年基本支出保证了部门的正常运转，项目支出保障了重点工作的开展。</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2025年度本部门不涉及专项预算项目绩效评价。</w:t>
      </w:r>
    </w:p>
    <w:p>
      <w:pPr>
        <w:rPr>
          <w:rFonts w:eastAsia="仿宋_GB2312" w:cs="仿宋_GB2312"/>
          <w:sz w:val="32"/>
          <w:szCs w:val="32"/>
        </w:rPr>
      </w:pPr>
      <w:r>
        <w:rPr>
          <w:rFonts w:hint="eastAsia" w:ascii="仿宋_GB2312" w:eastAsia="仿宋_GB2312"/>
          <w:color w:val="000000"/>
          <w:sz w:val="32"/>
          <w:szCs w:val="32"/>
        </w:rPr>
        <w:br w:type="page"/>
      </w:r>
    </w:p>
    <w:p>
      <w:pPr>
        <w:spacing w:line="600" w:lineRule="exact"/>
        <w:jc w:val="center"/>
        <w:outlineLvl w:val="0"/>
        <w:rPr>
          <w:rFonts w:eastAsia="黑体"/>
          <w:sz w:val="44"/>
          <w:szCs w:val="44"/>
        </w:rPr>
      </w:pPr>
      <w:bookmarkStart w:id="69" w:name="_Toc15396613"/>
      <w:bookmarkStart w:id="70" w:name="_Toc15377225"/>
      <w:bookmarkStart w:id="71" w:name="_Toc20342"/>
      <w:r>
        <w:rPr>
          <w:rFonts w:hint="eastAsia" w:eastAsia="黑体"/>
          <w:sz w:val="44"/>
          <w:szCs w:val="44"/>
        </w:rPr>
        <w:t>第三部分  名词解释</w:t>
      </w:r>
      <w:bookmarkEnd w:id="69"/>
      <w:bookmarkEnd w:id="70"/>
      <w:bookmarkEnd w:id="71"/>
    </w:p>
    <w:p>
      <w:pPr>
        <w:spacing w:line="600" w:lineRule="exact"/>
        <w:jc w:val="left"/>
        <w:rPr>
          <w:b/>
          <w:sz w:val="44"/>
          <w:szCs w:val="44"/>
        </w:rPr>
      </w:pPr>
    </w:p>
    <w:p>
      <w:pPr>
        <w:spacing w:line="560" w:lineRule="exact"/>
        <w:ind w:firstLine="640" w:firstLineChars="200"/>
        <w:rPr>
          <w:rFonts w:ascii="仿宋_GB2312" w:eastAsia="仿宋_GB2312"/>
          <w:sz w:val="32"/>
          <w:szCs w:val="32"/>
        </w:rPr>
      </w:pPr>
      <w:bookmarkStart w:id="72" w:name="_Toc15377226"/>
      <w:r>
        <w:rPr>
          <w:rFonts w:hint="eastAsia" w:ascii="仿宋_GB2312" w:eastAsia="仿宋_GB2312"/>
          <w:sz w:val="32"/>
          <w:szCs w:val="32"/>
        </w:rPr>
        <w:t>1.财政拨款收入：指单位从同级财政部门取得的财政预算资金。</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2.一般公共服务（类）财政事务（款）行政运行（项）：指行政单位（包括实行公务员管理的事业单位）的基本支出。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hint="eastAsia" w:ascii="仿宋_GB2312" w:eastAsia="仿宋_GB2312" w:cs="仿宋"/>
          <w:color w:val="000000"/>
          <w:kern w:val="0"/>
          <w:sz w:val="32"/>
          <w:szCs w:val="32"/>
        </w:rPr>
        <w:t>一般公共服务支出（</w:t>
      </w:r>
      <w:r>
        <w:rPr>
          <w:rFonts w:hint="eastAsia" w:ascii="仿宋_GB2312" w:eastAsia="仿宋_GB2312"/>
          <w:sz w:val="32"/>
          <w:szCs w:val="32"/>
        </w:rPr>
        <w:t>类</w:t>
      </w:r>
      <w:r>
        <w:rPr>
          <w:rFonts w:hint="eastAsia" w:ascii="仿宋_GB2312" w:eastAsia="仿宋_GB2312" w:cs="仿宋"/>
          <w:color w:val="000000"/>
          <w:kern w:val="0"/>
          <w:sz w:val="32"/>
          <w:szCs w:val="32"/>
        </w:rPr>
        <w:t>）财政事务（</w:t>
      </w:r>
      <w:r>
        <w:rPr>
          <w:rFonts w:hint="eastAsia" w:ascii="仿宋_GB2312" w:eastAsia="仿宋_GB2312"/>
          <w:sz w:val="32"/>
          <w:szCs w:val="32"/>
        </w:rPr>
        <w:t>款</w:t>
      </w:r>
      <w:r>
        <w:rPr>
          <w:rFonts w:hint="eastAsia" w:ascii="仿宋_GB2312" w:eastAsia="仿宋_GB2312" w:cs="仿宋"/>
          <w:color w:val="000000"/>
          <w:kern w:val="0"/>
          <w:sz w:val="32"/>
          <w:szCs w:val="32"/>
        </w:rPr>
        <w:t>）事业运行（</w:t>
      </w:r>
      <w:r>
        <w:rPr>
          <w:rFonts w:hint="eastAsia" w:ascii="仿宋_GB2312" w:eastAsia="仿宋_GB2312"/>
          <w:sz w:val="32"/>
          <w:szCs w:val="32"/>
        </w:rPr>
        <w:t>项</w:t>
      </w:r>
      <w:r>
        <w:rPr>
          <w:rFonts w:hint="eastAsia" w:ascii="仿宋_GB2312" w:eastAsia="仿宋_GB2312" w:cs="仿宋"/>
          <w:color w:val="000000"/>
          <w:kern w:val="0"/>
          <w:sz w:val="32"/>
          <w:szCs w:val="32"/>
        </w:rPr>
        <w:t>）：指反映事业单位的基本支出，不包括行政单位（包括实行公务员管理的事业单位）后勤服务中心、医务室等附属事业单位。</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4.一般公共服务（类）财政事务（款）其他财政事务支出（项）：指反映其他财政事务方面的支出。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5.社会保障和就业（类）行政事业单位养老支出（款）机关事业单位基本养老保险缴费支出（项）：指反映机关事业单位实施养老保险制度由单位缴纳的基本养老保险费支出。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6.社会保障和就业（类）行政事业单位养老支出（款）机关事业单位职业年金缴费支出（项）: 反映机关事业单位实施养老保险制度由单位实际缴纳的职业年金支出。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7.卫生健康（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560" w:lineRule="exact"/>
        <w:ind w:firstLine="640" w:firstLineChars="200"/>
        <w:rPr>
          <w:rFonts w:ascii="仿宋_GB2312" w:eastAsia="仿宋_GB2312" w:cs="仿宋_GB2312"/>
          <w:sz w:val="32"/>
          <w:szCs w:val="32"/>
        </w:rPr>
      </w:pPr>
      <w:r>
        <w:rPr>
          <w:rFonts w:hint="eastAsia" w:ascii="仿宋_GB2312" w:eastAsia="仿宋_GB2312"/>
          <w:sz w:val="32"/>
          <w:szCs w:val="32"/>
        </w:rPr>
        <w:t>8.</w:t>
      </w:r>
      <w:r>
        <w:rPr>
          <w:rFonts w:hint="eastAsia" w:ascii="仿宋_GB2312" w:hAnsi="Calibri" w:eastAsia="仿宋_GB2312" w:cs="仿宋_GB2312"/>
          <w:sz w:val="32"/>
          <w:szCs w:val="32"/>
        </w:rPr>
        <w:t>卫生健康（</w:t>
      </w:r>
      <w:r>
        <w:rPr>
          <w:rFonts w:hint="eastAsia" w:ascii="仿宋_GB2312" w:eastAsia="仿宋_GB2312"/>
          <w:sz w:val="32"/>
          <w:szCs w:val="32"/>
        </w:rPr>
        <w:t>类</w:t>
      </w:r>
      <w:r>
        <w:rPr>
          <w:rFonts w:hint="eastAsia" w:ascii="仿宋_GB2312" w:hAnsi="Calibri" w:eastAsia="仿宋_GB2312" w:cs="仿宋_GB2312"/>
          <w:sz w:val="32"/>
          <w:szCs w:val="32"/>
        </w:rPr>
        <w:t>）行政事业单位医疗（</w:t>
      </w:r>
      <w:r>
        <w:rPr>
          <w:rFonts w:hint="eastAsia" w:ascii="仿宋_GB2312" w:eastAsia="仿宋_GB2312"/>
          <w:sz w:val="32"/>
          <w:szCs w:val="32"/>
        </w:rPr>
        <w:t>款</w:t>
      </w:r>
      <w:r>
        <w:rPr>
          <w:rFonts w:hint="eastAsia" w:ascii="仿宋_GB2312" w:hAnsi="Calibri" w:eastAsia="仿宋_GB2312" w:cs="仿宋_GB2312"/>
          <w:sz w:val="32"/>
          <w:szCs w:val="32"/>
        </w:rPr>
        <w:t>）事业单位医疗（</w:t>
      </w:r>
      <w:r>
        <w:rPr>
          <w:rFonts w:hint="eastAsia" w:ascii="仿宋_GB2312" w:eastAsia="仿宋_GB2312"/>
          <w:sz w:val="32"/>
          <w:szCs w:val="32"/>
        </w:rPr>
        <w:t>项</w:t>
      </w:r>
      <w:r>
        <w:rPr>
          <w:rFonts w:hint="eastAsia" w:ascii="仿宋_GB2312" w:hAnsi="Calibri" w:eastAsia="仿宋_GB2312" w:cs="仿宋_GB2312"/>
          <w:sz w:val="32"/>
          <w:szCs w:val="32"/>
        </w:rPr>
        <w:t>）</w:t>
      </w:r>
      <w:r>
        <w:rPr>
          <w:rFonts w:hint="eastAsia" w:ascii="仿宋_GB2312" w:eastAsia="仿宋_GB2312" w:cs="仿宋_GB2312"/>
          <w:sz w:val="32"/>
          <w:szCs w:val="32"/>
        </w:rPr>
        <w:t>：指反映财政部门安排的事业单位基本医疗保险缴费经费，未参加医疗保险的事业单位的公费医疗经费，按国家规定享受离休人员待遇的医疗经费。</w:t>
      </w:r>
    </w:p>
    <w:p>
      <w:pPr>
        <w:spacing w:line="560" w:lineRule="exact"/>
        <w:ind w:firstLine="640" w:firstLineChars="200"/>
        <w:rPr>
          <w:rFonts w:ascii="仿宋_GB2312" w:eastAsia="仿宋_GB2312"/>
          <w:sz w:val="32"/>
          <w:szCs w:val="32"/>
        </w:rPr>
      </w:pPr>
      <w:r>
        <w:rPr>
          <w:rFonts w:hint="eastAsia" w:ascii="仿宋_GB2312" w:eastAsia="仿宋_GB2312" w:cs="仿宋_GB2312"/>
          <w:sz w:val="32"/>
          <w:szCs w:val="32"/>
        </w:rPr>
        <w:t>9</w:t>
      </w:r>
      <w:r>
        <w:rPr>
          <w:rFonts w:hint="eastAsia" w:ascii="仿宋_GB2312" w:eastAsia="仿宋_GB2312"/>
          <w:sz w:val="32"/>
          <w:szCs w:val="32"/>
        </w:rPr>
        <w:t>.住房保障（类）住房改革支出（款）住房公积金（项）：指反映行政事业单位按人力资源和社会保障部、财政部规定的基本工资和津贴补贴以及规定比例为职工缴纳的住房公积金。</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10</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11</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pPr>
        <w:pStyle w:val="27"/>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12</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560" w:lineRule="exact"/>
        <w:ind w:firstLine="640" w:firstLineChars="200"/>
        <w:jc w:val="left"/>
        <w:rPr>
          <w:rFonts w:ascii="仿宋_GB2312" w:eastAsia="仿宋_GB2312"/>
          <w:sz w:val="32"/>
          <w:szCs w:val="32"/>
        </w:rPr>
      </w:pPr>
      <w:r>
        <w:rPr>
          <w:rFonts w:hint="eastAsia" w:ascii="仿宋_GB2312" w:eastAsia="仿宋_GB2312"/>
          <w:sz w:val="32"/>
          <w:szCs w:val="32"/>
        </w:rPr>
        <w:t>13</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rPr>
          <w:b/>
          <w:sz w:val="44"/>
          <w:szCs w:val="44"/>
          <w:shd w:val="clear" w:color="auto" w:fill="FFFFFF"/>
        </w:rPr>
      </w:pPr>
      <w:r>
        <w:rPr>
          <w:rFonts w:hint="eastAsia" w:ascii="仿宋_GB2312" w:eastAsia="仿宋_GB2312"/>
          <w:sz w:val="32"/>
          <w:szCs w:val="32"/>
        </w:rPr>
        <w:br w:type="page"/>
      </w:r>
    </w:p>
    <w:p>
      <w:pPr>
        <w:widowControl/>
        <w:numPr>
          <w:ilvl w:val="0"/>
          <w:numId w:val="1"/>
        </w:numPr>
        <w:spacing w:line="578" w:lineRule="exact"/>
        <w:contextualSpacing/>
        <w:jc w:val="center"/>
        <w:outlineLvl w:val="0"/>
        <w:rPr>
          <w:rFonts w:eastAsia="方正小标宋简体"/>
          <w:bCs/>
          <w:sz w:val="44"/>
          <w:szCs w:val="44"/>
          <w:shd w:val="clear" w:color="auto" w:fill="FFFFFF"/>
        </w:rPr>
      </w:pPr>
      <w:r>
        <w:rPr>
          <w:rFonts w:hint="eastAsia" w:eastAsia="方正小标宋简体"/>
          <w:bCs/>
          <w:sz w:val="44"/>
          <w:szCs w:val="44"/>
          <w:shd w:val="clear" w:color="auto" w:fill="FFFFFF"/>
        </w:rPr>
        <w:t xml:space="preserve"> </w:t>
      </w:r>
      <w:bookmarkStart w:id="73" w:name="_Toc32443"/>
      <w:r>
        <w:rPr>
          <w:rFonts w:hint="eastAsia" w:eastAsia="方正小标宋简体"/>
          <w:bCs/>
          <w:sz w:val="44"/>
          <w:szCs w:val="44"/>
          <w:shd w:val="clear" w:color="auto" w:fill="FFFFFF"/>
        </w:rPr>
        <w:t>附件</w:t>
      </w:r>
      <w:bookmarkEnd w:id="73"/>
    </w:p>
    <w:p>
      <w:pPr>
        <w:spacing w:line="578" w:lineRule="exact"/>
        <w:contextualSpacing/>
        <w:rPr>
          <w:rFonts w:eastAsia="黑体"/>
          <w:bCs/>
          <w:sz w:val="44"/>
          <w:szCs w:val="44"/>
          <w:shd w:val="clear" w:color="auto" w:fill="FFFFFF"/>
        </w:rPr>
      </w:pPr>
      <w:r>
        <w:rPr>
          <w:rFonts w:eastAsia="黑体"/>
          <w:szCs w:val="32"/>
          <w:lang w:val="zh-CN"/>
        </w:rPr>
        <w:t>附件</w:t>
      </w:r>
      <w:r>
        <w:rPr>
          <w:rFonts w:hint="eastAsia" w:eastAsia="黑体"/>
          <w:szCs w:val="32"/>
        </w:rPr>
        <w:t>1</w:t>
      </w:r>
    </w:p>
    <w:p>
      <w:pPr>
        <w:widowControl/>
        <w:spacing w:line="578" w:lineRule="exact"/>
        <w:contextualSpacing/>
        <w:jc w:val="center"/>
        <w:rPr>
          <w:szCs w:val="32"/>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60" w:lineRule="exact"/>
        <w:ind w:firstLine="640" w:firstLineChars="200"/>
        <w:contextualSpacing/>
        <w:jc w:val="left"/>
        <w:outlineLvl w:val="0"/>
        <w:rPr>
          <w:rFonts w:eastAsia="黑体"/>
          <w:color w:val="000000"/>
          <w:kern w:val="0"/>
          <w:sz w:val="32"/>
          <w:szCs w:val="32"/>
          <w:shd w:val="clear" w:color="auto" w:fill="FFFFFF"/>
          <w:lang w:val="zh-CN"/>
        </w:rPr>
      </w:pPr>
      <w:bookmarkStart w:id="74" w:name="_Toc16588"/>
      <w:r>
        <w:rPr>
          <w:rFonts w:eastAsia="黑体"/>
          <w:color w:val="000000"/>
          <w:kern w:val="0"/>
          <w:sz w:val="32"/>
          <w:szCs w:val="32"/>
          <w:shd w:val="clear" w:color="auto" w:fill="FFFFFF"/>
          <w:lang w:val="zh-CN"/>
        </w:rPr>
        <w:t>一、部门（单位）基本情况</w:t>
      </w:r>
      <w:bookmarkEnd w:id="74"/>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（一）机构组成</w:t>
      </w:r>
    </w:p>
    <w:p>
      <w:pPr>
        <w:shd w:val="clear" w:color="auto" w:fill="FFFFFF"/>
        <w:spacing w:line="560" w:lineRule="exact"/>
        <w:ind w:firstLine="640" w:firstLineChars="200"/>
        <w:rPr>
          <w:rFonts w:ascii="仿宋_GB2312" w:hAnsi="仿宋_GB2312" w:eastAsia="仿宋_GB2312" w:cs="仿宋_GB2312"/>
          <w:sz w:val="32"/>
          <w:szCs w:val="32"/>
        </w:rPr>
      </w:pPr>
      <w:r>
        <w:rPr>
          <w:rFonts w:hint="eastAsia" w:ascii="仿宋_GB2312" w:hAnsi="Calibri" w:eastAsia="仿宋_GB2312" w:cs="仿宋"/>
          <w:kern w:val="0"/>
          <w:sz w:val="32"/>
          <w:szCs w:val="32"/>
        </w:rPr>
        <w:t>茂县财政局内设处室10个；</w:t>
      </w:r>
      <w:r>
        <w:rPr>
          <w:rFonts w:hint="eastAsia" w:ascii="仿宋_GB2312" w:eastAsia="仿宋_GB2312" w:cs="仿宋_GB2312"/>
          <w:sz w:val="32"/>
          <w:szCs w:val="32"/>
          <w:lang w:val="en" w:bidi="en-US"/>
        </w:rPr>
        <w:t>下属二级预算单位</w:t>
      </w:r>
      <w:r>
        <w:rPr>
          <w:rFonts w:hint="eastAsia" w:ascii="仿宋_GB2312" w:eastAsia="仿宋_GB2312" w:cs="仿宋_GB2312"/>
          <w:sz w:val="32"/>
          <w:szCs w:val="32"/>
          <w:lang w:bidi="en-US"/>
        </w:rPr>
        <w:t>2</w:t>
      </w:r>
      <w:r>
        <w:rPr>
          <w:rFonts w:hint="eastAsia" w:ascii="仿宋_GB2312" w:eastAsia="仿宋_GB2312" w:cs="仿宋_GB2312"/>
          <w:sz w:val="32"/>
          <w:szCs w:val="32"/>
          <w:lang w:val="en" w:bidi="en-US"/>
        </w:rPr>
        <w:t>个，其中:行政单位</w:t>
      </w:r>
      <w:r>
        <w:rPr>
          <w:rFonts w:hint="eastAsia" w:ascii="仿宋_GB2312" w:eastAsia="仿宋_GB2312" w:cs="仿宋_GB2312"/>
          <w:sz w:val="32"/>
          <w:szCs w:val="32"/>
          <w:lang w:bidi="en-US"/>
        </w:rPr>
        <w:t>1个，</w:t>
      </w:r>
      <w:r>
        <w:rPr>
          <w:rFonts w:hint="eastAsia" w:ascii="仿宋_GB2312" w:eastAsia="仿宋_GB2312" w:cs="仿宋_GB2312"/>
          <w:sz w:val="32"/>
          <w:szCs w:val="32"/>
          <w:lang w:val="en" w:bidi="en-US"/>
        </w:rPr>
        <w:t>参照公务员法管理的事业单位</w:t>
      </w:r>
      <w:r>
        <w:rPr>
          <w:rFonts w:hint="eastAsia" w:ascii="仿宋_GB2312" w:eastAsia="仿宋_GB2312" w:cs="仿宋_GB2312"/>
          <w:sz w:val="32"/>
          <w:szCs w:val="32"/>
          <w:lang w:bidi="en-US"/>
        </w:rPr>
        <w:t>0</w:t>
      </w:r>
      <w:r>
        <w:rPr>
          <w:rFonts w:hint="eastAsia" w:ascii="仿宋_GB2312" w:eastAsia="仿宋_GB2312" w:cs="仿宋_GB2312"/>
          <w:sz w:val="32"/>
          <w:szCs w:val="32"/>
          <w:lang w:val="en" w:bidi="en-US"/>
        </w:rPr>
        <w:t>个，其他事业单位</w:t>
      </w:r>
      <w:r>
        <w:rPr>
          <w:rFonts w:hint="eastAsia" w:ascii="仿宋_GB2312" w:eastAsia="仿宋_GB2312" w:cs="仿宋_GB2312"/>
          <w:sz w:val="32"/>
          <w:szCs w:val="32"/>
          <w:lang w:bidi="en-US"/>
        </w:rPr>
        <w:t>1</w:t>
      </w:r>
      <w:r>
        <w:rPr>
          <w:rFonts w:hint="eastAsia" w:ascii="仿宋_GB2312" w:eastAsia="仿宋_GB2312" w:cs="仿宋_GB2312"/>
          <w:sz w:val="32"/>
          <w:szCs w:val="32"/>
          <w:lang w:val="en" w:bidi="en-US"/>
        </w:rPr>
        <w:t>个。</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机构职能</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拟订全县财税发展战略、规划、政策和改革方案并组织实施。分析预测宏观经济形势，参与执行宏观经济政策，提出运用财税政策实施宏观调控和综合平衡社会财力的建议。拟订国家与企业的分配政策，贯彻落实公益事业发展的财税政策。</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2.贯彻执行财政、税收、财务、会计管理的法律法规和规章。组织实施财税地方性法规。按照管理权限管理全县税政事项。</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负责管理各项财政收支。编制年度县级预决算草案并组织执行。组织制定经费开支标准、定额，审核批复部门（单位）年度预决算。受县人民政府委托，向县人大及其常委会报告财政预算、执行和决算等情况。负责政府投资基金县级财政出资的资产管理。负责县级预决算公开。负责全面实施预算绩效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4.按分工负责政府非税收入管理。负责政府性基金管理，按规定管理行政事业性收费等其他非税收入。管理财政票据。执行彩票管理政策和有关办法。</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5.组织制定全县国库管理制度、国库集中收付制度，指导和监督国库业务，开展国库现金管理工作。贯彻执行政府财务报告编制办法并组织实施。负责制定政府采购制度并监督管理。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6.贯彻执行地方政府债务管理制度和政策，制定具体管理办法，编制地方政府债余额限额计划，统一管理政府外债，防范财政风险。</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牵头编制全县国有资产管理情况报告。负责加强对地方金融行业的监督、管理和发展。根据县人民政府授权，集中统一履行县级国有金融资本出资人职责。制订县级国有金融资本管理制度。拟订全县行政事业单位国有资产管理制度并组织实施。制定需要全县统一规定的开支标准和支出政策。</w:t>
      </w:r>
    </w:p>
    <w:p>
      <w:pPr>
        <w:widowControl/>
        <w:adjustRightInd w:val="0"/>
        <w:snapToGrid w:val="0"/>
        <w:spacing w:line="56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8.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9.负责审核并汇总编制全县社会保险基金预决算草案，会同有关部门拟订有关资金（基金）财务管理制度，承担社会保险基金财政监管工作。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10.负责办理和监督县级财政的经济发展支出、县级政府性投资项目的财政拨款，负责投资评审管理工作，参与拟订县级基建投资有关政策，执行基建财务管理制度。</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11.管理外国政府和国际金融机构贷（赠）款项目的有关业务，参与财经领域的国际交流与合作。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12.负责管理全县会计工作，监督和规范会计行为，组织实施国家统一的会计制度，指导和管理社会审计。依法管理资产评估有关工作。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13.负责贯彻落实中央关于金融工作的方针政策和省委、州委、县委决策部署。统筹协调全县金融相关工作，做好金融风险防范和处置的协调、督促和落实。</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14.加强与中央驻县金融机构的沟通联系，负责全县“7+4”类机构的日常监管，做好打击非法金融活动和风险处置有关工作。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15.指导全县地方国有金融企业党建工作，配合有关部门抓好非公金融企业党建工作。负责金融对外交流合作相关工作。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16.负责职责范围内的安全生产和职业健康、生态环境保护、审批服务便民化等工作。</w:t>
      </w:r>
    </w:p>
    <w:p>
      <w:pPr>
        <w:widowControl/>
        <w:adjustRightInd w:val="0"/>
        <w:snapToGrid w:val="0"/>
        <w:spacing w:line="560"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17.完成县委、县政府交办的其他任务。</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（三）人员概况</w:t>
      </w:r>
    </w:p>
    <w:p>
      <w:pPr>
        <w:widowControl/>
        <w:adjustRightInd w:val="0"/>
        <w:snapToGrid w:val="0"/>
        <w:spacing w:line="560" w:lineRule="exact"/>
        <w:ind w:firstLine="640" w:firstLineChars="200"/>
        <w:contextualSpacing/>
        <w:jc w:val="left"/>
        <w:rPr>
          <w:rFonts w:ascii="仿宋_GB2312" w:hAnsi="Calibri" w:eastAsia="仿宋_GB2312" w:cs="仿宋"/>
          <w:kern w:val="0"/>
          <w:sz w:val="32"/>
          <w:szCs w:val="32"/>
        </w:rPr>
      </w:pPr>
      <w:r>
        <w:rPr>
          <w:rFonts w:hint="eastAsia" w:ascii="仿宋_GB2312" w:hAnsi="Calibri" w:eastAsia="仿宋_GB2312" w:cs="仿宋"/>
          <w:kern w:val="0"/>
          <w:sz w:val="32"/>
          <w:szCs w:val="32"/>
        </w:rPr>
        <w:t>截至2025年末，总编制24名,其中:行政编制13名,行政工勤编制2名，事业编制9名，事业工勤编制0名。在职人员实有人数22名，其中：行政人员11名，行政工勤人员2名；事业人员8名，事业工勤人员1名。退休人员13人。</w:t>
      </w:r>
    </w:p>
    <w:p>
      <w:pPr>
        <w:widowControl/>
        <w:adjustRightInd w:val="0"/>
        <w:snapToGrid w:val="0"/>
        <w:spacing w:line="560" w:lineRule="exact"/>
        <w:ind w:firstLine="640" w:firstLineChars="200"/>
        <w:contextualSpacing/>
        <w:jc w:val="left"/>
        <w:outlineLvl w:val="0"/>
        <w:rPr>
          <w:rFonts w:eastAsia="黑体"/>
          <w:color w:val="000000"/>
          <w:kern w:val="0"/>
          <w:sz w:val="32"/>
          <w:szCs w:val="32"/>
          <w:shd w:val="clear" w:color="auto" w:fill="FFFFFF"/>
          <w:lang w:val="zh-CN"/>
        </w:rPr>
      </w:pPr>
      <w:bookmarkStart w:id="75" w:name="_Toc8168"/>
      <w:r>
        <w:rPr>
          <w:rFonts w:eastAsia="黑体"/>
          <w:color w:val="000000"/>
          <w:kern w:val="0"/>
          <w:sz w:val="32"/>
          <w:szCs w:val="32"/>
          <w:shd w:val="clear" w:color="auto" w:fill="FFFFFF"/>
          <w:lang w:val="zh-CN"/>
        </w:rPr>
        <w:t>二、部门资金收支情况</w:t>
      </w:r>
      <w:bookmarkEnd w:id="75"/>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（一）收入情况</w:t>
      </w:r>
    </w:p>
    <w:p>
      <w:pPr>
        <w:spacing w:line="560" w:lineRule="exact"/>
        <w:ind w:firstLine="640" w:firstLineChars="200"/>
        <w:rPr>
          <w:rFonts w:ascii="仿宋_GB2312" w:eastAsia="仿宋_GB2312" w:cs="仿宋_GB2312"/>
          <w:sz w:val="32"/>
          <w:szCs w:val="32"/>
        </w:rPr>
      </w:pPr>
      <w:r>
        <w:rPr>
          <w:rFonts w:hint="eastAsia" w:ascii="仿宋_GB2312" w:hAnsi="Calibri" w:eastAsia="仿宋_GB2312" w:cs="仿宋"/>
          <w:kern w:val="0"/>
          <w:sz w:val="32"/>
          <w:szCs w:val="32"/>
        </w:rPr>
        <w:t>茂县财政局2025年年初预算收入702.06万元、决算报表收入614.81万元。</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支出情况</w:t>
      </w:r>
    </w:p>
    <w:p>
      <w:pPr>
        <w:spacing w:line="560" w:lineRule="exact"/>
        <w:ind w:firstLine="640" w:firstLineChars="200"/>
        <w:rPr>
          <w:rFonts w:ascii="仿宋_GB2312" w:hAnsi="Calibri" w:eastAsia="仿宋_GB2312" w:cs="仿宋"/>
          <w:kern w:val="0"/>
          <w:sz w:val="32"/>
          <w:szCs w:val="32"/>
          <w:lang w:val="zh-CN"/>
        </w:rPr>
      </w:pPr>
      <w:r>
        <w:rPr>
          <w:rFonts w:hint="eastAsia" w:ascii="仿宋_GB2312" w:hAnsi="Calibri" w:eastAsia="仿宋_GB2312" w:cs="仿宋"/>
          <w:kern w:val="0"/>
          <w:sz w:val="32"/>
          <w:szCs w:val="32"/>
        </w:rPr>
        <w:t>茂县财政局2025年年初预算支出702.06万元、决算报表支出614.81万元。</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（三）结余分配和结转结余情况</w:t>
      </w:r>
    </w:p>
    <w:p>
      <w:pPr>
        <w:spacing w:line="560" w:lineRule="exact"/>
        <w:ind w:firstLine="640" w:firstLineChars="200"/>
        <w:rPr>
          <w:rFonts w:ascii="仿宋_GB2312" w:hAnsi="Calibri" w:eastAsia="仿宋_GB2312" w:cs="仿宋"/>
          <w:kern w:val="0"/>
          <w:sz w:val="32"/>
          <w:szCs w:val="32"/>
          <w:lang w:val="zh-CN"/>
        </w:rPr>
      </w:pPr>
      <w:r>
        <w:rPr>
          <w:rFonts w:hint="eastAsia" w:ascii="仿宋_GB2312" w:hAnsi="Calibri" w:eastAsia="仿宋_GB2312" w:cs="仿宋"/>
          <w:kern w:val="0"/>
          <w:sz w:val="32"/>
          <w:szCs w:val="32"/>
        </w:rPr>
        <w:t>茂县财政局2025年决算报表结转结余0万元。</w:t>
      </w:r>
    </w:p>
    <w:p>
      <w:pPr>
        <w:widowControl/>
        <w:adjustRightInd w:val="0"/>
        <w:snapToGrid w:val="0"/>
        <w:spacing w:line="560" w:lineRule="exact"/>
        <w:ind w:firstLine="640" w:firstLineChars="200"/>
        <w:contextualSpacing/>
        <w:jc w:val="left"/>
        <w:outlineLvl w:val="0"/>
        <w:rPr>
          <w:rFonts w:eastAsia="黑体"/>
          <w:color w:val="000000"/>
          <w:kern w:val="0"/>
          <w:sz w:val="32"/>
          <w:szCs w:val="32"/>
          <w:shd w:val="clear" w:color="auto" w:fill="FFFFFF"/>
          <w:lang w:val="zh-CN"/>
        </w:rPr>
      </w:pPr>
      <w:bookmarkStart w:id="76" w:name="_Toc5082"/>
      <w:r>
        <w:rPr>
          <w:rFonts w:eastAsia="黑体"/>
          <w:color w:val="000000"/>
          <w:kern w:val="0"/>
          <w:sz w:val="32"/>
          <w:szCs w:val="32"/>
          <w:shd w:val="clear" w:color="auto" w:fill="FFFFFF"/>
          <w:lang w:val="zh-CN"/>
        </w:rPr>
        <w:t>三、部门预算绩效分析</w:t>
      </w:r>
      <w:bookmarkEnd w:id="76"/>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zh-CN"/>
        </w:rPr>
        <w:t>履职效能</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自评得分15分）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一是工资保险方面</w:t>
      </w:r>
      <w:r>
        <w:rPr>
          <w:rFonts w:hint="eastAsia" w:ascii="仿宋_GB2312" w:hAnsi="仿宋_GB2312" w:eastAsia="仿宋_GB2312" w:cs="仿宋_GB2312"/>
          <w:sz w:val="32"/>
          <w:szCs w:val="32"/>
        </w:rPr>
        <w:t>。严格执行相关政策，保障工资及时、足额发放或社保及时、足额缴纳，预算编制科学合理，减少结余资金。</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二是公用经费方面</w:t>
      </w:r>
      <w:r>
        <w:rPr>
          <w:rFonts w:hint="eastAsia" w:ascii="仿宋_GB2312" w:hAnsi="仿宋_GB2312" w:eastAsia="仿宋_GB2312" w:cs="仿宋_GB2312"/>
          <w:sz w:val="32"/>
          <w:szCs w:val="32"/>
        </w:rPr>
        <w:t>。提高预算编制质量，严格执行预算，保障单位日常运转。</w:t>
      </w:r>
    </w:p>
    <w:p>
      <w:pPr>
        <w:spacing w:line="56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zh-CN"/>
        </w:rPr>
        <w:t>预算管理</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自评得分24.5分</w:t>
      </w:r>
      <w:r>
        <w:rPr>
          <w:rFonts w:hint="eastAsia" w:ascii="仿宋_GB2312" w:hAnsi="仿宋_GB2312" w:eastAsia="仿宋_GB2312" w:cs="仿宋_GB2312"/>
          <w:sz w:val="32"/>
          <w:szCs w:val="32"/>
          <w:lang w:val="zh-CN"/>
        </w:rPr>
        <w:t>）</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一是预算编制质量。</w:t>
      </w:r>
      <w:r>
        <w:rPr>
          <w:rFonts w:hint="eastAsia" w:ascii="仿宋_GB2312" w:hAnsi="仿宋_GB2312" w:eastAsia="仿宋_GB2312" w:cs="仿宋_GB2312"/>
          <w:sz w:val="32"/>
          <w:szCs w:val="32"/>
        </w:rPr>
        <w:t>严格实行预算管理制度，根据《中华人民共和国预算法》等法律法规的规定和财政部门下发的文件要求进行预算编制，做到程序规范、方法科学、编制及时、内容完整、项目细化、数据准确。</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二是单位收入统筹。</w:t>
      </w:r>
      <w:r>
        <w:rPr>
          <w:rFonts w:hint="eastAsia" w:ascii="仿宋_GB2312" w:hAnsi="仿宋_GB2312" w:eastAsia="仿宋_GB2312" w:cs="仿宋_GB2312"/>
          <w:sz w:val="32"/>
          <w:szCs w:val="32"/>
        </w:rPr>
        <w:t>2025年度各项预算收入均属于财政拨款收入，纳入预算管理，统一核算，自评得分4分。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三是支出执行进度。</w:t>
      </w:r>
      <w:r>
        <w:rPr>
          <w:rFonts w:hint="eastAsia" w:ascii="仿宋_GB2312" w:hAnsi="仿宋_GB2312" w:eastAsia="仿宋_GB2312" w:cs="仿宋_GB2312"/>
          <w:sz w:val="32"/>
          <w:szCs w:val="32"/>
        </w:rPr>
        <w:t>2025年部门1-6月预算执行501.84万元，支出执行进度93.74%；2025年部门1-10月预算执行567.21万元，支出执行进度94.12%，自评得分5.5分。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四是预算年终结余</w:t>
      </w:r>
      <w:r>
        <w:rPr>
          <w:rFonts w:hint="eastAsia" w:ascii="仿宋_GB2312" w:hAnsi="仿宋_GB2312" w:eastAsia="仿宋_GB2312" w:cs="仿宋_GB2312"/>
          <w:sz w:val="32"/>
          <w:szCs w:val="32"/>
        </w:rPr>
        <w:t>。2025年度预算年终结余为0万元，自评得分2分。</w:t>
      </w:r>
    </w:p>
    <w:p>
      <w:pPr>
        <w:adjustRightInd w:val="0"/>
        <w:snapToGrid w:val="0"/>
        <w:spacing w:line="560" w:lineRule="exact"/>
        <w:ind w:firstLine="643" w:firstLineChars="200"/>
        <w:contextualSpacing/>
        <w:jc w:val="left"/>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五是严控一般性支出。</w:t>
      </w:r>
      <w:r>
        <w:rPr>
          <w:rFonts w:hint="eastAsia" w:ascii="仿宋_GB2312" w:hAnsi="仿宋_GB2312" w:eastAsia="仿宋_GB2312" w:cs="仿宋_GB2312"/>
          <w:sz w:val="32"/>
          <w:szCs w:val="32"/>
        </w:rPr>
        <w:t>严格按照相关财经制度执行，特别是对“三公”经费的预算控制；严格接待费用审核审批程序，“三公”经费较好地控制在预算范围之类，自评得分5分。</w:t>
      </w:r>
    </w:p>
    <w:p>
      <w:pPr>
        <w:adjustRightInd w:val="0"/>
        <w:snapToGrid w:val="0"/>
        <w:spacing w:line="560" w:lineRule="exact"/>
        <w:ind w:firstLine="643" w:firstLineChars="200"/>
        <w:contextualSpacing/>
        <w:jc w:val="left"/>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3.</w:t>
      </w:r>
      <w:r>
        <w:rPr>
          <w:rFonts w:hint="eastAsia" w:ascii="仿宋_GB2312" w:hAnsi="仿宋_GB2312" w:eastAsia="仿宋_GB2312" w:cs="仿宋_GB2312"/>
          <w:b/>
          <w:bCs/>
          <w:sz w:val="32"/>
          <w:szCs w:val="32"/>
          <w:lang w:val="zh-CN"/>
        </w:rPr>
        <w:t>财务管理</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自评得分10分）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一是财务管理制度。</w:t>
      </w:r>
      <w:r>
        <w:rPr>
          <w:rFonts w:hint="eastAsia" w:ascii="仿宋_GB2312" w:hAnsi="仿宋_GB2312" w:eastAsia="仿宋_GB2312" w:cs="仿宋_GB2312"/>
          <w:sz w:val="32"/>
          <w:szCs w:val="32"/>
        </w:rPr>
        <w:t>严格按照财务管理制度，执行各项资金支付，进行会计账务处理和会计档案管理，自评得分4</w:t>
      </w:r>
      <w:r>
        <w:rPr>
          <w:rFonts w:hint="eastAsia" w:ascii="仿宋_GB2312" w:hAnsi="仿宋_GB2312" w:cs="仿宋_GB2312"/>
          <w:sz w:val="32"/>
          <w:szCs w:val="32"/>
        </w:rPr>
        <w:t>分</w:t>
      </w:r>
      <w:r>
        <w:rPr>
          <w:rFonts w:hint="eastAsia" w:ascii="仿宋_GB2312" w:hAnsi="仿宋_GB2312" w:eastAsia="仿宋_GB2312" w:cs="仿宋_GB2312"/>
          <w:sz w:val="32"/>
          <w:szCs w:val="32"/>
        </w:rPr>
        <w:t>。</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二是财务岗位设置。</w:t>
      </w:r>
      <w:r>
        <w:rPr>
          <w:rFonts w:hint="eastAsia" w:ascii="仿宋_GB2312" w:hAnsi="仿宋_GB2312" w:eastAsia="仿宋_GB2312" w:cs="仿宋_GB2312"/>
          <w:sz w:val="32"/>
          <w:szCs w:val="32"/>
        </w:rPr>
        <w:t>设置财务工作岗位，明确职责权限，并严格实行不相容岗位分离，自评得分2分。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三是资金使用规范。</w:t>
      </w:r>
      <w:r>
        <w:rPr>
          <w:rFonts w:hint="eastAsia" w:ascii="仿宋_GB2312" w:hAnsi="仿宋_GB2312" w:eastAsia="仿宋_GB2312" w:cs="仿宋_GB2312"/>
          <w:sz w:val="32"/>
          <w:szCs w:val="32"/>
        </w:rPr>
        <w:t>严格按照规定的支出用途使用资金，严格履行预算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审批程序，对已批复的部门预算资金，认真编制用款计划，及时申请支出，申请财政资金时，提供真实、准确、完整、合法、合规的原始票据、资料；项目资金严格按工程进度及合同约定支付资金，自评得分4分。</w:t>
      </w:r>
    </w:p>
    <w:p>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4.</w:t>
      </w:r>
      <w:r>
        <w:rPr>
          <w:rFonts w:hint="eastAsia" w:ascii="仿宋_GB2312" w:hAnsi="仿宋_GB2312" w:eastAsia="仿宋_GB2312" w:cs="仿宋_GB2312"/>
          <w:b/>
          <w:bCs/>
          <w:sz w:val="32"/>
          <w:szCs w:val="32"/>
          <w:lang w:val="zh-CN"/>
        </w:rPr>
        <w:t>资产管理</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自评得分9分）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2025年度人均资产变化率低，资产利用率高，无闲置资产，使用率达100%；在资产购置、使用、保管和报废，严格按照资产管理办法执行，定期盘点，确保账账相符。</w:t>
      </w:r>
    </w:p>
    <w:p>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5.</w:t>
      </w:r>
      <w:r>
        <w:rPr>
          <w:rFonts w:hint="eastAsia" w:ascii="仿宋_GB2312" w:hAnsi="仿宋_GB2312" w:eastAsia="仿宋_GB2312" w:cs="仿宋_GB2312"/>
          <w:b/>
          <w:bCs/>
          <w:sz w:val="32"/>
          <w:szCs w:val="32"/>
          <w:lang w:val="zh-CN"/>
        </w:rPr>
        <w:t>采购管理</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自评得分6分）</w:t>
      </w:r>
    </w:p>
    <w:p>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我局政府采购项目资金，严格按照政府采购相关规定执行，未达到政府采购的标准项目均按照采购内控制度执行，均在中小企业采购，采购执行率100%。</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lang w:val="zh-CN"/>
        </w:rPr>
        <w:t>（二）部门预算项目绩效分析</w:t>
      </w:r>
    </w:p>
    <w:p>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常年项目绩效分析。</w:t>
      </w:r>
      <w:r>
        <w:rPr>
          <w:rFonts w:hint="eastAsia" w:ascii="仿宋_GB2312" w:hAnsi="仿宋_GB2312" w:eastAsia="仿宋_GB2312" w:cs="仿宋_GB2312"/>
          <w:sz w:val="32"/>
          <w:szCs w:val="32"/>
          <w:lang w:val="zh-CN"/>
        </w:rPr>
        <w:t>该类项目总数</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rPr>
        <w:t>2.99</w:t>
      </w:r>
      <w:r>
        <w:rPr>
          <w:rFonts w:hint="eastAsia" w:ascii="仿宋_GB2312" w:hAnsi="仿宋_GB2312" w:eastAsia="仿宋_GB2312" w:cs="仿宋_GB2312"/>
          <w:sz w:val="32"/>
          <w:szCs w:val="32"/>
          <w:lang w:val="zh-CN"/>
        </w:rPr>
        <w:t>万元，1—1</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月预算执行总体进度为</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zh-CN"/>
        </w:rPr>
        <w:t>%，其中：预算结余率大于</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的项目共计</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zh-CN"/>
        </w:rPr>
        <w:t>个。</w:t>
      </w:r>
    </w:p>
    <w:p>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阶段（含一次性）项目绩效分析。</w:t>
      </w:r>
      <w:r>
        <w:rPr>
          <w:rFonts w:hint="eastAsia" w:ascii="仿宋_GB2312" w:hAnsi="仿宋_GB2312" w:eastAsia="仿宋_GB2312" w:cs="仿宋_GB2312"/>
          <w:sz w:val="32"/>
          <w:szCs w:val="32"/>
          <w:lang w:val="zh-CN"/>
        </w:rPr>
        <w:t>该类项目总数</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rPr>
        <w:t>103.74</w:t>
      </w:r>
      <w:r>
        <w:rPr>
          <w:rFonts w:hint="eastAsia" w:ascii="仿宋_GB2312" w:hAnsi="仿宋_GB2312" w:eastAsia="仿宋_GB2312" w:cs="仿宋_GB2312"/>
          <w:sz w:val="32"/>
          <w:szCs w:val="32"/>
          <w:lang w:val="zh-CN"/>
        </w:rPr>
        <w:t>万元，1—1</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月预算执行总体进度为</w:t>
      </w:r>
      <w:r>
        <w:rPr>
          <w:rFonts w:hint="eastAsia" w:ascii="仿宋_GB2312" w:hAnsi="仿宋_GB2312" w:eastAsia="仿宋_GB2312" w:cs="仿宋_GB2312"/>
          <w:sz w:val="32"/>
          <w:szCs w:val="32"/>
        </w:rPr>
        <w:t>100</w:t>
      </w:r>
      <w:r>
        <w:rPr>
          <w:rFonts w:hint="eastAsia" w:ascii="仿宋_GB2312" w:hAnsi="仿宋_GB2312" w:eastAsia="仿宋_GB2312" w:cs="仿宋_GB2312"/>
          <w:sz w:val="32"/>
          <w:szCs w:val="32"/>
          <w:lang w:val="zh-CN"/>
        </w:rPr>
        <w:t>%，其中：预算结余率大于</w:t>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lang w:val="zh-CN"/>
        </w:rPr>
        <w:t>的项目共计</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zh-CN"/>
        </w:rPr>
        <w:t>个。</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zh-CN"/>
        </w:rPr>
        <w:t>项目决策</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自评得分12分）</w:t>
      </w:r>
    </w:p>
    <w:p>
      <w:pPr>
        <w:spacing w:line="56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一是决策程序。</w:t>
      </w:r>
      <w:r>
        <w:rPr>
          <w:rFonts w:hint="eastAsia" w:ascii="仿宋_GB2312" w:hAnsi="仿宋_GB2312" w:eastAsia="仿宋_GB2312" w:cs="仿宋_GB2312"/>
          <w:sz w:val="32"/>
          <w:szCs w:val="32"/>
          <w:lang w:val="zh-CN"/>
        </w:rPr>
        <w:t>根据《茂县财政局关于茂县县级部门202</w:t>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-202</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zh-CN"/>
        </w:rPr>
        <w:t>年支出规划和202</w:t>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年部门预算编制的通知》（茂财发</w:t>
      </w:r>
      <w:r>
        <w:rPr>
          <w:rFonts w:hint="eastAsia" w:ascii="微软雅黑" w:hAnsi="微软雅黑" w:eastAsia="微软雅黑" w:cs="微软雅黑"/>
          <w:sz w:val="32"/>
          <w:szCs w:val="32"/>
          <w:lang w:val="zh-CN"/>
        </w:rPr>
        <w:t>〔</w:t>
      </w:r>
      <w:r>
        <w:rPr>
          <w:rFonts w:hint="eastAsia" w:ascii="仿宋_GB2312" w:hAnsi="仿宋_GB2312" w:eastAsia="仿宋_GB2312" w:cs="仿宋_GB2312"/>
          <w:sz w:val="32"/>
          <w:szCs w:val="32"/>
          <w:lang w:val="zh-CN"/>
        </w:rPr>
        <w:t>202</w:t>
      </w:r>
      <w:r>
        <w:rPr>
          <w:rFonts w:hint="eastAsia" w:ascii="仿宋_GB2312" w:hAnsi="仿宋_GB2312" w:eastAsia="仿宋_GB2312" w:cs="仿宋_GB2312"/>
          <w:sz w:val="32"/>
          <w:szCs w:val="32"/>
        </w:rPr>
        <w:t>4</w:t>
      </w:r>
      <w:r>
        <w:rPr>
          <w:rFonts w:hint="eastAsia" w:ascii="微软雅黑" w:hAnsi="微软雅黑" w:eastAsia="微软雅黑" w:cs="微软雅黑"/>
          <w:sz w:val="32"/>
          <w:szCs w:val="32"/>
        </w:rPr>
        <w:t>〕</w:t>
      </w:r>
      <w:r>
        <w:rPr>
          <w:rFonts w:hint="eastAsia" w:ascii="仿宋_GB2312" w:hAnsi="仿宋_GB2312" w:eastAsia="仿宋_GB2312" w:cs="仿宋_GB2312"/>
          <w:sz w:val="32"/>
          <w:szCs w:val="32"/>
        </w:rPr>
        <w:t>58</w:t>
      </w:r>
      <w:r>
        <w:rPr>
          <w:rFonts w:hint="eastAsia" w:ascii="仿宋_GB2312" w:hAnsi="仿宋_GB2312" w:eastAsia="仿宋_GB2312" w:cs="仿宋_GB2312"/>
          <w:sz w:val="32"/>
          <w:szCs w:val="32"/>
          <w:lang w:val="zh-CN"/>
        </w:rPr>
        <w:t>号）文件的范围、标准等编制部门预算；人员和公用支出预算按定员定额标准编制；经过单位集体决策，项目绩效目标编制明确，并通过了预算草案审查，审查后未提出需要修改的问题，</w:t>
      </w:r>
      <w:r>
        <w:rPr>
          <w:rFonts w:hint="eastAsia" w:ascii="仿宋_GB2312" w:hAnsi="仿宋_GB2312" w:eastAsia="仿宋_GB2312" w:cs="仿宋_GB2312"/>
          <w:sz w:val="32"/>
          <w:szCs w:val="32"/>
        </w:rPr>
        <w:t>自评得分4分</w:t>
      </w:r>
      <w:r>
        <w:rPr>
          <w:rFonts w:hint="eastAsia" w:ascii="仿宋_GB2312" w:hAnsi="仿宋_GB2312" w:eastAsia="仿宋_GB2312" w:cs="仿宋_GB2312"/>
          <w:sz w:val="32"/>
          <w:szCs w:val="32"/>
          <w:lang w:val="zh-CN"/>
        </w:rPr>
        <w:t>。</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二是目标设置。</w:t>
      </w:r>
      <w:r>
        <w:rPr>
          <w:rFonts w:hint="eastAsia" w:ascii="仿宋_GB2312" w:hAnsi="仿宋_GB2312" w:eastAsia="仿宋_GB2312" w:cs="仿宋_GB2312"/>
          <w:sz w:val="32"/>
          <w:szCs w:val="32"/>
        </w:rPr>
        <w:t>在编制预算时，按要求填报部门整体支出、项目支出绩效目标申报表，绩效目标申报表、目标设置合理，符合项目特点，描述清晰明确，自评得分4分。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三是项目入库。</w:t>
      </w:r>
      <w:r>
        <w:rPr>
          <w:rFonts w:hint="eastAsia" w:ascii="仿宋_GB2312" w:hAnsi="仿宋_GB2312" w:eastAsia="仿宋_GB2312" w:cs="仿宋_GB2312"/>
          <w:sz w:val="32"/>
          <w:szCs w:val="32"/>
        </w:rPr>
        <w:t>各项目均按照预期目标完整、经济活动真实入库管理，在规定时间内完成项目入库，自评得分4分。</w:t>
      </w:r>
    </w:p>
    <w:p>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2.项目执行</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自评得分12分）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一是资金执行同向。</w:t>
      </w:r>
      <w:r>
        <w:rPr>
          <w:rFonts w:hint="eastAsia" w:ascii="仿宋_GB2312" w:hAnsi="仿宋_GB2312" w:eastAsia="仿宋_GB2312" w:cs="仿宋_GB2312"/>
          <w:sz w:val="32"/>
          <w:szCs w:val="32"/>
        </w:rPr>
        <w:t>2025年度部门实际列支项目与绩效预算阶段项目相符，自评得分4分。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二是项目调整。</w:t>
      </w:r>
      <w:r>
        <w:rPr>
          <w:rFonts w:hint="eastAsia" w:ascii="仿宋_GB2312" w:hAnsi="仿宋_GB2312" w:eastAsia="仿宋_GB2312" w:cs="仿宋_GB2312"/>
          <w:sz w:val="32"/>
          <w:szCs w:val="32"/>
        </w:rPr>
        <w:t>各项目执行进度有序推进，完成绩效目标100%，自评得分4分。</w:t>
      </w:r>
    </w:p>
    <w:p>
      <w:pPr>
        <w:spacing w:line="56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三是执行结果。</w:t>
      </w:r>
      <w:r>
        <w:rPr>
          <w:rFonts w:hint="eastAsia" w:ascii="仿宋_GB2312" w:hAnsi="仿宋_GB2312" w:eastAsia="仿宋_GB2312" w:cs="仿宋_GB2312"/>
          <w:sz w:val="32"/>
          <w:szCs w:val="32"/>
        </w:rPr>
        <w:t>预算执行完成各项目标，自评得分4分。</w:t>
      </w:r>
    </w:p>
    <w:p>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围绕资金执行同向、项目调整、执行结果进行绩效分析。</w:t>
      </w:r>
    </w:p>
    <w:p>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rPr>
        <w:t>3.</w:t>
      </w:r>
      <w:r>
        <w:rPr>
          <w:rFonts w:hint="eastAsia" w:ascii="仿宋_GB2312" w:hAnsi="仿宋_GB2312" w:eastAsia="仿宋_GB2312" w:cs="仿宋_GB2312"/>
          <w:b/>
          <w:bCs/>
          <w:sz w:val="32"/>
          <w:szCs w:val="32"/>
          <w:lang w:val="zh-CN"/>
        </w:rPr>
        <w:t>目标实现</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自评得分11分）</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一是目标完成。</w:t>
      </w:r>
      <w:r>
        <w:rPr>
          <w:rFonts w:hint="eastAsia" w:ascii="仿宋_GB2312" w:hAnsi="仿宋_GB2312" w:eastAsia="仿宋_GB2312" w:cs="仿宋_GB2312"/>
          <w:sz w:val="32"/>
          <w:szCs w:val="32"/>
          <w:lang w:val="zh-CN"/>
        </w:rPr>
        <w:t>目标设立清晰，完成率</w:t>
      </w:r>
      <w:r>
        <w:rPr>
          <w:rFonts w:hint="eastAsia" w:ascii="仿宋_GB2312" w:hAnsi="仿宋_GB2312" w:eastAsia="仿宋_GB2312" w:cs="仿宋_GB2312"/>
          <w:sz w:val="32"/>
          <w:szCs w:val="32"/>
        </w:rPr>
        <w:t>100%，自评得分4分。</w:t>
      </w:r>
    </w:p>
    <w:p>
      <w:pPr>
        <w:spacing w:line="56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二是</w:t>
      </w:r>
      <w:r>
        <w:rPr>
          <w:rFonts w:hint="eastAsia" w:ascii="仿宋_GB2312" w:hAnsi="仿宋_GB2312" w:eastAsia="仿宋_GB2312" w:cs="仿宋_GB2312"/>
          <w:b/>
          <w:bCs/>
          <w:sz w:val="32"/>
          <w:szCs w:val="32"/>
          <w:lang w:val="zh-CN"/>
        </w:rPr>
        <w:t>目标偏离。</w:t>
      </w:r>
      <w:r>
        <w:rPr>
          <w:rFonts w:hint="eastAsia" w:ascii="仿宋_GB2312" w:hAnsi="仿宋_GB2312" w:eastAsia="仿宋_GB2312" w:cs="仿宋_GB2312"/>
          <w:sz w:val="32"/>
          <w:szCs w:val="32"/>
          <w:lang w:val="zh-CN"/>
        </w:rPr>
        <w:t>预算项目绩效目标达到预期目标，</w:t>
      </w:r>
      <w:r>
        <w:rPr>
          <w:rFonts w:hint="eastAsia" w:ascii="仿宋_GB2312" w:hAnsi="仿宋_GB2312" w:eastAsia="仿宋_GB2312" w:cs="仿宋_GB2312"/>
          <w:sz w:val="32"/>
          <w:szCs w:val="32"/>
        </w:rPr>
        <w:t>自评得分4分</w:t>
      </w:r>
      <w:r>
        <w:rPr>
          <w:rFonts w:hint="eastAsia" w:ascii="仿宋_GB2312" w:hAnsi="仿宋_GB2312" w:eastAsia="仿宋_GB2312" w:cs="仿宋_GB2312"/>
          <w:sz w:val="32"/>
          <w:szCs w:val="32"/>
          <w:lang w:val="zh-CN"/>
        </w:rPr>
        <w:t>。</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三是实现效果。</w:t>
      </w:r>
      <w:r>
        <w:rPr>
          <w:rFonts w:hint="eastAsia" w:ascii="仿宋_GB2312" w:hAnsi="仿宋_GB2312" w:eastAsia="仿宋_GB2312" w:cs="仿宋_GB2312"/>
          <w:sz w:val="32"/>
          <w:szCs w:val="32"/>
        </w:rPr>
        <w:t>2025年度特定目标类项目5个，完成5个；</w:t>
      </w:r>
      <w:r>
        <w:rPr>
          <w:rFonts w:hint="eastAsia" w:ascii="仿宋_GB2312" w:hAnsi="仿宋_GB2312" w:eastAsia="仿宋_GB2312" w:cs="仿宋_GB2312"/>
          <w:sz w:val="32"/>
          <w:szCs w:val="32"/>
          <w:lang w:val="zh-CN"/>
        </w:rPr>
        <w:t>各项目实现效果好，项目执行好评率高，</w:t>
      </w:r>
      <w:r>
        <w:rPr>
          <w:rFonts w:hint="eastAsia" w:ascii="仿宋_GB2312" w:hAnsi="仿宋_GB2312" w:eastAsia="仿宋_GB2312" w:cs="仿宋_GB2312"/>
          <w:sz w:val="32"/>
          <w:szCs w:val="32"/>
        </w:rPr>
        <w:t>自评得分3分</w:t>
      </w:r>
      <w:r>
        <w:rPr>
          <w:rFonts w:hint="eastAsia" w:ascii="仿宋_GB2312" w:hAnsi="仿宋_GB2312" w:eastAsia="仿宋_GB2312" w:cs="仿宋_GB2312"/>
          <w:sz w:val="32"/>
          <w:szCs w:val="32"/>
          <w:lang w:val="zh-CN"/>
        </w:rPr>
        <w:t>。</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hint="eastAsia" w:eastAsia="楷体_GB2312"/>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绩效结果应用情况</w:t>
      </w:r>
    </w:p>
    <w:p>
      <w:pPr>
        <w:spacing w:line="56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zh-CN"/>
        </w:rPr>
        <w:t>内部应用情况。</w:t>
      </w:r>
      <w:r>
        <w:rPr>
          <w:rFonts w:hint="eastAsia" w:ascii="仿宋_GB2312" w:hAnsi="仿宋_GB2312" w:eastAsia="仿宋_GB2312" w:cs="仿宋_GB2312"/>
          <w:sz w:val="32"/>
          <w:szCs w:val="32"/>
          <w:lang w:val="zh-CN"/>
        </w:rPr>
        <w:t>通过绩效目标的制定和评定，逐步完善部门的内控制度。</w:t>
      </w:r>
    </w:p>
    <w:p>
      <w:pPr>
        <w:spacing w:line="560" w:lineRule="exact"/>
        <w:ind w:firstLine="64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rPr>
        <w:t>2.信息公开情况。</w:t>
      </w:r>
      <w:r>
        <w:rPr>
          <w:rFonts w:hint="eastAsia" w:ascii="仿宋_GB2312" w:hAnsi="仿宋_GB2312" w:eastAsia="仿宋_GB2312" w:cs="仿宋_GB2312"/>
          <w:sz w:val="32"/>
          <w:szCs w:val="32"/>
          <w:lang w:val="zh-CN"/>
        </w:rPr>
        <w:t>根据预算绩效管理要求，我局对202</w:t>
      </w:r>
      <w:r>
        <w:rPr>
          <w:rFonts w:hint="eastAsia" w:ascii="仿宋_GB2312" w:hAnsi="仿宋_GB2312" w:cs="仿宋_GB2312"/>
          <w:sz w:val="32"/>
          <w:szCs w:val="32"/>
        </w:rPr>
        <w:t>5</w:t>
      </w:r>
      <w:r>
        <w:rPr>
          <w:rFonts w:hint="eastAsia" w:ascii="仿宋_GB2312" w:hAnsi="仿宋_GB2312" w:eastAsia="仿宋_GB2312" w:cs="仿宋_GB2312"/>
          <w:sz w:val="32"/>
          <w:szCs w:val="32"/>
          <w:lang w:val="zh-CN"/>
        </w:rPr>
        <w:t>年部门预算、决算和目标绩效情况进行公开，进一步强化了预算绩效管理，提升绩效管理水平。</w:t>
      </w:r>
    </w:p>
    <w:p>
      <w:pPr>
        <w:spacing w:line="560" w:lineRule="exact"/>
        <w:ind w:firstLine="640"/>
        <w:rPr>
          <w:b/>
          <w:szCs w:val="32"/>
        </w:rPr>
      </w:pPr>
      <w:r>
        <w:rPr>
          <w:rFonts w:hint="eastAsia" w:ascii="仿宋_GB2312" w:hAnsi="仿宋_GB2312" w:eastAsia="仿宋_GB2312" w:cs="仿宋_GB2312"/>
          <w:b/>
          <w:bCs/>
          <w:sz w:val="32"/>
          <w:szCs w:val="32"/>
        </w:rPr>
        <w:t>3.</w:t>
      </w:r>
      <w:r>
        <w:rPr>
          <w:rFonts w:hint="eastAsia" w:ascii="仿宋_GB2312" w:hAnsi="仿宋_GB2312" w:eastAsia="仿宋_GB2312" w:cs="仿宋_GB2312"/>
          <w:b/>
          <w:bCs/>
          <w:sz w:val="32"/>
          <w:szCs w:val="32"/>
          <w:lang w:val="zh-CN"/>
        </w:rPr>
        <w:t>整改反馈情况。</w:t>
      </w:r>
      <w:r>
        <w:rPr>
          <w:rFonts w:hint="eastAsia" w:ascii="仿宋_GB2312" w:hAnsi="仿宋_GB2312" w:eastAsia="仿宋_GB2312" w:cs="仿宋_GB2312"/>
          <w:sz w:val="32"/>
          <w:szCs w:val="32"/>
        </w:rPr>
        <w:t>202</w:t>
      </w:r>
      <w:r>
        <w:rPr>
          <w:rFonts w:hint="eastAsia" w:ascii="仿宋_GB2312" w:hAnsi="仿宋_GB2312" w:cs="仿宋_GB2312"/>
          <w:sz w:val="32"/>
          <w:szCs w:val="32"/>
        </w:rPr>
        <w:t>5</w:t>
      </w:r>
      <w:r>
        <w:rPr>
          <w:rFonts w:hint="eastAsia" w:ascii="仿宋_GB2312" w:hAnsi="仿宋_GB2312" w:eastAsia="仿宋_GB2312" w:cs="仿宋_GB2312"/>
          <w:sz w:val="32"/>
          <w:szCs w:val="32"/>
        </w:rPr>
        <w:t>年茂县财政局</w:t>
      </w:r>
      <w:r>
        <w:rPr>
          <w:rFonts w:hint="eastAsia" w:ascii="仿宋_GB2312" w:hAnsi="仿宋_GB2312" w:eastAsia="仿宋_GB2312" w:cs="仿宋_GB2312"/>
          <w:sz w:val="32"/>
          <w:szCs w:val="32"/>
          <w:lang w:val="zh-CN"/>
        </w:rPr>
        <w:t>监督与绩效管理股对</w:t>
      </w:r>
      <w:r>
        <w:rPr>
          <w:rFonts w:hint="eastAsia" w:ascii="仿宋_GB2312" w:hAnsi="仿宋_GB2312" w:cs="仿宋_GB2312"/>
          <w:sz w:val="32"/>
          <w:szCs w:val="32"/>
          <w:lang w:val="zh-CN"/>
        </w:rPr>
        <w:t>我局</w:t>
      </w:r>
      <w:r>
        <w:rPr>
          <w:rFonts w:hint="eastAsia" w:ascii="仿宋_GB2312" w:hAnsi="仿宋_GB2312" w:eastAsia="仿宋_GB2312" w:cs="仿宋_GB2312"/>
          <w:sz w:val="32"/>
          <w:szCs w:val="32"/>
          <w:lang w:val="zh-CN"/>
        </w:rPr>
        <w:t>进行了内部监督暨内部控制专项检查，针对检查中发现的问题及时进行了整改并上报。</w:t>
      </w:r>
    </w:p>
    <w:p>
      <w:pPr>
        <w:widowControl/>
        <w:adjustRightInd w:val="0"/>
        <w:snapToGrid w:val="0"/>
        <w:spacing w:line="560" w:lineRule="exact"/>
        <w:ind w:firstLine="640" w:firstLineChars="200"/>
        <w:contextualSpacing/>
        <w:jc w:val="left"/>
        <w:outlineLvl w:val="0"/>
        <w:rPr>
          <w:rFonts w:eastAsia="黑体"/>
          <w:color w:val="000000"/>
          <w:kern w:val="0"/>
          <w:sz w:val="32"/>
          <w:szCs w:val="32"/>
          <w:shd w:val="clear" w:color="auto" w:fill="FFFFFF"/>
          <w:lang w:val="zh-CN"/>
        </w:rPr>
      </w:pPr>
      <w:bookmarkStart w:id="77" w:name="_Toc16551"/>
      <w:r>
        <w:rPr>
          <w:rFonts w:eastAsia="黑体"/>
          <w:color w:val="000000"/>
          <w:kern w:val="0"/>
          <w:sz w:val="32"/>
          <w:szCs w:val="32"/>
          <w:shd w:val="clear" w:color="auto" w:fill="FFFFFF"/>
          <w:lang w:val="zh-CN"/>
        </w:rPr>
        <w:t>四、评价结论及建议</w:t>
      </w:r>
      <w:bookmarkEnd w:id="77"/>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（一）评价结论</w:t>
      </w:r>
    </w:p>
    <w:p>
      <w:pPr>
        <w:spacing w:line="560" w:lineRule="exact"/>
        <w:ind w:firstLine="64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按照202</w:t>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zh-CN"/>
        </w:rPr>
        <w:t>年部门支出绩效评价指标体系结合年初预算设定的绩效目标完成情况进行自评打分，自评情况和年初绩效目标完成情况进行了汇总，最后我局自评得分</w:t>
      </w:r>
      <w:r>
        <w:rPr>
          <w:rFonts w:hint="eastAsia" w:ascii="仿宋_GB2312" w:hAnsi="仿宋_GB2312" w:eastAsia="仿宋_GB2312" w:cs="仿宋_GB2312"/>
          <w:sz w:val="32"/>
          <w:szCs w:val="32"/>
        </w:rPr>
        <w:t>99.5</w:t>
      </w:r>
      <w:r>
        <w:rPr>
          <w:rFonts w:hint="eastAsia" w:ascii="仿宋_GB2312" w:hAnsi="仿宋_GB2312" w:eastAsia="仿宋_GB2312" w:cs="仿宋_GB2312"/>
          <w:sz w:val="32"/>
          <w:szCs w:val="32"/>
          <w:lang w:val="zh-CN"/>
        </w:rPr>
        <w:t>分。</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（二）存在问题</w:t>
      </w:r>
    </w:p>
    <w:p>
      <w:pPr>
        <w:spacing w:line="560" w:lineRule="exact"/>
        <w:ind w:firstLine="640"/>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2025年度</w:t>
      </w:r>
      <w:r>
        <w:rPr>
          <w:rFonts w:hint="eastAsia" w:ascii="仿宋_GB2312" w:hAnsi="仿宋_GB2312" w:eastAsia="仿宋_GB2312" w:cs="仿宋_GB2312"/>
          <w:sz w:val="32"/>
          <w:szCs w:val="32"/>
          <w:lang w:val="zh-CN"/>
        </w:rPr>
        <w:t>预算编制绩效目标设置管理需进一步加强，预算执行进度有待提高。</w:t>
      </w:r>
    </w:p>
    <w:p>
      <w:pPr>
        <w:widowControl/>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（三）改进建议</w:t>
      </w:r>
      <w:bookmarkStart w:id="78" w:name="_Hlk110546638"/>
    </w:p>
    <w:p>
      <w:pPr>
        <w:spacing w:line="560" w:lineRule="exact"/>
        <w:ind w:firstLine="640"/>
        <w:rPr>
          <w:rFonts w:eastAsia="黑体"/>
          <w:sz w:val="44"/>
          <w:szCs w:val="44"/>
        </w:rPr>
      </w:pPr>
      <w:r>
        <w:rPr>
          <w:rFonts w:hint="eastAsia" w:ascii="仿宋_GB2312" w:hAnsi="仿宋_GB2312" w:eastAsia="仿宋_GB2312" w:cs="仿宋_GB2312"/>
          <w:sz w:val="32"/>
          <w:szCs w:val="32"/>
          <w:lang w:val="zh-CN"/>
        </w:rPr>
        <w:t>在今后的工作中，认真学习预算绩效管理等方面的业务知识。一是认真学习《行政事业单位预算绩效管理》《中华人民共和国会计法》，进一步加强预算绩效管理，规范会计核算，夯实会计基础，提高资金使用效率；二是建立长效机制，持之以恒，严禁时紧时松。</w:t>
      </w:r>
      <w:bookmarkEnd w:id="78"/>
      <w:bookmarkStart w:id="79" w:name="_Toc15396618"/>
      <w:r>
        <w:rPr>
          <w:rFonts w:hint="eastAsia" w:eastAsia="黑体"/>
          <w:sz w:val="44"/>
          <w:szCs w:val="44"/>
        </w:rPr>
        <w:br w:type="page"/>
      </w:r>
      <w:bookmarkStart w:id="108" w:name="_GoBack"/>
      <w:bookmarkEnd w:id="108"/>
    </w:p>
    <w:p>
      <w:pPr>
        <w:pStyle w:val="8"/>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1</w:t>
      </w:r>
    </w:p>
    <w:tbl>
      <w:tblPr>
        <w:tblStyle w:val="16"/>
        <w:tblpPr w:leftFromText="180" w:rightFromText="180" w:vertAnchor="text" w:horzAnchor="page" w:tblpX="974" w:tblpY="302"/>
        <w:tblOverlap w:val="never"/>
        <w:tblW w:w="10080" w:type="dxa"/>
        <w:tblInd w:w="0" w:type="dxa"/>
        <w:tblLayout w:type="autofit"/>
        <w:tblCellMar>
          <w:top w:w="0" w:type="dxa"/>
          <w:left w:w="108" w:type="dxa"/>
          <w:bottom w:w="0" w:type="dxa"/>
          <w:right w:w="108" w:type="dxa"/>
        </w:tblCellMar>
      </w:tblPr>
      <w:tblGrid>
        <w:gridCol w:w="606"/>
        <w:gridCol w:w="1219"/>
        <w:gridCol w:w="1836"/>
        <w:gridCol w:w="2016"/>
        <w:gridCol w:w="576"/>
        <w:gridCol w:w="685"/>
        <w:gridCol w:w="396"/>
        <w:gridCol w:w="915"/>
        <w:gridCol w:w="491"/>
        <w:gridCol w:w="641"/>
        <w:gridCol w:w="699"/>
      </w:tblGrid>
      <w:tr>
        <w:tblPrEx>
          <w:tblCellMar>
            <w:top w:w="0" w:type="dxa"/>
            <w:left w:w="108" w:type="dxa"/>
            <w:bottom w:w="0" w:type="dxa"/>
            <w:right w:w="108" w:type="dxa"/>
          </w:tblCellMar>
        </w:tblPrEx>
        <w:trPr>
          <w:trHeight w:val="570" w:hRule="atLeast"/>
        </w:trPr>
        <w:tc>
          <w:tcPr>
            <w:tcW w:w="100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部门预算项目支出绩效自评表（2025年度）</w:t>
            </w:r>
          </w:p>
        </w:tc>
      </w:tr>
      <w:tr>
        <w:tblPrEx>
          <w:tblCellMar>
            <w:top w:w="0" w:type="dxa"/>
            <w:left w:w="108" w:type="dxa"/>
            <w:bottom w:w="0" w:type="dxa"/>
            <w:right w:w="108" w:type="dxa"/>
          </w:tblCellMar>
        </w:tblPrEx>
        <w:trPr>
          <w:trHeight w:val="350"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2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51322322T000006982950-单位水电费</w:t>
            </w:r>
          </w:p>
        </w:tc>
      </w:tr>
      <w:tr>
        <w:tblPrEx>
          <w:tblCellMar>
            <w:top w:w="0" w:type="dxa"/>
            <w:left w:w="108" w:type="dxa"/>
            <w:bottom w:w="0" w:type="dxa"/>
            <w:right w:w="108" w:type="dxa"/>
          </w:tblCellMar>
        </w:tblPrEx>
        <w:trPr>
          <w:trHeight w:val="595"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茂县财政局</w:t>
            </w:r>
          </w:p>
        </w:tc>
        <w:tc>
          <w:tcPr>
            <w:tcW w:w="915" w:type="dxa"/>
            <w:tcBorders>
              <w:top w:val="nil"/>
              <w:left w:val="nil"/>
              <w:bottom w:val="nil"/>
              <w:right w:val="nil"/>
            </w:tcBorders>
            <w:shd w:val="clear" w:color="auto" w:fill="auto"/>
            <w:vAlign w:val="center"/>
          </w:tcPr>
          <w:p>
            <w:pPr>
              <w:widowControl/>
              <w:spacing w:line="240" w:lineRule="exact"/>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18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茂县财政局（行政）</w:t>
            </w:r>
          </w:p>
        </w:tc>
      </w:tr>
      <w:tr>
        <w:tblPrEx>
          <w:tblCellMar>
            <w:top w:w="0" w:type="dxa"/>
            <w:left w:w="108" w:type="dxa"/>
            <w:bottom w:w="0" w:type="dxa"/>
            <w:right w:w="108" w:type="dxa"/>
          </w:tblCellMar>
        </w:tblPrEx>
        <w:trPr>
          <w:trHeight w:val="27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2746" w:type="dxa"/>
            <w:gridSpan w:val="4"/>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tblPrEx>
          <w:tblCellMar>
            <w:top w:w="0" w:type="dxa"/>
            <w:left w:w="108" w:type="dxa"/>
            <w:bottom w:w="0" w:type="dxa"/>
            <w:right w:w="108" w:type="dxa"/>
          </w:tblCellMar>
        </w:tblPrEx>
        <w:trPr>
          <w:trHeight w:val="65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单位水电费，保障财政局住宿区生活用水用电基本民生保障。</w:t>
            </w:r>
          </w:p>
        </w:tc>
        <w:tc>
          <w:tcPr>
            <w:tcW w:w="27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hint="eastAsia" w:ascii="黑体" w:hAnsi="黑体" w:eastAsia="黑体" w:cs="黑体"/>
                <w:color w:val="000000"/>
                <w:kern w:val="0"/>
                <w:sz w:val="18"/>
                <w:szCs w:val="18"/>
                <w:lang w:bidi="ar"/>
              </w:rPr>
              <w:t>已全部完成目标任务，</w:t>
            </w:r>
            <w:r>
              <w:rPr>
                <w:rFonts w:hint="eastAsia" w:ascii="宋体" w:hAnsi="宋体" w:cs="宋体"/>
                <w:color w:val="000000"/>
                <w:kern w:val="0"/>
                <w:sz w:val="18"/>
                <w:szCs w:val="18"/>
                <w:lang w:bidi="ar"/>
              </w:rPr>
              <w:t>保障了财政局住宿区居民生活用水用电基本民生保障。</w:t>
            </w:r>
          </w:p>
        </w:tc>
      </w:tr>
      <w:tr>
        <w:tblPrEx>
          <w:tblCellMar>
            <w:top w:w="0" w:type="dxa"/>
            <w:left w:w="108" w:type="dxa"/>
            <w:bottom w:w="0" w:type="dxa"/>
            <w:right w:w="108" w:type="dxa"/>
          </w:tblCellMar>
        </w:tblPrEx>
        <w:trPr>
          <w:trHeight w:val="72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82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县财政局住宿区居民按时足额缴纳水电费，单位收到水电费，按月支付水电费，保障财政局住宿区生活用水用电基本民生保障。</w:t>
            </w:r>
          </w:p>
        </w:tc>
      </w:tr>
      <w:tr>
        <w:tblPrEx>
          <w:tblCellMar>
            <w:top w:w="0" w:type="dxa"/>
            <w:left w:w="108" w:type="dxa"/>
            <w:bottom w:w="0" w:type="dxa"/>
            <w:right w:w="108" w:type="dxa"/>
          </w:tblCellMar>
        </w:tblPrEx>
        <w:trPr>
          <w:trHeight w:val="45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2.99</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r>
              <w:rPr>
                <w:rFonts w:ascii="宋体" w:hAnsi="宋体" w:cs="宋体"/>
                <w:color w:val="000000"/>
                <w:kern w:val="0"/>
                <w:sz w:val="18"/>
                <w:szCs w:val="18"/>
                <w:lang w:bidi="ar"/>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5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2.99</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2.99</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100</w:t>
            </w:r>
            <w:r>
              <w:rPr>
                <w:rFonts w:ascii="宋体" w:hAnsi="宋体" w:cs="宋体"/>
                <w:color w:val="000000"/>
                <w:kern w:val="0"/>
                <w:sz w:val="18"/>
                <w:szCs w:val="18"/>
                <w:lang w:bidi="ar"/>
              </w:rPr>
              <w:t>%</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92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tblPrEx>
          <w:tblCellMar>
            <w:top w:w="0" w:type="dxa"/>
            <w:left w:w="108" w:type="dxa"/>
            <w:bottom w:w="0" w:type="dxa"/>
            <w:right w:w="108" w:type="dxa"/>
          </w:tblCellMar>
        </w:tblPrEx>
        <w:trPr>
          <w:trHeight w:val="29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生活区生活住户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户</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25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按时足额完成任务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6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按时完成各项目标任务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5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保障生活区用水用电稳定</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8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240" w:hRule="atLeast"/>
        </w:trPr>
        <w:tc>
          <w:tcPr>
            <w:tcW w:w="82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r>
      <w:tr>
        <w:tblPrEx>
          <w:tblCellMar>
            <w:top w:w="0" w:type="dxa"/>
            <w:left w:w="108" w:type="dxa"/>
            <w:bottom w:w="0" w:type="dxa"/>
            <w:right w:w="108" w:type="dxa"/>
          </w:tblCellMar>
        </w:tblPrEx>
        <w:trPr>
          <w:trHeight w:val="615"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项目实施保障了财政局住宿区居民生活用水用电基本民生保障，完成了全年的财政收支任务，绩效目标得到较好实现，绩效管理水平不断提高，绩效指标逐渐丰富和完善，自评得分100分。</w:t>
            </w:r>
          </w:p>
        </w:tc>
      </w:tr>
      <w:tr>
        <w:tblPrEx>
          <w:tblCellMar>
            <w:top w:w="0" w:type="dxa"/>
            <w:left w:w="108" w:type="dxa"/>
            <w:bottom w:w="0" w:type="dxa"/>
            <w:right w:w="108" w:type="dxa"/>
          </w:tblCellMar>
        </w:tblPrEx>
        <w:trPr>
          <w:trHeight w:val="45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无</w:t>
            </w:r>
          </w:p>
        </w:tc>
      </w:tr>
      <w:tr>
        <w:tblPrEx>
          <w:tblCellMar>
            <w:top w:w="0" w:type="dxa"/>
            <w:left w:w="108" w:type="dxa"/>
            <w:bottom w:w="0" w:type="dxa"/>
            <w:right w:w="108" w:type="dxa"/>
          </w:tblCellMar>
        </w:tblPrEx>
        <w:trPr>
          <w:trHeight w:val="505"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无</w:t>
            </w:r>
          </w:p>
        </w:tc>
      </w:tr>
    </w:tbl>
    <w:p>
      <w:pPr>
        <w:rPr>
          <w:rFonts w:eastAsia="黑体"/>
          <w:sz w:val="44"/>
          <w:szCs w:val="44"/>
        </w:rPr>
      </w:pPr>
      <w:r>
        <w:rPr>
          <w:rFonts w:hint="eastAsia" w:eastAsia="黑体"/>
          <w:sz w:val="44"/>
          <w:szCs w:val="44"/>
        </w:rPr>
        <w:br w:type="page"/>
      </w:r>
    </w:p>
    <w:tbl>
      <w:tblPr>
        <w:tblStyle w:val="16"/>
        <w:tblpPr w:leftFromText="180" w:rightFromText="180" w:vertAnchor="text" w:horzAnchor="page" w:tblpX="1001" w:tblpY="392"/>
        <w:tblOverlap w:val="never"/>
        <w:tblW w:w="10080" w:type="dxa"/>
        <w:tblInd w:w="0" w:type="dxa"/>
        <w:tblLayout w:type="autofit"/>
        <w:tblCellMar>
          <w:top w:w="0" w:type="dxa"/>
          <w:left w:w="108" w:type="dxa"/>
          <w:bottom w:w="0" w:type="dxa"/>
          <w:right w:w="108" w:type="dxa"/>
        </w:tblCellMar>
      </w:tblPr>
      <w:tblGrid>
        <w:gridCol w:w="606"/>
        <w:gridCol w:w="1219"/>
        <w:gridCol w:w="1836"/>
        <w:gridCol w:w="2016"/>
        <w:gridCol w:w="576"/>
        <w:gridCol w:w="685"/>
        <w:gridCol w:w="396"/>
        <w:gridCol w:w="915"/>
        <w:gridCol w:w="491"/>
        <w:gridCol w:w="641"/>
        <w:gridCol w:w="699"/>
      </w:tblGrid>
      <w:tr>
        <w:tblPrEx>
          <w:tblCellMar>
            <w:top w:w="0" w:type="dxa"/>
            <w:left w:w="108" w:type="dxa"/>
            <w:bottom w:w="0" w:type="dxa"/>
            <w:right w:w="108" w:type="dxa"/>
          </w:tblCellMar>
        </w:tblPrEx>
        <w:trPr>
          <w:trHeight w:val="710" w:hRule="atLeast"/>
        </w:trPr>
        <w:tc>
          <w:tcPr>
            <w:tcW w:w="100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00" w:lineRule="exact"/>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部门预算项目支出绩效自评表（2025年度）</w:t>
            </w:r>
          </w:p>
        </w:tc>
      </w:tr>
      <w:tr>
        <w:tblPrEx>
          <w:tblCellMar>
            <w:top w:w="0" w:type="dxa"/>
            <w:left w:w="108" w:type="dxa"/>
            <w:bottom w:w="0" w:type="dxa"/>
            <w:right w:w="108" w:type="dxa"/>
          </w:tblCellMar>
        </w:tblPrEx>
        <w:trPr>
          <w:trHeight w:val="425"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82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51322325T000012798073-财政系统自身建设资金</w:t>
            </w:r>
          </w:p>
        </w:tc>
      </w:tr>
      <w:tr>
        <w:tblPrEx>
          <w:tblCellMar>
            <w:top w:w="0" w:type="dxa"/>
            <w:left w:w="108" w:type="dxa"/>
            <w:bottom w:w="0" w:type="dxa"/>
            <w:right w:w="108" w:type="dxa"/>
          </w:tblCellMar>
        </w:tblPrEx>
        <w:trPr>
          <w:trHeight w:val="450" w:hRule="atLeast"/>
        </w:trPr>
        <w:tc>
          <w:tcPr>
            <w:tcW w:w="1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茂县财政局</w:t>
            </w:r>
          </w:p>
        </w:tc>
        <w:tc>
          <w:tcPr>
            <w:tcW w:w="915" w:type="dxa"/>
            <w:tcBorders>
              <w:top w:val="nil"/>
              <w:left w:val="nil"/>
              <w:bottom w:val="nil"/>
              <w:right w:val="nil"/>
            </w:tcBorders>
            <w:shd w:val="clear" w:color="auto" w:fill="auto"/>
            <w:vAlign w:val="center"/>
          </w:tcPr>
          <w:p>
            <w:pPr>
              <w:widowControl/>
              <w:spacing w:line="240" w:lineRule="exact"/>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18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茂县财政局（行政）</w:t>
            </w:r>
          </w:p>
        </w:tc>
      </w:tr>
      <w:tr>
        <w:tblPrEx>
          <w:tblCellMar>
            <w:top w:w="0" w:type="dxa"/>
            <w:left w:w="108" w:type="dxa"/>
            <w:bottom w:w="0" w:type="dxa"/>
            <w:right w:w="108" w:type="dxa"/>
          </w:tblCellMar>
        </w:tblPrEx>
        <w:trPr>
          <w:trHeight w:val="27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27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55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主要用于信息化建设，干部教育培训，财政改革等相关工作。</w:t>
            </w:r>
          </w:p>
        </w:tc>
        <w:tc>
          <w:tcPr>
            <w:tcW w:w="27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进一步提升了干部的业务素质和专业能力，推动了财政工作向更高水平发展。</w:t>
            </w:r>
          </w:p>
        </w:tc>
      </w:tr>
      <w:tr>
        <w:tblPrEx>
          <w:tblCellMar>
            <w:top w:w="0" w:type="dxa"/>
            <w:left w:w="108" w:type="dxa"/>
            <w:bottom w:w="0" w:type="dxa"/>
            <w:right w:w="108" w:type="dxa"/>
          </w:tblCellMar>
        </w:tblPrEx>
        <w:trPr>
          <w:trHeight w:val="45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825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按照文件要求，按时完成了各项财政自身建设资金使用，保质保量完成了日常工作。</w:t>
            </w:r>
          </w:p>
        </w:tc>
      </w:tr>
      <w:tr>
        <w:tblPrEx>
          <w:tblCellMar>
            <w:top w:w="0" w:type="dxa"/>
            <w:left w:w="108" w:type="dxa"/>
            <w:bottom w:w="0" w:type="dxa"/>
            <w:right w:w="108" w:type="dxa"/>
          </w:tblCellMar>
        </w:tblPrEx>
        <w:trPr>
          <w:trHeight w:val="45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15.85</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15.85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15.85</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15.85</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5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270"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16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微软雅黑" w:hAnsi="微软雅黑" w:eastAsia="微软雅黑" w:cs="微软雅黑"/>
                <w:i/>
                <w:iCs/>
                <w:color w:val="000000"/>
                <w:sz w:val="16"/>
                <w:szCs w:val="16"/>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900" w:hRule="atLeast"/>
        </w:trPr>
        <w:tc>
          <w:tcPr>
            <w:tcW w:w="6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tblPrEx>
          <w:tblCellMar>
            <w:top w:w="0" w:type="dxa"/>
            <w:left w:w="108" w:type="dxa"/>
            <w:bottom w:w="0" w:type="dxa"/>
            <w:right w:w="108" w:type="dxa"/>
          </w:tblCellMar>
        </w:tblPrEx>
        <w:trPr>
          <w:trHeight w:val="48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效益指标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经济效益指标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单位正常运转</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定性</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rPr>
                <w:rFonts w:ascii="宋体" w:hAnsi="宋体" w:cs="宋体"/>
                <w:color w:val="000000"/>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40</w:t>
            </w:r>
          </w:p>
        </w:tc>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r>
      <w:tr>
        <w:tblPrEx>
          <w:tblCellMar>
            <w:top w:w="0" w:type="dxa"/>
            <w:left w:w="108" w:type="dxa"/>
            <w:bottom w:w="0" w:type="dxa"/>
            <w:right w:w="108" w:type="dxa"/>
          </w:tblCellMar>
        </w:tblPrEx>
        <w:trPr>
          <w:trHeight w:val="39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产出指标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时效指标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完成财政自身建设工作</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1</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年</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rPr>
                <w:rFonts w:ascii="宋体" w:hAnsi="宋体" w:cs="宋体"/>
                <w:color w:val="000000"/>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40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40</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r>
      <w:tr>
        <w:tblPrEx>
          <w:tblCellMar>
            <w:top w:w="0" w:type="dxa"/>
            <w:left w:w="108" w:type="dxa"/>
            <w:bottom w:w="0" w:type="dxa"/>
            <w:right w:w="108" w:type="dxa"/>
          </w:tblCellMar>
        </w:tblPrEx>
        <w:trPr>
          <w:trHeight w:val="515" w:hRule="atLeast"/>
        </w:trPr>
        <w:tc>
          <w:tcPr>
            <w:tcW w:w="6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满意度指标</w:t>
            </w:r>
          </w:p>
        </w:tc>
        <w:tc>
          <w:tcPr>
            <w:tcW w:w="1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服务对象满意度指标</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职工获得最大利益</w:t>
            </w:r>
          </w:p>
        </w:tc>
        <w:tc>
          <w:tcPr>
            <w:tcW w:w="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rPr>
                <w:rFonts w:ascii="宋体" w:hAnsi="宋体" w:cs="宋体"/>
                <w:color w:val="000000"/>
                <w:sz w:val="18"/>
                <w:szCs w:val="18"/>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240" w:lineRule="exact"/>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10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cs="宋体"/>
                <w:color w:val="000000"/>
                <w:sz w:val="18"/>
                <w:szCs w:val="18"/>
              </w:rPr>
            </w:pPr>
          </w:p>
        </w:tc>
      </w:tr>
      <w:tr>
        <w:tblPrEx>
          <w:tblCellMar>
            <w:top w:w="0" w:type="dxa"/>
            <w:left w:w="108" w:type="dxa"/>
            <w:bottom w:w="0" w:type="dxa"/>
            <w:right w:w="108" w:type="dxa"/>
          </w:tblCellMar>
        </w:tblPrEx>
        <w:trPr>
          <w:trHeight w:val="270" w:hRule="atLeast"/>
        </w:trPr>
        <w:tc>
          <w:tcPr>
            <w:tcW w:w="82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righ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rPr>
                <w:rFonts w:ascii="宋体" w:hAnsi="宋体" w:cs="宋体"/>
                <w:color w:val="000000"/>
                <w:sz w:val="18"/>
                <w:szCs w:val="18"/>
              </w:rPr>
            </w:pPr>
          </w:p>
        </w:tc>
      </w:tr>
      <w:tr>
        <w:tblPrEx>
          <w:tblCellMar>
            <w:top w:w="0" w:type="dxa"/>
            <w:left w:w="108" w:type="dxa"/>
            <w:bottom w:w="0" w:type="dxa"/>
            <w:right w:w="108" w:type="dxa"/>
          </w:tblCellMar>
        </w:tblPrEx>
        <w:trPr>
          <w:trHeight w:val="715"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微软雅黑" w:hAnsi="微软雅黑" w:eastAsia="微软雅黑" w:cs="微软雅黑"/>
                <w:color w:val="000000"/>
                <w:sz w:val="16"/>
                <w:szCs w:val="16"/>
              </w:rPr>
            </w:pPr>
            <w:r>
              <w:rPr>
                <w:rFonts w:hint="eastAsia" w:ascii="宋体" w:hAnsi="宋体" w:cs="宋体"/>
                <w:color w:val="000000"/>
                <w:kern w:val="0"/>
                <w:sz w:val="18"/>
                <w:szCs w:val="18"/>
                <w:lang w:bidi="ar"/>
              </w:rPr>
              <w:t>财政自身化建设项目的实施，进一步提高了干部的业务素质和专业能力，推动了财政工作向更高水平发展，自评得分100分。</w:t>
            </w:r>
          </w:p>
        </w:tc>
      </w:tr>
      <w:tr>
        <w:tblPrEx>
          <w:tblCellMar>
            <w:top w:w="0" w:type="dxa"/>
            <w:left w:w="108" w:type="dxa"/>
            <w:bottom w:w="0" w:type="dxa"/>
            <w:right w:w="108" w:type="dxa"/>
          </w:tblCellMar>
        </w:tblPrEx>
        <w:trPr>
          <w:trHeight w:val="635"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lang w:bidi="ar"/>
              </w:rPr>
              <w:t>无</w:t>
            </w:r>
          </w:p>
        </w:tc>
      </w:tr>
      <w:tr>
        <w:tblPrEx>
          <w:tblCellMar>
            <w:top w:w="0" w:type="dxa"/>
            <w:left w:w="108" w:type="dxa"/>
            <w:bottom w:w="0" w:type="dxa"/>
            <w:right w:w="108" w:type="dxa"/>
          </w:tblCellMar>
        </w:tblPrEx>
        <w:trPr>
          <w:trHeight w:val="780"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47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微软雅黑" w:hAnsi="微软雅黑" w:eastAsia="微软雅黑" w:cs="微软雅黑"/>
                <w:color w:val="000000"/>
                <w:sz w:val="16"/>
                <w:szCs w:val="16"/>
              </w:rPr>
            </w:pPr>
            <w:r>
              <w:rPr>
                <w:rFonts w:hint="eastAsia" w:ascii="微软雅黑" w:hAnsi="微软雅黑" w:eastAsia="微软雅黑" w:cs="微软雅黑"/>
                <w:color w:val="000000"/>
                <w:kern w:val="0"/>
                <w:sz w:val="16"/>
                <w:szCs w:val="16"/>
                <w:lang w:bidi="ar"/>
              </w:rPr>
              <w:t>无</w:t>
            </w:r>
          </w:p>
        </w:tc>
      </w:tr>
    </w:tbl>
    <w:p>
      <w:pPr>
        <w:rPr>
          <w:rFonts w:eastAsia="黑体"/>
          <w:sz w:val="44"/>
          <w:szCs w:val="44"/>
        </w:rPr>
      </w:pPr>
      <w:r>
        <w:rPr>
          <w:rFonts w:hint="eastAsia" w:eastAsia="黑体"/>
          <w:sz w:val="44"/>
          <w:szCs w:val="44"/>
        </w:rPr>
        <w:br w:type="page"/>
      </w:r>
    </w:p>
    <w:tbl>
      <w:tblPr>
        <w:tblStyle w:val="16"/>
        <w:tblW w:w="9964" w:type="dxa"/>
        <w:tblInd w:w="-903" w:type="dxa"/>
        <w:tblLayout w:type="fixed"/>
        <w:tblCellMar>
          <w:top w:w="0" w:type="dxa"/>
          <w:left w:w="108" w:type="dxa"/>
          <w:bottom w:w="0" w:type="dxa"/>
          <w:right w:w="108" w:type="dxa"/>
        </w:tblCellMar>
      </w:tblPr>
      <w:tblGrid>
        <w:gridCol w:w="1245"/>
        <w:gridCol w:w="1387"/>
        <w:gridCol w:w="1143"/>
        <w:gridCol w:w="1387"/>
        <w:gridCol w:w="639"/>
        <w:gridCol w:w="1026"/>
        <w:gridCol w:w="672"/>
        <w:gridCol w:w="579"/>
        <w:gridCol w:w="527"/>
        <w:gridCol w:w="477"/>
        <w:gridCol w:w="882"/>
      </w:tblGrid>
      <w:tr>
        <w:tblPrEx>
          <w:tblCellMar>
            <w:top w:w="0" w:type="dxa"/>
            <w:left w:w="108" w:type="dxa"/>
            <w:bottom w:w="0" w:type="dxa"/>
            <w:right w:w="108" w:type="dxa"/>
          </w:tblCellMar>
        </w:tblPrEx>
        <w:trPr>
          <w:trHeight w:val="514" w:hRule="atLeast"/>
        </w:trPr>
        <w:tc>
          <w:tcPr>
            <w:tcW w:w="996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18"/>
                <w:szCs w:val="18"/>
                <w:lang w:bidi="ar"/>
              </w:rPr>
            </w:pPr>
            <w:r>
              <w:rPr>
                <w:rFonts w:hint="eastAsia" w:ascii="黑体" w:hAnsi="宋体" w:eastAsia="黑体" w:cs="黑体"/>
                <w:b/>
                <w:bCs/>
                <w:color w:val="000000"/>
                <w:kern w:val="0"/>
                <w:sz w:val="30"/>
                <w:szCs w:val="30"/>
                <w:lang w:bidi="ar"/>
              </w:rPr>
              <w:t>部门预算项目支出绩效自评表（2025年度）</w:t>
            </w:r>
          </w:p>
        </w:tc>
      </w:tr>
      <w:tr>
        <w:tblPrEx>
          <w:tblCellMar>
            <w:top w:w="0" w:type="dxa"/>
            <w:left w:w="108" w:type="dxa"/>
            <w:bottom w:w="0" w:type="dxa"/>
            <w:right w:w="108" w:type="dxa"/>
          </w:tblCellMar>
        </w:tblPrEx>
        <w:trPr>
          <w:trHeight w:val="441" w:hRule="atLeast"/>
        </w:trPr>
        <w:tc>
          <w:tcPr>
            <w:tcW w:w="2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项目名称</w:t>
            </w:r>
          </w:p>
        </w:tc>
        <w:tc>
          <w:tcPr>
            <w:tcW w:w="73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51322325T000013710904-租车费</w:t>
            </w:r>
          </w:p>
        </w:tc>
      </w:tr>
      <w:tr>
        <w:tblPrEx>
          <w:tblCellMar>
            <w:top w:w="0" w:type="dxa"/>
            <w:left w:w="108" w:type="dxa"/>
            <w:bottom w:w="0" w:type="dxa"/>
            <w:right w:w="108" w:type="dxa"/>
          </w:tblCellMar>
        </w:tblPrEx>
        <w:trPr>
          <w:trHeight w:val="512" w:hRule="atLeast"/>
        </w:trPr>
        <w:tc>
          <w:tcPr>
            <w:tcW w:w="26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主管部门</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茂县财政局</w:t>
            </w:r>
          </w:p>
        </w:tc>
        <w:tc>
          <w:tcPr>
            <w:tcW w:w="1251" w:type="dxa"/>
            <w:gridSpan w:val="2"/>
            <w:tcBorders>
              <w:top w:val="nil"/>
              <w:left w:val="nil"/>
              <w:bottom w:val="nil"/>
              <w:right w:val="nil"/>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实施单位 （盖章）</w:t>
            </w:r>
          </w:p>
        </w:tc>
        <w:tc>
          <w:tcPr>
            <w:tcW w:w="18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茂县财政局（行政）</w:t>
            </w:r>
          </w:p>
        </w:tc>
      </w:tr>
      <w:tr>
        <w:tblPrEx>
          <w:tblCellMar>
            <w:top w:w="0" w:type="dxa"/>
            <w:left w:w="108" w:type="dxa"/>
            <w:bottom w:w="0" w:type="dxa"/>
            <w:right w:w="108" w:type="dxa"/>
          </w:tblCellMar>
        </w:tblPrEx>
        <w:trPr>
          <w:trHeight w:val="286"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项目基本情况</w:t>
            </w: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1.项目年度目标完成情况</w:t>
            </w: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项目年度目标</w:t>
            </w:r>
          </w:p>
        </w:tc>
        <w:tc>
          <w:tcPr>
            <w:tcW w:w="31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年度目标完成情况</w:t>
            </w:r>
          </w:p>
        </w:tc>
      </w:tr>
      <w:tr>
        <w:tblPrEx>
          <w:tblCellMar>
            <w:top w:w="0" w:type="dxa"/>
            <w:left w:w="108" w:type="dxa"/>
            <w:bottom w:w="0" w:type="dxa"/>
            <w:right w:w="108" w:type="dxa"/>
          </w:tblCellMar>
        </w:tblPrEx>
        <w:trPr>
          <w:trHeight w:val="708"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41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保障了我单位日常工作的正常开展，及时有限的完成工作。</w:t>
            </w:r>
          </w:p>
        </w:tc>
        <w:tc>
          <w:tcPr>
            <w:tcW w:w="31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已完成目标任务。</w:t>
            </w:r>
          </w:p>
        </w:tc>
      </w:tr>
      <w:tr>
        <w:tblPrEx>
          <w:tblCellMar>
            <w:top w:w="0" w:type="dxa"/>
            <w:left w:w="108" w:type="dxa"/>
            <w:bottom w:w="0" w:type="dxa"/>
            <w:right w:w="108" w:type="dxa"/>
          </w:tblCellMar>
        </w:tblPrEx>
        <w:trPr>
          <w:trHeight w:val="693"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2.项目实施内容及过程概述</w:t>
            </w:r>
          </w:p>
        </w:tc>
        <w:tc>
          <w:tcPr>
            <w:tcW w:w="73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根据单位实际工作需要，满足单位日常公务、工作出行等需要。</w:t>
            </w:r>
          </w:p>
        </w:tc>
      </w:tr>
      <w:tr>
        <w:tblPrEx>
          <w:tblCellMar>
            <w:top w:w="0" w:type="dxa"/>
            <w:left w:w="108" w:type="dxa"/>
            <w:bottom w:w="0" w:type="dxa"/>
            <w:right w:w="108" w:type="dxa"/>
          </w:tblCellMar>
        </w:tblPrEx>
        <w:trPr>
          <w:trHeight w:val="361"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预算执行情况（10分）</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年度预算数（万元）</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年初预算</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调整后预算数</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预算执行数</w:t>
            </w: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预算执行率</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权重</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得分</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原因</w:t>
            </w:r>
          </w:p>
        </w:tc>
      </w:tr>
      <w:tr>
        <w:tblPrEx>
          <w:tblCellMar>
            <w:top w:w="0" w:type="dxa"/>
            <w:left w:w="108" w:type="dxa"/>
            <w:bottom w:w="0" w:type="dxa"/>
            <w:right w:w="108" w:type="dxa"/>
          </w:tblCellMar>
        </w:tblPrEx>
        <w:trPr>
          <w:trHeight w:val="346"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总额</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5.59</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5.59</w:t>
            </w: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100.00%</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10</w:t>
            </w:r>
          </w:p>
        </w:tc>
        <w:tc>
          <w:tcPr>
            <w:tcW w:w="8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91"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其中：财政资金</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5.59</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5.59</w:t>
            </w: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100.00%</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8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407"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财政专户管理资金</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8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96"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单位资金</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0.00%</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8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39"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其他资金</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8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452"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绩效指标（90分）</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一级指标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二级指标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三级指标</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指标性质</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指标值</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度量单位</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完成值</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权重</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得分</w:t>
            </w: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未完成原因分析</w:t>
            </w:r>
          </w:p>
        </w:tc>
      </w:tr>
      <w:tr>
        <w:tblPrEx>
          <w:tblCellMar>
            <w:top w:w="0" w:type="dxa"/>
            <w:left w:w="108" w:type="dxa"/>
            <w:bottom w:w="0" w:type="dxa"/>
            <w:right w:w="108" w:type="dxa"/>
          </w:tblCellMar>
        </w:tblPrEx>
        <w:trPr>
          <w:trHeight w:val="339"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产出指标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数量指标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车辆数</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辆</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39"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质量指标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车况运行良好率</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90</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39"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时效指标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汽车租赁期限</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3</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年</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39"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效益指标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经济效益指标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厉行节约、减少浪费</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定性</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优</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452"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可持续发展指标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按照规定用车标准及时派车</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定性</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长期保障</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452"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满意度指标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服务对象满意度指标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车辆使用满意度</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95</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452"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成本指标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经济成本指标</w:t>
            </w:r>
          </w:p>
        </w:tc>
        <w:tc>
          <w:tcPr>
            <w:tcW w:w="13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车辆租金成本控制</w:t>
            </w:r>
          </w:p>
        </w:tc>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167720.97</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元/年</w:t>
            </w:r>
          </w:p>
        </w:tc>
        <w:tc>
          <w:tcPr>
            <w:tcW w:w="5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20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286" w:hRule="atLeast"/>
        </w:trPr>
        <w:tc>
          <w:tcPr>
            <w:tcW w:w="807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合计</w:t>
            </w:r>
          </w:p>
        </w:tc>
        <w:tc>
          <w:tcPr>
            <w:tcW w:w="5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100</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p>
        </w:tc>
      </w:tr>
      <w:tr>
        <w:tblPrEx>
          <w:tblCellMar>
            <w:top w:w="0" w:type="dxa"/>
            <w:left w:w="108" w:type="dxa"/>
            <w:bottom w:w="0" w:type="dxa"/>
            <w:right w:w="108" w:type="dxa"/>
          </w:tblCellMar>
        </w:tblPrEx>
        <w:trPr>
          <w:trHeight w:val="343" w:hRule="atLeast"/>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评价结论</w:t>
            </w:r>
          </w:p>
        </w:tc>
        <w:tc>
          <w:tcPr>
            <w:tcW w:w="87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满足单位日常公务、工作出行等需要，自评得分100分。</w:t>
            </w:r>
          </w:p>
        </w:tc>
      </w:tr>
      <w:tr>
        <w:tblPrEx>
          <w:tblCellMar>
            <w:top w:w="0" w:type="dxa"/>
            <w:left w:w="108" w:type="dxa"/>
            <w:bottom w:w="0" w:type="dxa"/>
            <w:right w:w="108" w:type="dxa"/>
          </w:tblCellMar>
        </w:tblPrEx>
        <w:trPr>
          <w:trHeight w:val="282" w:hRule="atLeast"/>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存在问题</w:t>
            </w:r>
          </w:p>
        </w:tc>
        <w:tc>
          <w:tcPr>
            <w:tcW w:w="87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无</w:t>
            </w:r>
          </w:p>
        </w:tc>
      </w:tr>
      <w:tr>
        <w:tblPrEx>
          <w:tblCellMar>
            <w:top w:w="0" w:type="dxa"/>
            <w:left w:w="108" w:type="dxa"/>
            <w:bottom w:w="0" w:type="dxa"/>
            <w:right w:w="108" w:type="dxa"/>
          </w:tblCellMar>
        </w:tblPrEx>
        <w:trPr>
          <w:trHeight w:val="683" w:hRule="atLeast"/>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cs="宋体"/>
                <w:color w:val="000000"/>
                <w:kern w:val="0"/>
                <w:sz w:val="18"/>
                <w:szCs w:val="18"/>
                <w:lang w:bidi="ar"/>
              </w:rPr>
            </w:pPr>
            <w:r>
              <w:rPr>
                <w:rFonts w:ascii="宋体" w:hAnsi="宋体" w:cs="宋体"/>
                <w:color w:val="000000"/>
                <w:kern w:val="0"/>
                <w:sz w:val="18"/>
                <w:szCs w:val="18"/>
                <w:lang w:bidi="ar"/>
              </w:rPr>
              <w:t>改进措施</w:t>
            </w:r>
          </w:p>
        </w:tc>
        <w:tc>
          <w:tcPr>
            <w:tcW w:w="87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无</w:t>
            </w:r>
          </w:p>
        </w:tc>
      </w:tr>
    </w:tbl>
    <w:p>
      <w:pPr>
        <w:rPr>
          <w:rFonts w:eastAsia="黑体"/>
          <w:sz w:val="44"/>
          <w:szCs w:val="44"/>
        </w:rPr>
      </w:pPr>
      <w:r>
        <w:rPr>
          <w:rFonts w:hint="eastAsia" w:eastAsia="黑体"/>
          <w:sz w:val="44"/>
          <w:szCs w:val="44"/>
        </w:rPr>
        <w:br w:type="page"/>
      </w:r>
    </w:p>
    <w:tbl>
      <w:tblPr>
        <w:tblStyle w:val="16"/>
        <w:tblW w:w="5497" w:type="pct"/>
        <w:tblInd w:w="-903" w:type="dxa"/>
        <w:tblLayout w:type="autofit"/>
        <w:tblCellMar>
          <w:top w:w="0" w:type="dxa"/>
          <w:left w:w="108" w:type="dxa"/>
          <w:bottom w:w="0" w:type="dxa"/>
          <w:right w:w="108" w:type="dxa"/>
        </w:tblCellMar>
      </w:tblPr>
      <w:tblGrid>
        <w:gridCol w:w="1158"/>
        <w:gridCol w:w="1247"/>
        <w:gridCol w:w="847"/>
        <w:gridCol w:w="1711"/>
        <w:gridCol w:w="499"/>
        <w:gridCol w:w="756"/>
        <w:gridCol w:w="514"/>
        <w:gridCol w:w="984"/>
        <w:gridCol w:w="486"/>
        <w:gridCol w:w="486"/>
        <w:gridCol w:w="681"/>
      </w:tblGrid>
      <w:tr>
        <w:tblPrEx>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部门预算项目支出绩效自评表（2025年度）</w:t>
            </w:r>
          </w:p>
        </w:tc>
      </w:tr>
      <w:tr>
        <w:tblPrEx>
          <w:tblCellMar>
            <w:top w:w="0" w:type="dxa"/>
            <w:left w:w="108" w:type="dxa"/>
            <w:bottom w:w="0" w:type="dxa"/>
            <w:right w:w="108" w:type="dxa"/>
          </w:tblCellMar>
        </w:tblPrEx>
        <w:trPr>
          <w:trHeight w:val="426"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369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51322326T000014440967-购置公务用车经费</w:t>
            </w:r>
          </w:p>
        </w:tc>
      </w:tr>
      <w:tr>
        <w:tblPrEx>
          <w:tblCellMar>
            <w:top w:w="0" w:type="dxa"/>
            <w:left w:w="108" w:type="dxa"/>
            <w:bottom w:w="0" w:type="dxa"/>
            <w:right w:w="108" w:type="dxa"/>
          </w:tblCellMar>
        </w:tblPrEx>
        <w:trPr>
          <w:trHeight w:val="512"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233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茂县财政局</w:t>
            </w:r>
          </w:p>
        </w:tc>
        <w:tc>
          <w:tcPr>
            <w:tcW w:w="535" w:type="pct"/>
            <w:tcBorders>
              <w:top w:val="nil"/>
              <w:left w:val="nil"/>
              <w:bottom w:val="nil"/>
              <w:right w:val="nil"/>
            </w:tcBorders>
            <w:shd w:val="clear" w:color="auto" w:fill="auto"/>
            <w:vAlign w:val="center"/>
          </w:tcPr>
          <w:p>
            <w:pPr>
              <w:widowControl/>
              <w:spacing w:line="200" w:lineRule="exact"/>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8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茂县财政局（行政）</w:t>
            </w:r>
          </w:p>
        </w:tc>
      </w:tr>
      <w:tr>
        <w:tblPrEx>
          <w:tblCellMar>
            <w:top w:w="0" w:type="dxa"/>
            <w:left w:w="108" w:type="dxa"/>
            <w:bottom w:w="0" w:type="dxa"/>
            <w:right w:w="108" w:type="dxa"/>
          </w:tblCellMar>
        </w:tblPrEx>
        <w:trPr>
          <w:trHeight w:val="286" w:hRule="atLeast"/>
        </w:trPr>
        <w:tc>
          <w:tcPr>
            <w:tcW w:w="6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233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13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tblPrEx>
          <w:tblCellMar>
            <w:top w:w="0" w:type="dxa"/>
            <w:left w:w="108" w:type="dxa"/>
            <w:bottom w:w="0" w:type="dxa"/>
            <w:right w:w="108" w:type="dxa"/>
          </w:tblCellMar>
        </w:tblPrEx>
        <w:trPr>
          <w:trHeight w:val="708"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p>
        </w:tc>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p>
        </w:tc>
        <w:tc>
          <w:tcPr>
            <w:tcW w:w="233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sz w:val="18"/>
                <w:szCs w:val="18"/>
              </w:rPr>
            </w:pPr>
            <w:r>
              <w:rPr>
                <w:rFonts w:ascii="宋体" w:hAnsi="宋体" w:cs="宋体"/>
                <w:color w:val="000000"/>
                <w:kern w:val="0"/>
                <w:sz w:val="18"/>
                <w:szCs w:val="18"/>
                <w:lang w:bidi="ar"/>
              </w:rPr>
              <w:t>因我局需经常到省、州财政部门对接工作及到乡镇开展专项资金检查、财会监督检查及绩效评价等工作，需新购一般公务用车1辆。</w:t>
            </w:r>
          </w:p>
        </w:tc>
        <w:tc>
          <w:tcPr>
            <w:tcW w:w="13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黑体" w:hAnsi="黑体" w:eastAsia="黑体" w:cs="黑体"/>
                <w:color w:val="000000"/>
                <w:sz w:val="18"/>
                <w:szCs w:val="18"/>
              </w:rPr>
            </w:pPr>
            <w:r>
              <w:rPr>
                <w:rFonts w:hint="eastAsia" w:ascii="黑体" w:hAnsi="黑体" w:eastAsia="黑体" w:cs="黑体"/>
                <w:color w:val="000000"/>
                <w:sz w:val="18"/>
                <w:szCs w:val="18"/>
              </w:rPr>
              <w:t>已完成目标任务。</w:t>
            </w:r>
          </w:p>
        </w:tc>
      </w:tr>
      <w:tr>
        <w:tblPrEx>
          <w:tblCellMar>
            <w:top w:w="0" w:type="dxa"/>
            <w:left w:w="108" w:type="dxa"/>
            <w:bottom w:w="0" w:type="dxa"/>
            <w:right w:w="108" w:type="dxa"/>
          </w:tblCellMar>
        </w:tblPrEx>
        <w:trPr>
          <w:trHeight w:val="693"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369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r>
              <w:rPr>
                <w:rFonts w:ascii="宋体" w:hAnsi="宋体" w:cs="宋体"/>
                <w:color w:val="000000"/>
                <w:kern w:val="0"/>
                <w:sz w:val="18"/>
                <w:szCs w:val="18"/>
                <w:lang w:bidi="ar"/>
              </w:rPr>
              <w:t>经常到省、州财政部门对接工作及到乡镇开展专项资金检查、财会监督检查及绩效评价等工作，需新购一般公务用车1辆。</w:t>
            </w:r>
          </w:p>
        </w:tc>
      </w:tr>
      <w:tr>
        <w:tblPrEx>
          <w:tblCellMar>
            <w:top w:w="0" w:type="dxa"/>
            <w:left w:w="108" w:type="dxa"/>
            <w:bottom w:w="0" w:type="dxa"/>
            <w:right w:w="108" w:type="dxa"/>
          </w:tblCellMar>
        </w:tblPrEx>
        <w:trPr>
          <w:trHeight w:val="361" w:hRule="atLeast"/>
        </w:trPr>
        <w:tc>
          <w:tcPr>
            <w:tcW w:w="6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tblPrEx>
          <w:tblCellMar>
            <w:top w:w="0" w:type="dxa"/>
            <w:left w:w="108" w:type="dxa"/>
            <w:bottom w:w="0" w:type="dxa"/>
            <w:right w:w="108" w:type="dxa"/>
          </w:tblCellMar>
        </w:tblPrEx>
        <w:trPr>
          <w:trHeight w:val="346"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38.10</w:t>
            </w: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38.10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10</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391"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38.10</w:t>
            </w: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38.10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07"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361"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339"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9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52" w:hRule="atLeast"/>
        </w:trPr>
        <w:tc>
          <w:tcPr>
            <w:tcW w:w="6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tblPrEx>
          <w:tblCellMar>
            <w:top w:w="0" w:type="dxa"/>
            <w:left w:w="108" w:type="dxa"/>
            <w:bottom w:w="0" w:type="dxa"/>
            <w:right w:w="108" w:type="dxa"/>
          </w:tblCellMar>
        </w:tblPrEx>
        <w:trPr>
          <w:trHeight w:val="339"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购置公务用车数量</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辆</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15</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39"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出车数量完成率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95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15</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39"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车辆合格率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15</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339"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维护计划完成率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678"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开展专项资金检查、财会监督检查等工作出勤保障率</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99</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20</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20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452" w:hRule="atLeast"/>
        </w:trPr>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p>
        </w:tc>
        <w:tc>
          <w:tcPr>
            <w:tcW w:w="6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购置公务用车预算控制</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400000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元/台</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15</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宋体" w:hAnsi="宋体" w:cs="宋体"/>
                <w:color w:val="000000"/>
                <w:sz w:val="18"/>
                <w:szCs w:val="18"/>
              </w:rPr>
            </w:pPr>
            <w:r>
              <w:rPr>
                <w:rFonts w:hint="eastAsia" w:ascii="宋体" w:hAnsi="宋体" w:cs="宋体"/>
                <w:color w:val="000000"/>
                <w:sz w:val="18"/>
                <w:szCs w:val="18"/>
              </w:rPr>
              <w:t>15</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286" w:hRule="atLeast"/>
        </w:trPr>
        <w:tc>
          <w:tcPr>
            <w:tcW w:w="4175"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r>
              <w:rPr>
                <w:rFonts w:hint="eastAsia" w:ascii="宋体" w:hAnsi="宋体" w:cs="宋体"/>
                <w:color w:val="000000"/>
                <w:sz w:val="18"/>
                <w:szCs w:val="18"/>
              </w:rPr>
              <w:t>100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rPr>
                <w:rFonts w:ascii="宋体" w:hAnsi="宋体" w:cs="宋体"/>
                <w:color w:val="000000"/>
                <w:sz w:val="18"/>
                <w:szCs w:val="18"/>
              </w:rPr>
            </w:pPr>
          </w:p>
        </w:tc>
      </w:tr>
      <w:tr>
        <w:tblPrEx>
          <w:tblCellMar>
            <w:top w:w="0" w:type="dxa"/>
            <w:left w:w="108" w:type="dxa"/>
            <w:bottom w:w="0" w:type="dxa"/>
            <w:right w:w="108" w:type="dxa"/>
          </w:tblCellMar>
        </w:tblPrEx>
        <w:trPr>
          <w:trHeight w:val="603" w:hRule="atLeast"/>
        </w:trPr>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436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微软雅黑" w:hAnsi="微软雅黑" w:eastAsia="微软雅黑" w:cs="微软雅黑"/>
                <w:i/>
                <w:iCs/>
                <w:color w:val="000000"/>
                <w:sz w:val="16"/>
                <w:szCs w:val="16"/>
              </w:rPr>
            </w:pPr>
            <w:r>
              <w:rPr>
                <w:rFonts w:hint="eastAsia" w:ascii="宋体" w:hAnsi="宋体" w:cs="宋体"/>
                <w:color w:val="000000"/>
                <w:kern w:val="0"/>
                <w:sz w:val="18"/>
                <w:szCs w:val="18"/>
                <w:lang w:bidi="ar"/>
              </w:rPr>
              <w:t>自评得分100分。</w:t>
            </w:r>
          </w:p>
        </w:tc>
      </w:tr>
      <w:tr>
        <w:tblPrEx>
          <w:tblCellMar>
            <w:top w:w="0" w:type="dxa"/>
            <w:left w:w="108" w:type="dxa"/>
            <w:bottom w:w="0" w:type="dxa"/>
            <w:right w:w="108" w:type="dxa"/>
          </w:tblCellMar>
        </w:tblPrEx>
        <w:trPr>
          <w:trHeight w:val="492" w:hRule="atLeast"/>
        </w:trPr>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436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无</w:t>
            </w:r>
          </w:p>
        </w:tc>
      </w:tr>
      <w:tr>
        <w:tblPrEx>
          <w:tblCellMar>
            <w:top w:w="0" w:type="dxa"/>
            <w:left w:w="108" w:type="dxa"/>
            <w:bottom w:w="0" w:type="dxa"/>
            <w:right w:w="108" w:type="dxa"/>
          </w:tblCellMar>
        </w:tblPrEx>
        <w:trPr>
          <w:trHeight w:val="318" w:hRule="atLeast"/>
        </w:trPr>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436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00" w:lineRule="exact"/>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无</w:t>
            </w:r>
          </w:p>
        </w:tc>
      </w:tr>
    </w:tbl>
    <w:p>
      <w:pPr>
        <w:rPr>
          <w:rFonts w:ascii="黑体" w:hAnsi="黑体" w:eastAsia="黑体" w:cs="黑体"/>
          <w:kern w:val="0"/>
          <w:sz w:val="32"/>
          <w:szCs w:val="32"/>
          <w:shd w:val="clear" w:color="auto" w:fill="FFFFFF"/>
          <w:lang w:val="zh-CN"/>
        </w:rPr>
      </w:pPr>
      <w:r>
        <w:rPr>
          <w:rFonts w:hint="eastAsia" w:ascii="黑体" w:hAnsi="黑体" w:eastAsia="黑体" w:cs="黑体"/>
          <w:kern w:val="0"/>
          <w:sz w:val="32"/>
          <w:szCs w:val="32"/>
          <w:shd w:val="clear" w:color="auto" w:fill="FFFFFF"/>
          <w:lang w:val="zh-CN"/>
        </w:rPr>
        <w:br w:type="page"/>
      </w:r>
    </w:p>
    <w:p>
      <w:pPr>
        <w:pStyle w:val="6"/>
        <w:spacing w:before="93"/>
        <w:rPr>
          <w:rFonts w:ascii="黑体" w:hAnsi="黑体" w:eastAsia="黑体" w:cs="黑体"/>
          <w:sz w:val="32"/>
          <w:szCs w:val="32"/>
        </w:rPr>
      </w:pPr>
      <w:r>
        <w:rPr>
          <w:rFonts w:hint="eastAsia" w:ascii="黑体" w:hAnsi="黑体" w:eastAsia="黑体" w:cs="黑体"/>
          <w:sz w:val="32"/>
          <w:szCs w:val="32"/>
          <w:shd w:val="clear" w:color="auto" w:fill="FFFFFF"/>
          <w:lang w:val="zh-CN"/>
        </w:rPr>
        <w:t>附件</w:t>
      </w:r>
      <w:r>
        <w:rPr>
          <w:rFonts w:hint="eastAsia" w:ascii="黑体" w:hAnsi="黑体" w:eastAsia="黑体" w:cs="黑体"/>
          <w:sz w:val="32"/>
          <w:szCs w:val="32"/>
          <w:shd w:val="clear" w:color="auto" w:fill="FFFFFF"/>
        </w:rPr>
        <w:t>2</w:t>
      </w:r>
    </w:p>
    <w:p>
      <w:pPr>
        <w:pStyle w:val="35"/>
        <w:spacing w:line="578" w:lineRule="exact"/>
        <w:jc w:val="center"/>
        <w:rPr>
          <w:rFonts w:ascii="方正小标宋简体" w:hAnsi="方正小标宋简体" w:eastAsia="方正小标宋简体" w:cs="方正小标宋简体"/>
          <w:color w:val="auto"/>
          <w:kern w:val="2"/>
          <w:sz w:val="44"/>
          <w:szCs w:val="44"/>
          <w:lang w:val="en-US"/>
        </w:rPr>
      </w:pPr>
      <w:bookmarkStart w:id="80" w:name="_Toc29779"/>
      <w:r>
        <w:rPr>
          <w:rFonts w:hint="eastAsia" w:ascii="方正小标宋简体" w:hAnsi="方正小标宋简体" w:eastAsia="方正小标宋简体" w:cs="方正小标宋简体"/>
          <w:color w:val="auto"/>
          <w:kern w:val="2"/>
          <w:sz w:val="44"/>
          <w:szCs w:val="44"/>
          <w:lang w:val="en-US"/>
        </w:rPr>
        <w:t>专项预算项目绩效评价报告</w:t>
      </w:r>
      <w:bookmarkEnd w:id="80"/>
    </w:p>
    <w:p>
      <w:pPr>
        <w:widowControl/>
        <w:adjustRightInd w:val="0"/>
        <w:snapToGrid w:val="0"/>
        <w:spacing w:line="578" w:lineRule="exact"/>
        <w:ind w:firstLine="640" w:firstLineChars="200"/>
        <w:contextualSpacing/>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（本部门不涉及此类项目）</w:t>
      </w:r>
    </w:p>
    <w:p>
      <w:pPr>
        <w:rPr>
          <w:rFonts w:eastAsia="黑体"/>
          <w:sz w:val="44"/>
          <w:szCs w:val="44"/>
        </w:rPr>
      </w:pPr>
      <w:r>
        <w:rPr>
          <w:rFonts w:hint="eastAsia" w:eastAsia="黑体"/>
          <w:sz w:val="44"/>
          <w:szCs w:val="44"/>
        </w:rPr>
        <w:br w:type="page"/>
      </w:r>
    </w:p>
    <w:p>
      <w:pPr>
        <w:widowControl/>
        <w:spacing w:line="578" w:lineRule="exact"/>
        <w:contextualSpacing/>
        <w:jc w:val="center"/>
        <w:outlineLvl w:val="0"/>
        <w:rPr>
          <w:rFonts w:eastAsia="方正小标宋简体"/>
          <w:bCs/>
          <w:sz w:val="44"/>
          <w:szCs w:val="44"/>
          <w:shd w:val="clear" w:color="auto" w:fill="FFFFFF"/>
        </w:rPr>
      </w:pPr>
      <w:bookmarkStart w:id="81" w:name="_Toc11016"/>
      <w:r>
        <w:rPr>
          <w:rFonts w:hint="eastAsia" w:eastAsia="方正小标宋简体"/>
          <w:bCs/>
          <w:sz w:val="44"/>
          <w:szCs w:val="44"/>
          <w:shd w:val="clear" w:color="auto" w:fill="FFFFFF"/>
        </w:rPr>
        <w:t>第五部分 附表</w:t>
      </w:r>
      <w:bookmarkEnd w:id="72"/>
      <w:bookmarkEnd w:id="79"/>
      <w:bookmarkEnd w:id="81"/>
      <w:bookmarkStart w:id="82" w:name="_Toc15396619"/>
    </w:p>
    <w:p>
      <w:pPr>
        <w:pStyle w:val="15"/>
        <w:adjustRightInd w:val="0"/>
        <w:snapToGrid w:val="0"/>
        <w:spacing w:line="560" w:lineRule="exact"/>
        <w:jc w:val="left"/>
        <w:rPr>
          <w:rFonts w:eastAsia="仿宋_GB2312" w:cs="仿宋_GB2312"/>
          <w:sz w:val="32"/>
          <w:szCs w:val="32"/>
        </w:rPr>
      </w:pPr>
    </w:p>
    <w:p>
      <w:pPr>
        <w:pStyle w:val="15"/>
        <w:adjustRightInd w:val="0"/>
        <w:snapToGrid w:val="0"/>
        <w:spacing w:line="560" w:lineRule="exact"/>
        <w:jc w:val="left"/>
        <w:outlineLvl w:val="1"/>
        <w:rPr>
          <w:rFonts w:eastAsia="仿宋_GB2312" w:cs="仿宋_GB2312"/>
          <w:sz w:val="32"/>
          <w:szCs w:val="32"/>
        </w:rPr>
      </w:pPr>
      <w:bookmarkStart w:id="83" w:name="_Toc14718"/>
      <w:r>
        <w:rPr>
          <w:rFonts w:hint="eastAsia" w:eastAsia="仿宋_GB2312" w:cs="仿宋_GB2312"/>
          <w:sz w:val="32"/>
          <w:szCs w:val="32"/>
        </w:rPr>
        <w:t>一、收入支出决算总表</w:t>
      </w:r>
      <w:bookmarkEnd w:id="82"/>
      <w:bookmarkEnd w:id="83"/>
    </w:p>
    <w:p>
      <w:pPr>
        <w:pStyle w:val="15"/>
        <w:adjustRightInd w:val="0"/>
        <w:snapToGrid w:val="0"/>
        <w:spacing w:line="560" w:lineRule="exact"/>
        <w:jc w:val="left"/>
        <w:outlineLvl w:val="1"/>
        <w:rPr>
          <w:rFonts w:eastAsia="仿宋_GB2312" w:cs="仿宋_GB2312"/>
          <w:sz w:val="32"/>
          <w:szCs w:val="32"/>
        </w:rPr>
      </w:pPr>
      <w:bookmarkStart w:id="84" w:name="_Toc1403"/>
      <w:bookmarkStart w:id="85" w:name="_Toc15396620"/>
      <w:r>
        <w:rPr>
          <w:rFonts w:hint="eastAsia" w:eastAsia="仿宋_GB2312" w:cs="仿宋_GB2312"/>
          <w:sz w:val="32"/>
          <w:szCs w:val="32"/>
        </w:rPr>
        <w:t>二、收入决算表</w:t>
      </w:r>
      <w:bookmarkEnd w:id="84"/>
      <w:bookmarkEnd w:id="85"/>
    </w:p>
    <w:p>
      <w:pPr>
        <w:pStyle w:val="15"/>
        <w:adjustRightInd w:val="0"/>
        <w:snapToGrid w:val="0"/>
        <w:spacing w:line="560" w:lineRule="exact"/>
        <w:jc w:val="left"/>
        <w:outlineLvl w:val="1"/>
        <w:rPr>
          <w:rFonts w:eastAsia="仿宋_GB2312" w:cs="仿宋_GB2312"/>
          <w:sz w:val="32"/>
          <w:szCs w:val="32"/>
        </w:rPr>
      </w:pPr>
      <w:bookmarkStart w:id="86" w:name="_Toc23250"/>
      <w:bookmarkStart w:id="87" w:name="_Toc15396621"/>
      <w:r>
        <w:rPr>
          <w:rFonts w:hint="eastAsia" w:eastAsia="仿宋_GB2312" w:cs="仿宋_GB2312"/>
          <w:sz w:val="32"/>
          <w:szCs w:val="32"/>
        </w:rPr>
        <w:t>三、支出决算表</w:t>
      </w:r>
      <w:bookmarkEnd w:id="86"/>
      <w:bookmarkEnd w:id="87"/>
    </w:p>
    <w:p>
      <w:pPr>
        <w:pStyle w:val="15"/>
        <w:adjustRightInd w:val="0"/>
        <w:snapToGrid w:val="0"/>
        <w:spacing w:line="560" w:lineRule="exact"/>
        <w:jc w:val="left"/>
        <w:outlineLvl w:val="1"/>
        <w:rPr>
          <w:rFonts w:eastAsia="仿宋_GB2312" w:cs="仿宋_GB2312"/>
          <w:sz w:val="32"/>
          <w:szCs w:val="32"/>
        </w:rPr>
      </w:pPr>
      <w:bookmarkStart w:id="88" w:name="_Toc4248"/>
      <w:bookmarkStart w:id="89" w:name="_Toc15396622"/>
      <w:r>
        <w:rPr>
          <w:rFonts w:hint="eastAsia" w:eastAsia="仿宋_GB2312" w:cs="仿宋_GB2312"/>
          <w:sz w:val="32"/>
          <w:szCs w:val="32"/>
        </w:rPr>
        <w:t>四、财政拨款收入支出决算总表</w:t>
      </w:r>
      <w:bookmarkEnd w:id="88"/>
      <w:bookmarkEnd w:id="89"/>
    </w:p>
    <w:p>
      <w:pPr>
        <w:pStyle w:val="15"/>
        <w:adjustRightInd w:val="0"/>
        <w:snapToGrid w:val="0"/>
        <w:spacing w:line="560" w:lineRule="exact"/>
        <w:jc w:val="left"/>
        <w:outlineLvl w:val="1"/>
        <w:rPr>
          <w:rFonts w:eastAsia="仿宋_GB2312" w:cs="仿宋_GB2312"/>
          <w:sz w:val="32"/>
          <w:szCs w:val="32"/>
        </w:rPr>
      </w:pPr>
      <w:bookmarkStart w:id="90" w:name="_Toc26839"/>
      <w:bookmarkStart w:id="91" w:name="_Toc15396623"/>
      <w:r>
        <w:rPr>
          <w:rFonts w:hint="eastAsia" w:eastAsia="仿宋_GB2312" w:cs="仿宋_GB2312"/>
          <w:sz w:val="32"/>
          <w:szCs w:val="32"/>
        </w:rPr>
        <w:t>五、财政拨款支出决算明细表</w:t>
      </w:r>
      <w:bookmarkEnd w:id="90"/>
      <w:bookmarkEnd w:id="91"/>
      <w:bookmarkStart w:id="92" w:name="_Toc15396624"/>
    </w:p>
    <w:p>
      <w:pPr>
        <w:pStyle w:val="15"/>
        <w:adjustRightInd w:val="0"/>
        <w:snapToGrid w:val="0"/>
        <w:spacing w:line="560" w:lineRule="exact"/>
        <w:jc w:val="left"/>
        <w:outlineLvl w:val="1"/>
        <w:rPr>
          <w:rFonts w:eastAsia="仿宋_GB2312" w:cs="仿宋_GB2312"/>
          <w:sz w:val="32"/>
          <w:szCs w:val="32"/>
        </w:rPr>
      </w:pPr>
      <w:bookmarkStart w:id="93" w:name="_Toc25235"/>
      <w:r>
        <w:rPr>
          <w:rFonts w:hint="eastAsia" w:eastAsia="仿宋_GB2312" w:cs="仿宋_GB2312"/>
          <w:sz w:val="32"/>
          <w:szCs w:val="32"/>
        </w:rPr>
        <w:t>六、一般公共预算财政拨款支出决算表</w:t>
      </w:r>
      <w:bookmarkEnd w:id="92"/>
      <w:bookmarkEnd w:id="93"/>
    </w:p>
    <w:p>
      <w:pPr>
        <w:pStyle w:val="15"/>
        <w:adjustRightInd w:val="0"/>
        <w:snapToGrid w:val="0"/>
        <w:spacing w:line="560" w:lineRule="exact"/>
        <w:jc w:val="left"/>
        <w:outlineLvl w:val="1"/>
        <w:rPr>
          <w:rFonts w:eastAsia="仿宋_GB2312" w:cs="仿宋_GB2312"/>
          <w:sz w:val="32"/>
          <w:szCs w:val="32"/>
        </w:rPr>
      </w:pPr>
      <w:bookmarkStart w:id="94" w:name="_Toc24673"/>
      <w:bookmarkStart w:id="95" w:name="_Toc15396625"/>
      <w:r>
        <w:rPr>
          <w:rFonts w:hint="eastAsia" w:eastAsia="仿宋_GB2312" w:cs="仿宋_GB2312"/>
          <w:sz w:val="32"/>
          <w:szCs w:val="32"/>
        </w:rPr>
        <w:t>七、一般公共预算财政拨款支出决算明细表</w:t>
      </w:r>
      <w:bookmarkEnd w:id="94"/>
      <w:bookmarkEnd w:id="95"/>
    </w:p>
    <w:p>
      <w:pPr>
        <w:pStyle w:val="15"/>
        <w:adjustRightInd w:val="0"/>
        <w:snapToGrid w:val="0"/>
        <w:spacing w:line="560" w:lineRule="exact"/>
        <w:jc w:val="left"/>
        <w:outlineLvl w:val="1"/>
        <w:rPr>
          <w:rFonts w:eastAsia="仿宋_GB2312" w:cs="仿宋_GB2312"/>
          <w:sz w:val="32"/>
          <w:szCs w:val="32"/>
        </w:rPr>
      </w:pPr>
      <w:bookmarkStart w:id="96" w:name="_Toc3744"/>
      <w:bookmarkStart w:id="97" w:name="_Toc15396626"/>
      <w:r>
        <w:rPr>
          <w:rFonts w:hint="eastAsia" w:eastAsia="仿宋_GB2312" w:cs="仿宋_GB2312"/>
          <w:sz w:val="32"/>
          <w:szCs w:val="32"/>
        </w:rPr>
        <w:t>八、一般公共预算财政拨款基本支出决算表</w:t>
      </w:r>
      <w:bookmarkEnd w:id="96"/>
      <w:bookmarkEnd w:id="97"/>
    </w:p>
    <w:p>
      <w:pPr>
        <w:pStyle w:val="15"/>
        <w:adjustRightInd w:val="0"/>
        <w:snapToGrid w:val="0"/>
        <w:spacing w:line="560" w:lineRule="exact"/>
        <w:jc w:val="left"/>
        <w:outlineLvl w:val="1"/>
        <w:rPr>
          <w:rFonts w:eastAsia="仿宋_GB2312" w:cs="仿宋_GB2312"/>
          <w:sz w:val="32"/>
          <w:szCs w:val="32"/>
        </w:rPr>
      </w:pPr>
      <w:bookmarkStart w:id="98" w:name="_Toc4826"/>
      <w:bookmarkStart w:id="99" w:name="_Toc15396627"/>
      <w:r>
        <w:rPr>
          <w:rFonts w:hint="eastAsia" w:eastAsia="仿宋_GB2312" w:cs="仿宋_GB2312"/>
          <w:sz w:val="32"/>
          <w:szCs w:val="32"/>
        </w:rPr>
        <w:t>九、一般公共预算财政拨款项目支出决算表</w:t>
      </w:r>
      <w:bookmarkEnd w:id="98"/>
      <w:bookmarkEnd w:id="99"/>
    </w:p>
    <w:p>
      <w:pPr>
        <w:pStyle w:val="15"/>
        <w:adjustRightInd w:val="0"/>
        <w:snapToGrid w:val="0"/>
        <w:spacing w:line="560" w:lineRule="exact"/>
        <w:jc w:val="left"/>
        <w:outlineLvl w:val="1"/>
        <w:rPr>
          <w:rFonts w:eastAsia="仿宋_GB2312" w:cs="仿宋_GB2312"/>
          <w:sz w:val="32"/>
          <w:szCs w:val="32"/>
        </w:rPr>
      </w:pPr>
      <w:bookmarkStart w:id="100" w:name="_Toc15396628"/>
      <w:bookmarkStart w:id="101" w:name="_Toc1916"/>
      <w:r>
        <w:rPr>
          <w:rFonts w:hint="eastAsia" w:eastAsia="仿宋_GB2312" w:cs="仿宋_GB2312"/>
          <w:sz w:val="32"/>
          <w:szCs w:val="32"/>
        </w:rPr>
        <w:t>十、</w:t>
      </w:r>
      <w:bookmarkEnd w:id="100"/>
      <w:r>
        <w:rPr>
          <w:rFonts w:hint="eastAsia" w:eastAsia="仿宋_GB2312" w:cs="仿宋_GB2312"/>
          <w:sz w:val="32"/>
          <w:szCs w:val="32"/>
        </w:rPr>
        <w:t>政府性基金预算财政拨款收入支出决算表</w:t>
      </w:r>
      <w:bookmarkEnd w:id="101"/>
    </w:p>
    <w:p>
      <w:pPr>
        <w:pStyle w:val="15"/>
        <w:adjustRightInd w:val="0"/>
        <w:snapToGrid w:val="0"/>
        <w:spacing w:line="560" w:lineRule="exact"/>
        <w:jc w:val="left"/>
        <w:outlineLvl w:val="1"/>
        <w:rPr>
          <w:rFonts w:eastAsia="仿宋_GB2312" w:cs="仿宋_GB2312"/>
          <w:sz w:val="32"/>
          <w:szCs w:val="32"/>
        </w:rPr>
      </w:pPr>
      <w:bookmarkStart w:id="102" w:name="_Toc15396629"/>
      <w:bookmarkStart w:id="103" w:name="_Toc23321"/>
      <w:r>
        <w:rPr>
          <w:rFonts w:hint="eastAsia" w:eastAsia="仿宋_GB2312" w:cs="仿宋_GB2312"/>
          <w:sz w:val="32"/>
          <w:szCs w:val="32"/>
        </w:rPr>
        <w:t>十一、</w:t>
      </w:r>
      <w:bookmarkEnd w:id="102"/>
      <w:r>
        <w:rPr>
          <w:rFonts w:hint="eastAsia" w:eastAsia="仿宋_GB2312" w:cs="仿宋_GB2312"/>
          <w:sz w:val="32"/>
          <w:szCs w:val="32"/>
        </w:rPr>
        <w:t>国有资本经营预算财政拨款收入支出决算表</w:t>
      </w:r>
      <w:bookmarkEnd w:id="103"/>
    </w:p>
    <w:p>
      <w:pPr>
        <w:pStyle w:val="15"/>
        <w:adjustRightInd w:val="0"/>
        <w:snapToGrid w:val="0"/>
        <w:spacing w:line="560" w:lineRule="exact"/>
        <w:jc w:val="left"/>
        <w:outlineLvl w:val="1"/>
        <w:rPr>
          <w:rFonts w:eastAsia="仿宋_GB2312" w:cs="仿宋_GB2312"/>
          <w:sz w:val="32"/>
          <w:szCs w:val="32"/>
        </w:rPr>
      </w:pPr>
      <w:bookmarkStart w:id="104" w:name="_Toc15396630"/>
      <w:bookmarkStart w:id="105" w:name="_Toc27493"/>
      <w:r>
        <w:rPr>
          <w:rFonts w:hint="eastAsia" w:eastAsia="仿宋_GB2312" w:cs="仿宋_GB2312"/>
          <w:sz w:val="32"/>
          <w:szCs w:val="32"/>
        </w:rPr>
        <w:t>十二、</w:t>
      </w:r>
      <w:bookmarkEnd w:id="104"/>
      <w:r>
        <w:rPr>
          <w:rFonts w:hint="eastAsia" w:eastAsia="仿宋_GB2312" w:cs="仿宋_GB2312"/>
          <w:sz w:val="32"/>
          <w:szCs w:val="32"/>
        </w:rPr>
        <w:t>国有资本经营预算财政拨款支出决算表</w:t>
      </w:r>
      <w:bookmarkEnd w:id="105"/>
    </w:p>
    <w:p>
      <w:pPr>
        <w:pStyle w:val="15"/>
        <w:adjustRightInd w:val="0"/>
        <w:snapToGrid w:val="0"/>
        <w:spacing w:line="560" w:lineRule="exact"/>
        <w:jc w:val="left"/>
        <w:outlineLvl w:val="1"/>
        <w:rPr>
          <w:rFonts w:eastAsia="仿宋_GB2312" w:cs="仿宋_GB2312"/>
          <w:sz w:val="32"/>
          <w:szCs w:val="32"/>
        </w:rPr>
      </w:pPr>
      <w:bookmarkStart w:id="106" w:name="_Toc15396631"/>
      <w:bookmarkStart w:id="107" w:name="_Toc31238"/>
      <w:r>
        <w:rPr>
          <w:rFonts w:hint="eastAsia" w:eastAsia="仿宋_GB2312" w:cs="仿宋_GB2312"/>
          <w:sz w:val="32"/>
          <w:szCs w:val="32"/>
        </w:rPr>
        <w:t>十三、</w:t>
      </w:r>
      <w:bookmarkEnd w:id="106"/>
      <w:r>
        <w:rPr>
          <w:rFonts w:hint="eastAsia" w:eastAsia="仿宋_GB2312" w:cs="仿宋_GB2312"/>
          <w:sz w:val="32"/>
          <w:szCs w:val="32"/>
        </w:rPr>
        <w:t>财政拨款“三公”经费支出决算表</w:t>
      </w:r>
      <w:bookmarkEnd w:id="107"/>
    </w:p>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AFF" w:usb1="C0007843"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46754"/>
    <w:multiLevelType w:val="singleLevel"/>
    <w:tmpl w:val="DF646754"/>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46CFC"/>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A96"/>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3F13"/>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48B6"/>
    <w:rsid w:val="007416B6"/>
    <w:rsid w:val="0074180D"/>
    <w:rsid w:val="00746F48"/>
    <w:rsid w:val="0075404D"/>
    <w:rsid w:val="0076182A"/>
    <w:rsid w:val="00767B7E"/>
    <w:rsid w:val="007770C3"/>
    <w:rsid w:val="00784D24"/>
    <w:rsid w:val="00785FBA"/>
    <w:rsid w:val="00786E4A"/>
    <w:rsid w:val="007875EB"/>
    <w:rsid w:val="0079426B"/>
    <w:rsid w:val="007D1682"/>
    <w:rsid w:val="007D312A"/>
    <w:rsid w:val="007D3F19"/>
    <w:rsid w:val="007E21F6"/>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030C"/>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202C"/>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150F"/>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1532ED"/>
    <w:rsid w:val="02317B1B"/>
    <w:rsid w:val="02A810CA"/>
    <w:rsid w:val="02FEBE30"/>
    <w:rsid w:val="04D512D6"/>
    <w:rsid w:val="061E35DE"/>
    <w:rsid w:val="066E0107"/>
    <w:rsid w:val="06D057B4"/>
    <w:rsid w:val="07363AB7"/>
    <w:rsid w:val="07996F6E"/>
    <w:rsid w:val="07DFD8BA"/>
    <w:rsid w:val="08DB07E4"/>
    <w:rsid w:val="09867E8F"/>
    <w:rsid w:val="09D9119E"/>
    <w:rsid w:val="0A2032A3"/>
    <w:rsid w:val="0C6C4794"/>
    <w:rsid w:val="0C8A677F"/>
    <w:rsid w:val="0CA8290A"/>
    <w:rsid w:val="0D35B1ED"/>
    <w:rsid w:val="0DE07E2B"/>
    <w:rsid w:val="0F98263C"/>
    <w:rsid w:val="101860EC"/>
    <w:rsid w:val="10C055FF"/>
    <w:rsid w:val="11772AA4"/>
    <w:rsid w:val="118107EC"/>
    <w:rsid w:val="12415288"/>
    <w:rsid w:val="13214F6A"/>
    <w:rsid w:val="134C478E"/>
    <w:rsid w:val="13D50BC4"/>
    <w:rsid w:val="14022904"/>
    <w:rsid w:val="152F2A07"/>
    <w:rsid w:val="165E0673"/>
    <w:rsid w:val="16BB723D"/>
    <w:rsid w:val="186504BB"/>
    <w:rsid w:val="1877080F"/>
    <w:rsid w:val="1938089F"/>
    <w:rsid w:val="19512004"/>
    <w:rsid w:val="19A445FC"/>
    <w:rsid w:val="1B7D550C"/>
    <w:rsid w:val="1BE8440E"/>
    <w:rsid w:val="1D155CEE"/>
    <w:rsid w:val="1E740ACF"/>
    <w:rsid w:val="1FF35744"/>
    <w:rsid w:val="1FF6BC77"/>
    <w:rsid w:val="215B289E"/>
    <w:rsid w:val="21962A9E"/>
    <w:rsid w:val="21AE7C77"/>
    <w:rsid w:val="21D86E71"/>
    <w:rsid w:val="22043FA2"/>
    <w:rsid w:val="22427476"/>
    <w:rsid w:val="22BC3C41"/>
    <w:rsid w:val="23860B96"/>
    <w:rsid w:val="240371BF"/>
    <w:rsid w:val="260F557C"/>
    <w:rsid w:val="265C6B68"/>
    <w:rsid w:val="281408E2"/>
    <w:rsid w:val="29FD04D3"/>
    <w:rsid w:val="2A804744"/>
    <w:rsid w:val="2BE56496"/>
    <w:rsid w:val="2BFF7BC6"/>
    <w:rsid w:val="2C8A61B5"/>
    <w:rsid w:val="2D2E01CF"/>
    <w:rsid w:val="2D7F1173"/>
    <w:rsid w:val="2DF04E50"/>
    <w:rsid w:val="2E9545B0"/>
    <w:rsid w:val="2EFA5C41"/>
    <w:rsid w:val="2F040D46"/>
    <w:rsid w:val="2FAE5751"/>
    <w:rsid w:val="2FB1A395"/>
    <w:rsid w:val="2FBA37D4"/>
    <w:rsid w:val="2FD9A7D8"/>
    <w:rsid w:val="3099167F"/>
    <w:rsid w:val="30EC0797"/>
    <w:rsid w:val="30F63DFB"/>
    <w:rsid w:val="319F7F4E"/>
    <w:rsid w:val="321B2544"/>
    <w:rsid w:val="3304709D"/>
    <w:rsid w:val="34281836"/>
    <w:rsid w:val="349D6851"/>
    <w:rsid w:val="35A65E4E"/>
    <w:rsid w:val="35BA6CAF"/>
    <w:rsid w:val="364D14C1"/>
    <w:rsid w:val="36AA5135"/>
    <w:rsid w:val="36BE0DA7"/>
    <w:rsid w:val="376B6AA6"/>
    <w:rsid w:val="376D39B2"/>
    <w:rsid w:val="37E16F03"/>
    <w:rsid w:val="37F53A3B"/>
    <w:rsid w:val="380B6D68"/>
    <w:rsid w:val="389B6C89"/>
    <w:rsid w:val="38D469F0"/>
    <w:rsid w:val="39627CCD"/>
    <w:rsid w:val="397BAF1F"/>
    <w:rsid w:val="398645FD"/>
    <w:rsid w:val="39CD57B7"/>
    <w:rsid w:val="3A2833F6"/>
    <w:rsid w:val="3A50558B"/>
    <w:rsid w:val="3A5B382E"/>
    <w:rsid w:val="3AB79AF3"/>
    <w:rsid w:val="3B7EF35A"/>
    <w:rsid w:val="3B9FDB6C"/>
    <w:rsid w:val="3BF5BC2F"/>
    <w:rsid w:val="3C846F7C"/>
    <w:rsid w:val="3CEBA265"/>
    <w:rsid w:val="3D98207C"/>
    <w:rsid w:val="3D9B0D99"/>
    <w:rsid w:val="3DEE7CF3"/>
    <w:rsid w:val="3DF02244"/>
    <w:rsid w:val="3E5C4057"/>
    <w:rsid w:val="3E78745D"/>
    <w:rsid w:val="3F5262EB"/>
    <w:rsid w:val="3FF4CAE0"/>
    <w:rsid w:val="3FF7B227"/>
    <w:rsid w:val="40E54C45"/>
    <w:rsid w:val="437D0C28"/>
    <w:rsid w:val="43A407DF"/>
    <w:rsid w:val="44515BEA"/>
    <w:rsid w:val="44E268DA"/>
    <w:rsid w:val="453F7E5B"/>
    <w:rsid w:val="474B478B"/>
    <w:rsid w:val="486A6C7A"/>
    <w:rsid w:val="49176D9B"/>
    <w:rsid w:val="4A3D20C2"/>
    <w:rsid w:val="4A4E6518"/>
    <w:rsid w:val="4A627F82"/>
    <w:rsid w:val="4B0E749A"/>
    <w:rsid w:val="4B4F25DA"/>
    <w:rsid w:val="4BDA0CFB"/>
    <w:rsid w:val="4BE068DB"/>
    <w:rsid w:val="4C2B2074"/>
    <w:rsid w:val="4CD91B05"/>
    <w:rsid w:val="4CDD7C2A"/>
    <w:rsid w:val="4D3C0CCC"/>
    <w:rsid w:val="4D577224"/>
    <w:rsid w:val="4DBF1CEB"/>
    <w:rsid w:val="4E683E6B"/>
    <w:rsid w:val="4EAB630A"/>
    <w:rsid w:val="4ECE2238"/>
    <w:rsid w:val="4F105146"/>
    <w:rsid w:val="4F747812"/>
    <w:rsid w:val="4F833267"/>
    <w:rsid w:val="4FE9BD67"/>
    <w:rsid w:val="4FFB052F"/>
    <w:rsid w:val="52535E82"/>
    <w:rsid w:val="53083A92"/>
    <w:rsid w:val="537E6D0A"/>
    <w:rsid w:val="53AF27A2"/>
    <w:rsid w:val="53BC5A15"/>
    <w:rsid w:val="53F74C96"/>
    <w:rsid w:val="56E47B74"/>
    <w:rsid w:val="576232F4"/>
    <w:rsid w:val="57BD3DD4"/>
    <w:rsid w:val="594C18CC"/>
    <w:rsid w:val="59B90EDD"/>
    <w:rsid w:val="59D46859"/>
    <w:rsid w:val="5A897643"/>
    <w:rsid w:val="5AF92295"/>
    <w:rsid w:val="5B092CA2"/>
    <w:rsid w:val="5BDD79E6"/>
    <w:rsid w:val="5BF561CA"/>
    <w:rsid w:val="5BFF5DFC"/>
    <w:rsid w:val="5C4C7089"/>
    <w:rsid w:val="5CD71FC4"/>
    <w:rsid w:val="5D1F11B5"/>
    <w:rsid w:val="5DAE1B18"/>
    <w:rsid w:val="5DE7D9E5"/>
    <w:rsid w:val="5ECEC941"/>
    <w:rsid w:val="5F493CB7"/>
    <w:rsid w:val="5FB50A72"/>
    <w:rsid w:val="5FBF9FF3"/>
    <w:rsid w:val="5FCD4E2C"/>
    <w:rsid w:val="5FD15F49"/>
    <w:rsid w:val="5FEF394A"/>
    <w:rsid w:val="5FF67715"/>
    <w:rsid w:val="610D0751"/>
    <w:rsid w:val="62BF3928"/>
    <w:rsid w:val="647F5392"/>
    <w:rsid w:val="664B1D71"/>
    <w:rsid w:val="67237636"/>
    <w:rsid w:val="67AA3209"/>
    <w:rsid w:val="681C4F0D"/>
    <w:rsid w:val="69046D0F"/>
    <w:rsid w:val="698D0931"/>
    <w:rsid w:val="6A993CED"/>
    <w:rsid w:val="6B053271"/>
    <w:rsid w:val="6B472278"/>
    <w:rsid w:val="6BCE6674"/>
    <w:rsid w:val="6C4A05C8"/>
    <w:rsid w:val="6C8742B8"/>
    <w:rsid w:val="6C8A170F"/>
    <w:rsid w:val="6CB54609"/>
    <w:rsid w:val="6DBF5E93"/>
    <w:rsid w:val="6DCA4B70"/>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6D385C"/>
    <w:rsid w:val="712A28F1"/>
    <w:rsid w:val="715C0E4B"/>
    <w:rsid w:val="719357F8"/>
    <w:rsid w:val="72233669"/>
    <w:rsid w:val="72734D90"/>
    <w:rsid w:val="72F10614"/>
    <w:rsid w:val="73072484"/>
    <w:rsid w:val="7332FE48"/>
    <w:rsid w:val="73A5050C"/>
    <w:rsid w:val="73AB61DA"/>
    <w:rsid w:val="73AD73D5"/>
    <w:rsid w:val="73B6EB34"/>
    <w:rsid w:val="73FA497D"/>
    <w:rsid w:val="7431147A"/>
    <w:rsid w:val="744731E5"/>
    <w:rsid w:val="74527205"/>
    <w:rsid w:val="74BBD01D"/>
    <w:rsid w:val="74ED5379"/>
    <w:rsid w:val="74FC2395"/>
    <w:rsid w:val="75873BF0"/>
    <w:rsid w:val="75DEEEC2"/>
    <w:rsid w:val="768B1C6C"/>
    <w:rsid w:val="76E3355F"/>
    <w:rsid w:val="76FF5125"/>
    <w:rsid w:val="77080487"/>
    <w:rsid w:val="772F3D25"/>
    <w:rsid w:val="774A6EFE"/>
    <w:rsid w:val="776F6FFA"/>
    <w:rsid w:val="778769C8"/>
    <w:rsid w:val="77DC22F5"/>
    <w:rsid w:val="77F57872"/>
    <w:rsid w:val="79086DAD"/>
    <w:rsid w:val="79974F09"/>
    <w:rsid w:val="79D7FD79"/>
    <w:rsid w:val="79EE5BA4"/>
    <w:rsid w:val="7A7501FC"/>
    <w:rsid w:val="7A894339"/>
    <w:rsid w:val="7AFF7572"/>
    <w:rsid w:val="7B282E63"/>
    <w:rsid w:val="7B6C7DFB"/>
    <w:rsid w:val="7BBFBED0"/>
    <w:rsid w:val="7BC3E394"/>
    <w:rsid w:val="7C1F3737"/>
    <w:rsid w:val="7CBFC87B"/>
    <w:rsid w:val="7CFE0F48"/>
    <w:rsid w:val="7D7EC23E"/>
    <w:rsid w:val="7D916348"/>
    <w:rsid w:val="7E8ADEBF"/>
    <w:rsid w:val="7EA356DD"/>
    <w:rsid w:val="7EEF11D3"/>
    <w:rsid w:val="7F0971A6"/>
    <w:rsid w:val="7F3C64D3"/>
    <w:rsid w:val="7F3F679B"/>
    <w:rsid w:val="7F4FC4EF"/>
    <w:rsid w:val="7F5E4D54"/>
    <w:rsid w:val="7F6E0135"/>
    <w:rsid w:val="7FA30C79"/>
    <w:rsid w:val="7FAF8ABF"/>
    <w:rsid w:val="7FB7269E"/>
    <w:rsid w:val="7FB90956"/>
    <w:rsid w:val="7FC96657"/>
    <w:rsid w:val="7FDA9588"/>
    <w:rsid w:val="7FDF220F"/>
    <w:rsid w:val="7FE316A4"/>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3"/>
    <w:qFormat/>
    <w:uiPriority w:val="9"/>
    <w:rPr>
      <w:rFonts w:ascii="Times New Roman" w:hAnsi="Times New Roman"/>
      <w:b/>
      <w:bCs/>
      <w:kern w:val="44"/>
      <w:sz w:val="44"/>
      <w:szCs w:val="44"/>
    </w:rPr>
  </w:style>
  <w:style w:type="character" w:customStyle="1" w:styleId="30">
    <w:name w:val="标题 2 字符"/>
    <w:basedOn w:val="17"/>
    <w:link w:val="2"/>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0"/>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16"/>
    <w:basedOn w:val="17"/>
    <w:qFormat/>
    <w:uiPriority w:val="0"/>
    <w:rPr>
      <w:rFonts w:ascii="Times New Roman" w:hAnsi="Times New Roman" w:cs="Times New Roman"/>
      <w:kern w:val="2"/>
      <w:sz w:val="18"/>
      <w:szCs w:val="18"/>
      <w:lang w:bidi="ar-SA"/>
    </w:rPr>
  </w:style>
  <w:style w:type="paragraph" w:customStyle="1" w:styleId="37">
    <w:name w:val="WPSOffice手动目录 1"/>
    <w:qFormat/>
    <w:uiPriority w:val="0"/>
    <w:rPr>
      <w:rFonts w:ascii="Times New Roman" w:hAnsi="Times New Roman" w:eastAsia="宋体" w:cs="Times New Roman"/>
      <w:lang w:val="en-US" w:eastAsia="zh-CN" w:bidi="ar-SA"/>
    </w:rPr>
  </w:style>
  <w:style w:type="paragraph" w:customStyle="1" w:styleId="38">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026&#24180;&#36164;&#26009;\&#19978;&#25253;&#36164;&#26009;\2025&#24180;&#20915;&#31639;&#20844;&#24320;\2025&#24180;&#20915;&#31639;&#20844;&#24320;&#25253;&#21578;&#21644;&#20844;&#24320;&#34920;\&#22270;\&#26609;&#29366;&#22270;&#65288;&#24635;&#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收、支决算总计变动情况图</a:t>
            </a:r>
            <a:endParaRPr lang="zh-CN" altLang="en-US"/>
          </a:p>
        </c:rich>
      </c:tx>
      <c:layout/>
      <c:overlay val="0"/>
      <c:spPr>
        <a:noFill/>
        <a:ln>
          <a:noFill/>
        </a:ln>
        <a:effectLst/>
      </c:spPr>
    </c:title>
    <c:autoTitleDeleted val="0"/>
    <c:plotArea>
      <c:layout>
        <c:manualLayout>
          <c:layoutTarget val="inner"/>
          <c:xMode val="edge"/>
          <c:yMode val="edge"/>
          <c:x val="0.0385802469135802"/>
          <c:y val="0.315093360995851"/>
          <c:w val="0.932098765432099"/>
          <c:h val="0.559491701244813"/>
        </c:manualLayout>
      </c:layout>
      <c:barChart>
        <c:barDir val="col"/>
        <c:grouping val="clustered"/>
        <c:varyColors val="0"/>
        <c:ser>
          <c:idx val="0"/>
          <c:order val="0"/>
          <c:tx>
            <c:strRef>
              <c:f>'[柱状图（总）.xlsx]收、支决算总计变动情况图'!$C$8</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'[柱状图（总）.xlsx]收、支决算总计变动情况图'!$D$7:$E$7</c:f>
              <c:numCache>
                <c:formatCode>General</c:formatCode>
                <c:ptCount val="2"/>
                <c:pt idx="0">
                  <c:v>2024</c:v>
                </c:pt>
                <c:pt idx="1">
                  <c:v>2025</c:v>
                </c:pt>
              </c:numCache>
            </c:numRef>
          </c:cat>
          <c:val>
            <c:numRef>
              <c:f>'[柱状图（总）.xlsx]收、支决算总计变动情况图'!$D$8:$E$8</c:f>
              <c:numCache>
                <c:formatCode>General</c:formatCode>
                <c:ptCount val="2"/>
                <c:pt idx="0">
                  <c:v>813.04</c:v>
                </c:pt>
                <c:pt idx="1">
                  <c:v>614.8</c:v>
                </c:pt>
              </c:numCache>
            </c:numRef>
          </c:val>
        </c:ser>
        <c:ser>
          <c:idx val="1"/>
          <c:order val="1"/>
          <c:tx>
            <c:strRef>
              <c:f>'[柱状图（总）.xlsx]收、支决算总计变动情况图'!$C$9</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'[柱状图（总）.xlsx]收、支决算总计变动情况图'!$D$7:$E$7</c:f>
              <c:numCache>
                <c:formatCode>General</c:formatCode>
                <c:ptCount val="2"/>
                <c:pt idx="0">
                  <c:v>2024</c:v>
                </c:pt>
                <c:pt idx="1">
                  <c:v>2025</c:v>
                </c:pt>
              </c:numCache>
            </c:numRef>
          </c:cat>
          <c:val>
            <c:numRef>
              <c:f>'[柱状图（总）.xlsx]收、支决算总计变动情况图'!$D$9:$E$9</c:f>
              <c:numCache>
                <c:formatCode>General</c:formatCode>
                <c:ptCount val="2"/>
                <c:pt idx="0">
                  <c:v>813.04</c:v>
                </c:pt>
                <c:pt idx="1">
                  <c:v>614.8</c:v>
                </c:pt>
              </c:numCache>
            </c:numRef>
          </c:val>
        </c:ser>
        <c:dLbls>
          <c:showLegendKey val="0"/>
          <c:showVal val="1"/>
          <c:showCatName val="0"/>
          <c:showSerName val="0"/>
          <c:showPercent val="0"/>
          <c:showBubbleSize val="0"/>
        </c:dLbls>
        <c:gapWidth val="150"/>
        <c:overlap val="-25"/>
        <c:axId val="892945842"/>
        <c:axId val="572555519"/>
      </c:barChart>
      <c:catAx>
        <c:axId val="8929458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2555519"/>
        <c:crosses val="autoZero"/>
        <c:auto val="1"/>
        <c:lblAlgn val="ctr"/>
        <c:lblOffset val="100"/>
        <c:noMultiLvlLbl val="0"/>
      </c:catAx>
      <c:valAx>
        <c:axId val="572555519"/>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294584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cap="all"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216867469879518"/>
          <c:y val="0.199118700082622"/>
          <c:w val="0.916918429003021"/>
          <c:h val="0.703112090333242"/>
        </c:manualLayout>
      </c:layout>
      <c:pie3DChart>
        <c:varyColors val="1"/>
        <c:ser>
          <c:idx val="0"/>
          <c:order val="0"/>
          <c:tx>
            <c:strRef>
              <c:f>'[柱状图（总）.xlsx]收入决算结构图'!$B$4</c:f>
              <c:strCache>
                <c:ptCount val="1"/>
                <c:pt idx="0">
                  <c:v>收入决算结构图</c:v>
                </c:pt>
              </c:strCache>
            </c:strRef>
          </c:tx>
          <c:spPr>
            <a:scene3d>
              <a:camera prst="orthographicFront"/>
              <a:lightRig rig="threePt" dir="t"/>
            </a:scene3d>
            <a:sp3d contourW="19050"/>
          </c:spPr>
          <c:explosion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c:spPr>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c:spPr>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c:spPr>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c:spPr>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c:spPr>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c:spPr>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c:spPr>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c:spPr>
          </c:dPt>
          <c:dLbls>
            <c:dLbl>
              <c:idx val="1"/>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2"/>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3"/>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4"/>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5"/>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5"/>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6"/>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6"/>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1">
                          <a:lumMod val="60000"/>
                        </a:schemeClr>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7"/>
              <c:layout/>
              <c:numFmt formatCode="General" sourceLinked="1"/>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2">
                          <a:lumMod val="60000"/>
                        </a:schemeClr>
                      </a:solidFill>
                      <a:effectLst/>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lang="zh-CN" sz="1000" b="0" i="0" u="none" strike="noStrike" kern="1200" baseline="0">
                    <a:solidFill>
                      <a:schemeClr val="accent1"/>
                    </a:solidFill>
                    <a:effectLst/>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'[柱状图（总）.xlsx]收入决算结构图'!$C$3:$J$3</c:f>
              <c:strCache>
                <c:ptCount val="8"/>
                <c:pt idx="0">
                  <c:v>一般公共预算财政拨款收入</c:v>
                </c:pt>
              </c:strCache>
            </c:strRef>
          </c:cat>
          <c:val>
            <c:numRef>
              <c:f>'[柱状图（总）.xlsx]收入决算结构图'!$C$4:$J$4</c:f>
              <c:numCache>
                <c:formatCode>General</c:formatCode>
                <c:ptCount val="8"/>
                <c:pt idx="0">
                  <c:v>614.8</c:v>
                </c:pt>
              </c:numCache>
            </c:numRef>
          </c:val>
        </c:ser>
        <c:dLbls>
          <c:showLegendKey val="0"/>
          <c:showVal val="1"/>
          <c:showCatName val="0"/>
          <c:showSerName val="0"/>
          <c:showPercent val="0"/>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958570211668871"/>
          <c:y val="0.219442113058504"/>
          <c:w val="0.813641816623822"/>
          <c:h val="0.568274500123426"/>
        </c:manualLayout>
      </c:layout>
      <c:pie3DChart>
        <c:varyColors val="1"/>
        <c:ser>
          <c:idx val="0"/>
          <c:order val="0"/>
          <c:tx>
            <c:strRef>
              <c:f>'[柱状图（总）.xlsx]支出决算结构图'!$B$4</c:f>
              <c:strCache>
                <c:ptCount val="1"/>
                <c:pt idx="0">
                  <c:v>支出决算结构图</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c:spPr>
          </c:dPt>
          <c:dPt>
            <c:idx val="1"/>
            <c:bubble3D val="0"/>
            <c:spPr>
              <a:solidFill>
                <a:schemeClr val="accent2"/>
              </a:solidFill>
              <a:ln w="2540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'[柱状图（总）.xlsx]支出决算结构图'!$C$3:$D$3</c:f>
              <c:strCache>
                <c:ptCount val="2"/>
                <c:pt idx="0">
                  <c:v>基本支出</c:v>
                </c:pt>
                <c:pt idx="1">
                  <c:v>项目支出</c:v>
                </c:pt>
              </c:strCache>
            </c:strRef>
          </c:cat>
          <c:val>
            <c:numRef>
              <c:f>'[柱状图（总）.xlsx]支出决算结构图'!$C$4:$D$4</c:f>
              <c:numCache>
                <c:formatCode>General</c:formatCode>
                <c:ptCount val="2"/>
                <c:pt idx="0">
                  <c:v>516.66</c:v>
                </c:pt>
                <c:pt idx="1">
                  <c:v>98.15</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财政拨款收、支决算总计变动情况</a:t>
            </a:r>
            <a:endParaRPr lang="zh-CN" altLang="en-US"/>
          </a:p>
        </c:rich>
      </c:tx>
      <c:layout>
        <c:manualLayout>
          <c:xMode val="edge"/>
          <c:yMode val="edge"/>
          <c:x val="0.173717948717949"/>
          <c:y val="0.0619994833376389"/>
        </c:manualLayout>
      </c:layout>
      <c:overlay val="0"/>
      <c:spPr>
        <a:noFill/>
        <a:ln>
          <a:noFill/>
        </a:ln>
        <a:effectLst/>
      </c:spPr>
    </c:title>
    <c:autoTitleDeleted val="0"/>
    <c:plotArea>
      <c:layout/>
      <c:barChart>
        <c:barDir val="col"/>
        <c:grouping val="clustered"/>
        <c:varyColors val="0"/>
        <c:ser>
          <c:idx val="0"/>
          <c:order val="0"/>
          <c:tx>
            <c:strRef>
              <c:f>'[柱状图（总）.xlsx]财政拨款收、支决算总计变动情况'!$A$2</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'[柱状图（总）.xlsx]财政拨款收、支决算总计变动情况'!$B$1:$C$1</c:f>
              <c:numCache>
                <c:formatCode>General</c:formatCode>
                <c:ptCount val="2"/>
                <c:pt idx="0">
                  <c:v>2024</c:v>
                </c:pt>
                <c:pt idx="1">
                  <c:v>2025</c:v>
                </c:pt>
              </c:numCache>
            </c:numRef>
          </c:cat>
          <c:val>
            <c:numRef>
              <c:f>'[柱状图（总）.xlsx]财政拨款收、支决算总计变动情况'!$B$2:$C$2</c:f>
              <c:numCache>
                <c:formatCode>General</c:formatCode>
                <c:ptCount val="2"/>
                <c:pt idx="0">
                  <c:v>813.04</c:v>
                </c:pt>
                <c:pt idx="1">
                  <c:v>614.8</c:v>
                </c:pt>
              </c:numCache>
            </c:numRef>
          </c:val>
        </c:ser>
        <c:ser>
          <c:idx val="1"/>
          <c:order val="1"/>
          <c:tx>
            <c:strRef>
              <c:f>'[柱状图（总）.xlsx]财政拨款收、支决算总计变动情况'!$A$3</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'[柱状图（总）.xlsx]财政拨款收、支决算总计变动情况'!$B$1:$C$1</c:f>
              <c:numCache>
                <c:formatCode>General</c:formatCode>
                <c:ptCount val="2"/>
                <c:pt idx="0">
                  <c:v>2024</c:v>
                </c:pt>
                <c:pt idx="1">
                  <c:v>2025</c:v>
                </c:pt>
              </c:numCache>
            </c:numRef>
          </c:cat>
          <c:val>
            <c:numRef>
              <c:f>'[柱状图（总）.xlsx]财政拨款收、支决算总计变动情况'!$B$3:$C$3</c:f>
              <c:numCache>
                <c:formatCode>General</c:formatCode>
                <c:ptCount val="2"/>
                <c:pt idx="0">
                  <c:v>813.04</c:v>
                </c:pt>
                <c:pt idx="1">
                  <c:v>614.8</c:v>
                </c:pt>
              </c:numCache>
            </c:numRef>
          </c:val>
        </c:ser>
        <c:dLbls>
          <c:showLegendKey val="0"/>
          <c:showVal val="1"/>
          <c:showCatName val="0"/>
          <c:showSerName val="0"/>
          <c:showPercent val="0"/>
          <c:showBubbleSize val="0"/>
        </c:dLbls>
        <c:gapWidth val="219"/>
        <c:overlap val="-27"/>
        <c:axId val="692503370"/>
        <c:axId val="443523937"/>
      </c:barChart>
      <c:catAx>
        <c:axId val="69250337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3523937"/>
        <c:crosses val="autoZero"/>
        <c:auto val="1"/>
        <c:lblAlgn val="ctr"/>
        <c:lblOffset val="100"/>
        <c:noMultiLvlLbl val="0"/>
      </c:catAx>
      <c:valAx>
        <c:axId val="44352393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50337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12118160456529"/>
          <c:y val="0.0343347639484979"/>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'[柱状图（总）.xlsx]一般公共预算财政拨款支出决算变动情况'!$D$13</c:f>
              <c:strCache>
                <c:ptCount val="1"/>
                <c:pt idx="0">
                  <c:v>一般公共预算财政拨款支出决算变动情况</c:v>
                </c:pt>
              </c:strCache>
            </c:strRef>
          </c:tx>
          <c:spPr>
            <a:gradFill>
              <a:gsLst>
                <a:gs pos="0">
                  <a:srgbClr val="14CD68"/>
                </a:gs>
                <a:gs pos="100000">
                  <a:srgbClr val="0B6E38"/>
                </a:gs>
              </a:gsLst>
              <a:path path="circle"/>
            </a:gradFill>
            <a:ln>
              <a:noFill/>
            </a:ln>
            <a:effectLst/>
          </c:spPr>
          <c:invertIfNegative val="0"/>
          <c:dPt>
            <c:idx val="0"/>
            <c:invertIfNegative val="0"/>
            <c:bubble3D val="0"/>
            <c:spPr>
              <a:solidFill>
                <a:schemeClr val="accent6"/>
              </a:solidFill>
              <a:ln>
                <a:noFill/>
              </a:ln>
              <a:effectLst/>
            </c:spPr>
          </c:dPt>
          <c:dPt>
            <c:idx val="1"/>
            <c:invertIfNegative val="0"/>
            <c:bubble3D val="0"/>
            <c:spPr>
              <a:solidFill>
                <a:schemeClr val="accent1"/>
              </a:solidFill>
              <a:ln>
                <a:no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'[柱状图（总）.xlsx]一般公共预算财政拨款支出决算变动情况'!$E$11:$F$12</c:f>
              <c:multiLvlStrCache>
                <c:ptCount val="2"/>
                <c:lvl>
                  <c:pt idx="0">
                    <c:v>2024</c:v>
                  </c:pt>
                  <c:pt idx="1">
                    <c:v>2025</c:v>
                  </c:pt>
                </c:lvl>
                <c:lvl>
                  <c:pt idx="0">
                    <c:v>一般公共预算财政拨款支出</c:v>
                  </c:pt>
                </c:lvl>
              </c:multiLvlStrCache>
            </c:multiLvlStrRef>
          </c:cat>
          <c:val>
            <c:numRef>
              <c:f>'[柱状图（总）.xlsx]一般公共预算财政拨款支出决算变动情况'!$E$13:$F$13</c:f>
              <c:numCache>
                <c:formatCode>General</c:formatCode>
                <c:ptCount val="2"/>
                <c:pt idx="0">
                  <c:v>813.04</c:v>
                </c:pt>
                <c:pt idx="1">
                  <c:v>614.8</c:v>
                </c:pt>
              </c:numCache>
            </c:numRef>
          </c:val>
        </c:ser>
        <c:dLbls>
          <c:showLegendKey val="0"/>
          <c:showVal val="1"/>
          <c:showCatName val="0"/>
          <c:showSerName val="0"/>
          <c:showPercent val="0"/>
          <c:showBubbleSize val="0"/>
        </c:dLbls>
        <c:gapWidth val="219"/>
        <c:overlap val="-27"/>
        <c:axId val="247226543"/>
        <c:axId val="176175220"/>
      </c:barChart>
      <c:catAx>
        <c:axId val="247226543"/>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175220"/>
        <c:crosses val="autoZero"/>
        <c:auto val="1"/>
        <c:lblAlgn val="ctr"/>
        <c:lblOffset val="100"/>
        <c:noMultiLvlLbl val="0"/>
      </c:catAx>
      <c:valAx>
        <c:axId val="1761752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72265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'[柱状图（总）.xlsx]一般公共预算财政拨款支出决算结构'!$B$1</c:f>
              <c:strCache>
                <c:ptCount val="1"/>
                <c:pt idx="0">
                  <c:v>一般公共预算财政拨款支出决算结构</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Pt>
            <c:idx val="3"/>
            <c:bubble3D val="0"/>
            <c:spPr>
              <a:solidFill>
                <a:schemeClr val="accent4"/>
              </a:solidFill>
              <a:ln w="25400">
                <a:solidFill>
                  <a:schemeClr val="lt1"/>
                </a:solidFill>
              </a:ln>
              <a:effectLst/>
              <a:scene3d>
                <a:camera prst="orthographicFront"/>
                <a:lightRig rig="threePt" dir="t"/>
              </a:scene3d>
              <a:sp3d contourW="25400"/>
            </c:spPr>
          </c:dPt>
          <c:dLbls>
            <c:dLbl>
              <c:idx val="0"/>
              <c:layout>
                <c:manualLayout>
                  <c:x val="0.111769008836749"/>
                  <c:y val="-0.079064159258380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37603878116343"/>
                  <c:y val="0.018094089264173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15512465373961"/>
                  <c:y val="-0.036188178528347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773314866112655"/>
                  <c:y val="-0.037972456775231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'[柱状图（总）.xlsx]一般公共预算财政拨款支出决算结构'!$A$2:$A$5</c:f>
              <c:strCache>
                <c:ptCount val="4"/>
                <c:pt idx="0">
                  <c:v>一般公共服务支出</c:v>
                </c:pt>
                <c:pt idx="1">
                  <c:v>社会保障和就业支出</c:v>
                </c:pt>
                <c:pt idx="2">
                  <c:v>卫生健康支出</c:v>
                </c:pt>
                <c:pt idx="3">
                  <c:v>住房保障支出</c:v>
                </c:pt>
              </c:strCache>
            </c:strRef>
          </c:cat>
          <c:val>
            <c:numRef>
              <c:f>'[柱状图（总）.xlsx]一般公共预算财政拨款支出决算结构'!$B$2:$B$5</c:f>
              <c:numCache>
                <c:formatCode>General</c:formatCode>
                <c:ptCount val="4"/>
                <c:pt idx="0">
                  <c:v>486.68</c:v>
                </c:pt>
                <c:pt idx="1">
                  <c:v>65.14</c:v>
                </c:pt>
                <c:pt idx="2">
                  <c:v>27.25</c:v>
                </c:pt>
                <c:pt idx="3">
                  <c:v>35.73</c:v>
                </c:pt>
              </c:numCache>
            </c:numRef>
          </c:val>
        </c:ser>
        <c:dLbls>
          <c:showLegendKey val="0"/>
          <c:showVal val="1"/>
          <c:showCatName val="0"/>
          <c:showSerName val="0"/>
          <c:showPercent val="0"/>
          <c:showBubbleSize val="0"/>
        </c:dLbls>
      </c:pie3DChart>
      <c:spPr>
        <a:noFill/>
        <a:ln>
          <a:noFill/>
        </a:ln>
        <a:effectLst/>
      </c:spPr>
    </c:plotArea>
    <c:legend>
      <c:legendPos val="b"/>
      <c:layout>
        <c:manualLayout>
          <c:xMode val="edge"/>
          <c:yMode val="edge"/>
          <c:x val="0.176333102493075"/>
          <c:y val="0.7804583835946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'[柱状图（总）.xlsx]“三公”经费财政拨款支出结构'!$E$11</c:f>
              <c:strCache>
                <c:ptCount val="1"/>
                <c:pt idx="0">
                  <c:v>“三公”经费财政拨款支出结构</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Lbls>
            <c:dLbl>
              <c:idx val="0"/>
              <c:layout>
                <c:manualLayout>
                  <c:x val="0.0479166666666667"/>
                  <c:y val="-0.038194444444444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8333333333333"/>
                  <c:y val="-0.010416666666666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69603501219862"/>
                  <c:y val="-0.029743967715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'[柱状图（总）.xlsx]“三公”经费财政拨款支出结构'!$D$12:$D$14</c:f>
              <c:strCache>
                <c:ptCount val="3"/>
                <c:pt idx="0">
                  <c:v>公务用车运行维护费</c:v>
                </c:pt>
                <c:pt idx="1">
                  <c:v>公务接待费</c:v>
                </c:pt>
                <c:pt idx="2">
                  <c:v>公务用车网购置费</c:v>
                </c:pt>
              </c:strCache>
            </c:strRef>
          </c:cat>
          <c:val>
            <c:numRef>
              <c:f>'[柱状图（总）.xlsx]“三公”经费财政拨款支出结构'!$E$12:$E$14</c:f>
              <c:numCache>
                <c:formatCode>General</c:formatCode>
                <c:ptCount val="3"/>
                <c:pt idx="0">
                  <c:v>8.12</c:v>
                </c:pt>
                <c:pt idx="1">
                  <c:v>0.18</c:v>
                </c:pt>
                <c:pt idx="2">
                  <c:v>38.1</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31</Pages>
  <Words>11064</Words>
  <Characters>12156</Characters>
  <Lines>33</Lines>
  <Paragraphs>30</Paragraphs>
  <TotalTime>20</TotalTime>
  <ScaleCrop>false</ScaleCrop>
  <LinksUpToDate>false</LinksUpToDate>
  <CharactersWithSpaces>12292</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2026-09-02T01:12:41Z</cp:lastPrinted>
  <dcterms:modified xsi:type="dcterms:W3CDTF">2026-09-02T01:12:48Z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3BF536824C220DA3E40E8B68BA118B1C_42</vt:lpwstr>
  </property>
</Properties>
</file>