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FBEB7">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06267"/>
      <w:bookmarkStart w:id="2" w:name="_Toc15377193"/>
      <w:bookmarkStart w:id="3" w:name="_Toc15377425"/>
      <w:bookmarkStart w:id="4" w:name="_Toc15396475"/>
      <w:bookmarkStart w:id="5" w:name="_Toc15378441"/>
    </w:p>
    <w:p w14:paraId="5D2608E6">
      <w:pPr>
        <w:pStyle w:val="8"/>
        <w:rPr>
          <w:rFonts w:hint="eastAsia" w:ascii="Times New Roman" w:hAnsi="Times New Roman" w:eastAsia="方正小标宋简体" w:cs="Times New Roman"/>
          <w:color w:val="auto"/>
          <w:kern w:val="2"/>
          <w:sz w:val="72"/>
          <w:szCs w:val="72"/>
          <w:highlight w:val="none"/>
          <w:lang w:val="en-US" w:eastAsia="zh-CN" w:bidi="ar-SA"/>
        </w:rPr>
      </w:pPr>
    </w:p>
    <w:p w14:paraId="363A1631">
      <w:pPr>
        <w:pStyle w:val="8"/>
        <w:rPr>
          <w:rFonts w:hint="eastAsia" w:ascii="Times New Roman" w:hAnsi="Times New Roman" w:eastAsia="方正小标宋简体" w:cs="Times New Roman"/>
          <w:color w:val="auto"/>
          <w:kern w:val="2"/>
          <w:sz w:val="72"/>
          <w:szCs w:val="72"/>
          <w:highlight w:val="none"/>
          <w:lang w:val="en-US" w:eastAsia="zh-CN" w:bidi="ar-SA"/>
        </w:rPr>
      </w:pPr>
    </w:p>
    <w:p w14:paraId="72378FE6">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0928EBED">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1B10FC14">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年度四川省阿坝州茂县</w:t>
      </w:r>
    </w:p>
    <w:p w14:paraId="6347A217">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房产管理所决算公开</w:t>
      </w:r>
    </w:p>
    <w:p w14:paraId="6793A6A2">
      <w:pPr>
        <w:spacing w:line="600" w:lineRule="exact"/>
        <w:jc w:val="center"/>
        <w:outlineLvl w:val="9"/>
        <w:rPr>
          <w:rFonts w:ascii="Times New Roman" w:hAnsi="Times New Roman" w:eastAsia="方正小标宋简体"/>
          <w:color w:val="auto"/>
          <w:sz w:val="72"/>
          <w:szCs w:val="72"/>
          <w:highlight w:val="none"/>
        </w:rPr>
      </w:pPr>
    </w:p>
    <w:p w14:paraId="299788A4">
      <w:pPr>
        <w:pStyle w:val="21"/>
        <w:outlineLvl w:val="9"/>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numberInDash" w:start="1"/>
          <w:cols w:space="720" w:num="1"/>
          <w:titlePg/>
          <w:docGrid w:type="lines" w:linePitch="312" w:charSpace="0"/>
        </w:sectPr>
      </w:pPr>
    </w:p>
    <w:bookmarkEnd w:id="0"/>
    <w:bookmarkEnd w:id="1"/>
    <w:bookmarkEnd w:id="2"/>
    <w:bookmarkEnd w:id="3"/>
    <w:bookmarkEnd w:id="4"/>
    <w:bookmarkEnd w:id="5"/>
    <w:p w14:paraId="50AEC0A6">
      <w:pPr>
        <w:widowControl/>
        <w:jc w:val="center"/>
        <w:rPr>
          <w:rFonts w:ascii="黑体" w:eastAsia="黑体" w:cs="Times New Roman"/>
          <w:color w:val="auto"/>
          <w:sz w:val="28"/>
          <w:szCs w:val="28"/>
          <w:highlight w:val="none"/>
        </w:rPr>
      </w:pPr>
      <w:bookmarkStart w:id="6" w:name="_Toc2005"/>
      <w:r>
        <w:rPr>
          <w:rFonts w:hint="eastAsia" w:ascii="黑体" w:eastAsia="黑体"/>
          <w:color w:val="auto"/>
          <w:sz w:val="48"/>
          <w:szCs w:val="48"/>
          <w:highlight w:val="none"/>
        </w:rPr>
        <w:t>目录</w:t>
      </w:r>
    </w:p>
    <w:p w14:paraId="4DC81F73">
      <w:pPr>
        <w:pStyle w:val="13"/>
        <w:ind w:firstLine="2240" w:firstLineChars="800"/>
        <w:jc w:val="both"/>
      </w:pPr>
      <w:r>
        <w:rPr>
          <w:rFonts w:hint="eastAsia"/>
          <w:color w:val="auto"/>
          <w:highlight w:val="none"/>
        </w:rPr>
        <w:t>公开时间：20</w:t>
      </w:r>
      <w:r>
        <w:rPr>
          <w:rFonts w:hint="eastAsia"/>
          <w:color w:val="auto"/>
          <w:highlight w:val="none"/>
          <w:lang w:val="en-US" w:eastAsia="zh-CN"/>
        </w:rPr>
        <w:t>25</w:t>
      </w:r>
      <w:r>
        <w:rPr>
          <w:rFonts w:hint="eastAsia"/>
          <w:color w:val="auto"/>
          <w:highlight w:val="none"/>
        </w:rPr>
        <w:t>年</w:t>
      </w:r>
      <w:r>
        <w:rPr>
          <w:rFonts w:hint="eastAsia"/>
          <w:color w:val="auto"/>
          <w:highlight w:val="none"/>
          <w:lang w:val="en-US" w:eastAsia="zh-CN"/>
        </w:rPr>
        <w:t>9</w:t>
      </w:r>
      <w:r>
        <w:rPr>
          <w:rFonts w:hint="eastAsia"/>
          <w:color w:val="auto"/>
          <w:highlight w:val="none"/>
        </w:rPr>
        <w:t>月</w:t>
      </w:r>
      <w:r>
        <w:rPr>
          <w:rFonts w:hint="eastAsia"/>
          <w:color w:val="auto"/>
          <w:highlight w:val="none"/>
          <w:lang w:val="en-US" w:eastAsia="zh-CN"/>
        </w:rPr>
        <w:t>4</w:t>
      </w:r>
      <w:r>
        <w:rPr>
          <w:rFonts w:hint="eastAsia"/>
          <w:color w:val="auto"/>
          <w:highlight w:val="none"/>
        </w:rPr>
        <w:t>日</w:t>
      </w:r>
    </w:p>
    <w:p w14:paraId="5721BD4E">
      <w:pPr>
        <w:spacing w:before="0" w:after="0" w:line="240" w:lineRule="auto"/>
        <w:ind w:left="0" w:right="0" w:firstLine="0"/>
        <w:jc w:val="both"/>
      </w:pPr>
    </w:p>
    <w:p w14:paraId="37F5C273">
      <w:pPr>
        <w:pStyle w:val="30"/>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b/>
          <w:sz w:val="28"/>
          <w:szCs w:val="28"/>
        </w:rPr>
      </w:pPr>
      <w:r>
        <w:rPr>
          <w:sz w:val="28"/>
          <w:szCs w:val="28"/>
        </w:rPr>
        <w:fldChar w:fldCharType="begin"/>
      </w:r>
      <w:r>
        <w:rPr>
          <w:sz w:val="28"/>
          <w:szCs w:val="28"/>
        </w:rPr>
        <w:instrText xml:space="preserve">TOC \o "1-2" \h \u </w:instrText>
      </w:r>
      <w:r>
        <w:rPr>
          <w:sz w:val="28"/>
          <w:szCs w:val="28"/>
        </w:rPr>
        <w:fldChar w:fldCharType="separate"/>
      </w:r>
      <w:r>
        <w:rPr>
          <w:b/>
          <w:sz w:val="28"/>
          <w:szCs w:val="28"/>
        </w:rPr>
        <w:fldChar w:fldCharType="begin"/>
      </w:r>
      <w:r>
        <w:rPr>
          <w:b/>
          <w:sz w:val="28"/>
          <w:szCs w:val="28"/>
        </w:rPr>
        <w:instrText xml:space="preserve"> HYPERLINK \l _Toc27750 </w:instrText>
      </w:r>
      <w:r>
        <w:rPr>
          <w:b/>
          <w:sz w:val="28"/>
          <w:szCs w:val="28"/>
        </w:rPr>
        <w:fldChar w:fldCharType="separate"/>
      </w:r>
      <w:r>
        <w:rPr>
          <w:rFonts w:hint="eastAsia" w:ascii="黑体" w:eastAsia="黑体"/>
          <w:b/>
          <w:sz w:val="28"/>
          <w:szCs w:val="28"/>
          <w:highlight w:val="none"/>
        </w:rPr>
        <w:t xml:space="preserve">第一部分 </w:t>
      </w:r>
      <w:r>
        <w:rPr>
          <w:rFonts w:hint="eastAsia" w:ascii="黑体" w:eastAsia="黑体"/>
          <w:b/>
          <w:sz w:val="28"/>
          <w:szCs w:val="28"/>
          <w:highlight w:val="none"/>
          <w:lang w:eastAsia="zh-CN"/>
        </w:rPr>
        <w:t>单位</w:t>
      </w:r>
      <w:r>
        <w:rPr>
          <w:rFonts w:hint="eastAsia" w:ascii="黑体" w:eastAsia="黑体"/>
          <w:b/>
          <w:bCs w:val="0"/>
          <w:sz w:val="28"/>
          <w:szCs w:val="28"/>
          <w:highlight w:val="none"/>
        </w:rPr>
        <w:t>概况</w:t>
      </w:r>
      <w:r>
        <w:rPr>
          <w:b/>
          <w:sz w:val="28"/>
          <w:szCs w:val="28"/>
        </w:rPr>
        <w:tab/>
      </w:r>
      <w:r>
        <w:rPr>
          <w:rFonts w:hint="eastAsia"/>
          <w:b/>
          <w:sz w:val="28"/>
          <w:szCs w:val="28"/>
          <w:lang w:val="en-US" w:eastAsia="zh-CN"/>
        </w:rPr>
        <w:t>1</w:t>
      </w:r>
      <w:r>
        <w:rPr>
          <w:b/>
          <w:sz w:val="28"/>
          <w:szCs w:val="28"/>
        </w:rPr>
        <w:fldChar w:fldCharType="end"/>
      </w:r>
    </w:p>
    <w:p w14:paraId="6EDF30B0">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sz w:val="28"/>
          <w:szCs w:val="28"/>
        </w:rPr>
      </w:pPr>
      <w:r>
        <w:rPr>
          <w:sz w:val="28"/>
          <w:szCs w:val="28"/>
        </w:rPr>
        <w:fldChar w:fldCharType="begin"/>
      </w:r>
      <w:r>
        <w:rPr>
          <w:sz w:val="28"/>
          <w:szCs w:val="28"/>
        </w:rPr>
        <w:instrText xml:space="preserve"> HYPERLINK \l _Toc3066 </w:instrText>
      </w:r>
      <w:r>
        <w:rPr>
          <w:sz w:val="28"/>
          <w:szCs w:val="28"/>
        </w:rPr>
        <w:fldChar w:fldCharType="separate"/>
      </w:r>
      <w:r>
        <w:rPr>
          <w:rFonts w:hint="eastAsia" w:ascii="黑体" w:eastAsia="黑体" w:cs="黑体"/>
          <w:kern w:val="2"/>
          <w:sz w:val="28"/>
          <w:szCs w:val="28"/>
        </w:rPr>
        <w:t>一、主要职责</w:t>
      </w:r>
      <w:r>
        <w:rPr>
          <w:sz w:val="28"/>
          <w:szCs w:val="28"/>
        </w:rPr>
        <w:tab/>
      </w:r>
      <w:r>
        <w:rPr>
          <w:rFonts w:hint="eastAsia"/>
          <w:sz w:val="28"/>
          <w:szCs w:val="28"/>
          <w:lang w:val="en-US" w:eastAsia="zh-CN"/>
        </w:rPr>
        <w:t>1</w:t>
      </w:r>
      <w:r>
        <w:rPr>
          <w:sz w:val="28"/>
          <w:szCs w:val="28"/>
        </w:rPr>
        <w:fldChar w:fldCharType="end"/>
      </w:r>
    </w:p>
    <w:p w14:paraId="66300BFD">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sz w:val="28"/>
          <w:szCs w:val="28"/>
        </w:rPr>
      </w:pPr>
      <w:r>
        <w:rPr>
          <w:sz w:val="28"/>
          <w:szCs w:val="28"/>
        </w:rPr>
        <w:fldChar w:fldCharType="begin"/>
      </w:r>
      <w:r>
        <w:rPr>
          <w:sz w:val="28"/>
          <w:szCs w:val="28"/>
        </w:rPr>
        <w:instrText xml:space="preserve"> HYPERLINK \l _Toc29509 </w:instrText>
      </w:r>
      <w:r>
        <w:rPr>
          <w:sz w:val="28"/>
          <w:szCs w:val="28"/>
        </w:rPr>
        <w:fldChar w:fldCharType="separate"/>
      </w:r>
      <w:r>
        <w:rPr>
          <w:rFonts w:hint="eastAsia" w:ascii="黑体" w:eastAsia="黑体" w:cs="黑体"/>
          <w:kern w:val="2"/>
          <w:sz w:val="28"/>
          <w:szCs w:val="28"/>
          <w:lang w:eastAsia="zh-CN"/>
        </w:rPr>
        <w:t>二、</w:t>
      </w:r>
      <w:r>
        <w:rPr>
          <w:rFonts w:hint="eastAsia" w:ascii="黑体" w:eastAsia="黑体" w:cs="黑体"/>
          <w:kern w:val="2"/>
          <w:sz w:val="28"/>
          <w:szCs w:val="28"/>
        </w:rPr>
        <w:t>机构设置</w:t>
      </w:r>
      <w:r>
        <w:rPr>
          <w:sz w:val="28"/>
          <w:szCs w:val="28"/>
        </w:rPr>
        <w:tab/>
      </w:r>
      <w:r>
        <w:rPr>
          <w:rFonts w:hint="eastAsia"/>
          <w:sz w:val="28"/>
          <w:szCs w:val="28"/>
          <w:lang w:val="en-US" w:eastAsia="zh-CN"/>
        </w:rPr>
        <w:t>2</w:t>
      </w:r>
      <w:r>
        <w:rPr>
          <w:sz w:val="28"/>
          <w:szCs w:val="28"/>
        </w:rPr>
        <w:fldChar w:fldCharType="end"/>
      </w:r>
    </w:p>
    <w:p w14:paraId="64ED568A">
      <w:pPr>
        <w:pStyle w:val="30"/>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b/>
          <w:sz w:val="28"/>
          <w:szCs w:val="28"/>
        </w:rPr>
      </w:pPr>
      <w:r>
        <w:rPr>
          <w:b/>
          <w:sz w:val="28"/>
          <w:szCs w:val="28"/>
        </w:rPr>
        <w:fldChar w:fldCharType="begin"/>
      </w:r>
      <w:r>
        <w:rPr>
          <w:b/>
          <w:sz w:val="28"/>
          <w:szCs w:val="28"/>
        </w:rPr>
        <w:instrText xml:space="preserve"> HYPERLINK \l _Toc26299 </w:instrText>
      </w:r>
      <w:r>
        <w:rPr>
          <w:b/>
          <w:sz w:val="28"/>
          <w:szCs w:val="28"/>
        </w:rPr>
        <w:fldChar w:fldCharType="separate"/>
      </w:r>
      <w:r>
        <w:rPr>
          <w:rFonts w:hint="eastAsia" w:ascii="方正小标宋简体" w:eastAsia="方正小标宋简体" w:cs="方正小标宋简体"/>
          <w:b/>
          <w:bCs w:val="0"/>
          <w:kern w:val="2"/>
          <w:sz w:val="28"/>
          <w:szCs w:val="28"/>
        </w:rPr>
        <w:t xml:space="preserve">第二部分 </w:t>
      </w:r>
      <w:r>
        <w:rPr>
          <w:rFonts w:hint="eastAsia" w:ascii="方正小标宋简体" w:eastAsia="方正小标宋简体" w:cs="方正小标宋简体"/>
          <w:b/>
          <w:bCs w:val="0"/>
          <w:kern w:val="2"/>
          <w:sz w:val="28"/>
          <w:szCs w:val="28"/>
          <w:lang w:val="en-US" w:eastAsia="zh-CN"/>
        </w:rPr>
        <w:t>2025年度</w:t>
      </w:r>
      <w:r>
        <w:rPr>
          <w:rFonts w:hint="eastAsia" w:ascii="方正小标宋简体" w:eastAsia="方正小标宋简体" w:cs="方正小标宋简体"/>
          <w:b/>
          <w:bCs w:val="0"/>
          <w:kern w:val="2"/>
          <w:sz w:val="28"/>
          <w:szCs w:val="28"/>
          <w:lang w:eastAsia="zh-CN"/>
        </w:rPr>
        <w:t>单位</w:t>
      </w:r>
      <w:r>
        <w:rPr>
          <w:rFonts w:hint="eastAsia" w:ascii="方正小标宋简体" w:eastAsia="方正小标宋简体" w:cs="方正小标宋简体"/>
          <w:b/>
          <w:bCs w:val="0"/>
          <w:kern w:val="2"/>
          <w:sz w:val="28"/>
          <w:szCs w:val="28"/>
        </w:rPr>
        <w:t>决算情况说明</w:t>
      </w:r>
      <w:r>
        <w:rPr>
          <w:b/>
          <w:sz w:val="28"/>
          <w:szCs w:val="28"/>
        </w:rPr>
        <w:tab/>
      </w:r>
      <w:r>
        <w:rPr>
          <w:rFonts w:hint="eastAsia"/>
          <w:b/>
          <w:sz w:val="28"/>
          <w:szCs w:val="28"/>
          <w:lang w:val="en-US" w:eastAsia="zh-CN"/>
        </w:rPr>
        <w:t>3</w:t>
      </w:r>
      <w:r>
        <w:rPr>
          <w:b/>
          <w:sz w:val="28"/>
          <w:szCs w:val="28"/>
        </w:rPr>
        <w:fldChar w:fldCharType="end"/>
      </w:r>
    </w:p>
    <w:p w14:paraId="153628EE">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sz w:val="28"/>
          <w:szCs w:val="28"/>
        </w:rPr>
      </w:pPr>
      <w:r>
        <w:rPr>
          <w:sz w:val="28"/>
          <w:szCs w:val="28"/>
        </w:rPr>
        <w:fldChar w:fldCharType="begin"/>
      </w:r>
      <w:r>
        <w:rPr>
          <w:sz w:val="28"/>
          <w:szCs w:val="28"/>
        </w:rPr>
        <w:instrText xml:space="preserve"> HYPERLINK \l _Toc24066 </w:instrText>
      </w:r>
      <w:r>
        <w:rPr>
          <w:sz w:val="28"/>
          <w:szCs w:val="28"/>
        </w:rPr>
        <w:fldChar w:fldCharType="separate"/>
      </w:r>
      <w:r>
        <w:rPr>
          <w:rFonts w:hint="eastAsia" w:ascii="黑体" w:eastAsia="黑体" w:cs="黑体"/>
          <w:sz w:val="28"/>
          <w:szCs w:val="28"/>
          <w:lang w:eastAsia="zh-CN"/>
        </w:rPr>
        <w:t>一、收入支出决算总体情况说明</w:t>
      </w:r>
      <w:r>
        <w:rPr>
          <w:sz w:val="28"/>
          <w:szCs w:val="28"/>
        </w:rPr>
        <w:tab/>
      </w:r>
      <w:r>
        <w:rPr>
          <w:rFonts w:hint="eastAsia"/>
          <w:sz w:val="28"/>
          <w:szCs w:val="28"/>
          <w:lang w:val="en-US" w:eastAsia="zh-CN"/>
        </w:rPr>
        <w:t>3</w:t>
      </w:r>
      <w:r>
        <w:rPr>
          <w:sz w:val="28"/>
          <w:szCs w:val="28"/>
        </w:rPr>
        <w:fldChar w:fldCharType="end"/>
      </w:r>
    </w:p>
    <w:p w14:paraId="38EE9037">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sz w:val="28"/>
          <w:szCs w:val="28"/>
        </w:rPr>
      </w:pPr>
      <w:r>
        <w:rPr>
          <w:sz w:val="28"/>
          <w:szCs w:val="28"/>
        </w:rPr>
        <w:fldChar w:fldCharType="begin"/>
      </w:r>
      <w:r>
        <w:rPr>
          <w:sz w:val="28"/>
          <w:szCs w:val="28"/>
        </w:rPr>
        <w:instrText xml:space="preserve"> HYPERLINK \l _Toc23074 </w:instrText>
      </w:r>
      <w:r>
        <w:rPr>
          <w:sz w:val="28"/>
          <w:szCs w:val="28"/>
        </w:rPr>
        <w:fldChar w:fldCharType="separate"/>
      </w:r>
      <w:r>
        <w:rPr>
          <w:rFonts w:hint="eastAsia" w:ascii="黑体" w:eastAsia="黑体"/>
          <w:sz w:val="28"/>
          <w:szCs w:val="28"/>
          <w:highlight w:val="none"/>
          <w:lang w:eastAsia="zh-CN"/>
        </w:rPr>
        <w:t>二、</w:t>
      </w:r>
      <w:r>
        <w:rPr>
          <w:rFonts w:hint="eastAsia" w:ascii="黑体" w:eastAsia="黑体"/>
          <w:sz w:val="28"/>
          <w:szCs w:val="28"/>
          <w:highlight w:val="none"/>
        </w:rPr>
        <w:t>收入决算情况说明</w:t>
      </w:r>
      <w:r>
        <w:rPr>
          <w:sz w:val="28"/>
          <w:szCs w:val="28"/>
        </w:rPr>
        <w:tab/>
      </w:r>
      <w:r>
        <w:rPr>
          <w:rFonts w:hint="eastAsia"/>
          <w:sz w:val="28"/>
          <w:szCs w:val="28"/>
          <w:lang w:val="en-US" w:eastAsia="zh-CN"/>
        </w:rPr>
        <w:t>3</w:t>
      </w:r>
      <w:r>
        <w:rPr>
          <w:sz w:val="28"/>
          <w:szCs w:val="28"/>
        </w:rPr>
        <w:fldChar w:fldCharType="end"/>
      </w:r>
    </w:p>
    <w:p w14:paraId="3A0B6FFE">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sz w:val="28"/>
          <w:szCs w:val="28"/>
        </w:rPr>
      </w:pPr>
      <w:r>
        <w:rPr>
          <w:sz w:val="28"/>
          <w:szCs w:val="28"/>
        </w:rPr>
        <w:fldChar w:fldCharType="begin"/>
      </w:r>
      <w:r>
        <w:rPr>
          <w:sz w:val="28"/>
          <w:szCs w:val="28"/>
        </w:rPr>
        <w:instrText xml:space="preserve"> HYPERLINK \l _Toc31507 </w:instrText>
      </w:r>
      <w:r>
        <w:rPr>
          <w:sz w:val="28"/>
          <w:szCs w:val="28"/>
        </w:rPr>
        <w:fldChar w:fldCharType="separate"/>
      </w:r>
      <w:r>
        <w:rPr>
          <w:rFonts w:hint="eastAsia" w:ascii="黑体" w:eastAsia="黑体"/>
          <w:sz w:val="28"/>
          <w:szCs w:val="28"/>
          <w:highlight w:val="none"/>
          <w:lang w:eastAsia="zh-CN"/>
        </w:rPr>
        <w:t>三、</w:t>
      </w:r>
      <w:r>
        <w:rPr>
          <w:rFonts w:hint="eastAsia" w:ascii="黑体" w:eastAsia="黑体"/>
          <w:sz w:val="28"/>
          <w:szCs w:val="28"/>
          <w:highlight w:val="none"/>
        </w:rPr>
        <w:t>支出决算情况说明</w:t>
      </w:r>
      <w:r>
        <w:rPr>
          <w:sz w:val="28"/>
          <w:szCs w:val="28"/>
        </w:rPr>
        <w:tab/>
      </w:r>
      <w:r>
        <w:rPr>
          <w:rFonts w:hint="eastAsia"/>
          <w:sz w:val="28"/>
          <w:szCs w:val="28"/>
          <w:lang w:val="en-US" w:eastAsia="zh-CN"/>
        </w:rPr>
        <w:t>4</w:t>
      </w:r>
      <w:r>
        <w:rPr>
          <w:sz w:val="28"/>
          <w:szCs w:val="28"/>
        </w:rPr>
        <w:fldChar w:fldCharType="end"/>
      </w:r>
    </w:p>
    <w:p w14:paraId="39BC888C">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sz w:val="28"/>
          <w:szCs w:val="28"/>
        </w:rPr>
      </w:pPr>
      <w:r>
        <w:rPr>
          <w:sz w:val="28"/>
          <w:szCs w:val="28"/>
        </w:rPr>
        <w:fldChar w:fldCharType="begin"/>
      </w:r>
      <w:r>
        <w:rPr>
          <w:sz w:val="28"/>
          <w:szCs w:val="28"/>
        </w:rPr>
        <w:instrText xml:space="preserve"> HYPERLINK \l _Toc26302 </w:instrText>
      </w:r>
      <w:r>
        <w:rPr>
          <w:sz w:val="28"/>
          <w:szCs w:val="28"/>
        </w:rPr>
        <w:fldChar w:fldCharType="separate"/>
      </w:r>
      <w:r>
        <w:rPr>
          <w:rFonts w:hint="eastAsia" w:ascii="黑体" w:eastAsia="黑体"/>
          <w:sz w:val="28"/>
          <w:szCs w:val="28"/>
          <w:highlight w:val="none"/>
        </w:rPr>
        <w:t>四、财政拨款收入支出决算总体情况说明</w:t>
      </w:r>
      <w:r>
        <w:rPr>
          <w:sz w:val="28"/>
          <w:szCs w:val="28"/>
        </w:rPr>
        <w:tab/>
      </w:r>
      <w:r>
        <w:rPr>
          <w:rFonts w:hint="eastAsia"/>
          <w:sz w:val="28"/>
          <w:szCs w:val="28"/>
          <w:lang w:val="en-US" w:eastAsia="zh-CN"/>
        </w:rPr>
        <w:t>4</w:t>
      </w:r>
      <w:r>
        <w:rPr>
          <w:sz w:val="28"/>
          <w:szCs w:val="28"/>
        </w:rPr>
        <w:fldChar w:fldCharType="end"/>
      </w:r>
    </w:p>
    <w:p w14:paraId="23FD19A8">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sz w:val="28"/>
          <w:szCs w:val="28"/>
        </w:rPr>
      </w:pPr>
      <w:r>
        <w:rPr>
          <w:sz w:val="28"/>
          <w:szCs w:val="28"/>
        </w:rPr>
        <w:fldChar w:fldCharType="begin"/>
      </w:r>
      <w:r>
        <w:rPr>
          <w:sz w:val="28"/>
          <w:szCs w:val="28"/>
        </w:rPr>
        <w:instrText xml:space="preserve"> HYPERLINK \l _Toc19701 </w:instrText>
      </w:r>
      <w:r>
        <w:rPr>
          <w:sz w:val="28"/>
          <w:szCs w:val="28"/>
        </w:rPr>
        <w:fldChar w:fldCharType="separate"/>
      </w:r>
      <w:r>
        <w:rPr>
          <w:rFonts w:hint="eastAsia" w:ascii="黑体" w:eastAsia="黑体"/>
          <w:sz w:val="28"/>
          <w:szCs w:val="28"/>
          <w:highlight w:val="none"/>
        </w:rPr>
        <w:t>五、一般公共预算财政拨款支出决算情况说明</w:t>
      </w:r>
      <w:r>
        <w:rPr>
          <w:sz w:val="28"/>
          <w:szCs w:val="28"/>
        </w:rPr>
        <w:tab/>
      </w:r>
      <w:r>
        <w:rPr>
          <w:rFonts w:hint="eastAsia"/>
          <w:sz w:val="28"/>
          <w:szCs w:val="28"/>
          <w:lang w:val="en-US" w:eastAsia="zh-CN"/>
        </w:rPr>
        <w:t>5</w:t>
      </w:r>
      <w:r>
        <w:rPr>
          <w:sz w:val="28"/>
          <w:szCs w:val="28"/>
        </w:rPr>
        <w:fldChar w:fldCharType="end"/>
      </w:r>
    </w:p>
    <w:p w14:paraId="1D945F33">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_Toc8346 </w:instrText>
      </w:r>
      <w:r>
        <w:rPr>
          <w:sz w:val="28"/>
          <w:szCs w:val="28"/>
        </w:rPr>
        <w:fldChar w:fldCharType="separate"/>
      </w:r>
      <w:r>
        <w:rPr>
          <w:rFonts w:hint="eastAsia" w:ascii="黑体" w:eastAsia="黑体"/>
          <w:sz w:val="28"/>
          <w:szCs w:val="28"/>
          <w:highlight w:val="none"/>
        </w:rPr>
        <w:t>六、一般公共预算财政拨款基本支出决算情况说明</w:t>
      </w:r>
      <w:r>
        <w:rPr>
          <w:sz w:val="28"/>
          <w:szCs w:val="28"/>
        </w:rPr>
        <w:fldChar w:fldCharType="end"/>
      </w:r>
      <w:r>
        <w:rPr>
          <w:sz w:val="28"/>
          <w:szCs w:val="28"/>
        </w:rPr>
        <w:tab/>
      </w:r>
      <w:r>
        <w:rPr>
          <w:rFonts w:hint="eastAsia"/>
          <w:sz w:val="28"/>
          <w:szCs w:val="28"/>
          <w:lang w:val="en-US" w:eastAsia="zh-CN"/>
        </w:rPr>
        <w:t>6</w:t>
      </w:r>
    </w:p>
    <w:p w14:paraId="03881C9F">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sz w:val="28"/>
          <w:szCs w:val="28"/>
        </w:rPr>
      </w:pPr>
      <w:r>
        <w:rPr>
          <w:sz w:val="28"/>
          <w:szCs w:val="28"/>
        </w:rPr>
        <w:fldChar w:fldCharType="begin"/>
      </w:r>
      <w:r>
        <w:rPr>
          <w:sz w:val="28"/>
          <w:szCs w:val="28"/>
        </w:rPr>
        <w:instrText xml:space="preserve"> HYPERLINK \l _Toc19712 </w:instrText>
      </w:r>
      <w:r>
        <w:rPr>
          <w:sz w:val="28"/>
          <w:szCs w:val="28"/>
        </w:rPr>
        <w:fldChar w:fldCharType="separate"/>
      </w:r>
      <w:r>
        <w:rPr>
          <w:rFonts w:hint="eastAsia" w:ascii="黑体" w:eastAsia="黑体"/>
          <w:sz w:val="28"/>
          <w:szCs w:val="28"/>
          <w:highlight w:val="none"/>
        </w:rPr>
        <w:t>七、财政拨款“三公”经费支出决算情况说明</w:t>
      </w:r>
      <w:r>
        <w:rPr>
          <w:sz w:val="28"/>
          <w:szCs w:val="28"/>
        </w:rPr>
        <w:tab/>
      </w:r>
      <w:r>
        <w:rPr>
          <w:rFonts w:hint="eastAsia"/>
          <w:sz w:val="28"/>
          <w:szCs w:val="28"/>
          <w:lang w:val="en-US" w:eastAsia="zh-CN"/>
        </w:rPr>
        <w:t>7</w:t>
      </w:r>
      <w:r>
        <w:rPr>
          <w:sz w:val="28"/>
          <w:szCs w:val="28"/>
        </w:rPr>
        <w:fldChar w:fldCharType="end"/>
      </w:r>
    </w:p>
    <w:p w14:paraId="234BEB04">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sz w:val="28"/>
          <w:szCs w:val="28"/>
        </w:rPr>
      </w:pPr>
      <w:r>
        <w:rPr>
          <w:sz w:val="28"/>
          <w:szCs w:val="28"/>
        </w:rPr>
        <w:fldChar w:fldCharType="begin"/>
      </w:r>
      <w:r>
        <w:rPr>
          <w:sz w:val="28"/>
          <w:szCs w:val="28"/>
        </w:rPr>
        <w:instrText xml:space="preserve"> HYPERLINK \l _Toc25406 </w:instrText>
      </w:r>
      <w:r>
        <w:rPr>
          <w:sz w:val="28"/>
          <w:szCs w:val="28"/>
        </w:rPr>
        <w:fldChar w:fldCharType="separate"/>
      </w:r>
      <w:r>
        <w:rPr>
          <w:rFonts w:hint="eastAsia" w:ascii="黑体" w:eastAsia="黑体"/>
          <w:sz w:val="28"/>
          <w:szCs w:val="28"/>
          <w:highlight w:val="none"/>
        </w:rPr>
        <w:t>八、政府性基金预算支出决算情况说明</w:t>
      </w:r>
      <w:r>
        <w:rPr>
          <w:sz w:val="28"/>
          <w:szCs w:val="28"/>
        </w:rPr>
        <w:tab/>
      </w:r>
      <w:r>
        <w:rPr>
          <w:rFonts w:hint="eastAsia"/>
          <w:sz w:val="28"/>
          <w:szCs w:val="28"/>
          <w:lang w:val="en-US" w:eastAsia="zh-CN"/>
        </w:rPr>
        <w:t>8</w:t>
      </w:r>
      <w:r>
        <w:rPr>
          <w:sz w:val="28"/>
          <w:szCs w:val="28"/>
        </w:rPr>
        <w:fldChar w:fldCharType="end"/>
      </w:r>
    </w:p>
    <w:p w14:paraId="4C1569D9">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sz w:val="28"/>
          <w:szCs w:val="28"/>
        </w:rPr>
      </w:pPr>
      <w:r>
        <w:rPr>
          <w:sz w:val="28"/>
          <w:szCs w:val="28"/>
        </w:rPr>
        <w:fldChar w:fldCharType="begin"/>
      </w:r>
      <w:r>
        <w:rPr>
          <w:sz w:val="28"/>
          <w:szCs w:val="28"/>
        </w:rPr>
        <w:instrText xml:space="preserve"> HYPERLINK \l _Toc23015 </w:instrText>
      </w:r>
      <w:r>
        <w:rPr>
          <w:sz w:val="28"/>
          <w:szCs w:val="28"/>
        </w:rPr>
        <w:fldChar w:fldCharType="separate"/>
      </w:r>
      <w:r>
        <w:rPr>
          <w:rFonts w:hint="eastAsia" w:ascii="黑体" w:eastAsia="黑体"/>
          <w:sz w:val="28"/>
          <w:szCs w:val="28"/>
          <w:highlight w:val="none"/>
          <w:lang w:eastAsia="zh-CN"/>
        </w:rPr>
        <w:t>九、</w:t>
      </w:r>
      <w:r>
        <w:rPr>
          <w:rFonts w:hint="eastAsia" w:ascii="黑体" w:eastAsia="黑体"/>
          <w:sz w:val="28"/>
          <w:szCs w:val="28"/>
          <w:highlight w:val="none"/>
        </w:rPr>
        <w:t>国有资本经营预算支出决算情况说明</w:t>
      </w:r>
      <w:r>
        <w:rPr>
          <w:sz w:val="28"/>
          <w:szCs w:val="28"/>
        </w:rPr>
        <w:tab/>
      </w:r>
      <w:r>
        <w:rPr>
          <w:rFonts w:hint="eastAsia"/>
          <w:sz w:val="28"/>
          <w:szCs w:val="28"/>
          <w:lang w:val="en-US" w:eastAsia="zh-CN"/>
        </w:rPr>
        <w:t>8</w:t>
      </w:r>
      <w:r>
        <w:rPr>
          <w:sz w:val="28"/>
          <w:szCs w:val="28"/>
        </w:rPr>
        <w:fldChar w:fldCharType="end"/>
      </w:r>
    </w:p>
    <w:p w14:paraId="1FD38072">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sz w:val="28"/>
          <w:szCs w:val="28"/>
        </w:rPr>
      </w:pPr>
      <w:r>
        <w:rPr>
          <w:sz w:val="28"/>
          <w:szCs w:val="28"/>
        </w:rPr>
        <w:fldChar w:fldCharType="begin"/>
      </w:r>
      <w:r>
        <w:rPr>
          <w:sz w:val="28"/>
          <w:szCs w:val="28"/>
        </w:rPr>
        <w:instrText xml:space="preserve"> HYPERLINK \l _Toc26291 </w:instrText>
      </w:r>
      <w:r>
        <w:rPr>
          <w:sz w:val="28"/>
          <w:szCs w:val="28"/>
        </w:rPr>
        <w:fldChar w:fldCharType="separate"/>
      </w:r>
      <w:r>
        <w:rPr>
          <w:rFonts w:hint="eastAsia" w:ascii="黑体" w:eastAsia="黑体"/>
          <w:sz w:val="28"/>
          <w:szCs w:val="28"/>
          <w:highlight w:val="none"/>
          <w:lang w:eastAsia="zh-CN"/>
        </w:rPr>
        <w:t>十、</w:t>
      </w:r>
      <w:r>
        <w:rPr>
          <w:rFonts w:hint="eastAsia" w:ascii="黑体" w:eastAsia="黑体"/>
          <w:sz w:val="28"/>
          <w:szCs w:val="28"/>
          <w:highlight w:val="none"/>
        </w:rPr>
        <w:t>其他重要事项的情况说明</w:t>
      </w:r>
      <w:r>
        <w:rPr>
          <w:sz w:val="28"/>
          <w:szCs w:val="28"/>
        </w:rPr>
        <w:tab/>
      </w:r>
      <w:r>
        <w:rPr>
          <w:rFonts w:hint="eastAsia"/>
          <w:sz w:val="28"/>
          <w:szCs w:val="28"/>
          <w:lang w:val="en-US" w:eastAsia="zh-CN"/>
        </w:rPr>
        <w:t>8</w:t>
      </w:r>
      <w:r>
        <w:rPr>
          <w:sz w:val="28"/>
          <w:szCs w:val="28"/>
        </w:rPr>
        <w:fldChar w:fldCharType="end"/>
      </w:r>
    </w:p>
    <w:p w14:paraId="23680102">
      <w:pPr>
        <w:pStyle w:val="30"/>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b/>
          <w:sz w:val="28"/>
          <w:szCs w:val="28"/>
          <w:lang w:val="en-US" w:eastAsia="zh-CN"/>
        </w:rPr>
      </w:pPr>
      <w:r>
        <w:rPr>
          <w:b/>
          <w:sz w:val="28"/>
          <w:szCs w:val="28"/>
        </w:rPr>
        <w:fldChar w:fldCharType="begin"/>
      </w:r>
      <w:r>
        <w:rPr>
          <w:b/>
          <w:sz w:val="28"/>
          <w:szCs w:val="28"/>
        </w:rPr>
        <w:instrText xml:space="preserve"> HYPERLINK \l _Toc22310 </w:instrText>
      </w:r>
      <w:r>
        <w:rPr>
          <w:b/>
          <w:sz w:val="28"/>
          <w:szCs w:val="28"/>
        </w:rPr>
        <w:fldChar w:fldCharType="separate"/>
      </w:r>
      <w:r>
        <w:rPr>
          <w:rFonts w:hint="eastAsia" w:ascii="黑体" w:eastAsia="黑体"/>
          <w:b/>
          <w:sz w:val="28"/>
          <w:szCs w:val="28"/>
          <w:highlight w:val="none"/>
          <w:lang w:eastAsia="zh-CN"/>
        </w:rPr>
        <w:t>第三部分</w:t>
      </w:r>
      <w:r>
        <w:rPr>
          <w:rFonts w:hint="eastAsia" w:ascii="黑体" w:eastAsia="黑体"/>
          <w:b/>
          <w:sz w:val="28"/>
          <w:szCs w:val="28"/>
          <w:highlight w:val="none"/>
          <w:lang w:val="en-US" w:eastAsia="zh-CN"/>
        </w:rPr>
        <w:t xml:space="preserve">  </w:t>
      </w:r>
      <w:r>
        <w:rPr>
          <w:rFonts w:hint="eastAsia" w:ascii="黑体" w:eastAsia="黑体"/>
          <w:b/>
          <w:sz w:val="28"/>
          <w:szCs w:val="28"/>
          <w:highlight w:val="none"/>
        </w:rPr>
        <w:t>名词解释</w:t>
      </w:r>
      <w:r>
        <w:rPr>
          <w:b/>
          <w:sz w:val="28"/>
          <w:szCs w:val="28"/>
        </w:rPr>
        <w:tab/>
      </w:r>
      <w:r>
        <w:rPr>
          <w:rFonts w:hint="eastAsia"/>
          <w:b/>
          <w:sz w:val="28"/>
          <w:szCs w:val="28"/>
          <w:lang w:val="en-US" w:eastAsia="zh-CN"/>
        </w:rPr>
        <w:t>1</w:t>
      </w:r>
      <w:r>
        <w:rPr>
          <w:b/>
          <w:sz w:val="28"/>
          <w:szCs w:val="28"/>
        </w:rPr>
        <w:fldChar w:fldCharType="end"/>
      </w:r>
      <w:r>
        <w:rPr>
          <w:rFonts w:hint="eastAsia"/>
          <w:b/>
          <w:sz w:val="28"/>
          <w:szCs w:val="28"/>
          <w:lang w:val="en-US" w:eastAsia="zh-CN"/>
        </w:rPr>
        <w:t>0</w:t>
      </w:r>
    </w:p>
    <w:p w14:paraId="7E3FFE94">
      <w:pPr>
        <w:pStyle w:val="30"/>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b/>
          <w:sz w:val="28"/>
          <w:szCs w:val="28"/>
          <w:lang w:val="en-US" w:eastAsia="zh-CN"/>
        </w:rPr>
      </w:pPr>
      <w:r>
        <w:rPr>
          <w:b/>
          <w:sz w:val="28"/>
          <w:szCs w:val="28"/>
        </w:rPr>
        <w:fldChar w:fldCharType="begin"/>
      </w:r>
      <w:r>
        <w:rPr>
          <w:b/>
          <w:sz w:val="28"/>
          <w:szCs w:val="28"/>
        </w:rPr>
        <w:instrText xml:space="preserve"> HYPERLINK \l _Toc17849 </w:instrText>
      </w:r>
      <w:r>
        <w:rPr>
          <w:b/>
          <w:sz w:val="28"/>
          <w:szCs w:val="28"/>
        </w:rPr>
        <w:fldChar w:fldCharType="separate"/>
      </w:r>
      <w:r>
        <w:rPr>
          <w:rFonts w:hint="eastAsia" w:ascii="黑体" w:eastAsia="黑体"/>
          <w:b/>
          <w:sz w:val="28"/>
          <w:szCs w:val="28"/>
          <w:highlight w:val="none"/>
        </w:rPr>
        <w:t>第</w:t>
      </w:r>
      <w:r>
        <w:rPr>
          <w:rFonts w:hint="eastAsia" w:ascii="黑体" w:eastAsia="黑体"/>
          <w:b/>
          <w:sz w:val="28"/>
          <w:szCs w:val="28"/>
          <w:highlight w:val="none"/>
          <w:lang w:eastAsia="zh-CN"/>
        </w:rPr>
        <w:t>四</w:t>
      </w:r>
      <w:r>
        <w:rPr>
          <w:rFonts w:hint="eastAsia" w:ascii="黑体" w:eastAsia="黑体"/>
          <w:b/>
          <w:sz w:val="28"/>
          <w:szCs w:val="28"/>
          <w:highlight w:val="none"/>
        </w:rPr>
        <w:t>部分 附表</w:t>
      </w:r>
      <w:r>
        <w:rPr>
          <w:b/>
          <w:sz w:val="28"/>
          <w:szCs w:val="28"/>
        </w:rPr>
        <w:tab/>
      </w:r>
      <w:r>
        <w:rPr>
          <w:rFonts w:hint="eastAsia"/>
          <w:b/>
          <w:sz w:val="28"/>
          <w:szCs w:val="28"/>
          <w:lang w:val="en-US" w:eastAsia="zh-CN"/>
        </w:rPr>
        <w:t>1</w:t>
      </w:r>
      <w:r>
        <w:rPr>
          <w:b/>
          <w:sz w:val="28"/>
          <w:szCs w:val="28"/>
        </w:rPr>
        <w:fldChar w:fldCharType="end"/>
      </w:r>
      <w:r>
        <w:rPr>
          <w:rFonts w:hint="eastAsia"/>
          <w:b/>
          <w:sz w:val="28"/>
          <w:szCs w:val="28"/>
          <w:lang w:val="en-US" w:eastAsia="zh-CN"/>
        </w:rPr>
        <w:t>3</w:t>
      </w:r>
    </w:p>
    <w:p w14:paraId="2F9D6694">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_Toc27882 </w:instrText>
      </w:r>
      <w:r>
        <w:rPr>
          <w:sz w:val="28"/>
          <w:szCs w:val="28"/>
        </w:rPr>
        <w:fldChar w:fldCharType="separate"/>
      </w:r>
      <w:r>
        <w:rPr>
          <w:rFonts w:hint="eastAsia" w:ascii="仿宋_GB2312" w:eastAsia="仿宋_GB2312" w:cs="Times New Roman"/>
          <w:bCs w:val="0"/>
          <w:kern w:val="2"/>
          <w:sz w:val="28"/>
          <w:szCs w:val="28"/>
          <w:lang w:val="en-US" w:eastAsia="zh-CN" w:bidi="ar-SA"/>
        </w:rPr>
        <w:t>一、收入支出决算总表</w:t>
      </w:r>
      <w:r>
        <w:rPr>
          <w:sz w:val="28"/>
          <w:szCs w:val="28"/>
        </w:rPr>
        <w:tab/>
      </w:r>
      <w:r>
        <w:rPr>
          <w:rFonts w:hint="eastAsia"/>
          <w:sz w:val="28"/>
          <w:szCs w:val="28"/>
          <w:lang w:val="en-US" w:eastAsia="zh-CN"/>
        </w:rPr>
        <w:t>1</w:t>
      </w:r>
      <w:r>
        <w:rPr>
          <w:sz w:val="28"/>
          <w:szCs w:val="28"/>
        </w:rPr>
        <w:fldChar w:fldCharType="end"/>
      </w:r>
      <w:r>
        <w:rPr>
          <w:rFonts w:hint="eastAsia"/>
          <w:sz w:val="28"/>
          <w:szCs w:val="28"/>
          <w:lang w:val="en-US" w:eastAsia="zh-CN"/>
        </w:rPr>
        <w:t>3</w:t>
      </w:r>
    </w:p>
    <w:p w14:paraId="5B3781A9">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_Toc18060 </w:instrText>
      </w:r>
      <w:r>
        <w:rPr>
          <w:sz w:val="28"/>
          <w:szCs w:val="28"/>
        </w:rPr>
        <w:fldChar w:fldCharType="separate"/>
      </w:r>
      <w:r>
        <w:rPr>
          <w:rFonts w:hint="eastAsia" w:ascii="仿宋_GB2312" w:eastAsia="仿宋_GB2312" w:cs="Times New Roman"/>
          <w:bCs w:val="0"/>
          <w:kern w:val="2"/>
          <w:sz w:val="28"/>
          <w:szCs w:val="28"/>
          <w:lang w:val="en-US" w:eastAsia="zh-CN" w:bidi="ar-SA"/>
        </w:rPr>
        <w:t>二、收入决算表</w:t>
      </w:r>
      <w:r>
        <w:rPr>
          <w:sz w:val="28"/>
          <w:szCs w:val="28"/>
        </w:rPr>
        <w:tab/>
      </w:r>
      <w:r>
        <w:rPr>
          <w:rFonts w:hint="eastAsia"/>
          <w:sz w:val="28"/>
          <w:szCs w:val="28"/>
          <w:lang w:val="en-US" w:eastAsia="zh-CN"/>
        </w:rPr>
        <w:t>1</w:t>
      </w:r>
      <w:r>
        <w:rPr>
          <w:sz w:val="28"/>
          <w:szCs w:val="28"/>
        </w:rPr>
        <w:fldChar w:fldCharType="end"/>
      </w:r>
      <w:r>
        <w:rPr>
          <w:rFonts w:hint="eastAsia"/>
          <w:sz w:val="28"/>
          <w:szCs w:val="28"/>
          <w:lang w:val="en-US" w:eastAsia="zh-CN"/>
        </w:rPr>
        <w:t>3</w:t>
      </w:r>
    </w:p>
    <w:p w14:paraId="6FAD4FDD">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_Toc5177 </w:instrText>
      </w:r>
      <w:r>
        <w:rPr>
          <w:sz w:val="28"/>
          <w:szCs w:val="28"/>
        </w:rPr>
        <w:fldChar w:fldCharType="separate"/>
      </w:r>
      <w:r>
        <w:rPr>
          <w:rFonts w:hint="eastAsia" w:ascii="仿宋_GB2312" w:eastAsia="仿宋_GB2312" w:cs="Times New Roman"/>
          <w:bCs w:val="0"/>
          <w:kern w:val="2"/>
          <w:sz w:val="28"/>
          <w:szCs w:val="28"/>
          <w:lang w:val="en-US" w:eastAsia="zh-CN" w:bidi="ar-SA"/>
        </w:rPr>
        <w:t>三、支出决算表</w:t>
      </w:r>
      <w:r>
        <w:rPr>
          <w:sz w:val="28"/>
          <w:szCs w:val="28"/>
        </w:rPr>
        <w:tab/>
      </w:r>
      <w:r>
        <w:rPr>
          <w:rFonts w:hint="eastAsia"/>
          <w:sz w:val="28"/>
          <w:szCs w:val="28"/>
          <w:lang w:val="en-US" w:eastAsia="zh-CN"/>
        </w:rPr>
        <w:t>1</w:t>
      </w:r>
      <w:r>
        <w:rPr>
          <w:sz w:val="28"/>
          <w:szCs w:val="28"/>
        </w:rPr>
        <w:fldChar w:fldCharType="end"/>
      </w:r>
      <w:r>
        <w:rPr>
          <w:rFonts w:hint="eastAsia"/>
          <w:sz w:val="28"/>
          <w:szCs w:val="28"/>
          <w:lang w:val="en-US" w:eastAsia="zh-CN"/>
        </w:rPr>
        <w:t>3</w:t>
      </w:r>
    </w:p>
    <w:p w14:paraId="553DC143">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_Toc744 </w:instrText>
      </w:r>
      <w:r>
        <w:rPr>
          <w:sz w:val="28"/>
          <w:szCs w:val="28"/>
        </w:rPr>
        <w:fldChar w:fldCharType="separate"/>
      </w:r>
      <w:r>
        <w:rPr>
          <w:rFonts w:hint="eastAsia" w:ascii="仿宋_GB2312" w:eastAsia="仿宋_GB2312" w:cs="Times New Roman"/>
          <w:bCs w:val="0"/>
          <w:kern w:val="2"/>
          <w:sz w:val="28"/>
          <w:szCs w:val="28"/>
          <w:lang w:val="en-US" w:eastAsia="zh-CN" w:bidi="ar-SA"/>
        </w:rPr>
        <w:t>四、财政拨款收入支出决算总表</w:t>
      </w:r>
      <w:r>
        <w:rPr>
          <w:sz w:val="28"/>
          <w:szCs w:val="28"/>
        </w:rPr>
        <w:tab/>
      </w:r>
      <w:r>
        <w:rPr>
          <w:rFonts w:hint="eastAsia"/>
          <w:sz w:val="28"/>
          <w:szCs w:val="28"/>
          <w:lang w:val="en-US" w:eastAsia="zh-CN"/>
        </w:rPr>
        <w:t>1</w:t>
      </w:r>
      <w:r>
        <w:rPr>
          <w:sz w:val="28"/>
          <w:szCs w:val="28"/>
        </w:rPr>
        <w:fldChar w:fldCharType="end"/>
      </w:r>
      <w:r>
        <w:rPr>
          <w:rFonts w:hint="eastAsia"/>
          <w:sz w:val="28"/>
          <w:szCs w:val="28"/>
          <w:lang w:val="en-US" w:eastAsia="zh-CN"/>
        </w:rPr>
        <w:t>3</w:t>
      </w:r>
    </w:p>
    <w:p w14:paraId="15B06068">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_Toc14695 </w:instrText>
      </w:r>
      <w:r>
        <w:rPr>
          <w:sz w:val="28"/>
          <w:szCs w:val="28"/>
        </w:rPr>
        <w:fldChar w:fldCharType="separate"/>
      </w:r>
      <w:r>
        <w:rPr>
          <w:rFonts w:hint="eastAsia" w:ascii="仿宋_GB2312" w:eastAsia="仿宋_GB2312" w:cs="Times New Roman"/>
          <w:bCs w:val="0"/>
          <w:kern w:val="2"/>
          <w:sz w:val="28"/>
          <w:szCs w:val="28"/>
          <w:lang w:val="en-US" w:eastAsia="zh-CN" w:bidi="ar-SA"/>
        </w:rPr>
        <w:t>五、财政拨款支出决算明细表</w:t>
      </w:r>
      <w:r>
        <w:rPr>
          <w:sz w:val="28"/>
          <w:szCs w:val="28"/>
        </w:rPr>
        <w:tab/>
      </w:r>
      <w:r>
        <w:rPr>
          <w:rFonts w:hint="eastAsia"/>
          <w:sz w:val="28"/>
          <w:szCs w:val="28"/>
          <w:lang w:val="en-US" w:eastAsia="zh-CN"/>
        </w:rPr>
        <w:t>1</w:t>
      </w:r>
      <w:r>
        <w:rPr>
          <w:sz w:val="28"/>
          <w:szCs w:val="28"/>
        </w:rPr>
        <w:fldChar w:fldCharType="end"/>
      </w:r>
      <w:r>
        <w:rPr>
          <w:rFonts w:hint="eastAsia"/>
          <w:sz w:val="28"/>
          <w:szCs w:val="28"/>
          <w:lang w:val="en-US" w:eastAsia="zh-CN"/>
        </w:rPr>
        <w:t>3</w:t>
      </w:r>
    </w:p>
    <w:p w14:paraId="168FFD56">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_Toc12597 </w:instrText>
      </w:r>
      <w:r>
        <w:rPr>
          <w:sz w:val="28"/>
          <w:szCs w:val="28"/>
        </w:rPr>
        <w:fldChar w:fldCharType="separate"/>
      </w:r>
      <w:r>
        <w:rPr>
          <w:rFonts w:hint="eastAsia" w:ascii="仿宋_GB2312" w:eastAsia="仿宋_GB2312" w:cs="Times New Roman"/>
          <w:bCs w:val="0"/>
          <w:kern w:val="2"/>
          <w:sz w:val="28"/>
          <w:szCs w:val="28"/>
          <w:lang w:val="en-US" w:eastAsia="zh-CN" w:bidi="ar-SA"/>
        </w:rPr>
        <w:t>六、一般公共预算财政拨款支出决算表</w:t>
      </w:r>
      <w:r>
        <w:rPr>
          <w:sz w:val="28"/>
          <w:szCs w:val="28"/>
        </w:rPr>
        <w:tab/>
      </w:r>
      <w:r>
        <w:rPr>
          <w:rFonts w:hint="eastAsia"/>
          <w:sz w:val="28"/>
          <w:szCs w:val="28"/>
          <w:lang w:val="en-US" w:eastAsia="zh-CN"/>
        </w:rPr>
        <w:t>1</w:t>
      </w:r>
      <w:r>
        <w:rPr>
          <w:sz w:val="28"/>
          <w:szCs w:val="28"/>
        </w:rPr>
        <w:fldChar w:fldCharType="end"/>
      </w:r>
      <w:r>
        <w:rPr>
          <w:rFonts w:hint="eastAsia"/>
          <w:sz w:val="28"/>
          <w:szCs w:val="28"/>
          <w:lang w:val="en-US" w:eastAsia="zh-CN"/>
        </w:rPr>
        <w:t>3</w:t>
      </w:r>
    </w:p>
    <w:p w14:paraId="4C4E19B0">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_Toc20248 </w:instrText>
      </w:r>
      <w:r>
        <w:rPr>
          <w:sz w:val="28"/>
          <w:szCs w:val="28"/>
        </w:rPr>
        <w:fldChar w:fldCharType="separate"/>
      </w:r>
      <w:r>
        <w:rPr>
          <w:rFonts w:hint="eastAsia" w:ascii="仿宋_GB2312" w:eastAsia="仿宋_GB2312" w:cs="Times New Roman"/>
          <w:bCs w:val="0"/>
          <w:kern w:val="2"/>
          <w:sz w:val="28"/>
          <w:szCs w:val="28"/>
          <w:lang w:val="en-US" w:eastAsia="zh-CN" w:bidi="ar-SA"/>
        </w:rPr>
        <w:t>七、一般公共预算财政拨款支出决算明细表</w:t>
      </w:r>
      <w:r>
        <w:rPr>
          <w:sz w:val="28"/>
          <w:szCs w:val="28"/>
        </w:rPr>
        <w:tab/>
      </w:r>
      <w:r>
        <w:rPr>
          <w:rFonts w:hint="eastAsia"/>
          <w:sz w:val="28"/>
          <w:szCs w:val="28"/>
          <w:lang w:val="en-US" w:eastAsia="zh-CN"/>
        </w:rPr>
        <w:t>1</w:t>
      </w:r>
      <w:r>
        <w:rPr>
          <w:sz w:val="28"/>
          <w:szCs w:val="28"/>
        </w:rPr>
        <w:fldChar w:fldCharType="end"/>
      </w:r>
      <w:r>
        <w:rPr>
          <w:rFonts w:hint="eastAsia"/>
          <w:sz w:val="28"/>
          <w:szCs w:val="28"/>
          <w:lang w:val="en-US" w:eastAsia="zh-CN"/>
        </w:rPr>
        <w:t>3</w:t>
      </w:r>
    </w:p>
    <w:p w14:paraId="7BEC575A">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_Toc8188 </w:instrText>
      </w:r>
      <w:r>
        <w:rPr>
          <w:sz w:val="28"/>
          <w:szCs w:val="28"/>
        </w:rPr>
        <w:fldChar w:fldCharType="separate"/>
      </w:r>
      <w:r>
        <w:rPr>
          <w:rFonts w:hint="eastAsia" w:ascii="仿宋_GB2312" w:eastAsia="仿宋_GB2312" w:cs="Times New Roman"/>
          <w:bCs w:val="0"/>
          <w:kern w:val="2"/>
          <w:sz w:val="28"/>
          <w:szCs w:val="28"/>
          <w:lang w:val="en-US" w:eastAsia="zh-CN" w:bidi="ar-SA"/>
        </w:rPr>
        <w:t>八、一般公共预算财政拨款基本支出决算表</w:t>
      </w:r>
      <w:r>
        <w:rPr>
          <w:sz w:val="28"/>
          <w:szCs w:val="28"/>
        </w:rPr>
        <w:tab/>
      </w:r>
      <w:r>
        <w:rPr>
          <w:rFonts w:hint="eastAsia"/>
          <w:sz w:val="28"/>
          <w:szCs w:val="28"/>
          <w:lang w:val="en-US" w:eastAsia="zh-CN"/>
        </w:rPr>
        <w:t>1</w:t>
      </w:r>
      <w:r>
        <w:rPr>
          <w:sz w:val="28"/>
          <w:szCs w:val="28"/>
        </w:rPr>
        <w:fldChar w:fldCharType="end"/>
      </w:r>
      <w:r>
        <w:rPr>
          <w:rFonts w:hint="eastAsia"/>
          <w:sz w:val="28"/>
          <w:szCs w:val="28"/>
          <w:lang w:val="en-US" w:eastAsia="zh-CN"/>
        </w:rPr>
        <w:t>3</w:t>
      </w:r>
    </w:p>
    <w:p w14:paraId="624D2B8C">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_Toc15960 </w:instrText>
      </w:r>
      <w:r>
        <w:rPr>
          <w:sz w:val="28"/>
          <w:szCs w:val="28"/>
        </w:rPr>
        <w:fldChar w:fldCharType="separate"/>
      </w:r>
      <w:r>
        <w:rPr>
          <w:rFonts w:hint="eastAsia" w:ascii="仿宋_GB2312" w:eastAsia="仿宋_GB2312" w:cs="Times New Roman"/>
          <w:bCs w:val="0"/>
          <w:kern w:val="2"/>
          <w:sz w:val="28"/>
          <w:szCs w:val="28"/>
          <w:lang w:val="en-US" w:eastAsia="zh-CN" w:bidi="ar-SA"/>
        </w:rPr>
        <w:t>九、一般公共预算财政拨款项目支出决算表</w:t>
      </w:r>
      <w:r>
        <w:rPr>
          <w:sz w:val="28"/>
          <w:szCs w:val="28"/>
        </w:rPr>
        <w:tab/>
      </w:r>
      <w:r>
        <w:rPr>
          <w:rFonts w:hint="eastAsia"/>
          <w:sz w:val="28"/>
          <w:szCs w:val="28"/>
          <w:lang w:val="en-US" w:eastAsia="zh-CN"/>
        </w:rPr>
        <w:t>1</w:t>
      </w:r>
      <w:r>
        <w:rPr>
          <w:sz w:val="28"/>
          <w:szCs w:val="28"/>
        </w:rPr>
        <w:fldChar w:fldCharType="end"/>
      </w:r>
      <w:r>
        <w:rPr>
          <w:rFonts w:hint="eastAsia"/>
          <w:sz w:val="28"/>
          <w:szCs w:val="28"/>
          <w:lang w:val="en-US" w:eastAsia="zh-CN"/>
        </w:rPr>
        <w:t>3</w:t>
      </w:r>
    </w:p>
    <w:p w14:paraId="6A1A5E63">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_Toc15892 </w:instrText>
      </w:r>
      <w:r>
        <w:rPr>
          <w:sz w:val="28"/>
          <w:szCs w:val="28"/>
        </w:rPr>
        <w:fldChar w:fldCharType="separate"/>
      </w:r>
      <w:r>
        <w:rPr>
          <w:rFonts w:hint="eastAsia" w:ascii="仿宋_GB2312" w:eastAsia="仿宋_GB2312" w:cs="Times New Roman"/>
          <w:bCs w:val="0"/>
          <w:kern w:val="2"/>
          <w:sz w:val="28"/>
          <w:szCs w:val="28"/>
          <w:lang w:val="en-US" w:eastAsia="zh-CN" w:bidi="ar-SA"/>
        </w:rPr>
        <w:t>十、政府性基金预算财政拨款收入支出决算表</w:t>
      </w:r>
      <w:r>
        <w:rPr>
          <w:sz w:val="28"/>
          <w:szCs w:val="28"/>
        </w:rPr>
        <w:tab/>
      </w:r>
      <w:r>
        <w:rPr>
          <w:rFonts w:hint="eastAsia"/>
          <w:sz w:val="28"/>
          <w:szCs w:val="28"/>
          <w:lang w:val="en-US" w:eastAsia="zh-CN"/>
        </w:rPr>
        <w:t>1</w:t>
      </w:r>
      <w:r>
        <w:rPr>
          <w:sz w:val="28"/>
          <w:szCs w:val="28"/>
        </w:rPr>
        <w:fldChar w:fldCharType="end"/>
      </w:r>
      <w:r>
        <w:rPr>
          <w:rFonts w:hint="eastAsia"/>
          <w:sz w:val="28"/>
          <w:szCs w:val="28"/>
          <w:lang w:val="en-US" w:eastAsia="zh-CN"/>
        </w:rPr>
        <w:t>3</w:t>
      </w:r>
    </w:p>
    <w:p w14:paraId="4518AB0E">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_Toc17569 </w:instrText>
      </w:r>
      <w:r>
        <w:rPr>
          <w:sz w:val="28"/>
          <w:szCs w:val="28"/>
        </w:rPr>
        <w:fldChar w:fldCharType="separate"/>
      </w:r>
      <w:r>
        <w:rPr>
          <w:rFonts w:hint="eastAsia" w:ascii="仿宋_GB2312" w:eastAsia="仿宋_GB2312" w:cs="Times New Roman"/>
          <w:bCs w:val="0"/>
          <w:kern w:val="2"/>
          <w:sz w:val="28"/>
          <w:szCs w:val="28"/>
          <w:lang w:val="en-US" w:eastAsia="zh-CN" w:bidi="ar-SA"/>
        </w:rPr>
        <w:t>十一、国有资本经营预算财政拨款收入支出决算表</w:t>
      </w:r>
      <w:r>
        <w:rPr>
          <w:sz w:val="28"/>
          <w:szCs w:val="28"/>
        </w:rPr>
        <w:tab/>
      </w:r>
      <w:r>
        <w:rPr>
          <w:rFonts w:hint="eastAsia"/>
          <w:sz w:val="28"/>
          <w:szCs w:val="28"/>
          <w:lang w:val="en-US" w:eastAsia="zh-CN"/>
        </w:rPr>
        <w:t>1</w:t>
      </w:r>
      <w:r>
        <w:rPr>
          <w:sz w:val="28"/>
          <w:szCs w:val="28"/>
        </w:rPr>
        <w:fldChar w:fldCharType="end"/>
      </w:r>
      <w:r>
        <w:rPr>
          <w:rFonts w:hint="eastAsia"/>
          <w:sz w:val="28"/>
          <w:szCs w:val="28"/>
          <w:lang w:val="en-US" w:eastAsia="zh-CN"/>
        </w:rPr>
        <w:t>3</w:t>
      </w:r>
    </w:p>
    <w:p w14:paraId="10BB6D6D">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_Toc7465 </w:instrText>
      </w:r>
      <w:r>
        <w:rPr>
          <w:sz w:val="28"/>
          <w:szCs w:val="28"/>
        </w:rPr>
        <w:fldChar w:fldCharType="separate"/>
      </w:r>
      <w:r>
        <w:rPr>
          <w:rFonts w:hint="eastAsia" w:ascii="仿宋_GB2312" w:eastAsia="仿宋_GB2312" w:cs="Times New Roman"/>
          <w:bCs w:val="0"/>
          <w:kern w:val="2"/>
          <w:sz w:val="28"/>
          <w:szCs w:val="28"/>
          <w:lang w:val="en-US" w:eastAsia="zh-CN" w:bidi="ar-SA"/>
        </w:rPr>
        <w:t>十二、国有资本经营预算财政拨款支出决算表</w:t>
      </w:r>
      <w:r>
        <w:rPr>
          <w:sz w:val="28"/>
          <w:szCs w:val="28"/>
        </w:rPr>
        <w:tab/>
      </w:r>
      <w:r>
        <w:rPr>
          <w:rFonts w:hint="eastAsia"/>
          <w:sz w:val="28"/>
          <w:szCs w:val="28"/>
          <w:lang w:val="en-US" w:eastAsia="zh-CN"/>
        </w:rPr>
        <w:t>1</w:t>
      </w:r>
      <w:r>
        <w:rPr>
          <w:sz w:val="28"/>
          <w:szCs w:val="28"/>
        </w:rPr>
        <w:fldChar w:fldCharType="end"/>
      </w:r>
      <w:r>
        <w:rPr>
          <w:rFonts w:hint="eastAsia"/>
          <w:sz w:val="28"/>
          <w:szCs w:val="28"/>
          <w:lang w:val="en-US" w:eastAsia="zh-CN"/>
        </w:rPr>
        <w:t>3</w:t>
      </w:r>
    </w:p>
    <w:p w14:paraId="6B86A8A2">
      <w:pPr>
        <w:pStyle w:val="31"/>
        <w:keepNext w:val="0"/>
        <w:keepLines w:val="0"/>
        <w:pageBreakBefore w:val="0"/>
        <w:tabs>
          <w:tab w:val="right" w:leader="dot" w:pos="8306"/>
        </w:tabs>
        <w:kinsoku/>
        <w:wordWrap/>
        <w:overflowPunct/>
        <w:topLinePunct w:val="0"/>
        <w:autoSpaceDE/>
        <w:autoSpaceDN/>
        <w:bidi w:val="0"/>
        <w:adjustRightInd/>
        <w:snapToGrid/>
        <w:spacing w:line="570" w:lineRule="exact"/>
        <w:textAlignment w:val="auto"/>
        <w:rPr>
          <w:rFonts w:hint="eastAsia" w:eastAsia="宋体"/>
          <w:sz w:val="28"/>
          <w:szCs w:val="28"/>
          <w:lang w:val="en-US" w:eastAsia="zh-CN"/>
        </w:rPr>
      </w:pPr>
      <w:r>
        <w:rPr>
          <w:sz w:val="28"/>
          <w:szCs w:val="28"/>
        </w:rPr>
        <w:fldChar w:fldCharType="begin"/>
      </w:r>
      <w:r>
        <w:rPr>
          <w:sz w:val="28"/>
          <w:szCs w:val="28"/>
        </w:rPr>
        <w:instrText xml:space="preserve"> HYPERLINK \l _Toc5816 </w:instrText>
      </w:r>
      <w:r>
        <w:rPr>
          <w:sz w:val="28"/>
          <w:szCs w:val="28"/>
        </w:rPr>
        <w:fldChar w:fldCharType="separate"/>
      </w:r>
      <w:r>
        <w:rPr>
          <w:rFonts w:hint="eastAsia" w:ascii="仿宋_GB2312" w:eastAsia="仿宋_GB2312" w:cs="Times New Roman"/>
          <w:bCs w:val="0"/>
          <w:kern w:val="2"/>
          <w:sz w:val="28"/>
          <w:szCs w:val="28"/>
          <w:lang w:val="en-US" w:eastAsia="zh-CN" w:bidi="ar-SA"/>
        </w:rPr>
        <w:t>十三、财政拨款“三公”经费支出决算表</w:t>
      </w:r>
      <w:r>
        <w:rPr>
          <w:sz w:val="28"/>
          <w:szCs w:val="28"/>
        </w:rPr>
        <w:tab/>
      </w:r>
      <w:r>
        <w:rPr>
          <w:rFonts w:hint="eastAsia"/>
          <w:sz w:val="28"/>
          <w:szCs w:val="28"/>
          <w:lang w:val="en-US" w:eastAsia="zh-CN"/>
        </w:rPr>
        <w:t>1</w:t>
      </w:r>
      <w:r>
        <w:rPr>
          <w:sz w:val="28"/>
          <w:szCs w:val="28"/>
        </w:rPr>
        <w:fldChar w:fldCharType="end"/>
      </w:r>
      <w:r>
        <w:rPr>
          <w:rFonts w:hint="eastAsia"/>
          <w:sz w:val="28"/>
          <w:szCs w:val="28"/>
          <w:lang w:val="en-US" w:eastAsia="zh-CN"/>
        </w:rPr>
        <w:t>3</w:t>
      </w:r>
    </w:p>
    <w:p w14:paraId="62BBCF86">
      <w:pPr>
        <w:pStyle w:val="8"/>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eastAsia="宋体"/>
          <w:lang w:val="en-US" w:eastAsia="zh-CN"/>
        </w:rPr>
        <w:sectPr>
          <w:footerReference r:id="rId8" w:type="first"/>
          <w:headerReference r:id="rId6" w:type="default"/>
          <w:footerReference r:id="rId7" w:type="default"/>
          <w:pgSz w:w="11906" w:h="16838"/>
          <w:pgMar w:top="1440" w:right="1800" w:bottom="1440" w:left="1800" w:header="851" w:footer="992" w:gutter="0"/>
          <w:pgNumType w:fmt="numberInDash" w:start="1"/>
          <w:cols w:space="720" w:num="1"/>
          <w:titlePg/>
          <w:docGrid w:type="lines" w:linePitch="312" w:charSpace="0"/>
        </w:sectPr>
      </w:pPr>
      <w:r>
        <w:rPr>
          <w:b/>
          <w:sz w:val="28"/>
          <w:szCs w:val="28"/>
        </w:rPr>
        <w:fldChar w:fldCharType="end"/>
      </w:r>
    </w:p>
    <w:bookmarkEnd w:id="6"/>
    <w:p w14:paraId="0926394E">
      <w:pPr>
        <w:pStyle w:val="5"/>
        <w:ind w:firstLine="1760" w:firstLineChars="400"/>
        <w:jc w:val="both"/>
        <w:rPr>
          <w:rStyle w:val="19"/>
          <w:rFonts w:hint="eastAsia" w:ascii="Times New Roman" w:hAnsi="Times New Roman" w:eastAsia="方正小标宋简体" w:cs="方正小标宋简体"/>
          <w:b/>
          <w:bCs w:val="0"/>
          <w:color w:val="auto"/>
          <w:highlight w:val="none"/>
        </w:rPr>
      </w:pPr>
      <w:bookmarkStart w:id="7" w:name="_Toc11033"/>
      <w:bookmarkStart w:id="8" w:name="_Toc31983"/>
      <w:bookmarkStart w:id="9" w:name="_Toc6320"/>
      <w:r>
        <w:rPr>
          <w:rFonts w:hint="eastAsia" w:ascii="黑体" w:eastAsia="黑体" w:cs="黑体"/>
          <w:b w:val="0"/>
          <w:color w:val="auto"/>
          <w:highlight w:val="none"/>
        </w:rPr>
        <w:t>第一部分</w:t>
      </w:r>
      <w:r>
        <w:rPr>
          <w:rFonts w:hint="eastAsia" w:ascii="黑体" w:eastAsia="黑体" w:cs="黑体"/>
          <w:b w:val="0"/>
          <w:color w:val="auto"/>
          <w:highlight w:val="none"/>
          <w:lang w:val="en-US" w:eastAsia="zh-CN"/>
        </w:rPr>
        <w:t xml:space="preserve"> </w:t>
      </w:r>
      <w:r>
        <w:rPr>
          <w:rFonts w:hint="eastAsia" w:ascii="黑体" w:eastAsia="黑体" w:cs="黑体"/>
          <w:b w:val="0"/>
          <w:color w:val="auto"/>
          <w:highlight w:val="none"/>
        </w:rPr>
        <w:t xml:space="preserve"> </w:t>
      </w:r>
      <w:r>
        <w:rPr>
          <w:rStyle w:val="19"/>
          <w:rFonts w:hint="eastAsia" w:ascii="黑体" w:eastAsia="黑体" w:cs="黑体"/>
          <w:b w:val="0"/>
          <w:bCs w:val="0"/>
          <w:color w:val="auto"/>
          <w:highlight w:val="none"/>
        </w:rPr>
        <w:t>部门概况</w:t>
      </w:r>
      <w:bookmarkEnd w:id="7"/>
    </w:p>
    <w:bookmarkEnd w:id="8"/>
    <w:bookmarkEnd w:id="9"/>
    <w:p w14:paraId="0B93B204">
      <w:pPr>
        <w:pStyle w:val="26"/>
        <w:keepNext w:val="0"/>
        <w:keepLines w:val="0"/>
        <w:pageBreakBefore w:val="0"/>
        <w:widowControl w:val="0"/>
        <w:suppressAutoHyphens/>
        <w:kinsoku/>
        <w:wordWrap/>
        <w:overflowPunct/>
        <w:topLinePunct w:val="0"/>
        <w:autoSpaceDN/>
        <w:bidi w:val="0"/>
        <w:adjustRightInd/>
        <w:spacing w:line="570" w:lineRule="exact"/>
        <w:ind w:left="0" w:firstLine="640" w:firstLineChars="200"/>
        <w:textAlignment w:val="auto"/>
        <w:outlineLvl w:val="1"/>
        <w:rPr>
          <w:rFonts w:hint="eastAsia" w:ascii="黑体" w:eastAsia="黑体" w:cs="Times New Roman"/>
          <w:color w:val="auto"/>
          <w:sz w:val="32"/>
          <w:szCs w:val="32"/>
          <w:highlight w:val="none"/>
          <w:lang w:eastAsia="zh-CN" w:bidi="ar-SA"/>
        </w:rPr>
      </w:pPr>
      <w:bookmarkStart w:id="10" w:name="_Toc29855"/>
      <w:r>
        <w:rPr>
          <w:rFonts w:hint="eastAsia" w:ascii="黑体" w:eastAsia="黑体" w:cs="Times New Roman"/>
          <w:color w:val="auto"/>
          <w:sz w:val="32"/>
          <w:szCs w:val="32"/>
          <w:highlight w:val="none"/>
          <w:lang w:eastAsia="zh-CN" w:bidi="ar-SA"/>
        </w:rPr>
        <w:t>一、主要职责</w:t>
      </w:r>
      <w:bookmarkEnd w:id="10"/>
    </w:p>
    <w:p w14:paraId="336136A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right="0" w:firstLine="640" w:firstLineChars="200"/>
        <w:jc w:val="both"/>
        <w:textAlignment w:val="auto"/>
        <w:rPr>
          <w:rFonts w:ascii="仿宋_GB2312" w:eastAsia="仿宋_GB2312" w:cs="仿宋_GB2312"/>
          <w:kern w:val="2"/>
          <w:sz w:val="32"/>
          <w:szCs w:val="32"/>
          <w:lang w:eastAsia="zh-CN"/>
        </w:rPr>
      </w:pPr>
      <w:r>
        <w:rPr>
          <w:rFonts w:ascii="仿宋_GB2312" w:eastAsia="仿宋_GB2312" w:cs="仿宋_GB2312"/>
          <w:kern w:val="2"/>
          <w:sz w:val="32"/>
          <w:szCs w:val="32"/>
          <w:lang w:val="en-US" w:eastAsia="zh-CN"/>
        </w:rPr>
        <w:t>1.</w:t>
      </w:r>
      <w:r>
        <w:rPr>
          <w:rFonts w:hint="eastAsia" w:ascii="仿宋_GB2312" w:eastAsia="仿宋_GB2312"/>
          <w:sz w:val="32"/>
          <w:szCs w:val="32"/>
        </w:rPr>
        <w:t>负责各类房屋建筑及其附属设施的建造和与其配套的线路、管道、设备安装项目和市政工程项目的初步设计审查、施工图审批、开工审批和招投标活动的执法监督</w:t>
      </w:r>
      <w:r>
        <w:rPr>
          <w:rFonts w:ascii="仿宋_GB2312" w:eastAsia="仿宋_GB2312" w:cs="仿宋_GB2312"/>
          <w:kern w:val="2"/>
          <w:sz w:val="32"/>
          <w:szCs w:val="32"/>
          <w:lang w:eastAsia="zh-CN"/>
        </w:rPr>
        <w:t>。</w:t>
      </w:r>
    </w:p>
    <w:p w14:paraId="0FFD9383">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eastAsia="仿宋_GB2312"/>
          <w:sz w:val="32"/>
          <w:szCs w:val="32"/>
        </w:rPr>
      </w:pPr>
      <w:r>
        <w:rPr>
          <w:rFonts w:hint="eastAsia" w:ascii="仿宋_GB2312" w:eastAsia="仿宋_GB2312"/>
          <w:sz w:val="32"/>
          <w:szCs w:val="32"/>
        </w:rPr>
        <w:t>2.综合管理和指导全县建筑业，规范建筑市场</w:t>
      </w:r>
      <w:r>
        <w:rPr>
          <w:rFonts w:hint="eastAsia" w:ascii="仿宋_GB2312" w:eastAsia="仿宋_GB2312"/>
          <w:sz w:val="32"/>
          <w:szCs w:val="32"/>
          <w:lang w:val="en-US" w:eastAsia="zh-CN"/>
        </w:rPr>
        <w:t>;</w:t>
      </w:r>
      <w:r>
        <w:rPr>
          <w:rFonts w:hint="eastAsia" w:ascii="仿宋_GB2312" w:eastAsia="仿宋_GB2312"/>
          <w:sz w:val="32"/>
          <w:szCs w:val="32"/>
        </w:rPr>
        <w:t>指导和监督管理建筑市场和室内装饰装修市场准入、工程监理及工程质量监督、检测和施工安全等。</w:t>
      </w:r>
      <w:r>
        <w:rPr>
          <w:rFonts w:eastAsia="仿宋_GB2312"/>
          <w:sz w:val="32"/>
          <w:szCs w:val="32"/>
        </w:rPr>
        <w:t> </w:t>
      </w:r>
    </w:p>
    <w:p w14:paraId="6D6233E4">
      <w:pPr>
        <w:keepNext w:val="0"/>
        <w:keepLines w:val="0"/>
        <w:pageBreakBefore w:val="0"/>
        <w:widowControl w:val="0"/>
        <w:kinsoku/>
        <w:wordWrap/>
        <w:overflowPunct/>
        <w:topLinePunct w:val="0"/>
        <w:autoSpaceDN/>
        <w:bidi w:val="0"/>
        <w:adjustRightInd/>
        <w:snapToGrid/>
        <w:spacing w:line="560" w:lineRule="exact"/>
        <w:textAlignment w:val="auto"/>
        <w:rPr>
          <w:rFonts w:eastAsia="仿宋_GB2312"/>
          <w:sz w:val="32"/>
          <w:szCs w:val="32"/>
        </w:rPr>
      </w:pPr>
      <w:r>
        <w:rPr>
          <w:rFonts w:hint="eastAsia" w:ascii="仿宋_GB2312" w:eastAsia="仿宋_GB2312"/>
          <w:sz w:val="32"/>
          <w:szCs w:val="32"/>
        </w:rPr>
        <w:t>　</w:t>
      </w:r>
      <w:r>
        <w:rPr>
          <w:rFonts w:hint="eastAsia" w:ascii="仿宋_GB2312" w:eastAsia="仿宋_GB2312"/>
          <w:sz w:val="32"/>
          <w:szCs w:val="32"/>
          <w:lang w:val="en-US" w:eastAsia="zh-CN"/>
        </w:rPr>
        <w:t xml:space="preserve"> </w:t>
      </w:r>
      <w:r>
        <w:rPr>
          <w:rFonts w:hint="eastAsia" w:ascii="仿宋_GB2312" w:eastAsia="仿宋_GB2312"/>
          <w:sz w:val="32"/>
          <w:szCs w:val="32"/>
        </w:rPr>
        <w:t>3.指导城市供水、排水设施的建设管理工作</w:t>
      </w:r>
      <w:r>
        <w:rPr>
          <w:rFonts w:hint="eastAsia" w:ascii="仿宋_GB2312" w:eastAsia="仿宋_GB2312"/>
          <w:sz w:val="32"/>
          <w:szCs w:val="32"/>
          <w:lang w:val="en-US" w:eastAsia="zh-CN"/>
        </w:rPr>
        <w:t>;</w:t>
      </w:r>
      <w:r>
        <w:rPr>
          <w:rFonts w:hint="eastAsia" w:ascii="仿宋_GB2312" w:eastAsia="仿宋_GB2312"/>
          <w:sz w:val="32"/>
          <w:szCs w:val="32"/>
        </w:rPr>
        <w:t>指导城市计划用水</w:t>
      </w:r>
      <w:r>
        <w:rPr>
          <w:rFonts w:hint="eastAsia" w:ascii="仿宋_GB2312" w:eastAsia="仿宋_GB2312"/>
          <w:sz w:val="32"/>
          <w:szCs w:val="32"/>
          <w:lang w:val="en-US" w:eastAsia="zh-CN"/>
        </w:rPr>
        <w:t>,</w:t>
      </w:r>
      <w:r>
        <w:rPr>
          <w:rFonts w:hint="eastAsia" w:ascii="仿宋_GB2312" w:eastAsia="仿宋_GB2312"/>
          <w:sz w:val="32"/>
          <w:szCs w:val="32"/>
        </w:rPr>
        <w:t>节约用水工作。</w:t>
      </w:r>
      <w:r>
        <w:rPr>
          <w:rFonts w:eastAsia="仿宋_GB2312"/>
          <w:sz w:val="32"/>
          <w:szCs w:val="32"/>
        </w:rPr>
        <w:t> </w:t>
      </w:r>
    </w:p>
    <w:p w14:paraId="5F8D2B14">
      <w:pPr>
        <w:keepNext w:val="0"/>
        <w:keepLines w:val="0"/>
        <w:pageBreakBefore w:val="0"/>
        <w:widowControl w:val="0"/>
        <w:kinsoku/>
        <w:wordWrap/>
        <w:overflowPunct/>
        <w:topLinePunct w:val="0"/>
        <w:autoSpaceDN/>
        <w:bidi w:val="0"/>
        <w:adjustRightInd/>
        <w:snapToGrid/>
        <w:spacing w:line="560" w:lineRule="exact"/>
        <w:textAlignment w:val="auto"/>
        <w:rPr>
          <w:rFonts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4.指导全县城镇建设、集镇和村镇规划建设工作</w:t>
      </w:r>
      <w:r>
        <w:rPr>
          <w:rFonts w:hint="eastAsia" w:ascii="仿宋_GB2312" w:eastAsia="仿宋_GB2312"/>
          <w:sz w:val="32"/>
          <w:szCs w:val="32"/>
          <w:lang w:val="en-US" w:eastAsia="zh-CN"/>
        </w:rPr>
        <w:t>;</w:t>
      </w:r>
      <w:r>
        <w:rPr>
          <w:rFonts w:hint="eastAsia" w:ascii="仿宋_GB2312" w:eastAsia="仿宋_GB2312"/>
          <w:sz w:val="32"/>
          <w:szCs w:val="32"/>
        </w:rPr>
        <w:t>指导城市防洪设施建设工作和城市建设档案工作</w:t>
      </w:r>
      <w:r>
        <w:rPr>
          <w:rFonts w:hint="eastAsia" w:ascii="仿宋_GB2312" w:eastAsia="仿宋_GB2312"/>
          <w:sz w:val="32"/>
          <w:szCs w:val="32"/>
          <w:lang w:val="en-US" w:eastAsia="zh-CN"/>
        </w:rPr>
        <w:t>;</w:t>
      </w:r>
      <w:r>
        <w:rPr>
          <w:rFonts w:hint="eastAsia" w:ascii="仿宋_GB2312" w:eastAsia="仿宋_GB2312"/>
          <w:sz w:val="32"/>
          <w:szCs w:val="32"/>
        </w:rPr>
        <w:t>会同有关部门管理工业民用建筑的抗震设防工作。</w:t>
      </w:r>
      <w:r>
        <w:rPr>
          <w:rFonts w:eastAsia="仿宋_GB2312"/>
          <w:sz w:val="32"/>
          <w:szCs w:val="32"/>
        </w:rPr>
        <w:t> </w:t>
      </w:r>
    </w:p>
    <w:p w14:paraId="164F1FB9">
      <w:pPr>
        <w:keepNext w:val="0"/>
        <w:keepLines w:val="0"/>
        <w:pageBreakBefore w:val="0"/>
        <w:widowControl w:val="0"/>
        <w:kinsoku/>
        <w:wordWrap/>
        <w:overflowPunct/>
        <w:topLinePunct w:val="0"/>
        <w:autoSpaceDN/>
        <w:bidi w:val="0"/>
        <w:adjustRightInd/>
        <w:snapToGrid/>
        <w:spacing w:line="560" w:lineRule="exact"/>
        <w:textAlignment w:val="auto"/>
        <w:rPr>
          <w:rFonts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5.指导全县城镇土地使用权有偿转让、房地产开发经营和中介服务、房屋商品化工作</w:t>
      </w:r>
      <w:r>
        <w:rPr>
          <w:rFonts w:hint="eastAsia" w:ascii="仿宋_GB2312" w:eastAsia="仿宋_GB2312"/>
          <w:sz w:val="32"/>
          <w:szCs w:val="32"/>
          <w:lang w:val="en-US" w:eastAsia="zh-CN"/>
        </w:rPr>
        <w:t>,</w:t>
      </w:r>
      <w:r>
        <w:rPr>
          <w:rFonts w:hint="eastAsia" w:ascii="仿宋_GB2312" w:eastAsia="仿宋_GB2312"/>
          <w:sz w:val="32"/>
          <w:szCs w:val="32"/>
        </w:rPr>
        <w:t>规范房地产市场</w:t>
      </w:r>
      <w:r>
        <w:rPr>
          <w:rFonts w:hint="eastAsia" w:ascii="仿宋_GB2312" w:eastAsia="仿宋_GB2312"/>
          <w:sz w:val="32"/>
          <w:szCs w:val="32"/>
          <w:lang w:val="en-US" w:eastAsia="zh-CN"/>
        </w:rPr>
        <w:t>;</w:t>
      </w:r>
      <w:r>
        <w:rPr>
          <w:rFonts w:hint="eastAsia" w:ascii="仿宋_GB2312" w:eastAsia="仿宋_GB2312"/>
          <w:sz w:val="32"/>
          <w:szCs w:val="32"/>
        </w:rPr>
        <w:t>指导和推进城镇住宅建设</w:t>
      </w:r>
      <w:r>
        <w:rPr>
          <w:rFonts w:hint="eastAsia" w:ascii="仿宋_GB2312" w:eastAsia="仿宋_GB2312"/>
          <w:sz w:val="32"/>
          <w:szCs w:val="32"/>
          <w:lang w:val="en-US" w:eastAsia="zh-CN"/>
        </w:rPr>
        <w:t>;</w:t>
      </w:r>
      <w:r>
        <w:rPr>
          <w:rFonts w:hint="eastAsia" w:ascii="仿宋_GB2312" w:eastAsia="仿宋_GB2312"/>
          <w:sz w:val="32"/>
          <w:szCs w:val="32"/>
        </w:rPr>
        <w:t>负责住房制度改革工作。</w:t>
      </w:r>
      <w:r>
        <w:rPr>
          <w:rFonts w:eastAsia="仿宋_GB2312"/>
          <w:sz w:val="32"/>
          <w:szCs w:val="32"/>
        </w:rPr>
        <w:t> </w:t>
      </w:r>
    </w:p>
    <w:p w14:paraId="0FAC8AC5">
      <w:pPr>
        <w:keepNext w:val="0"/>
        <w:keepLines w:val="0"/>
        <w:pageBreakBefore w:val="0"/>
        <w:widowControl w:val="0"/>
        <w:kinsoku/>
        <w:wordWrap/>
        <w:overflowPunct/>
        <w:topLinePunct w:val="0"/>
        <w:autoSpaceDN/>
        <w:bidi w:val="0"/>
        <w:adjustRightInd/>
        <w:snapToGrid/>
        <w:spacing w:line="560" w:lineRule="exact"/>
        <w:textAlignment w:val="auto"/>
        <w:rPr>
          <w:rFonts w:hint="eastAsia"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6.承担推进住房制度改革、保障城镇低收入家庭住房的责任；拟订全县住房及住房保障相关政策并指导实施</w:t>
      </w:r>
      <w:r>
        <w:rPr>
          <w:rFonts w:hint="eastAsia" w:ascii="仿宋_GB2312" w:eastAsia="仿宋_GB2312"/>
          <w:sz w:val="32"/>
          <w:szCs w:val="32"/>
          <w:lang w:val="en-US" w:eastAsia="zh-CN"/>
        </w:rPr>
        <w:t>,</w:t>
      </w:r>
      <w:r>
        <w:rPr>
          <w:rFonts w:hint="eastAsia" w:ascii="仿宋_GB2312" w:eastAsia="仿宋_GB2312"/>
          <w:sz w:val="32"/>
          <w:szCs w:val="32"/>
        </w:rPr>
        <w:t>指导住房建设和住房制度改革。</w:t>
      </w:r>
    </w:p>
    <w:p w14:paraId="51663F5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right="0" w:firstLine="640" w:firstLineChars="200"/>
        <w:jc w:val="both"/>
        <w:textAlignment w:val="auto"/>
        <w:outlineLvl w:val="1"/>
        <w:rPr>
          <w:rFonts w:hint="eastAsia" w:ascii="仿宋_GB2312" w:eastAsia="仿宋_GB2312"/>
          <w:sz w:val="32"/>
          <w:szCs w:val="32"/>
          <w:lang w:eastAsia="zh-CN"/>
        </w:rPr>
      </w:pPr>
      <w:bookmarkStart w:id="11" w:name="_Toc5133"/>
      <w:bookmarkStart w:id="12" w:name="_Toc10404"/>
      <w:r>
        <w:rPr>
          <w:rFonts w:hint="eastAsia" w:ascii="仿宋_GB2312" w:eastAsia="仿宋_GB2312"/>
          <w:sz w:val="32"/>
          <w:szCs w:val="32"/>
        </w:rPr>
        <w:t>7.承担县政府</w:t>
      </w:r>
      <w:r>
        <w:rPr>
          <w:rFonts w:hint="eastAsia" w:ascii="仿宋_GB2312" w:eastAsia="仿宋_GB2312"/>
          <w:sz w:val="32"/>
          <w:szCs w:val="32"/>
          <w:lang w:eastAsia="zh-CN"/>
        </w:rPr>
        <w:t>安排的其他工作。</w:t>
      </w:r>
      <w:bookmarkEnd w:id="11"/>
      <w:bookmarkEnd w:id="12"/>
    </w:p>
    <w:p w14:paraId="0DC1692C">
      <w:pPr>
        <w:pStyle w:val="6"/>
        <w:ind w:firstLine="640" w:firstLineChars="200"/>
        <w:rPr>
          <w:rStyle w:val="20"/>
          <w:rFonts w:ascii="Times New Roman" w:hAnsi="Times New Roman"/>
          <w:b w:val="0"/>
          <w:bCs w:val="0"/>
          <w:color w:val="auto"/>
          <w:highlight w:val="none"/>
        </w:rPr>
      </w:pPr>
      <w:bookmarkStart w:id="13" w:name="_Toc22894"/>
      <w:bookmarkStart w:id="14" w:name="_Toc2667"/>
      <w:bookmarkStart w:id="15" w:name="_Toc15396601"/>
      <w:bookmarkStart w:id="16" w:name="_Toc15377200"/>
      <w:bookmarkStart w:id="17" w:name="_Toc1844"/>
      <w:r>
        <w:rPr>
          <w:rFonts w:hint="eastAsia" w:ascii="Times New Roman" w:hAnsi="Times New Roman" w:eastAsia="黑体"/>
          <w:b w:val="0"/>
          <w:color w:val="auto"/>
          <w:highlight w:val="none"/>
        </w:rPr>
        <w:t>二、机</w:t>
      </w:r>
      <w:r>
        <w:rPr>
          <w:rStyle w:val="20"/>
          <w:rFonts w:hint="eastAsia" w:ascii="Times New Roman" w:hAnsi="Times New Roman" w:eastAsia="黑体"/>
          <w:b w:val="0"/>
          <w:bCs w:val="0"/>
          <w:color w:val="auto"/>
          <w:highlight w:val="none"/>
        </w:rPr>
        <w:t>构设置</w:t>
      </w:r>
      <w:bookmarkEnd w:id="13"/>
      <w:bookmarkEnd w:id="14"/>
      <w:bookmarkEnd w:id="15"/>
      <w:bookmarkEnd w:id="16"/>
      <w:bookmarkEnd w:id="17"/>
    </w:p>
    <w:p w14:paraId="16A33444">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仿宋_GB2312" w:eastAsia="仿宋_GB2312" w:cs="Times New Roman"/>
          <w:sz w:val="32"/>
          <w:szCs w:val="32"/>
        </w:rPr>
      </w:pPr>
      <w:r>
        <w:rPr>
          <w:rFonts w:hint="eastAsia" w:ascii="仿宋_GB2312" w:eastAsia="仿宋_GB2312"/>
          <w:sz w:val="32"/>
          <w:szCs w:val="32"/>
        </w:rPr>
        <w:t>茂县房产管管理所属事业机构,事业编制共22名，其中</w:t>
      </w:r>
      <w:r>
        <w:rPr>
          <w:rFonts w:hint="eastAsia" w:ascii="仿宋_GB2312" w:eastAsia="仿宋_GB2312"/>
          <w:sz w:val="32"/>
          <w:szCs w:val="32"/>
          <w:lang w:eastAsia="zh-CN"/>
        </w:rPr>
        <w:t>事业</w:t>
      </w:r>
      <w:r>
        <w:rPr>
          <w:rFonts w:hint="eastAsia" w:ascii="仿宋_GB2312" w:eastAsia="仿宋_GB2312"/>
          <w:sz w:val="32"/>
          <w:szCs w:val="32"/>
        </w:rPr>
        <w:t>在职2</w:t>
      </w:r>
      <w:r>
        <w:rPr>
          <w:rFonts w:hint="eastAsia" w:ascii="仿宋_GB2312" w:eastAsia="仿宋_GB2312"/>
          <w:sz w:val="32"/>
          <w:szCs w:val="32"/>
          <w:lang w:val="en-US" w:eastAsia="zh-CN"/>
        </w:rPr>
        <w:t>1</w:t>
      </w:r>
      <w:r>
        <w:rPr>
          <w:rFonts w:hint="eastAsia" w:ascii="仿宋_GB2312" w:eastAsia="仿宋_GB2312"/>
          <w:sz w:val="32"/>
          <w:szCs w:val="32"/>
        </w:rPr>
        <w:t>人</w:t>
      </w:r>
      <w:r>
        <w:rPr>
          <w:rFonts w:ascii="仿宋_GB2312" w:eastAsia="仿宋_GB2312"/>
          <w:sz w:val="32"/>
          <w:szCs w:val="32"/>
        </w:rPr>
        <w:t>,</w:t>
      </w:r>
      <w:r>
        <w:rPr>
          <w:rFonts w:hint="eastAsia" w:ascii="仿宋_GB2312" w:eastAsia="仿宋_GB2312"/>
          <w:sz w:val="32"/>
          <w:szCs w:val="32"/>
        </w:rPr>
        <w:t>离休人员</w:t>
      </w:r>
      <w:r>
        <w:rPr>
          <w:rFonts w:ascii="仿宋_GB2312" w:eastAsia="仿宋_GB2312"/>
          <w:sz w:val="32"/>
          <w:szCs w:val="32"/>
        </w:rPr>
        <w:t>0</w:t>
      </w:r>
      <w:r>
        <w:rPr>
          <w:rFonts w:hint="eastAsia" w:ascii="仿宋_GB2312" w:eastAsia="仿宋_GB2312"/>
          <w:sz w:val="32"/>
          <w:szCs w:val="32"/>
        </w:rPr>
        <w:t>人</w:t>
      </w:r>
      <w:r>
        <w:rPr>
          <w:rFonts w:ascii="仿宋_GB2312" w:eastAsia="仿宋_GB2312"/>
          <w:sz w:val="32"/>
          <w:szCs w:val="32"/>
        </w:rPr>
        <w:t>,</w:t>
      </w:r>
      <w:r>
        <w:rPr>
          <w:rFonts w:hint="eastAsia" w:ascii="仿宋_GB2312" w:eastAsia="仿宋_GB2312"/>
          <w:sz w:val="32"/>
          <w:szCs w:val="32"/>
        </w:rPr>
        <w:t>退休人员3人。</w:t>
      </w:r>
    </w:p>
    <w:p w14:paraId="11829B0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68F13EC0">
      <w:pPr>
        <w:pStyle w:val="5"/>
        <w:jc w:val="center"/>
        <w:rPr>
          <w:rFonts w:hint="eastAsia" w:ascii="Times New Roman" w:hAnsi="Times New Roman" w:eastAsia="方正小标宋简体" w:cs="方正小标宋简体"/>
          <w:b w:val="0"/>
          <w:color w:val="auto"/>
          <w:highlight w:val="none"/>
        </w:rPr>
      </w:pPr>
      <w:bookmarkStart w:id="18" w:name="_Toc15377204"/>
      <w:bookmarkStart w:id="19" w:name="_Toc21269"/>
      <w:bookmarkStart w:id="20" w:name="_Toc25760"/>
      <w:bookmarkStart w:id="21" w:name="_Toc15396602"/>
      <w:bookmarkStart w:id="22" w:name="_Toc595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8"/>
      <w:bookmarkEnd w:id="19"/>
      <w:bookmarkEnd w:id="20"/>
      <w:bookmarkEnd w:id="21"/>
      <w:bookmarkEnd w:id="22"/>
    </w:p>
    <w:p w14:paraId="2A3D78FC">
      <w:pPr>
        <w:pStyle w:val="26"/>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0"/>
          <w:rFonts w:hint="eastAsia" w:ascii="Times New Roman" w:hAnsi="Times New Roman" w:eastAsia="黑体"/>
          <w:b w:val="0"/>
          <w:color w:val="auto"/>
          <w:highlight w:val="none"/>
        </w:rPr>
      </w:pPr>
      <w:bookmarkStart w:id="23" w:name="_Toc19156"/>
      <w:bookmarkStart w:id="24" w:name="_Toc15377205"/>
      <w:bookmarkStart w:id="25" w:name="_Toc2338"/>
      <w:bookmarkStart w:id="26" w:name="_Toc31254"/>
      <w:bookmarkStart w:id="27"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0"/>
          <w:rFonts w:hint="eastAsia" w:ascii="Times New Roman" w:hAnsi="Times New Roman" w:eastAsia="黑体"/>
          <w:b w:val="0"/>
          <w:color w:val="auto"/>
          <w:highlight w:val="none"/>
        </w:rPr>
        <w:t>入支出决算总体情况说明</w:t>
      </w:r>
      <w:bookmarkEnd w:id="23"/>
      <w:bookmarkEnd w:id="24"/>
      <w:bookmarkEnd w:id="25"/>
      <w:bookmarkEnd w:id="26"/>
      <w:bookmarkEnd w:id="27"/>
    </w:p>
    <w:p w14:paraId="3B538CEA">
      <w:pPr>
        <w:pStyle w:val="26"/>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8" w:name="_Toc16167"/>
      <w:bookmarkStart w:id="29" w:name="_Toc9573"/>
      <w:bookmarkStart w:id="30" w:name="_Toc29160"/>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eastAsia="仿宋_GB2312" w:cs="仿宋_GB2312"/>
          <w:sz w:val="32"/>
          <w:szCs w:val="32"/>
          <w:lang w:val="en-US" w:eastAsia="zh-CN"/>
        </w:rPr>
        <w:t>446.31</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28.34</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6.78</w:t>
      </w:r>
      <w:r>
        <w:rPr>
          <w:rFonts w:hint="eastAsia" w:ascii="Times New Roman" w:hAnsi="Times New Roman" w:eastAsia="仿宋_GB2312" w:cs="仿宋_GB2312"/>
          <w:color w:val="auto"/>
          <w:sz w:val="32"/>
          <w:szCs w:val="32"/>
          <w:highlight w:val="none"/>
        </w:rPr>
        <w:t>%。主要变动原因是</w:t>
      </w:r>
      <w:bookmarkEnd w:id="28"/>
      <w:r>
        <w:rPr>
          <w:rFonts w:ascii="Times New Roman" w:hAnsi="Times New Roman" w:eastAsia="仿宋_GB2312" w:cs="仿宋_GB2312"/>
          <w:color w:val="auto"/>
          <w:sz w:val="32"/>
          <w:szCs w:val="32"/>
          <w:highlight w:val="none"/>
        </w:rPr>
        <w:t>:</w:t>
      </w:r>
      <w:r>
        <w:rPr>
          <w:rFonts w:ascii="仿宋_GB2312" w:eastAsia="仿宋_GB2312" w:cs="Times New Roman"/>
          <w:b w:val="0"/>
          <w:bCs w:val="0"/>
          <w:color w:val="000000"/>
          <w:kern w:val="2"/>
          <w:sz w:val="32"/>
          <w:szCs w:val="32"/>
          <w:lang w:val="en-US" w:eastAsia="zh-CN" w:bidi="ar-SA"/>
        </w:rPr>
        <w:t>人员变动</w:t>
      </w:r>
      <w:r>
        <w:rPr>
          <w:rFonts w:hint="eastAsia" w:ascii="仿宋_GB2312" w:eastAsia="仿宋_GB2312" w:cs="Times New Roman"/>
          <w:b w:val="0"/>
          <w:bCs w:val="0"/>
          <w:color w:val="000000"/>
          <w:kern w:val="2"/>
          <w:sz w:val="32"/>
          <w:szCs w:val="32"/>
          <w:lang w:val="en-US" w:eastAsia="zh-CN" w:bidi="ar-SA"/>
        </w:rPr>
        <w:t>、</w:t>
      </w:r>
      <w:r>
        <w:rPr>
          <w:rFonts w:ascii="仿宋_GB2312" w:eastAsia="仿宋_GB2312" w:cs="Times New Roman"/>
          <w:b w:val="0"/>
          <w:bCs w:val="0"/>
          <w:color w:val="000000"/>
          <w:kern w:val="2"/>
          <w:sz w:val="32"/>
          <w:szCs w:val="32"/>
          <w:lang w:val="en-US" w:eastAsia="zh-CN" w:bidi="ar-SA"/>
        </w:rPr>
        <w:t>工资正常晋升</w:t>
      </w:r>
      <w:r>
        <w:rPr>
          <w:rFonts w:hint="eastAsia" w:ascii="仿宋_GB2312" w:eastAsia="仿宋_GB2312" w:cs="Times New Roman"/>
          <w:b w:val="0"/>
          <w:bCs w:val="0"/>
          <w:color w:val="000000"/>
          <w:kern w:val="2"/>
          <w:sz w:val="32"/>
          <w:szCs w:val="32"/>
          <w:lang w:val="en-US" w:eastAsia="zh-CN" w:bidi="ar-SA"/>
        </w:rPr>
        <w:t>、保险和公积金基数调整。</w:t>
      </w:r>
      <w:bookmarkEnd w:id="29"/>
      <w:bookmarkEnd w:id="30"/>
    </w:p>
    <w:p w14:paraId="3435EE1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413885" cy="3168650"/>
            <wp:effectExtent l="4445" t="4445" r="13970"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6B6C7C2">
      <w:pPr>
        <w:pStyle w:val="26"/>
        <w:numPr>
          <w:ilvl w:val="0"/>
          <w:numId w:val="0"/>
        </w:numPr>
        <w:suppressAutoHyphens/>
        <w:bidi w:val="0"/>
        <w:spacing w:line="600" w:lineRule="exact"/>
        <w:ind w:firstLine="640" w:firstLineChars="200"/>
        <w:outlineLvl w:val="1"/>
        <w:rPr>
          <w:rFonts w:hint="eastAsia" w:ascii="黑体" w:hAnsi="黑体" w:eastAsia="黑体"/>
          <w:color w:val="auto"/>
          <w:sz w:val="32"/>
          <w:szCs w:val="32"/>
          <w:highlight w:val="none"/>
          <w:lang w:eastAsia="zh-CN"/>
        </w:rPr>
      </w:pPr>
      <w:bookmarkStart w:id="31" w:name="_Toc15377206"/>
      <w:bookmarkStart w:id="32" w:name="_Toc6295"/>
      <w:bookmarkStart w:id="33" w:name="_Toc18027"/>
      <w:bookmarkStart w:id="34" w:name="_Toc31477"/>
      <w:bookmarkStart w:id="35" w:name="_Toc15396604"/>
      <w:r>
        <w:rPr>
          <w:rFonts w:hint="eastAsia" w:ascii="黑体" w:hAnsi="黑体" w:eastAsia="黑体"/>
          <w:color w:val="auto"/>
          <w:sz w:val="32"/>
          <w:szCs w:val="32"/>
          <w:highlight w:val="none"/>
          <w:lang w:eastAsia="zh-CN"/>
        </w:rPr>
        <w:t>二、收入决算情况说明</w:t>
      </w:r>
      <w:bookmarkEnd w:id="31"/>
      <w:bookmarkEnd w:id="32"/>
      <w:bookmarkEnd w:id="33"/>
      <w:bookmarkEnd w:id="34"/>
      <w:bookmarkEnd w:id="35"/>
    </w:p>
    <w:p w14:paraId="287C39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ascii="仿宋" w:hAnsi="仿宋" w:eastAsia="仿宋"/>
          <w:color w:val="auto"/>
          <w:sz w:val="32"/>
          <w:szCs w:val="32"/>
          <w:highlight w:val="none"/>
        </w:rPr>
      </w:pPr>
      <w:bookmarkStart w:id="36" w:name="_Toc30484"/>
      <w:bookmarkStart w:id="37" w:name="_Toc24343"/>
      <w:bookmarkStart w:id="38" w:name="_Toc22942"/>
      <w:r>
        <w:rPr>
          <w:rFonts w:hint="eastAsia" w:ascii="仿宋_GB2312" w:eastAsia="仿宋_GB2312" w:cs="仿宋_GB2312"/>
          <w:color w:val="auto"/>
          <w:sz w:val="32"/>
          <w:szCs w:val="32"/>
          <w:highlight w:val="none"/>
          <w:lang w:eastAsia="zh-CN"/>
        </w:rPr>
        <w:t>202</w:t>
      </w:r>
      <w:r>
        <w:rPr>
          <w:rFonts w:hint="eastAsia" w:ascii="仿宋_GB2312" w:eastAsia="仿宋_GB2312" w:cs="仿宋_GB2312"/>
          <w:color w:val="auto"/>
          <w:sz w:val="32"/>
          <w:szCs w:val="32"/>
          <w:highlight w:val="none"/>
          <w:lang w:val="en-US" w:eastAsia="zh-CN"/>
        </w:rPr>
        <w:t>5</w:t>
      </w:r>
      <w:r>
        <w:rPr>
          <w:rFonts w:hint="eastAsia" w:ascii="仿宋_GB2312" w:eastAsia="仿宋_GB2312" w:cs="仿宋_GB2312"/>
          <w:color w:val="auto"/>
          <w:sz w:val="32"/>
          <w:szCs w:val="32"/>
          <w:highlight w:val="none"/>
          <w:lang w:eastAsia="zh-CN"/>
        </w:rPr>
        <w:t>年度本年收入合</w:t>
      </w:r>
      <w:r>
        <w:rPr>
          <w:rFonts w:hint="eastAsia" w:ascii="仿宋_GB2312" w:eastAsia="仿宋_GB2312" w:cs="仿宋_GB2312"/>
          <w:color w:val="auto"/>
          <w:sz w:val="32"/>
          <w:szCs w:val="32"/>
          <w:highlight w:val="none"/>
          <w:lang w:val="en-US" w:eastAsia="zh-CN"/>
        </w:rPr>
        <w:t>446.31</w:t>
      </w:r>
      <w:r>
        <w:rPr>
          <w:rFonts w:hint="eastAsia" w:ascii="仿宋_GB2312" w:eastAsia="仿宋_GB2312" w:cs="仿宋_GB2312"/>
          <w:sz w:val="32"/>
          <w:szCs w:val="32"/>
        </w:rPr>
        <w:t>万元</w:t>
      </w:r>
      <w:r>
        <w:rPr>
          <w:rFonts w:hint="eastAsia" w:ascii="仿宋_GB2312" w:eastAsia="仿宋_GB2312" w:cs="仿宋_GB2312"/>
          <w:sz w:val="32"/>
          <w:szCs w:val="32"/>
          <w:lang w:val="en-US" w:eastAsia="zh-CN"/>
        </w:rPr>
        <w:t>,</w:t>
      </w:r>
      <w:r>
        <w:rPr>
          <w:rFonts w:hint="eastAsia" w:ascii="仿宋_GB2312" w:eastAsia="仿宋_GB2312" w:cs="仿宋_GB2312"/>
          <w:sz w:val="32"/>
          <w:szCs w:val="32"/>
        </w:rPr>
        <w:t>其中：一般公共预算财政拨款收入</w:t>
      </w:r>
      <w:r>
        <w:rPr>
          <w:rFonts w:hint="eastAsia" w:ascii="仿宋_GB2312" w:eastAsia="仿宋_GB2312" w:cs="仿宋_GB2312"/>
          <w:sz w:val="32"/>
          <w:szCs w:val="32"/>
          <w:lang w:val="en-US" w:eastAsia="zh-CN"/>
        </w:rPr>
        <w:t>446.31</w:t>
      </w:r>
      <w:r>
        <w:rPr>
          <w:rFonts w:hint="eastAsia" w:ascii="仿宋_GB2312" w:eastAsia="仿宋_GB2312" w:cs="仿宋_GB2312"/>
          <w:color w:val="auto"/>
          <w:sz w:val="32"/>
          <w:szCs w:val="32"/>
          <w:highlight w:val="none"/>
          <w:lang w:eastAsia="zh-CN"/>
        </w:rPr>
        <w:t>万元</w:t>
      </w:r>
      <w:r>
        <w:rPr>
          <w:rFonts w:hint="eastAsia" w:ascii="仿宋_GB2312" w:eastAsia="仿宋_GB2312" w:cs="仿宋_GB2312"/>
          <w:color w:val="auto"/>
          <w:sz w:val="32"/>
          <w:szCs w:val="32"/>
          <w:highlight w:val="none"/>
          <w:lang w:val="en-US" w:eastAsia="zh-CN"/>
        </w:rPr>
        <w:t>,</w:t>
      </w:r>
      <w:r>
        <w:rPr>
          <w:rFonts w:hint="eastAsia" w:ascii="仿宋_GB2312" w:eastAsia="仿宋_GB2312" w:cs="仿宋_GB2312"/>
          <w:color w:val="auto"/>
          <w:sz w:val="32"/>
          <w:szCs w:val="32"/>
          <w:highlight w:val="none"/>
          <w:lang w:eastAsia="zh-CN"/>
        </w:rPr>
        <w:t>占</w:t>
      </w:r>
      <w:r>
        <w:rPr>
          <w:rFonts w:hint="eastAsia" w:ascii="仿宋_GB2312" w:eastAsia="仿宋_GB2312" w:cs="仿宋_GB2312"/>
          <w:sz w:val="32"/>
          <w:szCs w:val="32"/>
        </w:rPr>
        <w:t>100</w:t>
      </w:r>
      <w:r>
        <w:rPr>
          <w:rFonts w:hint="eastAsia" w:ascii="仿宋_GB2312" w:eastAsia="仿宋_GB2312" w:cs="仿宋_GB2312"/>
          <w:color w:val="auto"/>
          <w:sz w:val="32"/>
          <w:szCs w:val="32"/>
          <w:highlight w:val="none"/>
          <w:lang w:eastAsia="zh-CN"/>
        </w:rPr>
        <w:t>%。</w:t>
      </w:r>
      <w:bookmarkEnd w:id="36"/>
      <w:bookmarkEnd w:id="37"/>
      <w:bookmarkEnd w:id="38"/>
      <w:r>
        <w:rPr>
          <w:rFonts w:hint="eastAsia" w:ascii="仿宋_GB2312" w:eastAsia="仿宋_GB2312" w:cs="仿宋_GB2312"/>
          <w:color w:val="auto"/>
          <w:sz w:val="32"/>
          <w:szCs w:val="32"/>
          <w:highlight w:val="none"/>
          <w:lang w:eastAsia="zh-CN"/>
        </w:rPr>
        <w:t>本单位</w:t>
      </w:r>
      <w:r>
        <w:rPr>
          <w:rFonts w:hint="eastAsia" w:ascii="仿宋_GB2312" w:eastAsia="仿宋_GB2312" w:cs="仿宋_GB2312"/>
          <w:color w:val="auto"/>
          <w:sz w:val="32"/>
          <w:szCs w:val="32"/>
          <w:highlight w:val="none"/>
          <w:lang w:val="en-US" w:eastAsia="zh-CN"/>
        </w:rPr>
        <w:t>2025年度</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0万元;</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0万元;</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0万元;</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0万元;</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0万元;</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0万元;</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val="en-US" w:eastAsia="zh-CN"/>
        </w:rPr>
        <w:t>0万元</w:t>
      </w:r>
      <w:r>
        <w:rPr>
          <w:rFonts w:hint="eastAsia" w:ascii="仿宋" w:hAnsi="仿宋" w:eastAsia="仿宋"/>
          <w:color w:val="auto"/>
          <w:sz w:val="32"/>
          <w:szCs w:val="32"/>
          <w:highlight w:val="none"/>
        </w:rPr>
        <w:t>。</w:t>
      </w:r>
    </w:p>
    <w:p w14:paraId="53918D8C">
      <w:pPr>
        <w:pStyle w:val="26"/>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14:paraId="6FF15D68">
      <w:pPr>
        <w:ind w:firstLine="840" w:firstLineChars="400"/>
        <w:rPr>
          <w:rFonts w:hint="eastAsia" w:ascii="仿宋_GB2312" w:eastAsia="仿宋_GB2312" w:cs="Times New Roman"/>
          <w:b w:val="0"/>
          <w:bCs w:val="0"/>
          <w:color w:val="000000"/>
          <w:kern w:val="2"/>
          <w:sz w:val="32"/>
          <w:szCs w:val="32"/>
          <w:lang w:val="en-US" w:eastAsia="zh-CN" w:bidi="ar-SA"/>
        </w:rPr>
      </w:pPr>
      <w:r>
        <w:drawing>
          <wp:inline distT="0" distB="0" distL="114300" distR="114300">
            <wp:extent cx="4411980" cy="2388870"/>
            <wp:effectExtent l="4445" t="4445" r="15875" b="6985"/>
            <wp:docPr id="1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5B4EF4">
      <w:pPr>
        <w:pStyle w:val="2"/>
        <w:jc w:val="center"/>
        <w:rPr>
          <w:rFonts w:hint="eastAsia"/>
          <w:lang w:eastAsia="zh-CN"/>
        </w:rPr>
      </w:pPr>
    </w:p>
    <w:p w14:paraId="51199BA8">
      <w:pPr>
        <w:pStyle w:val="26"/>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0"/>
          <w:rFonts w:hint="eastAsia" w:ascii="Times New Roman" w:hAnsi="Times New Roman" w:eastAsia="黑体"/>
          <w:b w:val="0"/>
          <w:color w:val="auto"/>
          <w:highlight w:val="none"/>
        </w:rPr>
      </w:pPr>
      <w:bookmarkStart w:id="39" w:name="_Toc14360"/>
      <w:bookmarkStart w:id="40" w:name="_Toc17509"/>
      <w:bookmarkStart w:id="41" w:name="_Toc15377207"/>
      <w:bookmarkStart w:id="42" w:name="_Toc15396605"/>
      <w:bookmarkStart w:id="43" w:name="_Toc11539"/>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0"/>
          <w:rFonts w:hint="eastAsia" w:ascii="Times New Roman" w:hAnsi="Times New Roman" w:eastAsia="黑体"/>
          <w:b w:val="0"/>
          <w:color w:val="auto"/>
          <w:highlight w:val="none"/>
        </w:rPr>
        <w:t>出决算情况说明</w:t>
      </w:r>
      <w:bookmarkEnd w:id="39"/>
      <w:bookmarkEnd w:id="40"/>
      <w:bookmarkEnd w:id="41"/>
      <w:bookmarkEnd w:id="42"/>
      <w:bookmarkEnd w:id="43"/>
    </w:p>
    <w:p w14:paraId="3559CE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 w:hAnsi="仿宋" w:eastAsia="仿宋"/>
          <w:color w:val="auto"/>
          <w:sz w:val="32"/>
          <w:szCs w:val="32"/>
          <w:highlight w:val="none"/>
          <w:lang w:val="en-US" w:eastAsia="zh-CN"/>
        </w:rPr>
      </w:pPr>
      <w:bookmarkStart w:id="44" w:name="_Toc27038"/>
      <w:bookmarkStart w:id="45" w:name="_Toc21307"/>
      <w:bookmarkStart w:id="46" w:name="_Toc30902"/>
      <w:r>
        <w:rPr>
          <w:rFonts w:hint="eastAsia" w:ascii="仿宋_GB2312" w:eastAsia="仿宋_GB2312" w:cs="仿宋_GB2312"/>
          <w:color w:val="auto"/>
          <w:sz w:val="32"/>
          <w:szCs w:val="32"/>
          <w:highlight w:val="none"/>
          <w:lang w:eastAsia="zh-CN"/>
        </w:rPr>
        <w:t>202</w:t>
      </w:r>
      <w:r>
        <w:rPr>
          <w:rFonts w:hint="eastAsia" w:ascii="仿宋_GB2312" w:eastAsia="仿宋_GB2312" w:cs="仿宋_GB2312"/>
          <w:color w:val="auto"/>
          <w:sz w:val="32"/>
          <w:szCs w:val="32"/>
          <w:highlight w:val="none"/>
          <w:lang w:val="en-US" w:eastAsia="zh-CN"/>
        </w:rPr>
        <w:t>5</w:t>
      </w:r>
      <w:r>
        <w:rPr>
          <w:rFonts w:hint="eastAsia" w:ascii="仿宋_GB2312" w:eastAsia="仿宋_GB2312" w:cs="仿宋_GB2312"/>
          <w:color w:val="auto"/>
          <w:sz w:val="32"/>
          <w:szCs w:val="32"/>
          <w:highlight w:val="none"/>
          <w:lang w:eastAsia="zh-CN"/>
        </w:rPr>
        <w:t>年度本年支出合计</w:t>
      </w:r>
      <w:r>
        <w:rPr>
          <w:rFonts w:hint="eastAsia" w:ascii="仿宋_GB2312" w:eastAsia="仿宋_GB2312" w:cs="仿宋_GB2312"/>
          <w:sz w:val="32"/>
          <w:szCs w:val="32"/>
          <w:lang w:val="en-US" w:eastAsia="zh-CN"/>
        </w:rPr>
        <w:t>446.31</w:t>
      </w:r>
      <w:r>
        <w:rPr>
          <w:rFonts w:hint="eastAsia" w:ascii="仿宋_GB2312" w:eastAsia="仿宋_GB2312" w:cs="仿宋_GB2312"/>
          <w:color w:val="auto"/>
          <w:sz w:val="32"/>
          <w:szCs w:val="32"/>
          <w:highlight w:val="none"/>
          <w:lang w:eastAsia="zh-CN"/>
        </w:rPr>
        <w:t>万元</w:t>
      </w:r>
      <w:r>
        <w:rPr>
          <w:rFonts w:hint="eastAsia" w:ascii="仿宋_GB2312" w:eastAsia="仿宋_GB2312" w:cs="仿宋_GB2312"/>
          <w:color w:val="auto"/>
          <w:sz w:val="32"/>
          <w:szCs w:val="32"/>
          <w:highlight w:val="none"/>
          <w:lang w:val="en-US" w:eastAsia="zh-CN"/>
        </w:rPr>
        <w:t>,</w:t>
      </w:r>
      <w:r>
        <w:rPr>
          <w:rFonts w:hint="eastAsia" w:ascii="仿宋_GB2312" w:eastAsia="仿宋_GB2312" w:cs="仿宋_GB2312"/>
          <w:color w:val="auto"/>
          <w:sz w:val="32"/>
          <w:szCs w:val="32"/>
          <w:highlight w:val="none"/>
          <w:lang w:eastAsia="zh-CN"/>
        </w:rPr>
        <w:t>其中</w:t>
      </w:r>
      <w:r>
        <w:rPr>
          <w:rFonts w:hint="eastAsia" w:ascii="仿宋_GB2312" w:eastAsia="仿宋_GB2312" w:cs="仿宋_GB2312"/>
          <w:color w:val="auto"/>
          <w:sz w:val="32"/>
          <w:szCs w:val="32"/>
          <w:highlight w:val="none"/>
          <w:lang w:val="en-US" w:eastAsia="zh-CN"/>
        </w:rPr>
        <w:t>:</w:t>
      </w:r>
      <w:r>
        <w:rPr>
          <w:rFonts w:hint="eastAsia" w:ascii="仿宋_GB2312" w:eastAsia="仿宋_GB2312" w:cs="仿宋_GB2312"/>
          <w:color w:val="auto"/>
          <w:sz w:val="32"/>
          <w:szCs w:val="32"/>
          <w:highlight w:val="none"/>
          <w:lang w:eastAsia="zh-CN"/>
        </w:rPr>
        <w:t>基本支出</w:t>
      </w:r>
      <w:r>
        <w:rPr>
          <w:rFonts w:hint="eastAsia" w:ascii="仿宋_GB2312" w:eastAsia="仿宋_GB2312" w:cs="仿宋_GB2312"/>
          <w:sz w:val="32"/>
          <w:szCs w:val="32"/>
          <w:lang w:val="en-US" w:eastAsia="zh-CN"/>
        </w:rPr>
        <w:t>446.31</w:t>
      </w:r>
      <w:r>
        <w:rPr>
          <w:rFonts w:hint="eastAsia" w:ascii="仿宋_GB2312" w:eastAsia="仿宋_GB2312" w:cs="仿宋_GB2312"/>
          <w:color w:val="auto"/>
          <w:sz w:val="32"/>
          <w:szCs w:val="32"/>
          <w:highlight w:val="none"/>
          <w:lang w:eastAsia="zh-CN"/>
        </w:rPr>
        <w:t>万元</w:t>
      </w:r>
      <w:r>
        <w:rPr>
          <w:rFonts w:hint="eastAsia" w:ascii="仿宋_GB2312" w:eastAsia="仿宋_GB2312" w:cs="仿宋_GB2312"/>
          <w:color w:val="auto"/>
          <w:sz w:val="32"/>
          <w:szCs w:val="32"/>
          <w:highlight w:val="none"/>
          <w:lang w:val="en-US" w:eastAsia="zh-CN"/>
        </w:rPr>
        <w:t>,</w:t>
      </w:r>
      <w:r>
        <w:rPr>
          <w:rFonts w:hint="eastAsia" w:ascii="仿宋_GB2312" w:eastAsia="仿宋_GB2312" w:cs="仿宋_GB2312"/>
          <w:color w:val="auto"/>
          <w:sz w:val="32"/>
          <w:szCs w:val="32"/>
          <w:highlight w:val="none"/>
          <w:lang w:eastAsia="zh-CN"/>
        </w:rPr>
        <w:t>占</w:t>
      </w:r>
      <w:r>
        <w:rPr>
          <w:rFonts w:hint="eastAsia" w:ascii="仿宋_GB2312" w:eastAsia="仿宋_GB2312" w:cs="仿宋_GB2312"/>
          <w:sz w:val="32"/>
          <w:szCs w:val="32"/>
        </w:rPr>
        <w:t>100</w:t>
      </w:r>
      <w:r>
        <w:rPr>
          <w:rFonts w:hint="eastAsia" w:ascii="仿宋_GB2312" w:eastAsia="仿宋_GB2312" w:cs="仿宋_GB2312"/>
          <w:color w:val="auto"/>
          <w:sz w:val="32"/>
          <w:szCs w:val="32"/>
          <w:highlight w:val="none"/>
          <w:lang w:eastAsia="zh-CN"/>
        </w:rPr>
        <w:t>%</w:t>
      </w:r>
      <w:bookmarkEnd w:id="44"/>
      <w:bookmarkEnd w:id="45"/>
      <w:bookmarkEnd w:id="46"/>
      <w:r>
        <w:rPr>
          <w:rFonts w:hint="eastAsia" w:ascii="仿宋_GB2312" w:eastAsia="仿宋_GB2312" w:cs="仿宋_GB2312"/>
          <w:color w:val="auto"/>
          <w:sz w:val="32"/>
          <w:szCs w:val="32"/>
          <w:highlight w:val="none"/>
          <w:lang w:val="en-US" w:eastAsia="zh-CN"/>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p>
    <w:p w14:paraId="370BBFAF">
      <w:pPr>
        <w:pStyle w:val="2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p>
    <w:p w14:paraId="6B7F65DA">
      <w:pPr>
        <w:pStyle w:val="2"/>
        <w:jc w:val="center"/>
        <w:rPr>
          <w:rFonts w:hint="eastAsia" w:ascii="Times New Roman" w:hAnsi="Times New Roman" w:eastAsia="仿宋_GB2312" w:cs="仿宋_GB2312"/>
          <w:color w:val="auto"/>
          <w:sz w:val="32"/>
          <w:szCs w:val="32"/>
          <w:highlight w:val="none"/>
          <w:lang w:eastAsia="zh-CN"/>
        </w:rPr>
      </w:pPr>
      <w:r>
        <w:drawing>
          <wp:inline distT="0" distB="0" distL="114300" distR="114300">
            <wp:extent cx="4317365" cy="2211705"/>
            <wp:effectExtent l="0" t="0" r="0" b="0"/>
            <wp:docPr id="1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B0F5999">
      <w:pPr>
        <w:suppressAutoHyphens/>
        <w:bidi w:val="0"/>
        <w:spacing w:line="600" w:lineRule="exact"/>
        <w:ind w:firstLine="640" w:firstLineChars="200"/>
        <w:outlineLvl w:val="1"/>
        <w:rPr>
          <w:rFonts w:hint="eastAsia" w:ascii="黑体" w:hAnsi="黑体" w:eastAsia="黑体"/>
          <w:color w:val="auto"/>
          <w:sz w:val="32"/>
          <w:szCs w:val="32"/>
          <w:highlight w:val="none"/>
        </w:rPr>
      </w:pPr>
      <w:bookmarkStart w:id="47" w:name="_Toc30189"/>
      <w:bookmarkStart w:id="48" w:name="_Toc20204"/>
      <w:bookmarkStart w:id="49" w:name="_Toc15377208"/>
      <w:bookmarkStart w:id="50" w:name="_Toc15396606"/>
      <w:bookmarkStart w:id="51" w:name="_Toc24469"/>
      <w:r>
        <w:rPr>
          <w:rFonts w:hint="eastAsia" w:ascii="黑体" w:hAnsi="黑体" w:eastAsia="黑体"/>
          <w:color w:val="auto"/>
          <w:sz w:val="32"/>
          <w:szCs w:val="32"/>
          <w:highlight w:val="none"/>
        </w:rPr>
        <w:t>四、财政拨款收入支出决算总体情况说明</w:t>
      </w:r>
      <w:bookmarkEnd w:id="47"/>
      <w:bookmarkEnd w:id="48"/>
      <w:bookmarkEnd w:id="49"/>
      <w:bookmarkEnd w:id="50"/>
      <w:bookmarkEnd w:id="51"/>
    </w:p>
    <w:p w14:paraId="5F67F6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eastAsia="仿宋_GB2312" w:cs="仿宋_GB2312"/>
          <w:sz w:val="32"/>
          <w:szCs w:val="32"/>
          <w:lang w:val="en-US" w:eastAsia="zh-CN"/>
        </w:rPr>
        <w:t>446.31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财政拨款收入总计、支出总计各增加</w:t>
      </w:r>
      <w:r>
        <w:rPr>
          <w:rFonts w:hint="eastAsia" w:eastAsia="仿宋_GB2312" w:cs="仿宋_GB2312"/>
          <w:color w:val="auto"/>
          <w:kern w:val="2"/>
          <w:sz w:val="32"/>
          <w:szCs w:val="32"/>
          <w:highlight w:val="none"/>
          <w:lang w:val="en-US" w:eastAsia="zh-CN" w:bidi="ar-SA"/>
        </w:rPr>
        <w:t>28.34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增长</w:t>
      </w:r>
      <w:r>
        <w:rPr>
          <w:rFonts w:hint="eastAsia" w:eastAsia="仿宋_GB2312" w:cs="仿宋_GB2312"/>
          <w:color w:val="auto"/>
          <w:kern w:val="2"/>
          <w:sz w:val="32"/>
          <w:szCs w:val="32"/>
          <w:highlight w:val="none"/>
          <w:lang w:val="en-US" w:eastAsia="zh-CN" w:bidi="ar-SA"/>
        </w:rPr>
        <w:t>6.78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ascii="Times New Roman" w:hAnsi="Times New Roman" w:eastAsia="仿宋_GB2312" w:cs="仿宋_GB2312"/>
          <w:color w:val="auto"/>
          <w:kern w:val="2"/>
          <w:sz w:val="32"/>
          <w:szCs w:val="32"/>
          <w:highlight w:val="none"/>
          <w:lang w:val="en-US" w:eastAsia="zh-CN" w:bidi="ar-SA"/>
        </w:rPr>
        <w:t>:</w:t>
      </w:r>
      <w:r>
        <w:rPr>
          <w:rFonts w:ascii="仿宋_GB2312" w:eastAsia="仿宋_GB2312" w:cs="Times New Roman"/>
          <w:b w:val="0"/>
          <w:bCs w:val="0"/>
          <w:color w:val="000000"/>
          <w:kern w:val="2"/>
          <w:sz w:val="32"/>
          <w:szCs w:val="32"/>
          <w:lang w:val="en-US" w:eastAsia="zh-CN" w:bidi="ar-SA"/>
        </w:rPr>
        <w:t>人员变动</w:t>
      </w:r>
      <w:r>
        <w:rPr>
          <w:rFonts w:hint="eastAsia" w:ascii="仿宋_GB2312" w:eastAsia="仿宋_GB2312" w:cs="Times New Roman"/>
          <w:b w:val="0"/>
          <w:bCs w:val="0"/>
          <w:color w:val="000000"/>
          <w:kern w:val="2"/>
          <w:sz w:val="32"/>
          <w:szCs w:val="32"/>
          <w:lang w:val="en-US" w:eastAsia="zh-CN" w:bidi="ar-SA"/>
        </w:rPr>
        <w:t>、</w:t>
      </w:r>
      <w:r>
        <w:rPr>
          <w:rFonts w:ascii="仿宋_GB2312" w:eastAsia="仿宋_GB2312" w:cs="Times New Roman"/>
          <w:b w:val="0"/>
          <w:bCs w:val="0"/>
          <w:color w:val="000000"/>
          <w:kern w:val="2"/>
          <w:sz w:val="32"/>
          <w:szCs w:val="32"/>
          <w:lang w:val="en-US" w:eastAsia="zh-CN" w:bidi="ar-SA"/>
        </w:rPr>
        <w:t>工资正常晋升</w:t>
      </w:r>
      <w:r>
        <w:rPr>
          <w:rFonts w:hint="eastAsia" w:ascii="仿宋_GB2312" w:eastAsia="仿宋_GB2312" w:cs="Times New Roman"/>
          <w:b w:val="0"/>
          <w:bCs w:val="0"/>
          <w:color w:val="000000"/>
          <w:kern w:val="2"/>
          <w:sz w:val="32"/>
          <w:szCs w:val="32"/>
          <w:lang w:val="en-US" w:eastAsia="zh-CN" w:bidi="ar-SA"/>
        </w:rPr>
        <w:t>、保险和公积金基数调整。</w:t>
      </w:r>
    </w:p>
    <w:p w14:paraId="655E279A">
      <w:pPr>
        <w:spacing w:line="600" w:lineRule="exact"/>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0288" behindDoc="0" locked="0" layoutInCell="1" allowOverlap="1">
            <wp:simplePos x="0" y="0"/>
            <wp:positionH relativeFrom="column">
              <wp:posOffset>11430</wp:posOffset>
            </wp:positionH>
            <wp:positionV relativeFrom="paragraph">
              <wp:posOffset>-726440</wp:posOffset>
            </wp:positionV>
            <wp:extent cx="4861560" cy="3427095"/>
            <wp:effectExtent l="4445" t="4445" r="10795" b="10160"/>
            <wp:wrapSquare wrapText="bothSides"/>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3AA3D1CF">
      <w:pPr>
        <w:pStyle w:val="2"/>
        <w:rPr>
          <w:rFonts w:hint="eastAsia" w:ascii="Times New Roman" w:hAnsi="Times New Roman" w:eastAsia="仿宋_GB2312" w:cs="仿宋_GB2312"/>
          <w:color w:val="auto"/>
          <w:kern w:val="2"/>
          <w:sz w:val="32"/>
          <w:szCs w:val="32"/>
          <w:highlight w:val="none"/>
          <w:lang w:val="en-US" w:eastAsia="zh-CN" w:bidi="ar-SA"/>
        </w:rPr>
      </w:pPr>
    </w:p>
    <w:p w14:paraId="291B54FD">
      <w:pPr>
        <w:spacing w:line="600" w:lineRule="exact"/>
        <w:outlineLvl w:val="1"/>
        <w:rPr>
          <w:rFonts w:hint="eastAsia" w:ascii="Times New Roman" w:hAnsi="Times New Roman" w:eastAsia="黑体"/>
          <w:color w:val="auto"/>
          <w:sz w:val="32"/>
          <w:szCs w:val="32"/>
          <w:highlight w:val="none"/>
        </w:rPr>
      </w:pPr>
      <w:bookmarkStart w:id="52" w:name="_Toc15396607"/>
      <w:bookmarkStart w:id="53" w:name="_Toc25944"/>
      <w:bookmarkStart w:id="54" w:name="_Toc15377209"/>
      <w:bookmarkStart w:id="55" w:name="_Toc6982"/>
      <w:bookmarkStart w:id="56" w:name="_Toc25136"/>
    </w:p>
    <w:p w14:paraId="0BC686B7">
      <w:pPr>
        <w:spacing w:line="600" w:lineRule="exact"/>
        <w:outlineLvl w:val="1"/>
        <w:rPr>
          <w:rFonts w:hint="eastAsia" w:ascii="Times New Roman" w:hAnsi="Times New Roman" w:eastAsia="黑体"/>
          <w:color w:val="auto"/>
          <w:sz w:val="32"/>
          <w:szCs w:val="32"/>
          <w:highlight w:val="none"/>
        </w:rPr>
      </w:pPr>
    </w:p>
    <w:p w14:paraId="3E9786C2">
      <w:pPr>
        <w:spacing w:line="600" w:lineRule="exact"/>
        <w:outlineLvl w:val="1"/>
        <w:rPr>
          <w:rFonts w:hint="eastAsia" w:ascii="Times New Roman" w:hAnsi="Times New Roman" w:eastAsia="黑体"/>
          <w:color w:val="auto"/>
          <w:sz w:val="32"/>
          <w:szCs w:val="32"/>
          <w:highlight w:val="none"/>
        </w:rPr>
      </w:pPr>
    </w:p>
    <w:p w14:paraId="1A17DF3D">
      <w:pPr>
        <w:spacing w:line="600" w:lineRule="exact"/>
        <w:outlineLvl w:val="1"/>
        <w:rPr>
          <w:rFonts w:hint="eastAsia" w:ascii="Times New Roman" w:hAnsi="Times New Roman" w:eastAsia="黑体"/>
          <w:color w:val="auto"/>
          <w:sz w:val="32"/>
          <w:szCs w:val="32"/>
          <w:highlight w:val="none"/>
        </w:rPr>
      </w:pPr>
    </w:p>
    <w:bookmarkEnd w:id="52"/>
    <w:bookmarkEnd w:id="53"/>
    <w:bookmarkEnd w:id="54"/>
    <w:bookmarkEnd w:id="55"/>
    <w:bookmarkEnd w:id="56"/>
    <w:p w14:paraId="31F1ED4A">
      <w:pPr>
        <w:spacing w:line="600" w:lineRule="exact"/>
        <w:jc w:val="left"/>
        <w:outlineLvl w:val="1"/>
        <w:rPr>
          <w:rFonts w:hint="eastAsia" w:ascii="黑体" w:eastAsia="黑体" w:cs="Times New Roman"/>
          <w:color w:val="auto"/>
          <w:kern w:val="2"/>
          <w:sz w:val="32"/>
          <w:szCs w:val="32"/>
          <w:highlight w:val="none"/>
          <w:lang w:val="en-US" w:eastAsia="zh-CN" w:bidi="ar-SA"/>
        </w:rPr>
      </w:pPr>
      <w:bookmarkStart w:id="57" w:name="_Toc7622"/>
      <w:bookmarkStart w:id="58" w:name="_Toc22668"/>
      <w:bookmarkStart w:id="59" w:name="_Toc15377210"/>
    </w:p>
    <w:p w14:paraId="1B658F91">
      <w:pPr>
        <w:spacing w:line="600" w:lineRule="exact"/>
        <w:jc w:val="left"/>
        <w:outlineLvl w:val="1"/>
        <w:rPr>
          <w:rFonts w:hint="eastAsia" w:ascii="黑体" w:eastAsia="黑体" w:cs="Times New Roman"/>
          <w:color w:val="auto"/>
          <w:kern w:val="2"/>
          <w:sz w:val="32"/>
          <w:szCs w:val="32"/>
          <w:highlight w:val="none"/>
          <w:lang w:val="en-US" w:eastAsia="zh-CN" w:bidi="ar-SA"/>
        </w:rPr>
      </w:pPr>
    </w:p>
    <w:p w14:paraId="3E88586B">
      <w:pPr>
        <w:suppressAutoHyphens/>
        <w:bidi w:val="0"/>
        <w:spacing w:line="600" w:lineRule="exact"/>
        <w:ind w:firstLine="640" w:firstLineChars="200"/>
        <w:outlineLvl w:val="1"/>
        <w:rPr>
          <w:rFonts w:hint="eastAsia" w:ascii="黑体" w:hAnsi="黑体" w:eastAsia="黑体"/>
          <w:color w:val="auto"/>
          <w:sz w:val="32"/>
          <w:szCs w:val="32"/>
          <w:highlight w:val="none"/>
          <w:lang w:val="en-US" w:eastAsia="zh-CN"/>
        </w:rPr>
      </w:pPr>
      <w:r>
        <w:rPr>
          <w:rFonts w:hint="eastAsia" w:ascii="黑体" w:hAnsi="黑体" w:eastAsia="黑体"/>
          <w:color w:val="auto"/>
          <w:sz w:val="32"/>
          <w:szCs w:val="32"/>
          <w:highlight w:val="none"/>
          <w:lang w:val="en-US" w:eastAsia="zh-CN"/>
        </w:rPr>
        <w:t>五、一般公共预算财政拨款支出决算情况说明</w:t>
      </w:r>
    </w:p>
    <w:p w14:paraId="755B4A4C">
      <w:pPr>
        <w:keepNext w:val="0"/>
        <w:keepLines w:val="0"/>
        <w:pageBreakBefore w:val="0"/>
        <w:widowControl w:val="0"/>
        <w:suppressAutoHyphens/>
        <w:kinsoku/>
        <w:wordWrap/>
        <w:overflowPunct/>
        <w:topLinePunct w:val="0"/>
        <w:autoSpaceDE/>
        <w:autoSpaceDN/>
        <w:bidi w:val="0"/>
        <w:adjustRightInd/>
        <w:snapToGrid/>
        <w:spacing w:line="570" w:lineRule="exact"/>
        <w:ind w:firstLine="643" w:firstLineChars="200"/>
        <w:textAlignment w:val="auto"/>
        <w:rPr>
          <w:rFonts w:hint="eastAsia" w:ascii="仿宋_GB2312" w:eastAsia="仿宋_GB2312" w:cs="Times New Roman"/>
          <w:b/>
          <w:bCs/>
          <w:color w:val="000000"/>
          <w:kern w:val="2"/>
          <w:sz w:val="32"/>
          <w:szCs w:val="32"/>
          <w:lang w:val="en-US" w:eastAsia="zh-CN" w:bidi="ar-SA"/>
        </w:rPr>
      </w:pPr>
      <w:r>
        <w:rPr>
          <w:rFonts w:hint="eastAsia" w:ascii="仿宋_GB2312" w:eastAsia="仿宋_GB2312" w:cs="Times New Roman"/>
          <w:b/>
          <w:bCs/>
          <w:color w:val="000000"/>
          <w:kern w:val="2"/>
          <w:sz w:val="32"/>
          <w:szCs w:val="32"/>
          <w:lang w:val="en-US" w:eastAsia="zh-CN" w:bidi="ar-SA"/>
        </w:rPr>
        <w:t>（一）一般公共预算财政拨款支出决算总体情况</w:t>
      </w:r>
      <w:bookmarkEnd w:id="57"/>
      <w:bookmarkEnd w:id="58"/>
      <w:bookmarkEnd w:id="59"/>
    </w:p>
    <w:p w14:paraId="012C97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cs="Times New Roman"/>
          <w:b w:val="0"/>
          <w:bCs w:val="0"/>
          <w:color w:val="000000"/>
          <w:kern w:val="2"/>
          <w:sz w:val="32"/>
          <w:szCs w:val="32"/>
          <w:lang w:val="en-US" w:eastAsia="zh-CN" w:bidi="ar-SA"/>
        </w:rPr>
      </w:pPr>
      <w:r>
        <w:rPr>
          <w:rFonts w:hint="eastAsia" w:ascii="仿宋_GB2312" w:eastAsia="仿宋_GB2312" w:cs="仿宋_GB2312"/>
          <w:color w:val="auto"/>
          <w:kern w:val="2"/>
          <w:sz w:val="32"/>
          <w:szCs w:val="32"/>
          <w:highlight w:val="none"/>
          <w:lang w:val="en-US" w:eastAsia="zh-CN" w:bidi="ar-SA"/>
        </w:rPr>
        <w:t>2025年度一般公共预算财政拨款支出</w:t>
      </w:r>
      <w:r>
        <w:rPr>
          <w:rFonts w:hint="eastAsia" w:ascii="仿宋_GB2312" w:eastAsia="仿宋_GB2312" w:cs="仿宋_GB2312"/>
          <w:sz w:val="32"/>
          <w:szCs w:val="32"/>
          <w:lang w:val="en-US" w:eastAsia="zh-CN"/>
        </w:rPr>
        <w:t>446.31</w:t>
      </w:r>
      <w:r>
        <w:rPr>
          <w:rFonts w:hint="eastAsia" w:ascii="仿宋_GB2312" w:eastAsia="仿宋_GB2312" w:cs="仿宋_GB2312"/>
          <w:color w:val="auto"/>
          <w:kern w:val="2"/>
          <w:sz w:val="32"/>
          <w:szCs w:val="32"/>
          <w:highlight w:val="none"/>
          <w:lang w:val="en-US" w:eastAsia="zh-CN" w:bidi="ar-SA"/>
        </w:rPr>
        <w:t>万元,占本年支出合计的</w:t>
      </w:r>
      <w:r>
        <w:rPr>
          <w:rFonts w:hint="eastAsia" w:ascii="仿宋_GB2312" w:eastAsia="仿宋_GB2312" w:cs="仿宋_GB2312"/>
          <w:sz w:val="32"/>
          <w:szCs w:val="32"/>
        </w:rPr>
        <w:t>100</w:t>
      </w:r>
      <w:r>
        <w:rPr>
          <w:rFonts w:hint="eastAsia" w:ascii="仿宋_GB2312" w:eastAsia="仿宋_GB2312" w:cs="仿宋_GB2312"/>
          <w:color w:val="auto"/>
          <w:kern w:val="2"/>
          <w:sz w:val="32"/>
          <w:szCs w:val="32"/>
          <w:highlight w:val="none"/>
          <w:lang w:val="en-US" w:eastAsia="zh-CN" w:bidi="ar-SA"/>
        </w:rPr>
        <w:t>%。与2024年度相比,一般公共预算财政拨款支出增加28.34万元,增长6.78%。主要变动原因是</w:t>
      </w:r>
      <w:r>
        <w:rPr>
          <w:rFonts w:ascii="仿宋_GB2312" w:eastAsia="仿宋_GB2312" w:cs="仿宋_GB2312"/>
          <w:color w:val="auto"/>
          <w:kern w:val="2"/>
          <w:sz w:val="32"/>
          <w:szCs w:val="32"/>
          <w:highlight w:val="none"/>
          <w:lang w:val="en-US" w:eastAsia="zh-CN" w:bidi="ar-SA"/>
        </w:rPr>
        <w:t>:</w:t>
      </w:r>
      <w:r>
        <w:rPr>
          <w:rFonts w:ascii="仿宋_GB2312" w:eastAsia="仿宋_GB2312" w:cs="Times New Roman"/>
          <w:b w:val="0"/>
          <w:bCs w:val="0"/>
          <w:color w:val="000000"/>
          <w:kern w:val="2"/>
          <w:sz w:val="32"/>
          <w:szCs w:val="32"/>
          <w:lang w:val="en-US" w:eastAsia="zh-CN" w:bidi="ar-SA"/>
        </w:rPr>
        <w:t>人员变动</w:t>
      </w:r>
      <w:r>
        <w:rPr>
          <w:rFonts w:hint="eastAsia" w:ascii="仿宋_GB2312" w:eastAsia="仿宋_GB2312" w:cs="Times New Roman"/>
          <w:b w:val="0"/>
          <w:bCs w:val="0"/>
          <w:color w:val="000000"/>
          <w:kern w:val="2"/>
          <w:sz w:val="32"/>
          <w:szCs w:val="32"/>
          <w:lang w:val="en-US" w:eastAsia="zh-CN" w:bidi="ar-SA"/>
        </w:rPr>
        <w:t>、</w:t>
      </w:r>
      <w:r>
        <w:rPr>
          <w:rFonts w:ascii="仿宋_GB2312" w:eastAsia="仿宋_GB2312" w:cs="Times New Roman"/>
          <w:b w:val="0"/>
          <w:bCs w:val="0"/>
          <w:color w:val="000000"/>
          <w:kern w:val="2"/>
          <w:sz w:val="32"/>
          <w:szCs w:val="32"/>
          <w:lang w:val="en-US" w:eastAsia="zh-CN" w:bidi="ar-SA"/>
        </w:rPr>
        <w:t>工资正常晋升</w:t>
      </w:r>
      <w:r>
        <w:rPr>
          <w:rFonts w:hint="eastAsia" w:ascii="仿宋_GB2312" w:eastAsia="仿宋_GB2312" w:cs="Times New Roman"/>
          <w:b w:val="0"/>
          <w:bCs w:val="0"/>
          <w:color w:val="000000"/>
          <w:kern w:val="2"/>
          <w:sz w:val="32"/>
          <w:szCs w:val="32"/>
          <w:lang w:val="en-US" w:eastAsia="zh-CN" w:bidi="ar-SA"/>
        </w:rPr>
        <w:t>、保险和公积金基数调整。</w:t>
      </w:r>
    </w:p>
    <w:p w14:paraId="122E1093">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B58C79B">
      <w:pPr>
        <w:pStyle w:val="2"/>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26000" cy="2743200"/>
            <wp:effectExtent l="4445" t="4445" r="8255" b="8255"/>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C8241C3">
      <w:pPr>
        <w:keepNext w:val="0"/>
        <w:keepLines w:val="0"/>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_GB2312" w:eastAsia="仿宋_GB2312" w:cs="Times New Roman"/>
          <w:b/>
          <w:bCs/>
          <w:color w:val="000000"/>
          <w:kern w:val="2"/>
          <w:sz w:val="32"/>
          <w:szCs w:val="32"/>
          <w:lang w:val="en-US" w:eastAsia="zh-CN" w:bidi="ar-SA"/>
        </w:rPr>
      </w:pPr>
      <w:bookmarkStart w:id="60" w:name="_Toc23400"/>
      <w:bookmarkStart w:id="61" w:name="_Toc21834"/>
      <w:bookmarkStart w:id="62" w:name="_Toc15377211"/>
      <w:r>
        <w:rPr>
          <w:rFonts w:hint="eastAsia" w:ascii="仿宋_GB2312" w:eastAsia="仿宋_GB2312" w:cs="Times New Roman"/>
          <w:b/>
          <w:bCs/>
          <w:color w:val="000000"/>
          <w:kern w:val="2"/>
          <w:sz w:val="32"/>
          <w:szCs w:val="32"/>
          <w:lang w:val="en-US" w:eastAsia="zh-CN" w:bidi="ar-SA"/>
        </w:rPr>
        <w:t>（二）一般公共预算财政拨款支出决算结构情况</w:t>
      </w:r>
      <w:bookmarkEnd w:id="60"/>
      <w:bookmarkEnd w:id="61"/>
      <w:bookmarkEnd w:id="62"/>
    </w:p>
    <w:p w14:paraId="76BBDE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eastAsia="仿宋"/>
          <w:color w:val="auto"/>
          <w:sz w:val="32"/>
          <w:szCs w:val="32"/>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eastAsia="仿宋_GB2312" w:cs="仿宋_GB2312"/>
          <w:sz w:val="32"/>
          <w:szCs w:val="32"/>
        </w:rPr>
        <w:t>4</w:t>
      </w:r>
      <w:r>
        <w:rPr>
          <w:rFonts w:hint="eastAsia" w:ascii="仿宋_GB2312" w:eastAsia="仿宋_GB2312" w:cs="仿宋_GB2312"/>
          <w:sz w:val="32"/>
          <w:szCs w:val="32"/>
          <w:lang w:val="en-US" w:eastAsia="zh-CN"/>
        </w:rPr>
        <w:t>46.31</w:t>
      </w:r>
      <w:r>
        <w:rPr>
          <w:rFonts w:hint="eastAsia" w:ascii="仿宋_GB2312"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仿宋" w:eastAsia="仿宋"/>
          <w:b/>
          <w:bCs w:val="0"/>
          <w:color w:val="auto"/>
          <w:sz w:val="32"/>
          <w:szCs w:val="32"/>
          <w:highlight w:val="none"/>
          <w:lang w:eastAsia="zh-CN"/>
        </w:rPr>
        <w:t>城乡社区类</w:t>
      </w:r>
      <w:r>
        <w:rPr>
          <w:rFonts w:hint="eastAsia" w:ascii="仿宋" w:eastAsia="仿宋"/>
          <w:b/>
          <w:bCs w:val="0"/>
          <w:color w:val="auto"/>
          <w:sz w:val="32"/>
          <w:szCs w:val="32"/>
          <w:highlight w:val="none"/>
        </w:rPr>
        <w:t>支出</w:t>
      </w:r>
      <w:r>
        <w:rPr>
          <w:rFonts w:hint="eastAsia" w:ascii="仿宋" w:eastAsia="仿宋"/>
          <w:b w:val="0"/>
          <w:bCs/>
          <w:color w:val="auto"/>
          <w:sz w:val="32"/>
          <w:szCs w:val="32"/>
          <w:highlight w:val="none"/>
          <w:lang w:val="en-US" w:eastAsia="zh-CN"/>
        </w:rPr>
        <w:t>327.55</w:t>
      </w:r>
      <w:r>
        <w:rPr>
          <w:rFonts w:hint="eastAsia" w:ascii="仿宋" w:eastAsia="仿宋"/>
          <w:b w:val="0"/>
          <w:bCs/>
          <w:color w:val="auto"/>
          <w:sz w:val="32"/>
          <w:szCs w:val="32"/>
          <w:highlight w:val="none"/>
        </w:rPr>
        <w:t>万</w:t>
      </w:r>
      <w:r>
        <w:rPr>
          <w:rFonts w:hint="eastAsia" w:ascii="仿宋" w:eastAsia="仿宋"/>
          <w:color w:val="auto"/>
          <w:sz w:val="32"/>
          <w:szCs w:val="32"/>
          <w:highlight w:val="none"/>
        </w:rPr>
        <w:t>元</w:t>
      </w:r>
      <w:r>
        <w:rPr>
          <w:rFonts w:hint="eastAsia" w:ascii="仿宋" w:eastAsia="仿宋"/>
          <w:color w:val="auto"/>
          <w:sz w:val="32"/>
          <w:szCs w:val="32"/>
          <w:highlight w:val="none"/>
          <w:lang w:val="en-US" w:eastAsia="zh-CN"/>
        </w:rPr>
        <w:t>,</w:t>
      </w:r>
      <w:r>
        <w:rPr>
          <w:rFonts w:hint="eastAsia" w:ascii="仿宋" w:eastAsia="仿宋"/>
          <w:color w:val="auto"/>
          <w:sz w:val="32"/>
          <w:szCs w:val="32"/>
          <w:highlight w:val="none"/>
        </w:rPr>
        <w:t>占</w:t>
      </w:r>
      <w:r>
        <w:rPr>
          <w:rFonts w:hint="eastAsia" w:ascii="仿宋" w:eastAsia="仿宋"/>
          <w:color w:val="auto"/>
          <w:sz w:val="32"/>
          <w:szCs w:val="32"/>
          <w:highlight w:val="none"/>
          <w:lang w:val="en-US" w:eastAsia="zh-CN"/>
        </w:rPr>
        <w:t>73</w:t>
      </w:r>
      <w:r>
        <w:rPr>
          <w:rFonts w:ascii="仿宋" w:eastAsia="仿宋"/>
          <w:color w:val="auto"/>
          <w:sz w:val="32"/>
          <w:szCs w:val="32"/>
          <w:highlight w:val="none"/>
        </w:rPr>
        <w:t>%</w:t>
      </w:r>
      <w:r>
        <w:rPr>
          <w:rFonts w:hint="eastAsia" w:ascii="仿宋" w:eastAsia="仿宋"/>
          <w:color w:val="auto"/>
          <w:sz w:val="32"/>
          <w:szCs w:val="32"/>
          <w:highlight w:val="none"/>
          <w:lang w:val="en-US" w:eastAsia="zh-CN"/>
        </w:rPr>
        <w:t>;</w:t>
      </w:r>
      <w:r>
        <w:rPr>
          <w:rFonts w:hint="eastAsia" w:ascii="仿宋" w:eastAsia="仿宋"/>
          <w:b/>
          <w:color w:val="auto"/>
          <w:sz w:val="32"/>
          <w:szCs w:val="32"/>
          <w:highlight w:val="none"/>
        </w:rPr>
        <w:t>社会保障和就业</w:t>
      </w:r>
      <w:r>
        <w:rPr>
          <w:rFonts w:hint="eastAsia" w:ascii="仿宋" w:eastAsia="仿宋"/>
          <w:b/>
          <w:bCs/>
          <w:color w:val="auto"/>
          <w:sz w:val="32"/>
          <w:szCs w:val="32"/>
          <w:highlight w:val="none"/>
        </w:rPr>
        <w:t>支出</w:t>
      </w:r>
      <w:r>
        <w:rPr>
          <w:rFonts w:hint="eastAsia" w:ascii="仿宋" w:eastAsia="仿宋"/>
          <w:b w:val="0"/>
          <w:bCs w:val="0"/>
          <w:color w:val="auto"/>
          <w:sz w:val="32"/>
          <w:szCs w:val="32"/>
          <w:highlight w:val="none"/>
          <w:lang w:val="en-US" w:eastAsia="zh-CN"/>
        </w:rPr>
        <w:t>61.23</w:t>
      </w:r>
      <w:r>
        <w:rPr>
          <w:rFonts w:hint="eastAsia" w:ascii="仿宋" w:eastAsia="仿宋"/>
          <w:color w:val="auto"/>
          <w:sz w:val="32"/>
          <w:szCs w:val="32"/>
          <w:highlight w:val="none"/>
        </w:rPr>
        <w:t>万元</w:t>
      </w:r>
      <w:r>
        <w:rPr>
          <w:rFonts w:hint="eastAsia" w:ascii="仿宋" w:eastAsia="仿宋"/>
          <w:color w:val="auto"/>
          <w:sz w:val="32"/>
          <w:szCs w:val="32"/>
          <w:highlight w:val="none"/>
          <w:lang w:val="en-US" w:eastAsia="zh-CN"/>
        </w:rPr>
        <w:t>,</w:t>
      </w:r>
      <w:r>
        <w:rPr>
          <w:rFonts w:hint="eastAsia" w:ascii="仿宋" w:eastAsia="仿宋"/>
          <w:color w:val="auto"/>
          <w:sz w:val="32"/>
          <w:szCs w:val="32"/>
          <w:highlight w:val="none"/>
        </w:rPr>
        <w:t>占</w:t>
      </w:r>
      <w:r>
        <w:rPr>
          <w:rFonts w:hint="eastAsia" w:ascii="仿宋" w:eastAsia="仿宋"/>
          <w:color w:val="auto"/>
          <w:sz w:val="32"/>
          <w:szCs w:val="32"/>
          <w:highlight w:val="none"/>
          <w:lang w:val="en-US" w:eastAsia="zh-CN"/>
        </w:rPr>
        <w:t>14</w:t>
      </w:r>
      <w:r>
        <w:rPr>
          <w:rFonts w:ascii="仿宋" w:eastAsia="仿宋"/>
          <w:color w:val="auto"/>
          <w:sz w:val="32"/>
          <w:szCs w:val="32"/>
          <w:highlight w:val="none"/>
        </w:rPr>
        <w:t>%</w:t>
      </w:r>
      <w:r>
        <w:rPr>
          <w:rFonts w:hint="eastAsia" w:ascii="仿宋" w:eastAsia="仿宋"/>
          <w:color w:val="auto"/>
          <w:sz w:val="32"/>
          <w:szCs w:val="32"/>
          <w:highlight w:val="none"/>
          <w:lang w:val="en-US" w:eastAsia="zh-CN"/>
        </w:rPr>
        <w:t>;</w:t>
      </w:r>
      <w:r>
        <w:rPr>
          <w:rFonts w:hint="eastAsia" w:ascii="仿宋" w:eastAsia="仿宋"/>
          <w:b/>
          <w:bCs/>
          <w:color w:val="auto"/>
          <w:sz w:val="32"/>
          <w:szCs w:val="32"/>
          <w:highlight w:val="none"/>
        </w:rPr>
        <w:t>卫生健康支出</w:t>
      </w:r>
      <w:r>
        <w:rPr>
          <w:rFonts w:hint="eastAsia" w:ascii="仿宋" w:eastAsia="仿宋"/>
          <w:color w:val="auto"/>
          <w:sz w:val="32"/>
          <w:szCs w:val="32"/>
          <w:highlight w:val="none"/>
          <w:lang w:val="en-US" w:eastAsia="zh-CN"/>
        </w:rPr>
        <w:t>23.9</w:t>
      </w:r>
      <w:r>
        <w:rPr>
          <w:rFonts w:hint="eastAsia" w:ascii="仿宋" w:eastAsia="仿宋"/>
          <w:color w:val="auto"/>
          <w:sz w:val="32"/>
          <w:szCs w:val="32"/>
          <w:highlight w:val="none"/>
        </w:rPr>
        <w:t>万元</w:t>
      </w:r>
      <w:r>
        <w:rPr>
          <w:rFonts w:hint="eastAsia" w:ascii="仿宋" w:eastAsia="仿宋"/>
          <w:color w:val="auto"/>
          <w:sz w:val="32"/>
          <w:szCs w:val="32"/>
          <w:highlight w:val="none"/>
          <w:lang w:val="en-US" w:eastAsia="zh-CN"/>
        </w:rPr>
        <w:t>,</w:t>
      </w:r>
      <w:r>
        <w:rPr>
          <w:rFonts w:hint="eastAsia" w:ascii="仿宋" w:eastAsia="仿宋"/>
          <w:color w:val="auto"/>
          <w:sz w:val="32"/>
          <w:szCs w:val="32"/>
          <w:highlight w:val="none"/>
        </w:rPr>
        <w:t>占</w:t>
      </w:r>
      <w:r>
        <w:rPr>
          <w:rFonts w:hint="eastAsia" w:ascii="仿宋" w:eastAsia="仿宋"/>
          <w:color w:val="auto"/>
          <w:sz w:val="32"/>
          <w:szCs w:val="32"/>
          <w:highlight w:val="none"/>
          <w:lang w:val="en-US" w:eastAsia="zh-CN"/>
        </w:rPr>
        <w:t>5</w:t>
      </w:r>
      <w:r>
        <w:rPr>
          <w:rFonts w:ascii="仿宋" w:eastAsia="仿宋"/>
          <w:color w:val="auto"/>
          <w:sz w:val="32"/>
          <w:szCs w:val="32"/>
          <w:highlight w:val="none"/>
        </w:rPr>
        <w:t>%</w:t>
      </w:r>
      <w:r>
        <w:rPr>
          <w:rFonts w:hint="eastAsia" w:ascii="仿宋" w:eastAsia="仿宋"/>
          <w:color w:val="auto"/>
          <w:sz w:val="32"/>
          <w:szCs w:val="32"/>
          <w:highlight w:val="none"/>
          <w:lang w:val="en-US" w:eastAsia="zh-CN"/>
        </w:rPr>
        <w:t>;</w:t>
      </w:r>
      <w:r>
        <w:rPr>
          <w:rFonts w:hint="eastAsia" w:ascii="仿宋" w:eastAsia="仿宋"/>
          <w:b/>
          <w:bCs/>
          <w:color w:val="auto"/>
          <w:sz w:val="32"/>
          <w:szCs w:val="32"/>
          <w:highlight w:val="none"/>
        </w:rPr>
        <w:t>住房保障支出</w:t>
      </w:r>
      <w:r>
        <w:rPr>
          <w:rFonts w:hint="eastAsia" w:ascii="仿宋" w:eastAsia="仿宋"/>
          <w:b w:val="0"/>
          <w:bCs w:val="0"/>
          <w:color w:val="auto"/>
          <w:sz w:val="32"/>
          <w:szCs w:val="32"/>
          <w:highlight w:val="none"/>
          <w:lang w:val="en-US" w:eastAsia="zh-CN"/>
        </w:rPr>
        <w:t>33.63</w:t>
      </w:r>
      <w:r>
        <w:rPr>
          <w:rFonts w:hint="eastAsia" w:ascii="仿宋" w:eastAsia="仿宋"/>
          <w:color w:val="auto"/>
          <w:sz w:val="32"/>
          <w:szCs w:val="32"/>
          <w:highlight w:val="none"/>
        </w:rPr>
        <w:t>万元</w:t>
      </w:r>
      <w:r>
        <w:rPr>
          <w:rFonts w:hint="eastAsia" w:ascii="仿宋" w:eastAsia="仿宋"/>
          <w:color w:val="auto"/>
          <w:sz w:val="32"/>
          <w:szCs w:val="32"/>
          <w:highlight w:val="none"/>
          <w:lang w:val="en-US" w:eastAsia="zh-CN"/>
        </w:rPr>
        <w:t>,</w:t>
      </w:r>
      <w:r>
        <w:rPr>
          <w:rFonts w:hint="eastAsia" w:ascii="仿宋" w:eastAsia="仿宋"/>
          <w:color w:val="auto"/>
          <w:sz w:val="32"/>
          <w:szCs w:val="32"/>
          <w:highlight w:val="none"/>
        </w:rPr>
        <w:t>占</w:t>
      </w:r>
      <w:r>
        <w:rPr>
          <w:rFonts w:hint="eastAsia" w:ascii="仿宋" w:eastAsia="仿宋"/>
          <w:color w:val="auto"/>
          <w:sz w:val="32"/>
          <w:szCs w:val="32"/>
          <w:highlight w:val="none"/>
          <w:lang w:val="en-US" w:eastAsia="zh-CN"/>
        </w:rPr>
        <w:t>8</w:t>
      </w:r>
      <w:r>
        <w:rPr>
          <w:rFonts w:ascii="仿宋" w:eastAsia="仿宋"/>
          <w:color w:val="auto"/>
          <w:sz w:val="32"/>
          <w:szCs w:val="32"/>
          <w:highlight w:val="none"/>
        </w:rPr>
        <w:t>%</w:t>
      </w:r>
      <w:r>
        <w:rPr>
          <w:rFonts w:hint="eastAsia" w:ascii="仿宋" w:eastAsia="仿宋"/>
          <w:color w:val="auto"/>
          <w:sz w:val="32"/>
          <w:szCs w:val="32"/>
          <w:highlight w:val="none"/>
          <w:lang w:eastAsia="zh-CN"/>
        </w:rPr>
        <w:t>。</w:t>
      </w:r>
    </w:p>
    <w:p w14:paraId="4DE30198">
      <w:pPr>
        <w:spacing w:line="600" w:lineRule="exact"/>
        <w:ind w:firstLine="321" w:firstLineChars="100"/>
        <w:rPr>
          <w:rFonts w:hint="eastAsia" w:ascii="仿宋_GB2312" w:eastAsia="仿宋_GB2312" w:cs="Times New Roman"/>
          <w:b/>
          <w:bCs/>
          <w:color w:val="000000"/>
          <w:kern w:val="2"/>
          <w:sz w:val="32"/>
          <w:szCs w:val="32"/>
          <w:lang w:val="en-US" w:eastAsia="zh-CN" w:bidi="ar-SA"/>
        </w:rPr>
      </w:pPr>
      <w:r>
        <w:rPr>
          <w:rFonts w:hint="eastAsia" w:ascii="仿宋_GB2312" w:eastAsia="仿宋_GB2312" w:cs="Times New Roman"/>
          <w:b/>
          <w:bCs/>
          <w:color w:val="000000"/>
          <w:kern w:val="2"/>
          <w:sz w:val="32"/>
          <w:szCs w:val="32"/>
          <w:lang w:val="en-US" w:eastAsia="zh-CN" w:bidi="ar-SA"/>
        </w:rPr>
        <w:drawing>
          <wp:anchor distT="0" distB="0" distL="114300" distR="114300" simplePos="0" relativeHeight="251661312" behindDoc="0" locked="0" layoutInCell="1" allowOverlap="1">
            <wp:simplePos x="0" y="0"/>
            <wp:positionH relativeFrom="column">
              <wp:posOffset>163830</wp:posOffset>
            </wp:positionH>
            <wp:positionV relativeFrom="paragraph">
              <wp:posOffset>260350</wp:posOffset>
            </wp:positionV>
            <wp:extent cx="4826000" cy="2743200"/>
            <wp:effectExtent l="4445" t="4445" r="8255" b="8255"/>
            <wp:wrapSquare wrapText="bothSides"/>
            <wp:docPr id="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bookmarkStart w:id="63" w:name="_Toc15377212"/>
      <w:bookmarkStart w:id="64" w:name="_Toc32183"/>
      <w:bookmarkStart w:id="65" w:name="_Toc4746"/>
      <w:r>
        <w:rPr>
          <w:rFonts w:hint="eastAsia" w:ascii="仿宋_GB2312" w:eastAsia="仿宋_GB2312" w:cs="Times New Roman"/>
          <w:b/>
          <w:bCs/>
          <w:color w:val="000000"/>
          <w:kern w:val="2"/>
          <w:sz w:val="32"/>
          <w:szCs w:val="32"/>
          <w:lang w:val="en-US" w:eastAsia="zh-CN" w:bidi="ar-SA"/>
        </w:rPr>
        <w:t>（三）一般公共预算财政拨款支出决算具体情况</w:t>
      </w:r>
      <w:bookmarkEnd w:id="63"/>
      <w:bookmarkEnd w:id="64"/>
      <w:bookmarkEnd w:id="65"/>
      <w:bookmarkStart w:id="134" w:name="_GoBack"/>
      <w:bookmarkEnd w:id="134"/>
    </w:p>
    <w:p w14:paraId="1002E9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66" w:name="_Toc15378460"/>
      <w:bookmarkStart w:id="67" w:name="_Toc15377213"/>
      <w:bookmarkStart w:id="68" w:name="_Toc15377444"/>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eastAsia="仿宋_GB2312" w:cs="仿宋_GB2312"/>
          <w:color w:val="auto"/>
          <w:kern w:val="2"/>
          <w:sz w:val="32"/>
          <w:szCs w:val="32"/>
          <w:highlight w:val="none"/>
          <w:lang w:val="en-US" w:eastAsia="zh-CN" w:bidi="ar-SA"/>
        </w:rPr>
        <w:t>446.31</w:t>
      </w:r>
      <w:r>
        <w:rPr>
          <w:rFonts w:hint="eastAsia"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66"/>
      <w:bookmarkEnd w:id="67"/>
      <w:bookmarkEnd w:id="68"/>
    </w:p>
    <w:p w14:paraId="5201AF9C">
      <w:pPr>
        <w:spacing w:line="570" w:lineRule="exact"/>
        <w:ind w:firstLine="643" w:firstLineChars="200"/>
        <w:rPr>
          <w:rStyle w:val="17"/>
          <w:rFonts w:hint="eastAsia" w:ascii="仿宋_GB2312" w:eastAsia="仿宋_GB2312" w:cs="仿宋_GB2312"/>
          <w:b w:val="0"/>
          <w:bCs/>
          <w:color w:val="000000"/>
          <w:sz w:val="32"/>
          <w:szCs w:val="32"/>
        </w:rPr>
      </w:pPr>
      <w:r>
        <w:rPr>
          <w:rStyle w:val="17"/>
          <w:rFonts w:ascii="仿宋" w:eastAsia="仿宋"/>
          <w:bCs/>
          <w:color w:val="auto"/>
          <w:sz w:val="32"/>
          <w:szCs w:val="32"/>
          <w:highlight w:val="none"/>
        </w:rPr>
        <w:t>1.</w:t>
      </w:r>
      <w:r>
        <w:rPr>
          <w:rStyle w:val="17"/>
          <w:rFonts w:hint="eastAsia" w:ascii="仿宋_GB2312" w:eastAsia="仿宋_GB2312" w:cs="仿宋_GB2312"/>
          <w:bCs/>
          <w:color w:val="000000"/>
          <w:sz w:val="32"/>
          <w:szCs w:val="32"/>
        </w:rPr>
        <w:t>城乡社区支出（</w:t>
      </w:r>
      <w:r>
        <w:rPr>
          <w:rStyle w:val="17"/>
          <w:rFonts w:hint="eastAsia" w:ascii="仿宋_GB2312" w:eastAsia="仿宋_GB2312" w:cs="仿宋_GB2312"/>
          <w:bCs/>
          <w:color w:val="000000"/>
          <w:sz w:val="32"/>
          <w:szCs w:val="32"/>
          <w:lang w:val="en-US" w:eastAsia="zh-CN"/>
        </w:rPr>
        <w:t>类</w:t>
      </w:r>
      <w:r>
        <w:rPr>
          <w:rStyle w:val="17"/>
          <w:rFonts w:hint="eastAsia" w:ascii="仿宋_GB2312" w:eastAsia="仿宋_GB2312" w:cs="仿宋_GB2312"/>
          <w:bCs/>
          <w:color w:val="000000"/>
          <w:sz w:val="32"/>
          <w:szCs w:val="32"/>
        </w:rPr>
        <w:t>）城乡社区管理事务（</w:t>
      </w:r>
      <w:r>
        <w:rPr>
          <w:rStyle w:val="17"/>
          <w:rFonts w:hint="eastAsia" w:ascii="仿宋_GB2312" w:eastAsia="仿宋_GB2312" w:cs="仿宋_GB2312"/>
          <w:bCs/>
          <w:color w:val="000000"/>
          <w:sz w:val="32"/>
          <w:szCs w:val="32"/>
          <w:lang w:val="en-US" w:eastAsia="zh-CN"/>
        </w:rPr>
        <w:t>款</w:t>
      </w:r>
      <w:r>
        <w:rPr>
          <w:rStyle w:val="17"/>
          <w:rFonts w:hint="eastAsia" w:ascii="仿宋_GB2312" w:eastAsia="仿宋_GB2312" w:cs="仿宋_GB2312"/>
          <w:bCs/>
          <w:color w:val="000000"/>
          <w:sz w:val="32"/>
          <w:szCs w:val="32"/>
        </w:rPr>
        <w:t>）其他城乡社区管理事务（</w:t>
      </w:r>
      <w:r>
        <w:rPr>
          <w:rStyle w:val="17"/>
          <w:rFonts w:hint="eastAsia" w:ascii="仿宋_GB2312" w:eastAsia="仿宋_GB2312" w:cs="仿宋_GB2312"/>
          <w:bCs/>
          <w:color w:val="000000"/>
          <w:sz w:val="32"/>
          <w:szCs w:val="32"/>
          <w:lang w:val="en-US" w:eastAsia="zh-CN"/>
        </w:rPr>
        <w:t>项</w:t>
      </w:r>
      <w:r>
        <w:rPr>
          <w:rStyle w:val="17"/>
          <w:rFonts w:hint="eastAsia" w:ascii="仿宋_GB2312" w:eastAsia="仿宋_GB2312" w:cs="仿宋_GB2312"/>
          <w:bCs/>
          <w:color w:val="000000"/>
          <w:sz w:val="32"/>
          <w:szCs w:val="32"/>
        </w:rPr>
        <w:t>）:</w:t>
      </w:r>
      <w:r>
        <w:rPr>
          <w:rStyle w:val="17"/>
          <w:rFonts w:hint="eastAsia" w:ascii="仿宋_GB2312" w:eastAsia="仿宋_GB2312" w:cs="仿宋_GB2312"/>
          <w:b w:val="0"/>
          <w:bCs/>
          <w:color w:val="000000"/>
          <w:sz w:val="32"/>
          <w:szCs w:val="32"/>
        </w:rPr>
        <w:t>支出决算为</w:t>
      </w:r>
      <w:r>
        <w:rPr>
          <w:rStyle w:val="17"/>
          <w:rFonts w:hint="eastAsia" w:ascii="仿宋_GB2312" w:eastAsia="仿宋_GB2312" w:cs="仿宋_GB2312"/>
          <w:b w:val="0"/>
          <w:bCs/>
          <w:color w:val="000000"/>
          <w:sz w:val="32"/>
          <w:szCs w:val="32"/>
          <w:lang w:val="en-US" w:eastAsia="zh-CN"/>
        </w:rPr>
        <w:t>327.55</w:t>
      </w:r>
      <w:r>
        <w:rPr>
          <w:rStyle w:val="17"/>
          <w:rFonts w:hint="eastAsia" w:ascii="仿宋_GB2312" w:eastAsia="仿宋_GB2312" w:cs="仿宋_GB2312"/>
          <w:b w:val="0"/>
          <w:bCs/>
          <w:color w:val="000000"/>
          <w:sz w:val="32"/>
          <w:szCs w:val="32"/>
        </w:rPr>
        <w:t>万元</w:t>
      </w:r>
      <w:r>
        <w:rPr>
          <w:rStyle w:val="17"/>
          <w:rFonts w:hint="eastAsia" w:ascii="仿宋_GB2312" w:eastAsia="仿宋_GB2312" w:cs="仿宋_GB2312"/>
          <w:b w:val="0"/>
          <w:bCs/>
          <w:color w:val="000000"/>
          <w:sz w:val="32"/>
          <w:szCs w:val="32"/>
          <w:lang w:val="en-US" w:eastAsia="zh-CN"/>
        </w:rPr>
        <w:t>,</w:t>
      </w:r>
      <w:r>
        <w:rPr>
          <w:rStyle w:val="17"/>
          <w:rFonts w:hint="eastAsia" w:ascii="仿宋_GB2312" w:eastAsia="仿宋_GB2312" w:cs="仿宋_GB2312"/>
          <w:b w:val="0"/>
          <w:bCs/>
          <w:color w:val="000000"/>
          <w:sz w:val="32"/>
          <w:szCs w:val="32"/>
        </w:rPr>
        <w:t>完成预算100%。</w:t>
      </w:r>
      <w:r>
        <w:rPr>
          <w:rFonts w:hint="eastAsia" w:ascii="仿宋_GB2312" w:eastAsia="仿宋_GB2312" w:cs="Times New Roman"/>
          <w:b w:val="0"/>
          <w:bCs w:val="0"/>
          <w:color w:val="000000"/>
          <w:kern w:val="2"/>
          <w:sz w:val="32"/>
          <w:szCs w:val="32"/>
          <w:lang w:val="en-US" w:eastAsia="zh-CN" w:bidi="ar-SA"/>
        </w:rPr>
        <w:t>决算数等于预算数。</w:t>
      </w:r>
    </w:p>
    <w:p w14:paraId="55FDC8D5">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_GB2312" w:eastAsia="仿宋_GB2312" w:cs="Times New Roman"/>
          <w:b w:val="0"/>
          <w:bCs w:val="0"/>
          <w:color w:val="000000"/>
          <w:kern w:val="2"/>
          <w:sz w:val="32"/>
          <w:szCs w:val="32"/>
          <w:lang w:val="en-US" w:eastAsia="zh-CN" w:bidi="ar-SA"/>
        </w:rPr>
      </w:pPr>
      <w:r>
        <w:rPr>
          <w:rStyle w:val="17"/>
          <w:rFonts w:ascii="仿宋" w:eastAsia="仿宋"/>
          <w:bCs/>
          <w:color w:val="auto"/>
          <w:sz w:val="32"/>
          <w:szCs w:val="32"/>
          <w:highlight w:val="none"/>
        </w:rPr>
        <w:t>2.</w:t>
      </w:r>
      <w:r>
        <w:rPr>
          <w:rFonts w:hint="eastAsia" w:ascii="仿宋_GB2312" w:eastAsia="仿宋_GB2312" w:cs="Times New Roman"/>
          <w:b/>
          <w:bCs/>
          <w:color w:val="000000"/>
          <w:kern w:val="2"/>
          <w:sz w:val="32"/>
          <w:szCs w:val="32"/>
          <w:lang w:val="en-US" w:eastAsia="zh-CN" w:bidi="ar-SA"/>
        </w:rPr>
        <w:t>社会保障和就业（类）行政事业单位养老支出（款）机关事业单位基本养老保险缴费支出（项）:</w:t>
      </w:r>
      <w:r>
        <w:rPr>
          <w:rFonts w:hint="eastAsia" w:ascii="仿宋_GB2312" w:eastAsia="仿宋_GB2312" w:cs="Times New Roman"/>
          <w:b w:val="0"/>
          <w:bCs w:val="0"/>
          <w:color w:val="000000"/>
          <w:kern w:val="2"/>
          <w:sz w:val="32"/>
          <w:szCs w:val="32"/>
          <w:lang w:val="en-US" w:eastAsia="zh-CN" w:bidi="ar-SA"/>
        </w:rPr>
        <w:t>支出决算为40.83万元，完成预算100%,决算数等于预算数。</w:t>
      </w:r>
    </w:p>
    <w:p w14:paraId="5F91B7D3">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_GB2312" w:eastAsia="仿宋_GB2312" w:cs="Times New Roman"/>
          <w:b w:val="0"/>
          <w:bCs w:val="0"/>
          <w:color w:val="000000"/>
          <w:kern w:val="2"/>
          <w:sz w:val="32"/>
          <w:szCs w:val="32"/>
          <w:lang w:val="en-US" w:eastAsia="zh-CN" w:bidi="ar-SA"/>
        </w:rPr>
      </w:pPr>
      <w:r>
        <w:rPr>
          <w:rStyle w:val="17"/>
          <w:rFonts w:hint="eastAsia" w:ascii="仿宋" w:eastAsia="仿宋"/>
          <w:bCs/>
          <w:color w:val="auto"/>
          <w:sz w:val="32"/>
          <w:szCs w:val="32"/>
          <w:highlight w:val="none"/>
          <w:lang w:val="en-US" w:eastAsia="zh-CN"/>
        </w:rPr>
        <w:t>3</w:t>
      </w:r>
      <w:r>
        <w:rPr>
          <w:rStyle w:val="17"/>
          <w:rFonts w:ascii="仿宋" w:eastAsia="仿宋"/>
          <w:bCs/>
          <w:color w:val="auto"/>
          <w:sz w:val="32"/>
          <w:szCs w:val="32"/>
          <w:highlight w:val="none"/>
        </w:rPr>
        <w:t>.</w:t>
      </w:r>
      <w:r>
        <w:rPr>
          <w:rFonts w:hint="eastAsia" w:ascii="仿宋_GB2312" w:eastAsia="仿宋_GB2312" w:cs="Times New Roman"/>
          <w:b/>
          <w:bCs/>
          <w:color w:val="000000"/>
          <w:kern w:val="2"/>
          <w:sz w:val="32"/>
          <w:szCs w:val="32"/>
          <w:lang w:val="en-US" w:eastAsia="zh-CN" w:bidi="ar-SA"/>
        </w:rPr>
        <w:t>社会保障和就业（类）行政事业单位养老支出（款）机关事业单位职业年金缴费支出（项）:</w:t>
      </w:r>
      <w:r>
        <w:rPr>
          <w:rFonts w:hint="eastAsia" w:ascii="仿宋_GB2312" w:eastAsia="仿宋_GB2312" w:cs="Times New Roman"/>
          <w:b w:val="0"/>
          <w:bCs w:val="0"/>
          <w:color w:val="000000"/>
          <w:kern w:val="2"/>
          <w:sz w:val="32"/>
          <w:szCs w:val="32"/>
          <w:lang w:val="en-US" w:eastAsia="zh-CN" w:bidi="ar-SA"/>
        </w:rPr>
        <w:t>支出决算为20.4万元,完成预算100%,决算数等于预算数。</w:t>
      </w:r>
    </w:p>
    <w:p w14:paraId="48B4F98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_GB2312" w:eastAsia="仿宋_GB2312" w:cs="Times New Roman"/>
          <w:b w:val="0"/>
          <w:bCs w:val="0"/>
          <w:color w:val="000000"/>
          <w:kern w:val="2"/>
          <w:sz w:val="32"/>
          <w:szCs w:val="32"/>
          <w:lang w:val="en-US" w:eastAsia="zh-CN" w:bidi="ar-SA"/>
        </w:rPr>
      </w:pPr>
      <w:r>
        <w:rPr>
          <w:rStyle w:val="17"/>
          <w:rFonts w:hint="eastAsia" w:ascii="仿宋" w:eastAsia="仿宋"/>
          <w:bCs/>
          <w:color w:val="auto"/>
          <w:sz w:val="32"/>
          <w:szCs w:val="32"/>
          <w:highlight w:val="none"/>
          <w:lang w:val="en-US" w:eastAsia="zh-CN"/>
        </w:rPr>
        <w:t>4</w:t>
      </w:r>
      <w:r>
        <w:rPr>
          <w:rStyle w:val="17"/>
          <w:rFonts w:ascii="仿宋" w:eastAsia="仿宋"/>
          <w:bCs/>
          <w:color w:val="auto"/>
          <w:sz w:val="32"/>
          <w:szCs w:val="32"/>
          <w:highlight w:val="none"/>
        </w:rPr>
        <w:t>.</w:t>
      </w:r>
      <w:r>
        <w:rPr>
          <w:rFonts w:hint="eastAsia" w:ascii="仿宋_GB2312" w:eastAsia="仿宋_GB2312" w:cs="Times New Roman"/>
          <w:b/>
          <w:bCs/>
          <w:color w:val="000000"/>
          <w:kern w:val="2"/>
          <w:sz w:val="32"/>
          <w:szCs w:val="32"/>
          <w:lang w:val="en-US" w:eastAsia="zh-CN" w:bidi="ar-SA"/>
        </w:rPr>
        <w:t>卫生健康（类）行政事业单位医疗（款）</w:t>
      </w:r>
      <w:r>
        <w:rPr>
          <w:rFonts w:hint="eastAsia" w:cs="Times New Roman"/>
          <w:b/>
          <w:bCs/>
          <w:color w:val="000000"/>
          <w:kern w:val="2"/>
          <w:sz w:val="32"/>
          <w:szCs w:val="32"/>
          <w:lang w:val="en-US" w:eastAsia="zh-CN" w:bidi="ar-SA"/>
        </w:rPr>
        <w:t>事业</w:t>
      </w:r>
      <w:r>
        <w:rPr>
          <w:rFonts w:hint="eastAsia" w:ascii="仿宋_GB2312" w:eastAsia="仿宋_GB2312" w:cs="Times New Roman"/>
          <w:b/>
          <w:bCs/>
          <w:color w:val="000000"/>
          <w:kern w:val="2"/>
          <w:sz w:val="32"/>
          <w:szCs w:val="32"/>
          <w:lang w:val="en-US" w:eastAsia="zh-CN" w:bidi="ar-SA"/>
        </w:rPr>
        <w:t>单位医疗（项）:</w:t>
      </w:r>
      <w:r>
        <w:rPr>
          <w:rFonts w:hint="eastAsia" w:ascii="仿宋_GB2312" w:eastAsia="仿宋_GB2312" w:cs="Times New Roman"/>
          <w:b w:val="0"/>
          <w:bCs w:val="0"/>
          <w:color w:val="000000"/>
          <w:kern w:val="2"/>
          <w:sz w:val="32"/>
          <w:szCs w:val="32"/>
          <w:lang w:val="en-US" w:eastAsia="zh-CN" w:bidi="ar-SA"/>
        </w:rPr>
        <w:t>支出决算为23.9万元,完成预算100%,决算数等于预算数。</w:t>
      </w:r>
    </w:p>
    <w:p w14:paraId="30100BB7">
      <w:pPr>
        <w:pStyle w:val="8"/>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Style w:val="17"/>
          <w:rFonts w:hint="eastAsia" w:ascii="仿宋" w:eastAsia="仿宋"/>
          <w:b w:val="0"/>
          <w:bCs/>
          <w:color w:val="auto"/>
          <w:sz w:val="32"/>
          <w:szCs w:val="32"/>
          <w:highlight w:val="none"/>
          <w:lang w:eastAsia="zh-CN"/>
        </w:rPr>
      </w:pPr>
      <w:r>
        <w:rPr>
          <w:rStyle w:val="17"/>
          <w:rFonts w:hint="eastAsia" w:ascii="仿宋" w:eastAsia="仿宋"/>
          <w:bCs/>
          <w:color w:val="auto"/>
          <w:sz w:val="32"/>
          <w:szCs w:val="32"/>
          <w:highlight w:val="none"/>
          <w:lang w:val="en-US" w:eastAsia="zh-CN"/>
        </w:rPr>
        <w:t>5</w:t>
      </w:r>
      <w:r>
        <w:rPr>
          <w:rStyle w:val="17"/>
          <w:rFonts w:ascii="仿宋" w:eastAsia="仿宋"/>
          <w:bCs/>
          <w:color w:val="auto"/>
          <w:sz w:val="32"/>
          <w:szCs w:val="32"/>
          <w:highlight w:val="none"/>
        </w:rPr>
        <w:t>.</w:t>
      </w:r>
      <w:r>
        <w:rPr>
          <w:rFonts w:hint="eastAsia" w:ascii="仿宋_GB2312" w:eastAsia="仿宋_GB2312" w:cs="Times New Roman"/>
          <w:b/>
          <w:bCs/>
          <w:color w:val="000000"/>
          <w:kern w:val="2"/>
          <w:sz w:val="32"/>
          <w:szCs w:val="32"/>
          <w:lang w:val="en-US" w:eastAsia="zh-CN" w:bidi="ar-SA"/>
        </w:rPr>
        <w:t>住房保障（</w:t>
      </w:r>
      <w:r>
        <w:rPr>
          <w:rFonts w:hint="eastAsia" w:cs="Times New Roman"/>
          <w:b/>
          <w:bCs/>
          <w:color w:val="000000"/>
          <w:kern w:val="2"/>
          <w:sz w:val="32"/>
          <w:szCs w:val="32"/>
          <w:lang w:val="en-US" w:eastAsia="zh-CN" w:bidi="ar-SA"/>
        </w:rPr>
        <w:t>类</w:t>
      </w:r>
      <w:r>
        <w:rPr>
          <w:rFonts w:hint="eastAsia" w:ascii="仿宋_GB2312" w:eastAsia="仿宋_GB2312" w:cs="Times New Roman"/>
          <w:b/>
          <w:bCs/>
          <w:color w:val="000000"/>
          <w:kern w:val="2"/>
          <w:sz w:val="32"/>
          <w:szCs w:val="32"/>
          <w:lang w:val="en-US" w:eastAsia="zh-CN" w:bidi="ar-SA"/>
        </w:rPr>
        <w:t>）住房改革支出（</w:t>
      </w:r>
      <w:r>
        <w:rPr>
          <w:rFonts w:hint="eastAsia" w:cs="Times New Roman"/>
          <w:b/>
          <w:bCs/>
          <w:color w:val="000000"/>
          <w:kern w:val="2"/>
          <w:sz w:val="32"/>
          <w:szCs w:val="32"/>
          <w:lang w:val="en-US" w:eastAsia="zh-CN" w:bidi="ar-SA"/>
        </w:rPr>
        <w:t>款</w:t>
      </w:r>
      <w:r>
        <w:rPr>
          <w:rFonts w:hint="eastAsia" w:ascii="仿宋_GB2312" w:eastAsia="仿宋_GB2312" w:cs="Times New Roman"/>
          <w:b/>
          <w:bCs/>
          <w:color w:val="000000"/>
          <w:kern w:val="2"/>
          <w:sz w:val="32"/>
          <w:szCs w:val="32"/>
          <w:lang w:val="en-US" w:eastAsia="zh-CN" w:bidi="ar-SA"/>
        </w:rPr>
        <w:t>）住房公积金（</w:t>
      </w:r>
      <w:r>
        <w:rPr>
          <w:rFonts w:hint="eastAsia" w:cs="Times New Roman"/>
          <w:b/>
          <w:bCs/>
          <w:color w:val="000000"/>
          <w:kern w:val="2"/>
          <w:sz w:val="32"/>
          <w:szCs w:val="32"/>
          <w:lang w:val="en-US" w:eastAsia="zh-CN" w:bidi="ar-SA"/>
        </w:rPr>
        <w:t>项</w:t>
      </w:r>
      <w:r>
        <w:rPr>
          <w:rFonts w:hint="eastAsia" w:ascii="仿宋_GB2312" w:eastAsia="仿宋_GB2312" w:cs="Times New Roman"/>
          <w:b/>
          <w:bCs/>
          <w:color w:val="000000"/>
          <w:kern w:val="2"/>
          <w:sz w:val="32"/>
          <w:szCs w:val="32"/>
          <w:lang w:val="en-US" w:eastAsia="zh-CN" w:bidi="ar-SA"/>
        </w:rPr>
        <w:t>）</w:t>
      </w:r>
      <w:r>
        <w:rPr>
          <w:rStyle w:val="17"/>
          <w:rFonts w:ascii="仿宋" w:eastAsia="仿宋"/>
          <w:bCs/>
          <w:color w:val="auto"/>
          <w:sz w:val="32"/>
          <w:szCs w:val="32"/>
          <w:highlight w:val="none"/>
        </w:rPr>
        <w:t>:</w:t>
      </w:r>
      <w:r>
        <w:rPr>
          <w:rFonts w:hint="eastAsia" w:ascii="仿宋_GB2312" w:eastAsia="仿宋_GB2312" w:cs="Times New Roman"/>
          <w:b w:val="0"/>
          <w:bCs w:val="0"/>
          <w:color w:val="000000"/>
          <w:kern w:val="2"/>
          <w:sz w:val="32"/>
          <w:szCs w:val="32"/>
          <w:lang w:val="en-US" w:eastAsia="zh-CN" w:bidi="ar-SA"/>
        </w:rPr>
        <w:t>支出决算为</w:t>
      </w:r>
      <w:r>
        <w:rPr>
          <w:rFonts w:hint="eastAsia" w:cs="Times New Roman"/>
          <w:b w:val="0"/>
          <w:bCs w:val="0"/>
          <w:color w:val="000000"/>
          <w:kern w:val="2"/>
          <w:sz w:val="32"/>
          <w:szCs w:val="32"/>
          <w:lang w:val="en-US" w:eastAsia="zh-CN" w:bidi="ar-SA"/>
        </w:rPr>
        <w:t>33.63</w:t>
      </w:r>
      <w:r>
        <w:rPr>
          <w:rFonts w:hint="eastAsia" w:ascii="仿宋_GB2312" w:eastAsia="仿宋_GB2312" w:cs="Times New Roman"/>
          <w:b w:val="0"/>
          <w:bCs w:val="0"/>
          <w:color w:val="000000"/>
          <w:kern w:val="2"/>
          <w:sz w:val="32"/>
          <w:szCs w:val="32"/>
          <w:lang w:val="en-US" w:eastAsia="zh-CN" w:bidi="ar-SA"/>
        </w:rPr>
        <w:t>万元，完成预算100%，决算数等于预算数。</w:t>
      </w:r>
    </w:p>
    <w:p w14:paraId="229CF426">
      <w:pPr>
        <w:tabs>
          <w:tab w:val="right" w:pos="8306"/>
        </w:tabs>
        <w:spacing w:line="600" w:lineRule="exact"/>
        <w:ind w:firstLine="640" w:firstLineChars="200"/>
        <w:outlineLvl w:val="1"/>
        <w:rPr>
          <w:rStyle w:val="20"/>
          <w:rFonts w:ascii="Times New Roman" w:hAnsi="Times New Roman"/>
          <w:color w:val="auto"/>
          <w:highlight w:val="none"/>
        </w:rPr>
      </w:pPr>
      <w:bookmarkStart w:id="69" w:name="_Toc15396608"/>
      <w:bookmarkStart w:id="70" w:name="_Toc15377214"/>
      <w:bookmarkStart w:id="71" w:name="_Toc1456"/>
      <w:bookmarkStart w:id="72" w:name="_Toc23762"/>
      <w:bookmarkStart w:id="73" w:name="_Toc16404"/>
      <w:r>
        <w:rPr>
          <w:rFonts w:hint="eastAsia" w:ascii="Times New Roman" w:hAnsi="Times New Roman" w:eastAsia="黑体" w:cs="Times New Roman"/>
          <w:color w:val="auto"/>
          <w:sz w:val="32"/>
          <w:szCs w:val="32"/>
          <w:highlight w:val="none"/>
        </w:rPr>
        <w:t>六、一般公共预算财政拨款基本支出决算情况说明</w:t>
      </w:r>
      <w:bookmarkEnd w:id="69"/>
      <w:bookmarkEnd w:id="70"/>
      <w:bookmarkEnd w:id="71"/>
      <w:bookmarkEnd w:id="72"/>
      <w:bookmarkEnd w:id="73"/>
      <w:r>
        <w:rPr>
          <w:rStyle w:val="20"/>
          <w:rFonts w:ascii="Times New Roman" w:hAnsi="Times New Roman" w:eastAsia="黑体"/>
          <w:b w:val="0"/>
          <w:color w:val="auto"/>
          <w:highlight w:val="none"/>
        </w:rPr>
        <w:tab/>
      </w:r>
    </w:p>
    <w:p w14:paraId="5DB14F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eastAsia="仿宋_GB2312" w:cs="仿宋_GB2312"/>
          <w:sz w:val="32"/>
          <w:szCs w:val="32"/>
          <w:lang w:val="en-US" w:eastAsia="zh-CN"/>
        </w:rPr>
        <w:t>446.31</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2A6EB0F7">
      <w:pPr>
        <w:keepNext w:val="0"/>
        <w:keepLines w:val="0"/>
        <w:pageBreakBefore w:val="0"/>
        <w:widowControl w:val="0"/>
        <w:suppressAutoHyphens/>
        <w:kinsoku/>
        <w:wordWrap/>
        <w:overflowPunct/>
        <w:topLinePunct w:val="0"/>
        <w:autoSpaceDE/>
        <w:autoSpaceDN/>
        <w:bidi w:val="0"/>
        <w:adjustRightInd/>
        <w:snapToGrid/>
        <w:spacing w:line="560" w:lineRule="exact"/>
        <w:ind w:left="0" w:firstLine="640" w:firstLineChars="200"/>
        <w:textAlignment w:val="auto"/>
        <w:rPr>
          <w:rFonts w:ascii="仿宋_GB2312" w:eastAsia="仿宋_GB2312" w:cs="Times New Roman"/>
          <w:color w:val="000000"/>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eastAsia="仿宋_GB2312" w:cs="仿宋_GB2312"/>
          <w:sz w:val="32"/>
          <w:szCs w:val="32"/>
          <w:lang w:val="en-US" w:eastAsia="zh-CN"/>
        </w:rPr>
        <w:t>424.13</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主要包括</w:t>
      </w:r>
      <w:r>
        <w:rPr>
          <w:rFonts w:hint="eastAsia" w:eastAsia="仿宋_GB2312" w:cs="仿宋_GB2312"/>
          <w:color w:val="auto"/>
          <w:kern w:val="2"/>
          <w:sz w:val="32"/>
          <w:szCs w:val="32"/>
          <w:highlight w:val="none"/>
          <w:lang w:val="en-US" w:eastAsia="zh-CN" w:bidi="ar-SA"/>
        </w:rPr>
        <w:t>:</w:t>
      </w:r>
      <w:r>
        <w:rPr>
          <w:rFonts w:hint="eastAsia" w:ascii="仿宋_GB2312" w:eastAsia="仿宋_GB2312" w:cs="Times New Roman"/>
          <w:color w:val="000000"/>
          <w:sz w:val="32"/>
          <w:szCs w:val="32"/>
          <w:lang w:val="en-US" w:eastAsia="zh-CN"/>
        </w:rPr>
        <w:t>基本工资、津贴补贴、绩效工资、机关事业单位基本养老保险缴费、职业年金缴费、职工基本医疗保险缴费、其他社会保障缴费、住房公积金、医疗费、生活补助、奖励金。</w:t>
      </w:r>
    </w:p>
    <w:p w14:paraId="0A4245B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eastAsia="仿宋_GB2312" w:cs="Times New Roman"/>
          <w:color w:val="000000"/>
          <w:sz w:val="32"/>
          <w:szCs w:val="32"/>
          <w:lang w:val="en-US" w:eastAsia="zh-CN"/>
        </w:rPr>
      </w:pPr>
      <w:r>
        <w:rPr>
          <w:rFonts w:hint="eastAsia" w:ascii="仿宋_GB2312" w:eastAsia="仿宋_GB2312" w:cs="Times New Roman"/>
          <w:color w:val="000000"/>
          <w:sz w:val="32"/>
          <w:szCs w:val="32"/>
          <w:lang w:val="en-US" w:eastAsia="zh-CN"/>
        </w:rPr>
        <w:t>公用经22.18万元,主要包括:办公费、邮电费、水费、电费、差旅费、培训费、公务接待费、其他商品服务支出。</w:t>
      </w:r>
      <w:bookmarkStart w:id="74" w:name="_Toc15396609"/>
      <w:bookmarkStart w:id="75" w:name="_Toc15377215"/>
      <w:bookmarkStart w:id="76" w:name="_Toc25279"/>
      <w:bookmarkStart w:id="77" w:name="_Toc12172"/>
      <w:bookmarkStart w:id="78" w:name="_Toc16205"/>
      <w:r>
        <w:rPr>
          <w:rFonts w:hint="eastAsia" w:ascii="仿宋_GB2312" w:eastAsia="仿宋_GB2312" w:cs="Times New Roman"/>
          <w:color w:val="000000"/>
          <w:sz w:val="32"/>
          <w:szCs w:val="32"/>
          <w:lang w:val="en-US" w:eastAsia="zh-CN"/>
        </w:rPr>
        <w:t xml:space="preserve">               </w:t>
      </w:r>
    </w:p>
    <w:p w14:paraId="35B29194">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rPr>
        <w:t>七、财政拨款“三公”经费支出决算情况说明</w:t>
      </w:r>
      <w:bookmarkEnd w:id="74"/>
      <w:bookmarkEnd w:id="75"/>
      <w:bookmarkEnd w:id="76"/>
      <w:bookmarkEnd w:id="77"/>
      <w:bookmarkEnd w:id="78"/>
    </w:p>
    <w:p w14:paraId="5D429C5D">
      <w:pPr>
        <w:keepNext w:val="0"/>
        <w:keepLines w:val="0"/>
        <w:pageBreakBefore w:val="0"/>
        <w:widowControl w:val="0"/>
        <w:suppressAutoHyphens/>
        <w:kinsoku/>
        <w:wordWrap/>
        <w:overflowPunct/>
        <w:topLinePunct w:val="0"/>
        <w:autoSpaceDE/>
        <w:autoSpaceDN/>
        <w:bidi w:val="0"/>
        <w:adjustRightInd/>
        <w:snapToGrid/>
        <w:spacing w:line="570" w:lineRule="exact"/>
        <w:ind w:firstLine="321" w:firstLineChars="100"/>
        <w:textAlignment w:val="auto"/>
        <w:rPr>
          <w:rFonts w:hint="eastAsia" w:ascii="Times New Roman" w:hAnsi="Times New Roman" w:eastAsia="楷体_GB2312" w:cs="楷体_GB2312"/>
          <w:b/>
          <w:color w:val="auto"/>
          <w:sz w:val="32"/>
          <w:szCs w:val="32"/>
          <w:highlight w:val="none"/>
        </w:rPr>
      </w:pPr>
      <w:bookmarkStart w:id="79" w:name="_Toc15377216"/>
      <w:bookmarkStart w:id="80" w:name="_Toc15258"/>
      <w:bookmarkStart w:id="81" w:name="_Toc26658"/>
      <w:r>
        <w:rPr>
          <w:rFonts w:hint="eastAsia" w:ascii="Times New Roman" w:hAnsi="Times New Roman" w:eastAsia="楷体_GB2312" w:cs="楷体_GB2312"/>
          <w:b/>
          <w:color w:val="auto"/>
          <w:sz w:val="32"/>
          <w:szCs w:val="32"/>
          <w:highlight w:val="none"/>
        </w:rPr>
        <w:t>（一）“三公”经费财政拨款支出决算总体情况说明</w:t>
      </w:r>
      <w:bookmarkEnd w:id="79"/>
      <w:bookmarkEnd w:id="80"/>
      <w:bookmarkEnd w:id="81"/>
    </w:p>
    <w:p w14:paraId="55FF06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eastAsia="仿宋_GB2312" w:cs="仿宋_GB2312"/>
          <w:sz w:val="32"/>
          <w:szCs w:val="32"/>
        </w:rPr>
        <w:t>0.3</w:t>
      </w:r>
      <w:r>
        <w:rPr>
          <w:rFonts w:hint="eastAsia" w:ascii="仿宋_GB2312" w:eastAsia="仿宋_GB2312" w:cs="仿宋_GB2312"/>
          <w:sz w:val="32"/>
          <w:szCs w:val="32"/>
          <w:lang w:val="en-US" w:eastAsia="zh-CN"/>
        </w:rPr>
        <w:t>5</w:t>
      </w:r>
      <w:r>
        <w:rPr>
          <w:rFonts w:hint="eastAsia" w:ascii="仿宋_GB2312" w:eastAsia="仿宋_GB2312" w:cs="仿宋_GB2312"/>
          <w:color w:val="auto"/>
          <w:kern w:val="2"/>
          <w:sz w:val="32"/>
          <w:szCs w:val="32"/>
          <w:highlight w:val="none"/>
          <w:lang w:val="en-US" w:eastAsia="zh-CN" w:bidi="ar-SA"/>
        </w:rPr>
        <w:t>万元，完成预算</w:t>
      </w:r>
      <w:r>
        <w:rPr>
          <w:rFonts w:hint="eastAsia" w:ascii="仿宋_GB2312" w:eastAsia="仿宋_GB2312" w:cs="仿宋_GB2312"/>
          <w:sz w:val="32"/>
          <w:szCs w:val="32"/>
        </w:rPr>
        <w:t>100</w:t>
      </w:r>
      <w:r>
        <w:rPr>
          <w:rFonts w:hint="eastAsia" w:ascii="仿宋_GB2312" w:eastAsia="仿宋_GB2312" w:cs="仿宋_GB2312"/>
          <w:color w:val="auto"/>
          <w:kern w:val="2"/>
          <w:sz w:val="32"/>
          <w:szCs w:val="32"/>
          <w:highlight w:val="none"/>
          <w:lang w:val="en-US" w:eastAsia="zh-CN" w:bidi="ar-SA"/>
        </w:rPr>
        <w:t>%,</w:t>
      </w:r>
      <w:r>
        <w:rPr>
          <w:rFonts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ascii="Times New Roman" w:hAnsi="Times New Roman" w:eastAsia="仿宋_GB2312" w:cs="仿宋_GB2312"/>
          <w:color w:val="auto"/>
          <w:kern w:val="2"/>
          <w:sz w:val="32"/>
          <w:szCs w:val="32"/>
          <w:highlight w:val="none"/>
          <w:lang w:val="en-US" w:eastAsia="zh-CN" w:bidi="ar-SA"/>
        </w:rPr>
        <w:t>年相比</w:t>
      </w:r>
      <w:r>
        <w:rPr>
          <w:rFonts w:hint="eastAsia" w:eastAsia="仿宋_GB2312" w:cs="仿宋_GB2312"/>
          <w:color w:val="auto"/>
          <w:kern w:val="2"/>
          <w:sz w:val="32"/>
          <w:szCs w:val="32"/>
          <w:highlight w:val="none"/>
          <w:lang w:val="en-US" w:eastAsia="zh-CN" w:bidi="ar-SA"/>
        </w:rPr>
        <w:t>增加0.01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下降</w:t>
      </w:r>
      <w:r>
        <w:rPr>
          <w:rFonts w:hint="eastAsia" w:eastAsia="仿宋_GB2312" w:cs="仿宋_GB2312"/>
          <w:color w:val="auto"/>
          <w:kern w:val="2"/>
          <w:sz w:val="32"/>
          <w:szCs w:val="32"/>
          <w:highlight w:val="none"/>
          <w:lang w:val="en-US" w:eastAsia="zh-CN" w:bidi="ar-SA"/>
        </w:rPr>
        <w:t>2.94</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15EF785F">
      <w:pPr>
        <w:keepNext w:val="0"/>
        <w:keepLines w:val="0"/>
        <w:pageBreakBefore w:val="0"/>
        <w:widowControl w:val="0"/>
        <w:suppressAutoHyphens/>
        <w:kinsoku/>
        <w:wordWrap/>
        <w:overflowPunct/>
        <w:topLinePunct w:val="0"/>
        <w:autoSpaceDE/>
        <w:autoSpaceDN/>
        <w:bidi w:val="0"/>
        <w:adjustRightInd/>
        <w:snapToGrid/>
        <w:spacing w:line="570" w:lineRule="exact"/>
        <w:ind w:firstLine="321" w:firstLineChars="100"/>
        <w:textAlignment w:val="auto"/>
        <w:rPr>
          <w:rFonts w:hint="eastAsia" w:ascii="Times New Roman" w:hAnsi="Times New Roman" w:eastAsia="楷体_GB2312" w:cs="楷体_GB2312"/>
          <w:b/>
          <w:color w:val="auto"/>
          <w:sz w:val="32"/>
          <w:szCs w:val="32"/>
          <w:highlight w:val="none"/>
        </w:rPr>
      </w:pPr>
      <w:bookmarkStart w:id="82" w:name="_Toc15377217"/>
      <w:bookmarkStart w:id="83" w:name="_Toc32750"/>
      <w:bookmarkStart w:id="84" w:name="_Toc19920"/>
      <w:r>
        <w:rPr>
          <w:rFonts w:hint="eastAsia" w:ascii="Times New Roman" w:hAnsi="Times New Roman" w:eastAsia="楷体_GB2312" w:cs="楷体_GB2312"/>
          <w:b/>
          <w:color w:val="auto"/>
          <w:sz w:val="32"/>
          <w:szCs w:val="32"/>
          <w:highlight w:val="none"/>
        </w:rPr>
        <w:t>（二）“三公”经费财政拨款支出决算具体情况说明</w:t>
      </w:r>
      <w:bookmarkEnd w:id="82"/>
      <w:bookmarkEnd w:id="83"/>
      <w:bookmarkEnd w:id="84"/>
    </w:p>
    <w:p w14:paraId="4E5CE7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Times New Roman"/>
          <w:color w:val="000000"/>
          <w:sz w:val="32"/>
          <w:szCs w:val="32"/>
          <w:lang w:val="en-US" w:eastAsia="zh-CN"/>
        </w:rPr>
      </w:pPr>
      <w:r>
        <w:rPr>
          <w:rFonts w:hint="eastAsia" w:ascii="仿宋_GB2312" w:eastAsia="仿宋_GB2312" w:cs="Times New Roman"/>
          <w:color w:val="000000"/>
          <w:sz w:val="32"/>
          <w:szCs w:val="32"/>
          <w:lang w:val="en-US" w:eastAsia="zh-CN"/>
        </w:rPr>
        <w:t>2025年度“三公”经费财政拨款支出决算中，因公出国（境）费支出决算0万元；公务用车购置及运行维护费支出决算0万元；公务接待费支出决算0.35万元，占100%。具体情况如下：</w:t>
      </w:r>
    </w:p>
    <w:p w14:paraId="1D1DE51F">
      <w:pPr>
        <w:pStyle w:val="3"/>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650875</wp:posOffset>
            </wp:positionH>
            <wp:positionV relativeFrom="paragraph">
              <wp:posOffset>129540</wp:posOffset>
            </wp:positionV>
            <wp:extent cx="3918585" cy="2560320"/>
            <wp:effectExtent l="4445" t="4445" r="13970" b="13335"/>
            <wp:wrapSquare wrapText="bothSides"/>
            <wp:docPr id="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0EEA1D30">
      <w:pPr>
        <w:spacing w:line="60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p>
    <w:p w14:paraId="76D658B5">
      <w:pPr>
        <w:spacing w:line="60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p>
    <w:p w14:paraId="74C88405">
      <w:pPr>
        <w:spacing w:line="60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p>
    <w:p w14:paraId="6E334BB5">
      <w:pPr>
        <w:spacing w:line="600" w:lineRule="exact"/>
        <w:ind w:firstLine="640"/>
        <w:rPr>
          <w:rFonts w:hint="eastAsia" w:ascii="仿宋_GB2312" w:eastAsia="仿宋_GB2312" w:cs="Times New Roman"/>
          <w:color w:val="000000"/>
          <w:sz w:val="32"/>
          <w:szCs w:val="32"/>
          <w:lang w:val="en-US" w:eastAsia="zh-CN"/>
        </w:rPr>
      </w:pPr>
    </w:p>
    <w:p w14:paraId="105CF0D3">
      <w:pPr>
        <w:spacing w:line="600" w:lineRule="exact"/>
        <w:ind w:firstLine="640"/>
        <w:rPr>
          <w:rFonts w:hint="eastAsia" w:ascii="仿宋_GB2312" w:eastAsia="仿宋_GB2312" w:cs="Times New Roman"/>
          <w:color w:val="000000"/>
          <w:sz w:val="32"/>
          <w:szCs w:val="32"/>
          <w:lang w:val="en-US" w:eastAsia="zh-CN"/>
        </w:rPr>
      </w:pPr>
    </w:p>
    <w:p w14:paraId="21CA5D2D">
      <w:pPr>
        <w:spacing w:line="600" w:lineRule="exact"/>
        <w:ind w:firstLine="640"/>
        <w:rPr>
          <w:rFonts w:hint="eastAsia" w:ascii="仿宋_GB2312" w:eastAsia="仿宋_GB2312" w:cs="Times New Roman"/>
          <w:color w:val="000000"/>
          <w:sz w:val="32"/>
          <w:szCs w:val="32"/>
          <w:lang w:val="en-US" w:eastAsia="zh-CN"/>
        </w:rPr>
      </w:pPr>
    </w:p>
    <w:p w14:paraId="051579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Times New Roman"/>
          <w:color w:val="000000"/>
          <w:sz w:val="32"/>
          <w:szCs w:val="32"/>
          <w:lang w:val="en-US" w:eastAsia="zh-CN"/>
        </w:rPr>
      </w:pPr>
      <w:r>
        <w:rPr>
          <w:rFonts w:hint="eastAsia" w:ascii="仿宋_GB2312" w:eastAsia="仿宋_GB2312" w:cs="Times New Roman"/>
          <w:color w:val="000000"/>
          <w:sz w:val="32"/>
          <w:szCs w:val="32"/>
          <w:lang w:val="en-US" w:eastAsia="zh-CN"/>
        </w:rPr>
        <w:t>公务接待费支出0.35万元，完成预算100%。公务接待费支出决算比2024年度增加0.01万元,增长2.94%。主要原因是上级督导调研、工作交流来访批次有所增加，严格按照公务接待管理规定标准执行接待，导致接待费小幅上升。</w:t>
      </w:r>
    </w:p>
    <w:p w14:paraId="6B5830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Times New Roman"/>
          <w:color w:val="000000"/>
          <w:sz w:val="32"/>
          <w:szCs w:val="32"/>
          <w:lang w:val="en-US" w:eastAsia="zh-CN"/>
        </w:rPr>
      </w:pPr>
      <w:r>
        <w:rPr>
          <w:rFonts w:hint="eastAsia" w:ascii="仿宋_GB2312" w:eastAsia="仿宋_GB2312" w:cs="Times New Roman"/>
          <w:color w:val="000000"/>
          <w:sz w:val="32"/>
          <w:szCs w:val="32"/>
          <w:lang w:val="en-US" w:eastAsia="zh-CN"/>
        </w:rPr>
        <w:t>国内公务接待支出0.35万元,主要用于开展业务活动开支用餐费。国内公务接待5批次，31人次（不包括陪同人员），共计支出0.35万元。</w:t>
      </w:r>
    </w:p>
    <w:p w14:paraId="697F340C">
      <w:pPr>
        <w:tabs>
          <w:tab w:val="right" w:pos="8306"/>
        </w:tabs>
        <w:spacing w:line="600" w:lineRule="exact"/>
        <w:ind w:firstLine="640" w:firstLineChars="200"/>
        <w:outlineLvl w:val="1"/>
        <w:rPr>
          <w:rFonts w:hint="eastAsia" w:ascii="Times New Roman" w:hAnsi="Times New Roman" w:eastAsia="黑体" w:cs="Times New Roman"/>
          <w:color w:val="auto"/>
          <w:sz w:val="32"/>
          <w:szCs w:val="32"/>
          <w:highlight w:val="none"/>
        </w:rPr>
      </w:pPr>
      <w:bookmarkStart w:id="85" w:name="_Toc15396610"/>
      <w:bookmarkStart w:id="86" w:name="_Toc16689"/>
      <w:bookmarkStart w:id="87" w:name="_Toc13219"/>
      <w:bookmarkStart w:id="88" w:name="_Toc23019"/>
      <w:bookmarkStart w:id="89" w:name="_Toc15377218"/>
      <w:r>
        <w:rPr>
          <w:rFonts w:hint="eastAsia" w:ascii="Times New Roman" w:hAnsi="Times New Roman" w:eastAsia="黑体" w:cs="Times New Roman"/>
          <w:color w:val="auto"/>
          <w:sz w:val="32"/>
          <w:szCs w:val="32"/>
          <w:highlight w:val="none"/>
        </w:rPr>
        <w:t>八、政府性基金预算支出决算情况说明</w:t>
      </w:r>
      <w:bookmarkEnd w:id="85"/>
      <w:bookmarkEnd w:id="86"/>
      <w:bookmarkEnd w:id="87"/>
      <w:bookmarkEnd w:id="88"/>
      <w:bookmarkEnd w:id="89"/>
    </w:p>
    <w:p w14:paraId="118C856F">
      <w:pPr>
        <w:keepNext w:val="0"/>
        <w:keepLines w:val="0"/>
        <w:pageBreakBefore w:val="0"/>
        <w:widowControl w:val="0"/>
        <w:kinsoku/>
        <w:wordWrap/>
        <w:overflowPunct/>
        <w:topLinePunct w:val="0"/>
        <w:bidi w:val="0"/>
        <w:snapToGrid/>
        <w:spacing w:line="570" w:lineRule="exact"/>
        <w:ind w:firstLine="640"/>
        <w:textAlignment w:val="auto"/>
        <w:rPr>
          <w:rFonts w:ascii="仿宋_GB2312" w:eastAsia="仿宋_GB2312"/>
          <w:color w:val="auto"/>
          <w:sz w:val="32"/>
          <w:szCs w:val="32"/>
          <w:highlight w:val="none"/>
        </w:rPr>
      </w:pPr>
      <w:r>
        <w:rPr>
          <w:rFonts w:hint="eastAsia" w:ascii="仿宋_GB2312" w:eastAsia="仿宋_GB2312" w:cs="仿宋_GB2312"/>
          <w:color w:val="auto"/>
          <w:kern w:val="2"/>
          <w:sz w:val="32"/>
          <w:szCs w:val="32"/>
          <w:highlight w:val="none"/>
          <w:lang w:val="en-US" w:eastAsia="zh-CN" w:bidi="ar-SA"/>
        </w:rPr>
        <w:t>2025年度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0万元。</w:t>
      </w:r>
    </w:p>
    <w:p w14:paraId="108D581A">
      <w:pPr>
        <w:spacing w:line="600" w:lineRule="exact"/>
        <w:ind w:left="0" w:firstLine="640" w:firstLineChars="200"/>
        <w:outlineLvl w:val="1"/>
        <w:rPr>
          <w:rStyle w:val="20"/>
          <w:rFonts w:ascii="Times New Roman" w:hAnsi="Times New Roman" w:eastAsia="黑体"/>
          <w:b w:val="0"/>
          <w:color w:val="auto"/>
          <w:highlight w:val="none"/>
        </w:rPr>
      </w:pPr>
      <w:bookmarkStart w:id="90" w:name="_Toc15396611"/>
      <w:bookmarkStart w:id="91" w:name="_Toc15377219"/>
      <w:bookmarkStart w:id="92" w:name="_Toc4597"/>
      <w:bookmarkStart w:id="93" w:name="_Toc30140"/>
      <w:bookmarkStart w:id="94" w:name="_Toc27392"/>
      <w:r>
        <w:rPr>
          <w:rStyle w:val="20"/>
          <w:rFonts w:hint="eastAsia" w:ascii="Times New Roman" w:hAnsi="Times New Roman" w:eastAsia="黑体"/>
          <w:b w:val="0"/>
          <w:color w:val="auto"/>
          <w:highlight w:val="none"/>
          <w:lang w:eastAsia="zh-CN"/>
        </w:rPr>
        <w:t>九、</w:t>
      </w:r>
      <w:r>
        <w:rPr>
          <w:rStyle w:val="20"/>
          <w:rFonts w:hint="eastAsia" w:ascii="Times New Roman" w:hAnsi="Times New Roman" w:eastAsia="黑体"/>
          <w:b w:val="0"/>
          <w:color w:val="auto"/>
          <w:highlight w:val="none"/>
        </w:rPr>
        <w:t>国有资本经营预算支出决算情况说明</w:t>
      </w:r>
      <w:bookmarkEnd w:id="90"/>
      <w:bookmarkEnd w:id="91"/>
      <w:bookmarkEnd w:id="92"/>
      <w:bookmarkEnd w:id="93"/>
      <w:bookmarkEnd w:id="94"/>
    </w:p>
    <w:p w14:paraId="1905E575">
      <w:pPr>
        <w:keepNext w:val="0"/>
        <w:keepLines w:val="0"/>
        <w:pageBreakBefore w:val="0"/>
        <w:widowControl w:val="0"/>
        <w:kinsoku/>
        <w:wordWrap/>
        <w:overflowPunct/>
        <w:topLinePunct w:val="0"/>
        <w:bidi w:val="0"/>
        <w:snapToGrid/>
        <w:spacing w:line="570" w:lineRule="exact"/>
        <w:ind w:firstLine="640"/>
        <w:textAlignment w:val="auto"/>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color w:val="auto"/>
          <w:kern w:val="2"/>
          <w:sz w:val="32"/>
          <w:szCs w:val="32"/>
          <w:highlight w:val="none"/>
          <w:lang w:val="en-US" w:eastAsia="zh-CN" w:bidi="ar-SA"/>
        </w:rPr>
        <w:t>2025年度国有资本经营预算财政拨款支出0万元。</w:t>
      </w:r>
    </w:p>
    <w:p w14:paraId="2B3B0DAB">
      <w:pPr>
        <w:spacing w:line="600" w:lineRule="exact"/>
        <w:ind w:left="0" w:firstLine="640" w:firstLineChars="200"/>
        <w:outlineLvl w:val="1"/>
        <w:rPr>
          <w:rStyle w:val="20"/>
          <w:rFonts w:hint="eastAsia" w:ascii="Times New Roman" w:hAnsi="Times New Roman" w:eastAsia="黑体"/>
          <w:b w:val="0"/>
          <w:color w:val="auto"/>
          <w:highlight w:val="none"/>
          <w:lang w:val="en-US" w:eastAsia="zh-CN"/>
        </w:rPr>
      </w:pPr>
      <w:bookmarkStart w:id="95" w:name="_Toc15396612"/>
      <w:bookmarkStart w:id="96" w:name="_Toc15377221"/>
      <w:bookmarkStart w:id="97" w:name="_Toc10355"/>
      <w:bookmarkStart w:id="98" w:name="_Toc2271"/>
      <w:bookmarkStart w:id="99" w:name="_Toc20016"/>
      <w:r>
        <w:rPr>
          <w:rStyle w:val="20"/>
          <w:rFonts w:hint="eastAsia" w:ascii="Times New Roman" w:hAnsi="Times New Roman" w:eastAsia="黑体"/>
          <w:b w:val="0"/>
          <w:color w:val="auto"/>
          <w:highlight w:val="none"/>
          <w:lang w:val="en-US" w:eastAsia="zh-CN"/>
        </w:rPr>
        <w:t>十、其他重要事项的情况说明</w:t>
      </w:r>
      <w:bookmarkEnd w:id="95"/>
      <w:bookmarkEnd w:id="96"/>
      <w:bookmarkEnd w:id="97"/>
      <w:bookmarkEnd w:id="98"/>
      <w:bookmarkEnd w:id="99"/>
    </w:p>
    <w:p w14:paraId="1809C76D">
      <w:pPr>
        <w:pageBreakBefore w:val="0"/>
        <w:widowControl w:val="0"/>
        <w:suppressAutoHyphens/>
        <w:kinsoku/>
        <w:wordWrap/>
        <w:overflowPunct/>
        <w:topLinePunct w:val="0"/>
        <w:bidi w:val="0"/>
        <w:snapToGrid/>
        <w:spacing w:line="570" w:lineRule="exact"/>
        <w:ind w:firstLine="643" w:firstLineChars="200"/>
        <w:textAlignment w:val="auto"/>
        <w:outlineLvl w:val="2"/>
        <w:rPr>
          <w:rFonts w:hint="eastAsia" w:ascii="仿宋" w:eastAsia="仿宋" w:cs="Times New Roman"/>
          <w:b/>
          <w:color w:val="auto"/>
          <w:sz w:val="32"/>
          <w:szCs w:val="32"/>
          <w:highlight w:val="none"/>
        </w:rPr>
      </w:pPr>
      <w:bookmarkStart w:id="100" w:name="_Toc32117"/>
      <w:bookmarkStart w:id="101" w:name="_Toc12255"/>
      <w:bookmarkStart w:id="102" w:name="_Toc15377222"/>
      <w:r>
        <w:rPr>
          <w:rFonts w:hint="eastAsia" w:ascii="仿宋" w:eastAsia="仿宋" w:cs="Times New Roman"/>
          <w:b/>
          <w:color w:val="auto"/>
          <w:sz w:val="32"/>
          <w:szCs w:val="32"/>
          <w:highlight w:val="none"/>
        </w:rPr>
        <w:t>（一）机关运行经费支出情况</w:t>
      </w:r>
      <w:bookmarkEnd w:id="100"/>
      <w:bookmarkEnd w:id="101"/>
      <w:bookmarkEnd w:id="102"/>
    </w:p>
    <w:p w14:paraId="390057A0">
      <w:pPr>
        <w:pStyle w:val="2"/>
        <w:ind w:firstLine="640" w:firstLineChars="200"/>
        <w:rPr>
          <w:rFonts w:hint="eastAsia" w:eastAsia="仿宋_GB2312"/>
          <w:lang w:eastAsia="zh-CN"/>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s="Times New Roman"/>
          <w:color w:val="000000"/>
          <w:sz w:val="32"/>
          <w:szCs w:val="32"/>
          <w:lang w:eastAsia="zh-CN"/>
        </w:rPr>
        <w:t>无</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eastAsia="zh-CN"/>
        </w:rPr>
        <w:t>。</w:t>
      </w:r>
    </w:p>
    <w:p w14:paraId="7B682991">
      <w:pPr>
        <w:pageBreakBefore w:val="0"/>
        <w:widowControl w:val="0"/>
        <w:suppressAutoHyphens/>
        <w:kinsoku/>
        <w:wordWrap/>
        <w:overflowPunct/>
        <w:topLinePunct w:val="0"/>
        <w:bidi w:val="0"/>
        <w:snapToGrid/>
        <w:spacing w:line="570" w:lineRule="exact"/>
        <w:ind w:firstLine="643" w:firstLineChars="200"/>
        <w:textAlignment w:val="auto"/>
        <w:outlineLvl w:val="2"/>
        <w:rPr>
          <w:rFonts w:hint="eastAsia" w:ascii="仿宋" w:eastAsia="仿宋" w:cs="Times New Roman"/>
          <w:b/>
          <w:color w:val="auto"/>
          <w:sz w:val="32"/>
          <w:szCs w:val="32"/>
          <w:highlight w:val="none"/>
        </w:rPr>
      </w:pPr>
      <w:bookmarkStart w:id="103" w:name="_Toc13595"/>
      <w:bookmarkStart w:id="104" w:name="_Toc7442"/>
      <w:bookmarkStart w:id="105" w:name="_Toc15377223"/>
      <w:r>
        <w:rPr>
          <w:rFonts w:hint="eastAsia" w:ascii="仿宋" w:eastAsia="仿宋" w:cs="Times New Roman"/>
          <w:b/>
          <w:color w:val="auto"/>
          <w:sz w:val="32"/>
          <w:szCs w:val="32"/>
          <w:highlight w:val="none"/>
        </w:rPr>
        <w:t>（二）政府采购支出情况</w:t>
      </w:r>
      <w:bookmarkEnd w:id="103"/>
      <w:bookmarkEnd w:id="104"/>
      <w:bookmarkEnd w:id="105"/>
    </w:p>
    <w:p w14:paraId="78C813E5">
      <w:pPr>
        <w:keepNext w:val="0"/>
        <w:keepLines w:val="0"/>
        <w:pageBreakBefore w:val="0"/>
        <w:widowControl w:val="0"/>
        <w:kinsoku/>
        <w:wordWrap/>
        <w:overflowPunct/>
        <w:topLinePunct w:val="0"/>
        <w:bidi w:val="0"/>
        <w:snapToGrid/>
        <w:spacing w:line="570" w:lineRule="exact"/>
        <w:ind w:firstLine="640" w:firstLineChars="200"/>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s="Times New Roman"/>
          <w:color w:val="000000"/>
          <w:sz w:val="32"/>
          <w:szCs w:val="32"/>
          <w:lang w:eastAsia="zh-CN"/>
        </w:rPr>
        <w:t>无</w:t>
      </w:r>
      <w:r>
        <w:rPr>
          <w:rFonts w:hint="eastAsia" w:ascii="仿宋_GB2312" w:eastAsia="仿宋_GB2312"/>
          <w:color w:val="auto"/>
          <w:sz w:val="32"/>
          <w:szCs w:val="32"/>
          <w:highlight w:val="none"/>
        </w:rPr>
        <w:t>政府采购支出</w:t>
      </w:r>
      <w:r>
        <w:rPr>
          <w:rFonts w:hint="eastAsia" w:ascii="仿宋_GB2312" w:eastAsia="仿宋_GB2312"/>
          <w:color w:val="auto"/>
          <w:sz w:val="32"/>
          <w:szCs w:val="32"/>
          <w:highlight w:val="none"/>
          <w:lang w:eastAsia="zh-CN"/>
        </w:rPr>
        <w:t>。</w:t>
      </w:r>
    </w:p>
    <w:p w14:paraId="713DB3B5">
      <w:pPr>
        <w:pageBreakBefore w:val="0"/>
        <w:widowControl w:val="0"/>
        <w:suppressAutoHyphens/>
        <w:kinsoku/>
        <w:wordWrap/>
        <w:overflowPunct/>
        <w:topLinePunct w:val="0"/>
        <w:bidi w:val="0"/>
        <w:snapToGrid/>
        <w:spacing w:line="570" w:lineRule="exact"/>
        <w:ind w:firstLine="643" w:firstLineChars="200"/>
        <w:textAlignment w:val="auto"/>
        <w:outlineLvl w:val="2"/>
        <w:rPr>
          <w:rFonts w:hint="eastAsia" w:ascii="仿宋" w:eastAsia="仿宋" w:cs="Times New Roman"/>
          <w:b/>
          <w:color w:val="auto"/>
          <w:sz w:val="32"/>
          <w:szCs w:val="32"/>
          <w:highlight w:val="none"/>
        </w:rPr>
      </w:pPr>
      <w:bookmarkStart w:id="106" w:name="_Toc15377224"/>
      <w:bookmarkStart w:id="107" w:name="_Toc25749"/>
      <w:bookmarkStart w:id="108" w:name="_Toc3574"/>
      <w:r>
        <w:rPr>
          <w:rFonts w:hint="eastAsia" w:ascii="仿宋" w:eastAsia="仿宋" w:cs="Times New Roman"/>
          <w:b/>
          <w:color w:val="auto"/>
          <w:sz w:val="32"/>
          <w:szCs w:val="32"/>
          <w:highlight w:val="none"/>
        </w:rPr>
        <w:t>（三）国有资产占有使用情况</w:t>
      </w:r>
      <w:bookmarkEnd w:id="106"/>
      <w:bookmarkEnd w:id="107"/>
      <w:bookmarkEnd w:id="108"/>
    </w:p>
    <w:p w14:paraId="74852001">
      <w:pPr>
        <w:keepNext w:val="0"/>
        <w:keepLines w:val="0"/>
        <w:pageBreakBefore w:val="0"/>
        <w:widowControl w:val="0"/>
        <w:kinsoku/>
        <w:wordWrap/>
        <w:overflowPunct/>
        <w:topLinePunct w:val="0"/>
        <w:autoSpaceDE w:val="0"/>
        <w:autoSpaceDN w:val="0"/>
        <w:bidi w:val="0"/>
        <w:adjustRightInd w:val="0"/>
        <w:snapToGrid/>
        <w:spacing w:line="570" w:lineRule="exact"/>
        <w:ind w:firstLine="640" w:firstLineChars="200"/>
        <w:jc w:val="left"/>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s="Times New Roman"/>
          <w:color w:val="000000"/>
          <w:sz w:val="32"/>
          <w:szCs w:val="32"/>
          <w:lang w:eastAsia="zh-CN"/>
        </w:rPr>
        <w:t>无国有资产。</w:t>
      </w:r>
    </w:p>
    <w:p w14:paraId="726B0A12">
      <w:pPr>
        <w:pageBreakBefore w:val="0"/>
        <w:widowControl w:val="0"/>
        <w:suppressAutoHyphens/>
        <w:kinsoku/>
        <w:wordWrap/>
        <w:overflowPunct/>
        <w:topLinePunct w:val="0"/>
        <w:bidi w:val="0"/>
        <w:snapToGrid/>
        <w:spacing w:line="570" w:lineRule="exact"/>
        <w:ind w:firstLine="643" w:firstLineChars="200"/>
        <w:textAlignment w:val="auto"/>
        <w:outlineLvl w:val="2"/>
        <w:rPr>
          <w:rFonts w:hint="eastAsia" w:ascii="仿宋" w:eastAsia="仿宋" w:cs="Times New Roman"/>
          <w:b/>
          <w:color w:val="auto"/>
          <w:sz w:val="32"/>
          <w:szCs w:val="32"/>
          <w:highlight w:val="none"/>
        </w:rPr>
      </w:pPr>
      <w:bookmarkStart w:id="109" w:name="_Toc32683"/>
      <w:bookmarkStart w:id="110" w:name="_Toc21357"/>
      <w:r>
        <w:rPr>
          <w:rFonts w:hint="eastAsia" w:ascii="仿宋" w:eastAsia="仿宋" w:cs="Times New Roman"/>
          <w:b/>
          <w:color w:val="auto"/>
          <w:sz w:val="32"/>
          <w:szCs w:val="32"/>
          <w:highlight w:val="none"/>
        </w:rPr>
        <w:t>（四）预算绩效管理情况</w:t>
      </w:r>
      <w:bookmarkEnd w:id="109"/>
      <w:bookmarkEnd w:id="110"/>
    </w:p>
    <w:p w14:paraId="2DEF6A0B">
      <w:pPr>
        <w:keepNext w:val="0"/>
        <w:keepLines w:val="0"/>
        <w:pageBreakBefore w:val="0"/>
        <w:widowControl w:val="0"/>
        <w:kinsoku/>
        <w:wordWrap/>
        <w:overflowPunct/>
        <w:topLinePunct w:val="0"/>
        <w:bidi w:val="0"/>
        <w:snapToGrid/>
        <w:spacing w:line="57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Times New Roman"/>
          <w:color w:val="auto"/>
          <w:sz w:val="32"/>
          <w:szCs w:val="32"/>
          <w:highlight w:val="none"/>
          <w:lang w:eastAsia="zh-CN"/>
        </w:rPr>
        <w:t>根据预算绩效管理要求</w:t>
      </w:r>
      <w:r>
        <w:rPr>
          <w:rFonts w:hint="eastAsia" w:ascii="仿宋_GB2312" w:eastAsia="仿宋_GB2312" w:cs="Times New Roman"/>
          <w:color w:val="auto"/>
          <w:sz w:val="32"/>
          <w:szCs w:val="32"/>
          <w:highlight w:val="none"/>
          <w:lang w:val="en-US" w:eastAsia="zh-CN"/>
        </w:rPr>
        <w:t>,</w:t>
      </w:r>
      <w:r>
        <w:rPr>
          <w:rFonts w:hint="eastAsia" w:ascii="仿宋_GB2312" w:eastAsia="仿宋_GB2312" w:cs="Times New Roman"/>
          <w:color w:val="auto"/>
          <w:sz w:val="32"/>
          <w:szCs w:val="32"/>
          <w:highlight w:val="none"/>
          <w:lang w:eastAsia="zh-CN"/>
        </w:rPr>
        <w:t>本单位在</w:t>
      </w:r>
      <w:r>
        <w:rPr>
          <w:rFonts w:hint="eastAsia" w:ascii="仿宋_GB2312" w:eastAsia="仿宋_GB2312" w:cs="Times New Roman"/>
          <w:color w:val="auto"/>
          <w:sz w:val="32"/>
          <w:szCs w:val="32"/>
          <w:highlight w:val="none"/>
          <w:lang w:val="en-US" w:eastAsia="zh-CN"/>
        </w:rPr>
        <w:t>2025年度不涉及项目绩效。</w:t>
      </w:r>
    </w:p>
    <w:p w14:paraId="6E7203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C66179B">
      <w:pPr>
        <w:spacing w:line="600" w:lineRule="exact"/>
        <w:jc w:val="center"/>
        <w:outlineLvl w:val="9"/>
        <w:rPr>
          <w:rFonts w:hint="eastAsia" w:ascii="Times New Roman" w:hAnsi="Times New Roman" w:eastAsia="黑体"/>
          <w:color w:val="auto"/>
          <w:sz w:val="44"/>
          <w:szCs w:val="44"/>
          <w:highlight w:val="none"/>
        </w:rPr>
      </w:pPr>
      <w:bookmarkStart w:id="111" w:name="_Toc15377225"/>
      <w:bookmarkStart w:id="112" w:name="_Toc15396613"/>
      <w:bookmarkStart w:id="113" w:name="_Toc9033"/>
    </w:p>
    <w:p w14:paraId="52430FE8">
      <w:pPr>
        <w:spacing w:line="600" w:lineRule="exact"/>
        <w:jc w:val="center"/>
        <w:outlineLvl w:val="9"/>
        <w:rPr>
          <w:rFonts w:hint="eastAsia" w:ascii="Times New Roman" w:hAnsi="Times New Roman" w:eastAsia="黑体"/>
          <w:color w:val="auto"/>
          <w:sz w:val="44"/>
          <w:szCs w:val="44"/>
          <w:highlight w:val="none"/>
        </w:rPr>
      </w:pPr>
    </w:p>
    <w:p w14:paraId="3A536958">
      <w:pPr>
        <w:spacing w:line="600" w:lineRule="exact"/>
        <w:jc w:val="center"/>
        <w:outlineLvl w:val="9"/>
        <w:rPr>
          <w:rFonts w:hint="eastAsia" w:ascii="Times New Roman" w:hAnsi="Times New Roman" w:eastAsia="黑体"/>
          <w:color w:val="auto"/>
          <w:sz w:val="44"/>
          <w:szCs w:val="44"/>
          <w:highlight w:val="none"/>
        </w:rPr>
      </w:pPr>
    </w:p>
    <w:p w14:paraId="19EF2A90">
      <w:pPr>
        <w:spacing w:line="600" w:lineRule="exact"/>
        <w:jc w:val="center"/>
        <w:outlineLvl w:val="9"/>
        <w:rPr>
          <w:rFonts w:hint="eastAsia" w:ascii="Times New Roman" w:hAnsi="Times New Roman" w:eastAsia="黑体"/>
          <w:color w:val="auto"/>
          <w:sz w:val="44"/>
          <w:szCs w:val="44"/>
          <w:highlight w:val="none"/>
        </w:rPr>
      </w:pPr>
    </w:p>
    <w:p w14:paraId="0EBE0AF3">
      <w:pPr>
        <w:spacing w:line="600" w:lineRule="exact"/>
        <w:jc w:val="center"/>
        <w:outlineLvl w:val="9"/>
        <w:rPr>
          <w:rFonts w:hint="eastAsia" w:ascii="Times New Roman" w:hAnsi="Times New Roman" w:eastAsia="黑体"/>
          <w:color w:val="auto"/>
          <w:sz w:val="44"/>
          <w:szCs w:val="44"/>
          <w:highlight w:val="none"/>
        </w:rPr>
      </w:pPr>
    </w:p>
    <w:p w14:paraId="0F9718C9">
      <w:pPr>
        <w:spacing w:line="600" w:lineRule="exact"/>
        <w:jc w:val="center"/>
        <w:outlineLvl w:val="9"/>
        <w:rPr>
          <w:rFonts w:hint="eastAsia" w:ascii="Times New Roman" w:hAnsi="Times New Roman" w:eastAsia="黑体"/>
          <w:color w:val="auto"/>
          <w:sz w:val="44"/>
          <w:szCs w:val="44"/>
          <w:highlight w:val="none"/>
        </w:rPr>
      </w:pPr>
    </w:p>
    <w:p w14:paraId="5892F3D7">
      <w:pPr>
        <w:spacing w:line="600" w:lineRule="exact"/>
        <w:jc w:val="center"/>
        <w:outlineLvl w:val="9"/>
        <w:rPr>
          <w:rFonts w:hint="eastAsia" w:ascii="Times New Roman" w:hAnsi="Times New Roman" w:eastAsia="黑体"/>
          <w:color w:val="auto"/>
          <w:sz w:val="44"/>
          <w:szCs w:val="44"/>
          <w:highlight w:val="none"/>
        </w:rPr>
      </w:pPr>
    </w:p>
    <w:p w14:paraId="11D70D46">
      <w:pPr>
        <w:spacing w:line="600" w:lineRule="exact"/>
        <w:jc w:val="center"/>
        <w:outlineLvl w:val="9"/>
        <w:rPr>
          <w:rFonts w:hint="eastAsia" w:ascii="Times New Roman" w:hAnsi="Times New Roman" w:eastAsia="黑体"/>
          <w:color w:val="auto"/>
          <w:sz w:val="44"/>
          <w:szCs w:val="44"/>
          <w:highlight w:val="none"/>
        </w:rPr>
      </w:pPr>
    </w:p>
    <w:p w14:paraId="3AED2820">
      <w:pPr>
        <w:spacing w:line="600" w:lineRule="exact"/>
        <w:jc w:val="center"/>
        <w:outlineLvl w:val="0"/>
        <w:rPr>
          <w:rFonts w:hint="eastAsia" w:ascii="Times New Roman" w:hAnsi="Times New Roman" w:eastAsia="黑体"/>
          <w:color w:val="auto"/>
          <w:sz w:val="44"/>
          <w:szCs w:val="44"/>
          <w:highlight w:val="none"/>
        </w:rPr>
      </w:pPr>
      <w:bookmarkStart w:id="114" w:name="_Toc15547"/>
      <w:bookmarkStart w:id="115" w:name="_Toc25758"/>
    </w:p>
    <w:p w14:paraId="43408B71">
      <w:pPr>
        <w:spacing w:line="600" w:lineRule="exact"/>
        <w:jc w:val="center"/>
        <w:outlineLvl w:val="0"/>
        <w:rPr>
          <w:rFonts w:hint="eastAsia" w:ascii="Times New Roman" w:hAnsi="Times New Roman" w:eastAsia="黑体"/>
          <w:color w:val="auto"/>
          <w:sz w:val="44"/>
          <w:szCs w:val="44"/>
          <w:highlight w:val="none"/>
        </w:rPr>
      </w:pPr>
    </w:p>
    <w:p w14:paraId="1CB13187">
      <w:pPr>
        <w:spacing w:line="600" w:lineRule="exact"/>
        <w:ind w:firstLine="1760" w:firstLineChars="400"/>
        <w:jc w:val="both"/>
        <w:outlineLvl w:val="0"/>
        <w:rPr>
          <w:rFonts w:hint="eastAsia" w:ascii="Times New Roman" w:hAnsi="Times New Roman" w:eastAsia="黑体"/>
          <w:color w:val="auto"/>
          <w:sz w:val="44"/>
          <w:szCs w:val="44"/>
          <w:highlight w:val="none"/>
        </w:rPr>
      </w:pPr>
    </w:p>
    <w:p w14:paraId="0DE12E9B">
      <w:pPr>
        <w:spacing w:line="600" w:lineRule="exact"/>
        <w:ind w:firstLine="1760" w:firstLineChars="400"/>
        <w:jc w:val="both"/>
        <w:outlineLvl w:val="0"/>
        <w:rPr>
          <w:rFonts w:hint="eastAsia" w:ascii="Times New Roman" w:hAnsi="Times New Roman" w:eastAsia="黑体"/>
          <w:color w:val="auto"/>
          <w:sz w:val="44"/>
          <w:szCs w:val="44"/>
          <w:highlight w:val="none"/>
        </w:rPr>
      </w:pPr>
    </w:p>
    <w:p w14:paraId="218B3AC8">
      <w:pPr>
        <w:spacing w:line="600" w:lineRule="exact"/>
        <w:ind w:firstLine="1760" w:firstLineChars="400"/>
        <w:jc w:val="both"/>
        <w:outlineLvl w:val="0"/>
        <w:rPr>
          <w:rFonts w:hint="eastAsia" w:ascii="Times New Roman" w:hAnsi="Times New Roman" w:eastAsia="黑体"/>
          <w:color w:val="auto"/>
          <w:sz w:val="44"/>
          <w:szCs w:val="44"/>
          <w:highlight w:val="none"/>
        </w:rPr>
      </w:pPr>
    </w:p>
    <w:p w14:paraId="035D22AE">
      <w:pPr>
        <w:spacing w:line="600" w:lineRule="exact"/>
        <w:ind w:firstLine="1760" w:firstLineChars="400"/>
        <w:jc w:val="both"/>
        <w:outlineLvl w:val="0"/>
        <w:rPr>
          <w:rFonts w:hint="eastAsia" w:ascii="Times New Roman" w:hAnsi="Times New Roman" w:eastAsia="黑体"/>
          <w:color w:val="auto"/>
          <w:sz w:val="44"/>
          <w:szCs w:val="44"/>
          <w:highlight w:val="none"/>
        </w:rPr>
      </w:pPr>
    </w:p>
    <w:p w14:paraId="57EE662B">
      <w:pPr>
        <w:spacing w:line="600" w:lineRule="exact"/>
        <w:ind w:firstLine="1760" w:firstLineChars="400"/>
        <w:jc w:val="both"/>
        <w:outlineLvl w:val="0"/>
        <w:rPr>
          <w:rFonts w:hint="eastAsia" w:ascii="Times New Roman" w:hAnsi="Times New Roman" w:eastAsia="黑体"/>
          <w:color w:val="auto"/>
          <w:sz w:val="44"/>
          <w:szCs w:val="44"/>
          <w:highlight w:val="none"/>
        </w:rPr>
      </w:pPr>
    </w:p>
    <w:p w14:paraId="5BC64508">
      <w:pPr>
        <w:spacing w:line="600" w:lineRule="exact"/>
        <w:ind w:firstLine="1760" w:firstLineChars="400"/>
        <w:jc w:val="both"/>
        <w:outlineLvl w:val="0"/>
        <w:rPr>
          <w:rFonts w:hint="eastAsia" w:ascii="Times New Roman" w:hAnsi="Times New Roman" w:eastAsia="黑体"/>
          <w:color w:val="auto"/>
          <w:sz w:val="44"/>
          <w:szCs w:val="44"/>
          <w:highlight w:val="none"/>
        </w:rPr>
      </w:pPr>
    </w:p>
    <w:p w14:paraId="1F08EBB7">
      <w:pPr>
        <w:spacing w:line="600" w:lineRule="exact"/>
        <w:ind w:firstLine="1760" w:firstLineChars="400"/>
        <w:jc w:val="both"/>
        <w:outlineLvl w:val="0"/>
        <w:rPr>
          <w:rFonts w:hint="eastAsia" w:ascii="Times New Roman" w:hAnsi="Times New Roman" w:eastAsia="黑体"/>
          <w:color w:val="auto"/>
          <w:sz w:val="44"/>
          <w:szCs w:val="44"/>
          <w:highlight w:val="none"/>
        </w:rPr>
      </w:pPr>
    </w:p>
    <w:p w14:paraId="185B75C9">
      <w:pPr>
        <w:spacing w:line="600" w:lineRule="exact"/>
        <w:ind w:firstLine="1760" w:firstLineChars="400"/>
        <w:jc w:val="both"/>
        <w:outlineLvl w:val="0"/>
        <w:rPr>
          <w:rFonts w:hint="eastAsia" w:ascii="Times New Roman" w:hAnsi="Times New Roman" w:eastAsia="黑体"/>
          <w:color w:val="auto"/>
          <w:sz w:val="44"/>
          <w:szCs w:val="44"/>
          <w:highlight w:val="none"/>
        </w:rPr>
      </w:pPr>
    </w:p>
    <w:p w14:paraId="4177D246">
      <w:pPr>
        <w:spacing w:line="600" w:lineRule="exact"/>
        <w:ind w:firstLine="1760" w:firstLineChars="400"/>
        <w:jc w:val="both"/>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11"/>
      <w:bookmarkEnd w:id="112"/>
      <w:bookmarkEnd w:id="113"/>
      <w:bookmarkEnd w:id="114"/>
      <w:bookmarkEnd w:id="115"/>
    </w:p>
    <w:p w14:paraId="406DEE1D">
      <w:pPr>
        <w:spacing w:line="600" w:lineRule="exact"/>
        <w:jc w:val="left"/>
        <w:rPr>
          <w:rFonts w:ascii="Times New Roman" w:hAnsi="Times New Roman"/>
          <w:b/>
          <w:color w:val="auto"/>
          <w:sz w:val="44"/>
          <w:szCs w:val="44"/>
          <w:highlight w:val="none"/>
        </w:rPr>
      </w:pPr>
    </w:p>
    <w:p w14:paraId="71AB45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00E1F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425874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7DD0E3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3876A0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11F28A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01C167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BCAB1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17C188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w:t>
      </w:r>
      <w:r>
        <w:rPr>
          <w:rStyle w:val="17"/>
          <w:rFonts w:hint="eastAsia" w:ascii="仿宋_GB2312" w:eastAsia="仿宋_GB2312" w:cs="仿宋_GB2312"/>
          <w:b w:val="0"/>
          <w:bCs w:val="0"/>
          <w:color w:val="000000"/>
          <w:sz w:val="32"/>
          <w:szCs w:val="32"/>
        </w:rPr>
        <w:t>城乡社区支出（类）城乡社区管理事务（款）其他城乡社区管理事务（项）</w:t>
      </w:r>
      <w:r>
        <w:rPr>
          <w:rFonts w:hint="eastAsia" w:ascii="Times New Roman" w:hAnsi="Times New Roman" w:eastAsia="仿宋_GB2312" w:cs="仿宋_GB2312"/>
          <w:b w:val="0"/>
          <w:bCs w:val="0"/>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用于城乡社区管理事务方面的支出。</w:t>
      </w:r>
    </w:p>
    <w:p w14:paraId="0D32EE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w:t>
      </w:r>
      <w:r>
        <w:rPr>
          <w:rFonts w:hint="eastAsia" w:ascii="仿宋_GB2312" w:eastAsia="仿宋_GB2312" w:cs="Times New Roman"/>
          <w:b w:val="0"/>
          <w:bCs w:val="0"/>
          <w:color w:val="000000"/>
          <w:kern w:val="2"/>
          <w:sz w:val="32"/>
          <w:szCs w:val="32"/>
          <w:lang w:val="en-US" w:eastAsia="zh-CN" w:bidi="ar-SA"/>
        </w:rPr>
        <w:t>社会保障和就业（类）行政事业单位养老支出（款）机关事业单位基本养老保险缴费支出（项）</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用于行政事业单位养老方面的支出。</w:t>
      </w:r>
    </w:p>
    <w:p w14:paraId="50B9803C">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w:t>
      </w:r>
      <w:r>
        <w:rPr>
          <w:rFonts w:hint="eastAsia" w:ascii="仿宋_GB2312" w:eastAsia="仿宋_GB2312" w:cs="Times New Roman"/>
          <w:b w:val="0"/>
          <w:bCs w:val="0"/>
          <w:color w:val="000000"/>
          <w:kern w:val="2"/>
          <w:sz w:val="32"/>
          <w:szCs w:val="32"/>
          <w:lang w:val="en-US" w:eastAsia="zh-CN" w:bidi="ar-SA"/>
        </w:rPr>
        <w:t>社会保障和就业（类）行政事业单位养老支出（款）机关事业单位职业年金缴费支出（项）</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机关事业单位实施养老保险制度由单位实际缴纳的职业年金支出。</w:t>
      </w:r>
    </w:p>
    <w:p w14:paraId="0CB826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w:t>
      </w:r>
      <w:r>
        <w:rPr>
          <w:rFonts w:hint="eastAsia" w:ascii="仿宋_GB2312" w:eastAsia="仿宋_GB2312" w:cs="Times New Roman"/>
          <w:b w:val="0"/>
          <w:bCs w:val="0"/>
          <w:color w:val="000000"/>
          <w:kern w:val="2"/>
          <w:sz w:val="32"/>
          <w:szCs w:val="32"/>
          <w:lang w:val="en-US" w:eastAsia="zh-CN" w:bidi="ar-SA"/>
        </w:rPr>
        <w:t>卫生健康（类）行政事业单位医疗（款）</w:t>
      </w:r>
      <w:r>
        <w:rPr>
          <w:rFonts w:hint="eastAsia" w:cs="Times New Roman"/>
          <w:b w:val="0"/>
          <w:bCs w:val="0"/>
          <w:color w:val="000000"/>
          <w:kern w:val="2"/>
          <w:sz w:val="32"/>
          <w:szCs w:val="32"/>
          <w:lang w:val="en-US" w:eastAsia="zh-CN" w:bidi="ar-SA"/>
        </w:rPr>
        <w:t>事业</w:t>
      </w:r>
      <w:r>
        <w:rPr>
          <w:rFonts w:hint="eastAsia" w:ascii="仿宋_GB2312" w:eastAsia="仿宋_GB2312" w:cs="Times New Roman"/>
          <w:b w:val="0"/>
          <w:bCs w:val="0"/>
          <w:color w:val="000000"/>
          <w:kern w:val="2"/>
          <w:sz w:val="32"/>
          <w:szCs w:val="32"/>
          <w:lang w:val="en-US" w:eastAsia="zh-CN" w:bidi="ar-SA"/>
        </w:rPr>
        <w:t>单位医疗（项）</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财政部门安排的事业单位基本医疗保险缴费经费，未参加医疗保险的事业单位的公费医疗经费，按国家规定享受离休人员待遇的医疗经费。</w:t>
      </w:r>
    </w:p>
    <w:p w14:paraId="241F484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w:t>
      </w:r>
      <w:r>
        <w:rPr>
          <w:rFonts w:hint="eastAsia" w:ascii="仿宋_GB2312" w:eastAsia="仿宋_GB2312" w:cs="Times New Roman"/>
          <w:b w:val="0"/>
          <w:bCs w:val="0"/>
          <w:color w:val="000000"/>
          <w:kern w:val="2"/>
          <w:sz w:val="32"/>
          <w:szCs w:val="32"/>
          <w:lang w:val="en-US" w:eastAsia="zh-CN" w:bidi="ar-SA"/>
        </w:rPr>
        <w:t>住房保障（类）住房改革支出（款）住房公积金（项）</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行政事业单位按人力资源和社会保障部、财政部规定的基本工资和津贴补贴以及规定比例为职工缴纳的住房公积金。</w:t>
      </w:r>
    </w:p>
    <w:p w14:paraId="35C705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087AC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AF297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095009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B1AFFE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F2BFB94">
      <w:pPr>
        <w:widowControl/>
        <w:jc w:val="center"/>
        <w:outlineLvl w:val="9"/>
        <w:rPr>
          <w:rFonts w:hint="eastAsia" w:ascii="Times New Roman" w:hAnsi="Times New Roman" w:eastAsia="黑体"/>
          <w:color w:val="auto"/>
          <w:sz w:val="44"/>
          <w:szCs w:val="44"/>
          <w:highlight w:val="none"/>
        </w:rPr>
      </w:pPr>
      <w:bookmarkStart w:id="116" w:name="_Toc15377226"/>
      <w:bookmarkStart w:id="117" w:name="_Toc15396618"/>
      <w:bookmarkStart w:id="118" w:name="_Toc11250"/>
    </w:p>
    <w:p w14:paraId="3264E8D7">
      <w:pPr>
        <w:widowControl/>
        <w:jc w:val="center"/>
        <w:outlineLvl w:val="9"/>
        <w:rPr>
          <w:rFonts w:hint="eastAsia" w:ascii="Times New Roman" w:hAnsi="Times New Roman" w:eastAsia="黑体"/>
          <w:color w:val="auto"/>
          <w:sz w:val="44"/>
          <w:szCs w:val="44"/>
          <w:highlight w:val="none"/>
        </w:rPr>
      </w:pPr>
    </w:p>
    <w:p w14:paraId="56646C67">
      <w:pPr>
        <w:widowControl/>
        <w:jc w:val="center"/>
        <w:outlineLvl w:val="9"/>
        <w:rPr>
          <w:rFonts w:hint="eastAsia" w:ascii="Times New Roman" w:hAnsi="Times New Roman" w:eastAsia="黑体"/>
          <w:color w:val="auto"/>
          <w:sz w:val="44"/>
          <w:szCs w:val="44"/>
          <w:highlight w:val="none"/>
        </w:rPr>
      </w:pPr>
    </w:p>
    <w:p w14:paraId="626ACD47">
      <w:pPr>
        <w:widowControl/>
        <w:jc w:val="center"/>
        <w:outlineLvl w:val="9"/>
        <w:rPr>
          <w:rFonts w:hint="eastAsia" w:ascii="Times New Roman" w:hAnsi="Times New Roman" w:eastAsia="黑体"/>
          <w:color w:val="auto"/>
          <w:sz w:val="44"/>
          <w:szCs w:val="44"/>
          <w:highlight w:val="none"/>
        </w:rPr>
      </w:pPr>
    </w:p>
    <w:p w14:paraId="7C3B7F1D">
      <w:pPr>
        <w:widowControl/>
        <w:jc w:val="center"/>
        <w:outlineLvl w:val="9"/>
        <w:rPr>
          <w:rFonts w:hint="eastAsia" w:ascii="Times New Roman" w:hAnsi="Times New Roman" w:eastAsia="黑体"/>
          <w:color w:val="auto"/>
          <w:sz w:val="44"/>
          <w:szCs w:val="44"/>
          <w:highlight w:val="none"/>
        </w:rPr>
      </w:pPr>
    </w:p>
    <w:p w14:paraId="73CA3ADA">
      <w:pPr>
        <w:widowControl/>
        <w:jc w:val="center"/>
        <w:outlineLvl w:val="9"/>
        <w:rPr>
          <w:rFonts w:hint="eastAsia" w:ascii="Times New Roman" w:hAnsi="Times New Roman" w:eastAsia="黑体"/>
          <w:color w:val="auto"/>
          <w:sz w:val="44"/>
          <w:szCs w:val="44"/>
          <w:highlight w:val="none"/>
        </w:rPr>
      </w:pPr>
    </w:p>
    <w:p w14:paraId="1B7003E3">
      <w:pPr>
        <w:widowControl/>
        <w:jc w:val="center"/>
        <w:outlineLvl w:val="9"/>
        <w:rPr>
          <w:rFonts w:hint="eastAsia" w:ascii="Times New Roman" w:hAnsi="Times New Roman" w:eastAsia="黑体"/>
          <w:color w:val="auto"/>
          <w:sz w:val="44"/>
          <w:szCs w:val="44"/>
          <w:highlight w:val="none"/>
        </w:rPr>
      </w:pPr>
    </w:p>
    <w:p w14:paraId="4FA31848">
      <w:pPr>
        <w:widowControl/>
        <w:jc w:val="center"/>
        <w:outlineLvl w:val="9"/>
        <w:rPr>
          <w:rFonts w:hint="eastAsia" w:ascii="Times New Roman" w:hAnsi="Times New Roman" w:eastAsia="黑体"/>
          <w:color w:val="auto"/>
          <w:sz w:val="44"/>
          <w:szCs w:val="44"/>
          <w:highlight w:val="none"/>
        </w:rPr>
      </w:pPr>
    </w:p>
    <w:p w14:paraId="5789F276">
      <w:pPr>
        <w:widowControl/>
        <w:jc w:val="center"/>
        <w:outlineLvl w:val="9"/>
        <w:rPr>
          <w:rFonts w:hint="eastAsia" w:ascii="Times New Roman" w:hAnsi="Times New Roman" w:eastAsia="黑体"/>
          <w:color w:val="auto"/>
          <w:sz w:val="44"/>
          <w:szCs w:val="44"/>
          <w:highlight w:val="none"/>
        </w:rPr>
      </w:pPr>
    </w:p>
    <w:p w14:paraId="41FB17EC">
      <w:pPr>
        <w:widowControl/>
        <w:jc w:val="center"/>
        <w:outlineLvl w:val="9"/>
        <w:rPr>
          <w:rFonts w:hint="eastAsia" w:ascii="Times New Roman" w:hAnsi="Times New Roman" w:eastAsia="黑体"/>
          <w:color w:val="auto"/>
          <w:sz w:val="44"/>
          <w:szCs w:val="44"/>
          <w:highlight w:val="none"/>
        </w:rPr>
      </w:pPr>
    </w:p>
    <w:p w14:paraId="18A6736A">
      <w:pPr>
        <w:widowControl/>
        <w:jc w:val="center"/>
        <w:outlineLvl w:val="9"/>
        <w:rPr>
          <w:rFonts w:hint="eastAsia" w:ascii="Times New Roman" w:hAnsi="Times New Roman" w:eastAsia="黑体"/>
          <w:color w:val="auto"/>
          <w:sz w:val="44"/>
          <w:szCs w:val="44"/>
          <w:highlight w:val="none"/>
        </w:rPr>
      </w:pPr>
    </w:p>
    <w:p w14:paraId="321B4352">
      <w:pPr>
        <w:widowControl/>
        <w:jc w:val="center"/>
        <w:outlineLvl w:val="9"/>
        <w:rPr>
          <w:rFonts w:hint="eastAsia" w:ascii="Times New Roman" w:hAnsi="Times New Roman" w:eastAsia="黑体"/>
          <w:color w:val="auto"/>
          <w:sz w:val="44"/>
          <w:szCs w:val="44"/>
          <w:highlight w:val="none"/>
        </w:rPr>
      </w:pPr>
    </w:p>
    <w:p w14:paraId="5E4B9BE8">
      <w:pPr>
        <w:widowControl/>
        <w:jc w:val="center"/>
        <w:outlineLvl w:val="9"/>
        <w:rPr>
          <w:rFonts w:hint="eastAsia" w:ascii="Times New Roman" w:hAnsi="Times New Roman" w:eastAsia="黑体"/>
          <w:color w:val="auto"/>
          <w:sz w:val="44"/>
          <w:szCs w:val="44"/>
          <w:highlight w:val="none"/>
        </w:rPr>
      </w:pPr>
    </w:p>
    <w:p w14:paraId="27F7619B">
      <w:pPr>
        <w:widowControl/>
        <w:jc w:val="center"/>
        <w:outlineLvl w:val="9"/>
        <w:rPr>
          <w:rFonts w:hint="eastAsia" w:ascii="Times New Roman" w:hAnsi="Times New Roman" w:eastAsia="黑体"/>
          <w:color w:val="auto"/>
          <w:sz w:val="44"/>
          <w:szCs w:val="44"/>
          <w:highlight w:val="none"/>
        </w:rPr>
      </w:pPr>
    </w:p>
    <w:p w14:paraId="39E19813">
      <w:pPr>
        <w:widowControl/>
        <w:jc w:val="center"/>
        <w:outlineLvl w:val="9"/>
        <w:rPr>
          <w:rFonts w:hint="eastAsia" w:ascii="Times New Roman" w:hAnsi="Times New Roman" w:eastAsia="黑体"/>
          <w:color w:val="auto"/>
          <w:sz w:val="44"/>
          <w:szCs w:val="44"/>
          <w:highlight w:val="none"/>
        </w:rPr>
      </w:pPr>
    </w:p>
    <w:p w14:paraId="6731B180">
      <w:pPr>
        <w:widowControl/>
        <w:ind w:firstLine="2640" w:firstLineChars="600"/>
        <w:jc w:val="both"/>
        <w:outlineLvl w:val="0"/>
        <w:rPr>
          <w:rFonts w:hint="eastAsia" w:ascii="Times New Roman" w:hAnsi="Times New Roman" w:eastAsia="仿宋"/>
          <w:b w:val="0"/>
          <w:color w:val="auto"/>
          <w:highlight w:val="none"/>
        </w:rPr>
      </w:pPr>
      <w:bookmarkStart w:id="119" w:name="_Toc28931"/>
      <w:bookmarkStart w:id="120" w:name="_Toc22330"/>
      <w:r>
        <w:rPr>
          <w:rFonts w:hint="eastAsia" w:ascii="Times New Roman" w:hAnsi="Times New Roman" w:eastAsia="黑体"/>
          <w:color w:val="auto"/>
          <w:sz w:val="44"/>
          <w:szCs w:val="44"/>
          <w:highlight w:val="none"/>
        </w:rPr>
        <w:t>第</w:t>
      </w:r>
      <w:r>
        <w:rPr>
          <w:rStyle w:val="19"/>
          <w:rFonts w:hint="eastAsia" w:eastAsia="黑体"/>
          <w:b w:val="0"/>
          <w:color w:val="auto"/>
          <w:highlight w:val="none"/>
          <w:lang w:eastAsia="zh-CN"/>
        </w:rPr>
        <w:t>四</w:t>
      </w:r>
      <w:r>
        <w:rPr>
          <w:rStyle w:val="19"/>
          <w:rFonts w:hint="eastAsia" w:ascii="Times New Roman" w:hAnsi="Times New Roman" w:eastAsia="黑体"/>
          <w:b w:val="0"/>
          <w:color w:val="auto"/>
          <w:highlight w:val="none"/>
        </w:rPr>
        <w:t>部分 附表</w:t>
      </w:r>
      <w:bookmarkEnd w:id="116"/>
      <w:bookmarkEnd w:id="117"/>
      <w:bookmarkEnd w:id="118"/>
      <w:bookmarkEnd w:id="119"/>
      <w:bookmarkEnd w:id="120"/>
      <w:bookmarkStart w:id="121" w:name="_Toc15396619"/>
    </w:p>
    <w:p w14:paraId="47041FFC">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1957269">
      <w:pPr>
        <w:pStyle w:val="6"/>
        <w:keepNext/>
        <w:keepLines/>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 w:eastAsia="仿宋" w:cs="Times New Roman"/>
          <w:bCs/>
          <w:color w:val="auto"/>
          <w:highlight w:val="none"/>
        </w:rPr>
      </w:pPr>
      <w:r>
        <w:rPr>
          <w:rFonts w:hint="eastAsia" w:ascii="Times New Roman" w:hAnsi="Times New Roman" w:eastAsia="仿宋_GB2312" w:cs="仿宋_GB2312"/>
          <w:color w:val="auto"/>
          <w:sz w:val="32"/>
          <w:szCs w:val="32"/>
          <w:highlight w:val="none"/>
        </w:rPr>
        <w:t>一</w:t>
      </w:r>
      <w:r>
        <w:rPr>
          <w:rFonts w:hint="eastAsia" w:ascii="仿宋" w:eastAsia="仿宋" w:cs="Times New Roman"/>
          <w:bCs/>
          <w:color w:val="auto"/>
          <w:highlight w:val="none"/>
        </w:rPr>
        <w:t>、收入支出决算总表</w:t>
      </w:r>
      <w:bookmarkEnd w:id="121"/>
    </w:p>
    <w:p w14:paraId="4F369E86">
      <w:pPr>
        <w:pStyle w:val="6"/>
        <w:keepNext/>
        <w:keepLines/>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 w:eastAsia="仿宋" w:cs="Times New Roman"/>
          <w:bCs/>
          <w:color w:val="auto"/>
          <w:highlight w:val="none"/>
        </w:rPr>
      </w:pPr>
      <w:bookmarkStart w:id="122" w:name="_Toc15396620"/>
      <w:r>
        <w:rPr>
          <w:rFonts w:hint="eastAsia" w:ascii="仿宋" w:eastAsia="仿宋" w:cs="Times New Roman"/>
          <w:bCs/>
          <w:color w:val="auto"/>
          <w:highlight w:val="none"/>
        </w:rPr>
        <w:t>二、收入决算表</w:t>
      </w:r>
      <w:bookmarkEnd w:id="122"/>
    </w:p>
    <w:p w14:paraId="71DC6C94">
      <w:pPr>
        <w:pStyle w:val="6"/>
        <w:keepNext/>
        <w:keepLines/>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 w:eastAsia="仿宋" w:cs="Times New Roman"/>
          <w:bCs/>
          <w:color w:val="auto"/>
          <w:highlight w:val="none"/>
        </w:rPr>
      </w:pPr>
      <w:bookmarkStart w:id="123" w:name="_Toc15396621"/>
      <w:r>
        <w:rPr>
          <w:rFonts w:hint="eastAsia" w:ascii="仿宋" w:eastAsia="仿宋" w:cs="Times New Roman"/>
          <w:bCs/>
          <w:color w:val="auto"/>
          <w:highlight w:val="none"/>
        </w:rPr>
        <w:t>三、支出决算表</w:t>
      </w:r>
      <w:bookmarkEnd w:id="123"/>
    </w:p>
    <w:p w14:paraId="18AC8731">
      <w:pPr>
        <w:pStyle w:val="6"/>
        <w:keepNext/>
        <w:keepLines/>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 w:eastAsia="仿宋" w:cs="Times New Roman"/>
          <w:bCs/>
          <w:color w:val="auto"/>
          <w:highlight w:val="none"/>
        </w:rPr>
      </w:pPr>
      <w:bookmarkStart w:id="124" w:name="_Toc15396622"/>
      <w:r>
        <w:rPr>
          <w:rFonts w:hint="eastAsia" w:ascii="仿宋" w:eastAsia="仿宋" w:cs="Times New Roman"/>
          <w:bCs/>
          <w:color w:val="auto"/>
          <w:highlight w:val="none"/>
        </w:rPr>
        <w:t>四、财政拨款收入支出决算总表</w:t>
      </w:r>
      <w:bookmarkEnd w:id="124"/>
    </w:p>
    <w:p w14:paraId="66958D1A">
      <w:pPr>
        <w:pStyle w:val="6"/>
        <w:keepNext/>
        <w:keepLines/>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 w:eastAsia="仿宋" w:cs="Times New Roman"/>
          <w:bCs/>
          <w:color w:val="auto"/>
          <w:highlight w:val="none"/>
        </w:rPr>
      </w:pPr>
      <w:bookmarkStart w:id="125" w:name="_Toc15396623"/>
      <w:r>
        <w:rPr>
          <w:rFonts w:hint="eastAsia" w:ascii="仿宋" w:eastAsia="仿宋" w:cs="Times New Roman"/>
          <w:bCs/>
          <w:color w:val="auto"/>
          <w:highlight w:val="none"/>
        </w:rPr>
        <w:t>五、财政拨款支出决算明细表</w:t>
      </w:r>
      <w:bookmarkEnd w:id="125"/>
      <w:bookmarkStart w:id="126" w:name="_Toc15396624"/>
    </w:p>
    <w:p w14:paraId="6D240089">
      <w:pPr>
        <w:pStyle w:val="6"/>
        <w:keepNext/>
        <w:keepLines/>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 w:eastAsia="仿宋" w:cs="Times New Roman"/>
          <w:bCs/>
          <w:color w:val="auto"/>
          <w:highlight w:val="none"/>
        </w:rPr>
      </w:pPr>
      <w:r>
        <w:rPr>
          <w:rFonts w:hint="eastAsia" w:ascii="仿宋" w:eastAsia="仿宋" w:cs="Times New Roman"/>
          <w:bCs/>
          <w:color w:val="auto"/>
          <w:highlight w:val="none"/>
        </w:rPr>
        <w:t>六、一般公共预算财政拨款支出决算表</w:t>
      </w:r>
      <w:bookmarkEnd w:id="126"/>
    </w:p>
    <w:p w14:paraId="7E9AA8C6">
      <w:pPr>
        <w:pStyle w:val="6"/>
        <w:keepNext/>
        <w:keepLines/>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 w:eastAsia="仿宋" w:cs="Times New Roman"/>
          <w:bCs/>
          <w:color w:val="auto"/>
          <w:highlight w:val="none"/>
        </w:rPr>
      </w:pPr>
      <w:bookmarkStart w:id="127" w:name="_Toc15396625"/>
      <w:r>
        <w:rPr>
          <w:rFonts w:hint="eastAsia" w:ascii="仿宋" w:eastAsia="仿宋" w:cs="Times New Roman"/>
          <w:bCs/>
          <w:color w:val="auto"/>
          <w:highlight w:val="none"/>
        </w:rPr>
        <w:t>七、一般公共预算财政拨款支出决算明细表</w:t>
      </w:r>
      <w:bookmarkEnd w:id="127"/>
    </w:p>
    <w:p w14:paraId="532C70F8">
      <w:pPr>
        <w:pStyle w:val="6"/>
        <w:keepNext/>
        <w:keepLines/>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 w:eastAsia="仿宋" w:cs="Times New Roman"/>
          <w:bCs/>
          <w:color w:val="auto"/>
          <w:highlight w:val="none"/>
        </w:rPr>
      </w:pPr>
      <w:bookmarkStart w:id="128" w:name="_Toc15396626"/>
      <w:r>
        <w:rPr>
          <w:rFonts w:hint="eastAsia" w:ascii="仿宋" w:eastAsia="仿宋" w:cs="Times New Roman"/>
          <w:bCs/>
          <w:color w:val="auto"/>
          <w:highlight w:val="none"/>
        </w:rPr>
        <w:t>八、一般公共预算财政拨款基本支出决算表</w:t>
      </w:r>
      <w:bookmarkEnd w:id="128"/>
    </w:p>
    <w:p w14:paraId="6D9F4700">
      <w:pPr>
        <w:pStyle w:val="6"/>
        <w:keepNext/>
        <w:keepLines/>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 w:eastAsia="仿宋" w:cs="Times New Roman"/>
          <w:bCs/>
          <w:color w:val="auto"/>
          <w:highlight w:val="none"/>
        </w:rPr>
      </w:pPr>
      <w:bookmarkStart w:id="129" w:name="_Toc15396627"/>
      <w:r>
        <w:rPr>
          <w:rFonts w:hint="eastAsia" w:ascii="仿宋" w:eastAsia="仿宋" w:cs="Times New Roman"/>
          <w:bCs/>
          <w:color w:val="auto"/>
          <w:highlight w:val="none"/>
        </w:rPr>
        <w:t>九、一般公共预算财政拨款项目支出决算表</w:t>
      </w:r>
      <w:bookmarkEnd w:id="129"/>
    </w:p>
    <w:p w14:paraId="667A02A5">
      <w:pPr>
        <w:pStyle w:val="6"/>
        <w:keepNext/>
        <w:keepLines/>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 w:eastAsia="仿宋" w:cs="Times New Roman"/>
          <w:bCs/>
          <w:color w:val="auto"/>
          <w:highlight w:val="none"/>
        </w:rPr>
      </w:pPr>
      <w:bookmarkStart w:id="130" w:name="_Toc15396628"/>
      <w:r>
        <w:rPr>
          <w:rFonts w:hint="eastAsia" w:ascii="仿宋" w:eastAsia="仿宋" w:cs="Times New Roman"/>
          <w:bCs/>
          <w:color w:val="auto"/>
          <w:highlight w:val="none"/>
        </w:rPr>
        <w:t>十、</w:t>
      </w:r>
      <w:bookmarkEnd w:id="130"/>
      <w:r>
        <w:rPr>
          <w:rFonts w:hint="eastAsia" w:ascii="仿宋" w:eastAsia="仿宋" w:cs="Times New Roman"/>
          <w:bCs/>
          <w:color w:val="auto"/>
          <w:highlight w:val="none"/>
        </w:rPr>
        <w:t>政府性基金预算财政拨款收入支出决算表</w:t>
      </w:r>
    </w:p>
    <w:p w14:paraId="395DBC0B">
      <w:pPr>
        <w:pStyle w:val="6"/>
        <w:keepNext/>
        <w:keepLines/>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 w:eastAsia="仿宋" w:cs="Times New Roman"/>
          <w:bCs/>
          <w:color w:val="auto"/>
          <w:highlight w:val="none"/>
        </w:rPr>
      </w:pPr>
      <w:bookmarkStart w:id="131" w:name="_Toc15396629"/>
      <w:r>
        <w:rPr>
          <w:rFonts w:hint="eastAsia" w:ascii="仿宋" w:eastAsia="仿宋" w:cs="Times New Roman"/>
          <w:bCs/>
          <w:color w:val="auto"/>
          <w:highlight w:val="none"/>
        </w:rPr>
        <w:t>十一、</w:t>
      </w:r>
      <w:bookmarkEnd w:id="131"/>
      <w:r>
        <w:rPr>
          <w:rFonts w:hint="eastAsia" w:ascii="仿宋" w:eastAsia="仿宋" w:cs="Times New Roman"/>
          <w:bCs/>
          <w:color w:val="auto"/>
          <w:highlight w:val="none"/>
        </w:rPr>
        <w:t>国有资本经营预算</w:t>
      </w:r>
      <w:r>
        <w:rPr>
          <w:rFonts w:hint="eastAsia" w:ascii="仿宋" w:eastAsia="仿宋" w:cs="Times New Roman"/>
          <w:bCs/>
          <w:color w:val="auto"/>
          <w:highlight w:val="none"/>
          <w:lang w:eastAsia="zh-CN"/>
        </w:rPr>
        <w:t>财政拨款收入</w:t>
      </w:r>
      <w:r>
        <w:rPr>
          <w:rFonts w:hint="eastAsia" w:ascii="仿宋" w:eastAsia="仿宋" w:cs="Times New Roman"/>
          <w:bCs/>
          <w:color w:val="auto"/>
          <w:highlight w:val="none"/>
        </w:rPr>
        <w:t>支出决算表</w:t>
      </w:r>
    </w:p>
    <w:p w14:paraId="1510BB7B">
      <w:pPr>
        <w:pStyle w:val="6"/>
        <w:keepNext/>
        <w:keepLines/>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 w:eastAsia="仿宋" w:cs="Times New Roman"/>
          <w:bCs/>
          <w:color w:val="auto"/>
          <w:highlight w:val="none"/>
        </w:rPr>
      </w:pPr>
      <w:bookmarkStart w:id="132" w:name="_Toc15396630"/>
      <w:r>
        <w:rPr>
          <w:rFonts w:hint="eastAsia" w:ascii="仿宋" w:eastAsia="仿宋" w:cs="Times New Roman"/>
          <w:bCs/>
          <w:color w:val="auto"/>
          <w:highlight w:val="none"/>
        </w:rPr>
        <w:t>十二、</w:t>
      </w:r>
      <w:bookmarkEnd w:id="132"/>
      <w:r>
        <w:rPr>
          <w:rFonts w:hint="eastAsia" w:ascii="仿宋" w:eastAsia="仿宋" w:cs="Times New Roman"/>
          <w:bCs/>
          <w:color w:val="auto"/>
          <w:highlight w:val="none"/>
          <w:lang w:eastAsia="zh-CN"/>
        </w:rPr>
        <w:t>国有资本经营预算财政拨款支出决算表</w:t>
      </w:r>
    </w:p>
    <w:p w14:paraId="09BD4F09">
      <w:pPr>
        <w:pStyle w:val="6"/>
        <w:keepNext/>
        <w:keepLines/>
        <w:pageBreakBefore w:val="0"/>
        <w:widowControl w:val="0"/>
        <w:suppressAutoHyphens/>
        <w:kinsoku/>
        <w:wordWrap/>
        <w:overflowPunct/>
        <w:topLinePunct w:val="0"/>
        <w:autoSpaceDE/>
        <w:autoSpaceDN/>
        <w:bidi w:val="0"/>
        <w:adjustRightInd/>
        <w:snapToGrid/>
        <w:spacing w:line="570" w:lineRule="exact"/>
        <w:textAlignment w:val="auto"/>
        <w:rPr>
          <w:rFonts w:hint="eastAsia" w:ascii="仿宋" w:eastAsia="仿宋" w:cs="Times New Roman"/>
          <w:bCs/>
          <w:color w:val="auto"/>
          <w:highlight w:val="none"/>
          <w:lang w:eastAsia="zh-CN"/>
        </w:rPr>
      </w:pPr>
      <w:bookmarkStart w:id="133" w:name="_Toc15396631"/>
      <w:r>
        <w:rPr>
          <w:rFonts w:hint="eastAsia" w:ascii="仿宋" w:eastAsia="仿宋" w:cs="Times New Roman"/>
          <w:bCs/>
          <w:color w:val="auto"/>
          <w:highlight w:val="none"/>
        </w:rPr>
        <w:t>十三、</w:t>
      </w:r>
      <w:bookmarkEnd w:id="133"/>
      <w:r>
        <w:rPr>
          <w:rFonts w:hint="eastAsia" w:ascii="仿宋" w:eastAsia="仿宋" w:cs="Times New Roman"/>
          <w:bCs/>
          <w:color w:val="auto"/>
          <w:highlight w:val="none"/>
          <w:lang w:eastAsia="zh-CN"/>
        </w:rPr>
        <w:t>财政拨款“三公”经费支出决算表</w:t>
      </w:r>
    </w:p>
    <w:p w14:paraId="5F42890D">
      <w:pPr>
        <w:rPr>
          <w:rFonts w:hint="eastAsia" w:ascii="Times New Roman" w:hAnsi="Times New Roman"/>
          <w:lang w:eastAsia="zh-CN"/>
        </w:rPr>
      </w:pPr>
    </w:p>
    <w:sectPr>
      <w:pgSz w:w="11906" w:h="16838"/>
      <w:pgMar w:top="1440" w:right="1800" w:bottom="1440" w:left="1800"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Lucida Sans">
    <w:altName w:val="Lucida Sans Unicode"/>
    <w:panose1 w:val="00000000000000000000"/>
    <w:charset w:val="01"/>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Lucida Sans Unicode">
    <w:panose1 w:val="020B0602030504020204"/>
    <w:charset w:val="00"/>
    <w:family w:val="auto"/>
    <w:pitch w:val="default"/>
    <w:sig w:usb0="80001AFF" w:usb1="0000396B" w:usb2="00000000" w:usb3="00000000" w:csb0="200000BF" w:csb1="D7F7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3F160">
    <w:pPr>
      <w:pStyle w:val="11"/>
      <w:jc w:val="center"/>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94945" cy="188595"/>
              <wp:effectExtent l="0" t="0" r="0" b="0"/>
              <wp:wrapNone/>
              <wp:docPr id="1" name="文本框 1"/>
              <wp:cNvGraphicFramePr/>
              <a:graphic xmlns:a="http://schemas.openxmlformats.org/drawingml/2006/main">
                <a:graphicData uri="http://schemas.microsoft.com/office/word/2010/wordprocessingShape">
                  <wps:wsp>
                    <wps:cNvSpPr/>
                    <wps:spPr>
                      <a:xfrm>
                        <a:off x="0" y="0"/>
                        <a:ext cx="194767" cy="188595"/>
                      </a:xfrm>
                      <a:prstGeom prst="rect">
                        <a:avLst/>
                      </a:prstGeom>
                      <a:noFill/>
                      <a:ln w="6350" cap="flat" cmpd="sng">
                        <a:noFill/>
                        <a:prstDash val="solid"/>
                        <a:round/>
                      </a:ln>
                    </wps:spPr>
                    <wps:txbx>
                      <w:txbxContent>
                        <w:p w14:paraId="57A88B32">
                          <w:pPr>
                            <w:pStyle w:val="11"/>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4.85pt;width:15.35pt;mso-position-horizontal:center;mso-position-horizontal-relative:margin;mso-wrap-style:none;z-index:251659264;mso-width-relative:page;mso-height-relative:page;" filled="f" stroked="f" coordsize="21600,21600" o:gfxdata="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FtOwo1wAAAAMBAAAPAAAAAAAAAAEAIAAAACIAAABkcnMv&#10;ZG93bnJldi54bWxQSwECFAAUAAAACACHTuJAe3FuxgQCAAD0AwAADgAAAAAAAAABACAAAAAmAQAA&#10;ZHJzL2Uyb0RvYy54bWxQSwUGAAAAAAYABgBZAQAAnAUAAAAA&#10;">
              <v:fill on="f" focussize="0,0"/>
              <v:stroke on="f" weight="0.5pt" joinstyle="round"/>
              <v:imagedata o:title=""/>
              <o:lock v:ext="edit" aspectratio="f"/>
              <v:textbox inset="0mm,0mm,0mm,0mm" style="mso-fit-shape-to-text:t;">
                <w:txbxContent>
                  <w:p w14:paraId="57A88B32">
                    <w:pPr>
                      <w:pStyle w:val="11"/>
                    </w:pPr>
                    <w:r>
                      <w:fldChar w:fldCharType="begin"/>
                    </w:r>
                    <w:r>
                      <w:instrText xml:space="preserve"> PAGE  \* MERGEFORMAT </w:instrText>
                    </w:r>
                    <w:r>
                      <w:fldChar w:fldCharType="separate"/>
                    </w:r>
                    <w:r>
                      <w:t>- 1 -</w:t>
                    </w:r>
                    <w:r>
                      <w:fldChar w:fldCharType="end"/>
                    </w:r>
                  </w:p>
                </w:txbxContent>
              </v:textbox>
            </v:rect>
          </w:pict>
        </mc:Fallback>
      </mc:AlternateContent>
    </w:r>
  </w:p>
  <w:p w14:paraId="3F136B6F">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65613">
    <w:pPr>
      <w:pStyle w:val="11"/>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90500" cy="131445"/>
              <wp:effectExtent l="0" t="0" r="0" b="0"/>
              <wp:wrapNone/>
              <wp:docPr id="4" name="文本框 3"/>
              <wp:cNvGraphicFramePr/>
              <a:graphic xmlns:a="http://schemas.openxmlformats.org/drawingml/2006/main">
                <a:graphicData uri="http://schemas.microsoft.com/office/word/2010/wordprocessingShape">
                  <wps:wsp>
                    <wps:cNvSpPr/>
                    <wps:spPr>
                      <a:xfrm>
                        <a:off x="0" y="0"/>
                        <a:ext cx="190423" cy="131559"/>
                      </a:xfrm>
                      <a:prstGeom prst="rect">
                        <a:avLst/>
                      </a:prstGeom>
                      <a:noFill/>
                      <a:ln w="6350" cap="flat" cmpd="sng">
                        <a:noFill/>
                        <a:prstDash val="solid"/>
                        <a:round/>
                      </a:ln>
                    </wps:spPr>
                    <wps:txbx>
                      <w:txbxContent>
                        <w:p w14:paraId="343ACC21">
                          <w:pPr>
                            <w:pStyle w:val="11"/>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rect id="文本框 3" o:spid="_x0000_s1026" o:spt="1" style="position:absolute;left:0pt;margin-top:0pt;height:10.35pt;width:15pt;mso-position-horizontal:center;mso-position-horizontal-relative:margin;mso-wrap-style:none;z-index:251659264;mso-width-relative:page;mso-height-relative:page;" filled="f" stroked="f" coordsize="21600,21600" o:gfxdata="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cfhQLVAAAAAwEAAA8AAAAAAAAAAQAgAAAAIgAAAGRycy9k&#10;b3ducmV2LnhtbFBLAQIUABQAAAAIAIdO4kCr9MrmBQIAAPQDAAAOAAAAAAAAAAEAIAAAACQBAABk&#10;cnMvZTJvRG9jLnhtbFBLBQYAAAAABgAGAFkBAACbBQAAAAA=&#10;">
              <v:fill on="f" focussize="0,0"/>
              <v:stroke on="f" weight="0.5pt" joinstyle="round"/>
              <v:imagedata o:title=""/>
              <o:lock v:ext="edit" aspectratio="f"/>
              <v:textbox inset="0mm,0mm,0mm,0mm" style="mso-fit-shape-to-text:t;">
                <w:txbxContent>
                  <w:p w14:paraId="343ACC21">
                    <w:pPr>
                      <w:pStyle w:val="11"/>
                    </w:pPr>
                    <w:r>
                      <w:fldChar w:fldCharType="begin"/>
                    </w:r>
                    <w:r>
                      <w:instrText xml:space="preserve"> PAGE  \* MERGEFORMAT </w:instrText>
                    </w:r>
                    <w:r>
                      <w:fldChar w:fldCharType="separate"/>
                    </w:r>
                    <w:r>
                      <w:t>- 1 -</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F70BB">
    <w:pPr>
      <w:pStyle w:val="11"/>
      <w:jc w:val="center"/>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247650" cy="131445"/>
              <wp:effectExtent l="0" t="0" r="0" b="0"/>
              <wp:wrapNone/>
              <wp:docPr id="7" name="文本框 4"/>
              <wp:cNvGraphicFramePr/>
              <a:graphic xmlns:a="http://schemas.openxmlformats.org/drawingml/2006/main">
                <a:graphicData uri="http://schemas.microsoft.com/office/word/2010/wordprocessingShape">
                  <wps:wsp>
                    <wps:cNvSpPr/>
                    <wps:spPr>
                      <a:xfrm>
                        <a:off x="0" y="0"/>
                        <a:ext cx="247573" cy="131559"/>
                      </a:xfrm>
                      <a:prstGeom prst="rect">
                        <a:avLst/>
                      </a:prstGeom>
                      <a:noFill/>
                      <a:ln w="6350" cap="flat" cmpd="sng">
                        <a:noFill/>
                        <a:prstDash val="solid"/>
                        <a:round/>
                      </a:ln>
                    </wps:spPr>
                    <wps:txbx>
                      <w:txbxContent>
                        <w:p w14:paraId="0294DB85">
                          <w:pPr>
                            <w:pStyle w:val="11"/>
                          </w:pPr>
                          <w:r>
                            <w:fldChar w:fldCharType="begin"/>
                          </w:r>
                          <w:r>
                            <w:instrText xml:space="preserve"> PAGE  \* MERGEFORMAT </w:instrText>
                          </w:r>
                          <w:r>
                            <w:fldChar w:fldCharType="separate"/>
                          </w:r>
                          <w:r>
                            <w:t>- 2 -</w:t>
                          </w:r>
                          <w:r>
                            <w:fldChar w:fldCharType="end"/>
                          </w:r>
                        </w:p>
                      </w:txbxContent>
                    </wps:txbx>
                    <wps:bodyPr vert="horz" wrap="none" lIns="0" tIns="0" rIns="0" bIns="0" anchor="t" anchorCtr="0" upright="0">
                      <a:spAutoFit/>
                    </wps:bodyPr>
                  </wps:wsp>
                </a:graphicData>
              </a:graphic>
            </wp:anchor>
          </w:drawing>
        </mc:Choice>
        <mc:Fallback>
          <w:pict>
            <v:rect id="文本框 4" o:spid="_x0000_s1026" o:spt="1" style="position:absolute;left:0pt;margin-top:0pt;height:10.35pt;width:19.5pt;mso-position-horizontal:center;mso-position-horizontal-relative:margin;mso-wrap-style:none;z-index:251659264;mso-width-relative:page;mso-height-relative:page;" filled="f" stroked="f" coordsize="21600,21600" o:gfxdata="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IKnw7WAAAAAwEAAA8AAAAAAAAAAQAgAAAAIgAAAGRycy9k&#10;b3ducmV2LnhtbFBLAQIUABQAAAAIAIdO4kC//BMLBAIAAPQDAAAOAAAAAAAAAAEAIAAAACUBAABk&#10;cnMvZTJvRG9jLnhtbFBLBQYAAAAABgAGAFkBAACbBQAAAAA=&#10;">
              <v:fill on="f" focussize="0,0"/>
              <v:stroke on="f" weight="0.5pt" joinstyle="round"/>
              <v:imagedata o:title=""/>
              <o:lock v:ext="edit" aspectratio="f"/>
              <v:textbox inset="0mm,0mm,0mm,0mm" style="mso-fit-shape-to-text:t;">
                <w:txbxContent>
                  <w:p w14:paraId="0294DB85">
                    <w:pPr>
                      <w:pStyle w:val="11"/>
                    </w:pPr>
                    <w:r>
                      <w:fldChar w:fldCharType="begin"/>
                    </w:r>
                    <w:r>
                      <w:instrText xml:space="preserve"> PAGE  \* MERGEFORMAT </w:instrText>
                    </w:r>
                    <w:r>
                      <w:fldChar w:fldCharType="separate"/>
                    </w:r>
                    <w:r>
                      <w:t>- 2 -</w:t>
                    </w:r>
                    <w:r>
                      <w:fldChar w:fldCharType="end"/>
                    </w:r>
                  </w:p>
                </w:txbxContent>
              </v:textbox>
            </v:rect>
          </w:pict>
        </mc:Fallback>
      </mc:AlternateContent>
    </w:r>
  </w:p>
  <w:p w14:paraId="5F740EE3">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B9CD5">
    <w:pPr>
      <w:pStyle w:val="11"/>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90500" cy="131445"/>
              <wp:effectExtent l="0" t="0" r="0" b="0"/>
              <wp:wrapNone/>
              <wp:docPr id="10" name="文本框 5"/>
              <wp:cNvGraphicFramePr/>
              <a:graphic xmlns:a="http://schemas.openxmlformats.org/drawingml/2006/main">
                <a:graphicData uri="http://schemas.microsoft.com/office/word/2010/wordprocessingShape">
                  <wps:wsp>
                    <wps:cNvSpPr/>
                    <wps:spPr>
                      <a:xfrm>
                        <a:off x="0" y="0"/>
                        <a:ext cx="190423" cy="131559"/>
                      </a:xfrm>
                      <a:prstGeom prst="rect">
                        <a:avLst/>
                      </a:prstGeom>
                      <a:noFill/>
                      <a:ln w="6350" cap="flat" cmpd="sng">
                        <a:noFill/>
                        <a:prstDash val="solid"/>
                        <a:round/>
                      </a:ln>
                    </wps:spPr>
                    <wps:txbx>
                      <w:txbxContent>
                        <w:p w14:paraId="62CB6F1C">
                          <w:pPr>
                            <w:pStyle w:val="11"/>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rect id="文本框 5" o:spid="_x0000_s1026" o:spt="1" style="position:absolute;left:0pt;margin-top:0pt;height:10.35pt;width:15pt;mso-position-horizontal:center;mso-position-horizontal-relative:margin;mso-wrap-style:none;z-index:251659264;mso-width-relative:page;mso-height-relative:page;" filled="f" stroked="f" coordsize="21600,21600" o:gfxdata="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3H4UC1QAAAAMBAAAPAAAAAAAAAAEAIAAAACIAAABkcnMvZG93&#10;bnJldi54bWxQSwECFAAUAAAACACHTuJAbZ9YkgMCAAD1AwAADgAAAAAAAAABACAAAAAkAQAAZHJz&#10;L2Uyb0RvYy54bWxQSwUGAAAAAAYABgBZAQAAmQUAAAAA&#10;">
              <v:fill on="f" focussize="0,0"/>
              <v:stroke on="f" weight="0.5pt" joinstyle="round"/>
              <v:imagedata o:title=""/>
              <o:lock v:ext="edit" aspectratio="f"/>
              <v:textbox inset="0mm,0mm,0mm,0mm" style="mso-fit-shape-to-text:t;">
                <w:txbxContent>
                  <w:p w14:paraId="62CB6F1C">
                    <w:pPr>
                      <w:pStyle w:val="11"/>
                    </w:pPr>
                    <w:r>
                      <w:fldChar w:fldCharType="begin"/>
                    </w:r>
                    <w:r>
                      <w:instrText xml:space="preserve"> PAGE  \* MERGEFORMAT </w:instrText>
                    </w:r>
                    <w:r>
                      <w:fldChar w:fldCharType="separate"/>
                    </w:r>
                    <w:r>
                      <w:t>- 1 -</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2BE1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730C7">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Y2FjYWQwNTJlYzIzMGRiNjc1M2I3NDEyYTI5MGNmODkifQ=="/>
  </w:docVars>
  <w:rsids>
    <w:rsidRoot w:val="00000000"/>
    <w:rsid w:val="00E93CAB"/>
    <w:rsid w:val="0142511A"/>
    <w:rsid w:val="0308621F"/>
    <w:rsid w:val="043C1ECE"/>
    <w:rsid w:val="08850EF2"/>
    <w:rsid w:val="10807A4A"/>
    <w:rsid w:val="115C0EB1"/>
    <w:rsid w:val="11F052D6"/>
    <w:rsid w:val="1297693E"/>
    <w:rsid w:val="130D4660"/>
    <w:rsid w:val="15F63C41"/>
    <w:rsid w:val="1D394615"/>
    <w:rsid w:val="1D7201B0"/>
    <w:rsid w:val="1DE11B0A"/>
    <w:rsid w:val="1FC63B1B"/>
    <w:rsid w:val="21B0078A"/>
    <w:rsid w:val="226E62AC"/>
    <w:rsid w:val="275D2543"/>
    <w:rsid w:val="2B47660A"/>
    <w:rsid w:val="2F2919D0"/>
    <w:rsid w:val="319809E2"/>
    <w:rsid w:val="31B80B39"/>
    <w:rsid w:val="32904240"/>
    <w:rsid w:val="391F6016"/>
    <w:rsid w:val="3F66314E"/>
    <w:rsid w:val="40042095"/>
    <w:rsid w:val="43CE1A40"/>
    <w:rsid w:val="49C9103F"/>
    <w:rsid w:val="55732A82"/>
    <w:rsid w:val="56BE4785"/>
    <w:rsid w:val="57675FE6"/>
    <w:rsid w:val="57BF7575"/>
    <w:rsid w:val="5BDE75D2"/>
    <w:rsid w:val="5C6B6ED4"/>
    <w:rsid w:val="64C33752"/>
    <w:rsid w:val="68232692"/>
    <w:rsid w:val="723F465E"/>
    <w:rsid w:val="75361166"/>
    <w:rsid w:val="78A359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19"/>
    <w:autoRedefine/>
    <w:qFormat/>
    <w:uiPriority w:val="0"/>
    <w:pPr>
      <w:keepNext/>
      <w:keepLines/>
      <w:widowControl w:val="0"/>
      <w:spacing w:before="340" w:after="330" w:line="578" w:lineRule="auto"/>
      <w:outlineLvl w:val="0"/>
    </w:pPr>
    <w:rPr>
      <w:b/>
      <w:bCs/>
      <w:kern w:val="44"/>
      <w:sz w:val="44"/>
      <w:szCs w:val="44"/>
    </w:rPr>
  </w:style>
  <w:style w:type="paragraph" w:styleId="6">
    <w:name w:val="heading 2"/>
    <w:basedOn w:val="1"/>
    <w:next w:val="1"/>
    <w:link w:val="20"/>
    <w:autoRedefine/>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7">
    <w:name w:val="heading 3"/>
    <w:basedOn w:val="1"/>
    <w:next w:val="1"/>
    <w:autoRedefine/>
    <w:qFormat/>
    <w:uiPriority w:val="0"/>
    <w:pPr>
      <w:keepNext/>
      <w:keepLines/>
      <w:widowControl w:val="0"/>
      <w:spacing w:before="260" w:after="260" w:line="415" w:lineRule="auto"/>
      <w:outlineLvl w:val="2"/>
    </w:pPr>
    <w:rPr>
      <w:b/>
      <w:bCs/>
      <w:sz w:val="32"/>
      <w:szCs w:val="32"/>
    </w:rPr>
  </w:style>
  <w:style w:type="character" w:default="1" w:styleId="16">
    <w:name w:val="Default Paragraph Font"/>
    <w:autoRedefine/>
    <w:qFormat/>
    <w:uiPriority w:val="0"/>
  </w:style>
  <w:style w:type="table" w:default="1" w:styleId="15">
    <w:name w:val="Normal Table"/>
    <w:autoRedefine/>
    <w:semiHidden/>
    <w:qFormat/>
    <w:uiPriority w:val="0"/>
    <w:tblPr>
      <w:tblCellMar>
        <w:top w:w="0" w:type="dxa"/>
        <w:left w:w="108" w:type="dxa"/>
        <w:bottom w:w="0" w:type="dxa"/>
        <w:right w:w="108" w:type="dxa"/>
      </w:tblCellMar>
    </w:tblPr>
  </w:style>
  <w:style w:type="paragraph" w:styleId="2">
    <w:name w:val="footnote text"/>
    <w:basedOn w:val="1"/>
    <w:next w:val="3"/>
    <w:autoRedefine/>
    <w:qFormat/>
    <w:uiPriority w:val="0"/>
    <w:pPr>
      <w:snapToGrid w:val="0"/>
      <w:jc w:val="left"/>
    </w:pPr>
    <w:rPr>
      <w:sz w:val="18"/>
      <w:szCs w:val="18"/>
    </w:rPr>
  </w:style>
  <w:style w:type="paragraph" w:styleId="3">
    <w:name w:val="Body Text First Indent 2"/>
    <w:basedOn w:val="4"/>
    <w:autoRedefine/>
    <w:qFormat/>
    <w:uiPriority w:val="0"/>
    <w:pPr>
      <w:ind w:firstLine="200" w:firstLineChars="200"/>
    </w:pPr>
  </w:style>
  <w:style w:type="paragraph" w:styleId="4">
    <w:name w:val="Body Text Indent"/>
    <w:basedOn w:val="1"/>
    <w:next w:val="3"/>
    <w:autoRedefine/>
    <w:qFormat/>
    <w:uiPriority w:val="0"/>
    <w:pPr>
      <w:spacing w:after="120"/>
      <w:ind w:left="200" w:leftChars="200"/>
    </w:pPr>
    <w:rPr>
      <w:rFonts w:ascii="仿宋_GB2312" w:hAnsi="仿宋_GB2312"/>
      <w:szCs w:val="32"/>
    </w:rPr>
  </w:style>
  <w:style w:type="paragraph" w:styleId="8">
    <w:name w:val="Body Text"/>
    <w:basedOn w:val="1"/>
    <w:autoRedefine/>
    <w:qFormat/>
    <w:uiPriority w:val="0"/>
    <w:pPr>
      <w:spacing w:before="30" w:beforeLines="30"/>
    </w:pPr>
    <w:rPr>
      <w:rFonts w:ascii="仿宋_GB2312" w:eastAsia="仿宋_GB2312"/>
      <w:kern w:val="0"/>
      <w:sz w:val="30"/>
    </w:rPr>
  </w:style>
  <w:style w:type="paragraph" w:styleId="9">
    <w:name w:val="toc 3"/>
    <w:basedOn w:val="1"/>
    <w:next w:val="1"/>
    <w:autoRedefine/>
    <w:qFormat/>
    <w:uiPriority w:val="0"/>
    <w:pPr>
      <w:tabs>
        <w:tab w:val="right" w:leader="dot" w:pos="8296"/>
      </w:tabs>
      <w:ind w:left="400" w:leftChars="400"/>
    </w:pPr>
  </w:style>
  <w:style w:type="paragraph" w:styleId="10">
    <w:name w:val="Balloon Text"/>
    <w:basedOn w:val="1"/>
    <w:autoRedefine/>
    <w:qFormat/>
    <w:uiPriority w:val="0"/>
    <w:rPr>
      <w:sz w:val="18"/>
      <w:szCs w:val="18"/>
    </w:rPr>
  </w:style>
  <w:style w:type="paragraph" w:styleId="11">
    <w:name w:val="footer"/>
    <w:basedOn w:val="1"/>
    <w:autoRedefine/>
    <w:qFormat/>
    <w:uiPriority w:val="0"/>
    <w:pPr>
      <w:tabs>
        <w:tab w:val="center" w:pos="4153"/>
        <w:tab w:val="right" w:pos="8306"/>
      </w:tabs>
      <w:snapToGrid w:val="0"/>
      <w:jc w:val="left"/>
    </w:pPr>
    <w:rPr>
      <w:rFonts w:ascii="Calibri" w:hAnsi="Calibri"/>
      <w:kern w:val="0"/>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autoRedefine/>
    <w:qFormat/>
    <w:uiPriority w:val="0"/>
    <w:pPr>
      <w:tabs>
        <w:tab w:val="right" w:leader="dot" w:pos="8296"/>
      </w:tabs>
      <w:spacing w:before="93"/>
      <w:jc w:val="center"/>
    </w:pPr>
    <w:rPr>
      <w:rFonts w:ascii="仿宋" w:eastAsia="仿宋"/>
      <w:sz w:val="28"/>
      <w:szCs w:val="28"/>
    </w:rPr>
  </w:style>
  <w:style w:type="paragraph" w:styleId="14">
    <w:name w:val="toc 2"/>
    <w:basedOn w:val="1"/>
    <w:next w:val="1"/>
    <w:autoRedefine/>
    <w:qFormat/>
    <w:uiPriority w:val="0"/>
    <w:pPr>
      <w:tabs>
        <w:tab w:val="right" w:leader="dot" w:pos="8296"/>
      </w:tabs>
      <w:ind w:left="200" w:leftChars="200"/>
    </w:pPr>
  </w:style>
  <w:style w:type="character" w:styleId="17">
    <w:name w:val="Strong"/>
    <w:basedOn w:val="16"/>
    <w:autoRedefine/>
    <w:qFormat/>
    <w:uiPriority w:val="0"/>
    <w:rPr>
      <w:b/>
    </w:rPr>
  </w:style>
  <w:style w:type="character" w:styleId="18">
    <w:name w:val="Hyperlink"/>
    <w:basedOn w:val="16"/>
    <w:autoRedefine/>
    <w:qFormat/>
    <w:uiPriority w:val="0"/>
    <w:rPr>
      <w:color w:val="0000FF"/>
      <w:u w:val="single"/>
    </w:rPr>
  </w:style>
  <w:style w:type="character" w:customStyle="1" w:styleId="19">
    <w:name w:val="heading 1 Char"/>
    <w:basedOn w:val="16"/>
    <w:link w:val="5"/>
    <w:autoRedefine/>
    <w:qFormat/>
    <w:uiPriority w:val="0"/>
    <w:rPr>
      <w:rFonts w:ascii="Times New Roman" w:hAnsi="Times New Roman" w:eastAsia="宋体" w:cs="Times New Roman"/>
      <w:b/>
      <w:bCs/>
      <w:kern w:val="44"/>
      <w:sz w:val="44"/>
      <w:szCs w:val="44"/>
      <w:lang w:val="en-US" w:eastAsia="zh-CN" w:bidi="ar-SA"/>
    </w:rPr>
  </w:style>
  <w:style w:type="character" w:customStyle="1" w:styleId="20">
    <w:name w:val="heading 2 Char"/>
    <w:basedOn w:val="16"/>
    <w:link w:val="6"/>
    <w:autoRedefine/>
    <w:qFormat/>
    <w:uiPriority w:val="0"/>
    <w:rPr>
      <w:rFonts w:ascii="Cambria" w:hAnsi="Cambria" w:eastAsia="宋体" w:cs="Times New Roman"/>
      <w:b/>
      <w:bCs/>
      <w:kern w:val="2"/>
      <w:sz w:val="32"/>
      <w:szCs w:val="32"/>
      <w:lang w:val="en-US" w:eastAsia="zh-CN" w:bidi="ar-SA"/>
    </w:rPr>
  </w:style>
  <w:style w:type="paragraph" w:customStyle="1" w:styleId="21">
    <w:name w:val="标题 5（有编号）（绿盟科技）"/>
    <w:next w:val="1"/>
    <w:autoRedefine/>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6"/>
    <w:autoRedefine/>
    <w:qFormat/>
    <w:uiPriority w:val="0"/>
    <w:rPr>
      <w:rFonts w:ascii="Times New Roman" w:hAnsi="Times New Roman"/>
      <w:sz w:val="18"/>
      <w:szCs w:val="18"/>
    </w:rPr>
  </w:style>
  <w:style w:type="character" w:customStyle="1" w:styleId="23">
    <w:name w:val="Footer Char"/>
    <w:basedOn w:val="16"/>
    <w:autoRedefine/>
    <w:qFormat/>
    <w:uiPriority w:val="0"/>
    <w:rPr>
      <w:rFonts w:ascii="Times New Roman" w:hAnsi="Times New Roman"/>
      <w:sz w:val="18"/>
      <w:szCs w:val="18"/>
    </w:rPr>
  </w:style>
  <w:style w:type="character" w:customStyle="1" w:styleId="24">
    <w:name w:val="Body Text Char"/>
    <w:basedOn w:val="16"/>
    <w:autoRedefine/>
    <w:qFormat/>
    <w:uiPriority w:val="0"/>
    <w:rPr>
      <w:rFonts w:ascii="Times New Roman" w:hAnsi="Times New Roman"/>
      <w:szCs w:val="24"/>
    </w:rPr>
  </w:style>
  <w:style w:type="paragraph" w:customStyle="1" w:styleId="25">
    <w:name w:val="Default"/>
    <w:autoRedefine/>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6">
    <w:name w:val="List Paragraph"/>
    <w:basedOn w:val="1"/>
    <w:autoRedefine/>
    <w:qFormat/>
    <w:uiPriority w:val="0"/>
    <w:pPr>
      <w:ind w:firstLine="200" w:firstLineChars="200"/>
    </w:pPr>
  </w:style>
  <w:style w:type="paragraph" w:customStyle="1" w:styleId="27">
    <w:name w:val="TOC 标题1"/>
    <w:basedOn w:val="5"/>
    <w:next w:val="1"/>
    <w:autoRedefine/>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28">
    <w:name w:val="TOC Heading"/>
    <w:basedOn w:val="5"/>
    <w:next w:val="1"/>
    <w:autoRedefine/>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29">
    <w:name w:val="四号正文"/>
    <w:basedOn w:val="1"/>
    <w:autoRedefine/>
    <w:qFormat/>
    <w:uiPriority w:val="0"/>
    <w:pPr>
      <w:spacing w:line="360" w:lineRule="auto"/>
    </w:pPr>
    <w:rPr>
      <w:rFonts w:ascii="??" w:hAnsi="??" w:eastAsia="宋体"/>
      <w:color w:val="000000"/>
      <w:kern w:val="0"/>
      <w:sz w:val="28"/>
      <w:szCs w:val="21"/>
      <w:lang w:val="zh-CN" w:eastAsia="zh-CN"/>
    </w:rPr>
  </w:style>
  <w:style w:type="paragraph" w:customStyle="1" w:styleId="30">
    <w:name w:val="WPSOffice手动目录 1"/>
    <w:autoRedefine/>
    <w:qFormat/>
    <w:uiPriority w:val="0"/>
    <w:rPr>
      <w:rFonts w:ascii="Calibri" w:hAnsi="Calibri" w:eastAsia="宋体" w:cs="Arial"/>
      <w:sz w:val="20"/>
      <w:szCs w:val="20"/>
      <w:lang w:val="en-US" w:eastAsia="zh-CN" w:bidi="ar-SA"/>
    </w:rPr>
  </w:style>
  <w:style w:type="paragraph" w:customStyle="1" w:styleId="31">
    <w:name w:val="WPSOffice手动目录 2"/>
    <w:autoRedefine/>
    <w:qFormat/>
    <w:uiPriority w:val="0"/>
    <w:pPr>
      <w:ind w:left="200" w:leftChars="200"/>
    </w:pPr>
    <w:rPr>
      <w:rFonts w:ascii="Calibri" w:hAnsi="Calibri" w:eastAsia="宋体" w:cs="Arial"/>
      <w:sz w:val="20"/>
      <w:szCs w:val="20"/>
      <w:lang w:val="en-US" w:eastAsia="zh-CN" w:bidi="ar-SA"/>
    </w:rPr>
  </w:style>
  <w:style w:type="paragraph" w:customStyle="1" w:styleId="32">
    <w:name w:val="WPSOffice手动目录 3"/>
    <w:autoRedefine/>
    <w:qFormat/>
    <w:uiPriority w:val="0"/>
    <w:pPr>
      <w:ind w:left="400" w:leftChars="400"/>
    </w:pPr>
    <w:rPr>
      <w:rFonts w:ascii="Calibri" w:hAnsi="Calibri" w:eastAsia="宋体" w:cs="Arial"/>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20&#24037;&#20316;&#34920;.xls"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20XLS%20&#24037;&#20316;&#34920;.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6032;&#24314;%20XLS%20&#24037;&#20316;&#34920;.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6032;&#24314;%20XLS%20&#24037;&#20316;&#34920;.xls"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收、支决算总计变动图</a:t>
            </a:r>
          </a:p>
        </c:rich>
      </c:tx>
      <c:layout>
        <c:manualLayout>
          <c:xMode val="edge"/>
          <c:yMode val="edge"/>
          <c:x val="0.337508321747714"/>
          <c:y val="0.0277197903309554"/>
        </c:manualLayout>
      </c:layout>
      <c:overlay val="0"/>
      <c:spPr>
        <a:noFill/>
        <a:ln>
          <a:noFill/>
        </a:ln>
        <a:effectLst/>
      </c:spPr>
    </c:title>
    <c:autoTitleDeleted val="0"/>
    <c:plotArea>
      <c:layout/>
      <c:barChart>
        <c:barDir val="col"/>
        <c:grouping val="clustered"/>
        <c:varyColors val="0"/>
        <c:ser>
          <c:idx val="0"/>
          <c:order val="0"/>
          <c:tx>
            <c:strRef>
              <c:f>'[新建 XLS 工作表.xls]Sheet1'!$A$2</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工作表.xls]Sheet1'!$B$1:$C$1</c:f>
              <c:strCache>
                <c:ptCount val="2"/>
                <c:pt idx="0">
                  <c:v>收入</c:v>
                </c:pt>
                <c:pt idx="1">
                  <c:v>支出</c:v>
                </c:pt>
              </c:strCache>
            </c:strRef>
          </c:cat>
          <c:val>
            <c:numRef>
              <c:f>'[新建 XLS 工作表.xls]Sheet1'!$B$2:$C$2</c:f>
              <c:numCache>
                <c:formatCode>General</c:formatCode>
                <c:ptCount val="2"/>
                <c:pt idx="0">
                  <c:v>417.97</c:v>
                </c:pt>
                <c:pt idx="1">
                  <c:v>417.97</c:v>
                </c:pt>
              </c:numCache>
            </c:numRef>
          </c:val>
        </c:ser>
        <c:ser>
          <c:idx val="1"/>
          <c:order val="1"/>
          <c:tx>
            <c:strRef>
              <c:f>'[新建 XLS 工作表.xls]Sheet1'!$A$3</c:f>
              <c:strCache>
                <c:ptCount val="1"/>
                <c:pt idx="0">
                  <c:v>2025年</c:v>
                </c:pt>
              </c:strCache>
            </c:strRef>
          </c:tx>
          <c:spPr>
            <a:solidFill>
              <a:srgbClr val="C00000"/>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工作表.xls]Sheet1'!$B$1:$C$1</c:f>
              <c:strCache>
                <c:ptCount val="2"/>
                <c:pt idx="0">
                  <c:v>收入</c:v>
                </c:pt>
                <c:pt idx="1">
                  <c:v>支出</c:v>
                </c:pt>
              </c:strCache>
            </c:strRef>
          </c:cat>
          <c:val>
            <c:numRef>
              <c:f>'[新建 XLS 工作表.xls]Sheet1'!$B$3:$C$3</c:f>
              <c:numCache>
                <c:formatCode>General</c:formatCode>
                <c:ptCount val="2"/>
                <c:pt idx="0">
                  <c:v>446.31</c:v>
                </c:pt>
                <c:pt idx="1">
                  <c:v>446.31</c:v>
                </c:pt>
              </c:numCache>
            </c:numRef>
          </c:val>
        </c:ser>
        <c:dLbls>
          <c:showLegendKey val="0"/>
          <c:showVal val="1"/>
          <c:showCatName val="0"/>
          <c:showSerName val="0"/>
          <c:showPercent val="0"/>
          <c:showBubbleSize val="0"/>
        </c:dLbls>
        <c:gapWidth val="246"/>
        <c:overlap val="-28"/>
        <c:axId val="879467265"/>
        <c:axId val="567015731"/>
      </c:barChart>
      <c:catAx>
        <c:axId val="87946726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015731"/>
        <c:crosses val="autoZero"/>
        <c:auto val="1"/>
        <c:lblAlgn val="ctr"/>
        <c:lblOffset val="100"/>
        <c:noMultiLvlLbl val="0"/>
      </c:catAx>
      <c:valAx>
        <c:axId val="56701573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94672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e8d434f-6196-4a9f-b9b0-8d7492aae36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a:defRPr>
            </a:pPr>
            <a:r>
              <a:rPr lang="zh-CN"/>
              <a:t>收入决算结构图</a:t>
            </a:r>
            <a:endParaRPr lang="zh-CN"/>
          </a:p>
        </c:rich>
      </c:tx>
      <c:layout>
        <c:manualLayout>
          <c:xMode val="edge"/>
          <c:yMode val="edge"/>
          <c:x val="0.31874100354834"/>
          <c:y val="0.0709438618136952"/>
        </c:manualLayout>
      </c:layout>
      <c:overlay val="0"/>
      <c:spPr>
        <a:noFill/>
        <a:ln>
          <a:noFill/>
        </a:ln>
      </c:spPr>
    </c:title>
    <c:autoTitleDeleted val="0"/>
    <c:plotArea>
      <c:layout/>
      <c:pieChart>
        <c:varyColors val="1"/>
        <c:ser>
          <c:idx val="0"/>
          <c:order val="0"/>
          <c:tx>
            <c:strRef>
              <c:f>支出决算结构图</c:f>
              <c:strCache>
                <c:ptCount val="1"/>
                <c:pt idx="0">
                  <c:v>支出决算结构图</c:v>
                </c:pt>
              </c:strCache>
            </c:strRef>
          </c:tx>
          <c:spPr>
            <a:ln>
              <a:noFill/>
            </a:ln>
          </c:spPr>
          <c:explosion val="0"/>
          <c:dPt>
            <c:idx val="0"/>
            <c:bubble3D val="0"/>
            <c:explosion val="0"/>
            <c:spPr>
              <a:solidFill>
                <a:srgbClr val="4F81BD"/>
              </a:solidFill>
              <a:ln w="6350">
                <a:solidFill>
                  <a:srgbClr val="FFFFFF"/>
                </a:solidFill>
                <a:prstDash val="solid"/>
              </a:ln>
            </c:spPr>
          </c:dPt>
          <c:dPt>
            <c:idx val="1"/>
            <c:bubble3D val="0"/>
            <c:explosion val="0"/>
            <c:spPr>
              <a:solidFill>
                <a:srgbClr val="C0504D"/>
              </a:solidFill>
              <a:ln w="6350">
                <a:solidFill>
                  <a:srgbClr val="FFFFFF"/>
                </a:solidFill>
                <a:prstDash val="solid"/>
              </a:ln>
            </c:spPr>
          </c:dPt>
          <c:dPt>
            <c:idx val="2"/>
            <c:bubble3D val="0"/>
            <c:explosion val="0"/>
            <c:spPr>
              <a:solidFill>
                <a:srgbClr val="9BBB59"/>
              </a:solidFill>
              <a:ln w="6350">
                <a:solidFill>
                  <a:srgbClr val="FFFFFF"/>
                </a:solidFill>
                <a:prstDash val="solid"/>
              </a:ln>
            </c:spPr>
          </c:dPt>
          <c:dPt>
            <c:idx val="3"/>
            <c:bubble3D val="0"/>
            <c:explosion val="0"/>
            <c:spPr>
              <a:solidFill>
                <a:srgbClr val="8064A2"/>
              </a:solidFill>
              <a:ln w="6350">
                <a:solidFill>
                  <a:srgbClr val="FFFFFF"/>
                </a:solidFill>
                <a:prstDash val="solid"/>
              </a:ln>
            </c:spPr>
          </c:dPt>
          <c:dPt>
            <c:idx val="4"/>
            <c:bubble3D val="0"/>
            <c:explosion val="0"/>
            <c:spPr>
              <a:solidFill>
                <a:srgbClr val="4BACC6"/>
              </a:solidFill>
              <a:ln w="6350">
                <a:solidFill>
                  <a:srgbClr val="FFFFFF"/>
                </a:solidFill>
                <a:prstDash val="solid"/>
              </a:ln>
            </c:spPr>
          </c:dPt>
          <c:dPt>
            <c:idx val="5"/>
            <c:bubble3D val="0"/>
            <c:explosion val="0"/>
            <c:spPr>
              <a:solidFill>
                <a:srgbClr val="F79646"/>
              </a:solidFill>
              <a:ln w="6350">
                <a:solidFill>
                  <a:srgbClr val="FFFFFF"/>
                </a:solidFill>
                <a:prstDash val="solid"/>
              </a:ln>
            </c:spPr>
          </c:dPt>
          <c:dPt>
            <c:idx val="6"/>
            <c:bubble3D val="0"/>
            <c:explosion val="0"/>
            <c:spPr>
              <a:solidFill>
                <a:srgbClr val="2C4D75"/>
              </a:solidFill>
              <a:ln w="6350">
                <a:solidFill>
                  <a:srgbClr val="FFFFFF"/>
                </a:solidFill>
                <a:prstDash val="solid"/>
              </a:ln>
            </c:spPr>
          </c:dPt>
          <c:dPt>
            <c:idx val="7"/>
            <c:bubble3D val="0"/>
            <c:explosion val="0"/>
            <c:spPr>
              <a:solidFill>
                <a:srgbClr val="772C2A"/>
              </a:solidFill>
              <a:ln w="6350">
                <a:solidFill>
                  <a:srgbClr val="FFFFFF"/>
                </a:solidFill>
                <a:prstDash val="solid"/>
              </a:ln>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Times New Roman" panose="02020603050405020304"/>
                        <a:ea typeface="宋体" panose="02010600030101010101" charset="-122"/>
                        <a:cs typeface="Lucida Sans"/>
                      </a:defRPr>
                    </a:pPr>
                    <a:r>
                      <a:t>4</a:t>
                    </a:r>
                    <a:r>
                      <a:rPr lang="en-US" altLang="zh-CN"/>
                      <a:t>46.31</a:t>
                    </a:r>
                    <a:r>
                      <a:t>, 100%</a:t>
                    </a:r>
                  </a:p>
                </c:rich>
              </c:tx>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1"/>
              <c:showCatName val="0"/>
              <c:showSerName val="0"/>
              <c:showPercent val="1"/>
              <c:showBubbleSize val="0"/>
              <c:extLst>
                <c:ext xmlns:c15="http://schemas.microsoft.com/office/drawing/2012/chart" uri="{CE6537A1-D6FC-4f65-9D91-7224C49458BB}"/>
              </c:extLst>
            </c:dLbl>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{"基本支出","政府性基金预算财政拨款收入","国有资本经营预算财政拨款收入","上级补助收入","事业收入","经营收入","附属单位上缴收入","其他收入"}</c:f>
              <c:strCache>
                <c:ptCount val="8"/>
                <c:pt idx="0">
                  <c:v>基本支出</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{417.97,#N/A,#N/A,#N/A,#N/A,#N/A,#N/A,#N/A}</c:f>
              <c:numCache>
                <c:formatCode>General</c:formatCode>
                <c:ptCount val="8"/>
                <c:pt idx="0">
                  <c:v>417.97</c:v>
                </c:pt>
              </c:numCache>
            </c:numRef>
          </c:val>
        </c:ser>
        <c:ser>
          <c:idx val="1"/>
          <c:order val="1"/>
          <c:spPr>
            <a:ln>
              <a:noFill/>
            </a:ln>
          </c:spPr>
          <c:explosion val="0"/>
          <c:dLbls>
            <c:delete val="1"/>
          </c:dLbls>
          <c:cat>
            <c:strRef>
              <c:f>{"基本支出","政府性基金预算财政拨款收入","国有资本经营预算财政拨款收入","上级补助收入","事业收入","经营收入","附属单位上缴收入","其他收入"}</c:f>
              <c:strCache>
                <c:ptCount val="8"/>
                <c:pt idx="0">
                  <c:v>基本支出</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c:f>
            </c:numRef>
          </c:val>
        </c:ser>
        <c:dLbls>
          <c:showLegendKey val="0"/>
          <c:showVal val="0"/>
          <c:showCatName val="0"/>
          <c:showSerName val="0"/>
          <c:showPercent val="0"/>
          <c:showBubbleSize val="0"/>
          <c:showLeaderLines val="1"/>
        </c:dLbls>
        <c:firstSliceAng val="0"/>
      </c:pieChart>
      <c:spPr>
        <a:noFill/>
        <a:ln>
          <a:noFill/>
        </a:ln>
      </c:spPr>
    </c:plotArea>
    <c:plotVisOnly val="1"/>
    <c:dispBlanksAs val="gap"/>
    <c:showDLblsOverMax val="0"/>
    <c:extLst>
      <c:ext uri="{0b15fc19-7d7d-44ad-8c2d-2c3a37ce22c3}">
        <chartProps xmlns="https://web.wps.cn/et/2018/main" chartId="{388a67ed-2de2-425b-9003-1123b765936a}"/>
      </c:ext>
    </c:extLst>
  </c:chart>
  <c:spPr>
    <a:no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a:defRPr>
            </a:pPr>
            <a:r>
              <a:rPr lang="zh-CN"/>
              <a:t>支出决算结构图</a:t>
            </a:r>
            <a:endParaRPr lang="zh-CN"/>
          </a:p>
        </c:rich>
      </c:tx>
      <c:layout/>
      <c:overlay val="0"/>
      <c:spPr>
        <a:noFill/>
        <a:ln>
          <a:noFill/>
        </a:ln>
      </c:spPr>
    </c:title>
    <c:autoTitleDeleted val="0"/>
    <c:plotArea>
      <c:layout/>
      <c:pieChart>
        <c:varyColors val="1"/>
        <c:ser>
          <c:idx val="0"/>
          <c:order val="0"/>
          <c:tx>
            <c:strRef>
              <c:f>支出决算结构图</c:f>
              <c:strCache>
                <c:ptCount val="1"/>
                <c:pt idx="0">
                  <c:v>支出决算结构图</c:v>
                </c:pt>
              </c:strCache>
            </c:strRef>
          </c:tx>
          <c:spPr>
            <a:ln>
              <a:noFill/>
            </a:ln>
          </c:spPr>
          <c:explosion val="0"/>
          <c:dPt>
            <c:idx val="0"/>
            <c:bubble3D val="0"/>
            <c:explosion val="0"/>
            <c:spPr>
              <a:solidFill>
                <a:srgbClr val="4F81BD"/>
              </a:solidFill>
              <a:ln w="6350">
                <a:solidFill>
                  <a:srgbClr val="FFFFFF"/>
                </a:solidFill>
                <a:prstDash val="solid"/>
              </a:ln>
            </c:spPr>
          </c:dPt>
          <c:dPt>
            <c:idx val="1"/>
            <c:bubble3D val="0"/>
            <c:explosion val="0"/>
            <c:spPr>
              <a:solidFill>
                <a:srgbClr val="C0504D"/>
              </a:solidFill>
              <a:ln w="6350">
                <a:solidFill>
                  <a:srgbClr val="FFFFFF"/>
                </a:solidFill>
                <a:prstDash val="solid"/>
              </a:ln>
            </c:spPr>
          </c:dPt>
          <c:dPt>
            <c:idx val="2"/>
            <c:bubble3D val="0"/>
            <c:explosion val="0"/>
            <c:spPr>
              <a:solidFill>
                <a:srgbClr val="9BBB59"/>
              </a:solidFill>
              <a:ln w="6350">
                <a:solidFill>
                  <a:srgbClr val="FFFFFF"/>
                </a:solidFill>
                <a:prstDash val="solid"/>
              </a:ln>
            </c:spPr>
          </c:dPt>
          <c:dPt>
            <c:idx val="3"/>
            <c:bubble3D val="0"/>
            <c:explosion val="0"/>
            <c:spPr>
              <a:solidFill>
                <a:srgbClr val="8064A2"/>
              </a:solidFill>
              <a:ln w="6350">
                <a:solidFill>
                  <a:srgbClr val="FFFFFF"/>
                </a:solidFill>
                <a:prstDash val="solid"/>
              </a:ln>
            </c:spPr>
          </c:dPt>
          <c:dPt>
            <c:idx val="4"/>
            <c:bubble3D val="0"/>
            <c:explosion val="0"/>
            <c:spPr>
              <a:solidFill>
                <a:srgbClr val="4BACC6"/>
              </a:solidFill>
              <a:ln w="6350">
                <a:solidFill>
                  <a:srgbClr val="FFFFFF"/>
                </a:solidFill>
                <a:prstDash val="solid"/>
              </a:ln>
            </c:spPr>
          </c:dPt>
          <c:dPt>
            <c:idx val="5"/>
            <c:bubble3D val="0"/>
            <c:explosion val="0"/>
            <c:spPr>
              <a:solidFill>
                <a:srgbClr val="F79646"/>
              </a:solidFill>
              <a:ln w="6350">
                <a:solidFill>
                  <a:srgbClr val="FFFFFF"/>
                </a:solidFill>
                <a:prstDash val="solid"/>
              </a:ln>
            </c:spPr>
          </c:dPt>
          <c:dPt>
            <c:idx val="6"/>
            <c:bubble3D val="0"/>
            <c:explosion val="0"/>
            <c:spPr>
              <a:solidFill>
                <a:srgbClr val="2C4D75"/>
              </a:solidFill>
              <a:ln w="6350">
                <a:solidFill>
                  <a:srgbClr val="FFFFFF"/>
                </a:solidFill>
                <a:prstDash val="solid"/>
              </a:ln>
            </c:spPr>
          </c:dPt>
          <c:dPt>
            <c:idx val="7"/>
            <c:bubble3D val="0"/>
            <c:explosion val="0"/>
            <c:spPr>
              <a:solidFill>
                <a:srgbClr val="772C2A"/>
              </a:solidFill>
              <a:ln w="6350">
                <a:solidFill>
                  <a:srgbClr val="FFFFFF"/>
                </a:solidFill>
                <a:prstDash val="solid"/>
              </a:ln>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Times New Roman" panose="02020603050405020304"/>
                        <a:ea typeface="宋体" panose="02010600030101010101" charset="-122"/>
                        <a:cs typeface="Lucida Sans"/>
                      </a:defRPr>
                    </a:pPr>
                    <a:r>
                      <a:rPr lang="en-US" altLang="zh-CN"/>
                      <a:t>446.31</a:t>
                    </a:r>
                    <a:r>
                      <a:t>, 100%</a:t>
                    </a:r>
                  </a:p>
                </c:rich>
              </c:tx>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1"/>
              <c:showCatName val="0"/>
              <c:showSerName val="0"/>
              <c:showPercent val="1"/>
              <c:showBubbleSize val="0"/>
              <c:extLst>
                <c:ext xmlns:c15="http://schemas.microsoft.com/office/drawing/2012/chart" uri="{CE6537A1-D6FC-4f65-9D91-7224C49458BB}"/>
              </c:extLst>
            </c:dLbl>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{"基本支出","政府性基金预算财政拨款收入","国有资本经营预算财政拨款收入","上级补助收入","事业收入","经营收入","附属单位上缴收入","其他收入"}</c:f>
              <c:strCache>
                <c:ptCount val="8"/>
                <c:pt idx="0">
                  <c:v>基本支出</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{417.97,#N/A,#N/A,#N/A,#N/A,#N/A,#N/A,#N/A}</c:f>
              <c:numCache>
                <c:formatCode>General</c:formatCode>
                <c:ptCount val="8"/>
                <c:pt idx="0">
                  <c:v>417.97</c:v>
                </c:pt>
              </c:numCache>
            </c:numRef>
          </c:val>
        </c:ser>
        <c:ser>
          <c:idx val="1"/>
          <c:order val="1"/>
          <c:spPr>
            <a:ln>
              <a:noFill/>
            </a:ln>
          </c:spPr>
          <c:explosion val="0"/>
          <c:dLbls>
            <c:delete val="1"/>
          </c:dLbls>
          <c:cat>
            <c:strRef>
              <c:f>{"基本支出","政府性基金预算财政拨款收入","国有资本经营预算财政拨款收入","上级补助收入","事业收入","经营收入","附属单位上缴收入","其他收入"}</c:f>
              <c:strCache>
                <c:ptCount val="8"/>
                <c:pt idx="0">
                  <c:v>基本支出</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c:f>
            </c:numRef>
          </c:val>
        </c:ser>
        <c:dLbls>
          <c:showLegendKey val="0"/>
          <c:showVal val="0"/>
          <c:showCatName val="0"/>
          <c:showSerName val="0"/>
          <c:showPercent val="0"/>
          <c:showBubbleSize val="0"/>
          <c:showLeaderLines val="1"/>
        </c:dLbls>
        <c:firstSliceAng val="0"/>
      </c:pieChart>
      <c:spPr>
        <a:noFill/>
        <a:ln>
          <a:noFill/>
        </a:ln>
      </c:spPr>
    </c:plotArea>
    <c:plotVisOnly val="1"/>
    <c:dispBlanksAs val="gap"/>
    <c:showDLblsOverMax val="0"/>
    <c:extLst>
      <c:ext uri="{0b15fc19-7d7d-44ad-8c2d-2c3a37ce22c3}">
        <chartProps xmlns="https://web.wps.cn/et/2018/main" chartId="{0a746307-7ac4-45e4-912d-981acedd2c56}"/>
      </c:ext>
    </c:extLst>
  </c:chart>
  <c:spPr>
    <a:no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财政拨款收、支决算总计变动图</a:t>
            </a:r>
          </a:p>
        </c:rich>
      </c:tx>
      <c:layout>
        <c:manualLayout>
          <c:xMode val="edge"/>
          <c:yMode val="edge"/>
          <c:x val="0.273920348794182"/>
          <c:y val="0.0240520719781968"/>
        </c:manualLayout>
      </c:layout>
      <c:overlay val="0"/>
      <c:spPr>
        <a:noFill/>
        <a:ln>
          <a:noFill/>
        </a:ln>
        <a:effectLst/>
      </c:spPr>
    </c:title>
    <c:autoTitleDeleted val="0"/>
    <c:plotArea>
      <c:layout/>
      <c:barChart>
        <c:barDir val="col"/>
        <c:grouping val="clustered"/>
        <c:varyColors val="0"/>
        <c:ser>
          <c:idx val="0"/>
          <c:order val="0"/>
          <c:tx>
            <c:strRef>
              <c:f>'[新建 XLS 工作表.xls]Sheet1'!$A$2</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工作表.xls]Sheet1'!$B$1:$C$1</c:f>
              <c:strCache>
                <c:ptCount val="2"/>
                <c:pt idx="0">
                  <c:v>收入</c:v>
                </c:pt>
                <c:pt idx="1">
                  <c:v>支出</c:v>
                </c:pt>
              </c:strCache>
            </c:strRef>
          </c:cat>
          <c:val>
            <c:numRef>
              <c:f>'[新建 XLS 工作表.xls]Sheet1'!$B$2:$C$2</c:f>
              <c:numCache>
                <c:formatCode>General</c:formatCode>
                <c:ptCount val="2"/>
                <c:pt idx="0">
                  <c:v>417.97</c:v>
                </c:pt>
                <c:pt idx="1">
                  <c:v>417.97</c:v>
                </c:pt>
              </c:numCache>
            </c:numRef>
          </c:val>
        </c:ser>
        <c:ser>
          <c:idx val="1"/>
          <c:order val="1"/>
          <c:tx>
            <c:strRef>
              <c:f>'[新建 XLS 工作表.xls]Sheet1'!$A$3</c:f>
              <c:strCache>
                <c:ptCount val="1"/>
                <c:pt idx="0">
                  <c:v>2025年</c:v>
                </c:pt>
              </c:strCache>
            </c:strRef>
          </c:tx>
          <c:spPr>
            <a:solidFill>
              <a:srgbClr val="C00000"/>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工作表.xls]Sheet1'!$B$1:$C$1</c:f>
              <c:strCache>
                <c:ptCount val="2"/>
                <c:pt idx="0">
                  <c:v>收入</c:v>
                </c:pt>
                <c:pt idx="1">
                  <c:v>支出</c:v>
                </c:pt>
              </c:strCache>
            </c:strRef>
          </c:cat>
          <c:val>
            <c:numRef>
              <c:f>'[新建 XLS 工作表.xls]Sheet1'!$B$3:$C$3</c:f>
              <c:numCache>
                <c:formatCode>General</c:formatCode>
                <c:ptCount val="2"/>
                <c:pt idx="0">
                  <c:v>446.31</c:v>
                </c:pt>
                <c:pt idx="1">
                  <c:v>446.31</c:v>
                </c:pt>
              </c:numCache>
            </c:numRef>
          </c:val>
        </c:ser>
        <c:dLbls>
          <c:showLegendKey val="0"/>
          <c:showVal val="1"/>
          <c:showCatName val="0"/>
          <c:showSerName val="0"/>
          <c:showPercent val="0"/>
          <c:showBubbleSize val="0"/>
        </c:dLbls>
        <c:gapWidth val="246"/>
        <c:overlap val="-28"/>
        <c:axId val="879467265"/>
        <c:axId val="567015731"/>
      </c:barChart>
      <c:catAx>
        <c:axId val="87946726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015731"/>
        <c:crosses val="autoZero"/>
        <c:auto val="1"/>
        <c:lblAlgn val="ctr"/>
        <c:lblOffset val="100"/>
        <c:noMultiLvlLbl val="0"/>
      </c:catAx>
      <c:valAx>
        <c:axId val="56701573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94672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c146b50-57d7-4f91-a93b-8f881a0dae9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一般公共预算财政拨款支出决算图</a:t>
            </a:r>
          </a:p>
        </c:rich>
      </c:tx>
      <c:layout>
        <c:manualLayout>
          <c:xMode val="edge"/>
          <c:yMode val="edge"/>
          <c:x val="0.231842105263158"/>
          <c:y val="0.0347222222222222"/>
        </c:manualLayout>
      </c:layout>
      <c:overlay val="0"/>
      <c:spPr>
        <a:noFill/>
        <a:ln>
          <a:noFill/>
        </a:ln>
        <a:effectLst/>
      </c:spPr>
    </c:title>
    <c:autoTitleDeleted val="0"/>
    <c:plotArea>
      <c:layout>
        <c:manualLayout>
          <c:layoutTarget val="inner"/>
          <c:xMode val="edge"/>
          <c:yMode val="edge"/>
          <c:x val="0.0695526315789474"/>
          <c:y val="0.174074074074074"/>
          <c:w val="0.900184210526316"/>
          <c:h val="0.606342592592593"/>
        </c:manualLayout>
      </c:layout>
      <c:barChart>
        <c:barDir val="col"/>
        <c:grouping val="clustered"/>
        <c:varyColors val="0"/>
        <c:ser>
          <c:idx val="0"/>
          <c:order val="0"/>
          <c:spPr>
            <a:solidFill>
              <a:schemeClr val="accent1"/>
            </a:solidFill>
            <a:ln>
              <a:solidFill>
                <a:schemeClr val="accent1"/>
              </a:solid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工作表.xls]Sheet1'!$A$2:$A$3</c:f>
              <c:strCache>
                <c:ptCount val="2"/>
                <c:pt idx="0">
                  <c:v>2024年</c:v>
                </c:pt>
                <c:pt idx="1">
                  <c:v>2025年</c:v>
                </c:pt>
              </c:strCache>
            </c:strRef>
          </c:cat>
          <c:val>
            <c:numRef>
              <c:f>'[新建 XLS 工作表.xls]Sheet1'!$B$2:$B$3</c:f>
              <c:numCache>
                <c:formatCode>General</c:formatCode>
                <c:ptCount val="2"/>
                <c:pt idx="0">
                  <c:v>417.97</c:v>
                </c:pt>
                <c:pt idx="1">
                  <c:v>446.31</c:v>
                </c:pt>
              </c:numCache>
            </c:numRef>
          </c:val>
        </c:ser>
        <c:dLbls>
          <c:showLegendKey val="0"/>
          <c:showVal val="1"/>
          <c:showCatName val="0"/>
          <c:showSerName val="0"/>
          <c:showPercent val="0"/>
          <c:showBubbleSize val="0"/>
        </c:dLbls>
        <c:gapWidth val="246"/>
        <c:overlap val="-28"/>
        <c:axId val="221251691"/>
        <c:axId val="292344505"/>
      </c:barChart>
      <c:catAx>
        <c:axId val="22125169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2344505"/>
        <c:crosses val="autoZero"/>
        <c:auto val="1"/>
        <c:lblAlgn val="ctr"/>
        <c:lblOffset val="100"/>
        <c:noMultiLvlLbl val="0"/>
      </c:catAx>
      <c:valAx>
        <c:axId val="29234450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1251691"/>
        <c:crosses val="autoZero"/>
        <c:crossBetween val="between"/>
      </c:valAx>
      <c:spPr>
        <a:noFill/>
        <a:ln>
          <a:noFill/>
        </a:ln>
        <a:effectLst/>
      </c:spPr>
    </c:plotArea>
    <c:plotVisOnly val="1"/>
    <c:dispBlanksAs val="gap"/>
    <c:showDLblsOverMax val="0"/>
    <c:extLst>
      <c:ext uri="{0b15fc19-7d7d-44ad-8c2d-2c3a37ce22c3}">
        <chartProps xmlns="https://web.wps.cn/et/2018/main" chartId="{b64ba027-9f73-47f6-a4cf-b1ff2b8f656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一般公共预算财政拨款支出决算图</a:t>
            </a:r>
          </a:p>
        </c:rich>
      </c:tx>
      <c:layout>
        <c:manualLayout>
          <c:xMode val="edge"/>
          <c:yMode val="edge"/>
          <c:x val="0.140789473684211"/>
          <c:y val="0.0537037037037037"/>
        </c:manualLayout>
      </c:layout>
      <c:overlay val="0"/>
      <c:spPr>
        <a:noFill/>
        <a:ln>
          <a:noFill/>
        </a:ln>
        <a:effectLst/>
      </c:spPr>
    </c:title>
    <c:autoTitleDeleted val="0"/>
    <c:plotArea>
      <c:layout>
        <c:manualLayout>
          <c:layoutTarget val="inner"/>
          <c:xMode val="edge"/>
          <c:yMode val="edge"/>
          <c:x val="0.128947368421053"/>
          <c:y val="0.22037037037037"/>
          <c:w val="0.439210526315789"/>
          <c:h val="0.772685185185185"/>
        </c:manualLayout>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工作表.xls]Sheet1'!$E$2:$E$5</c:f>
              <c:strCache>
                <c:ptCount val="4"/>
                <c:pt idx="0">
                  <c:v>城乡社区类支出</c:v>
                </c:pt>
                <c:pt idx="1">
                  <c:v>社会保障和就业支出</c:v>
                </c:pt>
                <c:pt idx="2">
                  <c:v>卫生健康支出</c:v>
                </c:pt>
                <c:pt idx="3">
                  <c:v>住房保障支出</c:v>
                </c:pt>
              </c:strCache>
            </c:strRef>
          </c:cat>
          <c:val>
            <c:numRef>
              <c:f>'[新建 XLS 工作表.xls]Sheet1'!$F$2:$F$5</c:f>
              <c:numCache>
                <c:formatCode>General</c:formatCode>
                <c:ptCount val="4"/>
                <c:pt idx="0">
                  <c:v>327.55</c:v>
                </c:pt>
                <c:pt idx="1">
                  <c:v>61.23</c:v>
                </c:pt>
                <c:pt idx="2">
                  <c:v>23.9</c:v>
                </c:pt>
                <c:pt idx="3">
                  <c:v>33.63</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r"/>
      <c:layout>
        <c:manualLayout>
          <c:xMode val="edge"/>
          <c:yMode val="edge"/>
          <c:x val="0.656315789473684"/>
          <c:y val="0.41643518518518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62a587f-f521-4464-86d1-66a1de47ad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a:t>
            </a:r>
            <a:r>
              <a:rPr altLang="en-US"/>
              <a:t>三公经费</a:t>
            </a:r>
            <a:r>
              <a:rPr lang="en-US" altLang="zh-CN"/>
              <a:t>”</a:t>
            </a:r>
            <a:r>
              <a:rPr altLang="en-US"/>
              <a:t>财政拨款结构图</a:t>
            </a:r>
            <a:endParaRPr altLang="en-US"/>
          </a:p>
        </c:rich>
      </c:tx>
      <c:layout>
        <c:manualLayout>
          <c:xMode val="edge"/>
          <c:yMode val="edge"/>
          <c:x val="0.188289473684211"/>
          <c:y val="0.045045045045045"/>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工作表.xls]Sheet1'!$A$14:$A$16</c:f>
              <c:strCache>
                <c:ptCount val="3"/>
                <c:pt idx="0">
                  <c:v>公务接待费</c:v>
                </c:pt>
                <c:pt idx="1">
                  <c:v>公务用车购置费</c:v>
                </c:pt>
                <c:pt idx="2">
                  <c:v>公务用车运行维护费</c:v>
                </c:pt>
              </c:strCache>
            </c:strRef>
          </c:cat>
          <c:val>
            <c:numRef>
              <c:f>'[新建 XLS 工作表.xls]Sheet1'!$B$14:$B$16</c:f>
              <c:numCache>
                <c:formatCode>General</c:formatCode>
                <c:ptCount val="3"/>
                <c:pt idx="0">
                  <c:v>0.35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a3beb60-c390-4ac5-879f-9df98bb59e4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16</Pages>
  <Words>3997</Words>
  <Characters>4402</Characters>
  <Lines>1</Lines>
  <Paragraphs>0</Paragraphs>
  <TotalTime>11</TotalTime>
  <ScaleCrop>false</ScaleCrop>
  <LinksUpToDate>false</LinksUpToDate>
  <CharactersWithSpaces>4463</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二晴</cp:lastModifiedBy>
  <cp:lastPrinted>2025-09-19T01:38:00Z</cp:lastPrinted>
  <dcterms:modified xsi:type="dcterms:W3CDTF">2026-09-01T08:01:08Z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04787F2533EB45DC91BCDE4AB213247F</vt:lpwstr>
  </property>
  <property fmtid="{D5CDD505-2E9C-101B-9397-08002B2CF9AE}" pid="4" name="KSOTemplateDocerSaveRecord">
    <vt:lpwstr>eyJoZGlkIjoiNWNjNzk5M2MyZDNmZDI1M2U2MTc5NmRhMDdiNjRjNmEiLCJ1c2VySWQiOiI4Njc0MjQ0NDQifQ==</vt:lpwstr>
  </property>
</Properties>
</file>