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bookmarkStart w:id="105" w:name="_GoBack"/>
      <w:bookmarkEnd w:id="105"/>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p>
    <w:p>
      <w:pPr>
        <w:adjustRightInd w:val="0"/>
        <w:snapToGrid w:val="0"/>
        <w:spacing w:line="360" w:lineRule="auto"/>
        <w:jc w:val="center"/>
        <w:outlineLvl w:val="0"/>
        <w:rPr>
          <w:rFonts w:hint="eastAsia" w:ascii="方正小标宋简体" w:hAnsi="方正小标宋简体" w:eastAsia="方正小标宋简体" w:cs="方正小标宋简体"/>
          <w:sz w:val="44"/>
          <w:szCs w:val="44"/>
          <w:lang w:eastAsia="zh-CN"/>
        </w:rPr>
      </w:pPr>
      <w:r>
        <w:rPr>
          <w:rFonts w:hint="eastAsia" w:ascii="Times New Roman" w:hAnsi="Times New Roman" w:eastAsia="方正小标宋简体" w:cs="Times New Roman"/>
          <w:color w:val="auto"/>
          <w:kern w:val="2"/>
          <w:sz w:val="44"/>
          <w:szCs w:val="44"/>
          <w:highlight w:val="none"/>
          <w:lang w:val="en-US" w:eastAsia="zh-CN" w:bidi="ar-SA"/>
        </w:rPr>
        <w:t>2025</w:t>
      </w:r>
      <w:r>
        <w:rPr>
          <w:rFonts w:hint="eastAsia" w:ascii="方正小标宋简体" w:hAnsi="方正小标宋简体" w:eastAsia="方正小标宋简体" w:cs="方正小标宋简体"/>
          <w:sz w:val="44"/>
          <w:szCs w:val="44"/>
          <w:lang w:eastAsia="zh-CN"/>
        </w:rPr>
        <w:t>年度</w:t>
      </w:r>
    </w:p>
    <w:p>
      <w:pPr>
        <w:adjustRightInd w:val="0"/>
        <w:snapToGrid w:val="0"/>
        <w:spacing w:line="360" w:lineRule="auto"/>
        <w:jc w:val="center"/>
        <w:outlineLvl w:val="0"/>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sz w:val="44"/>
          <w:szCs w:val="44"/>
          <w:lang w:eastAsia="zh-CN"/>
        </w:rPr>
        <w:t>茂县医药卫生体制改革办公室单位</w:t>
      </w:r>
      <w:r>
        <w:rPr>
          <w:rFonts w:hint="eastAsia" w:ascii="方正小标宋简体" w:hAnsi="方正小标宋简体" w:eastAsia="方正小标宋简体" w:cs="方正小标宋简体"/>
          <w:sz w:val="44"/>
          <w:szCs w:val="44"/>
        </w:rPr>
        <w:t>决算</w:t>
      </w:r>
    </w:p>
    <w:p>
      <w:pPr>
        <w:adjustRightInd w:val="0"/>
        <w:snapToGrid w:val="0"/>
        <w:spacing w:line="360" w:lineRule="auto"/>
        <w:jc w:val="center"/>
        <w:outlineLvl w:val="0"/>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 </w:t>
      </w:r>
    </w:p>
    <w:p>
      <w:pPr>
        <w:pStyle w:val="10"/>
        <w:keepNext w:val="0"/>
        <w:keepLines w:val="0"/>
        <w:pageBreakBefore w:val="0"/>
        <w:widowControl/>
        <w:suppressLineNumbers w:val="0"/>
        <w:kinsoku/>
        <w:wordWrap/>
        <w:overflowPunct/>
        <w:topLinePunct w:val="0"/>
        <w:bidi w:val="0"/>
        <w:spacing w:line="576" w:lineRule="exact"/>
        <w:jc w:val="center"/>
        <w:textAlignment w:val="auto"/>
      </w:pPr>
      <w:r>
        <w:t> </w:t>
      </w:r>
    </w:p>
    <w:p>
      <w:pPr>
        <w:pStyle w:val="10"/>
        <w:keepNext w:val="0"/>
        <w:keepLines w:val="0"/>
        <w:pageBreakBefore w:val="0"/>
        <w:widowControl/>
        <w:suppressLineNumbers w:val="0"/>
        <w:kinsoku/>
        <w:wordWrap/>
        <w:overflowPunct/>
        <w:topLinePunct w:val="0"/>
        <w:bidi w:val="0"/>
        <w:spacing w:line="576" w:lineRule="exact"/>
        <w:jc w:val="center"/>
        <w:textAlignment w:val="auto"/>
      </w:pPr>
      <w:r>
        <w:t> </w:t>
      </w:r>
    </w:p>
    <w:p>
      <w:pPr>
        <w:pStyle w:val="10"/>
        <w:keepNext w:val="0"/>
        <w:keepLines w:val="0"/>
        <w:pageBreakBefore w:val="0"/>
        <w:widowControl/>
        <w:suppressLineNumbers w:val="0"/>
        <w:kinsoku/>
        <w:wordWrap/>
        <w:overflowPunct/>
        <w:topLinePunct w:val="0"/>
        <w:bidi w:val="0"/>
        <w:spacing w:line="576" w:lineRule="exact"/>
        <w:jc w:val="center"/>
        <w:textAlignment w:val="auto"/>
      </w:pPr>
      <w:r>
        <w:t> </w:t>
      </w:r>
    </w:p>
    <w:p>
      <w:pPr>
        <w:pStyle w:val="10"/>
        <w:keepNext w:val="0"/>
        <w:keepLines w:val="0"/>
        <w:pageBreakBefore w:val="0"/>
        <w:widowControl/>
        <w:suppressLineNumbers w:val="0"/>
        <w:kinsoku/>
        <w:wordWrap/>
        <w:overflowPunct/>
        <w:topLinePunct w:val="0"/>
        <w:bidi w:val="0"/>
        <w:spacing w:line="576" w:lineRule="exact"/>
        <w:jc w:val="center"/>
        <w:textAlignment w:val="auto"/>
      </w:pPr>
      <w:r>
        <w:t> </w:t>
      </w:r>
    </w:p>
    <w:p>
      <w:pPr>
        <w:pStyle w:val="10"/>
        <w:keepNext w:val="0"/>
        <w:keepLines w:val="0"/>
        <w:pageBreakBefore w:val="0"/>
        <w:widowControl/>
        <w:suppressLineNumbers w:val="0"/>
        <w:kinsoku/>
        <w:wordWrap/>
        <w:overflowPunct/>
        <w:topLinePunct w:val="0"/>
        <w:bidi w:val="0"/>
        <w:spacing w:line="576" w:lineRule="exact"/>
        <w:jc w:val="center"/>
        <w:textAlignment w:val="auto"/>
      </w:pPr>
      <w:r>
        <w:t> </w:t>
      </w:r>
    </w:p>
    <w:p>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 </w:t>
      </w:r>
    </w:p>
    <w:p>
      <w:pPr>
        <w:pStyle w:val="10"/>
        <w:keepNext w:val="0"/>
        <w:keepLines w:val="0"/>
        <w:pageBreakBefore w:val="0"/>
        <w:widowControl/>
        <w:suppressLineNumbers w:val="0"/>
        <w:kinsoku/>
        <w:wordWrap/>
        <w:overflowPunct/>
        <w:topLinePunct w:val="0"/>
        <w:bidi w:val="0"/>
        <w:spacing w:line="576" w:lineRule="exact"/>
        <w:textAlignment w:val="auto"/>
      </w:pPr>
      <w:r>
        <w:t> </w:t>
      </w: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eastAsia="黑体"/>
          <w:color w:val="000000"/>
          <w:sz w:val="48"/>
          <w:szCs w:val="48"/>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eastAsia="黑体"/>
          <w:color w:val="000000"/>
          <w:sz w:val="48"/>
          <w:szCs w:val="48"/>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ascii="黑体" w:eastAsia="黑体"/>
          <w:color w:val="000000"/>
          <w:sz w:val="48"/>
          <w:szCs w:val="48"/>
        </w:rPr>
      </w:pPr>
      <w:r>
        <w:rPr>
          <w:rFonts w:hint="eastAsia" w:ascii="黑体" w:eastAsia="黑体"/>
          <w:color w:val="000000"/>
          <w:sz w:val="48"/>
          <w:szCs w:val="48"/>
        </w:rPr>
        <w:t>目录</w:t>
      </w:r>
    </w:p>
    <w:p>
      <w:pPr>
        <w:pStyle w:val="8"/>
        <w:pageBreakBefore w:val="0"/>
        <w:kinsoku/>
        <w:wordWrap/>
        <w:overflowPunct/>
        <w:topLinePunct w:val="0"/>
        <w:bidi w:val="0"/>
        <w:spacing w:line="576" w:lineRule="exact"/>
        <w:jc w:val="center"/>
        <w:textAlignment w:val="auto"/>
        <w:rPr>
          <w:rFonts w:hint="eastAsia" w:ascii="Times New Roman" w:hAnsi="Times New Roman" w:eastAsia="仿宋_GB2312" w:cs="仿宋_GB2312"/>
          <w:b w:val="0"/>
          <w:bCs w:val="0"/>
          <w:caps w:val="0"/>
          <w:color w:val="auto"/>
          <w:sz w:val="32"/>
          <w:szCs w:val="32"/>
          <w:highlight w:val="none"/>
        </w:rPr>
      </w:pPr>
      <w:r>
        <w:rPr>
          <w:rFonts w:hint="eastAsia" w:ascii="Times New Roman" w:hAnsi="Times New Roman" w:eastAsia="仿宋_GB2312" w:cs="仿宋_GB2312"/>
          <w:b w:val="0"/>
          <w:bCs w:val="0"/>
          <w:caps w:val="0"/>
          <w:color w:val="auto"/>
          <w:sz w:val="32"/>
          <w:szCs w:val="32"/>
          <w:highlight w:val="none"/>
        </w:rPr>
        <w:t>公开时间：202</w:t>
      </w:r>
      <w:r>
        <w:rPr>
          <w:rFonts w:hint="eastAsia" w:ascii="Times New Roman" w:hAnsi="Times New Roman" w:eastAsia="仿宋_GB2312" w:cs="仿宋_GB2312"/>
          <w:b w:val="0"/>
          <w:bCs w:val="0"/>
          <w:caps w:val="0"/>
          <w:color w:val="auto"/>
          <w:sz w:val="32"/>
          <w:szCs w:val="32"/>
          <w:highlight w:val="none"/>
          <w:lang w:val="en-US" w:eastAsia="zh-CN"/>
        </w:rPr>
        <w:t>6</w:t>
      </w:r>
      <w:r>
        <w:rPr>
          <w:rFonts w:hint="eastAsia" w:ascii="Times New Roman" w:hAnsi="Times New Roman" w:eastAsia="仿宋_GB2312" w:cs="仿宋_GB2312"/>
          <w:b w:val="0"/>
          <w:bCs w:val="0"/>
          <w:caps w:val="0"/>
          <w:color w:val="auto"/>
          <w:sz w:val="32"/>
          <w:szCs w:val="32"/>
          <w:highlight w:val="none"/>
        </w:rPr>
        <w:t>年</w:t>
      </w:r>
      <w:r>
        <w:rPr>
          <w:rFonts w:hint="eastAsia" w:ascii="Times New Roman" w:hAnsi="Times New Roman" w:eastAsia="仿宋_GB2312" w:cs="仿宋_GB2312"/>
          <w:b w:val="0"/>
          <w:bCs w:val="0"/>
          <w:caps w:val="0"/>
          <w:color w:val="auto"/>
          <w:sz w:val="32"/>
          <w:szCs w:val="32"/>
          <w:highlight w:val="none"/>
          <w:lang w:val="en-US" w:eastAsia="zh-CN"/>
        </w:rPr>
        <w:t>9</w:t>
      </w:r>
      <w:r>
        <w:rPr>
          <w:rFonts w:hint="eastAsia"/>
          <w:b w:val="0"/>
          <w:bCs w:val="0"/>
          <w:sz w:val="24"/>
          <w:szCs w:val="24"/>
        </w:rPr>
        <w:t xml:space="preserve"> </w:t>
      </w:r>
      <w:r>
        <w:rPr>
          <w:rFonts w:hint="eastAsia" w:ascii="Times New Roman" w:hAnsi="Times New Roman" w:eastAsia="仿宋_GB2312" w:cs="仿宋_GB2312"/>
          <w:b w:val="0"/>
          <w:bCs w:val="0"/>
          <w:caps w:val="0"/>
          <w:color w:val="auto"/>
          <w:sz w:val="32"/>
          <w:szCs w:val="32"/>
          <w:highlight w:val="none"/>
        </w:rPr>
        <w:t>月</w:t>
      </w:r>
      <w:r>
        <w:rPr>
          <w:rFonts w:hint="eastAsia" w:ascii="Times New Roman" w:hAnsi="Times New Roman" w:eastAsia="仿宋_GB2312" w:cs="仿宋_GB2312"/>
          <w:b w:val="0"/>
          <w:bCs w:val="0"/>
          <w:caps w:val="0"/>
          <w:color w:val="auto"/>
          <w:sz w:val="32"/>
          <w:szCs w:val="32"/>
          <w:highlight w:val="none"/>
          <w:lang w:val="en-US" w:eastAsia="zh-CN"/>
        </w:rPr>
        <w:t>04</w:t>
      </w:r>
      <w:r>
        <w:rPr>
          <w:rFonts w:hint="eastAsia" w:ascii="Times New Roman" w:hAnsi="Times New Roman" w:eastAsia="仿宋_GB2312" w:cs="仿宋_GB2312"/>
          <w:b w:val="0"/>
          <w:bCs w:val="0"/>
          <w:caps w:val="0"/>
          <w:color w:val="auto"/>
          <w:sz w:val="32"/>
          <w:szCs w:val="32"/>
          <w:highlight w:val="none"/>
        </w:rPr>
        <w:t>日</w:t>
      </w:r>
    </w:p>
    <w:p>
      <w:pPr>
        <w:pStyle w:val="13"/>
        <w:tabs>
          <w:tab w:val="right" w:leader="dot" w:pos="8306"/>
        </w:tabs>
        <w:rPr>
          <w:rFonts w:hint="eastAsia" w:ascii="Times New Roman" w:hAnsi="Times New Roman" w:eastAsia="黑体" w:cs="黑体"/>
          <w:b w:val="0"/>
          <w:bCs w:val="0"/>
          <w:caps w:val="0"/>
          <w:color w:val="auto"/>
          <w:kern w:val="2"/>
          <w:sz w:val="32"/>
          <w:szCs w:val="32"/>
          <w:highlight w:val="none"/>
          <w:lang w:val="en-US" w:eastAsia="zh-CN" w:bidi="ar-SA"/>
        </w:rPr>
      </w:pPr>
      <w:r>
        <w:fldChar w:fldCharType="begin"/>
      </w:r>
      <w:r>
        <w:instrText xml:space="preserve">TOC \o "1-2" \h \u </w:instrText>
      </w:r>
      <w: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fldChar w:fldCharType="begin"/>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_Toc17163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第一部分 单位概况</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t>4</w:t>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_Toc28981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一、主要职责</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_Toc7625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二、机构设置</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3"/>
        <w:tabs>
          <w:tab w:val="right" w:leader="dot" w:pos="8306"/>
        </w:tabs>
        <w:rPr>
          <w:rFonts w:hint="eastAsia" w:ascii="Times New Roman" w:hAnsi="Times New Roman" w:eastAsia="黑体" w:cs="黑体"/>
          <w:b w:val="0"/>
          <w:bCs w:val="0"/>
          <w:caps w:val="0"/>
          <w:color w:val="auto"/>
          <w:kern w:val="2"/>
          <w:sz w:val="32"/>
          <w:szCs w:val="32"/>
          <w:highlight w:val="none"/>
          <w:lang w:val="en-US" w:eastAsia="zh-CN" w:bidi="ar-SA"/>
        </w:rPr>
      </w:pPr>
      <w:r>
        <w:rPr>
          <w:rFonts w:hint="eastAsia" w:ascii="Times New Roman" w:hAnsi="Times New Roman" w:eastAsia="黑体" w:cs="黑体"/>
          <w:b w:val="0"/>
          <w:bCs w:val="0"/>
          <w:caps w:val="0"/>
          <w:color w:val="auto"/>
          <w:kern w:val="2"/>
          <w:sz w:val="32"/>
          <w:szCs w:val="32"/>
          <w:highlight w:val="none"/>
          <w:lang w:val="en-US" w:eastAsia="zh-CN" w:bidi="ar-SA"/>
        </w:rPr>
        <w:fldChar w:fldCharType="begin"/>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_Toc22409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第二部分 2025年度单位决算情况说明</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t>5</w:t>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_Toc32197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default" w:ascii="Times New Roman" w:hAnsi="Times New Roman" w:eastAsia="仿宋_GB2312" w:cs="仿宋_GB2312"/>
          <w:color w:val="auto"/>
          <w:kern w:val="2"/>
          <w:sz w:val="32"/>
          <w:szCs w:val="32"/>
          <w:highlight w:val="none"/>
          <w:lang w:val="en-US" w:eastAsia="zh-CN" w:bidi="ar-SA"/>
        </w:rPr>
        <w:t>一、</w:t>
      </w:r>
      <w:r>
        <w:rPr>
          <w:rFonts w:hint="eastAsia" w:ascii="Times New Roman" w:hAnsi="Times New Roman" w:eastAsia="仿宋_GB2312" w:cs="仿宋_GB2312"/>
          <w:color w:val="auto"/>
          <w:kern w:val="2"/>
          <w:sz w:val="32"/>
          <w:szCs w:val="32"/>
          <w:highlight w:val="none"/>
          <w:lang w:val="en-US" w:eastAsia="zh-CN" w:bidi="ar-SA"/>
        </w:rPr>
        <w:t>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_Toc6858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default" w:ascii="Times New Roman" w:hAnsi="Times New Roman" w:eastAsia="仿宋_GB2312" w:cs="仿宋_GB2312"/>
          <w:color w:val="auto"/>
          <w:kern w:val="2"/>
          <w:sz w:val="32"/>
          <w:szCs w:val="32"/>
          <w:highlight w:val="none"/>
          <w:lang w:val="en-US" w:eastAsia="zh-CN" w:bidi="ar-SA"/>
        </w:rPr>
        <w:t>二、</w:t>
      </w:r>
      <w:r>
        <w:rPr>
          <w:rFonts w:hint="eastAsia" w:ascii="Times New Roman" w:hAnsi="Times New Roman" w:eastAsia="仿宋_GB2312" w:cs="仿宋_GB2312"/>
          <w:color w:val="auto"/>
          <w:kern w:val="2"/>
          <w:sz w:val="32"/>
          <w:szCs w:val="32"/>
          <w:highlight w:val="none"/>
          <w:lang w:val="en-US" w:eastAsia="zh-CN" w:bidi="ar-SA"/>
        </w:rPr>
        <w:t>收入决算情况说明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_Toc13821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default" w:ascii="Times New Roman" w:hAnsi="Times New Roman" w:eastAsia="仿宋_GB2312" w:cs="仿宋_GB2312"/>
          <w:color w:val="auto"/>
          <w:kern w:val="2"/>
          <w:sz w:val="32"/>
          <w:szCs w:val="32"/>
          <w:highlight w:val="none"/>
          <w:lang w:val="en-US" w:eastAsia="zh-CN" w:bidi="ar-SA"/>
        </w:rPr>
        <w:t>三、</w:t>
      </w:r>
      <w:r>
        <w:rPr>
          <w:rFonts w:hint="eastAsia" w:ascii="Times New Roman" w:hAnsi="Times New Roman" w:eastAsia="仿宋_GB2312" w:cs="仿宋_GB2312"/>
          <w:color w:val="auto"/>
          <w:kern w:val="2"/>
          <w:sz w:val="32"/>
          <w:szCs w:val="32"/>
          <w:highlight w:val="none"/>
          <w:lang w:val="en-US" w:eastAsia="zh-CN" w:bidi="ar-SA"/>
        </w:rPr>
        <w:t>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_Toc26955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default" w:ascii="Times New Roman" w:hAnsi="Times New Roman" w:eastAsia="仿宋_GB2312" w:cs="仿宋_GB2312"/>
          <w:color w:val="auto"/>
          <w:kern w:val="2"/>
          <w:sz w:val="32"/>
          <w:szCs w:val="32"/>
          <w:highlight w:val="none"/>
          <w:lang w:val="en-US" w:eastAsia="zh-CN" w:bidi="ar-SA"/>
        </w:rPr>
        <w:t>四、</w:t>
      </w:r>
      <w:r>
        <w:rPr>
          <w:rFonts w:hint="eastAsia" w:ascii="Times New Roman" w:hAnsi="Times New Roman" w:eastAsia="仿宋_GB2312" w:cs="仿宋_GB2312"/>
          <w:color w:val="auto"/>
          <w:kern w:val="2"/>
          <w:sz w:val="32"/>
          <w:szCs w:val="32"/>
          <w:highlight w:val="none"/>
          <w:lang w:val="en-US" w:eastAsia="zh-CN" w:bidi="ar-SA"/>
        </w:rPr>
        <w:t>财政拨款收入支出决算总体情况说明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_Toc28061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default" w:ascii="Times New Roman" w:hAnsi="Times New Roman" w:eastAsia="仿宋_GB2312" w:cs="仿宋_GB2312"/>
          <w:color w:val="auto"/>
          <w:kern w:val="2"/>
          <w:sz w:val="32"/>
          <w:szCs w:val="32"/>
          <w:highlight w:val="none"/>
          <w:lang w:val="en-US" w:eastAsia="zh-CN" w:bidi="ar-SA"/>
        </w:rPr>
        <w:t>五、</w:t>
      </w:r>
      <w:r>
        <w:rPr>
          <w:rFonts w:hint="eastAsia" w:ascii="Times New Roman" w:hAnsi="Times New Roman" w:eastAsia="仿宋_GB2312" w:cs="仿宋_GB2312"/>
          <w:color w:val="auto"/>
          <w:kern w:val="2"/>
          <w:sz w:val="32"/>
          <w:szCs w:val="32"/>
          <w:highlight w:val="none"/>
          <w:lang w:val="en-US" w:eastAsia="zh-CN" w:bidi="ar-SA"/>
        </w:rPr>
        <w:t>一般公共预算财政拨款支出决算情况说明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_Toc16163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六、一般公共预算财政拨款基本支出决算情况说明   </w:t>
      </w:r>
      <w:r>
        <w:rPr>
          <w:rFonts w:hint="eastAsia" w:ascii="Times New Roman" w:hAnsi="Times New Roman" w:eastAsia="仿宋_GB2312" w:cs="仿宋_GB2312"/>
          <w:color w:val="auto"/>
          <w:kern w:val="2"/>
          <w:sz w:val="32"/>
          <w:szCs w:val="32"/>
          <w:highlight w:val="none"/>
          <w:lang w:val="en-US" w:eastAsia="zh-CN" w:bidi="ar-SA"/>
        </w:rPr>
        <w:tab/>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_Toc17297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七、财政拨款“三公”经费支出决算情况说明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_Toc19958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八、 政府性基金预算支出决算情况说明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eastAsia="仿宋_GB2312" w:cs="仿宋_GB2312"/>
          <w:color w:val="auto"/>
          <w:kern w:val="2"/>
          <w:sz w:val="32"/>
          <w:szCs w:val="32"/>
          <w:highlight w:val="none"/>
          <w:lang w:val="en-US" w:eastAsia="zh-CN" w:bidi="ar-SA"/>
        </w:rPr>
        <w:t>0</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_Toc8110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九、 国有资本经营预算支出决算情况说明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default"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default" w:eastAsia="仿宋_GB2312" w:cs="仿宋_GB2312"/>
          <w:color w:val="auto"/>
          <w:kern w:val="2"/>
          <w:sz w:val="32"/>
          <w:szCs w:val="32"/>
          <w:highlight w:val="none"/>
          <w:lang w:val="en-US" w:eastAsia="zh-CN" w:bidi="ar-SA"/>
        </w:rPr>
        <w:t>0</w:t>
      </w:r>
    </w:p>
    <w:p>
      <w:pPr>
        <w:pStyle w:val="14"/>
        <w:tabs>
          <w:tab w:val="right" w:leader="dot" w:pos="8306"/>
        </w:tabs>
        <w:ind w:left="0" w:leftChars="0" w:firstLine="0" w:firstLineChars="0"/>
        <w:rPr>
          <w:rFonts w:hint="default" w:eastAsia="宋体"/>
          <w:lang w:val="en-US" w:eastAsia="zh-CN"/>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_Toc28671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 其他重要事项的情况说明</w:t>
      </w:r>
      <w:r>
        <w:rPr>
          <w:rFonts w:hint="eastAsia" w:ascii="Times New Roman" w:hAnsi="Times New Roman" w:eastAsia="仿宋_GB2312" w:cs="仿宋_GB2312"/>
          <w:color w:val="auto"/>
          <w:kern w:val="2"/>
          <w:sz w:val="32"/>
          <w:szCs w:val="32"/>
          <w:highlight w:val="none"/>
          <w:lang w:val="en-US" w:eastAsia="zh-CN" w:bidi="ar-SA"/>
        </w:rPr>
        <w:tab/>
      </w:r>
      <w:r>
        <w:rPr>
          <w:rFonts w:hint="default"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default" w:eastAsia="仿宋_GB2312" w:cs="仿宋_GB2312"/>
          <w:color w:val="auto"/>
          <w:kern w:val="2"/>
          <w:sz w:val="32"/>
          <w:szCs w:val="32"/>
          <w:highlight w:val="none"/>
          <w:lang w:val="en-US" w:eastAsia="zh-CN" w:bidi="ar-SA"/>
        </w:rPr>
        <w:t>0</w:t>
      </w:r>
    </w:p>
    <w:p>
      <w:pPr>
        <w:pStyle w:val="13"/>
        <w:tabs>
          <w:tab w:val="right" w:leader="dot" w:pos="8306"/>
        </w:tabs>
        <w:rPr>
          <w:rFonts w:hint="eastAsia" w:ascii="Times New Roman" w:hAnsi="Times New Roman" w:eastAsia="黑体" w:cs="黑体"/>
          <w:b w:val="0"/>
          <w:bCs w:val="0"/>
          <w:caps w:val="0"/>
          <w:color w:val="auto"/>
          <w:kern w:val="2"/>
          <w:sz w:val="32"/>
          <w:szCs w:val="32"/>
          <w:highlight w:val="none"/>
          <w:lang w:val="en-US" w:eastAsia="zh-CN" w:bidi="ar-SA"/>
        </w:rPr>
      </w:pPr>
      <w:r>
        <w:rPr>
          <w:rFonts w:hint="eastAsia" w:ascii="Times New Roman" w:hAnsi="Times New Roman" w:eastAsia="黑体" w:cs="黑体"/>
          <w:b w:val="0"/>
          <w:bCs w:val="0"/>
          <w:caps w:val="0"/>
          <w:color w:val="auto"/>
          <w:kern w:val="2"/>
          <w:sz w:val="32"/>
          <w:szCs w:val="32"/>
          <w:highlight w:val="none"/>
          <w:lang w:val="en-US" w:eastAsia="zh-CN" w:bidi="ar-SA"/>
        </w:rPr>
        <w:fldChar w:fldCharType="begin"/>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_Toc9750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第三部分 名词解释</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t>1</w:t>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r>
        <w:rPr>
          <w:rFonts w:hint="eastAsia" w:eastAsia="黑体" w:cs="黑体"/>
          <w:b w:val="0"/>
          <w:bCs w:val="0"/>
          <w:caps w:val="0"/>
          <w:color w:val="auto"/>
          <w:kern w:val="2"/>
          <w:sz w:val="32"/>
          <w:szCs w:val="32"/>
          <w:highlight w:val="none"/>
          <w:lang w:val="en-US" w:eastAsia="zh-CN" w:bidi="ar-SA"/>
        </w:rPr>
        <w:t>2</w:t>
      </w:r>
    </w:p>
    <w:p>
      <w:pPr>
        <w:pStyle w:val="13"/>
        <w:tabs>
          <w:tab w:val="right" w:leader="dot" w:pos="8306"/>
        </w:tabs>
        <w:rPr>
          <w:rFonts w:hint="default" w:ascii="Times New Roman" w:hAnsi="Times New Roman" w:eastAsia="黑体" w:cs="黑体"/>
          <w:b w:val="0"/>
          <w:bCs w:val="0"/>
          <w:caps w:val="0"/>
          <w:color w:val="auto"/>
          <w:kern w:val="2"/>
          <w:sz w:val="32"/>
          <w:szCs w:val="32"/>
          <w:highlight w:val="none"/>
          <w:lang w:val="en-US" w:eastAsia="zh-CN" w:bidi="ar-SA"/>
        </w:rPr>
      </w:pPr>
      <w:r>
        <w:rPr>
          <w:rFonts w:hint="eastAsia" w:ascii="Times New Roman" w:hAnsi="Times New Roman" w:eastAsia="黑体" w:cs="黑体"/>
          <w:b w:val="0"/>
          <w:bCs w:val="0"/>
          <w:caps w:val="0"/>
          <w:color w:val="auto"/>
          <w:kern w:val="2"/>
          <w:sz w:val="32"/>
          <w:szCs w:val="32"/>
          <w:highlight w:val="none"/>
          <w:lang w:val="en-US" w:eastAsia="zh-CN" w:bidi="ar-SA"/>
        </w:rPr>
        <w:fldChar w:fldCharType="begin"/>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_Toc26719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第四部分 附表</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r>
        <w:rPr>
          <w:rFonts w:hint="eastAsia" w:ascii="Times New Roman" w:hAnsi="Times New Roman" w:eastAsia="黑体" w:cs="黑体"/>
          <w:b w:val="0"/>
          <w:bCs w:val="0"/>
          <w:caps w:val="0"/>
          <w:color w:val="auto"/>
          <w:kern w:val="2"/>
          <w:sz w:val="32"/>
          <w:szCs w:val="32"/>
          <w:highlight w:val="none"/>
          <w:lang w:val="en-US" w:eastAsia="zh-CN" w:bidi="ar-SA"/>
        </w:rPr>
        <w:t>1</w:t>
      </w:r>
      <w:r>
        <w:rPr>
          <w:rFonts w:hint="eastAsia" w:eastAsia="黑体" w:cs="黑体"/>
          <w:b w:val="0"/>
          <w:bCs w:val="0"/>
          <w:caps w:val="0"/>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_Toc9923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一、收入支出决算总表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_Toc775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二、收入决算表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_Toc29276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三、支出决算表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_Toc30892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四、财政拨款收入支出决算总表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_Toc1728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五、财政拨款支出决算明细表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_Toc24489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六、一般公共预算财政拨款支出决算表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_Toc22768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七、一般公共预算财政拨款支出决算明细表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_Toc30915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八、一般公共预算财政拨款基本支出决算表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_Toc28478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九、一般公共预算财政拨款项目支出决算表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_Toc24355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十、政府性基金预算财政拨款收入支出决算表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_Toc21988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十一、国有资本经营预算财政拨款收入支出决算表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_Toc7427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十二、国有资本经营预算财政拨款支出决算表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Style w:val="14"/>
        <w:tabs>
          <w:tab w:val="right" w:leader="dot" w:pos="8306"/>
        </w:tabs>
        <w:ind w:left="0" w:leftChars="0" w:firstLine="0" w:firstLineChars="0"/>
        <w:rPr>
          <w:rFonts w:hint="default"/>
          <w:lang w:val="en-US"/>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_Toc2422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十三、财政拨款“三公”经费支出决算表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p>
    <w:p>
      <w:pPr>
        <w:pageBreakBefore w:val="0"/>
        <w:kinsoku/>
        <w:wordWrap/>
        <w:overflowPunct/>
        <w:topLinePunct w:val="0"/>
        <w:bidi w:val="0"/>
        <w:spacing w:line="576" w:lineRule="exact"/>
        <w:textAlignment w:val="auto"/>
      </w:pPr>
      <w:r>
        <w:rPr>
          <w:b/>
        </w:rPr>
        <w:fldChar w:fldCharType="end"/>
      </w:r>
    </w:p>
    <w:p>
      <w:pPr>
        <w:pageBreakBefore w:val="0"/>
        <w:widowControl/>
        <w:kinsoku/>
        <w:wordWrap/>
        <w:overflowPunct/>
        <w:topLinePunct w:val="0"/>
        <w:bidi w:val="0"/>
        <w:adjustRightInd w:val="0"/>
        <w:snapToGrid w:val="0"/>
        <w:spacing w:line="576" w:lineRule="exact"/>
        <w:ind w:firstLine="1155" w:firstLineChars="550"/>
        <w:jc w:val="left"/>
        <w:textAlignment w:val="auto"/>
      </w:pPr>
      <w:r>
        <w:t> </w:t>
      </w:r>
      <w:bookmarkStart w:id="0" w:name="_Toc23324"/>
      <w:bookmarkStart w:id="1" w:name="_Toc2419"/>
    </w:p>
    <w:p>
      <w:pPr>
        <w:pStyle w:val="6"/>
      </w:pPr>
    </w:p>
    <w:p>
      <w:pPr>
        <w:pStyle w:val="6"/>
        <w:rPr>
          <w:rFonts w:hint="eastAsia"/>
        </w:rPr>
      </w:pPr>
    </w:p>
    <w:p>
      <w:pPr>
        <w:pStyle w:val="3"/>
        <w:keepNext/>
        <w:keepLines/>
        <w:pageBreakBefore w:val="0"/>
        <w:kinsoku/>
        <w:wordWrap/>
        <w:overflowPunct/>
        <w:topLinePunct w:val="0"/>
        <w:bidi w:val="0"/>
        <w:spacing w:before="340" w:beforeAutospacing="0" w:after="330" w:afterAutospacing="0" w:line="576" w:lineRule="exact"/>
        <w:jc w:val="center"/>
        <w:textAlignment w:val="auto"/>
        <w:outlineLvl w:val="0"/>
        <w:rPr>
          <w:rFonts w:hint="eastAsia" w:ascii="黑体" w:hAnsi="Times New Roman" w:eastAsia="黑体" w:cs="Times New Roman"/>
          <w:b w:val="0"/>
          <w:sz w:val="44"/>
          <w:szCs w:val="44"/>
          <w:lang w:bidi="ar-SA"/>
        </w:rPr>
      </w:pPr>
      <w:bookmarkStart w:id="2" w:name="_Toc17163"/>
    </w:p>
    <w:p>
      <w:pPr>
        <w:pStyle w:val="3"/>
        <w:keepNext/>
        <w:keepLines/>
        <w:pageBreakBefore w:val="0"/>
        <w:kinsoku/>
        <w:wordWrap/>
        <w:overflowPunct/>
        <w:topLinePunct w:val="0"/>
        <w:bidi w:val="0"/>
        <w:spacing w:before="340" w:beforeAutospacing="0" w:after="330" w:afterAutospacing="0" w:line="576" w:lineRule="exact"/>
        <w:jc w:val="center"/>
        <w:textAlignment w:val="auto"/>
        <w:outlineLvl w:val="0"/>
        <w:rPr>
          <w:rFonts w:hint="eastAsia" w:ascii="黑体" w:hAnsi="Times New Roman" w:eastAsia="黑体" w:cs="Times New Roman"/>
          <w:b w:val="0"/>
          <w:sz w:val="44"/>
          <w:szCs w:val="44"/>
          <w:lang w:bidi="ar-SA"/>
        </w:rPr>
      </w:pPr>
    </w:p>
    <w:p>
      <w:pPr>
        <w:pStyle w:val="3"/>
        <w:keepNext/>
        <w:keepLines/>
        <w:pageBreakBefore w:val="0"/>
        <w:kinsoku/>
        <w:wordWrap/>
        <w:overflowPunct/>
        <w:topLinePunct w:val="0"/>
        <w:bidi w:val="0"/>
        <w:spacing w:before="340" w:beforeAutospacing="0" w:after="330" w:afterAutospacing="0" w:line="576" w:lineRule="exact"/>
        <w:jc w:val="both"/>
        <w:textAlignment w:val="auto"/>
        <w:outlineLvl w:val="0"/>
        <w:rPr>
          <w:rFonts w:hint="eastAsia" w:ascii="黑体" w:hAnsi="Times New Roman" w:eastAsia="黑体" w:cs="Times New Roman"/>
          <w:b w:val="0"/>
          <w:sz w:val="44"/>
          <w:szCs w:val="44"/>
          <w:lang w:bidi="ar-S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pStyle w:val="3"/>
        <w:keepNext/>
        <w:keepLines/>
        <w:spacing w:before="340" w:beforeAutospacing="0" w:after="330" w:afterAutospacing="0" w:line="578" w:lineRule="auto"/>
        <w:jc w:val="center"/>
        <w:rPr>
          <w:rFonts w:hint="eastAsia" w:ascii="Times New Roman" w:hAnsi="Times New Roman" w:eastAsia="方正小标宋简体" w:cs="方正小标宋简体"/>
          <w:b w:val="0"/>
          <w:bCs/>
          <w:color w:val="auto"/>
          <w:sz w:val="44"/>
          <w:szCs w:val="44"/>
          <w:highlight w:val="none"/>
          <w:lang w:eastAsia="zh-CN" w:bidi="ar-SA"/>
        </w:rPr>
      </w:pPr>
      <w:r>
        <w:rPr>
          <w:rFonts w:hint="eastAsia" w:ascii="Times New Roman" w:hAnsi="Times New Roman" w:eastAsia="方正小标宋简体" w:cs="方正小标宋简体"/>
          <w:b w:val="0"/>
          <w:color w:val="auto"/>
          <w:sz w:val="44"/>
          <w:szCs w:val="44"/>
          <w:highlight w:val="none"/>
          <w:lang w:eastAsia="zh-CN" w:bidi="ar-SA"/>
        </w:rPr>
        <w:t>第一部分 单位概况</w:t>
      </w:r>
      <w:bookmarkEnd w:id="0"/>
      <w:bookmarkEnd w:id="1"/>
      <w:bookmarkEnd w:id="2"/>
    </w:p>
    <w:p>
      <w:pPr>
        <w:pStyle w:val="4"/>
        <w:keepNext/>
        <w:keepLines/>
        <w:pageBreakBefore w:val="0"/>
        <w:widowControl w:val="0"/>
        <w:kinsoku/>
        <w:wordWrap/>
        <w:overflowPunct/>
        <w:topLinePunct w:val="0"/>
        <w:autoSpaceDE/>
        <w:autoSpaceDN/>
        <w:bidi w:val="0"/>
        <w:adjustRightInd/>
        <w:snapToGrid w:val="0"/>
        <w:spacing w:before="260" w:beforeAutospacing="0" w:after="260" w:afterAutospacing="0" w:line="240" w:lineRule="auto"/>
        <w:jc w:val="both"/>
        <w:textAlignment w:val="auto"/>
        <w:rPr>
          <w:rFonts w:hint="eastAsia" w:ascii="Times New Roman" w:hAnsi="Times New Roman" w:eastAsia="黑体" w:cs="Times New Roman"/>
          <w:b w:val="0"/>
          <w:color w:val="auto"/>
          <w:kern w:val="2"/>
          <w:sz w:val="32"/>
          <w:szCs w:val="32"/>
          <w:highlight w:val="none"/>
          <w:lang w:bidi="ar-SA"/>
        </w:rPr>
      </w:pPr>
      <w:bookmarkStart w:id="3" w:name="_Toc15510"/>
      <w:bookmarkStart w:id="4" w:name="_Toc28981"/>
      <w:bookmarkStart w:id="5" w:name="_Toc14656"/>
      <w:r>
        <w:rPr>
          <w:rFonts w:hint="eastAsia" w:ascii="Times New Roman" w:hAnsi="Times New Roman" w:eastAsia="黑体" w:cs="Times New Roman"/>
          <w:b w:val="0"/>
          <w:color w:val="auto"/>
          <w:kern w:val="2"/>
          <w:sz w:val="32"/>
          <w:szCs w:val="32"/>
          <w:highlight w:val="none"/>
          <w:lang w:bidi="ar-SA"/>
        </w:rPr>
        <w:t>一、主要职责</w:t>
      </w:r>
      <w:bookmarkEnd w:id="3"/>
      <w:bookmarkEnd w:id="4"/>
      <w:bookmarkEnd w:id="5"/>
    </w:p>
    <w:p>
      <w:pPr>
        <w:pageBreakBefore w:val="0"/>
        <w:widowControl w:val="0"/>
        <w:kinsoku/>
        <w:wordWrap/>
        <w:overflowPunct/>
        <w:topLinePunct w:val="0"/>
        <w:autoSpaceDE/>
        <w:autoSpaceDN/>
        <w:bidi w:val="0"/>
        <w:adjustRightInd/>
        <w:snapToGrid w:val="0"/>
        <w:spacing w:line="240" w:lineRule="auto"/>
        <w:ind w:firstLine="800" w:firstLineChars="25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贯彻落实国家基本公共卫生政策；负责开展家庭医生签约服务工作；负责卫生领域的乡村振兴工作；完成局交办的其他工作。</w:t>
      </w:r>
    </w:p>
    <w:p>
      <w:pPr>
        <w:pStyle w:val="4"/>
        <w:keepNext/>
        <w:keepLines/>
        <w:pageBreakBefore w:val="0"/>
        <w:widowControl w:val="0"/>
        <w:kinsoku/>
        <w:wordWrap/>
        <w:overflowPunct/>
        <w:topLinePunct w:val="0"/>
        <w:autoSpaceDE/>
        <w:autoSpaceDN/>
        <w:bidi w:val="0"/>
        <w:adjustRightInd/>
        <w:snapToGrid w:val="0"/>
        <w:spacing w:before="260" w:beforeAutospacing="0" w:after="260" w:afterAutospacing="0" w:line="240" w:lineRule="auto"/>
        <w:jc w:val="both"/>
        <w:textAlignment w:val="auto"/>
        <w:rPr>
          <w:rFonts w:hint="eastAsia" w:ascii="Times New Roman" w:hAnsi="Times New Roman" w:eastAsia="黑体" w:cs="Times New Roman"/>
          <w:b w:val="0"/>
          <w:color w:val="auto"/>
          <w:kern w:val="2"/>
          <w:sz w:val="32"/>
          <w:szCs w:val="32"/>
          <w:highlight w:val="none"/>
          <w:lang w:bidi="ar-SA"/>
        </w:rPr>
      </w:pPr>
      <w:bookmarkStart w:id="6" w:name="_Toc10669"/>
      <w:bookmarkStart w:id="7" w:name="_Toc7625"/>
      <w:bookmarkStart w:id="8" w:name="_Toc19708"/>
      <w:r>
        <w:rPr>
          <w:rFonts w:hint="eastAsia" w:ascii="Times New Roman" w:hAnsi="Times New Roman" w:eastAsia="黑体" w:cs="Times New Roman"/>
          <w:b w:val="0"/>
          <w:color w:val="auto"/>
          <w:kern w:val="2"/>
          <w:sz w:val="32"/>
          <w:szCs w:val="32"/>
          <w:highlight w:val="none"/>
          <w:lang w:bidi="ar-SA"/>
        </w:rPr>
        <w:t>二、机构设置</w:t>
      </w:r>
      <w:bookmarkEnd w:id="6"/>
      <w:bookmarkEnd w:id="7"/>
      <w:bookmarkEnd w:id="8"/>
    </w:p>
    <w:p>
      <w:pPr>
        <w:ind w:firstLine="800" w:firstLineChars="250"/>
        <w:rPr>
          <w:rFonts w:eastAsia="仿宋_GB2312" w:cs="仿宋_GB2312"/>
          <w:sz w:val="32"/>
          <w:szCs w:val="32"/>
        </w:rPr>
      </w:pPr>
      <w:r>
        <w:rPr>
          <w:rFonts w:hint="eastAsia" w:ascii="仿宋_GB2312" w:hAnsi="仿宋_GB2312" w:eastAsia="仿宋_GB2312" w:cs="仿宋_GB2312"/>
          <w:b w:val="0"/>
          <w:bCs w:val="0"/>
          <w:color w:val="auto"/>
          <w:kern w:val="2"/>
          <w:sz w:val="32"/>
          <w:szCs w:val="32"/>
          <w:highlight w:val="none"/>
          <w:lang w:val="en-US" w:eastAsia="zh-CN" w:bidi="ar-SA"/>
        </w:rPr>
        <w:t>茂县医药卫生体制改革办公室</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pPr>
        <w:pStyle w:val="4"/>
        <w:keepNext/>
        <w:keepLines/>
        <w:pageBreakBefore w:val="0"/>
        <w:widowControl w:val="0"/>
        <w:kinsoku/>
        <w:wordWrap/>
        <w:overflowPunct/>
        <w:topLinePunct w:val="0"/>
        <w:autoSpaceDE/>
        <w:autoSpaceDN/>
        <w:bidi w:val="0"/>
        <w:adjustRightInd/>
        <w:snapToGrid w:val="0"/>
        <w:spacing w:before="260" w:beforeAutospacing="0" w:after="260" w:afterAutospacing="0" w:line="240" w:lineRule="auto"/>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p>
    <w:p>
      <w:pPr>
        <w:pStyle w:val="10"/>
        <w:keepNext w:val="0"/>
        <w:keepLines w:val="0"/>
        <w:pageBreakBefore w:val="0"/>
        <w:widowControl/>
        <w:suppressLineNumbers w:val="0"/>
        <w:kinsoku/>
        <w:wordWrap/>
        <w:overflowPunct/>
        <w:topLinePunct w:val="0"/>
        <w:bidi w:val="0"/>
        <w:spacing w:line="576" w:lineRule="exact"/>
        <w:textAlignment w:val="auto"/>
      </w:pPr>
    </w:p>
    <w:p>
      <w:pPr>
        <w:pStyle w:val="10"/>
        <w:keepNext w:val="0"/>
        <w:keepLines w:val="0"/>
        <w:pageBreakBefore w:val="0"/>
        <w:widowControl/>
        <w:suppressLineNumbers w:val="0"/>
        <w:kinsoku/>
        <w:wordWrap/>
        <w:overflowPunct/>
        <w:topLinePunct w:val="0"/>
        <w:bidi w:val="0"/>
        <w:spacing w:line="576" w:lineRule="exact"/>
        <w:textAlignment w:val="auto"/>
      </w:pPr>
    </w:p>
    <w:p>
      <w:pPr>
        <w:pStyle w:val="10"/>
        <w:keepNext w:val="0"/>
        <w:keepLines w:val="0"/>
        <w:pageBreakBefore w:val="0"/>
        <w:widowControl/>
        <w:suppressLineNumbers w:val="0"/>
        <w:kinsoku/>
        <w:wordWrap/>
        <w:overflowPunct/>
        <w:topLinePunct w:val="0"/>
        <w:bidi w:val="0"/>
        <w:spacing w:line="576" w:lineRule="exact"/>
        <w:textAlignment w:val="auto"/>
      </w:pPr>
    </w:p>
    <w:p>
      <w:pPr>
        <w:pStyle w:val="10"/>
        <w:keepNext w:val="0"/>
        <w:keepLines w:val="0"/>
        <w:pageBreakBefore w:val="0"/>
        <w:widowControl/>
        <w:suppressLineNumbers w:val="0"/>
        <w:kinsoku/>
        <w:wordWrap/>
        <w:overflowPunct/>
        <w:topLinePunct w:val="0"/>
        <w:bidi w:val="0"/>
        <w:spacing w:line="576" w:lineRule="exact"/>
        <w:textAlignment w:val="auto"/>
      </w:pPr>
    </w:p>
    <w:p>
      <w:pPr>
        <w:pStyle w:val="10"/>
        <w:keepNext w:val="0"/>
        <w:keepLines w:val="0"/>
        <w:pageBreakBefore w:val="0"/>
        <w:widowControl/>
        <w:suppressLineNumbers w:val="0"/>
        <w:kinsoku/>
        <w:wordWrap/>
        <w:overflowPunct/>
        <w:topLinePunct w:val="0"/>
        <w:bidi w:val="0"/>
        <w:spacing w:line="576" w:lineRule="exact"/>
        <w:textAlignment w:val="auto"/>
      </w:pPr>
    </w:p>
    <w:p>
      <w:pPr>
        <w:pStyle w:val="10"/>
        <w:keepNext w:val="0"/>
        <w:keepLines w:val="0"/>
        <w:pageBreakBefore w:val="0"/>
        <w:widowControl/>
        <w:suppressLineNumbers w:val="0"/>
        <w:kinsoku/>
        <w:wordWrap/>
        <w:overflowPunct/>
        <w:topLinePunct w:val="0"/>
        <w:bidi w:val="0"/>
        <w:spacing w:line="576" w:lineRule="exact"/>
        <w:textAlignment w:val="auto"/>
      </w:pPr>
    </w:p>
    <w:p>
      <w:pPr>
        <w:pStyle w:val="10"/>
        <w:keepNext w:val="0"/>
        <w:keepLines w:val="0"/>
        <w:pageBreakBefore w:val="0"/>
        <w:widowControl/>
        <w:suppressLineNumbers w:val="0"/>
        <w:kinsoku/>
        <w:wordWrap/>
        <w:overflowPunct/>
        <w:topLinePunct w:val="0"/>
        <w:bidi w:val="0"/>
        <w:spacing w:line="576" w:lineRule="exact"/>
        <w:textAlignment w:val="auto"/>
      </w:pPr>
    </w:p>
    <w:p>
      <w:pPr>
        <w:bidi w:val="0"/>
        <w:rPr>
          <w:rFonts w:hint="eastAsia" w:ascii="Times New Roman" w:hAnsi="Times New Roman" w:eastAsia="方正小标宋简体" w:cs="方正小标宋简体"/>
          <w:b w:val="0"/>
          <w:bCs/>
          <w:color w:val="auto"/>
          <w:sz w:val="44"/>
          <w:szCs w:val="44"/>
          <w:highlight w:val="none"/>
          <w:lang w:eastAsia="zh-CN" w:bidi="ar-SA"/>
        </w:rPr>
      </w:pPr>
      <w:bookmarkStart w:id="9" w:name="_Toc26951"/>
      <w:bookmarkStart w:id="10" w:name="_Toc20110"/>
      <w:bookmarkStart w:id="11" w:name="_Toc22409"/>
    </w:p>
    <w:p>
      <w:pPr>
        <w:bidi w:val="0"/>
        <w:rPr>
          <w:rFonts w:hint="eastAsia" w:ascii="Times New Roman" w:hAnsi="Times New Roman" w:eastAsia="方正小标宋简体" w:cs="方正小标宋简体"/>
          <w:b w:val="0"/>
          <w:bCs/>
          <w:color w:val="auto"/>
          <w:sz w:val="44"/>
          <w:szCs w:val="44"/>
          <w:highlight w:val="none"/>
          <w:lang w:eastAsia="zh-CN" w:bidi="ar-SA"/>
        </w:rPr>
      </w:pPr>
    </w:p>
    <w:p>
      <w:pPr>
        <w:pageBreakBefore w:val="0"/>
        <w:widowControl w:val="0"/>
        <w:numPr>
          <w:ilvl w:val="0"/>
          <w:numId w:val="1"/>
        </w:numPr>
        <w:kinsoku/>
        <w:wordWrap/>
        <w:overflowPunct/>
        <w:topLinePunct w:val="0"/>
        <w:autoSpaceDE/>
        <w:autoSpaceDN/>
        <w:bidi w:val="0"/>
        <w:adjustRightInd w:val="0"/>
        <w:snapToGrid w:val="0"/>
        <w:jc w:val="center"/>
        <w:textAlignment w:val="auto"/>
        <w:rPr>
          <w:rFonts w:hint="eastAsia" w:ascii="Times New Roman" w:hAnsi="Times New Roman" w:eastAsia="方正小标宋简体" w:cs="方正小标宋简体"/>
          <w:b w:val="0"/>
          <w:bCs/>
          <w:color w:val="auto"/>
          <w:kern w:val="44"/>
          <w:sz w:val="44"/>
          <w:szCs w:val="44"/>
          <w:highlight w:val="none"/>
          <w:lang w:val="en-US" w:eastAsia="zh-CN" w:bidi="ar-SA"/>
        </w:rPr>
      </w:pPr>
      <w:r>
        <w:rPr>
          <w:rFonts w:hint="eastAsia" w:ascii="Times New Roman" w:hAnsi="Times New Roman" w:eastAsia="方正小标宋简体" w:cs="方正小标宋简体"/>
          <w:b w:val="0"/>
          <w:bCs/>
          <w:color w:val="auto"/>
          <w:kern w:val="44"/>
          <w:sz w:val="44"/>
          <w:szCs w:val="44"/>
          <w:highlight w:val="none"/>
          <w:lang w:val="en-US" w:eastAsia="zh-CN" w:bidi="ar-SA"/>
        </w:rPr>
        <w:t>2025年度单位决算情况说明</w:t>
      </w:r>
      <w:bookmarkEnd w:id="9"/>
      <w:bookmarkEnd w:id="10"/>
      <w:bookmarkEnd w:id="11"/>
      <w:bookmarkStart w:id="12" w:name="_Toc24824"/>
      <w:bookmarkStart w:id="13" w:name="_Toc12554"/>
      <w:bookmarkStart w:id="14" w:name="_Toc32197"/>
    </w:p>
    <w:p>
      <w:pPr>
        <w:pStyle w:val="9"/>
        <w:numPr>
          <w:ilvl w:val="0"/>
          <w:numId w:val="0"/>
        </w:numPr>
        <w:rPr>
          <w:rFonts w:hint="eastAsia"/>
          <w:lang w:val="en-US" w:eastAsia="zh-CN"/>
        </w:rPr>
      </w:pPr>
    </w:p>
    <w:p>
      <w:pPr>
        <w:pStyle w:val="6"/>
        <w:rPr>
          <w:rFonts w:hint="eastAsia"/>
          <w:lang w:val="en-US" w:eastAsia="zh-CN"/>
        </w:rPr>
      </w:pPr>
    </w:p>
    <w:p>
      <w:pPr>
        <w:pageBreakBefore w:val="0"/>
        <w:widowControl w:val="0"/>
        <w:kinsoku/>
        <w:wordWrap/>
        <w:overflowPunct/>
        <w:topLinePunct w:val="0"/>
        <w:autoSpaceDE/>
        <w:autoSpaceDN/>
        <w:bidi w:val="0"/>
        <w:adjustRightInd w:val="0"/>
        <w:snapToGrid w:val="0"/>
        <w:ind w:firstLine="640" w:firstLineChars="200"/>
        <w:jc w:val="left"/>
        <w:textAlignment w:val="auto"/>
        <w:rPr>
          <w:rFonts w:hint="eastAsia" w:ascii="Times New Roman" w:hAnsi="Times New Roman" w:eastAsia="黑体" w:cs="Times New Roman"/>
          <w:b w:val="0"/>
          <w:color w:val="auto"/>
          <w:kern w:val="2"/>
          <w:sz w:val="32"/>
          <w:szCs w:val="32"/>
          <w:highlight w:val="none"/>
          <w:lang w:eastAsia="zh-CN" w:bidi="ar-SA"/>
        </w:rPr>
      </w:pPr>
      <w:r>
        <w:rPr>
          <w:rFonts w:hint="default" w:ascii="Times New Roman" w:hAnsi="Times New Roman" w:eastAsia="黑体" w:cs="Times New Roman"/>
          <w:b w:val="0"/>
          <w:color w:val="auto"/>
          <w:kern w:val="2"/>
          <w:sz w:val="32"/>
          <w:szCs w:val="32"/>
          <w:highlight w:val="none"/>
          <w:lang w:val="en-US" w:eastAsia="zh-CN" w:bidi="ar-SA"/>
        </w:rPr>
        <w:t>一、</w:t>
      </w:r>
      <w:r>
        <w:rPr>
          <w:rFonts w:hint="eastAsia" w:ascii="Times New Roman" w:hAnsi="Times New Roman" w:eastAsia="黑体" w:cs="Times New Roman"/>
          <w:b w:val="0"/>
          <w:color w:val="auto"/>
          <w:kern w:val="2"/>
          <w:sz w:val="32"/>
          <w:szCs w:val="32"/>
          <w:highlight w:val="none"/>
          <w:lang w:eastAsia="zh-CN" w:bidi="ar-SA"/>
        </w:rPr>
        <w:t>收入支出决算总体情况说明</w:t>
      </w:r>
      <w:bookmarkEnd w:id="12"/>
      <w:bookmarkEnd w:id="13"/>
      <w:bookmarkEnd w:id="14"/>
    </w:p>
    <w:p>
      <w:pPr>
        <w:pageBreakBefore w:val="0"/>
        <w:widowControl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2025年度收、支总计41.98万元。与2024年度相比，收、支总计各减少10.36万元，下降19.79%。主要变动原因是：人员变动。</w:t>
      </w:r>
    </w:p>
    <w:p>
      <w:pPr>
        <w:pStyle w:val="6"/>
        <w:rPr>
          <w:rFonts w:hint="eastAsia"/>
        </w:rPr>
      </w:pPr>
      <w:r>
        <w:drawing>
          <wp:inline distT="0" distB="0" distL="114300" distR="114300">
            <wp:extent cx="4572000" cy="2743200"/>
            <wp:effectExtent l="4445" t="4445" r="14605" b="14605"/>
            <wp:docPr id="1" name="图表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ageBreakBefore w:val="0"/>
        <w:kinsoku/>
        <w:wordWrap/>
        <w:overflowPunct/>
        <w:topLinePunct w:val="0"/>
        <w:bidi w:val="0"/>
        <w:spacing w:line="240" w:lineRule="auto"/>
        <w:ind w:firstLine="0" w:firstLineChars="0"/>
        <w:textAlignment w:val="auto"/>
      </w:pPr>
      <w:bookmarkStart w:id="15" w:name="_Toc6858"/>
      <w:bookmarkStart w:id="16" w:name="_Toc11583"/>
      <w:bookmarkStart w:id="17" w:name="_Toc5639"/>
    </w:p>
    <w:p>
      <w:pPr>
        <w:pageBreakBefore w:val="0"/>
        <w:kinsoku/>
        <w:wordWrap/>
        <w:overflowPunct/>
        <w:topLinePunct w:val="0"/>
        <w:bidi w:val="0"/>
        <w:spacing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r>
        <w:rPr>
          <w:rFonts w:hint="default" w:ascii="Times New Roman" w:hAnsi="Times New Roman" w:eastAsia="黑体" w:cs="Times New Roman"/>
          <w:b w:val="0"/>
          <w:color w:val="auto"/>
          <w:kern w:val="2"/>
          <w:sz w:val="32"/>
          <w:szCs w:val="32"/>
          <w:highlight w:val="none"/>
          <w:lang w:val="en-US" w:eastAsia="zh-CN" w:bidi="ar-SA"/>
        </w:rPr>
        <w:t>二、</w:t>
      </w:r>
      <w:r>
        <w:rPr>
          <w:rFonts w:hint="eastAsia" w:ascii="Times New Roman" w:hAnsi="Times New Roman" w:eastAsia="黑体" w:cs="Times New Roman"/>
          <w:b w:val="0"/>
          <w:color w:val="auto"/>
          <w:kern w:val="2"/>
          <w:sz w:val="32"/>
          <w:szCs w:val="32"/>
          <w:highlight w:val="none"/>
          <w:lang w:val="en-US" w:eastAsia="zh-CN" w:bidi="ar-SA"/>
        </w:rPr>
        <w:t>收入决算情况说明</w:t>
      </w:r>
      <w:bookmarkEnd w:id="15"/>
      <w:bookmarkEnd w:id="16"/>
      <w:bookmarkEnd w:id="17"/>
    </w:p>
    <w:p>
      <w:pPr>
        <w:pageBreakBefore w:val="0"/>
        <w:widowControl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2025年度本年收入合计41.98万元，其中：一般公共预算财政拨款收入41.98万元，占100%。</w:t>
      </w:r>
    </w:p>
    <w:p>
      <w:pPr>
        <w:pageBreakBefore w:val="0"/>
        <w:kinsoku/>
        <w:wordWrap/>
        <w:overflowPunct/>
        <w:topLinePunct w:val="0"/>
        <w:bidi w:val="0"/>
        <w:spacing w:line="240" w:lineRule="auto"/>
        <w:ind w:firstLine="420" w:firstLineChars="200"/>
        <w:textAlignment w:val="auto"/>
      </w:pPr>
      <w:r>
        <w:drawing>
          <wp:inline distT="0" distB="0" distL="114300" distR="114300">
            <wp:extent cx="4819650" cy="2743200"/>
            <wp:effectExtent l="4445" t="4445" r="14605" b="14605"/>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ageBreakBefore w:val="0"/>
        <w:kinsoku/>
        <w:wordWrap/>
        <w:overflowPunct/>
        <w:topLinePunct w:val="0"/>
        <w:bidi w:val="0"/>
        <w:spacing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bookmarkStart w:id="18" w:name="_Toc23777"/>
      <w:bookmarkStart w:id="19" w:name="_Toc18578"/>
      <w:bookmarkStart w:id="20" w:name="_Toc13821"/>
      <w:r>
        <w:rPr>
          <w:rFonts w:hint="default" w:ascii="Times New Roman" w:hAnsi="Times New Roman" w:eastAsia="黑体" w:cs="Times New Roman"/>
          <w:b w:val="0"/>
          <w:color w:val="auto"/>
          <w:kern w:val="2"/>
          <w:sz w:val="32"/>
          <w:szCs w:val="32"/>
          <w:highlight w:val="none"/>
          <w:lang w:val="en-US" w:eastAsia="zh-CN" w:bidi="ar-SA"/>
        </w:rPr>
        <w:t>三、</w:t>
      </w:r>
      <w:r>
        <w:rPr>
          <w:rFonts w:hint="eastAsia" w:ascii="Times New Roman" w:hAnsi="Times New Roman" w:eastAsia="黑体" w:cs="Times New Roman"/>
          <w:b w:val="0"/>
          <w:color w:val="auto"/>
          <w:kern w:val="2"/>
          <w:sz w:val="32"/>
          <w:szCs w:val="32"/>
          <w:highlight w:val="none"/>
          <w:lang w:val="en-US" w:eastAsia="zh-CN" w:bidi="ar-SA"/>
        </w:rPr>
        <w:t>支出决算情况说明</w:t>
      </w:r>
      <w:bookmarkEnd w:id="18"/>
      <w:bookmarkEnd w:id="19"/>
      <w:bookmarkEnd w:id="20"/>
    </w:p>
    <w:p>
      <w:pPr>
        <w:pageBreakBefore w:val="0"/>
        <w:widowControl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2025年度本年支出合计41.98万元，其中：基本支出41.98万元，占100%。</w:t>
      </w:r>
    </w:p>
    <w:p>
      <w:pPr>
        <w:pageBreakBefore w:val="0"/>
        <w:kinsoku/>
        <w:wordWrap/>
        <w:overflowPunct/>
        <w:topLinePunct w:val="0"/>
        <w:bidi w:val="0"/>
        <w:spacing w:line="240" w:lineRule="auto"/>
        <w:ind w:firstLine="420" w:firstLineChars="200"/>
        <w:textAlignment w:val="auto"/>
      </w:pPr>
      <w:r>
        <w:drawing>
          <wp:inline distT="0" distB="0" distL="114300" distR="114300">
            <wp:extent cx="4819650" cy="2743200"/>
            <wp:effectExtent l="4445" t="4445" r="14605" b="14605"/>
            <wp:docPr id="3"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ageBreakBefore w:val="0"/>
        <w:kinsoku/>
        <w:wordWrap/>
        <w:overflowPunct/>
        <w:topLinePunct w:val="0"/>
        <w:bidi w:val="0"/>
        <w:spacing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bookmarkStart w:id="21" w:name="_Toc26955"/>
      <w:bookmarkStart w:id="22" w:name="_Toc5490"/>
      <w:bookmarkStart w:id="23" w:name="_Toc26488"/>
      <w:r>
        <w:rPr>
          <w:rFonts w:hint="default" w:ascii="Times New Roman" w:hAnsi="Times New Roman" w:eastAsia="黑体" w:cs="Times New Roman"/>
          <w:b w:val="0"/>
          <w:color w:val="auto"/>
          <w:kern w:val="2"/>
          <w:sz w:val="32"/>
          <w:szCs w:val="32"/>
          <w:highlight w:val="none"/>
          <w:lang w:val="en-US" w:eastAsia="zh-CN" w:bidi="ar-SA"/>
        </w:rPr>
        <w:t>四、</w:t>
      </w:r>
      <w:r>
        <w:rPr>
          <w:rFonts w:hint="eastAsia" w:ascii="Times New Roman" w:hAnsi="Times New Roman" w:eastAsia="黑体" w:cs="Times New Roman"/>
          <w:b w:val="0"/>
          <w:color w:val="auto"/>
          <w:kern w:val="2"/>
          <w:sz w:val="32"/>
          <w:szCs w:val="32"/>
          <w:highlight w:val="none"/>
          <w:lang w:val="en-US" w:eastAsia="zh-CN" w:bidi="ar-SA"/>
        </w:rPr>
        <w:t>财政拨款收入支出决算总体情况说明</w:t>
      </w:r>
      <w:bookmarkEnd w:id="21"/>
      <w:bookmarkEnd w:id="22"/>
      <w:bookmarkEnd w:id="23"/>
    </w:p>
    <w:p>
      <w:pPr>
        <w:spacing w:line="600" w:lineRule="exact"/>
        <w:ind w:firstLine="640" w:firstLineChars="200"/>
        <w:rPr>
          <w:rFonts w:ascii="仿宋" w:hAnsi="Times New Roman" w:eastAsia="仿宋" w:cs="Times New Roman"/>
          <w:color w:val="FF0000"/>
          <w:sz w:val="32"/>
          <w:szCs w:val="32"/>
          <w:highlight w:val="none"/>
          <w:lang w:val="en-US" w:eastAsia="zh-CN"/>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年度财政拨款收、支总计</w:t>
      </w:r>
      <w:r>
        <w:rPr>
          <w:rFonts w:hint="eastAsia" w:ascii="Times New Roman" w:hAnsi="Times New Roman" w:eastAsia="仿宋_GB2312" w:cs="仿宋_GB2312"/>
          <w:b w:val="0"/>
          <w:bCs w:val="0"/>
          <w:caps w:val="0"/>
          <w:color w:val="auto"/>
          <w:kern w:val="2"/>
          <w:sz w:val="32"/>
          <w:szCs w:val="32"/>
          <w:highlight w:val="none"/>
          <w:lang w:val="en-US" w:eastAsia="zh-CN" w:bidi="ar-SA"/>
        </w:rPr>
        <w:t>41.98</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Times New Roman" w:hAnsi="Times New Roman" w:eastAsia="仿宋_GB2312" w:cs="仿宋_GB2312"/>
          <w:b w:val="0"/>
          <w:bCs w:val="0"/>
          <w:caps w:val="0"/>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年度相比，财政拨款收、支总计各减少</w:t>
      </w:r>
      <w:r>
        <w:rPr>
          <w:rFonts w:hint="eastAsia" w:ascii="Times New Roman" w:hAnsi="Times New Roman" w:eastAsia="仿宋_GB2312" w:cs="仿宋_GB2312"/>
          <w:b w:val="0"/>
          <w:bCs w:val="0"/>
          <w:caps w:val="0"/>
          <w:color w:val="auto"/>
          <w:kern w:val="2"/>
          <w:sz w:val="32"/>
          <w:szCs w:val="32"/>
          <w:highlight w:val="none"/>
          <w:lang w:val="en-US" w:eastAsia="zh-CN" w:bidi="ar-SA"/>
        </w:rPr>
        <w:t>10.36</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Times New Roman" w:hAnsi="Times New Roman" w:eastAsia="仿宋_GB2312" w:cs="仿宋_GB2312"/>
          <w:b w:val="0"/>
          <w:bCs w:val="0"/>
          <w:caps w:val="0"/>
          <w:color w:val="auto"/>
          <w:kern w:val="2"/>
          <w:sz w:val="32"/>
          <w:szCs w:val="32"/>
          <w:highlight w:val="none"/>
          <w:lang w:val="en-US" w:eastAsia="zh-CN" w:bidi="ar-SA"/>
        </w:rPr>
        <w:t>19.79</w:t>
      </w:r>
      <w:r>
        <w:rPr>
          <w:rFonts w:hint="eastAsia" w:ascii="仿宋_GB2312" w:hAnsi="仿宋_GB2312" w:eastAsia="仿宋_GB2312" w:cs="仿宋_GB2312"/>
          <w:color w:val="auto"/>
          <w:kern w:val="2"/>
          <w:sz w:val="32"/>
          <w:szCs w:val="32"/>
          <w:highlight w:val="none"/>
          <w:lang w:val="en-US" w:eastAsia="zh-CN" w:bidi="ar-SA"/>
        </w:rPr>
        <w:t>%。主要变动原因是：人员变动。</w:t>
      </w:r>
    </w:p>
    <w:p>
      <w:pPr>
        <w:pageBreakBefore w:val="0"/>
        <w:kinsoku/>
        <w:wordWrap/>
        <w:overflowPunct/>
        <w:topLinePunct w:val="0"/>
        <w:bidi w:val="0"/>
        <w:spacing w:line="240" w:lineRule="auto"/>
        <w:ind w:firstLine="0" w:firstLineChars="0"/>
        <w:textAlignment w:val="auto"/>
        <w:rPr>
          <w:rFonts w:ascii="仿宋" w:hAnsi="Times New Roman" w:eastAsia="仿宋" w:cs="Times New Roman"/>
          <w:color w:val="FF0000"/>
          <w:sz w:val="32"/>
          <w:szCs w:val="32"/>
          <w:lang w:val="en-US" w:eastAsia="zh-CN"/>
        </w:rPr>
      </w:pPr>
      <w:r>
        <w:drawing>
          <wp:inline distT="0" distB="0" distL="114300" distR="114300">
            <wp:extent cx="4572000" cy="2743200"/>
            <wp:effectExtent l="4445" t="4445" r="14605" b="14605"/>
            <wp:docPr id="4" name="图表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ageBreakBefore w:val="0"/>
        <w:kinsoku/>
        <w:wordWrap/>
        <w:overflowPunct/>
        <w:topLinePunct w:val="0"/>
        <w:bidi w:val="0"/>
        <w:spacing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bookmarkStart w:id="24" w:name="_Toc28061"/>
      <w:bookmarkStart w:id="25" w:name="_Toc18133"/>
      <w:bookmarkStart w:id="26" w:name="_Toc5657"/>
      <w:r>
        <w:rPr>
          <w:rFonts w:hint="default" w:ascii="Times New Roman" w:hAnsi="Times New Roman" w:eastAsia="黑体" w:cs="Times New Roman"/>
          <w:b w:val="0"/>
          <w:color w:val="auto"/>
          <w:kern w:val="2"/>
          <w:sz w:val="32"/>
          <w:szCs w:val="32"/>
          <w:highlight w:val="none"/>
          <w:lang w:val="en-US" w:eastAsia="zh-CN" w:bidi="ar-SA"/>
        </w:rPr>
        <w:t>五、</w:t>
      </w:r>
      <w:r>
        <w:rPr>
          <w:rFonts w:hint="eastAsia" w:ascii="Times New Roman" w:hAnsi="Times New Roman" w:eastAsia="黑体" w:cs="Times New Roman"/>
          <w:b w:val="0"/>
          <w:color w:val="auto"/>
          <w:kern w:val="2"/>
          <w:sz w:val="32"/>
          <w:szCs w:val="32"/>
          <w:highlight w:val="none"/>
          <w:lang w:val="en-US" w:eastAsia="zh-CN" w:bidi="ar-SA"/>
        </w:rPr>
        <w:t>一般公共预算财政拨款支出决算情况说明</w:t>
      </w:r>
      <w:bookmarkEnd w:id="24"/>
      <w:bookmarkEnd w:id="25"/>
      <w:bookmarkEnd w:id="2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3691"/>
      <w:bookmarkStart w:id="28" w:name="_Toc23064"/>
      <w:r>
        <w:rPr>
          <w:rFonts w:hint="eastAsia" w:ascii="Times New Roman" w:hAnsi="Times New Roman" w:eastAsia="楷体_GB2312" w:cs="楷体_GB2312"/>
          <w:b/>
          <w:color w:val="auto"/>
          <w:sz w:val="32"/>
          <w:szCs w:val="32"/>
          <w:highlight w:val="none"/>
        </w:rPr>
        <w:t>（一）一般公共预算财政拨款支出决算总体情况</w:t>
      </w:r>
      <w:bookmarkEnd w:id="27"/>
      <w:bookmarkEnd w:id="28"/>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仿宋_GB2312"/>
          <w:b w:val="0"/>
          <w:bCs w:val="0"/>
          <w:caps w:val="0"/>
          <w:color w:val="auto"/>
          <w:kern w:val="2"/>
          <w:sz w:val="32"/>
          <w:szCs w:val="32"/>
          <w:highlight w:val="none"/>
          <w:lang w:val="en-US" w:eastAsia="zh-CN" w:bidi="ar-SA"/>
        </w:rPr>
        <w:t>41.98</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b w:val="0"/>
          <w:bCs w:val="0"/>
          <w:caps w:val="0"/>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年度相比，一般公共预算财政拨款支出减少</w:t>
      </w:r>
      <w:r>
        <w:rPr>
          <w:rFonts w:hint="eastAsia" w:ascii="Times New Roman" w:hAnsi="Times New Roman" w:eastAsia="仿宋_GB2312" w:cs="仿宋_GB2312"/>
          <w:b w:val="0"/>
          <w:bCs w:val="0"/>
          <w:caps w:val="0"/>
          <w:color w:val="auto"/>
          <w:kern w:val="2"/>
          <w:sz w:val="32"/>
          <w:szCs w:val="32"/>
          <w:highlight w:val="none"/>
          <w:lang w:val="en-US" w:eastAsia="zh-CN" w:bidi="ar-SA"/>
        </w:rPr>
        <w:t>10.36</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Times New Roman" w:hAnsi="Times New Roman" w:eastAsia="仿宋_GB2312" w:cs="仿宋_GB2312"/>
          <w:b w:val="0"/>
          <w:bCs w:val="0"/>
          <w:caps w:val="0"/>
          <w:color w:val="auto"/>
          <w:kern w:val="2"/>
          <w:sz w:val="32"/>
          <w:szCs w:val="32"/>
          <w:highlight w:val="none"/>
          <w:lang w:val="en-US" w:eastAsia="zh-CN" w:bidi="ar-SA"/>
        </w:rPr>
        <w:t>19.79</w:t>
      </w:r>
      <w:r>
        <w:rPr>
          <w:rFonts w:hint="eastAsia" w:ascii="仿宋_GB2312" w:hAnsi="仿宋_GB2312" w:eastAsia="仿宋_GB2312" w:cs="仿宋_GB2312"/>
          <w:color w:val="auto"/>
          <w:kern w:val="2"/>
          <w:sz w:val="32"/>
          <w:szCs w:val="32"/>
          <w:highlight w:val="none"/>
          <w:lang w:val="en-US" w:eastAsia="zh-CN" w:bidi="ar-SA"/>
        </w:rPr>
        <w:t>%。主要变动原因是：人员变动。</w:t>
      </w:r>
    </w:p>
    <w:p>
      <w:pPr>
        <w:pageBreakBefore w:val="0"/>
        <w:kinsoku/>
        <w:wordWrap/>
        <w:overflowPunct/>
        <w:topLinePunct w:val="0"/>
        <w:bidi w:val="0"/>
        <w:spacing w:line="240" w:lineRule="auto"/>
        <w:ind w:firstLine="0" w:firstLineChars="0"/>
        <w:textAlignment w:val="auto"/>
      </w:pPr>
      <w:r>
        <w:drawing>
          <wp:inline distT="0" distB="0" distL="114300" distR="114300">
            <wp:extent cx="4572000" cy="2743200"/>
            <wp:effectExtent l="4445" t="4445" r="14605" b="14605"/>
            <wp:docPr id="5" name="图表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9" w:name="_Toc26183"/>
      <w:bookmarkStart w:id="30" w:name="_Toc16376"/>
      <w:r>
        <w:rPr>
          <w:rFonts w:hint="eastAsia" w:ascii="Times New Roman" w:hAnsi="Times New Roman" w:eastAsia="楷体_GB2312" w:cs="楷体_GB2312"/>
          <w:b/>
          <w:color w:val="auto"/>
          <w:sz w:val="32"/>
          <w:szCs w:val="32"/>
          <w:highlight w:val="none"/>
          <w:lang w:val="en-US" w:eastAsia="zh-CN"/>
        </w:rPr>
        <w:t>（二）</w:t>
      </w:r>
      <w:r>
        <w:rPr>
          <w:rFonts w:hint="eastAsia" w:ascii="Times New Roman" w:hAnsi="Times New Roman" w:eastAsia="楷体_GB2312" w:cs="楷体_GB2312"/>
          <w:b/>
          <w:color w:val="auto"/>
          <w:sz w:val="32"/>
          <w:szCs w:val="32"/>
          <w:highlight w:val="none"/>
        </w:rPr>
        <w:t>一般公共预算财政拨款支出决算结构情况</w:t>
      </w:r>
      <w:bookmarkEnd w:id="29"/>
      <w:bookmarkEnd w:id="30"/>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仿宋_GB2312"/>
          <w:b w:val="0"/>
          <w:bCs w:val="0"/>
          <w:caps w:val="0"/>
          <w:color w:val="auto"/>
          <w:kern w:val="2"/>
          <w:sz w:val="32"/>
          <w:szCs w:val="32"/>
          <w:highlight w:val="none"/>
          <w:lang w:val="en-US" w:eastAsia="zh-CN" w:bidi="ar-SA"/>
        </w:rPr>
        <w:t>41.98</w:t>
      </w:r>
      <w:r>
        <w:rPr>
          <w:rFonts w:hint="eastAsia" w:ascii="仿宋_GB2312" w:hAnsi="仿宋_GB2312" w:eastAsia="仿宋_GB2312" w:cs="仿宋_GB2312"/>
          <w:color w:val="auto"/>
          <w:kern w:val="2"/>
          <w:sz w:val="32"/>
          <w:szCs w:val="32"/>
          <w:highlight w:val="none"/>
          <w:lang w:val="en-US" w:eastAsia="zh-CN" w:bidi="ar-SA"/>
        </w:rPr>
        <w:t>万元，主要用于以下方面:社会保障和就业（类）支出</w:t>
      </w:r>
      <w:r>
        <w:rPr>
          <w:rFonts w:hint="eastAsia" w:ascii="Times New Roman" w:hAnsi="Times New Roman" w:eastAsia="仿宋_GB2312" w:cs="仿宋_GB2312"/>
          <w:b w:val="0"/>
          <w:bCs w:val="0"/>
          <w:caps w:val="0"/>
          <w:color w:val="auto"/>
          <w:kern w:val="2"/>
          <w:sz w:val="32"/>
          <w:szCs w:val="32"/>
          <w:highlight w:val="none"/>
          <w:lang w:val="en-US" w:eastAsia="zh-CN" w:bidi="ar-SA"/>
        </w:rPr>
        <w:t>1.82</w:t>
      </w:r>
      <w:r>
        <w:rPr>
          <w:rFonts w:hint="eastAsia" w:ascii="仿宋_GB2312" w:hAnsi="仿宋_GB2312" w:eastAsia="仿宋_GB2312" w:cs="仿宋_GB2312"/>
          <w:color w:val="auto"/>
          <w:kern w:val="2"/>
          <w:sz w:val="32"/>
          <w:szCs w:val="32"/>
          <w:highlight w:val="none"/>
          <w:lang w:val="en-US" w:eastAsia="zh-CN" w:bidi="ar-SA"/>
        </w:rPr>
        <w:t>万元，占4.34%；卫生健康支出</w:t>
      </w:r>
      <w:r>
        <w:rPr>
          <w:rFonts w:hint="eastAsia" w:ascii="Times New Roman" w:hAnsi="Times New Roman" w:eastAsia="仿宋_GB2312" w:cs="仿宋_GB2312"/>
          <w:b w:val="0"/>
          <w:bCs w:val="0"/>
          <w:caps w:val="0"/>
          <w:color w:val="auto"/>
          <w:kern w:val="2"/>
          <w:sz w:val="32"/>
          <w:szCs w:val="32"/>
          <w:highlight w:val="none"/>
          <w:lang w:val="en-US" w:eastAsia="zh-CN" w:bidi="ar-SA"/>
        </w:rPr>
        <w:t>36.65</w:t>
      </w:r>
      <w:r>
        <w:rPr>
          <w:rFonts w:hint="eastAsia" w:ascii="仿宋_GB2312" w:hAnsi="仿宋_GB2312" w:eastAsia="仿宋_GB2312" w:cs="仿宋_GB2312"/>
          <w:color w:val="auto"/>
          <w:kern w:val="2"/>
          <w:sz w:val="32"/>
          <w:szCs w:val="32"/>
          <w:highlight w:val="none"/>
          <w:lang w:val="en-US" w:eastAsia="zh-CN" w:bidi="ar-SA"/>
        </w:rPr>
        <w:t>万元，占</w:t>
      </w:r>
      <w:r>
        <w:rPr>
          <w:rFonts w:hint="eastAsia" w:ascii="Times New Roman" w:hAnsi="Times New Roman" w:eastAsia="仿宋_GB2312" w:cs="仿宋_GB2312"/>
          <w:b w:val="0"/>
          <w:bCs w:val="0"/>
          <w:caps w:val="0"/>
          <w:color w:val="auto"/>
          <w:kern w:val="2"/>
          <w:sz w:val="32"/>
          <w:szCs w:val="32"/>
          <w:highlight w:val="none"/>
          <w:lang w:val="en-US" w:eastAsia="zh-CN" w:bidi="ar-SA"/>
        </w:rPr>
        <w:t>87.3</w:t>
      </w:r>
      <w:r>
        <w:rPr>
          <w:rFonts w:hint="eastAsia" w:ascii="仿宋_GB2312" w:hAnsi="仿宋_GB2312"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b w:val="0"/>
          <w:bCs w:val="0"/>
          <w:caps w:val="0"/>
          <w:color w:val="auto"/>
          <w:kern w:val="2"/>
          <w:sz w:val="32"/>
          <w:szCs w:val="32"/>
          <w:highlight w:val="none"/>
          <w:lang w:val="en-US" w:eastAsia="zh-CN" w:bidi="ar-SA"/>
        </w:rPr>
        <w:t>3.51</w:t>
      </w:r>
      <w:r>
        <w:rPr>
          <w:rFonts w:hint="eastAsia" w:ascii="仿宋_GB2312" w:hAnsi="仿宋_GB2312" w:eastAsia="仿宋_GB2312" w:cs="仿宋_GB2312"/>
          <w:color w:val="auto"/>
          <w:kern w:val="2"/>
          <w:sz w:val="32"/>
          <w:szCs w:val="32"/>
          <w:highlight w:val="none"/>
          <w:lang w:val="en-US" w:eastAsia="zh-CN" w:bidi="ar-SA"/>
        </w:rPr>
        <w:t>万元，占</w:t>
      </w:r>
      <w:r>
        <w:rPr>
          <w:rFonts w:hint="eastAsia" w:ascii="Times New Roman" w:hAnsi="Times New Roman" w:eastAsia="仿宋_GB2312" w:cs="仿宋_GB2312"/>
          <w:b w:val="0"/>
          <w:bCs w:val="0"/>
          <w:caps w:val="0"/>
          <w:color w:val="auto"/>
          <w:kern w:val="2"/>
          <w:sz w:val="32"/>
          <w:szCs w:val="32"/>
          <w:highlight w:val="none"/>
          <w:lang w:val="en-US" w:eastAsia="zh-CN" w:bidi="ar-SA"/>
        </w:rPr>
        <w:t>8.36</w:t>
      </w:r>
      <w:r>
        <w:rPr>
          <w:rFonts w:hint="eastAsia" w:ascii="仿宋_GB2312" w:hAnsi="仿宋_GB2312" w:eastAsia="仿宋_GB2312" w:cs="仿宋_GB2312"/>
          <w:color w:val="auto"/>
          <w:kern w:val="2"/>
          <w:sz w:val="32"/>
          <w:szCs w:val="32"/>
          <w:highlight w:val="none"/>
          <w:lang w:val="en-US" w:eastAsia="zh-CN" w:bidi="ar-SA"/>
        </w:rPr>
        <w:t>%。</w:t>
      </w:r>
    </w:p>
    <w:p>
      <w:pPr>
        <w:pStyle w:val="10"/>
        <w:keepNext w:val="0"/>
        <w:keepLines w:val="0"/>
        <w:pageBreakBefore w:val="0"/>
        <w:widowControl/>
        <w:suppressLineNumbers w:val="0"/>
        <w:kinsoku/>
        <w:wordWrap/>
        <w:overflowPunct/>
        <w:topLinePunct w:val="0"/>
        <w:bidi w:val="0"/>
        <w:spacing w:before="0" w:beforeAutospacing="0" w:after="0" w:afterAutospacing="0" w:line="240" w:lineRule="auto"/>
        <w:jc w:val="left"/>
        <w:textAlignment w:val="auto"/>
      </w:pPr>
      <w:r>
        <w:drawing>
          <wp:inline distT="0" distB="0" distL="114300" distR="114300">
            <wp:extent cx="4819650" cy="2743200"/>
            <wp:effectExtent l="4445" t="4445" r="14605" b="14605"/>
            <wp:docPr id="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bookmarkStart w:id="31" w:name="_Toc29675"/>
      <w:bookmarkStart w:id="32" w:name="_Toc11660"/>
      <w:r>
        <w:rPr>
          <w:rFonts w:hint="eastAsia" w:ascii="Times New Roman" w:hAnsi="Times New Roman" w:eastAsia="楷体_GB2312" w:cs="楷体_GB2312"/>
          <w:b/>
          <w:color w:val="auto"/>
          <w:sz w:val="32"/>
          <w:szCs w:val="32"/>
          <w:highlight w:val="none"/>
          <w:lang w:val="en-US" w:eastAsia="zh-CN"/>
        </w:rPr>
        <w:t>（三）一般公共预算财政拨款支出决算具体情况</w:t>
      </w:r>
      <w:bookmarkEnd w:id="31"/>
      <w:bookmarkEnd w:id="32"/>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年度一般公共预算支出决算数为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41.98</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%。其中：</w:t>
      </w:r>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1.社会保障和就业支出（类）行政事业单位养老支出（款）机关事业单位基本养老保险缴费支出（项）：</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1.21</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%，决算数与预算数持平。</w:t>
      </w:r>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2.社会保障和就业支出（类）行政事业单位养老支出（款）机关事业单位职业年金缴费支出（项）：</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0.61</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%，决算数与预算数持平。</w:t>
      </w:r>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3.卫生健康支出（类）行政事业单位医疗（款）行政单位医疗（项）：</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0.76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%，决算数与预算数持平。</w:t>
      </w:r>
    </w:p>
    <w:p>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4.卫生健康支出（类）卫生健康管理事务（款）其他卫生健康管理事务支出（项）：</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35.89</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%，决算数与预算数持平。</w:t>
      </w:r>
      <w:bookmarkStart w:id="33" w:name="_Toc17476"/>
      <w:bookmarkStart w:id="34" w:name="_Toc19624"/>
    </w:p>
    <w:p>
      <w:pPr>
        <w:spacing w:line="600" w:lineRule="exact"/>
        <w:ind w:firstLine="640" w:firstLineChars="200"/>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5.住房保障支出（类）住房改革支出（款）住房公积金（项）：</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3.51</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%，决算数与预算数持平。</w:t>
      </w:r>
    </w:p>
    <w:p>
      <w:pPr>
        <w:pageBreakBefore w:val="0"/>
        <w:kinsoku/>
        <w:wordWrap/>
        <w:overflowPunct/>
        <w:topLinePunct w:val="0"/>
        <w:bidi w:val="0"/>
        <w:spacing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bookmarkStart w:id="35" w:name="_Toc16163"/>
      <w:r>
        <w:rPr>
          <w:rFonts w:hint="eastAsia" w:ascii="Times New Roman" w:hAnsi="Times New Roman" w:eastAsia="黑体" w:cs="Times New Roman"/>
          <w:b w:val="0"/>
          <w:color w:val="auto"/>
          <w:kern w:val="2"/>
          <w:sz w:val="32"/>
          <w:szCs w:val="32"/>
          <w:highlight w:val="none"/>
          <w:lang w:val="en-US" w:eastAsia="zh-CN" w:bidi="ar-SA"/>
        </w:rPr>
        <w:t>六、一般公共预算财政拨款基本支出决算情况说明   </w:t>
      </w:r>
      <w:bookmarkEnd w:id="33"/>
      <w:bookmarkEnd w:id="34"/>
      <w:bookmarkEnd w:id="35"/>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年度一般公共预算财政拨款基本支出</w:t>
      </w:r>
      <w:r>
        <w:rPr>
          <w:rFonts w:hint="eastAsia" w:ascii="Times New Roman" w:hAnsi="Times New Roman" w:eastAsia="仿宋_GB2312" w:cs="仿宋_GB2312"/>
          <w:b w:val="0"/>
          <w:bCs w:val="0"/>
          <w:caps w:val="0"/>
          <w:color w:val="auto"/>
          <w:kern w:val="2"/>
          <w:sz w:val="32"/>
          <w:szCs w:val="32"/>
          <w:highlight w:val="none"/>
          <w:lang w:val="en-US" w:eastAsia="zh-CN" w:bidi="ar-SA"/>
        </w:rPr>
        <w:t>41.98</w:t>
      </w:r>
      <w:r>
        <w:rPr>
          <w:rFonts w:hint="eastAsia" w:ascii="仿宋_GB2312" w:hAnsi="仿宋_GB2312" w:eastAsia="仿宋_GB2312" w:cs="仿宋_GB2312"/>
          <w:color w:val="auto"/>
          <w:kern w:val="2"/>
          <w:sz w:val="32"/>
          <w:szCs w:val="32"/>
          <w:highlight w:val="none"/>
          <w:lang w:val="en-US" w:eastAsia="zh-CN" w:bidi="ar-SA"/>
        </w:rPr>
        <w:t>万元，其中：</w:t>
      </w:r>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Times New Roman" w:hAnsi="Times New Roman" w:eastAsia="仿宋_GB2312" w:cs="仿宋_GB2312"/>
          <w:b w:val="0"/>
          <w:bCs w:val="0"/>
          <w:caps w:val="0"/>
          <w:color w:val="auto"/>
          <w:kern w:val="2"/>
          <w:sz w:val="32"/>
          <w:szCs w:val="32"/>
          <w:highlight w:val="none"/>
          <w:lang w:val="en-US" w:eastAsia="zh-CN" w:bidi="ar-SA"/>
        </w:rPr>
        <w:t>39.07</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万元，主要包括：基本工资、津贴补贴、奖金、机关事业单位基本养老保险缴费、职业年金缴费、职工基本医疗保险缴费、其他社会保障缴费、住房公积金、医疗费。</w:t>
      </w:r>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公用经费</w:t>
      </w:r>
      <w:r>
        <w:rPr>
          <w:rFonts w:hint="eastAsia" w:ascii="Times New Roman" w:hAnsi="Times New Roman" w:eastAsia="仿宋_GB2312" w:cs="仿宋_GB2312"/>
          <w:b w:val="0"/>
          <w:bCs w:val="0"/>
          <w:caps w:val="0"/>
          <w:color w:val="auto"/>
          <w:kern w:val="2"/>
          <w:sz w:val="32"/>
          <w:szCs w:val="32"/>
          <w:highlight w:val="none"/>
          <w:lang w:val="en-US" w:eastAsia="zh-CN" w:bidi="ar-SA"/>
        </w:rPr>
        <w:t>2.91</w:t>
      </w:r>
      <w:r>
        <w:rPr>
          <w:rFonts w:hint="eastAsia" w:ascii="仿宋_GB2312" w:hAnsi="仿宋_GB2312" w:eastAsia="仿宋_GB2312" w:cs="仿宋_GB2312"/>
          <w:color w:val="auto"/>
          <w:kern w:val="2"/>
          <w:sz w:val="32"/>
          <w:szCs w:val="32"/>
          <w:highlight w:val="none"/>
          <w:lang w:val="en-US" w:eastAsia="zh-CN" w:bidi="ar-SA"/>
        </w:rPr>
        <w:t>万元，主要包括：办公费、其他商品和服务支出、差旅费</w:t>
      </w:r>
      <w:bookmarkStart w:id="36" w:name="_Toc31902"/>
      <w:bookmarkStart w:id="37" w:name="_Toc10106"/>
      <w:r>
        <w:rPr>
          <w:rFonts w:hint="eastAsia" w:ascii="仿宋_GB2312" w:hAnsi="仿宋_GB2312" w:eastAsia="仿宋_GB2312" w:cs="仿宋_GB2312"/>
          <w:color w:val="auto"/>
          <w:kern w:val="2"/>
          <w:sz w:val="32"/>
          <w:szCs w:val="32"/>
          <w:highlight w:val="none"/>
          <w:lang w:val="en-US" w:eastAsia="zh-CN" w:bidi="ar-SA"/>
        </w:rPr>
        <w:t>。</w:t>
      </w:r>
      <w:bookmarkStart w:id="38" w:name="_Toc17297"/>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r>
        <w:rPr>
          <w:rFonts w:hint="eastAsia" w:ascii="Times New Roman" w:hAnsi="Times New Roman" w:eastAsia="黑体" w:cs="Times New Roman"/>
          <w:b w:val="0"/>
          <w:color w:val="auto"/>
          <w:kern w:val="2"/>
          <w:sz w:val="32"/>
          <w:szCs w:val="32"/>
          <w:highlight w:val="none"/>
          <w:lang w:val="en-US" w:eastAsia="zh-CN" w:bidi="ar-SA"/>
        </w:rPr>
        <w:t>七、财政拨款</w:t>
      </w:r>
      <w:r>
        <w:rPr>
          <w:rFonts w:hint="default" w:ascii="Times New Roman" w:hAnsi="Times New Roman" w:eastAsia="黑体" w:cs="Times New Roman"/>
          <w:b/>
          <w:bCs/>
          <w:color w:val="auto"/>
          <w:kern w:val="2"/>
          <w:sz w:val="32"/>
          <w:szCs w:val="32"/>
          <w:highlight w:val="none"/>
          <w:lang w:val="en-US" w:eastAsia="zh-CN" w:bidi="ar-SA"/>
        </w:rPr>
        <w:t>“</w:t>
      </w:r>
      <w:r>
        <w:rPr>
          <w:rFonts w:hint="eastAsia" w:ascii="Times New Roman" w:hAnsi="Times New Roman" w:eastAsia="黑体" w:cs="Times New Roman"/>
          <w:b w:val="0"/>
          <w:color w:val="auto"/>
          <w:kern w:val="2"/>
          <w:sz w:val="32"/>
          <w:szCs w:val="32"/>
          <w:highlight w:val="none"/>
          <w:lang w:val="en-US" w:eastAsia="zh-CN" w:bidi="ar-SA"/>
        </w:rPr>
        <w:t>三公</w:t>
      </w:r>
      <w:r>
        <w:rPr>
          <w:rFonts w:hint="default" w:ascii="Times New Roman" w:hAnsi="Times New Roman" w:eastAsia="黑体" w:cs="Times New Roman"/>
          <w:b/>
          <w:bCs/>
          <w:color w:val="auto"/>
          <w:kern w:val="2"/>
          <w:sz w:val="32"/>
          <w:szCs w:val="32"/>
          <w:highlight w:val="none"/>
          <w:lang w:val="en-US" w:eastAsia="zh-CN" w:bidi="ar-SA"/>
        </w:rPr>
        <w:t>”</w:t>
      </w:r>
      <w:r>
        <w:rPr>
          <w:rFonts w:hint="eastAsia" w:ascii="Times New Roman" w:hAnsi="Times New Roman" w:eastAsia="黑体" w:cs="Times New Roman"/>
          <w:b w:val="0"/>
          <w:color w:val="auto"/>
          <w:kern w:val="2"/>
          <w:sz w:val="32"/>
          <w:szCs w:val="32"/>
          <w:highlight w:val="none"/>
          <w:lang w:val="en-US" w:eastAsia="zh-CN" w:bidi="ar-SA"/>
        </w:rPr>
        <w:t>经费支出决算情况说明</w:t>
      </w:r>
      <w:bookmarkEnd w:id="36"/>
      <w:bookmarkEnd w:id="37"/>
      <w:bookmarkEnd w:id="38"/>
      <w:bookmarkStart w:id="39" w:name="_Toc22479"/>
      <w:bookmarkStart w:id="40" w:name="_Toc24446"/>
    </w:p>
    <w:bookmarkEnd w:id="39"/>
    <w:bookmarkEnd w:id="40"/>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color w:val="000000"/>
          <w:sz w:val="32"/>
          <w:szCs w:val="32"/>
        </w:rPr>
      </w:pPr>
      <w:bookmarkStart w:id="41" w:name="_Toc1331"/>
      <w:bookmarkStart w:id="42" w:name="_Toc17717"/>
      <w:bookmarkStart w:id="43" w:name="_Toc19958"/>
      <w:r>
        <w:rPr>
          <w:rFonts w:hint="eastAsia" w:ascii="楷体_GB2312" w:hAnsi="楷体_GB2312" w:eastAsia="楷体_GB2312" w:cs="楷体_GB2312"/>
          <w:b/>
          <w:color w:val="000000"/>
          <w:sz w:val="32"/>
          <w:szCs w:val="32"/>
          <w:lang w:eastAsia="zh-CN"/>
        </w:rPr>
        <w:t>（一）</w:t>
      </w:r>
      <w:r>
        <w:rPr>
          <w:rFonts w:hint="eastAsia" w:ascii="楷体_GB2312" w:hAnsi="楷体_GB2312" w:eastAsia="楷体_GB2312" w:cs="楷体_GB2312"/>
          <w:b/>
          <w:color w:val="000000"/>
          <w:sz w:val="32"/>
          <w:szCs w:val="32"/>
        </w:rPr>
        <w:t>财政拨款</w:t>
      </w:r>
      <w:r>
        <w:rPr>
          <w:rFonts w:hint="default" w:ascii="Times New Roman" w:hAnsi="Times New Roman" w:eastAsia="楷体_GB2312" w:cs="Times New Roman"/>
          <w:b/>
          <w:color w:val="000000"/>
          <w:sz w:val="32"/>
          <w:szCs w:val="32"/>
        </w:rPr>
        <w:t>“</w:t>
      </w:r>
      <w:r>
        <w:rPr>
          <w:rFonts w:hint="eastAsia" w:ascii="楷体_GB2312" w:hAnsi="楷体_GB2312" w:eastAsia="楷体_GB2312" w:cs="楷体_GB2312"/>
          <w:b/>
          <w:color w:val="000000"/>
          <w:sz w:val="32"/>
          <w:szCs w:val="32"/>
        </w:rPr>
        <w:t>三公</w:t>
      </w:r>
      <w:r>
        <w:rPr>
          <w:rFonts w:hint="default" w:ascii="Times New Roman" w:hAnsi="Times New Roman" w:eastAsia="楷体_GB2312" w:cs="Times New Roman"/>
          <w:b/>
          <w:color w:val="000000"/>
          <w:sz w:val="32"/>
          <w:szCs w:val="32"/>
        </w:rPr>
        <w:t>”</w:t>
      </w:r>
      <w:r>
        <w:rPr>
          <w:rFonts w:hint="eastAsia" w:ascii="楷体_GB2312" w:hAnsi="楷体_GB2312" w:eastAsia="楷体_GB2312" w:cs="楷体_GB2312"/>
          <w:b/>
          <w:color w:val="000000"/>
          <w:sz w:val="32"/>
          <w:szCs w:val="32"/>
        </w:rPr>
        <w:t>经费支出决算总体情况说明</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val="0"/>
        <w:spacing w:line="560" w:lineRule="exact"/>
        <w:ind w:firstLine="640" w:firstLineChars="200"/>
        <w:textAlignment w:val="auto"/>
        <w:rPr>
          <w:rFonts w:hint="default" w:ascii="仿宋" w:hAnsi="Times New Roman" w:eastAsia="仿宋" w:cs="Times New Roman"/>
          <w:color w:val="000000"/>
          <w:sz w:val="32"/>
          <w:szCs w:val="32"/>
          <w:lang w:val="en-US" w:eastAsia="zh-CN"/>
        </w:rPr>
      </w:pPr>
      <w:bookmarkStart w:id="44" w:name="_Toc30765"/>
      <w:bookmarkStart w:id="45" w:name="_Toc19254"/>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经费财政拨款支出决算为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年度相比无变化</w:t>
      </w:r>
      <w:r>
        <w:rPr>
          <w:rFonts w:hint="eastAsia" w:ascii="仿宋" w:hAnsi="Times New Roman" w:eastAsia="仿宋" w:cs="Times New Roman"/>
          <w:color w:val="000000"/>
          <w:sz w:val="32"/>
          <w:szCs w:val="32"/>
          <w:lang w:eastAsia="zh-CN"/>
        </w:rPr>
        <w:t>。</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楷体_GB2312" w:hAnsi="楷体_GB2312" w:eastAsia="楷体_GB2312" w:cs="楷体_GB2312"/>
          <w:b/>
          <w:color w:val="000000"/>
          <w:sz w:val="32"/>
          <w:szCs w:val="32"/>
          <w:highlight w:val="none"/>
          <w:lang w:val="en-US" w:eastAsia="zh-CN"/>
        </w:rPr>
      </w:pPr>
      <w:r>
        <w:rPr>
          <w:rFonts w:hint="eastAsia" w:ascii="楷体_GB2312" w:hAnsi="楷体_GB2312" w:eastAsia="楷体_GB2312" w:cs="楷体_GB2312"/>
          <w:b/>
          <w:color w:val="000000"/>
          <w:sz w:val="32"/>
          <w:szCs w:val="32"/>
          <w:highlight w:val="none"/>
          <w:lang w:eastAsia="zh-CN"/>
        </w:rPr>
        <w:t>（二）</w:t>
      </w:r>
      <w:r>
        <w:rPr>
          <w:rFonts w:hint="eastAsia" w:ascii="楷体_GB2312" w:hAnsi="楷体_GB2312" w:eastAsia="楷体_GB2312" w:cs="楷体_GB2312"/>
          <w:b/>
          <w:color w:val="000000"/>
          <w:sz w:val="32"/>
          <w:szCs w:val="32"/>
          <w:highlight w:val="none"/>
        </w:rPr>
        <w:t>财政拨款</w:t>
      </w:r>
      <w:r>
        <w:rPr>
          <w:rFonts w:hint="default" w:ascii="Times New Roman" w:hAnsi="Times New Roman" w:eastAsia="楷体_GB2312" w:cs="Times New Roman"/>
          <w:b/>
          <w:color w:val="000000"/>
          <w:sz w:val="32"/>
          <w:szCs w:val="32"/>
          <w:highlight w:val="none"/>
        </w:rPr>
        <w:t>“</w:t>
      </w:r>
      <w:r>
        <w:rPr>
          <w:rFonts w:hint="eastAsia" w:ascii="楷体_GB2312" w:hAnsi="楷体_GB2312" w:eastAsia="楷体_GB2312" w:cs="楷体_GB2312"/>
          <w:b/>
          <w:color w:val="000000"/>
          <w:sz w:val="32"/>
          <w:szCs w:val="32"/>
          <w:highlight w:val="none"/>
        </w:rPr>
        <w:t>三公</w:t>
      </w:r>
      <w:r>
        <w:rPr>
          <w:rFonts w:hint="default" w:ascii="Times New Roman" w:hAnsi="Times New Roman" w:eastAsia="楷体_GB2312" w:cs="Times New Roman"/>
          <w:b/>
          <w:color w:val="000000"/>
          <w:sz w:val="32"/>
          <w:szCs w:val="32"/>
          <w:highlight w:val="none"/>
        </w:rPr>
        <w:t>”</w:t>
      </w:r>
      <w:r>
        <w:rPr>
          <w:rFonts w:hint="eastAsia" w:ascii="楷体_GB2312" w:hAnsi="楷体_GB2312" w:eastAsia="楷体_GB2312" w:cs="楷体_GB2312"/>
          <w:b/>
          <w:color w:val="000000"/>
          <w:sz w:val="32"/>
          <w:szCs w:val="32"/>
          <w:highlight w:val="none"/>
        </w:rPr>
        <w:t>经费支出决算具体情况说明</w:t>
      </w:r>
      <w:bookmarkEnd w:id="44"/>
      <w:bookmarkEnd w:id="45"/>
      <w:r>
        <w:rPr>
          <w:rFonts w:hint="eastAsia" w:ascii="楷体_GB2312" w:hAnsi="楷体_GB2312" w:eastAsia="楷体_GB2312" w:cs="楷体_GB2312"/>
          <w:b/>
          <w:color w:val="000000"/>
          <w:sz w:val="32"/>
          <w:szCs w:val="32"/>
          <w:highlight w:val="none"/>
          <w:lang w:val="en-US" w:eastAsia="zh-CN"/>
        </w:rPr>
        <w:t xml:space="preserve"> </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经费财政拨款支出决算中，因公出国（境）费支出决算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SA"/>
        </w:rPr>
        <w:t>；公务接待费支出决算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万元，占</w:t>
      </w:r>
      <w:r>
        <w:rPr>
          <w:rFonts w:hint="eastAsia" w:ascii="Times New Roman" w:hAnsi="Times New Roman" w:eastAsia="仿宋" w:cs="Times New Roman"/>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。具体情况如下：</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2" w:firstLineChars="200"/>
        <w:textAlignment w:val="auto"/>
        <w:rPr>
          <w:rFonts w:hint="default" w:ascii="仿宋" w:hAnsi="Times New Roman" w:eastAsia="仿宋" w:cs="Times New Roman"/>
          <w:color w:val="000000"/>
          <w:sz w:val="32"/>
          <w:szCs w:val="32"/>
          <w:lang w:val="en-US" w:eastAsia="zh-CN"/>
        </w:rPr>
      </w:pPr>
      <w:r>
        <w:rPr>
          <w:rFonts w:hint="eastAsia" w:ascii="仿宋_GB2312" w:hAnsi="仿宋_GB2312" w:eastAsia="仿宋_GB2312" w:cs="仿宋_GB2312"/>
          <w:b/>
          <w:bCs/>
          <w:color w:val="auto"/>
          <w:kern w:val="2"/>
          <w:sz w:val="32"/>
          <w:szCs w:val="32"/>
          <w:highlight w:val="none"/>
          <w:lang w:val="en-US" w:eastAsia="zh-CN" w:bidi="ar-SA"/>
        </w:rPr>
        <w:t>1.因公出国（境）经费支出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年度相比无变化</w:t>
      </w:r>
      <w:r>
        <w:rPr>
          <w:rFonts w:hint="eastAsia" w:ascii="仿宋" w:hAnsi="Times New Roman" w:eastAsia="仿宋" w:cs="Times New Roman"/>
          <w:color w:val="000000"/>
          <w:sz w:val="32"/>
          <w:szCs w:val="32"/>
          <w:lang w:eastAsia="zh-CN"/>
        </w:rPr>
        <w:t>。</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2" w:firstLineChars="200"/>
        <w:textAlignment w:val="auto"/>
        <w:rPr>
          <w:rFonts w:hint="default" w:ascii="仿宋" w:hAnsi="Times New Roman" w:eastAsia="仿宋" w:cs="Times New Roman"/>
          <w:color w:val="000000"/>
          <w:sz w:val="32"/>
          <w:szCs w:val="32"/>
          <w:lang w:val="en-US" w:eastAsia="zh-CN"/>
        </w:rPr>
      </w:pPr>
      <w:r>
        <w:rPr>
          <w:rFonts w:hint="eastAsia" w:ascii="仿宋_GB2312" w:hAnsi="仿宋_GB2312" w:eastAsia="仿宋_GB2312" w:cs="仿宋_GB2312"/>
          <w:b/>
          <w:bCs/>
          <w:color w:val="auto"/>
          <w:kern w:val="2"/>
          <w:sz w:val="32"/>
          <w:szCs w:val="32"/>
          <w:highlight w:val="none"/>
          <w:lang w:val="en-US" w:eastAsia="zh-CN" w:bidi="ar-SA"/>
        </w:rPr>
        <w:t>2.公务用车购置费及公车运行维护费支出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年度相比无变化</w:t>
      </w:r>
      <w:r>
        <w:rPr>
          <w:rFonts w:hint="eastAsia" w:ascii="仿宋" w:hAnsi="Times New Roman" w:eastAsia="仿宋" w:cs="Times New Roman"/>
          <w:color w:val="000000"/>
          <w:sz w:val="32"/>
          <w:szCs w:val="32"/>
          <w:lang w:eastAsia="zh-CN"/>
        </w:rPr>
        <w:t>。</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截至2025年12月31日，单位共有公务用车0辆，其中：轿车0辆、越野车0辆、载客汽车0辆。</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3.无公务接待费支出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b w:val="0"/>
          <w:bCs w:val="0"/>
          <w:color w:val="auto"/>
          <w:kern w:val="2"/>
          <w:sz w:val="32"/>
          <w:szCs w:val="32"/>
          <w:highlight w:val="none"/>
          <w:lang w:val="en-US" w:eastAsia="zh-CN" w:bidi="ar-SA"/>
        </w:rPr>
        <w:t>万元，占</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w:t>
      </w:r>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r>
        <w:rPr>
          <w:rFonts w:hint="eastAsia" w:ascii="Times New Roman" w:hAnsi="Times New Roman" w:eastAsia="黑体" w:cs="Times New Roman"/>
          <w:b w:val="0"/>
          <w:color w:val="auto"/>
          <w:kern w:val="2"/>
          <w:sz w:val="32"/>
          <w:szCs w:val="32"/>
          <w:highlight w:val="none"/>
          <w:lang w:val="en-US" w:eastAsia="zh-CN" w:bidi="ar-SA"/>
        </w:rPr>
        <w:t>八、政府性基金预算支出决算情况说明</w:t>
      </w:r>
      <w:bookmarkEnd w:id="41"/>
      <w:bookmarkEnd w:id="42"/>
      <w:bookmarkEnd w:id="43"/>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color w:val="000000"/>
          <w:sz w:val="32"/>
          <w:szCs w:val="32"/>
          <w:highlight w:val="none"/>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年度无政府性基金预算财政拨款支出。</w:t>
      </w:r>
      <w:bookmarkStart w:id="46" w:name="_Toc30324"/>
      <w:bookmarkStart w:id="47" w:name="_Toc18417"/>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bookmarkStart w:id="48" w:name="_Toc8110"/>
      <w:r>
        <w:rPr>
          <w:rFonts w:hint="eastAsia" w:ascii="Times New Roman" w:hAnsi="Times New Roman" w:eastAsia="黑体" w:cs="Times New Roman"/>
          <w:b w:val="0"/>
          <w:color w:val="auto"/>
          <w:kern w:val="2"/>
          <w:sz w:val="32"/>
          <w:szCs w:val="32"/>
          <w:highlight w:val="none"/>
          <w:lang w:val="en-US" w:eastAsia="zh-CN" w:bidi="ar-SA"/>
        </w:rPr>
        <w:t>九、国有资本经营预算支出决算情况说明</w:t>
      </w:r>
      <w:bookmarkEnd w:id="46"/>
      <w:bookmarkEnd w:id="47"/>
      <w:bookmarkEnd w:id="48"/>
      <w:bookmarkStart w:id="49" w:name="_Toc16622"/>
      <w:bookmarkStart w:id="50" w:name="_Toc26033"/>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年度无国有资本经营预算财政拨款支出。</w:t>
      </w:r>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bookmarkStart w:id="51" w:name="_Toc28671"/>
      <w:r>
        <w:rPr>
          <w:rFonts w:hint="eastAsia" w:ascii="Times New Roman" w:hAnsi="Times New Roman" w:eastAsia="黑体" w:cs="Times New Roman"/>
          <w:b w:val="0"/>
          <w:color w:val="auto"/>
          <w:kern w:val="2"/>
          <w:sz w:val="32"/>
          <w:szCs w:val="32"/>
          <w:highlight w:val="none"/>
          <w:lang w:val="en-US" w:eastAsia="zh-CN" w:bidi="ar-SA"/>
        </w:rPr>
        <w:t>十、其他重要事项的情况说明</w:t>
      </w:r>
      <w:bookmarkEnd w:id="49"/>
      <w:bookmarkEnd w:id="50"/>
      <w:bookmarkEnd w:id="51"/>
      <w:bookmarkStart w:id="52" w:name="_Toc12341"/>
      <w:bookmarkStart w:id="53" w:name="_Toc21265"/>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2"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（一）机关运行经费支出情况</w:t>
      </w:r>
      <w:bookmarkEnd w:id="52"/>
      <w:bookmarkEnd w:id="53"/>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Times New Roman" w:hAnsi="Times New Roman" w:eastAsia="仿宋_GB2312" w:cs="仿宋_GB2312"/>
          <w:b w:val="0"/>
          <w:bCs w:val="0"/>
          <w:caps w:val="0"/>
          <w:color w:val="000000"/>
          <w:kern w:val="2"/>
          <w:sz w:val="32"/>
          <w:szCs w:val="32"/>
          <w:highlight w:val="none"/>
          <w:lang w:val="en-US" w:eastAsia="zh-CN" w:bidi="ar-SA"/>
        </w:rPr>
        <w:t>2025</w:t>
      </w:r>
      <w:r>
        <w:rPr>
          <w:rFonts w:hint="eastAsia" w:ascii="仿宋_GB2312" w:hAnsi="仿宋_GB2312" w:eastAsia="仿宋_GB2312" w:cs="仿宋_GB2312"/>
          <w:color w:val="000000"/>
          <w:kern w:val="2"/>
          <w:sz w:val="32"/>
          <w:szCs w:val="32"/>
          <w:highlight w:val="none"/>
          <w:lang w:val="en-US" w:eastAsia="zh-CN" w:bidi="ar-SA"/>
        </w:rPr>
        <w:t>年度，</w:t>
      </w:r>
      <w:r>
        <w:rPr>
          <w:rFonts w:hint="eastAsia" w:ascii="仿宋_GB2312" w:hAnsi="仿宋_GB2312" w:eastAsia="仿宋_GB2312" w:cs="仿宋_GB2312"/>
          <w:b w:val="0"/>
          <w:bCs w:val="0"/>
          <w:color w:val="auto"/>
          <w:kern w:val="2"/>
          <w:sz w:val="32"/>
          <w:szCs w:val="32"/>
          <w:highlight w:val="none"/>
          <w:lang w:val="en-US" w:eastAsia="zh-CN" w:bidi="ar-SA"/>
        </w:rPr>
        <w:t>茂县医药卫生体制改革办公室</w:t>
      </w:r>
      <w:r>
        <w:rPr>
          <w:rFonts w:hint="eastAsia" w:ascii="仿宋_GB2312" w:hAnsi="仿宋_GB2312" w:eastAsia="仿宋_GB2312" w:cs="仿宋_GB2312"/>
          <w:color w:val="000000"/>
          <w:kern w:val="2"/>
          <w:sz w:val="32"/>
          <w:szCs w:val="32"/>
          <w:highlight w:val="none"/>
          <w:lang w:val="en-US" w:eastAsia="zh-CN" w:bidi="ar-SA"/>
        </w:rPr>
        <w:t>部门决算汇总机关运行经费支出</w:t>
      </w:r>
      <w:r>
        <w:rPr>
          <w:rFonts w:hint="eastAsia" w:ascii="Times New Roman" w:hAnsi="Times New Roman" w:eastAsia="仿宋_GB2312" w:cs="仿宋_GB2312"/>
          <w:b w:val="0"/>
          <w:bCs w:val="0"/>
          <w:caps w:val="0"/>
          <w:color w:val="000000"/>
          <w:kern w:val="2"/>
          <w:sz w:val="32"/>
          <w:szCs w:val="32"/>
          <w:highlight w:val="none"/>
          <w:lang w:val="en-US" w:eastAsia="zh-CN" w:bidi="ar-SA"/>
        </w:rPr>
        <w:t>0</w:t>
      </w:r>
      <w:r>
        <w:rPr>
          <w:rFonts w:hint="eastAsia" w:ascii="仿宋_GB2312" w:hAnsi="仿宋_GB2312" w:eastAsia="仿宋_GB2312" w:cs="仿宋_GB2312"/>
          <w:color w:val="000000"/>
          <w:kern w:val="2"/>
          <w:sz w:val="32"/>
          <w:szCs w:val="32"/>
          <w:highlight w:val="none"/>
          <w:lang w:val="en-US" w:eastAsia="zh-CN" w:bidi="ar-SA"/>
        </w:rPr>
        <w:t>万元。</w:t>
      </w:r>
      <w:bookmarkStart w:id="54" w:name="_Toc9297"/>
      <w:bookmarkStart w:id="55" w:name="_Toc25446"/>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2"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（二）政府采购支出情况</w:t>
      </w:r>
      <w:bookmarkEnd w:id="54"/>
      <w:bookmarkEnd w:id="55"/>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b w:val="0"/>
          <w:bCs w:val="0"/>
          <w:color w:val="auto"/>
          <w:kern w:val="2"/>
          <w:sz w:val="32"/>
          <w:szCs w:val="32"/>
          <w:highlight w:val="none"/>
          <w:lang w:val="en-US" w:eastAsia="zh-CN" w:bidi="ar-SA"/>
        </w:rPr>
        <w:t>茂县医药卫生体制改革办公室</w:t>
      </w:r>
      <w:r>
        <w:rPr>
          <w:rFonts w:hint="eastAsia" w:ascii="仿宋_GB2312" w:hAnsi="仿宋_GB2312" w:eastAsia="仿宋_GB2312" w:cs="仿宋_GB2312"/>
          <w:color w:val="auto"/>
          <w:kern w:val="2"/>
          <w:sz w:val="32"/>
          <w:szCs w:val="32"/>
          <w:highlight w:val="none"/>
          <w:lang w:val="en-US" w:eastAsia="zh-CN" w:bidi="ar-SA"/>
        </w:rPr>
        <w:t>部门决算汇总政府采购支出总额</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bookmarkStart w:id="56" w:name="_Toc20536"/>
      <w:bookmarkStart w:id="57" w:name="_Toc19415"/>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2"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（三）国有资产占有使用情况</w:t>
      </w:r>
      <w:bookmarkEnd w:id="56"/>
      <w:bookmarkEnd w:id="57"/>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w:t>
      </w:r>
      <w:r>
        <w:rPr>
          <w:rFonts w:hint="eastAsia" w:ascii="Times New Roman" w:hAnsi="Times New Roman" w:eastAsia="仿宋_GB2312" w:cs="仿宋_GB2312"/>
          <w:b w:val="0"/>
          <w:bCs w:val="0"/>
          <w:caps w:val="0"/>
          <w:color w:val="auto"/>
          <w:kern w:val="2"/>
          <w:sz w:val="32"/>
          <w:szCs w:val="32"/>
          <w:highlight w:val="none"/>
          <w:lang w:val="en-US" w:eastAsia="zh-CN" w:bidi="ar-SA"/>
        </w:rPr>
        <w:t>12</w:t>
      </w:r>
      <w:r>
        <w:rPr>
          <w:rFonts w:hint="eastAsia" w:ascii="仿宋_GB2312" w:hAnsi="仿宋_GB2312" w:eastAsia="仿宋_GB2312" w:cs="仿宋_GB2312"/>
          <w:color w:val="auto"/>
          <w:kern w:val="2"/>
          <w:sz w:val="32"/>
          <w:szCs w:val="32"/>
          <w:highlight w:val="none"/>
          <w:lang w:val="en-US" w:eastAsia="zh-CN" w:bidi="ar-SA"/>
        </w:rPr>
        <w:t>月</w:t>
      </w:r>
      <w:r>
        <w:rPr>
          <w:rFonts w:hint="eastAsia" w:ascii="Times New Roman" w:hAnsi="Times New Roman" w:eastAsia="仿宋_GB2312" w:cs="仿宋_GB2312"/>
          <w:b w:val="0"/>
          <w:bCs w:val="0"/>
          <w:caps w:val="0"/>
          <w:color w:val="auto"/>
          <w:kern w:val="2"/>
          <w:sz w:val="32"/>
          <w:szCs w:val="32"/>
          <w:highlight w:val="none"/>
          <w:lang w:val="en-US" w:eastAsia="zh-CN" w:bidi="ar-SA"/>
        </w:rPr>
        <w:t>31</w:t>
      </w:r>
      <w:r>
        <w:rPr>
          <w:rFonts w:hint="eastAsia" w:ascii="仿宋_GB2312" w:hAnsi="仿宋_GB2312" w:eastAsia="仿宋_GB2312" w:cs="仿宋_GB2312"/>
          <w:color w:val="auto"/>
          <w:kern w:val="2"/>
          <w:sz w:val="32"/>
          <w:szCs w:val="32"/>
          <w:highlight w:val="none"/>
          <w:lang w:val="en-US" w:eastAsia="zh-CN" w:bidi="ar-SA"/>
        </w:rPr>
        <w:t>日，</w:t>
      </w:r>
      <w:r>
        <w:rPr>
          <w:rFonts w:hint="eastAsia" w:ascii="仿宋_GB2312" w:hAnsi="仿宋_GB2312" w:eastAsia="仿宋_GB2312" w:cs="仿宋_GB2312"/>
          <w:b w:val="0"/>
          <w:bCs w:val="0"/>
          <w:color w:val="auto"/>
          <w:kern w:val="2"/>
          <w:sz w:val="32"/>
          <w:szCs w:val="32"/>
          <w:highlight w:val="none"/>
          <w:lang w:val="en-US" w:eastAsia="zh-CN" w:bidi="ar-SA"/>
        </w:rPr>
        <w:t>茂县医药卫生体制改革办公室</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辆，其中：主要领导干部用车</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Times New Roman" w:hAnsi="Times New Roman" w:eastAsia="仿宋_GB2312" w:cs="仿宋_GB2312"/>
          <w:b w:val="0"/>
          <w:bCs w:val="0"/>
          <w:caps w:val="0"/>
          <w:color w:val="auto"/>
          <w:kern w:val="2"/>
          <w:sz w:val="32"/>
          <w:szCs w:val="32"/>
          <w:highlight w:val="none"/>
          <w:lang w:val="en-US" w:eastAsia="zh-CN" w:bidi="ar-SA"/>
        </w:rPr>
        <w:t>0辆</w:t>
      </w:r>
      <w:r>
        <w:rPr>
          <w:rFonts w:hint="eastAsia" w:ascii="仿宋_GB2312" w:hAnsi="仿宋_GB2312" w:eastAsia="仿宋_GB2312" w:cs="仿宋_GB2312"/>
          <w:color w:val="auto"/>
          <w:kern w:val="2"/>
          <w:sz w:val="32"/>
          <w:szCs w:val="32"/>
          <w:highlight w:val="none"/>
          <w:lang w:val="en-US" w:eastAsia="zh-CN" w:bidi="ar-SA"/>
        </w:rPr>
        <w:t>、其他用车</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辆。无单价</w:t>
      </w:r>
      <w:r>
        <w:rPr>
          <w:rFonts w:hint="eastAsia" w:ascii="Times New Roman" w:hAnsi="Times New Roman" w:eastAsia="仿宋_GB2312" w:cs="仿宋_GB2312"/>
          <w:b w:val="0"/>
          <w:bCs w:val="0"/>
          <w:caps w:val="0"/>
          <w:color w:val="auto"/>
          <w:kern w:val="2"/>
          <w:sz w:val="32"/>
          <w:szCs w:val="32"/>
          <w:highlight w:val="none"/>
          <w:lang w:val="en-US" w:eastAsia="zh-CN" w:bidi="ar-SA"/>
        </w:rPr>
        <w:t>50</w:t>
      </w:r>
      <w:r>
        <w:rPr>
          <w:rFonts w:hint="eastAsia" w:ascii="仿宋_GB2312" w:hAnsi="仿宋_GB2312" w:eastAsia="仿宋_GB2312" w:cs="仿宋_GB2312"/>
          <w:color w:val="auto"/>
          <w:kern w:val="2"/>
          <w:sz w:val="32"/>
          <w:szCs w:val="32"/>
          <w:highlight w:val="none"/>
          <w:lang w:val="en-US" w:eastAsia="zh-CN" w:bidi="ar-SA"/>
        </w:rPr>
        <w:t>万元以上通用设备，无单价</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万元以上专用设备（不含车辆）。</w:t>
      </w:r>
      <w:bookmarkStart w:id="58" w:name="_Toc15649"/>
      <w:bookmarkStart w:id="59" w:name="_Toc27201"/>
    </w:p>
    <w:p>
      <w:pPr>
        <w:pStyle w:val="15"/>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2"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（四）预算绩效管理情况</w:t>
      </w:r>
      <w:bookmarkEnd w:id="58"/>
      <w:bookmarkEnd w:id="59"/>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年度支出均按要求实行绩效目标管理，一般公共预算当年拨款</w:t>
      </w:r>
      <w:r>
        <w:rPr>
          <w:rFonts w:hint="eastAsia" w:ascii="Times New Roman" w:hAnsi="Times New Roman" w:eastAsia="仿宋_GB2312" w:cs="仿宋_GB2312"/>
          <w:b w:val="0"/>
          <w:bCs w:val="0"/>
          <w:caps w:val="0"/>
          <w:color w:val="auto"/>
          <w:kern w:val="2"/>
          <w:sz w:val="32"/>
          <w:szCs w:val="32"/>
          <w:highlight w:val="none"/>
          <w:lang w:val="en-US" w:eastAsia="zh-CN" w:bidi="ar-SA"/>
        </w:rPr>
        <w:t>41.98</w:t>
      </w:r>
      <w:r>
        <w:rPr>
          <w:rFonts w:hint="eastAsia" w:ascii="仿宋_GB2312" w:hAnsi="仿宋_GB2312" w:eastAsia="仿宋_GB2312" w:cs="仿宋_GB2312"/>
          <w:color w:val="auto"/>
          <w:kern w:val="2"/>
          <w:sz w:val="32"/>
          <w:szCs w:val="32"/>
          <w:highlight w:val="none"/>
          <w:lang w:val="en-US" w:eastAsia="zh-CN" w:bidi="ar-SA"/>
        </w:rPr>
        <w:t>万元。其中：基本支出</w:t>
      </w:r>
      <w:r>
        <w:rPr>
          <w:rFonts w:hint="eastAsia" w:ascii="Times New Roman" w:hAnsi="Times New Roman" w:eastAsia="仿宋_GB2312" w:cs="仿宋_GB2312"/>
          <w:b w:val="0"/>
          <w:bCs w:val="0"/>
          <w:caps w:val="0"/>
          <w:color w:val="auto"/>
          <w:kern w:val="2"/>
          <w:sz w:val="32"/>
          <w:szCs w:val="32"/>
          <w:highlight w:val="none"/>
          <w:lang w:val="en-US" w:eastAsia="zh-CN" w:bidi="ar-SA"/>
        </w:rPr>
        <w:t>41.98</w:t>
      </w:r>
      <w:r>
        <w:rPr>
          <w:rFonts w:hint="eastAsia" w:ascii="仿宋_GB2312" w:hAnsi="仿宋_GB2312" w:eastAsia="仿宋_GB2312" w:cs="仿宋_GB2312"/>
          <w:color w:val="auto"/>
          <w:kern w:val="2"/>
          <w:sz w:val="32"/>
          <w:szCs w:val="32"/>
          <w:highlight w:val="none"/>
          <w:lang w:val="en-US" w:eastAsia="zh-CN" w:bidi="ar-SA"/>
        </w:rPr>
        <w:t>万元。</w:t>
      </w:r>
    </w:p>
    <w:p>
      <w:pPr>
        <w:pStyle w:val="15"/>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eastAsia="仿宋_GB2312"/>
          <w:color w:val="auto"/>
          <w:sz w:val="32"/>
          <w:szCs w:val="32"/>
          <w:lang w:eastAsia="zh-CN"/>
        </w:rPr>
        <w:t>根据预算绩效管理要求，本单位在</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eastAsia="仿宋_GB2312"/>
          <w:color w:val="auto"/>
          <w:sz w:val="32"/>
          <w:szCs w:val="32"/>
          <w:lang w:eastAsia="zh-CN"/>
        </w:rPr>
        <w:t>年度预算编制阶段，因未有预算项目编制，所以未有预算项目开展绩效自评，无绩效自评表。</w:t>
      </w:r>
    </w:p>
    <w:p>
      <w:pPr>
        <w:pStyle w:val="10"/>
        <w:keepNext w:val="0"/>
        <w:keepLines w:val="0"/>
        <w:pageBreakBefore w:val="0"/>
        <w:widowControl/>
        <w:suppressLineNumbers w:val="0"/>
        <w:kinsoku/>
        <w:wordWrap/>
        <w:overflowPunct/>
        <w:topLinePunct w:val="0"/>
        <w:bidi w:val="0"/>
        <w:spacing w:line="576" w:lineRule="exact"/>
        <w:jc w:val="both"/>
        <w:textAlignment w:val="auto"/>
        <w:rPr>
          <w:rFonts w:hint="eastAsia" w:ascii="黑体" w:hAnsi="Times New Roman" w:eastAsia="黑体" w:cs="Times New Roman"/>
          <w:color w:val="000000"/>
          <w:sz w:val="44"/>
          <w:szCs w:val="44"/>
          <w:lang w:val="en-US" w:eastAsia="zh-CN"/>
        </w:rPr>
      </w:pPr>
      <w:bookmarkStart w:id="60" w:name="_Toc9750"/>
      <w:bookmarkStart w:id="61" w:name="_Toc24473"/>
      <w:bookmarkStart w:id="62" w:name="_Toc17564"/>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eastAsia="zh-CN"/>
        </w:rPr>
      </w:pPr>
      <w:r>
        <w:rPr>
          <w:rFonts w:hint="eastAsia" w:ascii="黑体" w:hAnsi="Times New Roman" w:eastAsia="黑体" w:cs="Times New Roman"/>
          <w:color w:val="000000"/>
          <w:sz w:val="44"/>
          <w:szCs w:val="44"/>
          <w:lang w:val="en-US" w:eastAsia="zh-CN"/>
        </w:rPr>
        <w:t xml:space="preserve">第三部分 </w:t>
      </w:r>
      <w:r>
        <w:rPr>
          <w:rFonts w:hint="eastAsia" w:ascii="黑体" w:hAnsi="Times New Roman" w:eastAsia="黑体" w:cs="Times New Roman"/>
          <w:color w:val="000000"/>
          <w:sz w:val="44"/>
          <w:szCs w:val="44"/>
          <w:lang w:eastAsia="zh-CN"/>
        </w:rPr>
        <w:t>名词解释</w:t>
      </w:r>
      <w:bookmarkEnd w:id="60"/>
      <w:bookmarkEnd w:id="61"/>
      <w:bookmarkEnd w:id="62"/>
    </w:p>
    <w:p>
      <w:pPr>
        <w:pStyle w:val="1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1.财政拨款收入：指单位从同级财政部门取得的财政预算资金。</w:t>
      </w:r>
    </w:p>
    <w:p>
      <w:pPr>
        <w:pStyle w:val="1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2.事业收入：指事业单位开展专业业务活动及辅助活动取得的收入。</w:t>
      </w:r>
    </w:p>
    <w:p>
      <w:pPr>
        <w:pStyle w:val="1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3</w:t>
      </w:r>
      <w:r>
        <w:rPr>
          <w:rFonts w:ascii="仿宋_GB2312" w:eastAsia="仿宋_GB2312"/>
          <w:sz w:val="32"/>
          <w:szCs w:val="32"/>
        </w:rPr>
        <w:t>.其他收入：指单位取得的除上述收入以外的各项收入。</w:t>
      </w:r>
    </w:p>
    <w:p>
      <w:pPr>
        <w:pStyle w:val="1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4</w:t>
      </w:r>
      <w:r>
        <w:rPr>
          <w:rFonts w:ascii="仿宋_GB2312" w:eastAsia="仿宋_GB2312"/>
          <w:sz w:val="32"/>
          <w:szCs w:val="32"/>
        </w:rPr>
        <w:t>.使用非财政拨款结余：指事业单位使用以前年度积累的非财政拨款结余弥补当年收支差额的金额。</w:t>
      </w:r>
    </w:p>
    <w:p>
      <w:pPr>
        <w:pStyle w:val="1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5</w:t>
      </w:r>
      <w:r>
        <w:rPr>
          <w:rFonts w:ascii="仿宋_GB2312" w:eastAsia="仿宋_GB2312"/>
          <w:sz w:val="32"/>
          <w:szCs w:val="32"/>
        </w:rPr>
        <w:t>.年初结转和结余：指以前年度尚未完成、结转到本年按有关规定继续使用的资金。</w:t>
      </w:r>
    </w:p>
    <w:p>
      <w:pPr>
        <w:pStyle w:val="16"/>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6</w:t>
      </w:r>
      <w:r>
        <w:rPr>
          <w:rFonts w:ascii="仿宋_GB2312" w:eastAsia="仿宋_GB2312"/>
          <w:sz w:val="32"/>
          <w:szCs w:val="32"/>
        </w:rPr>
        <w:t>.结余分配：指事业单位按照会计制度规定缴纳的所得税、提取的专用结余以及转入非财政拨款结余的金额等。</w:t>
      </w:r>
    </w:p>
    <w:p>
      <w:pPr>
        <w:pStyle w:val="16"/>
        <w:pageBreakBefore w:val="0"/>
        <w:kinsoku/>
        <w:wordWrap/>
        <w:overflowPunct/>
        <w:topLinePunct w:val="0"/>
        <w:bidi w:val="0"/>
        <w:spacing w:line="576" w:lineRule="exact"/>
        <w:ind w:firstLine="640" w:firstLineChars="200"/>
        <w:textAlignment w:val="auto"/>
        <w:rPr>
          <w:rFonts w:hint="eastAsia" w:ascii="仿宋" w:hAnsi="Times New Roman" w:eastAsia="仿宋" w:cs="Times New Roman"/>
          <w:b/>
          <w:color w:val="000000"/>
          <w:sz w:val="32"/>
          <w:szCs w:val="32"/>
        </w:rPr>
      </w:pPr>
      <w:r>
        <w:rPr>
          <w:rFonts w:hint="eastAsia" w:ascii="仿宋_GB2312" w:eastAsia="仿宋_GB2312"/>
          <w:sz w:val="32"/>
          <w:szCs w:val="32"/>
          <w:lang w:val="en-US" w:eastAsia="zh-CN"/>
        </w:rPr>
        <w:t>7.</w:t>
      </w:r>
      <w:r>
        <w:rPr>
          <w:rFonts w:ascii="仿宋_GB2312" w:eastAsia="仿宋_GB2312"/>
          <w:sz w:val="32"/>
          <w:szCs w:val="32"/>
        </w:rPr>
        <w:t>年末结转和结余：指单位按有关规定结转到下年或以后年度继续使用的资金。</w:t>
      </w:r>
    </w:p>
    <w:p>
      <w:pPr>
        <w:pageBreakBefore w:val="0"/>
        <w:kinsoku/>
        <w:wordWrap/>
        <w:overflowPunct/>
        <w:topLinePunct w:val="0"/>
        <w:bidi w:val="0"/>
        <w:spacing w:line="576" w:lineRule="exact"/>
        <w:ind w:firstLine="640" w:firstLineChars="200"/>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lang w:val="en-US" w:eastAsia="zh-CN"/>
        </w:rPr>
        <w:t>8</w:t>
      </w:r>
      <w:r>
        <w:rPr>
          <w:rFonts w:ascii="仿宋_GB2312" w:hAnsi="Times New Roman" w:eastAsia="仿宋_GB2312" w:cs="Times New Roman"/>
          <w:color w:val="000000"/>
          <w:sz w:val="32"/>
          <w:szCs w:val="32"/>
        </w:rPr>
        <w:t>.基本支出：指为保障机构正常运转、完成日常工作任务而发生的人员支出和公用支出。</w:t>
      </w:r>
    </w:p>
    <w:p>
      <w:pPr>
        <w:pageBreakBefore w:val="0"/>
        <w:kinsoku/>
        <w:wordWrap/>
        <w:overflowPunct/>
        <w:topLinePunct w:val="0"/>
        <w:bidi w:val="0"/>
        <w:spacing w:line="576" w:lineRule="exact"/>
        <w:ind w:firstLine="640" w:firstLineChars="200"/>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lang w:val="en-US" w:eastAsia="zh-CN"/>
        </w:rPr>
        <w:t>9</w:t>
      </w:r>
      <w:r>
        <w:rPr>
          <w:rFonts w:ascii="仿宋_GB2312" w:hAnsi="Times New Roman" w:eastAsia="仿宋_GB2312" w:cs="Times New Roman"/>
          <w:color w:val="000000"/>
          <w:sz w:val="32"/>
          <w:szCs w:val="32"/>
        </w:rPr>
        <w:t>.项目支出：指在基本支出之外为完成特定行政任务和事业发展目标所发生的支出。</w:t>
      </w:r>
    </w:p>
    <w:p>
      <w:pPr>
        <w:pageBreakBefore w:val="0"/>
        <w:kinsoku/>
        <w:wordWrap/>
        <w:overflowPunct/>
        <w:topLinePunct w:val="0"/>
        <w:bidi w:val="0"/>
        <w:spacing w:line="576" w:lineRule="exact"/>
        <w:ind w:firstLine="640" w:firstLineChars="200"/>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lang w:val="en-US" w:eastAsia="zh-CN"/>
        </w:rPr>
        <w:t>10</w:t>
      </w:r>
      <w:r>
        <w:rPr>
          <w:rFonts w:ascii="仿宋_GB2312" w:hAnsi="Times New Roman" w:eastAsia="仿宋_GB2312" w:cs="Times New Roman"/>
          <w:color w:val="000000"/>
          <w:sz w:val="32"/>
          <w:szCs w:val="32"/>
        </w:rPr>
        <w:t>.经营支出：指事业单位在专业业务活动及其辅助活动之外开展非独立核算经营活动发生的支出。</w:t>
      </w:r>
    </w:p>
    <w:p>
      <w:pPr>
        <w:pageBreakBefore w:val="0"/>
        <w:kinsoku/>
        <w:wordWrap/>
        <w:overflowPunct/>
        <w:topLinePunct w:val="0"/>
        <w:bidi w:val="0"/>
        <w:spacing w:line="576" w:lineRule="exact"/>
        <w:ind w:firstLine="640" w:firstLineChars="200"/>
        <w:textAlignment w:val="auto"/>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11.“三公”经费：指部门用财政拨款安排的因公出国（境）费、公务用车购置及运行费和公务接待费。其中，因公出国（境）费反映单位公务出国（境） 的国际旅费、国外城市间交通费、住宿费、伙食费、培训费、公杂费等支出；公务用车购置及运行费反映单位公务用车车辆购置支出（含车辆购置税）及租用费、燃 料费、维修费、过路过桥费、保险费等支出；公务接待费反映单位按规定开支的各类公务接待（含外宾接待）支出。</w:t>
      </w:r>
    </w:p>
    <w:p>
      <w:pPr>
        <w:pStyle w:val="16"/>
        <w:pageBreakBefore w:val="0"/>
        <w:kinsoku/>
        <w:wordWrap/>
        <w:overflowPunct/>
        <w:topLinePunct w:val="0"/>
        <w:bidi w:val="0"/>
        <w:spacing w:line="576"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lang w:val="en-US" w:eastAsia="zh-CN"/>
        </w:rPr>
        <w:t>12</w:t>
      </w:r>
      <w:r>
        <w:rPr>
          <w:rFonts w:ascii="仿宋_GB2312" w:hAnsi="Times New Roman" w:eastAsia="仿宋_GB2312"/>
          <w:sz w:val="32"/>
          <w:szCs w:val="32"/>
        </w:rPr>
        <w:t>.机关运行经费：为保障行政单位（含参照公务员法管理的事业单位）运行用于购买货物和服务的各项资金，包括办公及印刷费、邮电费、差旅费、会议 费、福利费、日常维修费、专用材料及一般设备购置费、办公用房水电费、办公用房取暖费、办公用房物业管理费、公务用车运行维护费以及其他费用。</w:t>
      </w:r>
    </w:p>
    <w:p>
      <w:pPr>
        <w:pageBreakBefore w:val="0"/>
        <w:kinsoku/>
        <w:wordWrap/>
        <w:overflowPunct/>
        <w:topLinePunct w:val="0"/>
        <w:bidi w:val="0"/>
        <w:spacing w:line="576" w:lineRule="exact"/>
        <w:ind w:firstLine="640" w:firstLineChars="200"/>
        <w:textAlignment w:val="auto"/>
        <w:rPr>
          <w:rFonts w:ascii="仿宋_GB2312" w:hAnsi="Times New Roman" w:eastAsia="仿宋_GB2312" w:cs="Times New Roman"/>
          <w:color w:val="000000"/>
          <w:sz w:val="32"/>
          <w:szCs w:val="32"/>
        </w:rPr>
      </w:pPr>
    </w:p>
    <w:p>
      <w:pPr>
        <w:pStyle w:val="10"/>
        <w:keepNext w:val="0"/>
        <w:keepLines w:val="0"/>
        <w:pageBreakBefore w:val="0"/>
        <w:widowControl/>
        <w:suppressLineNumbers w:val="0"/>
        <w:kinsoku/>
        <w:wordWrap/>
        <w:overflowPunct/>
        <w:topLinePunct w:val="0"/>
        <w:bidi w:val="0"/>
        <w:spacing w:line="576" w:lineRule="exact"/>
        <w:textAlignment w:val="auto"/>
      </w:pPr>
      <w:r>
        <w:t> </w:t>
      </w:r>
    </w:p>
    <w:p>
      <w:pPr>
        <w:pStyle w:val="10"/>
        <w:keepNext w:val="0"/>
        <w:keepLines w:val="0"/>
        <w:pageBreakBefore w:val="0"/>
        <w:widowControl/>
        <w:suppressLineNumbers w:val="0"/>
        <w:kinsoku/>
        <w:wordWrap/>
        <w:overflowPunct/>
        <w:topLinePunct w:val="0"/>
        <w:bidi w:val="0"/>
        <w:spacing w:line="576" w:lineRule="exact"/>
        <w:jc w:val="both"/>
        <w:textAlignment w:val="auto"/>
        <w:rPr>
          <w:rFonts w:hint="eastAsia" w:ascii="黑体" w:hAnsi="Times New Roman" w:eastAsia="黑体" w:cs="Times New Roman"/>
          <w:color w:val="000000"/>
          <w:sz w:val="44"/>
          <w:szCs w:val="44"/>
          <w:lang w:val="en-US" w:eastAsia="zh-CN"/>
        </w:rPr>
      </w:pPr>
      <w:bookmarkStart w:id="63" w:name="_Toc6196"/>
      <w:bookmarkStart w:id="64" w:name="_Toc9504"/>
      <w:bookmarkStart w:id="65" w:name="_Toc26719"/>
    </w:p>
    <w:p>
      <w:pPr>
        <w:pStyle w:val="10"/>
        <w:keepNext w:val="0"/>
        <w:keepLines w:val="0"/>
        <w:pageBreakBefore w:val="0"/>
        <w:widowControl/>
        <w:suppressLineNumbers w:val="0"/>
        <w:kinsoku/>
        <w:wordWrap/>
        <w:overflowPunct/>
        <w:topLinePunct w:val="0"/>
        <w:bidi w:val="0"/>
        <w:spacing w:line="576" w:lineRule="exact"/>
        <w:jc w:val="both"/>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both"/>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pPr>
        <w:pStyle w:val="10"/>
        <w:keepNext w:val="0"/>
        <w:keepLines w:val="0"/>
        <w:pageBreakBefore w:val="0"/>
        <w:widowControl/>
        <w:numPr>
          <w:ilvl w:val="0"/>
          <w:numId w:val="2"/>
        </w:numPr>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r>
        <w:rPr>
          <w:rFonts w:hint="eastAsia" w:ascii="黑体" w:hAnsi="Times New Roman" w:eastAsia="黑体" w:cs="Times New Roman"/>
          <w:color w:val="000000"/>
          <w:sz w:val="44"/>
          <w:szCs w:val="44"/>
          <w:lang w:val="en-US" w:eastAsia="zh-CN"/>
        </w:rPr>
        <w:t>附表</w:t>
      </w:r>
      <w:bookmarkEnd w:id="63"/>
      <w:bookmarkEnd w:id="64"/>
      <w:bookmarkEnd w:id="65"/>
      <w:bookmarkStart w:id="66" w:name="_Toc26370"/>
      <w:bookmarkStart w:id="67" w:name="_Toc9923"/>
      <w:bookmarkStart w:id="68" w:name="_Toc12986"/>
    </w:p>
    <w:p>
      <w:pPr>
        <w:pStyle w:val="10"/>
        <w:keepNext w:val="0"/>
        <w:keepLines w:val="0"/>
        <w:pageBreakBefore w:val="0"/>
        <w:widowControl/>
        <w:numPr>
          <w:ilvl w:val="0"/>
          <w:numId w:val="3"/>
        </w:numPr>
        <w:suppressLineNumbers w:val="0"/>
        <w:kinsoku/>
        <w:wordWrap/>
        <w:overflowPunct/>
        <w:topLinePunct w:val="0"/>
        <w:bidi w:val="0"/>
        <w:spacing w:line="576" w:lineRule="exact"/>
        <w:ind w:right="0" w:rightChars="0"/>
        <w:jc w:val="both"/>
        <w:textAlignment w:val="auto"/>
        <w:rPr>
          <w:rFonts w:hint="eastAsia" w:ascii="仿宋_GB2312" w:hAnsi="Times New Roman" w:eastAsia="仿宋_GB2312" w:cs="仿宋"/>
          <w:b w:val="0"/>
          <w:bCs w:val="0"/>
          <w:color w:val="000000"/>
          <w:kern w:val="0"/>
          <w:sz w:val="32"/>
          <w:szCs w:val="32"/>
          <w:lang w:val="en-US" w:eastAsia="zh-CN" w:bidi="ar-SA"/>
        </w:rPr>
      </w:pPr>
      <w:r>
        <w:rPr>
          <w:rFonts w:hint="eastAsia" w:ascii="仿宋_GB2312" w:hAnsi="Times New Roman" w:eastAsia="仿宋_GB2312" w:cs="仿宋"/>
          <w:b w:val="0"/>
          <w:bCs w:val="0"/>
          <w:color w:val="000000"/>
          <w:kern w:val="0"/>
          <w:sz w:val="32"/>
          <w:szCs w:val="32"/>
          <w:lang w:val="en-US" w:eastAsia="zh-CN" w:bidi="ar-SA"/>
        </w:rPr>
        <w:t>收入支出决算总表</w:t>
      </w:r>
      <w:bookmarkEnd w:id="66"/>
      <w:bookmarkEnd w:id="67"/>
      <w:bookmarkEnd w:id="68"/>
      <w:bookmarkStart w:id="69" w:name="_Toc13062"/>
      <w:bookmarkStart w:id="70" w:name="_Toc13591"/>
      <w:bookmarkStart w:id="71" w:name="_Toc775"/>
    </w:p>
    <w:p>
      <w:pPr>
        <w:pStyle w:val="10"/>
        <w:keepNext w:val="0"/>
        <w:keepLines w:val="0"/>
        <w:pageBreakBefore w:val="0"/>
        <w:widowControl/>
        <w:numPr>
          <w:ilvl w:val="0"/>
          <w:numId w:val="0"/>
        </w:numPr>
        <w:suppressLineNumbers w:val="0"/>
        <w:kinsoku/>
        <w:wordWrap/>
        <w:overflowPunct/>
        <w:topLinePunct w:val="0"/>
        <w:bidi w:val="0"/>
        <w:spacing w:line="576" w:lineRule="exact"/>
        <w:ind w:right="0" w:rightChars="0"/>
        <w:jc w:val="both"/>
        <w:textAlignment w:val="auto"/>
        <w:rPr>
          <w:rFonts w:hint="eastAsia" w:ascii="仿宋_GB2312" w:hAnsi="Times New Roman" w:eastAsia="仿宋_GB2312" w:cs="仿宋"/>
          <w:b w:val="0"/>
          <w:bCs w:val="0"/>
          <w:color w:val="000000"/>
          <w:kern w:val="0"/>
          <w:sz w:val="32"/>
          <w:szCs w:val="32"/>
          <w:lang w:val="en-US" w:eastAsia="zh-CN" w:bidi="ar-SA"/>
        </w:rPr>
      </w:pPr>
      <w:r>
        <w:rPr>
          <w:rFonts w:hint="eastAsia" w:ascii="仿宋_GB2312" w:hAnsi="Times New Roman" w:eastAsia="仿宋_GB2312" w:cs="仿宋"/>
          <w:b w:val="0"/>
          <w:bCs w:val="0"/>
          <w:color w:val="000000"/>
          <w:kern w:val="0"/>
          <w:sz w:val="32"/>
          <w:szCs w:val="32"/>
          <w:lang w:val="en-US" w:eastAsia="zh-CN" w:bidi="ar-SA"/>
        </w:rPr>
        <w:t>二、收入决算表</w:t>
      </w:r>
      <w:bookmarkEnd w:id="69"/>
      <w:bookmarkEnd w:id="70"/>
      <w:bookmarkEnd w:id="71"/>
      <w:bookmarkStart w:id="72" w:name="_Toc29276"/>
      <w:bookmarkStart w:id="73" w:name="_Toc29688"/>
      <w:bookmarkStart w:id="74" w:name="_Toc16600"/>
      <w:r>
        <w:rPr>
          <w:rFonts w:hint="eastAsia" w:ascii="仿宋_GB2312" w:hAnsi="Times New Roman" w:eastAsia="仿宋_GB2312" w:cs="仿宋"/>
          <w:b w:val="0"/>
          <w:bCs w:val="0"/>
          <w:color w:val="000000"/>
          <w:kern w:val="0"/>
          <w:sz w:val="32"/>
          <w:szCs w:val="32"/>
          <w:lang w:val="en-US" w:eastAsia="zh-CN" w:bidi="ar-SA"/>
        </w:rPr>
        <w:t>三、支出决算表</w:t>
      </w:r>
      <w:bookmarkEnd w:id="72"/>
      <w:bookmarkEnd w:id="73"/>
      <w:bookmarkEnd w:id="74"/>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75" w:name="_Toc30892"/>
      <w:bookmarkStart w:id="76" w:name="_Toc5964"/>
      <w:bookmarkStart w:id="77" w:name="_Toc26630"/>
      <w:r>
        <w:rPr>
          <w:rFonts w:hint="eastAsia" w:ascii="仿宋_GB2312" w:hAnsi="Times New Roman" w:eastAsia="仿宋_GB2312" w:cs="仿宋"/>
          <w:b w:val="0"/>
          <w:bCs w:val="0"/>
          <w:color w:val="000000"/>
          <w:kern w:val="0"/>
          <w:sz w:val="32"/>
          <w:szCs w:val="32"/>
          <w:lang w:val="en-US" w:eastAsia="zh-CN" w:bidi="ar-SA"/>
        </w:rPr>
        <w:t>四、财政拨款收入支出决算总表</w:t>
      </w:r>
      <w:bookmarkEnd w:id="75"/>
      <w:bookmarkEnd w:id="76"/>
      <w:bookmarkEnd w:id="77"/>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78" w:name="_Toc1728"/>
      <w:bookmarkStart w:id="79" w:name="_Toc19934"/>
      <w:bookmarkStart w:id="80" w:name="_Toc14273"/>
      <w:r>
        <w:rPr>
          <w:rFonts w:hint="eastAsia" w:ascii="仿宋_GB2312" w:hAnsi="Times New Roman" w:eastAsia="仿宋_GB2312" w:cs="仿宋"/>
          <w:b w:val="0"/>
          <w:bCs w:val="0"/>
          <w:color w:val="000000"/>
          <w:kern w:val="0"/>
          <w:sz w:val="32"/>
          <w:szCs w:val="32"/>
          <w:lang w:val="en-US" w:eastAsia="zh-CN" w:bidi="ar-SA"/>
        </w:rPr>
        <w:t>五、财政拨款支出决算明细表</w:t>
      </w:r>
      <w:bookmarkEnd w:id="78"/>
      <w:bookmarkEnd w:id="79"/>
      <w:bookmarkEnd w:id="80"/>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81" w:name="_Toc6686"/>
      <w:bookmarkStart w:id="82" w:name="_Toc16449"/>
      <w:bookmarkStart w:id="83" w:name="_Toc24489"/>
      <w:r>
        <w:rPr>
          <w:rFonts w:hint="eastAsia" w:ascii="仿宋_GB2312" w:hAnsi="Times New Roman" w:eastAsia="仿宋_GB2312" w:cs="仿宋"/>
          <w:b w:val="0"/>
          <w:bCs w:val="0"/>
          <w:color w:val="000000"/>
          <w:kern w:val="0"/>
          <w:sz w:val="32"/>
          <w:szCs w:val="32"/>
          <w:lang w:val="en-US" w:eastAsia="zh-CN" w:bidi="ar-SA"/>
        </w:rPr>
        <w:t>六、一般公共预算财政拨款支出决算表</w:t>
      </w:r>
      <w:bookmarkEnd w:id="81"/>
      <w:bookmarkEnd w:id="82"/>
      <w:bookmarkEnd w:id="83"/>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84" w:name="_Toc22768"/>
      <w:bookmarkStart w:id="85" w:name="_Toc19514"/>
      <w:bookmarkStart w:id="86" w:name="_Toc3478"/>
      <w:r>
        <w:rPr>
          <w:rFonts w:hint="eastAsia" w:ascii="仿宋_GB2312" w:hAnsi="Times New Roman" w:eastAsia="仿宋_GB2312" w:cs="仿宋"/>
          <w:b w:val="0"/>
          <w:bCs w:val="0"/>
          <w:color w:val="000000"/>
          <w:kern w:val="0"/>
          <w:sz w:val="32"/>
          <w:szCs w:val="32"/>
          <w:lang w:val="en-US" w:eastAsia="zh-CN" w:bidi="ar-SA"/>
        </w:rPr>
        <w:t>七、一般公共预算财政拨款支出决算明细表</w:t>
      </w:r>
      <w:bookmarkEnd w:id="84"/>
      <w:bookmarkEnd w:id="85"/>
      <w:bookmarkEnd w:id="86"/>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87" w:name="_Toc17352"/>
      <w:bookmarkStart w:id="88" w:name="_Toc30915"/>
      <w:bookmarkStart w:id="89" w:name="_Toc191"/>
      <w:r>
        <w:rPr>
          <w:rFonts w:hint="eastAsia" w:ascii="仿宋_GB2312" w:hAnsi="Times New Roman" w:eastAsia="仿宋_GB2312" w:cs="仿宋"/>
          <w:b w:val="0"/>
          <w:bCs w:val="0"/>
          <w:color w:val="000000"/>
          <w:kern w:val="0"/>
          <w:sz w:val="32"/>
          <w:szCs w:val="32"/>
          <w:lang w:val="en-US" w:eastAsia="zh-CN" w:bidi="ar-SA"/>
        </w:rPr>
        <w:t>八、一般公共预算财政拨款基本支出决算表</w:t>
      </w:r>
      <w:bookmarkEnd w:id="87"/>
      <w:bookmarkEnd w:id="88"/>
      <w:bookmarkEnd w:id="89"/>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90" w:name="_Toc28478"/>
      <w:bookmarkStart w:id="91" w:name="_Toc5204"/>
      <w:bookmarkStart w:id="92" w:name="_Toc3726"/>
      <w:r>
        <w:rPr>
          <w:rFonts w:hint="eastAsia" w:ascii="仿宋_GB2312" w:hAnsi="Times New Roman" w:eastAsia="仿宋_GB2312" w:cs="仿宋"/>
          <w:b w:val="0"/>
          <w:bCs w:val="0"/>
          <w:color w:val="000000"/>
          <w:kern w:val="0"/>
          <w:sz w:val="32"/>
          <w:szCs w:val="32"/>
          <w:lang w:val="en-US" w:eastAsia="zh-CN" w:bidi="ar-SA"/>
        </w:rPr>
        <w:t>九、一般公共预算财政拨款项目支出决算表</w:t>
      </w:r>
      <w:bookmarkEnd w:id="90"/>
      <w:bookmarkEnd w:id="91"/>
      <w:bookmarkEnd w:id="92"/>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93" w:name="_Toc20756"/>
      <w:bookmarkStart w:id="94" w:name="_Toc20056"/>
      <w:bookmarkStart w:id="95" w:name="_Toc24355"/>
      <w:r>
        <w:rPr>
          <w:rFonts w:hint="eastAsia" w:ascii="仿宋_GB2312" w:hAnsi="Times New Roman" w:eastAsia="仿宋_GB2312" w:cs="仿宋"/>
          <w:b w:val="0"/>
          <w:bCs w:val="0"/>
          <w:color w:val="000000"/>
          <w:kern w:val="0"/>
          <w:sz w:val="32"/>
          <w:szCs w:val="32"/>
          <w:lang w:val="en-US" w:eastAsia="zh-CN" w:bidi="ar-SA"/>
        </w:rPr>
        <w:t>十、政府性基金预算财政拨款收入支出决算表</w:t>
      </w:r>
      <w:bookmarkEnd w:id="93"/>
      <w:bookmarkEnd w:id="94"/>
      <w:bookmarkEnd w:id="95"/>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96" w:name="_Toc13849"/>
      <w:bookmarkStart w:id="97" w:name="_Toc21387"/>
      <w:bookmarkStart w:id="98" w:name="_Toc21988"/>
      <w:r>
        <w:rPr>
          <w:rFonts w:hint="eastAsia" w:ascii="仿宋_GB2312" w:hAnsi="Times New Roman" w:eastAsia="仿宋_GB2312" w:cs="仿宋"/>
          <w:b w:val="0"/>
          <w:bCs w:val="0"/>
          <w:color w:val="000000"/>
          <w:kern w:val="0"/>
          <w:sz w:val="32"/>
          <w:szCs w:val="32"/>
          <w:lang w:val="en-US" w:eastAsia="zh-CN" w:bidi="ar-SA"/>
        </w:rPr>
        <w:t>十一、国有资本经营预算财政拨款收入支出决算表</w:t>
      </w:r>
      <w:bookmarkEnd w:id="96"/>
      <w:bookmarkEnd w:id="97"/>
      <w:bookmarkEnd w:id="98"/>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99" w:name="_Toc13099"/>
      <w:bookmarkStart w:id="100" w:name="_Toc1140"/>
      <w:bookmarkStart w:id="101" w:name="_Toc7427"/>
      <w:r>
        <w:rPr>
          <w:rFonts w:hint="eastAsia" w:ascii="仿宋_GB2312" w:hAnsi="Times New Roman" w:eastAsia="仿宋_GB2312" w:cs="仿宋"/>
          <w:b w:val="0"/>
          <w:bCs w:val="0"/>
          <w:color w:val="000000"/>
          <w:kern w:val="0"/>
          <w:sz w:val="32"/>
          <w:szCs w:val="32"/>
          <w:lang w:val="en-US" w:eastAsia="zh-CN" w:bidi="ar-SA"/>
        </w:rPr>
        <w:t>十二、国有资本经营预算财政拨款支出决算表</w:t>
      </w:r>
      <w:bookmarkEnd w:id="99"/>
      <w:bookmarkEnd w:id="100"/>
      <w:bookmarkEnd w:id="101"/>
    </w:p>
    <w:p>
      <w:pPr>
        <w:pStyle w:val="4"/>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102" w:name="_Toc24957"/>
      <w:bookmarkStart w:id="103" w:name="_Toc2422"/>
      <w:bookmarkStart w:id="104" w:name="_Toc25065"/>
      <w:r>
        <w:rPr>
          <w:rFonts w:hint="eastAsia" w:ascii="仿宋_GB2312" w:hAnsi="Times New Roman" w:eastAsia="仿宋_GB2312" w:cs="仿宋"/>
          <w:b w:val="0"/>
          <w:bCs w:val="0"/>
          <w:color w:val="000000"/>
          <w:kern w:val="0"/>
          <w:sz w:val="32"/>
          <w:szCs w:val="32"/>
          <w:lang w:val="en-US" w:eastAsia="zh-CN" w:bidi="ar-SA"/>
        </w:rPr>
        <w:t>十三、财政拨款“三公”经费支出决算表</w:t>
      </w:r>
      <w:bookmarkEnd w:id="102"/>
      <w:bookmarkEnd w:id="103"/>
      <w:bookmarkEnd w:id="104"/>
    </w:p>
    <w:p>
      <w:pPr>
        <w:pageBreakBefore w:val="0"/>
        <w:kinsoku/>
        <w:wordWrap/>
        <w:overflowPunct/>
        <w:topLinePunct w:val="0"/>
        <w:bidi w:val="0"/>
        <w:spacing w:line="576" w:lineRule="exact"/>
        <w:textAlignment w:val="auto"/>
      </w:pPr>
    </w:p>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Nimbus Roman No9 L"/>
    <w:panose1 w:val="020B0604020202020204"/>
    <w:charset w:val="00"/>
    <w:family w:val="swiss"/>
    <w:pitch w:val="default"/>
    <w:sig w:usb0="E0002AFF" w:usb1="C0007843" w:usb2="00000009" w:usb3="00000000" w:csb0="400001FF" w:csb1="FFFF0000"/>
  </w:font>
  <w:font w:name="等线">
    <w:altName w:val="仿宋_GB2312"/>
    <w:panose1 w:val="00000000000000000000"/>
    <w:charset w:val="00"/>
    <w:family w:val="auto"/>
    <w:pitch w:val="default"/>
    <w:sig w:usb0="00000000" w:usb1="00000000" w:usb2="00000016" w:usb3="00000000" w:csb0="0004000F" w:csb1="00000000"/>
  </w:font>
  <w:font w:name="仿宋">
    <w:altName w:val="方正仿宋_GBK"/>
    <w:panose1 w:val="02010609060101010101"/>
    <w:charset w:val="00"/>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zSVju0AAA&#10;AAUBAAAPAAAAAAAAAAEAIAAAADgAAABkcnMvZG93bnJldi54bWxQSwECFAAUAAAACACHTuJAPS4V&#10;KdcBAACwAwAADgAAAAAAAAABACAAAAA1AQAAZHJzL2Uyb0RvYy54bWxQSwUGAAAAAAYABgBZAQAA&#10;fg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9C48EC"/>
    <w:multiLevelType w:val="singleLevel"/>
    <w:tmpl w:val="E39C48EC"/>
    <w:lvl w:ilvl="0" w:tentative="0">
      <w:start w:val="2"/>
      <w:numFmt w:val="chineseCounting"/>
      <w:suff w:val="space"/>
      <w:lvlText w:val="第%1部分"/>
      <w:lvlJc w:val="left"/>
      <w:rPr>
        <w:rFonts w:hint="eastAsia"/>
      </w:rPr>
    </w:lvl>
  </w:abstractNum>
  <w:abstractNum w:abstractNumId="1">
    <w:nsid w:val="ED7E4526"/>
    <w:multiLevelType w:val="singleLevel"/>
    <w:tmpl w:val="ED7E4526"/>
    <w:lvl w:ilvl="0" w:tentative="0">
      <w:start w:val="4"/>
      <w:numFmt w:val="chineseCounting"/>
      <w:suff w:val="space"/>
      <w:lvlText w:val="第%1部分"/>
      <w:lvlJc w:val="left"/>
      <w:rPr>
        <w:rFonts w:hint="eastAsia"/>
      </w:rPr>
    </w:lvl>
  </w:abstractNum>
  <w:abstractNum w:abstractNumId="2">
    <w:nsid w:val="F9BF9DC7"/>
    <w:multiLevelType w:val="singleLevel"/>
    <w:tmpl w:val="F9BF9DC7"/>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EF92F9"/>
    <w:rsid w:val="1EB981DC"/>
    <w:rsid w:val="23400AF4"/>
    <w:rsid w:val="3F5DC028"/>
    <w:rsid w:val="6DEF92F9"/>
    <w:rsid w:val="7BFFF71E"/>
    <w:rsid w:val="7FFF9D95"/>
    <w:rsid w:val="B3A774B6"/>
    <w:rsid w:val="BFAF1B76"/>
    <w:rsid w:val="C87E0BBF"/>
    <w:rsid w:val="DC4F0D88"/>
    <w:rsid w:val="FB93D72D"/>
    <w:rsid w:val="FFDD9232"/>
    <w:rsid w:val="FFFECA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Indent"/>
    <w:basedOn w:val="1"/>
    <w:next w:val="6"/>
    <w:qFormat/>
    <w:uiPriority w:val="0"/>
    <w:pPr>
      <w:spacing w:after="120"/>
      <w:ind w:left="200" w:leftChars="200"/>
    </w:pPr>
    <w:rPr>
      <w:rFonts w:ascii="Times New Roman" w:hAnsi="Times New Roman" w:eastAsia="宋体" w:cs="Times New Roman"/>
    </w:rPr>
  </w:style>
  <w:style w:type="paragraph" w:styleId="6">
    <w:name w:val="Body Text First Indent 2"/>
    <w:basedOn w:val="5"/>
    <w:qFormat/>
    <w:uiPriority w:val="0"/>
    <w:pPr>
      <w:ind w:firstLine="200" w:firstLineChars="200"/>
    </w:pPr>
    <w:rPr>
      <w:rFonts w:ascii="Times New Roman" w:hAnsi="Times New Roman" w:eastAsia="宋体" w:cs="Times New Roman"/>
    </w:rPr>
  </w:style>
  <w:style w:type="paragraph" w:styleId="7">
    <w:name w:val="footer"/>
    <w:basedOn w:val="1"/>
    <w:qFormat/>
    <w:uiPriority w:val="0"/>
    <w:pPr>
      <w:tabs>
        <w:tab w:val="center" w:pos="4153"/>
        <w:tab w:val="right" w:pos="8306"/>
      </w:tabs>
      <w:snapToGrid w:val="0"/>
      <w:jc w:val="left"/>
    </w:pPr>
    <w:rPr>
      <w:sz w:val="18"/>
    </w:rPr>
  </w:style>
  <w:style w:type="paragraph" w:styleId="8">
    <w:name w:val="toc 1"/>
    <w:basedOn w:val="1"/>
    <w:next w:val="1"/>
    <w:qFormat/>
    <w:uiPriority w:val="0"/>
    <w:pPr>
      <w:spacing w:before="120" w:after="120"/>
      <w:jc w:val="left"/>
    </w:pPr>
    <w:rPr>
      <w:rFonts w:ascii="等线" w:eastAsia="等线"/>
      <w:b/>
      <w:bCs/>
      <w:caps/>
      <w:sz w:val="20"/>
      <w:szCs w:val="20"/>
    </w:rPr>
  </w:style>
  <w:style w:type="paragraph" w:styleId="9">
    <w:name w:val="footnote text"/>
    <w:basedOn w:val="1"/>
    <w:next w:val="6"/>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 w:type="paragraph" w:customStyle="1" w:styleId="14">
    <w:name w:val="WPSOffice手动目录 2"/>
    <w:qFormat/>
    <w:uiPriority w:val="0"/>
    <w:pPr>
      <w:ind w:leftChars="200"/>
    </w:pPr>
    <w:rPr>
      <w:rFonts w:ascii="Times New Roman" w:hAnsi="Times New Roman" w:eastAsia="宋体" w:cs="Times New Roman"/>
      <w:sz w:val="20"/>
      <w:szCs w:val="20"/>
    </w:rPr>
  </w:style>
  <w:style w:type="paragraph" w:styleId="15">
    <w:name w:val="List Paragraph"/>
    <w:basedOn w:val="1"/>
    <w:qFormat/>
    <w:uiPriority w:val="0"/>
    <w:pPr>
      <w:ind w:firstLine="200" w:firstLineChars="200"/>
    </w:pPr>
  </w:style>
  <w:style w:type="paragraph" w:customStyle="1" w:styleId="1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kylin/MOMO/&#26700;&#38754;&#36164;&#26009;/2025/&#22270;&#26631;%20-%20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kylin/MOMO/&#26700;&#38754;&#36164;&#26009;/2025/&#22270;&#26631;%20-%20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kylin/MOMO/&#26700;&#38754;&#36164;&#26009;/2025/&#22270;&#26631;%20-%20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kylin/MOMO/&#26700;&#38754;&#36164;&#26009;/2025/&#22270;&#26631;%20-%20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kylin/MOMO/&#26700;&#38754;&#36164;&#26009;/2025/&#22270;&#26631;%20-%20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kylin/MOMO/&#26700;&#38754;&#36164;&#26009;/2025/&#22270;&#26631;%20-%20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874CB"/>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- 1(1).xls]图1'!$A$3:$A$4</c:f>
              <c:strCache>
                <c:ptCount val="2"/>
                <c:pt idx="0">
                  <c:v>2025年收、支总计</c:v>
                </c:pt>
                <c:pt idx="1">
                  <c:v>2024年收、支总计</c:v>
                </c:pt>
              </c:strCache>
            </c:strRef>
          </c:cat>
          <c:val>
            <c:numRef>
              <c:f>'[图标 - 1(1).xls]图1'!$B$3:$B$4</c:f>
              <c:numCache>
                <c:formatCode>0.00_ </c:formatCode>
                <c:ptCount val="2"/>
                <c:pt idx="0">
                  <c:v>41.98</c:v>
                </c:pt>
                <c:pt idx="1">
                  <c:v>52.34</c:v>
                </c:pt>
              </c:numCache>
            </c:numRef>
          </c:val>
        </c:ser>
        <c:dLbls>
          <c:showLegendKey val="0"/>
          <c:showVal val="0"/>
          <c:showCatName val="0"/>
          <c:showSerName val="0"/>
          <c:showPercent val="0"/>
          <c:showBubbleSize val="0"/>
        </c:dLbls>
        <c:gapWidth val="219"/>
        <c:overlap val="-27"/>
        <c:axId val="489026647"/>
        <c:axId val="74887929"/>
      </c:barChart>
      <c:catAx>
        <c:axId val="489026647"/>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74887929"/>
        <c:crosses val="autoZero"/>
        <c:auto val="1"/>
        <c:lblAlgn val="ctr"/>
        <c:lblOffset val="100"/>
        <c:noMultiLvlLbl val="0"/>
      </c:catAx>
      <c:valAx>
        <c:axId val="74887929"/>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00_ "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89026647"/>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rgbClr val="4874CB"/>
              </a:solidFill>
              <a:ln>
                <a:solidFill>
                  <a:srgbClr val="FFFFFF"/>
                </a:solidFill>
              </a:ln>
              <a:effectLst/>
            </c:spPr>
          </c:dPt>
          <c:dPt>
            <c:idx val="1"/>
            <c:bubble3D val="0"/>
            <c:explosion val="0"/>
            <c:spPr>
              <a:solidFill>
                <a:srgbClr val="EE822F"/>
              </a:solidFill>
              <a:ln>
                <a:solidFill>
                  <a:srgbClr val="FFFFFF"/>
                </a:solidFill>
              </a:ln>
              <a:effectLst/>
            </c:spPr>
          </c:dPt>
          <c:dLbls>
            <c:dLbl>
              <c:idx val="0"/>
              <c:layout>
                <c:manualLayout>
                  <c:x val="-0.0210583429566764"/>
                  <c:y val="-0.15218515859077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rgbClr val="404040">
                          <a:lumMod val="75000"/>
                          <a:lumOff val="25000"/>
                        </a:srgbClr>
                      </a:solidFill>
                      <a:uFill>
                        <a:solidFill>
                          <a:srgbClr val="404040">
                            <a:lumMod val="75000"/>
                            <a:lumOff val="25000"/>
                          </a:srgbClr>
                        </a:solidFill>
                      </a:u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595294850391058"/>
                  <c:y val="0.032716414373627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rgbClr val="404040">
                          <a:lumMod val="75000"/>
                          <a:lumOff val="25000"/>
                        </a:srgbClr>
                      </a:solidFill>
                      <a:uFill>
                        <a:solidFill>
                          <a:srgbClr val="404040">
                            <a:lumMod val="75000"/>
                            <a:lumOff val="25000"/>
                          </a:srgbClr>
                        </a:solidFill>
                      </a:u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rgbClr val="404040">
                        <a:lumMod val="75000"/>
                        <a:lumOff val="25000"/>
                      </a:srgbClr>
                    </a:solidFill>
                    <a:uFill>
                      <a:solidFill>
                        <a:srgbClr val="404040">
                          <a:lumMod val="75000"/>
                          <a:lumOff val="25000"/>
                        </a:srgbClr>
                      </a:solidFill>
                    </a:u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 - 1(1).xls]图2'!$A$1:$A$2</c:f>
              <c:strCache>
                <c:ptCount val="2"/>
                <c:pt idx="0">
                  <c:v>一般公共预算财政拨款收入</c:v>
                </c:pt>
              </c:strCache>
            </c:strRef>
          </c:cat>
          <c:val>
            <c:numRef>
              <c:f>'[图标 - 1(1).xls]图2'!$B$1:$B$2</c:f>
              <c:numCache>
                <c:formatCode>0.00_ </c:formatCode>
                <c:ptCount val="2"/>
                <c:pt idx="0">
                  <c:v>41.98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rgbClr val="4874CB"/>
              </a:solidFill>
              <a:ln>
                <a:solidFill>
                  <a:srgbClr val="FFFFFF"/>
                </a:solidFill>
              </a:ln>
              <a:effectLst/>
            </c:spPr>
          </c:dPt>
          <c:dPt>
            <c:idx val="1"/>
            <c:bubble3D val="0"/>
            <c:explosion val="0"/>
            <c:spPr>
              <a:solidFill>
                <a:srgbClr val="EE822F"/>
              </a:solidFill>
              <a:ln>
                <a:solidFill>
                  <a:srgbClr val="FFFFFF"/>
                </a:solidFill>
              </a:ln>
              <a:effectLst/>
            </c:spPr>
          </c:dPt>
          <c:dLbls>
            <c:dLbl>
              <c:idx val="0"/>
              <c:layout>
                <c:manualLayout>
                  <c:x val="-0.0210583429566764"/>
                  <c:y val="-0.15218515859077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rgbClr val="404040">
                          <a:lumMod val="75000"/>
                          <a:lumOff val="25000"/>
                        </a:srgbClr>
                      </a:solidFill>
                      <a:uFill>
                        <a:solidFill>
                          <a:srgbClr val="404040">
                            <a:lumMod val="75000"/>
                            <a:lumOff val="25000"/>
                          </a:srgbClr>
                        </a:solidFill>
                      </a:u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595294850391058"/>
                  <c:y val="0.032716414373627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rgbClr val="404040">
                          <a:lumMod val="75000"/>
                          <a:lumOff val="25000"/>
                        </a:srgbClr>
                      </a:solidFill>
                      <a:uFill>
                        <a:solidFill>
                          <a:srgbClr val="404040">
                            <a:lumMod val="75000"/>
                            <a:lumOff val="25000"/>
                          </a:srgbClr>
                        </a:solidFill>
                      </a:u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rgbClr val="404040">
                        <a:lumMod val="75000"/>
                        <a:lumOff val="25000"/>
                      </a:srgbClr>
                    </a:solidFill>
                    <a:uFill>
                      <a:solidFill>
                        <a:srgbClr val="404040">
                          <a:lumMod val="75000"/>
                          <a:lumOff val="25000"/>
                        </a:srgbClr>
                      </a:solidFill>
                    </a:u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 - 1(1).xls]图2'!$A$1:$A$2</c:f>
              <c:strCache>
                <c:ptCount val="2"/>
                <c:pt idx="0">
                  <c:v>基本支出</c:v>
                </c:pt>
              </c:strCache>
            </c:strRef>
          </c:cat>
          <c:val>
            <c:numRef>
              <c:f>'[图标 - 1(1).xls]图2'!$B$1:$B$2</c:f>
              <c:numCache>
                <c:formatCode>0.00_ </c:formatCode>
                <c:ptCount val="2"/>
                <c:pt idx="0">
                  <c:v>41.98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874CB"/>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- 1(1).xls]图1'!$A$3:$A$4</c:f>
              <c:strCache>
                <c:ptCount val="2"/>
                <c:pt idx="0">
                  <c:v>2025年度财政拨款收、支总计</c:v>
                </c:pt>
                <c:pt idx="1">
                  <c:v>2024年度财政拨款收、支总计</c:v>
                </c:pt>
              </c:strCache>
            </c:strRef>
          </c:cat>
          <c:val>
            <c:numRef>
              <c:f>'[图标 - 1(1).xls]图1'!$B$3:$B$4</c:f>
              <c:numCache>
                <c:formatCode>0.00_ </c:formatCode>
                <c:ptCount val="2"/>
                <c:pt idx="0">
                  <c:v>41.98</c:v>
                </c:pt>
                <c:pt idx="1">
                  <c:v>52.34</c:v>
                </c:pt>
              </c:numCache>
            </c:numRef>
          </c:val>
        </c:ser>
        <c:dLbls>
          <c:showLegendKey val="0"/>
          <c:showVal val="0"/>
          <c:showCatName val="0"/>
          <c:showSerName val="0"/>
          <c:showPercent val="0"/>
          <c:showBubbleSize val="0"/>
        </c:dLbls>
        <c:gapWidth val="219"/>
        <c:overlap val="-27"/>
        <c:axId val="489026647"/>
        <c:axId val="74887929"/>
      </c:barChart>
      <c:catAx>
        <c:axId val="489026647"/>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74887929"/>
        <c:crosses val="autoZero"/>
        <c:auto val="1"/>
        <c:lblAlgn val="ctr"/>
        <c:lblOffset val="100"/>
        <c:noMultiLvlLbl val="0"/>
      </c:catAx>
      <c:valAx>
        <c:axId val="74887929"/>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00_ "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89026647"/>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874CB"/>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- 1(1).xls]图1'!$A$3:$A$4</c:f>
              <c:strCache>
                <c:ptCount val="2"/>
                <c:pt idx="0">
                  <c:v>2025年度一般公共预算财政拨款支出</c:v>
                </c:pt>
                <c:pt idx="1">
                  <c:v>2024年度一般公共预算财政拨款支出</c:v>
                </c:pt>
              </c:strCache>
            </c:strRef>
          </c:cat>
          <c:val>
            <c:numRef>
              <c:f>'[图标 - 1(1).xls]图1'!$B$3:$B$4</c:f>
              <c:numCache>
                <c:formatCode>0.00_ </c:formatCode>
                <c:ptCount val="2"/>
                <c:pt idx="0">
                  <c:v>41.98</c:v>
                </c:pt>
                <c:pt idx="1">
                  <c:v>52.34</c:v>
                </c:pt>
              </c:numCache>
            </c:numRef>
          </c:val>
        </c:ser>
        <c:dLbls>
          <c:showLegendKey val="0"/>
          <c:showVal val="0"/>
          <c:showCatName val="0"/>
          <c:showSerName val="0"/>
          <c:showPercent val="0"/>
          <c:showBubbleSize val="0"/>
        </c:dLbls>
        <c:gapWidth val="219"/>
        <c:overlap val="-27"/>
        <c:axId val="489026647"/>
        <c:axId val="74887929"/>
      </c:barChart>
      <c:catAx>
        <c:axId val="489026647"/>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74887929"/>
        <c:crosses val="autoZero"/>
        <c:auto val="1"/>
        <c:lblAlgn val="ctr"/>
        <c:lblOffset val="100"/>
        <c:noMultiLvlLbl val="0"/>
      </c:catAx>
      <c:valAx>
        <c:axId val="74887929"/>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00_ "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89026647"/>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rgbClr val="4874CB"/>
              </a:solidFill>
              <a:ln>
                <a:solidFill>
                  <a:srgbClr val="FFFFFF"/>
                </a:solidFill>
              </a:ln>
              <a:effectLst/>
            </c:spPr>
          </c:dPt>
          <c:dPt>
            <c:idx val="1"/>
            <c:bubble3D val="0"/>
            <c:explosion val="0"/>
            <c:spPr>
              <a:solidFill>
                <a:srgbClr val="EE822F"/>
              </a:solidFill>
              <a:ln>
                <a:solidFill>
                  <a:srgbClr val="FFFFFF"/>
                </a:solidFill>
              </a:ln>
              <a:effectLst/>
            </c:spPr>
          </c:dPt>
          <c:dPt>
            <c:idx val="2"/>
            <c:bubble3D val="0"/>
            <c:explosion val="0"/>
            <c:spPr>
              <a:solidFill>
                <a:srgbClr val="F2BA02"/>
              </a:solidFill>
              <a:ln>
                <a:solidFill>
                  <a:srgbClr val="FFFFFF"/>
                </a:solidFill>
              </a:ln>
              <a:effectLst/>
            </c:spPr>
          </c:dPt>
          <c:dLbls>
            <c:dLbl>
              <c:idx val="0"/>
              <c:layout>
                <c:manualLayout>
                  <c:x val="0.103387562416818"/>
                  <c:y val="0.056458210824579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237805563887245"/>
                  <c:y val="0.025104914431389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404040">
                            <a:lumMod val="75000"/>
                            <a:lumOff val="25000"/>
                          </a:srgbClr>
                        </a:solidFill>
                        <a:latin typeface="+mn-lt"/>
                        <a:ea typeface="+mn-ea"/>
                        <a:cs typeface="+mn-cs"/>
                      </a:defRPr>
                    </a:pPr>
                    <a:r>
                      <a:rPr lang="en-US" altLang="zh-CN" sz="1000" b="0" i="0" u="none" strike="noStrike" baseline="0">
                        <a:solidFill>
                          <a:srgbClr val="333333"/>
                        </a:solidFill>
                        <a:latin typeface="宋体" charset="-122"/>
                        <a:ea typeface="宋体" charset="-122"/>
                        <a:cs typeface="宋体" charset="-122"/>
                      </a:rPr>
                      <a:t>3.51,8.36</a:t>
                    </a:r>
                    <a:r>
                      <a:rPr sz="1000" b="0" i="0" u="none" strike="noStrike" baseline="0">
                        <a:solidFill>
                          <a:srgbClr val="333333"/>
                        </a:solidFill>
                        <a:latin typeface="宋体" charset="-122"/>
                        <a:ea typeface="宋体" charset="-122"/>
                        <a:cs typeface="宋体" charset="-122"/>
                      </a:rPr>
                      <a:t>%</a:t>
                    </a:r>
                    <a:endParaRPr sz="1200" b="0" i="0" u="none" strike="noStrike" baseline="0">
                      <a:solidFill>
                        <a:srgbClr val="000000"/>
                      </a:solidFill>
                      <a:latin typeface="宋体" charset="-122"/>
                      <a:ea typeface="宋体" charset="-122"/>
                      <a:cs typeface="宋体" charset="-122"/>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'[图标 - 1(1).xls]图6'!$A$2:$A$4</c:f>
              <c:strCache>
                <c:ptCount val="3"/>
                <c:pt idx="0">
                  <c:v>社会保障和就业（类）支出</c:v>
                </c:pt>
                <c:pt idx="1">
                  <c:v>卫生健康支出</c:v>
                </c:pt>
                <c:pt idx="2">
                  <c:v>住房保障支出</c:v>
                </c:pt>
              </c:strCache>
            </c:strRef>
          </c:cat>
          <c:val>
            <c:numRef>
              <c:f>'[图标 - 1(1).xls]图6'!$B$2:$B$4</c:f>
              <c:numCache>
                <c:formatCode>0.00_ </c:formatCode>
                <c:ptCount val="3"/>
                <c:pt idx="0">
                  <c:v>1.82</c:v>
                </c:pt>
                <c:pt idx="1">
                  <c:v>36.65</c:v>
                </c:pt>
                <c:pt idx="2">
                  <c:v>3.51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3188</Words>
  <Characters>3496</Characters>
  <Lines>0</Lines>
  <Paragraphs>0</Paragraphs>
  <TotalTime>6.33333333333333</TotalTime>
  <ScaleCrop>false</ScaleCrop>
  <LinksUpToDate>false</LinksUpToDate>
  <CharactersWithSpaces>3557</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2026-08-30T03:08:00Z</dcterms:created>
  <dc:creator>kylin</dc:creator>
  <cp:lastModifiedBy>user</cp:lastModifiedBy>
  <cp:lastPrinted>2026-09-01T11:17:33Z</cp:lastPrinted>
  <dcterms:modified xsi:type="dcterms:W3CDTF">2026-09-07T19:14:16Z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951920333EB07BA699FB906A34BC4EFF_41</vt:lpwstr>
  </property>
  <property fmtid="{D5CDD505-2E9C-101B-9397-08002B2CF9AE}" pid="4" name="KSOTemplateDocerSaveRecord">
    <vt:lpwstr>eyJoZGlkIjoiNTAyNGY2MzVlODMwNGRhNGE2YzE1NDgwMzE4MjczMWUiLCJ1c2VySWQiOiI1MDgzMzgzODQifQ==</vt:lpwstr>
  </property>
</Properties>
</file>