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270454">
      <w:pPr>
        <w:spacing w:line="600" w:lineRule="exact"/>
        <w:jc w:val="left"/>
        <w:outlineLvl w:val="9"/>
        <w:rPr>
          <w:rFonts w:ascii="方正小标宋简体" w:eastAsia="方正小标宋简体"/>
          <w:szCs w:val="21"/>
        </w:rPr>
      </w:pPr>
      <w:bookmarkStart w:id="0" w:name="_Toc15306267"/>
    </w:p>
    <w:p w14:paraId="3A36C58B">
      <w:pPr>
        <w:pStyle w:val="8"/>
        <w:spacing w:before="93" w:beforeLines="0"/>
      </w:pPr>
    </w:p>
    <w:p w14:paraId="539ED8E5">
      <w:pPr>
        <w:spacing w:line="600" w:lineRule="exact"/>
        <w:jc w:val="center"/>
        <w:outlineLvl w:val="9"/>
        <w:rPr>
          <w:rFonts w:ascii="方正小标宋简体" w:eastAsia="方正小标宋简体"/>
          <w:sz w:val="72"/>
          <w:szCs w:val="72"/>
        </w:rPr>
      </w:pPr>
    </w:p>
    <w:p w14:paraId="1A7E8DC6">
      <w:pPr>
        <w:spacing w:line="600" w:lineRule="exact"/>
        <w:jc w:val="center"/>
        <w:outlineLvl w:val="9"/>
        <w:rPr>
          <w:rFonts w:ascii="方正小标宋简体" w:eastAsia="方正小标宋简体"/>
          <w:sz w:val="72"/>
          <w:szCs w:val="72"/>
        </w:rPr>
      </w:pPr>
    </w:p>
    <w:p w14:paraId="5C5884A1">
      <w:pPr>
        <w:adjustRightInd w:val="0"/>
        <w:snapToGrid w:val="0"/>
        <w:spacing w:line="360" w:lineRule="auto"/>
        <w:jc w:val="center"/>
        <w:outlineLvl w:val="0"/>
        <w:rPr>
          <w:rFonts w:ascii="方正小标宋简体" w:eastAsia="方正小标宋简体" w:cs="方正小标宋简体"/>
          <w:sz w:val="44"/>
          <w:szCs w:val="44"/>
        </w:rPr>
      </w:pPr>
      <w:bookmarkStart w:id="1" w:name="_Toc27470"/>
      <w:bookmarkStart w:id="2" w:name="_Toc15378441"/>
      <w:bookmarkStart w:id="3" w:name="_Toc15377193"/>
      <w:bookmarkStart w:id="4" w:name="_Toc15377425"/>
      <w:bookmarkStart w:id="5" w:name="_Toc4075"/>
      <w:bookmarkStart w:id="6" w:name="_Toc15396597"/>
      <w:bookmarkStart w:id="7" w:name="_Toc15396475"/>
      <w:r>
        <w:rPr>
          <w:rFonts w:hint="eastAsia" w:ascii="方正小标宋简体" w:eastAsia="方正小标宋简体" w:cs="方正小标宋简体"/>
          <w:sz w:val="44"/>
          <w:szCs w:val="44"/>
          <w:lang w:eastAsia="zh-CN"/>
        </w:rPr>
        <w:t>2025</w:t>
      </w:r>
      <w:r>
        <w:rPr>
          <w:rFonts w:hint="eastAsia" w:ascii="方正小标宋简体" w:eastAsia="方正小标宋简体" w:cs="方正小标宋简体"/>
          <w:sz w:val="44"/>
          <w:szCs w:val="44"/>
        </w:rPr>
        <w:t>年度</w:t>
      </w:r>
      <w:bookmarkEnd w:id="1"/>
      <w:bookmarkEnd w:id="2"/>
      <w:bookmarkEnd w:id="3"/>
      <w:bookmarkEnd w:id="4"/>
      <w:bookmarkEnd w:id="5"/>
      <w:bookmarkEnd w:id="6"/>
      <w:bookmarkEnd w:id="7"/>
    </w:p>
    <w:p w14:paraId="6FF633AC">
      <w:pPr>
        <w:adjustRightInd w:val="0"/>
        <w:snapToGrid w:val="0"/>
        <w:spacing w:line="360" w:lineRule="auto"/>
        <w:jc w:val="center"/>
        <w:outlineLvl w:val="0"/>
        <w:rPr>
          <w:rFonts w:hint="eastAsia" w:ascii="方正小标宋简体" w:eastAsia="方正小标宋简体" w:cs="方正小标宋简体"/>
          <w:sz w:val="44"/>
          <w:szCs w:val="44"/>
        </w:rPr>
      </w:pPr>
      <w:bookmarkStart w:id="8" w:name="_Toc15377426"/>
      <w:bookmarkStart w:id="9" w:name="_Toc15377194"/>
      <w:bookmarkStart w:id="10" w:name="_Toc15738"/>
      <w:bookmarkStart w:id="11" w:name="_Toc15396598"/>
      <w:bookmarkStart w:id="12" w:name="_Toc15396476"/>
      <w:bookmarkStart w:id="13" w:name="_Toc29140"/>
      <w:bookmarkStart w:id="14" w:name="_Toc15378442"/>
      <w:r>
        <w:rPr>
          <w:rFonts w:hint="eastAsia" w:ascii="方正小标宋简体" w:eastAsia="方正小标宋简体" w:cs="方正小标宋简体"/>
          <w:sz w:val="44"/>
          <w:szCs w:val="44"/>
        </w:rPr>
        <w:t>四川省</w:t>
      </w:r>
      <w:bookmarkEnd w:id="0"/>
      <w:bookmarkStart w:id="15" w:name="_Toc15306268"/>
      <w:r>
        <w:rPr>
          <w:rFonts w:hint="eastAsia" w:ascii="方正小标宋简体" w:eastAsia="方正小标宋简体" w:cs="方正小标宋简体"/>
          <w:sz w:val="44"/>
          <w:szCs w:val="44"/>
          <w:lang w:eastAsia="zh-CN"/>
        </w:rPr>
        <w:t>阿坝州茂县南新镇卫生院</w:t>
      </w:r>
      <w:r>
        <w:rPr>
          <w:rFonts w:hint="eastAsia" w:ascii="方正小标宋简体" w:eastAsia="方正小标宋简体" w:cs="方正小标宋简体"/>
          <w:sz w:val="44"/>
          <w:szCs w:val="44"/>
        </w:rPr>
        <w:t>单位决算</w:t>
      </w:r>
      <w:bookmarkEnd w:id="8"/>
      <w:bookmarkEnd w:id="9"/>
      <w:bookmarkEnd w:id="10"/>
      <w:bookmarkEnd w:id="11"/>
      <w:bookmarkEnd w:id="12"/>
      <w:bookmarkEnd w:id="13"/>
      <w:bookmarkEnd w:id="14"/>
      <w:bookmarkEnd w:id="15"/>
    </w:p>
    <w:p w14:paraId="38380D61">
      <w:pPr>
        <w:adjustRightInd w:val="0"/>
        <w:snapToGrid w:val="0"/>
        <w:spacing w:line="360" w:lineRule="auto"/>
        <w:jc w:val="center"/>
        <w:outlineLvl w:val="0"/>
        <w:rPr>
          <w:rFonts w:hint="eastAsia" w:ascii="方正小标宋简体" w:eastAsia="方正小标宋简体" w:cs="方正小标宋简体"/>
          <w:sz w:val="72"/>
          <w:szCs w:val="72"/>
        </w:rPr>
      </w:pPr>
    </w:p>
    <w:p w14:paraId="02EA6ECB">
      <w:pPr>
        <w:adjustRightInd w:val="0"/>
        <w:snapToGrid w:val="0"/>
        <w:spacing w:line="360" w:lineRule="auto"/>
        <w:jc w:val="center"/>
        <w:outlineLvl w:val="0"/>
        <w:rPr>
          <w:rFonts w:hint="eastAsia" w:ascii="方正小标宋简体" w:eastAsia="方正小标宋简体" w:cs="方正小标宋简体"/>
          <w:sz w:val="72"/>
          <w:szCs w:val="72"/>
        </w:rPr>
      </w:pPr>
    </w:p>
    <w:p w14:paraId="3FA2EAB9">
      <w:pPr>
        <w:adjustRightInd w:val="0"/>
        <w:snapToGrid w:val="0"/>
        <w:spacing w:line="360" w:lineRule="auto"/>
        <w:jc w:val="center"/>
        <w:outlineLvl w:val="0"/>
        <w:rPr>
          <w:rFonts w:hint="eastAsia" w:ascii="方正小标宋简体" w:eastAsia="方正小标宋简体" w:cs="方正小标宋简体"/>
          <w:sz w:val="72"/>
          <w:szCs w:val="72"/>
        </w:rPr>
      </w:pPr>
    </w:p>
    <w:p w14:paraId="6DE03421">
      <w:pPr>
        <w:adjustRightInd w:val="0"/>
        <w:snapToGrid w:val="0"/>
        <w:spacing w:line="360" w:lineRule="auto"/>
        <w:jc w:val="both"/>
        <w:outlineLvl w:val="0"/>
        <w:rPr>
          <w:rFonts w:hint="eastAsia" w:ascii="方正小标宋简体" w:eastAsia="方正小标宋简体" w:cs="方正小标宋简体"/>
          <w:sz w:val="72"/>
          <w:szCs w:val="72"/>
        </w:rPr>
      </w:pPr>
    </w:p>
    <w:p w14:paraId="59DA85AC">
      <w:pPr>
        <w:pageBreakBefore w:val="0"/>
        <w:widowControl w:val="0"/>
        <w:suppressAutoHyphens/>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保密审查情况：已审查，内容审定</w:t>
      </w:r>
    </w:p>
    <w:p w14:paraId="29DE7C76">
      <w:pPr>
        <w:pageBreakBefore w:val="0"/>
        <w:widowControl w:val="0"/>
        <w:suppressAutoHyphens/>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单位主要负责人审签情况：已审签，同意对外公开</w:t>
      </w:r>
    </w:p>
    <w:p w14:paraId="77D600CF">
      <w:pPr>
        <w:widowControl/>
        <w:jc w:val="center"/>
        <w:rPr>
          <w:rFonts w:ascii="黑体" w:eastAsia="黑体" w:cs="Arial"/>
          <w:sz w:val="28"/>
          <w:szCs w:val="28"/>
        </w:rPr>
      </w:pPr>
      <w:r>
        <w:rPr>
          <w:rFonts w:ascii="方正小标宋简体" w:eastAsia="方正小标宋简体"/>
          <w:sz w:val="36"/>
          <w:szCs w:val="36"/>
        </w:rPr>
        <w:br w:type="page"/>
      </w:r>
      <w:r>
        <w:rPr>
          <w:rFonts w:hint="eastAsia" w:ascii="黑体" w:eastAsia="黑体"/>
          <w:sz w:val="48"/>
          <w:szCs w:val="48"/>
        </w:rPr>
        <w:t>目录</w:t>
      </w:r>
    </w:p>
    <w:p w14:paraId="7CA630F5">
      <w:pPr>
        <w:pStyle w:val="1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公开时间：202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年9月</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日</w:t>
      </w:r>
    </w:p>
    <w:sdt>
      <w:sdtPr>
        <w:rPr>
          <w:rFonts w:ascii="宋体" w:eastAsia="宋体" w:cs="Times New Roman"/>
          <w:kern w:val="2"/>
          <w:sz w:val="21"/>
          <w:szCs w:val="24"/>
          <w:lang w:val="en-US" w:eastAsia="zh-CN" w:bidi="ar-SA"/>
        </w:rPr>
        <w:id w:val="1437152588"/>
        <w15:color w:val="DBDBDB"/>
        <w:docPartObj>
          <w:docPartGallery w:val="Table of Contents"/>
          <w:docPartUnique/>
        </w:docPartObj>
      </w:sdtPr>
      <w:sdtEndPr>
        <w:rPr>
          <w:rFonts w:ascii="Times New Roman" w:hAnsi="Times New Roman" w:eastAsia="宋体" w:cs="Times New Roman"/>
          <w:b/>
          <w:kern w:val="2"/>
          <w:sz w:val="20"/>
          <w:szCs w:val="24"/>
          <w:lang w:val="en-US" w:eastAsia="zh-CN" w:bidi="ar-SA"/>
        </w:rPr>
      </w:sdtEndPr>
      <w:sdtContent>
        <w:p w14:paraId="111E584C">
          <w:pPr>
            <w:spacing w:before="0" w:after="0" w:line="240" w:lineRule="auto"/>
            <w:ind w:left="0" w:right="0" w:firstLine="0"/>
            <w:jc w:val="center"/>
            <w:rPr>
              <w:b/>
            </w:rPr>
          </w:pPr>
          <w:r>
            <w:rPr>
              <w:rFonts w:ascii="Times New Roman" w:hAnsi="Times New Roman" w:eastAsia="宋体" w:cs="Times New Roman"/>
              <w:b/>
              <w:sz w:val="20"/>
              <w:szCs w:val="24"/>
            </w:rPr>
            <w:fldChar w:fldCharType="begin"/>
          </w:r>
          <w:r>
            <w:rPr>
              <w:rFonts w:ascii="Times New Roman" w:hAnsi="Times New Roman" w:eastAsia="宋体" w:cs="Times New Roman"/>
              <w:b/>
              <w:sz w:val="20"/>
              <w:szCs w:val="24"/>
            </w:rPr>
            <w:instrText xml:space="preserve">TOC \o "1-2" \h \u </w:instrText>
          </w:r>
          <w:r>
            <w:rPr>
              <w:rFonts w:ascii="Times New Roman" w:hAnsi="Times New Roman" w:eastAsia="宋体" w:cs="Times New Roman"/>
              <w:b/>
              <w:sz w:val="20"/>
              <w:szCs w:val="24"/>
            </w:rPr>
            <w:fldChar w:fldCharType="separate"/>
          </w:r>
        </w:p>
        <w:p w14:paraId="241B99AD">
          <w:pPr>
            <w:pStyle w:val="32"/>
            <w:tabs>
              <w:tab w:val="right" w:leader="dot" w:pos="8306"/>
            </w:tabs>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 HYPERLINK \l _Toc13734 </w:instrText>
          </w:r>
          <w:r>
            <w:rPr>
              <w:rFonts w:hint="eastAsia" w:ascii="仿宋_GB2312" w:hAnsi="仿宋_GB2312" w:eastAsia="仿宋_GB2312" w:cs="仿宋_GB2312"/>
              <w:b w:val="0"/>
              <w:bCs/>
              <w:sz w:val="32"/>
              <w:szCs w:val="32"/>
            </w:rPr>
            <w:fldChar w:fldCharType="separate"/>
          </w:r>
          <w:r>
            <w:rPr>
              <w:rFonts w:hint="eastAsia" w:ascii="仿宋_GB2312" w:hAnsi="仿宋_GB2312" w:eastAsia="仿宋_GB2312" w:cs="仿宋_GB2312"/>
              <w:b w:val="0"/>
              <w:bCs/>
              <w:sz w:val="32"/>
              <w:szCs w:val="32"/>
            </w:rPr>
            <w:t>第一部分 单位概况</w:t>
          </w:r>
          <w:r>
            <w:rPr>
              <w:rFonts w:hint="eastAsia" w:ascii="仿宋_GB2312" w:hAnsi="仿宋_GB2312" w:eastAsia="仿宋_GB2312" w:cs="仿宋_GB2312"/>
              <w:b w:val="0"/>
              <w:bCs/>
              <w:sz w:val="32"/>
              <w:szCs w:val="32"/>
            </w:rPr>
            <w:tab/>
          </w: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 PAGEREF _Toc13734 \h </w:instrText>
          </w:r>
          <w:r>
            <w:rPr>
              <w:rFonts w:hint="eastAsia" w:ascii="仿宋_GB2312" w:hAnsi="仿宋_GB2312" w:eastAsia="仿宋_GB2312" w:cs="仿宋_GB2312"/>
              <w:b w:val="0"/>
              <w:bCs/>
              <w:sz w:val="32"/>
              <w:szCs w:val="32"/>
            </w:rPr>
            <w:fldChar w:fldCharType="separate"/>
          </w:r>
          <w:r>
            <w:rPr>
              <w:rFonts w:hint="eastAsia" w:ascii="仿宋_GB2312" w:hAnsi="仿宋_GB2312" w:eastAsia="仿宋_GB2312" w:cs="仿宋_GB2312"/>
              <w:b w:val="0"/>
              <w:bCs/>
              <w:sz w:val="32"/>
              <w:szCs w:val="32"/>
            </w:rPr>
            <w:t>1</w:t>
          </w:r>
          <w:r>
            <w:rPr>
              <w:rFonts w:hint="eastAsia" w:ascii="仿宋_GB2312" w:hAnsi="仿宋_GB2312" w:eastAsia="仿宋_GB2312" w:cs="仿宋_GB2312"/>
              <w:b w:val="0"/>
              <w:bCs/>
              <w:sz w:val="32"/>
              <w:szCs w:val="32"/>
            </w:rPr>
            <w:fldChar w:fldCharType="end"/>
          </w:r>
          <w:r>
            <w:rPr>
              <w:rFonts w:hint="eastAsia" w:ascii="仿宋_GB2312" w:hAnsi="仿宋_GB2312" w:eastAsia="仿宋_GB2312" w:cs="仿宋_GB2312"/>
              <w:b w:val="0"/>
              <w:bCs/>
              <w:sz w:val="32"/>
              <w:szCs w:val="32"/>
            </w:rPr>
            <w:fldChar w:fldCharType="end"/>
          </w:r>
        </w:p>
        <w:p w14:paraId="3EF4B497">
          <w:pPr>
            <w:pStyle w:val="33"/>
            <w:tabs>
              <w:tab w:val="right" w:leader="dot" w:pos="8306"/>
            </w:tabs>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 HYPERLINK \l _Toc22981 </w:instrText>
          </w:r>
          <w:r>
            <w:rPr>
              <w:rFonts w:hint="eastAsia" w:ascii="仿宋_GB2312" w:hAnsi="仿宋_GB2312" w:eastAsia="仿宋_GB2312" w:cs="仿宋_GB2312"/>
              <w:b w:val="0"/>
              <w:bCs/>
              <w:sz w:val="32"/>
              <w:szCs w:val="32"/>
            </w:rPr>
            <w:fldChar w:fldCharType="separate"/>
          </w:r>
          <w:r>
            <w:rPr>
              <w:rFonts w:hint="eastAsia" w:ascii="仿宋_GB2312" w:hAnsi="仿宋_GB2312" w:eastAsia="仿宋_GB2312" w:cs="仿宋_GB2312"/>
              <w:b w:val="0"/>
              <w:bCs/>
              <w:sz w:val="32"/>
              <w:szCs w:val="32"/>
              <w:lang w:eastAsia="zh-CN"/>
            </w:rPr>
            <w:t>一、</w:t>
          </w:r>
          <w:r>
            <w:rPr>
              <w:rFonts w:hint="eastAsia" w:ascii="仿宋_GB2312" w:hAnsi="仿宋_GB2312" w:eastAsia="仿宋_GB2312" w:cs="仿宋_GB2312"/>
              <w:b w:val="0"/>
              <w:bCs/>
              <w:sz w:val="32"/>
              <w:szCs w:val="32"/>
            </w:rPr>
            <w:t>主要职责</w:t>
          </w:r>
          <w:r>
            <w:rPr>
              <w:rFonts w:hint="eastAsia" w:ascii="仿宋_GB2312" w:hAnsi="仿宋_GB2312" w:eastAsia="仿宋_GB2312" w:cs="仿宋_GB2312"/>
              <w:b w:val="0"/>
              <w:bCs/>
              <w:sz w:val="32"/>
              <w:szCs w:val="32"/>
            </w:rPr>
            <w:tab/>
          </w: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 PAGEREF _Toc22981 \h </w:instrText>
          </w:r>
          <w:r>
            <w:rPr>
              <w:rFonts w:hint="eastAsia" w:ascii="仿宋_GB2312" w:hAnsi="仿宋_GB2312" w:eastAsia="仿宋_GB2312" w:cs="仿宋_GB2312"/>
              <w:b w:val="0"/>
              <w:bCs/>
              <w:sz w:val="32"/>
              <w:szCs w:val="32"/>
            </w:rPr>
            <w:fldChar w:fldCharType="separate"/>
          </w:r>
          <w:r>
            <w:rPr>
              <w:rFonts w:hint="eastAsia" w:ascii="仿宋_GB2312" w:hAnsi="仿宋_GB2312" w:eastAsia="仿宋_GB2312" w:cs="仿宋_GB2312"/>
              <w:b w:val="0"/>
              <w:bCs/>
              <w:sz w:val="32"/>
              <w:szCs w:val="32"/>
            </w:rPr>
            <w:t>1</w:t>
          </w:r>
          <w:r>
            <w:rPr>
              <w:rFonts w:hint="eastAsia" w:ascii="仿宋_GB2312" w:hAnsi="仿宋_GB2312" w:eastAsia="仿宋_GB2312" w:cs="仿宋_GB2312"/>
              <w:b w:val="0"/>
              <w:bCs/>
              <w:sz w:val="32"/>
              <w:szCs w:val="32"/>
            </w:rPr>
            <w:fldChar w:fldCharType="end"/>
          </w:r>
          <w:r>
            <w:rPr>
              <w:rFonts w:hint="eastAsia" w:ascii="仿宋_GB2312" w:hAnsi="仿宋_GB2312" w:eastAsia="仿宋_GB2312" w:cs="仿宋_GB2312"/>
              <w:b w:val="0"/>
              <w:bCs/>
              <w:sz w:val="32"/>
              <w:szCs w:val="32"/>
            </w:rPr>
            <w:fldChar w:fldCharType="end"/>
          </w:r>
        </w:p>
        <w:p w14:paraId="5B581588">
          <w:pPr>
            <w:pStyle w:val="33"/>
            <w:tabs>
              <w:tab w:val="right" w:leader="dot" w:pos="8306"/>
            </w:tabs>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 HYPERLINK \l _Toc23027 </w:instrText>
          </w:r>
          <w:r>
            <w:rPr>
              <w:rFonts w:hint="eastAsia" w:ascii="仿宋_GB2312" w:hAnsi="仿宋_GB2312" w:eastAsia="仿宋_GB2312" w:cs="仿宋_GB2312"/>
              <w:b w:val="0"/>
              <w:bCs/>
              <w:sz w:val="32"/>
              <w:szCs w:val="32"/>
            </w:rPr>
            <w:fldChar w:fldCharType="separate"/>
          </w:r>
          <w:r>
            <w:rPr>
              <w:rFonts w:hint="eastAsia" w:ascii="仿宋_GB2312" w:hAnsi="仿宋_GB2312" w:eastAsia="仿宋_GB2312" w:cs="仿宋_GB2312"/>
              <w:b w:val="0"/>
              <w:bCs/>
              <w:sz w:val="32"/>
              <w:szCs w:val="32"/>
            </w:rPr>
            <w:t>二、机构设置</w:t>
          </w:r>
          <w:r>
            <w:rPr>
              <w:rFonts w:hint="eastAsia" w:ascii="仿宋_GB2312" w:hAnsi="仿宋_GB2312" w:eastAsia="仿宋_GB2312" w:cs="仿宋_GB2312"/>
              <w:b w:val="0"/>
              <w:bCs/>
              <w:sz w:val="32"/>
              <w:szCs w:val="32"/>
            </w:rPr>
            <w:tab/>
          </w: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 PAGEREF _Toc23027 \h </w:instrText>
          </w:r>
          <w:r>
            <w:rPr>
              <w:rFonts w:hint="eastAsia" w:ascii="仿宋_GB2312" w:hAnsi="仿宋_GB2312" w:eastAsia="仿宋_GB2312" w:cs="仿宋_GB2312"/>
              <w:b w:val="0"/>
              <w:bCs/>
              <w:sz w:val="32"/>
              <w:szCs w:val="32"/>
            </w:rPr>
            <w:fldChar w:fldCharType="separate"/>
          </w:r>
          <w:r>
            <w:rPr>
              <w:rFonts w:hint="eastAsia" w:ascii="仿宋_GB2312" w:hAnsi="仿宋_GB2312" w:eastAsia="仿宋_GB2312" w:cs="仿宋_GB2312"/>
              <w:b w:val="0"/>
              <w:bCs/>
              <w:sz w:val="32"/>
              <w:szCs w:val="32"/>
            </w:rPr>
            <w:t>1</w:t>
          </w:r>
          <w:r>
            <w:rPr>
              <w:rFonts w:hint="eastAsia" w:ascii="仿宋_GB2312" w:hAnsi="仿宋_GB2312" w:eastAsia="仿宋_GB2312" w:cs="仿宋_GB2312"/>
              <w:b w:val="0"/>
              <w:bCs/>
              <w:sz w:val="32"/>
              <w:szCs w:val="32"/>
            </w:rPr>
            <w:fldChar w:fldCharType="end"/>
          </w:r>
          <w:r>
            <w:rPr>
              <w:rFonts w:hint="eastAsia" w:ascii="仿宋_GB2312" w:hAnsi="仿宋_GB2312" w:eastAsia="仿宋_GB2312" w:cs="仿宋_GB2312"/>
              <w:b w:val="0"/>
              <w:bCs/>
              <w:sz w:val="32"/>
              <w:szCs w:val="32"/>
            </w:rPr>
            <w:fldChar w:fldCharType="end"/>
          </w:r>
        </w:p>
        <w:p w14:paraId="4B551B57">
          <w:pPr>
            <w:pStyle w:val="32"/>
            <w:tabs>
              <w:tab w:val="right" w:leader="dot" w:pos="8306"/>
            </w:tabs>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 HYPERLINK \l _Toc12705 </w:instrText>
          </w:r>
          <w:r>
            <w:rPr>
              <w:rFonts w:hint="eastAsia" w:ascii="仿宋_GB2312" w:hAnsi="仿宋_GB2312" w:eastAsia="仿宋_GB2312" w:cs="仿宋_GB2312"/>
              <w:b w:val="0"/>
              <w:bCs/>
              <w:sz w:val="32"/>
              <w:szCs w:val="32"/>
            </w:rPr>
            <w:fldChar w:fldCharType="separate"/>
          </w:r>
          <w:r>
            <w:rPr>
              <w:rFonts w:hint="eastAsia" w:ascii="仿宋_GB2312" w:hAnsi="仿宋_GB2312" w:eastAsia="仿宋_GB2312" w:cs="仿宋_GB2312"/>
              <w:b w:val="0"/>
              <w:bCs/>
              <w:sz w:val="32"/>
              <w:szCs w:val="32"/>
            </w:rPr>
            <w:t xml:space="preserve">第二部分 </w:t>
          </w:r>
          <w:r>
            <w:rPr>
              <w:rFonts w:hint="eastAsia" w:ascii="仿宋_GB2312" w:hAnsi="仿宋_GB2312" w:eastAsia="仿宋_GB2312" w:cs="仿宋_GB2312"/>
              <w:b w:val="0"/>
              <w:bCs/>
              <w:sz w:val="32"/>
              <w:szCs w:val="32"/>
              <w:lang w:eastAsia="zh-CN"/>
            </w:rPr>
            <w:t>2025</w:t>
          </w:r>
          <w:r>
            <w:rPr>
              <w:rFonts w:hint="eastAsia" w:ascii="仿宋_GB2312" w:hAnsi="仿宋_GB2312" w:eastAsia="仿宋_GB2312" w:cs="仿宋_GB2312"/>
              <w:b w:val="0"/>
              <w:bCs/>
              <w:sz w:val="32"/>
              <w:szCs w:val="32"/>
            </w:rPr>
            <w:t>年度单位决算情况说明</w:t>
          </w:r>
          <w:r>
            <w:rPr>
              <w:rFonts w:hint="eastAsia" w:ascii="仿宋_GB2312" w:hAnsi="仿宋_GB2312" w:eastAsia="仿宋_GB2312" w:cs="仿宋_GB2312"/>
              <w:b w:val="0"/>
              <w:bCs/>
              <w:sz w:val="32"/>
              <w:szCs w:val="32"/>
            </w:rPr>
            <w:tab/>
          </w: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 PAGEREF _Toc12705 \h </w:instrText>
          </w:r>
          <w:r>
            <w:rPr>
              <w:rFonts w:hint="eastAsia" w:ascii="仿宋_GB2312" w:hAnsi="仿宋_GB2312" w:eastAsia="仿宋_GB2312" w:cs="仿宋_GB2312"/>
              <w:b w:val="0"/>
              <w:bCs/>
              <w:sz w:val="32"/>
              <w:szCs w:val="32"/>
            </w:rPr>
            <w:fldChar w:fldCharType="separate"/>
          </w:r>
          <w:r>
            <w:rPr>
              <w:rFonts w:hint="eastAsia" w:ascii="仿宋_GB2312" w:hAnsi="仿宋_GB2312" w:eastAsia="仿宋_GB2312" w:cs="仿宋_GB2312"/>
              <w:b w:val="0"/>
              <w:bCs/>
              <w:sz w:val="32"/>
              <w:szCs w:val="32"/>
            </w:rPr>
            <w:t>2</w:t>
          </w:r>
          <w:r>
            <w:rPr>
              <w:rFonts w:hint="eastAsia" w:ascii="仿宋_GB2312" w:hAnsi="仿宋_GB2312" w:eastAsia="仿宋_GB2312" w:cs="仿宋_GB2312"/>
              <w:b w:val="0"/>
              <w:bCs/>
              <w:sz w:val="32"/>
              <w:szCs w:val="32"/>
            </w:rPr>
            <w:fldChar w:fldCharType="end"/>
          </w:r>
          <w:r>
            <w:rPr>
              <w:rFonts w:hint="eastAsia" w:ascii="仿宋_GB2312" w:hAnsi="仿宋_GB2312" w:eastAsia="仿宋_GB2312" w:cs="仿宋_GB2312"/>
              <w:b w:val="0"/>
              <w:bCs/>
              <w:sz w:val="32"/>
              <w:szCs w:val="32"/>
            </w:rPr>
            <w:fldChar w:fldCharType="end"/>
          </w:r>
        </w:p>
        <w:p w14:paraId="7CDA07FD">
          <w:pPr>
            <w:pStyle w:val="33"/>
            <w:tabs>
              <w:tab w:val="right" w:leader="dot" w:pos="8306"/>
            </w:tabs>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 HYPERLINK \l _Toc10787 </w:instrText>
          </w:r>
          <w:r>
            <w:rPr>
              <w:rFonts w:hint="eastAsia" w:ascii="仿宋_GB2312" w:hAnsi="仿宋_GB2312" w:eastAsia="仿宋_GB2312" w:cs="仿宋_GB2312"/>
              <w:b w:val="0"/>
              <w:bCs/>
              <w:sz w:val="32"/>
              <w:szCs w:val="32"/>
            </w:rPr>
            <w:fldChar w:fldCharType="separate"/>
          </w:r>
          <w:r>
            <w:rPr>
              <w:rFonts w:hint="eastAsia" w:ascii="仿宋_GB2312" w:hAnsi="仿宋_GB2312" w:eastAsia="仿宋_GB2312" w:cs="仿宋_GB2312"/>
              <w:b w:val="0"/>
              <w:bCs/>
              <w:sz w:val="32"/>
              <w:szCs w:val="32"/>
            </w:rPr>
            <w:t>一、收入支出决算总体情况说明</w:t>
          </w:r>
          <w:r>
            <w:rPr>
              <w:rFonts w:hint="eastAsia" w:ascii="仿宋_GB2312" w:hAnsi="仿宋_GB2312" w:eastAsia="仿宋_GB2312" w:cs="仿宋_GB2312"/>
              <w:b w:val="0"/>
              <w:bCs/>
              <w:sz w:val="32"/>
              <w:szCs w:val="32"/>
            </w:rPr>
            <w:tab/>
          </w: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 PAGEREF _Toc10787 \h </w:instrText>
          </w:r>
          <w:r>
            <w:rPr>
              <w:rFonts w:hint="eastAsia" w:ascii="仿宋_GB2312" w:hAnsi="仿宋_GB2312" w:eastAsia="仿宋_GB2312" w:cs="仿宋_GB2312"/>
              <w:b w:val="0"/>
              <w:bCs/>
              <w:sz w:val="32"/>
              <w:szCs w:val="32"/>
            </w:rPr>
            <w:fldChar w:fldCharType="separate"/>
          </w:r>
          <w:r>
            <w:rPr>
              <w:rFonts w:hint="eastAsia" w:ascii="仿宋_GB2312" w:hAnsi="仿宋_GB2312" w:eastAsia="仿宋_GB2312" w:cs="仿宋_GB2312"/>
              <w:b w:val="0"/>
              <w:bCs/>
              <w:sz w:val="32"/>
              <w:szCs w:val="32"/>
            </w:rPr>
            <w:t>2</w:t>
          </w:r>
          <w:r>
            <w:rPr>
              <w:rFonts w:hint="eastAsia" w:ascii="仿宋_GB2312" w:hAnsi="仿宋_GB2312" w:eastAsia="仿宋_GB2312" w:cs="仿宋_GB2312"/>
              <w:b w:val="0"/>
              <w:bCs/>
              <w:sz w:val="32"/>
              <w:szCs w:val="32"/>
            </w:rPr>
            <w:fldChar w:fldCharType="end"/>
          </w:r>
          <w:r>
            <w:rPr>
              <w:rFonts w:hint="eastAsia" w:ascii="仿宋_GB2312" w:hAnsi="仿宋_GB2312" w:eastAsia="仿宋_GB2312" w:cs="仿宋_GB2312"/>
              <w:b w:val="0"/>
              <w:bCs/>
              <w:sz w:val="32"/>
              <w:szCs w:val="32"/>
            </w:rPr>
            <w:fldChar w:fldCharType="end"/>
          </w:r>
        </w:p>
        <w:p w14:paraId="544311B6">
          <w:pPr>
            <w:pStyle w:val="33"/>
            <w:tabs>
              <w:tab w:val="right" w:leader="dot" w:pos="8306"/>
            </w:tabs>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 HYPERLINK \l _Toc28202 </w:instrText>
          </w:r>
          <w:r>
            <w:rPr>
              <w:rFonts w:hint="eastAsia" w:ascii="仿宋_GB2312" w:hAnsi="仿宋_GB2312" w:eastAsia="仿宋_GB2312" w:cs="仿宋_GB2312"/>
              <w:b w:val="0"/>
              <w:bCs/>
              <w:sz w:val="32"/>
              <w:szCs w:val="32"/>
            </w:rPr>
            <w:fldChar w:fldCharType="separate"/>
          </w:r>
          <w:r>
            <w:rPr>
              <w:rFonts w:hint="eastAsia" w:ascii="仿宋_GB2312" w:hAnsi="仿宋_GB2312" w:eastAsia="仿宋_GB2312" w:cs="仿宋_GB2312"/>
              <w:b w:val="0"/>
              <w:bCs/>
              <w:sz w:val="32"/>
              <w:szCs w:val="32"/>
            </w:rPr>
            <w:t>二、收入决算情况说明</w:t>
          </w:r>
          <w:r>
            <w:rPr>
              <w:rFonts w:hint="eastAsia" w:ascii="仿宋_GB2312" w:hAnsi="仿宋_GB2312" w:eastAsia="仿宋_GB2312" w:cs="仿宋_GB2312"/>
              <w:b w:val="0"/>
              <w:bCs/>
              <w:sz w:val="32"/>
              <w:szCs w:val="32"/>
            </w:rPr>
            <w:tab/>
          </w: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 PAGEREF _Toc28202 \h </w:instrText>
          </w:r>
          <w:r>
            <w:rPr>
              <w:rFonts w:hint="eastAsia" w:ascii="仿宋_GB2312" w:hAnsi="仿宋_GB2312" w:eastAsia="仿宋_GB2312" w:cs="仿宋_GB2312"/>
              <w:b w:val="0"/>
              <w:bCs/>
              <w:sz w:val="32"/>
              <w:szCs w:val="32"/>
            </w:rPr>
            <w:fldChar w:fldCharType="separate"/>
          </w:r>
          <w:r>
            <w:rPr>
              <w:rFonts w:hint="eastAsia" w:ascii="仿宋_GB2312" w:hAnsi="仿宋_GB2312" w:eastAsia="仿宋_GB2312" w:cs="仿宋_GB2312"/>
              <w:b w:val="0"/>
              <w:bCs/>
              <w:sz w:val="32"/>
              <w:szCs w:val="32"/>
            </w:rPr>
            <w:t>2</w:t>
          </w:r>
          <w:r>
            <w:rPr>
              <w:rFonts w:hint="eastAsia" w:ascii="仿宋_GB2312" w:hAnsi="仿宋_GB2312" w:eastAsia="仿宋_GB2312" w:cs="仿宋_GB2312"/>
              <w:b w:val="0"/>
              <w:bCs/>
              <w:sz w:val="32"/>
              <w:szCs w:val="32"/>
            </w:rPr>
            <w:fldChar w:fldCharType="end"/>
          </w:r>
          <w:r>
            <w:rPr>
              <w:rFonts w:hint="eastAsia" w:ascii="仿宋_GB2312" w:hAnsi="仿宋_GB2312" w:eastAsia="仿宋_GB2312" w:cs="仿宋_GB2312"/>
              <w:b w:val="0"/>
              <w:bCs/>
              <w:sz w:val="32"/>
              <w:szCs w:val="32"/>
            </w:rPr>
            <w:fldChar w:fldCharType="end"/>
          </w:r>
        </w:p>
        <w:p w14:paraId="3A8FCFD7">
          <w:pPr>
            <w:pStyle w:val="33"/>
            <w:tabs>
              <w:tab w:val="right" w:leader="dot" w:pos="8306"/>
            </w:tabs>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 HYPERLINK \l _Toc29706 </w:instrText>
          </w:r>
          <w:r>
            <w:rPr>
              <w:rFonts w:hint="eastAsia" w:ascii="仿宋_GB2312" w:hAnsi="仿宋_GB2312" w:eastAsia="仿宋_GB2312" w:cs="仿宋_GB2312"/>
              <w:b w:val="0"/>
              <w:bCs/>
              <w:sz w:val="32"/>
              <w:szCs w:val="32"/>
            </w:rPr>
            <w:fldChar w:fldCharType="separate"/>
          </w:r>
          <w:r>
            <w:rPr>
              <w:rFonts w:hint="eastAsia" w:ascii="仿宋_GB2312" w:hAnsi="仿宋_GB2312" w:eastAsia="仿宋_GB2312" w:cs="仿宋_GB2312"/>
              <w:b w:val="0"/>
              <w:bCs/>
              <w:sz w:val="32"/>
              <w:szCs w:val="32"/>
            </w:rPr>
            <w:t>三、支出决算情况说明</w:t>
          </w:r>
          <w:r>
            <w:rPr>
              <w:rFonts w:hint="eastAsia" w:ascii="仿宋_GB2312" w:hAnsi="仿宋_GB2312" w:eastAsia="仿宋_GB2312" w:cs="仿宋_GB2312"/>
              <w:b w:val="0"/>
              <w:bCs/>
              <w:sz w:val="32"/>
              <w:szCs w:val="32"/>
            </w:rPr>
            <w:tab/>
          </w: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 PAGEREF _Toc29706 \h </w:instrText>
          </w:r>
          <w:r>
            <w:rPr>
              <w:rFonts w:hint="eastAsia" w:ascii="仿宋_GB2312" w:hAnsi="仿宋_GB2312" w:eastAsia="仿宋_GB2312" w:cs="仿宋_GB2312"/>
              <w:b w:val="0"/>
              <w:bCs/>
              <w:sz w:val="32"/>
              <w:szCs w:val="32"/>
            </w:rPr>
            <w:fldChar w:fldCharType="separate"/>
          </w:r>
          <w:r>
            <w:rPr>
              <w:rFonts w:hint="eastAsia" w:ascii="仿宋_GB2312" w:hAnsi="仿宋_GB2312" w:eastAsia="仿宋_GB2312" w:cs="仿宋_GB2312"/>
              <w:b w:val="0"/>
              <w:bCs/>
              <w:sz w:val="32"/>
              <w:szCs w:val="32"/>
            </w:rPr>
            <w:t>3</w:t>
          </w:r>
          <w:r>
            <w:rPr>
              <w:rFonts w:hint="eastAsia" w:ascii="仿宋_GB2312" w:hAnsi="仿宋_GB2312" w:eastAsia="仿宋_GB2312" w:cs="仿宋_GB2312"/>
              <w:b w:val="0"/>
              <w:bCs/>
              <w:sz w:val="32"/>
              <w:szCs w:val="32"/>
            </w:rPr>
            <w:fldChar w:fldCharType="end"/>
          </w:r>
          <w:r>
            <w:rPr>
              <w:rFonts w:hint="eastAsia" w:ascii="仿宋_GB2312" w:hAnsi="仿宋_GB2312" w:eastAsia="仿宋_GB2312" w:cs="仿宋_GB2312"/>
              <w:b w:val="0"/>
              <w:bCs/>
              <w:sz w:val="32"/>
              <w:szCs w:val="32"/>
            </w:rPr>
            <w:fldChar w:fldCharType="end"/>
          </w:r>
        </w:p>
        <w:p w14:paraId="6F2F4DE2">
          <w:pPr>
            <w:pStyle w:val="33"/>
            <w:tabs>
              <w:tab w:val="right" w:leader="dot" w:pos="8306"/>
            </w:tabs>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 HYPERLINK \l _Toc19728 </w:instrText>
          </w:r>
          <w:r>
            <w:rPr>
              <w:rFonts w:hint="eastAsia" w:ascii="仿宋_GB2312" w:hAnsi="仿宋_GB2312" w:eastAsia="仿宋_GB2312" w:cs="仿宋_GB2312"/>
              <w:b w:val="0"/>
              <w:bCs/>
              <w:sz w:val="32"/>
              <w:szCs w:val="32"/>
            </w:rPr>
            <w:fldChar w:fldCharType="separate"/>
          </w:r>
          <w:r>
            <w:rPr>
              <w:rFonts w:hint="eastAsia" w:ascii="仿宋_GB2312" w:hAnsi="仿宋_GB2312" w:eastAsia="仿宋_GB2312" w:cs="仿宋_GB2312"/>
              <w:b w:val="0"/>
              <w:bCs/>
              <w:sz w:val="32"/>
              <w:szCs w:val="32"/>
            </w:rPr>
            <w:t>四、财政拨款收入支出决算总体情况说明</w:t>
          </w:r>
          <w:r>
            <w:rPr>
              <w:rFonts w:hint="eastAsia" w:ascii="仿宋_GB2312" w:hAnsi="仿宋_GB2312" w:eastAsia="仿宋_GB2312" w:cs="仿宋_GB2312"/>
              <w:b w:val="0"/>
              <w:bCs/>
              <w:sz w:val="32"/>
              <w:szCs w:val="32"/>
            </w:rPr>
            <w:tab/>
          </w: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 PAGEREF _Toc19728 \h </w:instrText>
          </w:r>
          <w:r>
            <w:rPr>
              <w:rFonts w:hint="eastAsia" w:ascii="仿宋_GB2312" w:hAnsi="仿宋_GB2312" w:eastAsia="仿宋_GB2312" w:cs="仿宋_GB2312"/>
              <w:b w:val="0"/>
              <w:bCs/>
              <w:sz w:val="32"/>
              <w:szCs w:val="32"/>
            </w:rPr>
            <w:fldChar w:fldCharType="separate"/>
          </w:r>
          <w:r>
            <w:rPr>
              <w:rFonts w:hint="eastAsia" w:ascii="仿宋_GB2312" w:hAnsi="仿宋_GB2312" w:eastAsia="仿宋_GB2312" w:cs="仿宋_GB2312"/>
              <w:b w:val="0"/>
              <w:bCs/>
              <w:sz w:val="32"/>
              <w:szCs w:val="32"/>
            </w:rPr>
            <w:t>3</w:t>
          </w:r>
          <w:r>
            <w:rPr>
              <w:rFonts w:hint="eastAsia" w:ascii="仿宋_GB2312" w:hAnsi="仿宋_GB2312" w:eastAsia="仿宋_GB2312" w:cs="仿宋_GB2312"/>
              <w:b w:val="0"/>
              <w:bCs/>
              <w:sz w:val="32"/>
              <w:szCs w:val="32"/>
            </w:rPr>
            <w:fldChar w:fldCharType="end"/>
          </w:r>
          <w:r>
            <w:rPr>
              <w:rFonts w:hint="eastAsia" w:ascii="仿宋_GB2312" w:hAnsi="仿宋_GB2312" w:eastAsia="仿宋_GB2312" w:cs="仿宋_GB2312"/>
              <w:b w:val="0"/>
              <w:bCs/>
              <w:sz w:val="32"/>
              <w:szCs w:val="32"/>
            </w:rPr>
            <w:fldChar w:fldCharType="end"/>
          </w:r>
        </w:p>
        <w:p w14:paraId="3583AAE6">
          <w:pPr>
            <w:pStyle w:val="33"/>
            <w:tabs>
              <w:tab w:val="right" w:leader="dot" w:pos="8306"/>
            </w:tabs>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 HYPERLINK \l _Toc21121 </w:instrText>
          </w:r>
          <w:r>
            <w:rPr>
              <w:rFonts w:hint="eastAsia" w:ascii="仿宋_GB2312" w:hAnsi="仿宋_GB2312" w:eastAsia="仿宋_GB2312" w:cs="仿宋_GB2312"/>
              <w:b w:val="0"/>
              <w:bCs/>
              <w:sz w:val="32"/>
              <w:szCs w:val="32"/>
            </w:rPr>
            <w:fldChar w:fldCharType="separate"/>
          </w:r>
          <w:r>
            <w:rPr>
              <w:rFonts w:hint="eastAsia" w:ascii="仿宋_GB2312" w:hAnsi="仿宋_GB2312" w:eastAsia="仿宋_GB2312" w:cs="仿宋_GB2312"/>
              <w:b w:val="0"/>
              <w:bCs/>
              <w:sz w:val="32"/>
              <w:szCs w:val="32"/>
            </w:rPr>
            <w:t>五、一般公共预算财政拨款支出决算情况说明</w:t>
          </w:r>
          <w:r>
            <w:rPr>
              <w:rFonts w:hint="eastAsia" w:ascii="仿宋_GB2312" w:hAnsi="仿宋_GB2312" w:eastAsia="仿宋_GB2312" w:cs="仿宋_GB2312"/>
              <w:b w:val="0"/>
              <w:bCs/>
              <w:sz w:val="32"/>
              <w:szCs w:val="32"/>
            </w:rPr>
            <w:tab/>
          </w: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 PAGEREF _Toc21121 \h </w:instrText>
          </w:r>
          <w:r>
            <w:rPr>
              <w:rFonts w:hint="eastAsia" w:ascii="仿宋_GB2312" w:hAnsi="仿宋_GB2312" w:eastAsia="仿宋_GB2312" w:cs="仿宋_GB2312"/>
              <w:b w:val="0"/>
              <w:bCs/>
              <w:sz w:val="32"/>
              <w:szCs w:val="32"/>
            </w:rPr>
            <w:fldChar w:fldCharType="separate"/>
          </w:r>
          <w:r>
            <w:rPr>
              <w:rFonts w:hint="eastAsia" w:ascii="仿宋_GB2312" w:hAnsi="仿宋_GB2312" w:eastAsia="仿宋_GB2312" w:cs="仿宋_GB2312"/>
              <w:b w:val="0"/>
              <w:bCs/>
              <w:sz w:val="32"/>
              <w:szCs w:val="32"/>
            </w:rPr>
            <w:t>3</w:t>
          </w:r>
          <w:r>
            <w:rPr>
              <w:rFonts w:hint="eastAsia" w:ascii="仿宋_GB2312" w:hAnsi="仿宋_GB2312" w:eastAsia="仿宋_GB2312" w:cs="仿宋_GB2312"/>
              <w:b w:val="0"/>
              <w:bCs/>
              <w:sz w:val="32"/>
              <w:szCs w:val="32"/>
            </w:rPr>
            <w:fldChar w:fldCharType="end"/>
          </w:r>
          <w:r>
            <w:rPr>
              <w:rFonts w:hint="eastAsia" w:ascii="仿宋_GB2312" w:hAnsi="仿宋_GB2312" w:eastAsia="仿宋_GB2312" w:cs="仿宋_GB2312"/>
              <w:b w:val="0"/>
              <w:bCs/>
              <w:sz w:val="32"/>
              <w:szCs w:val="32"/>
            </w:rPr>
            <w:fldChar w:fldCharType="end"/>
          </w:r>
        </w:p>
        <w:p w14:paraId="14C87346">
          <w:pPr>
            <w:pStyle w:val="33"/>
            <w:tabs>
              <w:tab w:val="right" w:leader="dot" w:pos="8306"/>
            </w:tabs>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 HYPERLINK \l _Toc9320 </w:instrText>
          </w:r>
          <w:r>
            <w:rPr>
              <w:rFonts w:hint="eastAsia" w:ascii="仿宋_GB2312" w:hAnsi="仿宋_GB2312" w:eastAsia="仿宋_GB2312" w:cs="仿宋_GB2312"/>
              <w:b w:val="0"/>
              <w:bCs/>
              <w:sz w:val="32"/>
              <w:szCs w:val="32"/>
            </w:rPr>
            <w:fldChar w:fldCharType="separate"/>
          </w:r>
          <w:r>
            <w:rPr>
              <w:rFonts w:hint="eastAsia" w:ascii="仿宋_GB2312" w:hAnsi="仿宋_GB2312" w:eastAsia="仿宋_GB2312" w:cs="仿宋_GB2312"/>
              <w:b w:val="0"/>
              <w:bCs/>
              <w:sz w:val="32"/>
              <w:szCs w:val="32"/>
            </w:rPr>
            <w:t>六、一般公共预算财政拨款基本支出决算情况说明</w:t>
          </w:r>
          <w:r>
            <w:rPr>
              <w:rFonts w:hint="eastAsia" w:ascii="仿宋_GB2312" w:hAnsi="仿宋_GB2312" w:eastAsia="仿宋_GB2312" w:cs="仿宋_GB2312"/>
              <w:b w:val="0"/>
              <w:bCs/>
              <w:sz w:val="32"/>
              <w:szCs w:val="32"/>
            </w:rPr>
            <w:tab/>
          </w: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 PAGEREF _Toc9320 \h </w:instrText>
          </w:r>
          <w:r>
            <w:rPr>
              <w:rFonts w:hint="eastAsia" w:ascii="仿宋_GB2312" w:hAnsi="仿宋_GB2312" w:eastAsia="仿宋_GB2312" w:cs="仿宋_GB2312"/>
              <w:b w:val="0"/>
              <w:bCs/>
              <w:sz w:val="32"/>
              <w:szCs w:val="32"/>
            </w:rPr>
            <w:fldChar w:fldCharType="separate"/>
          </w:r>
          <w:r>
            <w:rPr>
              <w:rFonts w:hint="eastAsia" w:ascii="仿宋_GB2312" w:hAnsi="仿宋_GB2312" w:eastAsia="仿宋_GB2312" w:cs="仿宋_GB2312"/>
              <w:b w:val="0"/>
              <w:bCs/>
              <w:sz w:val="32"/>
              <w:szCs w:val="32"/>
            </w:rPr>
            <w:t>6</w:t>
          </w:r>
          <w:r>
            <w:rPr>
              <w:rFonts w:hint="eastAsia" w:ascii="仿宋_GB2312" w:hAnsi="仿宋_GB2312" w:eastAsia="仿宋_GB2312" w:cs="仿宋_GB2312"/>
              <w:b w:val="0"/>
              <w:bCs/>
              <w:sz w:val="32"/>
              <w:szCs w:val="32"/>
            </w:rPr>
            <w:fldChar w:fldCharType="end"/>
          </w:r>
          <w:r>
            <w:rPr>
              <w:rFonts w:hint="eastAsia" w:ascii="仿宋_GB2312" w:hAnsi="仿宋_GB2312" w:eastAsia="仿宋_GB2312" w:cs="仿宋_GB2312"/>
              <w:b w:val="0"/>
              <w:bCs/>
              <w:sz w:val="32"/>
              <w:szCs w:val="32"/>
            </w:rPr>
            <w:fldChar w:fldCharType="end"/>
          </w:r>
        </w:p>
        <w:p w14:paraId="2BFB5873">
          <w:pPr>
            <w:pStyle w:val="33"/>
            <w:tabs>
              <w:tab w:val="right" w:leader="dot" w:pos="8306"/>
            </w:tabs>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 HYPERLINK \l _Toc25098 </w:instrText>
          </w:r>
          <w:r>
            <w:rPr>
              <w:rFonts w:hint="eastAsia" w:ascii="仿宋_GB2312" w:hAnsi="仿宋_GB2312" w:eastAsia="仿宋_GB2312" w:cs="仿宋_GB2312"/>
              <w:b w:val="0"/>
              <w:bCs/>
              <w:sz w:val="32"/>
              <w:szCs w:val="32"/>
            </w:rPr>
            <w:fldChar w:fldCharType="separate"/>
          </w:r>
          <w:r>
            <w:rPr>
              <w:rFonts w:hint="eastAsia" w:ascii="仿宋_GB2312" w:hAnsi="仿宋_GB2312" w:eastAsia="仿宋_GB2312" w:cs="仿宋_GB2312"/>
              <w:b w:val="0"/>
              <w:bCs/>
              <w:sz w:val="32"/>
              <w:szCs w:val="32"/>
            </w:rPr>
            <w:t>七、财政拨款“三公”经费支出决算情况说明</w:t>
          </w:r>
          <w:r>
            <w:rPr>
              <w:rFonts w:hint="eastAsia" w:ascii="仿宋_GB2312" w:hAnsi="仿宋_GB2312" w:eastAsia="仿宋_GB2312" w:cs="仿宋_GB2312"/>
              <w:b w:val="0"/>
              <w:bCs/>
              <w:sz w:val="32"/>
              <w:szCs w:val="32"/>
            </w:rPr>
            <w:tab/>
          </w: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 PAGEREF _Toc25098 \h </w:instrText>
          </w:r>
          <w:r>
            <w:rPr>
              <w:rFonts w:hint="eastAsia" w:ascii="仿宋_GB2312" w:hAnsi="仿宋_GB2312" w:eastAsia="仿宋_GB2312" w:cs="仿宋_GB2312"/>
              <w:b w:val="0"/>
              <w:bCs/>
              <w:sz w:val="32"/>
              <w:szCs w:val="32"/>
            </w:rPr>
            <w:fldChar w:fldCharType="separate"/>
          </w:r>
          <w:r>
            <w:rPr>
              <w:rFonts w:hint="eastAsia" w:ascii="仿宋_GB2312" w:hAnsi="仿宋_GB2312" w:eastAsia="仿宋_GB2312" w:cs="仿宋_GB2312"/>
              <w:b w:val="0"/>
              <w:bCs/>
              <w:sz w:val="32"/>
              <w:szCs w:val="32"/>
            </w:rPr>
            <w:t>6</w:t>
          </w:r>
          <w:r>
            <w:rPr>
              <w:rFonts w:hint="eastAsia" w:ascii="仿宋_GB2312" w:hAnsi="仿宋_GB2312" w:eastAsia="仿宋_GB2312" w:cs="仿宋_GB2312"/>
              <w:b w:val="0"/>
              <w:bCs/>
              <w:sz w:val="32"/>
              <w:szCs w:val="32"/>
            </w:rPr>
            <w:fldChar w:fldCharType="end"/>
          </w:r>
          <w:r>
            <w:rPr>
              <w:rFonts w:hint="eastAsia" w:ascii="仿宋_GB2312" w:hAnsi="仿宋_GB2312" w:eastAsia="仿宋_GB2312" w:cs="仿宋_GB2312"/>
              <w:b w:val="0"/>
              <w:bCs/>
              <w:sz w:val="32"/>
              <w:szCs w:val="32"/>
            </w:rPr>
            <w:fldChar w:fldCharType="end"/>
          </w:r>
        </w:p>
        <w:p w14:paraId="7911E05B">
          <w:pPr>
            <w:pStyle w:val="33"/>
            <w:tabs>
              <w:tab w:val="right" w:leader="dot" w:pos="8306"/>
            </w:tabs>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 HYPERLINK \l _Toc21496 </w:instrText>
          </w:r>
          <w:r>
            <w:rPr>
              <w:rFonts w:hint="eastAsia" w:ascii="仿宋_GB2312" w:hAnsi="仿宋_GB2312" w:eastAsia="仿宋_GB2312" w:cs="仿宋_GB2312"/>
              <w:b w:val="0"/>
              <w:bCs/>
              <w:sz w:val="32"/>
              <w:szCs w:val="32"/>
            </w:rPr>
            <w:fldChar w:fldCharType="separate"/>
          </w:r>
          <w:r>
            <w:rPr>
              <w:rFonts w:hint="eastAsia" w:ascii="仿宋_GB2312" w:hAnsi="仿宋_GB2312" w:eastAsia="仿宋_GB2312" w:cs="仿宋_GB2312"/>
              <w:b w:val="0"/>
              <w:bCs/>
              <w:sz w:val="32"/>
              <w:szCs w:val="32"/>
            </w:rPr>
            <w:t>八、政府性基金预算支出决算情况说明</w:t>
          </w:r>
          <w:r>
            <w:rPr>
              <w:rFonts w:hint="eastAsia" w:ascii="仿宋_GB2312" w:hAnsi="仿宋_GB2312" w:eastAsia="仿宋_GB2312" w:cs="仿宋_GB2312"/>
              <w:b w:val="0"/>
              <w:bCs/>
              <w:sz w:val="32"/>
              <w:szCs w:val="32"/>
            </w:rPr>
            <w:tab/>
          </w: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 PAGEREF _Toc21496 \h </w:instrText>
          </w:r>
          <w:r>
            <w:rPr>
              <w:rFonts w:hint="eastAsia" w:ascii="仿宋_GB2312" w:hAnsi="仿宋_GB2312" w:eastAsia="仿宋_GB2312" w:cs="仿宋_GB2312"/>
              <w:b w:val="0"/>
              <w:bCs/>
              <w:sz w:val="32"/>
              <w:szCs w:val="32"/>
            </w:rPr>
            <w:fldChar w:fldCharType="separate"/>
          </w:r>
          <w:r>
            <w:rPr>
              <w:rFonts w:hint="eastAsia" w:ascii="仿宋_GB2312" w:hAnsi="仿宋_GB2312" w:eastAsia="仿宋_GB2312" w:cs="仿宋_GB2312"/>
              <w:b w:val="0"/>
              <w:bCs/>
              <w:sz w:val="32"/>
              <w:szCs w:val="32"/>
            </w:rPr>
            <w:t>8</w:t>
          </w:r>
          <w:r>
            <w:rPr>
              <w:rFonts w:hint="eastAsia" w:ascii="仿宋_GB2312" w:hAnsi="仿宋_GB2312" w:eastAsia="仿宋_GB2312" w:cs="仿宋_GB2312"/>
              <w:b w:val="0"/>
              <w:bCs/>
              <w:sz w:val="32"/>
              <w:szCs w:val="32"/>
            </w:rPr>
            <w:fldChar w:fldCharType="end"/>
          </w:r>
          <w:r>
            <w:rPr>
              <w:rFonts w:hint="eastAsia" w:ascii="仿宋_GB2312" w:hAnsi="仿宋_GB2312" w:eastAsia="仿宋_GB2312" w:cs="仿宋_GB2312"/>
              <w:b w:val="0"/>
              <w:bCs/>
              <w:sz w:val="32"/>
              <w:szCs w:val="32"/>
            </w:rPr>
            <w:fldChar w:fldCharType="end"/>
          </w:r>
        </w:p>
        <w:p w14:paraId="55511C28">
          <w:pPr>
            <w:pStyle w:val="33"/>
            <w:tabs>
              <w:tab w:val="right" w:leader="dot" w:pos="8306"/>
            </w:tabs>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 HYPERLINK \l _Toc1183 </w:instrText>
          </w:r>
          <w:r>
            <w:rPr>
              <w:rFonts w:hint="eastAsia" w:ascii="仿宋_GB2312" w:hAnsi="仿宋_GB2312" w:eastAsia="仿宋_GB2312" w:cs="仿宋_GB2312"/>
              <w:b w:val="0"/>
              <w:bCs/>
              <w:sz w:val="32"/>
              <w:szCs w:val="32"/>
            </w:rPr>
            <w:fldChar w:fldCharType="separate"/>
          </w:r>
          <w:r>
            <w:rPr>
              <w:rFonts w:hint="eastAsia" w:ascii="仿宋_GB2312" w:hAnsi="仿宋_GB2312" w:eastAsia="仿宋_GB2312" w:cs="仿宋_GB2312"/>
              <w:b w:val="0"/>
              <w:bCs/>
              <w:sz w:val="32"/>
              <w:szCs w:val="32"/>
            </w:rPr>
            <w:t>九、国有资本经营预算支出决算情况说明</w:t>
          </w:r>
          <w:r>
            <w:rPr>
              <w:rFonts w:hint="eastAsia" w:ascii="仿宋_GB2312" w:hAnsi="仿宋_GB2312" w:eastAsia="仿宋_GB2312" w:cs="仿宋_GB2312"/>
              <w:b w:val="0"/>
              <w:bCs/>
              <w:sz w:val="32"/>
              <w:szCs w:val="32"/>
            </w:rPr>
            <w:tab/>
          </w: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 PAGEREF _Toc1183 \h </w:instrText>
          </w:r>
          <w:r>
            <w:rPr>
              <w:rFonts w:hint="eastAsia" w:ascii="仿宋_GB2312" w:hAnsi="仿宋_GB2312" w:eastAsia="仿宋_GB2312" w:cs="仿宋_GB2312"/>
              <w:b w:val="0"/>
              <w:bCs/>
              <w:sz w:val="32"/>
              <w:szCs w:val="32"/>
            </w:rPr>
            <w:fldChar w:fldCharType="separate"/>
          </w:r>
          <w:r>
            <w:rPr>
              <w:rFonts w:hint="eastAsia" w:ascii="仿宋_GB2312" w:hAnsi="仿宋_GB2312" w:eastAsia="仿宋_GB2312" w:cs="仿宋_GB2312"/>
              <w:b w:val="0"/>
              <w:bCs/>
              <w:sz w:val="32"/>
              <w:szCs w:val="32"/>
            </w:rPr>
            <w:t>8</w:t>
          </w:r>
          <w:r>
            <w:rPr>
              <w:rFonts w:hint="eastAsia" w:ascii="仿宋_GB2312" w:hAnsi="仿宋_GB2312" w:eastAsia="仿宋_GB2312" w:cs="仿宋_GB2312"/>
              <w:b w:val="0"/>
              <w:bCs/>
              <w:sz w:val="32"/>
              <w:szCs w:val="32"/>
            </w:rPr>
            <w:fldChar w:fldCharType="end"/>
          </w:r>
          <w:r>
            <w:rPr>
              <w:rFonts w:hint="eastAsia" w:ascii="仿宋_GB2312" w:hAnsi="仿宋_GB2312" w:eastAsia="仿宋_GB2312" w:cs="仿宋_GB2312"/>
              <w:b w:val="0"/>
              <w:bCs/>
              <w:sz w:val="32"/>
              <w:szCs w:val="32"/>
            </w:rPr>
            <w:fldChar w:fldCharType="end"/>
          </w:r>
        </w:p>
        <w:p w14:paraId="2DD767AF">
          <w:pPr>
            <w:pStyle w:val="33"/>
            <w:tabs>
              <w:tab w:val="right" w:leader="dot" w:pos="8306"/>
            </w:tabs>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 HYPERLINK \l _Toc2694 </w:instrText>
          </w:r>
          <w:r>
            <w:rPr>
              <w:rFonts w:hint="eastAsia" w:ascii="仿宋_GB2312" w:hAnsi="仿宋_GB2312" w:eastAsia="仿宋_GB2312" w:cs="仿宋_GB2312"/>
              <w:b w:val="0"/>
              <w:bCs/>
              <w:sz w:val="32"/>
              <w:szCs w:val="32"/>
            </w:rPr>
            <w:fldChar w:fldCharType="separate"/>
          </w:r>
          <w:r>
            <w:rPr>
              <w:rFonts w:hint="eastAsia" w:ascii="仿宋_GB2312" w:hAnsi="仿宋_GB2312" w:eastAsia="仿宋_GB2312" w:cs="仿宋_GB2312"/>
              <w:b w:val="0"/>
              <w:bCs/>
              <w:sz w:val="32"/>
              <w:szCs w:val="32"/>
            </w:rPr>
            <w:t>十、其他重要事项的情况说明</w:t>
          </w:r>
          <w:r>
            <w:rPr>
              <w:rFonts w:hint="eastAsia" w:ascii="仿宋_GB2312" w:hAnsi="仿宋_GB2312" w:eastAsia="仿宋_GB2312" w:cs="仿宋_GB2312"/>
              <w:b w:val="0"/>
              <w:bCs/>
              <w:sz w:val="32"/>
              <w:szCs w:val="32"/>
            </w:rPr>
            <w:tab/>
          </w: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 PAGEREF _Toc2694 \h </w:instrText>
          </w:r>
          <w:r>
            <w:rPr>
              <w:rFonts w:hint="eastAsia" w:ascii="仿宋_GB2312" w:hAnsi="仿宋_GB2312" w:eastAsia="仿宋_GB2312" w:cs="仿宋_GB2312"/>
              <w:b w:val="0"/>
              <w:bCs/>
              <w:sz w:val="32"/>
              <w:szCs w:val="32"/>
            </w:rPr>
            <w:fldChar w:fldCharType="separate"/>
          </w:r>
          <w:r>
            <w:rPr>
              <w:rFonts w:hint="eastAsia" w:ascii="仿宋_GB2312" w:hAnsi="仿宋_GB2312" w:eastAsia="仿宋_GB2312" w:cs="仿宋_GB2312"/>
              <w:b w:val="0"/>
              <w:bCs/>
              <w:sz w:val="32"/>
              <w:szCs w:val="32"/>
            </w:rPr>
            <w:t>8</w:t>
          </w:r>
          <w:r>
            <w:rPr>
              <w:rFonts w:hint="eastAsia" w:ascii="仿宋_GB2312" w:hAnsi="仿宋_GB2312" w:eastAsia="仿宋_GB2312" w:cs="仿宋_GB2312"/>
              <w:b w:val="0"/>
              <w:bCs/>
              <w:sz w:val="32"/>
              <w:szCs w:val="32"/>
            </w:rPr>
            <w:fldChar w:fldCharType="end"/>
          </w:r>
          <w:r>
            <w:rPr>
              <w:rFonts w:hint="eastAsia" w:ascii="仿宋_GB2312" w:hAnsi="仿宋_GB2312" w:eastAsia="仿宋_GB2312" w:cs="仿宋_GB2312"/>
              <w:b w:val="0"/>
              <w:bCs/>
              <w:sz w:val="32"/>
              <w:szCs w:val="32"/>
            </w:rPr>
            <w:fldChar w:fldCharType="end"/>
          </w:r>
        </w:p>
        <w:p w14:paraId="4D23AD38">
          <w:pPr>
            <w:pStyle w:val="32"/>
            <w:tabs>
              <w:tab w:val="right" w:leader="dot" w:pos="8306"/>
            </w:tabs>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 HYPERLINK \l _Toc28586 </w:instrText>
          </w:r>
          <w:r>
            <w:rPr>
              <w:rFonts w:hint="eastAsia" w:ascii="仿宋_GB2312" w:hAnsi="仿宋_GB2312" w:eastAsia="仿宋_GB2312" w:cs="仿宋_GB2312"/>
              <w:b w:val="0"/>
              <w:bCs/>
              <w:sz w:val="32"/>
              <w:szCs w:val="32"/>
            </w:rPr>
            <w:fldChar w:fldCharType="separate"/>
          </w:r>
          <w:r>
            <w:rPr>
              <w:rFonts w:hint="eastAsia" w:ascii="仿宋_GB2312" w:hAnsi="仿宋_GB2312" w:eastAsia="仿宋_GB2312" w:cs="仿宋_GB2312"/>
              <w:b w:val="0"/>
              <w:bCs/>
              <w:sz w:val="32"/>
              <w:szCs w:val="32"/>
            </w:rPr>
            <w:t>第三部分 名词解释</w:t>
          </w:r>
          <w:r>
            <w:rPr>
              <w:rFonts w:hint="eastAsia" w:ascii="仿宋_GB2312" w:hAnsi="仿宋_GB2312" w:eastAsia="仿宋_GB2312" w:cs="仿宋_GB2312"/>
              <w:b w:val="0"/>
              <w:bCs/>
              <w:sz w:val="32"/>
              <w:szCs w:val="32"/>
            </w:rPr>
            <w:tab/>
          </w: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 PAGEREF _Toc28586 \h </w:instrText>
          </w:r>
          <w:r>
            <w:rPr>
              <w:rFonts w:hint="eastAsia" w:ascii="仿宋_GB2312" w:hAnsi="仿宋_GB2312" w:eastAsia="仿宋_GB2312" w:cs="仿宋_GB2312"/>
              <w:b w:val="0"/>
              <w:bCs/>
              <w:sz w:val="32"/>
              <w:szCs w:val="32"/>
            </w:rPr>
            <w:fldChar w:fldCharType="separate"/>
          </w:r>
          <w:r>
            <w:rPr>
              <w:rFonts w:hint="eastAsia" w:ascii="仿宋_GB2312" w:hAnsi="仿宋_GB2312" w:eastAsia="仿宋_GB2312" w:cs="仿宋_GB2312"/>
              <w:b w:val="0"/>
              <w:bCs/>
              <w:sz w:val="32"/>
              <w:szCs w:val="32"/>
            </w:rPr>
            <w:t>10</w:t>
          </w:r>
          <w:r>
            <w:rPr>
              <w:rFonts w:hint="eastAsia" w:ascii="仿宋_GB2312" w:hAnsi="仿宋_GB2312" w:eastAsia="仿宋_GB2312" w:cs="仿宋_GB2312"/>
              <w:b w:val="0"/>
              <w:bCs/>
              <w:sz w:val="32"/>
              <w:szCs w:val="32"/>
            </w:rPr>
            <w:fldChar w:fldCharType="end"/>
          </w:r>
          <w:r>
            <w:rPr>
              <w:rFonts w:hint="eastAsia" w:ascii="仿宋_GB2312" w:hAnsi="仿宋_GB2312" w:eastAsia="仿宋_GB2312" w:cs="仿宋_GB2312"/>
              <w:b w:val="0"/>
              <w:bCs/>
              <w:sz w:val="32"/>
              <w:szCs w:val="32"/>
            </w:rPr>
            <w:fldChar w:fldCharType="end"/>
          </w:r>
        </w:p>
        <w:p w14:paraId="0ABE7DFB">
          <w:pPr>
            <w:pStyle w:val="32"/>
            <w:tabs>
              <w:tab w:val="right" w:leader="dot" w:pos="8306"/>
            </w:tabs>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 HYPERLINK \l _Toc5963 </w:instrText>
          </w:r>
          <w:r>
            <w:rPr>
              <w:rFonts w:hint="eastAsia" w:ascii="仿宋_GB2312" w:hAnsi="仿宋_GB2312" w:eastAsia="仿宋_GB2312" w:cs="仿宋_GB2312"/>
              <w:b w:val="0"/>
              <w:bCs/>
              <w:sz w:val="32"/>
              <w:szCs w:val="32"/>
            </w:rPr>
            <w:fldChar w:fldCharType="separate"/>
          </w:r>
          <w:r>
            <w:rPr>
              <w:rFonts w:hint="eastAsia" w:ascii="仿宋_GB2312" w:hAnsi="仿宋_GB2312" w:eastAsia="仿宋_GB2312" w:cs="仿宋_GB2312"/>
              <w:b w:val="0"/>
              <w:bCs/>
              <w:sz w:val="32"/>
              <w:szCs w:val="32"/>
            </w:rPr>
            <w:t>第四部分 附件</w:t>
          </w:r>
          <w:r>
            <w:rPr>
              <w:rFonts w:hint="eastAsia" w:ascii="仿宋_GB2312" w:hAnsi="仿宋_GB2312" w:eastAsia="仿宋_GB2312" w:cs="仿宋_GB2312"/>
              <w:b w:val="0"/>
              <w:bCs/>
              <w:sz w:val="32"/>
              <w:szCs w:val="32"/>
            </w:rPr>
            <w:tab/>
          </w: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 PAGEREF _Toc5963 \h </w:instrText>
          </w:r>
          <w:r>
            <w:rPr>
              <w:rFonts w:hint="eastAsia" w:ascii="仿宋_GB2312" w:hAnsi="仿宋_GB2312" w:eastAsia="仿宋_GB2312" w:cs="仿宋_GB2312"/>
              <w:b w:val="0"/>
              <w:bCs/>
              <w:sz w:val="32"/>
              <w:szCs w:val="32"/>
            </w:rPr>
            <w:fldChar w:fldCharType="separate"/>
          </w:r>
          <w:r>
            <w:rPr>
              <w:rFonts w:hint="eastAsia" w:ascii="仿宋_GB2312" w:hAnsi="仿宋_GB2312" w:eastAsia="仿宋_GB2312" w:cs="仿宋_GB2312"/>
              <w:b w:val="0"/>
              <w:bCs/>
              <w:sz w:val="32"/>
              <w:szCs w:val="32"/>
            </w:rPr>
            <w:t>13</w:t>
          </w:r>
          <w:r>
            <w:rPr>
              <w:rFonts w:hint="eastAsia" w:ascii="仿宋_GB2312" w:hAnsi="仿宋_GB2312" w:eastAsia="仿宋_GB2312" w:cs="仿宋_GB2312"/>
              <w:b w:val="0"/>
              <w:bCs/>
              <w:sz w:val="32"/>
              <w:szCs w:val="32"/>
            </w:rPr>
            <w:fldChar w:fldCharType="end"/>
          </w:r>
          <w:r>
            <w:rPr>
              <w:rFonts w:hint="eastAsia" w:ascii="仿宋_GB2312" w:hAnsi="仿宋_GB2312" w:eastAsia="仿宋_GB2312" w:cs="仿宋_GB2312"/>
              <w:b w:val="0"/>
              <w:bCs/>
              <w:sz w:val="32"/>
              <w:szCs w:val="32"/>
            </w:rPr>
            <w:fldChar w:fldCharType="end"/>
          </w:r>
        </w:p>
        <w:p w14:paraId="3E33A47E">
          <w:pPr>
            <w:pStyle w:val="32"/>
            <w:tabs>
              <w:tab w:val="right" w:leader="dot" w:pos="8306"/>
            </w:tabs>
            <w:rPr>
              <w:rFonts w:hint="eastAsia" w:ascii="仿宋_GB2312" w:hAnsi="仿宋_GB2312" w:eastAsia="仿宋_GB2312" w:cs="仿宋_GB2312"/>
              <w:b/>
              <w:sz w:val="32"/>
              <w:szCs w:val="32"/>
            </w:rPr>
          </w:pP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 HYPERLINK \l _Toc4401 </w:instrText>
          </w:r>
          <w:r>
            <w:rPr>
              <w:rFonts w:hint="eastAsia" w:ascii="仿宋_GB2312" w:hAnsi="仿宋_GB2312" w:eastAsia="仿宋_GB2312" w:cs="仿宋_GB2312"/>
              <w:b w:val="0"/>
              <w:bCs/>
              <w:sz w:val="32"/>
              <w:szCs w:val="32"/>
            </w:rPr>
            <w:fldChar w:fldCharType="separate"/>
          </w:r>
          <w:r>
            <w:rPr>
              <w:rFonts w:hint="eastAsia" w:ascii="仿宋_GB2312" w:hAnsi="仿宋_GB2312" w:eastAsia="仿宋_GB2312" w:cs="仿宋_GB2312"/>
              <w:b w:val="0"/>
              <w:bCs/>
              <w:sz w:val="32"/>
              <w:szCs w:val="32"/>
            </w:rPr>
            <w:t>第五部分 附表</w:t>
          </w:r>
          <w:r>
            <w:rPr>
              <w:rFonts w:hint="eastAsia" w:ascii="仿宋_GB2312" w:hAnsi="仿宋_GB2312" w:eastAsia="仿宋_GB2312" w:cs="仿宋_GB2312"/>
              <w:b w:val="0"/>
              <w:bCs/>
              <w:sz w:val="32"/>
              <w:szCs w:val="32"/>
            </w:rPr>
            <w:tab/>
          </w: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 PAGEREF _Toc4401 \h </w:instrText>
          </w:r>
          <w:r>
            <w:rPr>
              <w:rFonts w:hint="eastAsia" w:ascii="仿宋_GB2312" w:hAnsi="仿宋_GB2312" w:eastAsia="仿宋_GB2312" w:cs="仿宋_GB2312"/>
              <w:b w:val="0"/>
              <w:bCs/>
              <w:sz w:val="32"/>
              <w:szCs w:val="32"/>
            </w:rPr>
            <w:fldChar w:fldCharType="separate"/>
          </w:r>
          <w:r>
            <w:rPr>
              <w:rFonts w:hint="eastAsia" w:ascii="仿宋_GB2312" w:hAnsi="仿宋_GB2312" w:eastAsia="仿宋_GB2312" w:cs="仿宋_GB2312"/>
              <w:b w:val="0"/>
              <w:bCs/>
              <w:sz w:val="32"/>
              <w:szCs w:val="32"/>
            </w:rPr>
            <w:t>16</w:t>
          </w:r>
          <w:r>
            <w:rPr>
              <w:rFonts w:hint="eastAsia" w:ascii="仿宋_GB2312" w:hAnsi="仿宋_GB2312" w:eastAsia="仿宋_GB2312" w:cs="仿宋_GB2312"/>
              <w:b w:val="0"/>
              <w:bCs/>
              <w:sz w:val="32"/>
              <w:szCs w:val="32"/>
            </w:rPr>
            <w:fldChar w:fldCharType="end"/>
          </w:r>
          <w:r>
            <w:rPr>
              <w:rFonts w:hint="eastAsia" w:ascii="仿宋_GB2312" w:hAnsi="仿宋_GB2312" w:eastAsia="仿宋_GB2312" w:cs="仿宋_GB2312"/>
              <w:b w:val="0"/>
              <w:bCs/>
              <w:sz w:val="32"/>
              <w:szCs w:val="32"/>
            </w:rPr>
            <w:fldChar w:fldCharType="end"/>
          </w:r>
        </w:p>
        <w:p w14:paraId="2758910B">
          <w:pPr>
            <w:pStyle w:val="33"/>
            <w:tabs>
              <w:tab w:val="right" w:leader="dot" w:pos="8306"/>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_Toc3724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一、收入支出决算总表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lang w:val="en-US" w:eastAsia="zh-CN"/>
            </w:rPr>
            <w:t>6</w:t>
          </w:r>
        </w:p>
        <w:p w14:paraId="3E62972E">
          <w:pPr>
            <w:pStyle w:val="33"/>
            <w:tabs>
              <w:tab w:val="right" w:leader="dot" w:pos="8306"/>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_Toc8236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二、收入决算表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lang w:val="en-US" w:eastAsia="zh-CN"/>
            </w:rPr>
            <w:t>6</w:t>
          </w:r>
        </w:p>
        <w:p w14:paraId="49D8890E">
          <w:pPr>
            <w:pStyle w:val="33"/>
            <w:tabs>
              <w:tab w:val="right" w:leader="dot" w:pos="8306"/>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_Toc820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三、支出决算表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lang w:val="en-US" w:eastAsia="zh-CN"/>
            </w:rPr>
            <w:t>6</w:t>
          </w:r>
        </w:p>
        <w:p w14:paraId="35B35B1B">
          <w:pPr>
            <w:pStyle w:val="33"/>
            <w:tabs>
              <w:tab w:val="right" w:leader="dot" w:pos="8306"/>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_Toc23576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四、财政拨款收入支出决算总表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lang w:val="en-US" w:eastAsia="zh-CN"/>
            </w:rPr>
            <w:t>6</w:t>
          </w:r>
        </w:p>
        <w:p w14:paraId="4B46FFDC">
          <w:pPr>
            <w:pStyle w:val="33"/>
            <w:tabs>
              <w:tab w:val="right" w:leader="dot" w:pos="8306"/>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_Toc11880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五、财政拨款支出决算明细表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lang w:val="en-US" w:eastAsia="zh-CN"/>
            </w:rPr>
            <w:t>6</w:t>
          </w:r>
        </w:p>
        <w:p w14:paraId="36934721">
          <w:pPr>
            <w:pStyle w:val="33"/>
            <w:tabs>
              <w:tab w:val="right" w:leader="dot" w:pos="8306"/>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_Toc14260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六、一般公共预算财政拨款支出决算表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lang w:val="en-US" w:eastAsia="zh-CN"/>
            </w:rPr>
            <w:t>6</w:t>
          </w:r>
        </w:p>
        <w:p w14:paraId="05A19FED">
          <w:pPr>
            <w:pStyle w:val="33"/>
            <w:tabs>
              <w:tab w:val="right" w:leader="dot" w:pos="8306"/>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_Toc5515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七、一般公共预算财政拨款支出决算明细表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lang w:val="en-US" w:eastAsia="zh-CN"/>
            </w:rPr>
            <w:t>6</w:t>
          </w:r>
        </w:p>
        <w:p w14:paraId="45349C9B">
          <w:pPr>
            <w:pStyle w:val="33"/>
            <w:tabs>
              <w:tab w:val="right" w:leader="dot" w:pos="8306"/>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_Toc24449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八、一般公共预算财政拨款基本支出决算表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lang w:val="en-US" w:eastAsia="zh-CN"/>
            </w:rPr>
            <w:t>6</w:t>
          </w:r>
        </w:p>
        <w:p w14:paraId="34D9AF22">
          <w:pPr>
            <w:pStyle w:val="33"/>
            <w:tabs>
              <w:tab w:val="right" w:leader="dot" w:pos="8306"/>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_Toc9502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九、一般公共预算财政拨款项目支出决算表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lang w:val="en-US" w:eastAsia="zh-CN"/>
            </w:rPr>
            <w:t>6</w:t>
          </w:r>
        </w:p>
        <w:p w14:paraId="2B580874">
          <w:pPr>
            <w:pStyle w:val="33"/>
            <w:tabs>
              <w:tab w:val="right" w:leader="dot" w:pos="8306"/>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_Toc16377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十、政府性基金预算财政拨款收入支出决算表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lang w:val="en-US" w:eastAsia="zh-CN"/>
            </w:rPr>
            <w:t>6</w:t>
          </w:r>
        </w:p>
        <w:p w14:paraId="550A106C">
          <w:pPr>
            <w:pStyle w:val="33"/>
            <w:tabs>
              <w:tab w:val="right" w:leader="dot" w:pos="8306"/>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_Toc27078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十一、国有资本经营预算财政拨款收入支出决算表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lang w:val="en-US" w:eastAsia="zh-CN"/>
            </w:rPr>
            <w:t>6</w:t>
          </w:r>
        </w:p>
        <w:p w14:paraId="3B75956F">
          <w:pPr>
            <w:pStyle w:val="33"/>
            <w:tabs>
              <w:tab w:val="right" w:leader="dot" w:pos="8306"/>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_Toc1267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十二、国有资本经营预算财政拨款支出决算表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lang w:val="en-US" w:eastAsia="zh-CN"/>
            </w:rPr>
            <w:t>6</w:t>
          </w:r>
        </w:p>
        <w:p w14:paraId="1B75810C">
          <w:pPr>
            <w:pStyle w:val="33"/>
            <w:tabs>
              <w:tab w:val="right" w:leader="dot" w:pos="8306"/>
            </w:tabs>
            <w:rPr>
              <w:rFonts w:hint="eastAsia" w:ascii="仿宋" w:eastAsia="仿宋" w:cs="Times New Roman"/>
              <w:b w:val="0"/>
              <w:bCs w:val="0"/>
              <w:sz w:val="24"/>
              <w:szCs w:val="24"/>
              <w:lang w:val="en-US" w:eastAsia="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_Toc4766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十三、财政拨款“三公”经费支出决算表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lang w:val="en-US" w:eastAsia="zh-CN"/>
            </w:rPr>
            <w:t>6</w:t>
          </w:r>
        </w:p>
        <w:p w14:paraId="5F0C931C">
          <w:pPr>
            <w:pStyle w:val="33"/>
            <w:tabs>
              <w:tab w:val="right" w:leader="dot" w:pos="8306"/>
            </w:tabs>
          </w:pPr>
        </w:p>
        <w:p w14:paraId="04BD3FEB">
          <w:pPr>
            <w:pStyle w:val="33"/>
            <w:tabs>
              <w:tab w:val="right" w:leader="dot" w:pos="8306"/>
            </w:tabs>
            <w:rPr>
              <w:rFonts w:ascii="Times New Roman" w:hAnsi="Times New Roman" w:eastAsia="宋体" w:cs="Times New Roman"/>
              <w:b/>
              <w:sz w:val="20"/>
              <w:szCs w:val="24"/>
            </w:rPr>
            <w:sectPr>
              <w:headerReference r:id="rId3" w:type="default"/>
              <w:footerReference r:id="rId4" w:type="default"/>
              <w:pgSz w:w="11906" w:h="16838"/>
              <w:pgMar w:top="1440" w:right="1800" w:bottom="1440" w:left="1800" w:header="851" w:footer="992" w:gutter="0"/>
              <w:pgNumType w:start="1"/>
              <w:cols w:space="720" w:num="1"/>
              <w:titlePg/>
              <w:docGrid w:type="lines" w:linePitch="312" w:charSpace="0"/>
            </w:sectPr>
          </w:pPr>
          <w:r>
            <w:rPr>
              <w:rFonts w:ascii="Times New Roman" w:hAnsi="Times New Roman" w:eastAsia="宋体" w:cs="Times New Roman"/>
              <w:b/>
              <w:szCs w:val="24"/>
            </w:rPr>
            <w:fldChar w:fldCharType="end"/>
          </w:r>
        </w:p>
      </w:sdtContent>
    </w:sdt>
    <w:p w14:paraId="56230C3E">
      <w:pPr>
        <w:pStyle w:val="3"/>
        <w:keepNext/>
        <w:keepLines/>
        <w:pageBreakBefore w:val="0"/>
        <w:widowControl w:val="0"/>
        <w:kinsoku/>
        <w:wordWrap/>
        <w:overflowPunct/>
        <w:topLinePunct w:val="0"/>
        <w:autoSpaceDE/>
        <w:autoSpaceDN/>
        <w:bidi w:val="0"/>
        <w:adjustRightInd/>
        <w:snapToGrid/>
        <w:spacing w:after="0" w:line="579" w:lineRule="auto"/>
        <w:jc w:val="center"/>
        <w:textAlignment w:val="auto"/>
        <w:outlineLvl w:val="0"/>
        <w:rPr>
          <w:rFonts w:hint="eastAsia" w:ascii="方正小标宋简体" w:hAnsi="方正小标宋简体" w:eastAsia="方正小标宋简体" w:cs="方正小标宋简体"/>
          <w:sz w:val="44"/>
          <w:szCs w:val="44"/>
        </w:rPr>
      </w:pPr>
      <w:bookmarkStart w:id="16" w:name="_Toc13734"/>
      <w:r>
        <w:rPr>
          <w:rFonts w:hint="eastAsia" w:ascii="方正小标宋简体" w:hAnsi="方正小标宋简体" w:eastAsia="方正小标宋简体" w:cs="方正小标宋简体"/>
          <w:b w:val="0"/>
          <w:sz w:val="44"/>
          <w:szCs w:val="44"/>
        </w:rPr>
        <w:t>第一部分 单位</w:t>
      </w:r>
      <w:r>
        <w:rPr>
          <w:rStyle w:val="22"/>
          <w:rFonts w:hint="eastAsia" w:ascii="方正小标宋简体" w:hAnsi="方正小标宋简体" w:eastAsia="方正小标宋简体" w:cs="方正小标宋简体"/>
          <w:b w:val="0"/>
          <w:bCs w:val="0"/>
          <w:sz w:val="44"/>
          <w:szCs w:val="44"/>
        </w:rPr>
        <w:t>概况</w:t>
      </w:r>
      <w:bookmarkEnd w:id="16"/>
    </w:p>
    <w:p w14:paraId="61D810F1">
      <w:pPr>
        <w:spacing w:line="600" w:lineRule="exact"/>
        <w:ind w:firstLine="640" w:firstLineChars="200"/>
        <w:outlineLvl w:val="1"/>
        <w:rPr>
          <w:rStyle w:val="23"/>
          <w:rFonts w:hint="eastAsia" w:ascii="黑体" w:eastAsia="黑体"/>
          <w:b w:val="0"/>
          <w:bCs w:val="0"/>
        </w:rPr>
      </w:pPr>
      <w:bookmarkStart w:id="17" w:name="_Toc22981"/>
      <w:bookmarkStart w:id="18" w:name="_Toc15396600"/>
      <w:bookmarkStart w:id="19" w:name="_Toc15377197"/>
      <w:r>
        <w:rPr>
          <w:rStyle w:val="23"/>
          <w:rFonts w:hint="eastAsia" w:ascii="黑体" w:eastAsia="黑体"/>
          <w:b w:val="0"/>
          <w:bCs w:val="0"/>
          <w:lang w:eastAsia="zh-CN"/>
        </w:rPr>
        <w:t>一、</w:t>
      </w:r>
      <w:r>
        <w:rPr>
          <w:rStyle w:val="23"/>
          <w:rFonts w:hint="eastAsia" w:ascii="黑体" w:eastAsia="黑体"/>
          <w:b w:val="0"/>
          <w:bCs w:val="0"/>
        </w:rPr>
        <w:t>主要职责</w:t>
      </w:r>
      <w:bookmarkEnd w:id="17"/>
    </w:p>
    <w:p w14:paraId="2D1B25B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auto"/>
          <w:sz w:val="32"/>
          <w:szCs w:val="32"/>
        </w:rPr>
      </w:pPr>
      <w:bookmarkStart w:id="20" w:name="_Toc23027"/>
      <w:r>
        <w:rPr>
          <w:rFonts w:hint="eastAsia" w:ascii="仿宋_GB2312" w:hAnsi="仿宋_GB2312" w:eastAsia="仿宋_GB2312" w:cs="仿宋_GB2312"/>
          <w:b w:val="0"/>
          <w:bCs w:val="0"/>
          <w:color w:val="auto"/>
          <w:sz w:val="32"/>
          <w:szCs w:val="32"/>
          <w:shd w:val="clear" w:color="auto" w:fill="FFFFFF"/>
          <w:lang w:val="en-US" w:eastAsia="zh-CN"/>
        </w:rPr>
        <w:t>1.贯彻落实国家药物政策和国家基本药物制度。</w:t>
      </w:r>
    </w:p>
    <w:p w14:paraId="2CF60D1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shd w:val="clear" w:color="auto" w:fill="FFFFFF"/>
          <w:lang w:val="en-US" w:eastAsia="zh-CN"/>
        </w:rPr>
        <w:t>2.负责职责范围内的职业卫生、放射卫生、环境卫生、学校卫生、公共场所卫生、饮用水卫生等公共卫生的监督管理，做好</w:t>
      </w:r>
      <w:r>
        <w:rPr>
          <w:rFonts w:hint="eastAsia" w:ascii="仿宋_GB2312" w:hAnsi="仿宋_GB2312" w:eastAsia="仿宋_GB2312" w:cs="仿宋_GB2312"/>
          <w:b w:val="0"/>
          <w:bCs w:val="0"/>
          <w:color w:val="auto"/>
          <w:sz w:val="32"/>
          <w:szCs w:val="32"/>
          <w:lang w:eastAsia="zh-CN"/>
        </w:rPr>
        <w:t>基本公共卫生服务工作。</w:t>
      </w:r>
    </w:p>
    <w:p w14:paraId="195DF7F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auto"/>
          <w:sz w:val="32"/>
          <w:szCs w:val="32"/>
          <w:shd w:val="clear" w:color="auto" w:fill="FFFFFF"/>
          <w:lang w:val="en-US" w:eastAsia="zh-CN"/>
        </w:rPr>
      </w:pPr>
      <w:r>
        <w:rPr>
          <w:rFonts w:hint="eastAsia" w:ascii="仿宋_GB2312" w:hAnsi="仿宋_GB2312" w:eastAsia="仿宋_GB2312" w:cs="仿宋_GB2312"/>
          <w:b w:val="0"/>
          <w:bCs w:val="0"/>
          <w:color w:val="auto"/>
          <w:sz w:val="32"/>
          <w:szCs w:val="32"/>
          <w:shd w:val="clear" w:color="auto" w:fill="FFFFFF"/>
          <w:lang w:val="en-US" w:eastAsia="zh-CN"/>
        </w:rPr>
        <w:t>3.负责辖区内计划生育管理和服务工作。</w:t>
      </w:r>
    </w:p>
    <w:p w14:paraId="1BA8213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auto"/>
          <w:spacing w:val="4"/>
          <w:sz w:val="32"/>
          <w:szCs w:val="32"/>
        </w:rPr>
      </w:pPr>
      <w:r>
        <w:rPr>
          <w:rFonts w:hint="eastAsia" w:ascii="仿宋_GB2312" w:hAnsi="仿宋_GB2312" w:eastAsia="仿宋_GB2312" w:cs="仿宋_GB2312"/>
          <w:b w:val="0"/>
          <w:bCs w:val="0"/>
          <w:color w:val="auto"/>
          <w:sz w:val="32"/>
          <w:szCs w:val="32"/>
          <w:shd w:val="clear" w:color="auto" w:fill="FFFFFF"/>
          <w:lang w:val="en-US" w:eastAsia="zh-CN"/>
        </w:rPr>
        <w:t>4.负责辖区内卫生健康工作。</w:t>
      </w:r>
    </w:p>
    <w:p w14:paraId="61F4F6C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auto"/>
          <w:sz w:val="32"/>
          <w:szCs w:val="32"/>
          <w:shd w:val="clear" w:color="auto" w:fill="FFFFFF"/>
          <w:lang w:val="en-US" w:eastAsia="zh-CN"/>
        </w:rPr>
      </w:pPr>
      <w:r>
        <w:rPr>
          <w:rFonts w:hint="eastAsia" w:ascii="仿宋_GB2312" w:hAnsi="仿宋_GB2312" w:eastAsia="仿宋_GB2312" w:cs="仿宋_GB2312"/>
          <w:b w:val="0"/>
          <w:bCs w:val="0"/>
          <w:color w:val="auto"/>
          <w:sz w:val="32"/>
          <w:szCs w:val="32"/>
          <w:shd w:val="clear" w:color="auto" w:fill="FFFFFF"/>
          <w:lang w:val="en-US" w:eastAsia="zh-CN"/>
        </w:rPr>
        <w:t>5.依法依规履行卫生健康行业安全生产监管职责。</w:t>
      </w:r>
    </w:p>
    <w:p w14:paraId="1135D4E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color w:val="auto"/>
          <w:sz w:val="32"/>
          <w:szCs w:val="32"/>
          <w:shd w:val="clear" w:color="auto" w:fill="FFFFFF"/>
          <w:lang w:val="en-US" w:eastAsia="zh-CN"/>
        </w:rPr>
        <w:t>6.完成茂县卫健局交办的其他任务。</w:t>
      </w:r>
    </w:p>
    <w:p w14:paraId="0190A77B">
      <w:pPr>
        <w:spacing w:line="600" w:lineRule="exact"/>
        <w:ind w:firstLine="640" w:firstLineChars="200"/>
        <w:outlineLvl w:val="1"/>
        <w:rPr>
          <w:rStyle w:val="23"/>
          <w:rFonts w:hint="eastAsia" w:ascii="黑体" w:eastAsia="黑体"/>
          <w:b w:val="0"/>
          <w:bCs w:val="0"/>
          <w:lang w:eastAsia="zh-CN"/>
        </w:rPr>
      </w:pPr>
      <w:r>
        <w:rPr>
          <w:rStyle w:val="23"/>
          <w:rFonts w:hint="eastAsia" w:ascii="黑体" w:eastAsia="黑体"/>
          <w:b w:val="0"/>
          <w:bCs w:val="0"/>
          <w:lang w:eastAsia="zh-CN"/>
        </w:rPr>
        <w:t>二、机构设置</w:t>
      </w:r>
      <w:bookmarkEnd w:id="18"/>
      <w:bookmarkEnd w:id="19"/>
      <w:bookmarkEnd w:id="20"/>
    </w:p>
    <w:p w14:paraId="06F7A392">
      <w:pPr>
        <w:spacing w:line="600" w:lineRule="exact"/>
        <w:ind w:firstLine="640" w:firstLineChars="200"/>
        <w:rPr>
          <w:rFonts w:hint="eastAsia" w:ascii="仿宋_GB2312" w:hAnsi="仿宋_GB2312" w:eastAsia="仿宋_GB2312" w:cs="仿宋_GB2312"/>
          <w:color w:val="000000"/>
          <w:sz w:val="32"/>
          <w:szCs w:val="32"/>
          <w:lang w:val="en-US" w:eastAsia="zh-CN"/>
        </w:rPr>
      </w:pPr>
      <w:bookmarkStart w:id="21" w:name="_Toc7290"/>
      <w:r>
        <w:rPr>
          <w:rFonts w:hint="eastAsia" w:ascii="仿宋_GB2312" w:hAnsi="仿宋_GB2312" w:eastAsia="仿宋_GB2312" w:cs="仿宋_GB2312"/>
          <w:color w:val="000000"/>
          <w:sz w:val="32"/>
          <w:szCs w:val="32"/>
          <w:lang w:val="en-US" w:eastAsia="zh-CN"/>
        </w:rPr>
        <w:t>茂县南新镇卫生院</w:t>
      </w:r>
      <w:bookmarkEnd w:id="21"/>
      <w:r>
        <w:rPr>
          <w:rFonts w:hint="eastAsia" w:ascii="仿宋_GB2312" w:hAnsi="仿宋_GB2312" w:eastAsia="仿宋_GB2312" w:cs="仿宋_GB2312"/>
          <w:color w:val="000000"/>
          <w:sz w:val="32"/>
          <w:szCs w:val="32"/>
          <w:highlight w:val="none"/>
          <w:lang w:val="en-US" w:eastAsia="zh-CN"/>
        </w:rPr>
        <w:t>为县卫健局的二级预算单位，编制人数25人，</w:t>
      </w:r>
      <w:r>
        <w:rPr>
          <w:rFonts w:hint="eastAsia" w:ascii="仿宋_GB2312" w:hAnsi="仿宋_GB2312" w:eastAsia="仿宋_GB2312" w:cs="仿宋_GB2312"/>
          <w:b w:val="0"/>
          <w:bCs w:val="0"/>
          <w:color w:val="000000"/>
          <w:kern w:val="2"/>
          <w:sz w:val="32"/>
          <w:szCs w:val="32"/>
          <w:highlight w:val="none"/>
          <w:lang w:val="en-US" w:eastAsia="zh-CN" w:bidi="ar-SA"/>
        </w:rPr>
        <w:t>实有人数21人。</w:t>
      </w:r>
    </w:p>
    <w:p w14:paraId="18A8A4FE">
      <w:pPr>
        <w:widowControl/>
        <w:jc w:val="left"/>
        <w:rPr>
          <w:rFonts w:ascii="仿宋" w:eastAsia="仿宋"/>
          <w:kern w:val="0"/>
          <w:sz w:val="32"/>
          <w:szCs w:val="32"/>
        </w:rPr>
      </w:pPr>
    </w:p>
    <w:p w14:paraId="78495AD4">
      <w:pPr>
        <w:widowControl/>
        <w:jc w:val="left"/>
        <w:rPr>
          <w:rFonts w:ascii="仿宋" w:eastAsia="仿宋"/>
          <w:kern w:val="0"/>
          <w:sz w:val="32"/>
          <w:szCs w:val="32"/>
        </w:rPr>
      </w:pPr>
    </w:p>
    <w:p w14:paraId="1AFA8DA2">
      <w:pPr>
        <w:widowControl/>
        <w:jc w:val="left"/>
        <w:rPr>
          <w:rFonts w:ascii="仿宋" w:eastAsia="仿宋"/>
          <w:kern w:val="0"/>
          <w:sz w:val="32"/>
          <w:szCs w:val="32"/>
        </w:rPr>
      </w:pPr>
    </w:p>
    <w:p w14:paraId="7A27397F">
      <w:pPr>
        <w:widowControl/>
        <w:jc w:val="left"/>
        <w:rPr>
          <w:rFonts w:ascii="仿宋" w:eastAsia="仿宋"/>
          <w:kern w:val="0"/>
          <w:sz w:val="32"/>
          <w:szCs w:val="32"/>
        </w:rPr>
      </w:pPr>
    </w:p>
    <w:p w14:paraId="2EF0E05F">
      <w:pPr>
        <w:widowControl/>
        <w:jc w:val="left"/>
        <w:rPr>
          <w:rFonts w:ascii="仿宋" w:eastAsia="仿宋"/>
          <w:kern w:val="0"/>
          <w:sz w:val="32"/>
          <w:szCs w:val="32"/>
        </w:rPr>
      </w:pPr>
    </w:p>
    <w:p w14:paraId="2655FF53">
      <w:pPr>
        <w:widowControl/>
        <w:jc w:val="left"/>
        <w:rPr>
          <w:rFonts w:ascii="仿宋" w:eastAsia="仿宋"/>
          <w:kern w:val="0"/>
          <w:sz w:val="32"/>
          <w:szCs w:val="32"/>
        </w:rPr>
      </w:pPr>
    </w:p>
    <w:p w14:paraId="1A4257A1">
      <w:pPr>
        <w:widowControl/>
        <w:jc w:val="left"/>
        <w:rPr>
          <w:rFonts w:ascii="仿宋" w:eastAsia="仿宋"/>
          <w:kern w:val="0"/>
          <w:sz w:val="32"/>
          <w:szCs w:val="32"/>
        </w:rPr>
      </w:pPr>
    </w:p>
    <w:p w14:paraId="22EBABF1">
      <w:pPr>
        <w:widowControl/>
        <w:jc w:val="left"/>
        <w:rPr>
          <w:rFonts w:ascii="仿宋" w:eastAsia="仿宋"/>
          <w:kern w:val="0"/>
          <w:sz w:val="32"/>
          <w:szCs w:val="32"/>
        </w:rPr>
      </w:pPr>
    </w:p>
    <w:p w14:paraId="74C4383C">
      <w:pPr>
        <w:pStyle w:val="3"/>
        <w:keepNext/>
        <w:keepLines/>
        <w:pageBreakBefore w:val="0"/>
        <w:widowControl w:val="0"/>
        <w:kinsoku/>
        <w:wordWrap/>
        <w:overflowPunct/>
        <w:topLinePunct w:val="0"/>
        <w:autoSpaceDE/>
        <w:autoSpaceDN/>
        <w:bidi w:val="0"/>
        <w:adjustRightInd/>
        <w:snapToGrid/>
        <w:spacing w:after="0" w:line="240" w:lineRule="auto"/>
        <w:ind w:right="0"/>
        <w:jc w:val="center"/>
        <w:textAlignment w:val="auto"/>
        <w:rPr>
          <w:rFonts w:hint="eastAsia" w:ascii="方正小标宋简体" w:hAnsi="方正小标宋简体" w:eastAsia="方正小标宋简体" w:cs="方正小标宋简体"/>
        </w:rPr>
      </w:pPr>
      <w:bookmarkStart w:id="22" w:name="_Toc12705"/>
      <w:bookmarkStart w:id="23" w:name="_Toc15377204"/>
      <w:bookmarkStart w:id="24" w:name="_Toc15396602"/>
      <w:r>
        <w:rPr>
          <w:rFonts w:hint="eastAsia" w:ascii="方正小标宋简体" w:hAnsi="方正小标宋简体" w:eastAsia="方正小标宋简体" w:cs="方正小标宋简体"/>
          <w:b w:val="0"/>
          <w:lang w:val="en-US" w:eastAsia="zh-CN"/>
        </w:rPr>
        <w:t xml:space="preserve">  </w:t>
      </w:r>
      <w:r>
        <w:rPr>
          <w:rFonts w:hint="eastAsia" w:ascii="方正小标宋简体" w:hAnsi="方正小标宋简体" w:eastAsia="方正小标宋简体" w:cs="方正小标宋简体"/>
          <w:b w:val="0"/>
        </w:rPr>
        <w:t xml:space="preserve">第二部分 </w:t>
      </w:r>
      <w:r>
        <w:rPr>
          <w:rFonts w:hint="eastAsia" w:ascii="方正小标宋简体" w:hAnsi="方正小标宋简体" w:eastAsia="方正小标宋简体" w:cs="方正小标宋简体"/>
          <w:b w:val="0"/>
          <w:lang w:eastAsia="zh-CN"/>
        </w:rPr>
        <w:t>2025</w:t>
      </w:r>
      <w:r>
        <w:rPr>
          <w:rFonts w:hint="eastAsia" w:ascii="方正小标宋简体" w:hAnsi="方正小标宋简体" w:eastAsia="方正小标宋简体" w:cs="方正小标宋简体"/>
          <w:b w:val="0"/>
        </w:rPr>
        <w:t>年度</w:t>
      </w:r>
      <w:r>
        <w:rPr>
          <w:rStyle w:val="22"/>
          <w:rFonts w:hint="eastAsia" w:ascii="方正小标宋简体" w:hAnsi="方正小标宋简体" w:eastAsia="方正小标宋简体" w:cs="方正小标宋简体"/>
          <w:b w:val="0"/>
          <w:bCs/>
        </w:rPr>
        <w:t>单位决算情况说明</w:t>
      </w:r>
      <w:bookmarkEnd w:id="22"/>
      <w:bookmarkEnd w:id="23"/>
      <w:bookmarkEnd w:id="24"/>
    </w:p>
    <w:p w14:paraId="4A6C2F5B">
      <w:pPr>
        <w:pStyle w:val="28"/>
        <w:numPr>
          <w:ilvl w:val="0"/>
          <w:numId w:val="1"/>
        </w:numPr>
        <w:spacing w:line="600" w:lineRule="exact"/>
        <w:ind w:firstLineChars="0"/>
        <w:outlineLvl w:val="1"/>
        <w:rPr>
          <w:rStyle w:val="23"/>
          <w:rFonts w:ascii="黑体" w:eastAsia="黑体"/>
          <w:b w:val="0"/>
        </w:rPr>
      </w:pPr>
      <w:bookmarkStart w:id="25" w:name="_Toc15396603"/>
      <w:bookmarkStart w:id="26" w:name="_Toc10787"/>
      <w:bookmarkStart w:id="27" w:name="_Toc15377205"/>
      <w:r>
        <w:rPr>
          <w:rFonts w:hint="eastAsia" w:ascii="黑体" w:eastAsia="黑体"/>
          <w:sz w:val="32"/>
          <w:szCs w:val="32"/>
        </w:rPr>
        <w:t>收</w:t>
      </w:r>
      <w:r>
        <w:rPr>
          <w:rStyle w:val="23"/>
          <w:rFonts w:hint="eastAsia" w:ascii="黑体" w:eastAsia="黑体"/>
          <w:b w:val="0"/>
        </w:rPr>
        <w:t>入支出决算总体情况说明</w:t>
      </w:r>
      <w:bookmarkEnd w:id="25"/>
      <w:bookmarkEnd w:id="26"/>
      <w:bookmarkEnd w:id="27"/>
    </w:p>
    <w:p w14:paraId="69737964">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drawing>
          <wp:anchor distT="0" distB="0" distL="114300" distR="114300" simplePos="0" relativeHeight="251659264" behindDoc="0" locked="0" layoutInCell="1" allowOverlap="1">
            <wp:simplePos x="0" y="0"/>
            <wp:positionH relativeFrom="column">
              <wp:posOffset>464820</wp:posOffset>
            </wp:positionH>
            <wp:positionV relativeFrom="paragraph">
              <wp:posOffset>1727835</wp:posOffset>
            </wp:positionV>
            <wp:extent cx="3856990" cy="2084705"/>
            <wp:effectExtent l="0" t="0" r="0" b="0"/>
            <wp:wrapTopAndBottom/>
            <wp:docPr id="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年度收、支总计均为</w:t>
      </w:r>
      <w:r>
        <w:rPr>
          <w:rFonts w:hint="eastAsia" w:ascii="仿宋_GB2312" w:hAnsi="仿宋_GB2312" w:eastAsia="仿宋_GB2312" w:cs="仿宋_GB2312"/>
          <w:b w:val="0"/>
          <w:bCs/>
          <w:sz w:val="32"/>
          <w:szCs w:val="32"/>
          <w:lang w:eastAsia="zh-CN"/>
        </w:rPr>
        <w:t>472.64</w:t>
      </w:r>
      <w:r>
        <w:rPr>
          <w:rFonts w:hint="eastAsia" w:ascii="仿宋_GB2312" w:hAnsi="仿宋_GB2312" w:eastAsia="仿宋_GB2312" w:cs="仿宋_GB2312"/>
          <w:sz w:val="32"/>
          <w:szCs w:val="32"/>
        </w:rPr>
        <w:t>万元。与</w:t>
      </w:r>
      <w:r>
        <w:rPr>
          <w:rFonts w:hint="eastAsia" w:ascii="仿宋_GB2312" w:hAnsi="仿宋_GB2312" w:eastAsia="仿宋_GB2312" w:cs="仿宋_GB2312"/>
          <w:sz w:val="32"/>
          <w:szCs w:val="32"/>
          <w:lang w:eastAsia="zh-CN"/>
        </w:rPr>
        <w:t>2024</w:t>
      </w:r>
      <w:r>
        <w:rPr>
          <w:rFonts w:hint="eastAsia" w:ascii="仿宋_GB2312" w:hAnsi="仿宋_GB2312" w:eastAsia="仿宋_GB2312" w:cs="仿宋_GB2312"/>
          <w:sz w:val="32"/>
          <w:szCs w:val="32"/>
        </w:rPr>
        <w:t>年度相比，收、支总计各增加</w:t>
      </w:r>
      <w:r>
        <w:rPr>
          <w:rFonts w:hint="eastAsia" w:ascii="仿宋_GB2312" w:hAnsi="仿宋_GB2312" w:eastAsia="仿宋_GB2312" w:cs="仿宋_GB2312"/>
          <w:sz w:val="32"/>
          <w:szCs w:val="32"/>
          <w:lang w:val="en-US" w:eastAsia="zh-CN"/>
        </w:rPr>
        <w:t>44.38</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10.4</w:t>
      </w:r>
      <w:r>
        <w:rPr>
          <w:rFonts w:hint="eastAsia" w:ascii="仿宋_GB2312" w:hAnsi="仿宋_GB2312" w:eastAsia="仿宋_GB2312" w:cs="仿宋_GB2312"/>
          <w:sz w:val="32"/>
          <w:szCs w:val="32"/>
        </w:rPr>
        <w:t>%。主要变动原因是</w:t>
      </w:r>
      <w:r>
        <w:rPr>
          <w:rFonts w:hint="eastAsia" w:ascii="仿宋_GB2312" w:hAnsi="仿宋_GB2312" w:eastAsia="仿宋_GB2312" w:cs="仿宋_GB2312"/>
          <w:sz w:val="32"/>
          <w:szCs w:val="32"/>
          <w:lang w:eastAsia="zh-CN"/>
        </w:rPr>
        <w:t>：在编人员增加，工资晋升，人员经费收入、支出增加</w:t>
      </w:r>
      <w:r>
        <w:rPr>
          <w:rFonts w:hint="eastAsia" w:ascii="仿宋_GB2312" w:hAnsi="仿宋_GB2312" w:eastAsia="仿宋_GB2312" w:cs="仿宋_GB2312"/>
          <w:sz w:val="32"/>
          <w:szCs w:val="32"/>
        </w:rPr>
        <w:t>。</w:t>
      </w:r>
    </w:p>
    <w:p w14:paraId="7091FD68">
      <w:pPr>
        <w:pStyle w:val="28"/>
        <w:numPr>
          <w:ilvl w:val="0"/>
          <w:numId w:val="1"/>
        </w:numPr>
        <w:spacing w:line="600" w:lineRule="exact"/>
        <w:ind w:firstLineChars="0"/>
        <w:outlineLvl w:val="1"/>
        <w:rPr>
          <w:rStyle w:val="23"/>
          <w:rFonts w:ascii="黑体" w:eastAsia="黑体"/>
          <w:b w:val="0"/>
        </w:rPr>
      </w:pPr>
      <w:bookmarkStart w:id="28" w:name="_Toc28202"/>
      <w:bookmarkStart w:id="29" w:name="_Toc15396604"/>
      <w:bookmarkStart w:id="30" w:name="_Toc15377206"/>
      <w:r>
        <w:rPr>
          <w:rFonts w:hint="eastAsia" w:ascii="黑体" w:eastAsia="黑体"/>
          <w:sz w:val="32"/>
          <w:szCs w:val="32"/>
        </w:rPr>
        <w:t>收</w:t>
      </w:r>
      <w:r>
        <w:rPr>
          <w:rStyle w:val="23"/>
          <w:rFonts w:hint="eastAsia" w:ascii="黑体" w:eastAsia="黑体"/>
          <w:b w:val="0"/>
        </w:rPr>
        <w:t>入决算情况说明</w:t>
      </w:r>
      <w:bookmarkEnd w:id="28"/>
      <w:bookmarkEnd w:id="29"/>
      <w:bookmarkEnd w:id="30"/>
    </w:p>
    <w:p w14:paraId="4011E31E">
      <w:pPr>
        <w:spacing w:line="600" w:lineRule="exact"/>
        <w:ind w:firstLine="640" w:firstLineChars="200"/>
        <w:outlineLvl w:val="1"/>
        <w:rPr>
          <w:rFonts w:hint="eastAsia" w:ascii="仿宋_GB2312" w:hAnsi="仿宋_GB2312" w:eastAsia="仿宋_GB2312" w:cs="仿宋_GB2312"/>
          <w:sz w:val="32"/>
          <w:szCs w:val="32"/>
        </w:rPr>
      </w:pPr>
      <w:bookmarkStart w:id="31" w:name="_Toc22817"/>
      <w:r>
        <w:rPr>
          <w:rFonts w:hint="eastAsia" w:ascii="仿宋_GB2312" w:hAnsi="仿宋_GB2312" w:eastAsia="仿宋_GB2312" w:cs="仿宋_GB2312"/>
          <w:sz w:val="32"/>
          <w:szCs w:val="32"/>
          <w:lang w:eastAsia="zh-CN"/>
        </w:rPr>
        <w:drawing>
          <wp:anchor distT="0" distB="0" distL="114300" distR="114300" simplePos="0" relativeHeight="251659264" behindDoc="0" locked="0" layoutInCell="1" allowOverlap="1">
            <wp:simplePos x="0" y="0"/>
            <wp:positionH relativeFrom="column">
              <wp:posOffset>525780</wp:posOffset>
            </wp:positionH>
            <wp:positionV relativeFrom="paragraph">
              <wp:posOffset>1223645</wp:posOffset>
            </wp:positionV>
            <wp:extent cx="3540760" cy="2171700"/>
            <wp:effectExtent l="0" t="0" r="0" b="0"/>
            <wp:wrapTopAndBottom/>
            <wp:docPr id="8" name="图表 2" descr="7b0a202020202263686172745265734964223a2022323034373538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年度本年收入合计</w:t>
      </w:r>
      <w:r>
        <w:rPr>
          <w:rFonts w:hint="eastAsia" w:ascii="仿宋_GB2312" w:hAnsi="仿宋_GB2312" w:eastAsia="仿宋_GB2312" w:cs="仿宋_GB2312"/>
          <w:b w:val="0"/>
          <w:bCs/>
          <w:sz w:val="32"/>
          <w:szCs w:val="32"/>
          <w:lang w:eastAsia="zh-CN"/>
        </w:rPr>
        <w:t>472.64</w:t>
      </w:r>
      <w:r>
        <w:rPr>
          <w:rFonts w:hint="eastAsia" w:ascii="仿宋_GB2312" w:hAnsi="仿宋_GB2312" w:eastAsia="仿宋_GB2312" w:cs="仿宋_GB2312"/>
          <w:b w:val="0"/>
          <w:bCs/>
          <w:sz w:val="32"/>
          <w:szCs w:val="32"/>
        </w:rPr>
        <w:t>万元，其中：一般公共预算财政拨款收入</w:t>
      </w:r>
      <w:r>
        <w:rPr>
          <w:rFonts w:hint="eastAsia" w:ascii="仿宋_GB2312" w:hAnsi="仿宋_GB2312" w:eastAsia="仿宋_GB2312" w:cs="仿宋_GB2312"/>
          <w:b w:val="0"/>
          <w:bCs/>
          <w:sz w:val="32"/>
          <w:szCs w:val="32"/>
          <w:lang w:eastAsia="zh-CN"/>
        </w:rPr>
        <w:t>446.44</w:t>
      </w:r>
      <w:r>
        <w:rPr>
          <w:rFonts w:hint="eastAsia" w:ascii="仿宋_GB2312" w:hAnsi="仿宋_GB2312" w:eastAsia="仿宋_GB2312" w:cs="仿宋_GB2312"/>
          <w:b w:val="0"/>
          <w:bCs/>
          <w:sz w:val="32"/>
          <w:szCs w:val="32"/>
        </w:rPr>
        <w:t>万元，占</w:t>
      </w:r>
      <w:r>
        <w:rPr>
          <w:rFonts w:hint="eastAsia" w:ascii="仿宋_GB2312" w:hAnsi="仿宋_GB2312" w:eastAsia="仿宋_GB2312" w:cs="仿宋_GB2312"/>
          <w:b w:val="0"/>
          <w:bCs/>
          <w:sz w:val="32"/>
          <w:szCs w:val="32"/>
          <w:lang w:val="en-US" w:eastAsia="zh-CN"/>
        </w:rPr>
        <w:t>94.5</w:t>
      </w:r>
      <w:r>
        <w:rPr>
          <w:rFonts w:hint="eastAsia" w:ascii="仿宋_GB2312" w:hAnsi="仿宋_GB2312" w:eastAsia="仿宋_GB2312" w:cs="仿宋_GB2312"/>
          <w:b w:val="0"/>
          <w:bCs/>
          <w:sz w:val="32"/>
          <w:szCs w:val="32"/>
        </w:rPr>
        <w:t>%；事业收入</w:t>
      </w:r>
      <w:r>
        <w:rPr>
          <w:rFonts w:hint="eastAsia" w:ascii="仿宋_GB2312" w:hAnsi="仿宋_GB2312" w:eastAsia="仿宋_GB2312" w:cs="仿宋_GB2312"/>
          <w:b w:val="0"/>
          <w:bCs/>
          <w:sz w:val="32"/>
          <w:szCs w:val="32"/>
          <w:lang w:eastAsia="zh-CN"/>
        </w:rPr>
        <w:t>26.2</w:t>
      </w:r>
      <w:r>
        <w:rPr>
          <w:rFonts w:hint="eastAsia" w:ascii="仿宋_GB2312" w:hAnsi="仿宋_GB2312" w:eastAsia="仿宋_GB2312" w:cs="仿宋_GB2312"/>
          <w:sz w:val="32"/>
          <w:szCs w:val="32"/>
        </w:rPr>
        <w:t>万元，占</w:t>
      </w:r>
      <w:r>
        <w:rPr>
          <w:rFonts w:hint="eastAsia" w:ascii="仿宋_GB2312" w:hAnsi="仿宋_GB2312" w:eastAsia="仿宋_GB2312" w:cs="仿宋_GB2312"/>
          <w:b w:val="0"/>
          <w:bCs/>
          <w:sz w:val="32"/>
          <w:szCs w:val="32"/>
          <w:lang w:val="en-US" w:eastAsia="zh-CN"/>
        </w:rPr>
        <w:t>5.5</w:t>
      </w:r>
      <w:r>
        <w:rPr>
          <w:rFonts w:hint="eastAsia" w:ascii="仿宋_GB2312" w:hAnsi="仿宋_GB2312" w:eastAsia="仿宋_GB2312" w:cs="仿宋_GB2312"/>
          <w:b w:val="0"/>
          <w:bCs/>
          <w:sz w:val="32"/>
          <w:szCs w:val="32"/>
        </w:rPr>
        <w:t>%</w:t>
      </w:r>
      <w:r>
        <w:rPr>
          <w:rFonts w:hint="eastAsia" w:ascii="仿宋_GB2312" w:hAnsi="仿宋_GB2312" w:eastAsia="仿宋_GB2312" w:cs="仿宋_GB2312"/>
          <w:sz w:val="32"/>
          <w:szCs w:val="32"/>
          <w:lang w:eastAsia="zh-CN"/>
        </w:rPr>
        <w:t>。</w:t>
      </w:r>
      <w:bookmarkEnd w:id="31"/>
    </w:p>
    <w:p w14:paraId="2AE22A1A">
      <w:pPr>
        <w:pStyle w:val="28"/>
        <w:numPr>
          <w:ilvl w:val="0"/>
          <w:numId w:val="1"/>
        </w:numPr>
        <w:spacing w:line="600" w:lineRule="exact"/>
        <w:ind w:firstLineChars="0"/>
        <w:outlineLvl w:val="1"/>
        <w:rPr>
          <w:rStyle w:val="23"/>
          <w:rFonts w:ascii="黑体" w:eastAsia="黑体"/>
          <w:b w:val="0"/>
        </w:rPr>
      </w:pPr>
      <w:bookmarkStart w:id="32" w:name="_Toc15377207"/>
      <w:bookmarkStart w:id="33" w:name="_Toc15396605"/>
      <w:bookmarkStart w:id="34" w:name="_Toc29706"/>
      <w:r>
        <w:rPr>
          <w:rFonts w:hint="eastAsia" w:ascii="黑体" w:eastAsia="黑体"/>
          <w:sz w:val="32"/>
          <w:szCs w:val="32"/>
        </w:rPr>
        <w:t>支</w:t>
      </w:r>
      <w:r>
        <w:rPr>
          <w:rStyle w:val="23"/>
          <w:rFonts w:hint="eastAsia" w:ascii="黑体" w:eastAsia="黑体"/>
          <w:b w:val="0"/>
        </w:rPr>
        <w:t>出决算情况说明</w:t>
      </w:r>
      <w:bookmarkEnd w:id="32"/>
      <w:bookmarkEnd w:id="33"/>
      <w:bookmarkEnd w:id="34"/>
    </w:p>
    <w:p w14:paraId="04B2797D">
      <w:pPr>
        <w:spacing w:line="600" w:lineRule="exact"/>
        <w:ind w:firstLine="640" w:firstLineChars="200"/>
        <w:outlineLvl w:val="1"/>
        <w:rPr>
          <w:rFonts w:hint="eastAsia" w:ascii="仿宋_GB2312" w:hAnsi="仿宋_GB2312" w:eastAsia="仿宋_GB2312" w:cs="仿宋_GB2312"/>
          <w:sz w:val="32"/>
          <w:szCs w:val="32"/>
        </w:rPr>
      </w:pPr>
      <w:bookmarkStart w:id="35" w:name="_Toc19733"/>
      <w:r>
        <w:rPr>
          <w:rFonts w:hint="eastAsia" w:ascii="仿宋_GB2312" w:hAnsi="仿宋_GB2312" w:eastAsia="仿宋_GB2312" w:cs="仿宋_GB2312"/>
          <w:sz w:val="32"/>
          <w:szCs w:val="32"/>
          <w:lang w:eastAsia="zh-CN"/>
        </w:rPr>
        <w:drawing>
          <wp:anchor distT="0" distB="0" distL="114300" distR="114300" simplePos="0" relativeHeight="251659264" behindDoc="0" locked="0" layoutInCell="1" allowOverlap="1">
            <wp:simplePos x="0" y="0"/>
            <wp:positionH relativeFrom="column">
              <wp:posOffset>215265</wp:posOffset>
            </wp:positionH>
            <wp:positionV relativeFrom="paragraph">
              <wp:posOffset>890905</wp:posOffset>
            </wp:positionV>
            <wp:extent cx="4389755" cy="2693035"/>
            <wp:effectExtent l="0" t="0" r="0" b="0"/>
            <wp:wrapTopAndBottom/>
            <wp:docPr id="9" name="图表 3" descr="7b0a202020202263686172745265734964223a2022323034373538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年度本年支出合计</w:t>
      </w:r>
      <w:r>
        <w:rPr>
          <w:rFonts w:hint="eastAsia" w:ascii="仿宋_GB2312" w:hAnsi="仿宋_GB2312" w:eastAsia="仿宋_GB2312" w:cs="仿宋_GB2312"/>
          <w:b w:val="0"/>
          <w:bCs/>
          <w:sz w:val="32"/>
          <w:szCs w:val="32"/>
          <w:lang w:eastAsia="zh-CN"/>
        </w:rPr>
        <w:t>450.53</w:t>
      </w:r>
      <w:r>
        <w:rPr>
          <w:rFonts w:hint="eastAsia" w:ascii="仿宋_GB2312" w:hAnsi="仿宋_GB2312" w:eastAsia="仿宋_GB2312" w:cs="仿宋_GB2312"/>
          <w:b w:val="0"/>
          <w:bCs/>
          <w:sz w:val="32"/>
          <w:szCs w:val="32"/>
        </w:rPr>
        <w:t>万元，其中：基本支出</w:t>
      </w:r>
      <w:r>
        <w:rPr>
          <w:rFonts w:hint="eastAsia" w:ascii="仿宋_GB2312" w:hAnsi="仿宋_GB2312" w:eastAsia="仿宋_GB2312" w:cs="仿宋_GB2312"/>
          <w:b w:val="0"/>
          <w:bCs/>
          <w:sz w:val="32"/>
          <w:szCs w:val="32"/>
          <w:lang w:eastAsia="zh-CN"/>
        </w:rPr>
        <w:t>360.81</w:t>
      </w:r>
      <w:r>
        <w:rPr>
          <w:rFonts w:hint="eastAsia" w:ascii="仿宋_GB2312" w:hAnsi="仿宋_GB2312" w:eastAsia="仿宋_GB2312" w:cs="仿宋_GB2312"/>
          <w:b w:val="0"/>
          <w:bCs/>
          <w:sz w:val="32"/>
          <w:szCs w:val="32"/>
        </w:rPr>
        <w:t>万元，占</w:t>
      </w:r>
      <w:r>
        <w:rPr>
          <w:rFonts w:hint="eastAsia" w:ascii="仿宋_GB2312" w:hAnsi="仿宋_GB2312" w:eastAsia="仿宋_GB2312" w:cs="仿宋_GB2312"/>
          <w:b w:val="0"/>
          <w:bCs/>
          <w:sz w:val="32"/>
          <w:szCs w:val="32"/>
          <w:lang w:val="en-US" w:eastAsia="zh-CN"/>
        </w:rPr>
        <w:t>80.1</w:t>
      </w:r>
      <w:r>
        <w:rPr>
          <w:rFonts w:hint="eastAsia" w:ascii="仿宋_GB2312" w:hAnsi="仿宋_GB2312" w:eastAsia="仿宋_GB2312" w:cs="仿宋_GB2312"/>
          <w:b w:val="0"/>
          <w:bCs/>
          <w:sz w:val="32"/>
          <w:szCs w:val="32"/>
        </w:rPr>
        <w:t>%；项目支出</w:t>
      </w:r>
      <w:r>
        <w:rPr>
          <w:rFonts w:hint="eastAsia" w:ascii="仿宋_GB2312" w:hAnsi="仿宋_GB2312" w:eastAsia="仿宋_GB2312" w:cs="仿宋_GB2312"/>
          <w:b w:val="0"/>
          <w:bCs/>
          <w:sz w:val="32"/>
          <w:szCs w:val="32"/>
          <w:lang w:eastAsia="zh-CN"/>
        </w:rPr>
        <w:t>89.72</w:t>
      </w:r>
      <w:r>
        <w:rPr>
          <w:rFonts w:hint="eastAsia" w:ascii="仿宋_GB2312" w:hAnsi="仿宋_GB2312" w:eastAsia="仿宋_GB2312" w:cs="仿宋_GB2312"/>
          <w:b w:val="0"/>
          <w:bCs/>
          <w:sz w:val="32"/>
          <w:szCs w:val="32"/>
        </w:rPr>
        <w:t>万元，占</w:t>
      </w:r>
      <w:r>
        <w:rPr>
          <w:rFonts w:hint="eastAsia" w:ascii="仿宋_GB2312" w:hAnsi="仿宋_GB2312" w:eastAsia="仿宋_GB2312" w:cs="仿宋_GB2312"/>
          <w:b w:val="0"/>
          <w:bCs/>
          <w:sz w:val="32"/>
          <w:szCs w:val="32"/>
          <w:lang w:val="en-US" w:eastAsia="zh-CN"/>
        </w:rPr>
        <w:t>19.9</w:t>
      </w:r>
      <w:r>
        <w:rPr>
          <w:rFonts w:hint="eastAsia" w:ascii="仿宋_GB2312" w:hAnsi="仿宋_GB2312" w:eastAsia="仿宋_GB2312" w:cs="仿宋_GB2312"/>
          <w:b w:val="0"/>
          <w:bCs/>
          <w:sz w:val="32"/>
          <w:szCs w:val="32"/>
        </w:rPr>
        <w:t>%</w:t>
      </w:r>
      <w:r>
        <w:rPr>
          <w:rFonts w:hint="eastAsia" w:ascii="仿宋_GB2312" w:hAnsi="仿宋_GB2312" w:eastAsia="仿宋_GB2312" w:cs="仿宋_GB2312"/>
          <w:sz w:val="32"/>
          <w:szCs w:val="32"/>
        </w:rPr>
        <w:t>。</w:t>
      </w:r>
      <w:bookmarkEnd w:id="35"/>
    </w:p>
    <w:p w14:paraId="044530D1">
      <w:pPr>
        <w:spacing w:line="600" w:lineRule="exact"/>
        <w:ind w:firstLine="640" w:firstLineChars="200"/>
        <w:outlineLvl w:val="1"/>
        <w:rPr>
          <w:rStyle w:val="23"/>
          <w:rFonts w:ascii="黑体" w:eastAsia="黑体"/>
          <w:b w:val="0"/>
        </w:rPr>
      </w:pPr>
      <w:bookmarkStart w:id="36" w:name="_Toc15396606"/>
      <w:bookmarkStart w:id="37" w:name="_Toc15377208"/>
      <w:bookmarkStart w:id="38" w:name="_Toc19728"/>
      <w:r>
        <w:rPr>
          <w:rFonts w:hint="eastAsia" w:ascii="黑体" w:eastAsia="黑体"/>
          <w:sz w:val="32"/>
          <w:szCs w:val="32"/>
        </w:rPr>
        <w:t>四、财</w:t>
      </w:r>
      <w:r>
        <w:rPr>
          <w:rStyle w:val="23"/>
          <w:rFonts w:hint="eastAsia" w:ascii="黑体" w:eastAsia="黑体"/>
          <w:b w:val="0"/>
        </w:rPr>
        <w:t>政拨款收入支出决算总体情况说明</w:t>
      </w:r>
      <w:bookmarkEnd w:id="36"/>
      <w:bookmarkEnd w:id="37"/>
      <w:bookmarkEnd w:id="38"/>
    </w:p>
    <w:p w14:paraId="6A29AA8B">
      <w:pPr>
        <w:spacing w:line="6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年度财政拨款收、支总计均为</w:t>
      </w:r>
      <w:r>
        <w:rPr>
          <w:rFonts w:hint="eastAsia" w:ascii="仿宋_GB2312" w:hAnsi="仿宋_GB2312" w:eastAsia="仿宋_GB2312" w:cs="仿宋_GB2312"/>
          <w:b w:val="0"/>
          <w:bCs/>
          <w:sz w:val="32"/>
          <w:szCs w:val="32"/>
          <w:lang w:eastAsia="zh-CN"/>
        </w:rPr>
        <w:t>446.44</w:t>
      </w:r>
      <w:r>
        <w:rPr>
          <w:rFonts w:hint="eastAsia" w:ascii="仿宋_GB2312" w:hAnsi="仿宋_GB2312" w:eastAsia="仿宋_GB2312" w:cs="仿宋_GB2312"/>
          <w:sz w:val="32"/>
          <w:szCs w:val="32"/>
        </w:rPr>
        <w:t>万元。与</w:t>
      </w:r>
      <w:r>
        <w:rPr>
          <w:rFonts w:hint="eastAsia" w:ascii="仿宋_GB2312" w:hAnsi="仿宋_GB2312" w:eastAsia="仿宋_GB2312" w:cs="仿宋_GB2312"/>
          <w:sz w:val="32"/>
          <w:szCs w:val="32"/>
          <w:lang w:eastAsia="zh-CN"/>
        </w:rPr>
        <w:t>2024</w:t>
      </w:r>
      <w:r>
        <w:rPr>
          <w:rFonts w:hint="eastAsia" w:ascii="仿宋_GB2312" w:hAnsi="仿宋_GB2312" w:eastAsia="仿宋_GB2312" w:cs="仿宋_GB2312"/>
          <w:sz w:val="32"/>
          <w:szCs w:val="32"/>
        </w:rPr>
        <w:t>年度相比，财政拨款收、支总计各增加</w:t>
      </w:r>
      <w:r>
        <w:rPr>
          <w:rFonts w:hint="eastAsia" w:ascii="仿宋_GB2312" w:hAnsi="仿宋_GB2312" w:eastAsia="仿宋_GB2312" w:cs="仿宋_GB2312"/>
          <w:sz w:val="32"/>
          <w:szCs w:val="32"/>
          <w:lang w:val="en-US" w:eastAsia="zh-CN"/>
        </w:rPr>
        <w:t>36.74</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8.9</w:t>
      </w:r>
      <w:r>
        <w:rPr>
          <w:rFonts w:hint="eastAsia" w:ascii="仿宋_GB2312" w:hAnsi="仿宋_GB2312" w:eastAsia="仿宋_GB2312" w:cs="仿宋_GB2312"/>
          <w:sz w:val="32"/>
          <w:szCs w:val="32"/>
        </w:rPr>
        <w:t>%。主要变动原因是</w:t>
      </w:r>
      <w:r>
        <w:rPr>
          <w:rFonts w:hint="eastAsia" w:ascii="仿宋_GB2312" w:hAnsi="仿宋_GB2312" w:eastAsia="仿宋_GB2312" w:cs="仿宋_GB2312"/>
          <w:sz w:val="32"/>
          <w:szCs w:val="32"/>
          <w:lang w:eastAsia="zh-CN"/>
        </w:rPr>
        <w:t>：在编人员增加，工资晋升，人员经费收入、支出增加。</w:t>
      </w:r>
      <w:bookmarkStart w:id="39" w:name="_Toc15396607"/>
      <w:bookmarkStart w:id="40" w:name="_Toc15377209"/>
    </w:p>
    <w:p w14:paraId="49D18EB7">
      <w:pPr>
        <w:spacing w:line="600" w:lineRule="exact"/>
        <w:ind w:firstLine="640" w:firstLineChars="200"/>
        <w:outlineLvl w:val="1"/>
        <w:rPr>
          <w:rStyle w:val="23"/>
          <w:rFonts w:ascii="黑体" w:eastAsia="黑体"/>
          <w:b w:val="0"/>
        </w:rPr>
      </w:pPr>
      <w:bookmarkStart w:id="41" w:name="_Toc21121"/>
      <w:r>
        <w:rPr>
          <w:rFonts w:hint="eastAsia" w:ascii="仿宋" w:eastAsia="仿宋"/>
          <w:sz w:val="32"/>
          <w:szCs w:val="32"/>
          <w:lang w:eastAsia="zh-CN"/>
        </w:rPr>
        <w:drawing>
          <wp:anchor distT="0" distB="0" distL="114300" distR="114300" simplePos="0" relativeHeight="251659264" behindDoc="0" locked="0" layoutInCell="1" allowOverlap="1">
            <wp:simplePos x="0" y="0"/>
            <wp:positionH relativeFrom="column">
              <wp:posOffset>367030</wp:posOffset>
            </wp:positionH>
            <wp:positionV relativeFrom="paragraph">
              <wp:posOffset>97790</wp:posOffset>
            </wp:positionV>
            <wp:extent cx="4297680" cy="2073910"/>
            <wp:effectExtent l="4445" t="5080" r="10795" b="8890"/>
            <wp:wrapTopAndBottom/>
            <wp:docPr id="10"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黑体" w:eastAsia="黑体"/>
          <w:sz w:val="32"/>
          <w:szCs w:val="32"/>
        </w:rPr>
        <w:t>五、</w:t>
      </w:r>
      <w:r>
        <w:rPr>
          <w:rFonts w:hint="eastAsia" w:ascii="黑体" w:eastAsia="黑体"/>
          <w:b/>
          <w:sz w:val="32"/>
          <w:szCs w:val="32"/>
        </w:rPr>
        <w:t>一</w:t>
      </w:r>
      <w:r>
        <w:rPr>
          <w:rStyle w:val="23"/>
          <w:rFonts w:hint="eastAsia" w:ascii="黑体" w:eastAsia="黑体"/>
          <w:b w:val="0"/>
        </w:rPr>
        <w:t>般公共预算财政拨款支出决算情况说明</w:t>
      </w:r>
      <w:bookmarkEnd w:id="39"/>
      <w:bookmarkEnd w:id="40"/>
      <w:bookmarkEnd w:id="41"/>
    </w:p>
    <w:p w14:paraId="76AF256B">
      <w:pPr>
        <w:pageBreakBefore w:val="0"/>
        <w:kinsoku/>
        <w:wordWrap/>
        <w:overflowPunct/>
        <w:topLinePunct w:val="0"/>
        <w:bidi w:val="0"/>
        <w:spacing w:line="576" w:lineRule="exact"/>
        <w:ind w:firstLine="643" w:firstLineChars="200"/>
        <w:textAlignment w:val="auto"/>
        <w:outlineLvl w:val="2"/>
        <w:rPr>
          <w:rFonts w:ascii="仿宋" w:eastAsia="仿宋"/>
          <w:b/>
          <w:sz w:val="32"/>
          <w:szCs w:val="32"/>
        </w:rPr>
      </w:pPr>
      <w:bookmarkStart w:id="42" w:name="_Toc15377210"/>
      <w:r>
        <w:rPr>
          <w:rFonts w:hint="eastAsia" w:ascii="Times New Roman" w:hAnsi="Times New Roman" w:eastAsia="楷体_GB2312" w:cs="Times New Roman"/>
          <w:b/>
          <w:color w:val="auto"/>
          <w:sz w:val="32"/>
          <w:szCs w:val="32"/>
          <w:highlight w:val="none"/>
        </w:rPr>
        <w:t>（一）一般公共预算财政拨款支出决算总体情况</w:t>
      </w:r>
      <w:bookmarkEnd w:id="42"/>
    </w:p>
    <w:p w14:paraId="7DC76F64">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年度一般公共预算财政拨款支出</w:t>
      </w:r>
      <w:r>
        <w:rPr>
          <w:rFonts w:hint="eastAsia" w:ascii="仿宋_GB2312" w:hAnsi="仿宋_GB2312" w:eastAsia="仿宋_GB2312" w:cs="仿宋_GB2312"/>
          <w:b w:val="0"/>
          <w:bCs/>
          <w:sz w:val="32"/>
          <w:szCs w:val="32"/>
          <w:lang w:eastAsia="zh-CN"/>
        </w:rPr>
        <w:t>446.44</w:t>
      </w:r>
      <w:r>
        <w:rPr>
          <w:rFonts w:hint="eastAsia" w:ascii="仿宋_GB2312" w:hAnsi="仿宋_GB2312" w:eastAsia="仿宋_GB2312" w:cs="仿宋_GB2312"/>
          <w:b w:val="0"/>
          <w:bCs/>
          <w:sz w:val="32"/>
          <w:szCs w:val="32"/>
        </w:rPr>
        <w:t>万元，占本年支出合计的</w:t>
      </w:r>
      <w:r>
        <w:rPr>
          <w:rFonts w:hint="eastAsia" w:ascii="仿宋_GB2312" w:hAnsi="仿宋_GB2312" w:eastAsia="仿宋_GB2312" w:cs="仿宋_GB2312"/>
          <w:b w:val="0"/>
          <w:bCs/>
          <w:sz w:val="32"/>
          <w:szCs w:val="32"/>
          <w:lang w:val="en-US" w:eastAsia="zh-CN"/>
        </w:rPr>
        <w:t>99.1</w:t>
      </w:r>
      <w:r>
        <w:rPr>
          <w:rFonts w:hint="eastAsia" w:ascii="仿宋_GB2312" w:hAnsi="仿宋_GB2312" w:eastAsia="仿宋_GB2312" w:cs="仿宋_GB2312"/>
          <w:b w:val="0"/>
          <w:bCs/>
          <w:sz w:val="32"/>
          <w:szCs w:val="32"/>
        </w:rPr>
        <w:t>%。与</w:t>
      </w:r>
      <w:r>
        <w:rPr>
          <w:rFonts w:hint="eastAsia" w:ascii="仿宋_GB2312" w:hAnsi="仿宋_GB2312" w:eastAsia="仿宋_GB2312" w:cs="仿宋_GB2312"/>
          <w:b w:val="0"/>
          <w:bCs/>
          <w:sz w:val="32"/>
          <w:szCs w:val="32"/>
          <w:lang w:eastAsia="zh-CN"/>
        </w:rPr>
        <w:t>2024</w:t>
      </w:r>
      <w:r>
        <w:rPr>
          <w:rFonts w:hint="eastAsia" w:ascii="仿宋_GB2312" w:hAnsi="仿宋_GB2312" w:eastAsia="仿宋_GB2312" w:cs="仿宋_GB2312"/>
          <w:b w:val="0"/>
          <w:bCs/>
          <w:sz w:val="32"/>
          <w:szCs w:val="32"/>
        </w:rPr>
        <w:t>年度相比</w:t>
      </w:r>
      <w:r>
        <w:rPr>
          <w:rFonts w:hint="eastAsia" w:ascii="仿宋_GB2312" w:hAnsi="仿宋_GB2312" w:eastAsia="仿宋_GB2312" w:cs="仿宋_GB2312"/>
          <w:sz w:val="32"/>
          <w:szCs w:val="32"/>
        </w:rPr>
        <w:t>，一般公共预算财政拨款支出增加</w:t>
      </w:r>
      <w:r>
        <w:rPr>
          <w:rFonts w:hint="eastAsia" w:ascii="仿宋_GB2312" w:hAnsi="仿宋_GB2312" w:eastAsia="仿宋_GB2312" w:cs="仿宋_GB2312"/>
          <w:sz w:val="32"/>
          <w:szCs w:val="32"/>
          <w:lang w:val="en-US" w:eastAsia="zh-CN"/>
        </w:rPr>
        <w:t>36.74</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8.9</w:t>
      </w:r>
      <w:r>
        <w:rPr>
          <w:rFonts w:hint="eastAsia" w:ascii="仿宋_GB2312" w:hAnsi="仿宋_GB2312" w:eastAsia="仿宋_GB2312" w:cs="仿宋_GB2312"/>
          <w:sz w:val="32"/>
          <w:szCs w:val="32"/>
        </w:rPr>
        <w:t>%。主要变动原因</w:t>
      </w:r>
      <w:r>
        <w:rPr>
          <w:rFonts w:hint="eastAsia" w:ascii="仿宋_GB2312" w:hAnsi="仿宋_GB2312" w:eastAsia="仿宋_GB2312" w:cs="仿宋_GB2312"/>
          <w:sz w:val="32"/>
          <w:szCs w:val="32"/>
          <w:lang w:eastAsia="zh-CN"/>
        </w:rPr>
        <w:t>是：在编人员增加，工资晋升，人员经费收入、支出增加。</w:t>
      </w:r>
    </w:p>
    <w:p w14:paraId="7D8C366F">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rPr>
      </w:pPr>
      <w:bookmarkStart w:id="43" w:name="_Toc15377211"/>
      <w:r>
        <w:rPr>
          <w:rFonts w:hint="eastAsia" w:ascii="Times New Roman" w:hAnsi="Times New Roman" w:eastAsia="楷体_GB2312" w:cs="Times New Roman"/>
          <w:b/>
          <w:color w:val="auto"/>
          <w:sz w:val="32"/>
          <w:szCs w:val="32"/>
          <w:highlight w:val="none"/>
        </w:rPr>
        <w:drawing>
          <wp:anchor distT="0" distB="0" distL="114300" distR="114300" simplePos="0" relativeHeight="251659264" behindDoc="0" locked="0" layoutInCell="1" allowOverlap="1">
            <wp:simplePos x="0" y="0"/>
            <wp:positionH relativeFrom="column">
              <wp:posOffset>327025</wp:posOffset>
            </wp:positionH>
            <wp:positionV relativeFrom="paragraph">
              <wp:posOffset>27305</wp:posOffset>
            </wp:positionV>
            <wp:extent cx="4799965" cy="2092325"/>
            <wp:effectExtent l="0" t="0" r="0" b="0"/>
            <wp:wrapTopAndBottom/>
            <wp:docPr id="11"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楷体_GB2312" w:cs="Times New Roman"/>
          <w:b/>
          <w:color w:val="auto"/>
          <w:sz w:val="32"/>
          <w:szCs w:val="32"/>
          <w:highlight w:val="none"/>
        </w:rPr>
        <w:t>（二）一般公共预算财政拨款支出决算结构情况</w:t>
      </w:r>
      <w:bookmarkEnd w:id="43"/>
    </w:p>
    <w:p w14:paraId="2727365D">
      <w:pPr>
        <w:spacing w:line="6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highlight w:val="none"/>
          <w:lang w:eastAsia="zh-CN"/>
        </w:rPr>
        <w:t>2025</w:t>
      </w:r>
      <w:r>
        <w:rPr>
          <w:rFonts w:hint="eastAsia" w:ascii="仿宋_GB2312" w:hAnsi="仿宋_GB2312" w:eastAsia="仿宋_GB2312" w:cs="仿宋_GB2312"/>
          <w:sz w:val="32"/>
          <w:szCs w:val="32"/>
          <w:highlight w:val="none"/>
        </w:rPr>
        <w:t>年度一般公共预算财政拨款支出</w:t>
      </w:r>
      <w:r>
        <w:rPr>
          <w:rFonts w:hint="eastAsia" w:ascii="仿宋_GB2312" w:hAnsi="仿宋_GB2312" w:eastAsia="仿宋_GB2312" w:cs="仿宋_GB2312"/>
          <w:b w:val="0"/>
          <w:bCs/>
          <w:sz w:val="32"/>
          <w:szCs w:val="32"/>
          <w:highlight w:val="none"/>
          <w:lang w:eastAsia="zh-CN"/>
        </w:rPr>
        <w:t>446.44</w:t>
      </w:r>
      <w:r>
        <w:rPr>
          <w:rFonts w:hint="eastAsia" w:ascii="仿宋_GB2312" w:hAnsi="仿宋_GB2312" w:eastAsia="仿宋_GB2312" w:cs="仿宋_GB2312"/>
          <w:b w:val="0"/>
          <w:bCs/>
          <w:sz w:val="32"/>
          <w:szCs w:val="32"/>
          <w:highlight w:val="none"/>
        </w:rPr>
        <w:t>万元，</w:t>
      </w:r>
      <w:r>
        <w:rPr>
          <w:rFonts w:hint="eastAsia" w:ascii="仿宋_GB2312" w:hAnsi="仿宋_GB2312" w:eastAsia="仿宋_GB2312" w:cs="仿宋_GB2312"/>
          <w:b w:val="0"/>
          <w:bCs/>
          <w:sz w:val="32"/>
          <w:szCs w:val="32"/>
        </w:rPr>
        <w:t>主要用于以下方面:社会保障和就业支出</w:t>
      </w:r>
      <w:r>
        <w:rPr>
          <w:rFonts w:hint="eastAsia" w:ascii="仿宋_GB2312" w:hAnsi="仿宋_GB2312" w:eastAsia="仿宋_GB2312" w:cs="仿宋_GB2312"/>
          <w:b w:val="0"/>
          <w:bCs/>
          <w:sz w:val="32"/>
          <w:szCs w:val="32"/>
          <w:lang w:val="en-US" w:eastAsia="zh-CN"/>
        </w:rPr>
        <w:t>47.58</w:t>
      </w:r>
      <w:r>
        <w:rPr>
          <w:rFonts w:hint="eastAsia" w:ascii="仿宋_GB2312" w:hAnsi="仿宋_GB2312" w:eastAsia="仿宋_GB2312" w:cs="仿宋_GB2312"/>
          <w:b w:val="0"/>
          <w:bCs/>
          <w:sz w:val="32"/>
          <w:szCs w:val="32"/>
        </w:rPr>
        <w:t>万元，占</w:t>
      </w:r>
      <w:r>
        <w:rPr>
          <w:rFonts w:hint="eastAsia" w:ascii="仿宋_GB2312" w:hAnsi="仿宋_GB2312" w:eastAsia="仿宋_GB2312" w:cs="仿宋_GB2312"/>
          <w:b w:val="0"/>
          <w:bCs/>
          <w:sz w:val="32"/>
          <w:szCs w:val="32"/>
          <w:lang w:val="en-US" w:eastAsia="zh-CN"/>
        </w:rPr>
        <w:t>10.7</w:t>
      </w:r>
      <w:r>
        <w:rPr>
          <w:rFonts w:hint="eastAsia" w:ascii="仿宋_GB2312" w:hAnsi="仿宋_GB2312" w:eastAsia="仿宋_GB2312" w:cs="仿宋_GB2312"/>
          <w:b w:val="0"/>
          <w:bCs/>
          <w:sz w:val="32"/>
          <w:szCs w:val="32"/>
        </w:rPr>
        <w:t>%；卫生健康支出</w:t>
      </w:r>
      <w:r>
        <w:rPr>
          <w:rFonts w:hint="eastAsia" w:ascii="仿宋_GB2312" w:hAnsi="仿宋_GB2312" w:eastAsia="仿宋_GB2312" w:cs="仿宋_GB2312"/>
          <w:b w:val="0"/>
          <w:bCs/>
          <w:sz w:val="32"/>
          <w:szCs w:val="32"/>
          <w:lang w:val="en-US" w:eastAsia="zh-CN"/>
        </w:rPr>
        <w:t>372.1</w:t>
      </w:r>
      <w:r>
        <w:rPr>
          <w:rFonts w:hint="eastAsia" w:ascii="仿宋_GB2312" w:hAnsi="仿宋_GB2312" w:eastAsia="仿宋_GB2312" w:cs="仿宋_GB2312"/>
          <w:b w:val="0"/>
          <w:bCs/>
          <w:sz w:val="32"/>
          <w:szCs w:val="32"/>
        </w:rPr>
        <w:t>万元，占</w:t>
      </w:r>
      <w:r>
        <w:rPr>
          <w:rFonts w:hint="eastAsia" w:ascii="仿宋_GB2312" w:hAnsi="仿宋_GB2312" w:eastAsia="仿宋_GB2312" w:cs="仿宋_GB2312"/>
          <w:b w:val="0"/>
          <w:bCs/>
          <w:sz w:val="32"/>
          <w:szCs w:val="32"/>
          <w:lang w:val="en-US" w:eastAsia="zh-CN"/>
        </w:rPr>
        <w:t>83.3</w:t>
      </w:r>
      <w:r>
        <w:rPr>
          <w:rFonts w:hint="eastAsia" w:ascii="仿宋_GB2312" w:hAnsi="仿宋_GB2312" w:eastAsia="仿宋_GB2312" w:cs="仿宋_GB2312"/>
          <w:b w:val="0"/>
          <w:bCs/>
          <w:sz w:val="32"/>
          <w:szCs w:val="32"/>
        </w:rPr>
        <w:t>%；住房保障支出</w:t>
      </w:r>
      <w:r>
        <w:rPr>
          <w:rFonts w:hint="eastAsia" w:ascii="仿宋_GB2312" w:hAnsi="仿宋_GB2312" w:eastAsia="仿宋_GB2312" w:cs="仿宋_GB2312"/>
          <w:sz w:val="32"/>
          <w:szCs w:val="32"/>
          <w:lang w:val="en-US" w:eastAsia="zh-CN"/>
        </w:rPr>
        <w:t>26.76</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w:t>
      </w:r>
    </w:p>
    <w:p w14:paraId="0128C164">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rPr>
      </w:pPr>
      <w:bookmarkStart w:id="44" w:name="_Toc15377212"/>
      <w:r>
        <w:rPr>
          <w:rFonts w:hint="eastAsia" w:ascii="Times New Roman" w:hAnsi="Times New Roman" w:eastAsia="楷体_GB2312" w:cs="Times New Roman"/>
          <w:b/>
          <w:color w:val="auto"/>
          <w:sz w:val="32"/>
          <w:szCs w:val="32"/>
          <w:highlight w:val="none"/>
          <w:lang w:eastAsia="zh-CN"/>
        </w:rPr>
        <w:drawing>
          <wp:anchor distT="0" distB="0" distL="114300" distR="114300" simplePos="0" relativeHeight="251659264" behindDoc="0" locked="0" layoutInCell="1" allowOverlap="1">
            <wp:simplePos x="0" y="0"/>
            <wp:positionH relativeFrom="column">
              <wp:posOffset>333375</wp:posOffset>
            </wp:positionH>
            <wp:positionV relativeFrom="paragraph">
              <wp:posOffset>8890</wp:posOffset>
            </wp:positionV>
            <wp:extent cx="4552315" cy="2531745"/>
            <wp:effectExtent l="0" t="0" r="0" b="0"/>
            <wp:wrapTopAndBottom/>
            <wp:docPr id="12" name="图表 4" descr="7b0a202020202263686172745265734964223a2022323034373538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Times New Roman" w:hAnsi="Times New Roman" w:eastAsia="楷体_GB2312" w:cs="Times New Roman"/>
          <w:b/>
          <w:color w:val="auto"/>
          <w:sz w:val="32"/>
          <w:szCs w:val="32"/>
          <w:highlight w:val="none"/>
        </w:rPr>
        <w:t>（三）一般公共预算财政拨款支出决算具体情况</w:t>
      </w:r>
      <w:bookmarkEnd w:id="44"/>
    </w:p>
    <w:p w14:paraId="6B9FA8FF">
      <w:pPr>
        <w:spacing w:line="600" w:lineRule="exact"/>
        <w:ind w:firstLine="640" w:firstLineChars="200"/>
        <w:outlineLvl w:val="1"/>
        <w:rPr>
          <w:rFonts w:hint="eastAsia" w:ascii="仿宋_GB2312" w:hAnsi="仿宋_GB2312" w:eastAsia="仿宋_GB2312" w:cs="仿宋_GB2312"/>
          <w:b w:val="0"/>
          <w:bCs/>
          <w:sz w:val="32"/>
          <w:szCs w:val="32"/>
        </w:rPr>
      </w:pPr>
      <w:bookmarkStart w:id="45" w:name="_Toc15377213"/>
      <w:bookmarkStart w:id="46" w:name="_Toc15378460"/>
      <w:bookmarkStart w:id="47" w:name="_Toc15377444"/>
      <w:bookmarkStart w:id="48" w:name="_Toc32247"/>
      <w:r>
        <w:rPr>
          <w:rFonts w:hint="eastAsia" w:ascii="仿宋_GB2312" w:hAnsi="仿宋_GB2312" w:eastAsia="仿宋_GB2312" w:cs="仿宋_GB2312"/>
          <w:b w:val="0"/>
          <w:bCs/>
          <w:sz w:val="32"/>
          <w:szCs w:val="32"/>
          <w:lang w:eastAsia="zh-CN"/>
        </w:rPr>
        <w:t>2025</w:t>
      </w:r>
      <w:r>
        <w:rPr>
          <w:rFonts w:hint="eastAsia" w:ascii="仿宋_GB2312" w:hAnsi="仿宋_GB2312" w:eastAsia="仿宋_GB2312" w:cs="仿宋_GB2312"/>
          <w:b w:val="0"/>
          <w:bCs/>
          <w:sz w:val="32"/>
          <w:szCs w:val="32"/>
        </w:rPr>
        <w:t>年度一般公共预算支出决算数为</w:t>
      </w:r>
      <w:r>
        <w:rPr>
          <w:rFonts w:hint="eastAsia" w:ascii="仿宋_GB2312" w:hAnsi="仿宋_GB2312" w:eastAsia="仿宋_GB2312" w:cs="仿宋_GB2312"/>
          <w:b w:val="0"/>
          <w:bCs/>
          <w:sz w:val="32"/>
          <w:szCs w:val="32"/>
          <w:lang w:eastAsia="zh-CN"/>
        </w:rPr>
        <w:t>446.44万元</w:t>
      </w:r>
      <w:r>
        <w:rPr>
          <w:rFonts w:hint="eastAsia" w:ascii="仿宋_GB2312" w:hAnsi="仿宋_GB2312" w:eastAsia="仿宋_GB2312" w:cs="仿宋_GB2312"/>
          <w:b w:val="0"/>
          <w:bCs/>
          <w:sz w:val="32"/>
          <w:szCs w:val="32"/>
        </w:rPr>
        <w:t>，</w:t>
      </w:r>
      <w:r>
        <w:rPr>
          <w:rStyle w:val="20"/>
          <w:rFonts w:hint="eastAsia" w:ascii="仿宋_GB2312" w:hAnsi="仿宋_GB2312" w:eastAsia="仿宋_GB2312" w:cs="仿宋_GB2312"/>
          <w:b w:val="0"/>
          <w:bCs/>
          <w:sz w:val="32"/>
          <w:szCs w:val="32"/>
        </w:rPr>
        <w:t>完成预算</w:t>
      </w:r>
      <w:r>
        <w:rPr>
          <w:rStyle w:val="20"/>
          <w:rFonts w:hint="eastAsia" w:ascii="仿宋_GB2312" w:hAnsi="仿宋_GB2312" w:eastAsia="仿宋_GB2312" w:cs="仿宋_GB2312"/>
          <w:b w:val="0"/>
          <w:bCs/>
          <w:sz w:val="32"/>
          <w:szCs w:val="32"/>
          <w:lang w:val="en-US" w:eastAsia="zh-CN"/>
        </w:rPr>
        <w:t>100</w:t>
      </w:r>
      <w:r>
        <w:rPr>
          <w:rStyle w:val="20"/>
          <w:rFonts w:hint="eastAsia" w:ascii="仿宋_GB2312" w:hAnsi="仿宋_GB2312" w:eastAsia="仿宋_GB2312" w:cs="仿宋_GB2312"/>
          <w:b w:val="0"/>
          <w:bCs/>
          <w:sz w:val="32"/>
          <w:szCs w:val="32"/>
        </w:rPr>
        <w:t>%。其中：</w:t>
      </w:r>
      <w:bookmarkEnd w:id="45"/>
      <w:bookmarkEnd w:id="46"/>
      <w:bookmarkEnd w:id="47"/>
      <w:bookmarkEnd w:id="48"/>
    </w:p>
    <w:p w14:paraId="25CA4A5C">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1.社会保障和就业支出（</w:t>
      </w:r>
      <w:r>
        <w:rPr>
          <w:rStyle w:val="20"/>
          <w:rFonts w:hint="eastAsia" w:ascii="仿宋_GB2312" w:hAnsi="仿宋_GB2312" w:eastAsia="仿宋_GB2312" w:cs="仿宋_GB2312"/>
          <w:b w:val="0"/>
          <w:bCs/>
          <w:color w:val="auto"/>
          <w:sz w:val="32"/>
          <w:szCs w:val="32"/>
          <w:highlight w:val="none"/>
        </w:rPr>
        <w:t>类</w:t>
      </w:r>
      <w:r>
        <w:rPr>
          <w:rFonts w:hint="eastAsia" w:ascii="仿宋_GB2312" w:hAnsi="仿宋_GB2312" w:eastAsia="仿宋_GB2312" w:cs="仿宋_GB2312"/>
          <w:color w:val="000000"/>
          <w:sz w:val="32"/>
          <w:szCs w:val="32"/>
        </w:rPr>
        <w:t>）行政事业单位养老支出（</w:t>
      </w:r>
      <w:r>
        <w:rPr>
          <w:rStyle w:val="20"/>
          <w:rFonts w:hint="eastAsia" w:ascii="仿宋_GB2312" w:hAnsi="仿宋_GB2312" w:eastAsia="仿宋_GB2312" w:cs="仿宋_GB2312"/>
          <w:b w:val="0"/>
          <w:bCs/>
          <w:color w:val="auto"/>
          <w:sz w:val="32"/>
          <w:szCs w:val="32"/>
          <w:highlight w:val="none"/>
        </w:rPr>
        <w:t>款</w:t>
      </w:r>
      <w:r>
        <w:rPr>
          <w:rFonts w:hint="eastAsia" w:ascii="仿宋_GB2312" w:hAnsi="仿宋_GB2312" w:eastAsia="仿宋_GB2312" w:cs="仿宋_GB2312"/>
          <w:color w:val="000000"/>
          <w:sz w:val="32"/>
          <w:szCs w:val="32"/>
        </w:rPr>
        <w:t>）机关事业单位基本养老保险缴费支出（</w:t>
      </w:r>
      <w:r>
        <w:rPr>
          <w:rStyle w:val="20"/>
          <w:rFonts w:hint="eastAsia" w:ascii="仿宋_GB2312" w:hAnsi="仿宋_GB2312" w:eastAsia="仿宋_GB2312" w:cs="仿宋_GB2312"/>
          <w:b w:val="0"/>
          <w:bCs/>
          <w:color w:val="auto"/>
          <w:sz w:val="32"/>
          <w:szCs w:val="32"/>
          <w:highlight w:val="none"/>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31.72</w:t>
      </w:r>
      <w:r>
        <w:rPr>
          <w:rFonts w:hint="eastAsia" w:ascii="仿宋_GB2312" w:hAnsi="仿宋_GB2312" w:eastAsia="仿宋_GB2312" w:cs="仿宋_GB2312"/>
          <w:color w:val="000000"/>
          <w:sz w:val="32"/>
          <w:szCs w:val="32"/>
          <w:lang w:eastAsia="zh-CN"/>
        </w:rPr>
        <w:t>万元</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rPr>
        <w:t>完成预算100%</w:t>
      </w:r>
      <w:r>
        <w:rPr>
          <w:rFonts w:hint="eastAsia" w:ascii="仿宋_GB2312" w:hAnsi="仿宋_GB2312" w:eastAsia="仿宋_GB2312" w:cs="仿宋_GB2312"/>
          <w:color w:val="000000"/>
          <w:sz w:val="32"/>
          <w:szCs w:val="32"/>
          <w:lang w:val="en-US" w:eastAsia="zh-CN"/>
        </w:rPr>
        <w:t>，决算数与预算数持平。</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2.社会保障和就业支出（</w:t>
      </w:r>
      <w:r>
        <w:rPr>
          <w:rStyle w:val="20"/>
          <w:rFonts w:hint="eastAsia" w:ascii="仿宋_GB2312" w:hAnsi="仿宋_GB2312" w:eastAsia="仿宋_GB2312" w:cs="仿宋_GB2312"/>
          <w:b w:val="0"/>
          <w:bCs/>
          <w:color w:val="auto"/>
          <w:sz w:val="32"/>
          <w:szCs w:val="32"/>
          <w:highlight w:val="none"/>
        </w:rPr>
        <w:t>类</w:t>
      </w:r>
      <w:r>
        <w:rPr>
          <w:rFonts w:hint="eastAsia" w:ascii="仿宋_GB2312" w:hAnsi="仿宋_GB2312" w:eastAsia="仿宋_GB2312" w:cs="仿宋_GB2312"/>
          <w:color w:val="000000"/>
          <w:sz w:val="32"/>
          <w:szCs w:val="32"/>
        </w:rPr>
        <w:t>）行政事业单位养老支出（</w:t>
      </w:r>
      <w:r>
        <w:rPr>
          <w:rStyle w:val="20"/>
          <w:rFonts w:hint="eastAsia" w:ascii="仿宋_GB2312" w:hAnsi="仿宋_GB2312" w:eastAsia="仿宋_GB2312" w:cs="仿宋_GB2312"/>
          <w:b w:val="0"/>
          <w:bCs/>
          <w:color w:val="auto"/>
          <w:sz w:val="32"/>
          <w:szCs w:val="32"/>
          <w:highlight w:val="none"/>
        </w:rPr>
        <w:t>款</w:t>
      </w:r>
      <w:r>
        <w:rPr>
          <w:rFonts w:hint="eastAsia" w:ascii="仿宋_GB2312" w:hAnsi="仿宋_GB2312" w:eastAsia="仿宋_GB2312" w:cs="仿宋_GB2312"/>
          <w:color w:val="000000"/>
          <w:sz w:val="32"/>
          <w:szCs w:val="32"/>
        </w:rPr>
        <w:t>）机关事业单位职业年金缴费支出（</w:t>
      </w:r>
      <w:r>
        <w:rPr>
          <w:rStyle w:val="20"/>
          <w:rFonts w:hint="eastAsia" w:ascii="仿宋_GB2312" w:hAnsi="仿宋_GB2312" w:eastAsia="仿宋_GB2312" w:cs="仿宋_GB2312"/>
          <w:b w:val="0"/>
          <w:bCs/>
          <w:color w:val="auto"/>
          <w:sz w:val="32"/>
          <w:szCs w:val="32"/>
          <w:highlight w:val="none"/>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15.86</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p>
    <w:p w14:paraId="586A898E">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3.卫生健康支出（</w:t>
      </w:r>
      <w:r>
        <w:rPr>
          <w:rStyle w:val="20"/>
          <w:rFonts w:hint="eastAsia" w:ascii="仿宋_GB2312" w:hAnsi="仿宋_GB2312" w:eastAsia="仿宋_GB2312" w:cs="仿宋_GB2312"/>
          <w:b w:val="0"/>
          <w:bCs/>
          <w:color w:val="auto"/>
          <w:sz w:val="32"/>
          <w:szCs w:val="32"/>
          <w:highlight w:val="none"/>
        </w:rPr>
        <w:t>类</w:t>
      </w:r>
      <w:r>
        <w:rPr>
          <w:rFonts w:hint="eastAsia" w:ascii="仿宋_GB2312" w:hAnsi="仿宋_GB2312" w:eastAsia="仿宋_GB2312" w:cs="仿宋_GB2312"/>
          <w:color w:val="000000"/>
          <w:sz w:val="32"/>
          <w:szCs w:val="32"/>
        </w:rPr>
        <w:t>）基层医疗卫生机构（</w:t>
      </w:r>
      <w:r>
        <w:rPr>
          <w:rStyle w:val="20"/>
          <w:rFonts w:hint="eastAsia" w:ascii="仿宋_GB2312" w:hAnsi="仿宋_GB2312" w:eastAsia="仿宋_GB2312" w:cs="仿宋_GB2312"/>
          <w:b w:val="0"/>
          <w:bCs/>
          <w:color w:val="auto"/>
          <w:sz w:val="32"/>
          <w:szCs w:val="32"/>
          <w:highlight w:val="none"/>
        </w:rPr>
        <w:t>款</w:t>
      </w:r>
      <w:r>
        <w:rPr>
          <w:rFonts w:hint="eastAsia" w:ascii="仿宋_GB2312" w:hAnsi="仿宋_GB2312" w:eastAsia="仿宋_GB2312" w:cs="仿宋_GB2312"/>
          <w:color w:val="000000"/>
          <w:sz w:val="32"/>
          <w:szCs w:val="32"/>
        </w:rPr>
        <w:t>）乡镇卫生院（</w:t>
      </w:r>
      <w:r>
        <w:rPr>
          <w:rStyle w:val="20"/>
          <w:rFonts w:hint="eastAsia" w:ascii="仿宋_GB2312" w:hAnsi="仿宋_GB2312" w:eastAsia="仿宋_GB2312" w:cs="仿宋_GB2312"/>
          <w:b w:val="0"/>
          <w:bCs/>
          <w:color w:val="auto"/>
          <w:sz w:val="32"/>
          <w:szCs w:val="32"/>
          <w:highlight w:val="none"/>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262.42</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p>
    <w:p w14:paraId="0B00C501">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4.卫生健康支出（</w:t>
      </w:r>
      <w:r>
        <w:rPr>
          <w:rStyle w:val="20"/>
          <w:rFonts w:hint="eastAsia" w:ascii="仿宋_GB2312" w:hAnsi="仿宋_GB2312" w:eastAsia="仿宋_GB2312" w:cs="仿宋_GB2312"/>
          <w:b w:val="0"/>
          <w:bCs/>
          <w:color w:val="auto"/>
          <w:sz w:val="32"/>
          <w:szCs w:val="32"/>
          <w:highlight w:val="none"/>
        </w:rPr>
        <w:t>类</w:t>
      </w:r>
      <w:r>
        <w:rPr>
          <w:rFonts w:hint="eastAsia" w:ascii="仿宋_GB2312" w:hAnsi="仿宋_GB2312" w:eastAsia="仿宋_GB2312" w:cs="仿宋_GB2312"/>
          <w:color w:val="000000"/>
          <w:sz w:val="32"/>
          <w:szCs w:val="32"/>
        </w:rPr>
        <w:t>）基层医疗卫生机构（</w:t>
      </w:r>
      <w:r>
        <w:rPr>
          <w:rStyle w:val="20"/>
          <w:rFonts w:hint="eastAsia" w:ascii="仿宋_GB2312" w:hAnsi="仿宋_GB2312" w:eastAsia="仿宋_GB2312" w:cs="仿宋_GB2312"/>
          <w:b w:val="0"/>
          <w:bCs/>
          <w:color w:val="auto"/>
          <w:sz w:val="32"/>
          <w:szCs w:val="32"/>
          <w:highlight w:val="none"/>
        </w:rPr>
        <w:t>款</w:t>
      </w:r>
      <w:r>
        <w:rPr>
          <w:rFonts w:hint="eastAsia" w:ascii="仿宋_GB2312" w:hAnsi="仿宋_GB2312" w:eastAsia="仿宋_GB2312" w:cs="仿宋_GB2312"/>
          <w:color w:val="000000"/>
          <w:sz w:val="32"/>
          <w:szCs w:val="32"/>
        </w:rPr>
        <w:t>）其他基层医疗卫生机构支出（</w:t>
      </w:r>
      <w:r>
        <w:rPr>
          <w:rStyle w:val="20"/>
          <w:rFonts w:hint="eastAsia" w:ascii="仿宋_GB2312" w:hAnsi="仿宋_GB2312" w:eastAsia="仿宋_GB2312" w:cs="仿宋_GB2312"/>
          <w:b w:val="0"/>
          <w:bCs/>
          <w:color w:val="auto"/>
          <w:sz w:val="32"/>
          <w:szCs w:val="32"/>
          <w:highlight w:val="none"/>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16.06</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p>
    <w:p w14:paraId="7847866A">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5.卫生健康支出（</w:t>
      </w:r>
      <w:r>
        <w:rPr>
          <w:rStyle w:val="20"/>
          <w:rFonts w:hint="eastAsia" w:ascii="仿宋_GB2312" w:hAnsi="仿宋_GB2312" w:eastAsia="仿宋_GB2312" w:cs="仿宋_GB2312"/>
          <w:b w:val="0"/>
          <w:bCs/>
          <w:color w:val="auto"/>
          <w:sz w:val="32"/>
          <w:szCs w:val="32"/>
          <w:highlight w:val="none"/>
        </w:rPr>
        <w:t>类</w:t>
      </w:r>
      <w:r>
        <w:rPr>
          <w:rFonts w:hint="eastAsia" w:ascii="仿宋_GB2312" w:hAnsi="仿宋_GB2312" w:eastAsia="仿宋_GB2312" w:cs="仿宋_GB2312"/>
          <w:color w:val="000000"/>
          <w:sz w:val="32"/>
          <w:szCs w:val="32"/>
        </w:rPr>
        <w:t>）公共卫生（</w:t>
      </w:r>
      <w:r>
        <w:rPr>
          <w:rStyle w:val="20"/>
          <w:rFonts w:hint="eastAsia" w:ascii="仿宋_GB2312" w:hAnsi="仿宋_GB2312" w:eastAsia="仿宋_GB2312" w:cs="仿宋_GB2312"/>
          <w:b w:val="0"/>
          <w:bCs/>
          <w:color w:val="auto"/>
          <w:sz w:val="32"/>
          <w:szCs w:val="32"/>
          <w:highlight w:val="none"/>
        </w:rPr>
        <w:t>款</w:t>
      </w:r>
      <w:r>
        <w:rPr>
          <w:rFonts w:hint="eastAsia" w:ascii="仿宋_GB2312" w:hAnsi="仿宋_GB2312" w:eastAsia="仿宋_GB2312" w:cs="仿宋_GB2312"/>
          <w:color w:val="000000"/>
          <w:sz w:val="32"/>
          <w:szCs w:val="32"/>
        </w:rPr>
        <w:t>）基本公共卫生服务（</w:t>
      </w:r>
      <w:r>
        <w:rPr>
          <w:rStyle w:val="20"/>
          <w:rFonts w:hint="eastAsia" w:ascii="仿宋_GB2312" w:hAnsi="仿宋_GB2312" w:eastAsia="仿宋_GB2312" w:cs="仿宋_GB2312"/>
          <w:b w:val="0"/>
          <w:bCs/>
          <w:color w:val="auto"/>
          <w:sz w:val="32"/>
          <w:szCs w:val="32"/>
          <w:highlight w:val="none"/>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69.15</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p>
    <w:p w14:paraId="1E7E0F53">
      <w:pPr>
        <w:spacing w:line="600" w:lineRule="exact"/>
        <w:ind w:firstLine="640"/>
        <w:rPr>
          <w:rStyle w:val="20"/>
          <w:rFonts w:hint="eastAsia" w:ascii="仿宋_GB2312" w:hAnsi="仿宋_GB2312" w:eastAsia="仿宋_GB2312" w:cs="仿宋_GB2312"/>
          <w:b w:val="0"/>
          <w:bCs/>
          <w:sz w:val="32"/>
          <w:szCs w:val="32"/>
          <w:highlight w:val="none"/>
          <w:lang w:eastAsia="zh-CN"/>
        </w:rPr>
      </w:pPr>
      <w:r>
        <w:rPr>
          <w:rStyle w:val="20"/>
          <w:rFonts w:hint="eastAsia" w:ascii="仿宋_GB2312" w:hAnsi="仿宋_GB2312" w:eastAsia="仿宋_GB2312" w:cs="仿宋_GB2312"/>
          <w:b w:val="0"/>
          <w:bCs/>
          <w:sz w:val="32"/>
          <w:szCs w:val="32"/>
          <w:highlight w:val="none"/>
          <w:lang w:val="en-US" w:eastAsia="zh-CN"/>
        </w:rPr>
        <w:t>6</w:t>
      </w:r>
      <w:r>
        <w:rPr>
          <w:rStyle w:val="20"/>
          <w:rFonts w:hint="eastAsia" w:ascii="仿宋_GB2312" w:hAnsi="仿宋_GB2312" w:eastAsia="仿宋_GB2312" w:cs="仿宋_GB2312"/>
          <w:b w:val="0"/>
          <w:bCs/>
          <w:sz w:val="32"/>
          <w:szCs w:val="32"/>
          <w:highlight w:val="none"/>
        </w:rPr>
        <w:t>.</w:t>
      </w:r>
      <w:r>
        <w:rPr>
          <w:rFonts w:hint="eastAsia" w:ascii="仿宋_GB2312" w:hAnsi="仿宋_GB2312" w:eastAsia="仿宋_GB2312" w:cs="仿宋_GB2312"/>
          <w:b w:val="0"/>
          <w:bCs/>
          <w:sz w:val="32"/>
          <w:szCs w:val="32"/>
          <w:highlight w:val="none"/>
        </w:rPr>
        <w:t>卫生健康</w:t>
      </w:r>
      <w:r>
        <w:rPr>
          <w:rStyle w:val="20"/>
          <w:rFonts w:hint="eastAsia" w:ascii="仿宋_GB2312" w:hAnsi="仿宋_GB2312" w:eastAsia="仿宋_GB2312" w:cs="仿宋_GB2312"/>
          <w:b w:val="0"/>
          <w:bCs/>
          <w:sz w:val="32"/>
          <w:szCs w:val="32"/>
          <w:highlight w:val="none"/>
        </w:rPr>
        <w:t>（</w:t>
      </w:r>
      <w:r>
        <w:rPr>
          <w:rStyle w:val="20"/>
          <w:rFonts w:hint="eastAsia" w:ascii="仿宋_GB2312" w:hAnsi="仿宋_GB2312" w:eastAsia="仿宋_GB2312" w:cs="仿宋_GB2312"/>
          <w:b w:val="0"/>
          <w:bCs/>
          <w:color w:val="auto"/>
          <w:sz w:val="32"/>
          <w:szCs w:val="32"/>
          <w:highlight w:val="none"/>
        </w:rPr>
        <w:t>类</w:t>
      </w:r>
      <w:r>
        <w:rPr>
          <w:rStyle w:val="20"/>
          <w:rFonts w:hint="eastAsia" w:ascii="仿宋_GB2312" w:hAnsi="仿宋_GB2312" w:eastAsia="仿宋_GB2312" w:cs="仿宋_GB2312"/>
          <w:b w:val="0"/>
          <w:bCs/>
          <w:sz w:val="32"/>
          <w:szCs w:val="32"/>
          <w:highlight w:val="none"/>
        </w:rPr>
        <w:t>）公共卫生（</w:t>
      </w:r>
      <w:r>
        <w:rPr>
          <w:rStyle w:val="20"/>
          <w:rFonts w:hint="eastAsia" w:ascii="仿宋_GB2312" w:hAnsi="仿宋_GB2312" w:eastAsia="仿宋_GB2312" w:cs="仿宋_GB2312"/>
          <w:b w:val="0"/>
          <w:bCs/>
          <w:color w:val="auto"/>
          <w:sz w:val="32"/>
          <w:szCs w:val="32"/>
          <w:highlight w:val="none"/>
        </w:rPr>
        <w:t>款</w:t>
      </w:r>
      <w:r>
        <w:rPr>
          <w:rStyle w:val="20"/>
          <w:rFonts w:hint="eastAsia" w:ascii="仿宋_GB2312" w:hAnsi="仿宋_GB2312" w:eastAsia="仿宋_GB2312" w:cs="仿宋_GB2312"/>
          <w:b w:val="0"/>
          <w:bCs/>
          <w:sz w:val="32"/>
          <w:szCs w:val="32"/>
          <w:highlight w:val="none"/>
        </w:rPr>
        <w:t>）重大公共卫生服务（</w:t>
      </w:r>
      <w:r>
        <w:rPr>
          <w:rStyle w:val="20"/>
          <w:rFonts w:hint="eastAsia" w:ascii="仿宋_GB2312" w:hAnsi="仿宋_GB2312" w:eastAsia="仿宋_GB2312" w:cs="仿宋_GB2312"/>
          <w:b w:val="0"/>
          <w:bCs/>
          <w:color w:val="auto"/>
          <w:sz w:val="32"/>
          <w:szCs w:val="32"/>
          <w:highlight w:val="none"/>
        </w:rPr>
        <w:t>项</w:t>
      </w:r>
      <w:r>
        <w:rPr>
          <w:rStyle w:val="20"/>
          <w:rFonts w:hint="eastAsia" w:ascii="仿宋_GB2312" w:hAnsi="仿宋_GB2312" w:eastAsia="仿宋_GB2312" w:cs="仿宋_GB2312"/>
          <w:b w:val="0"/>
          <w:bCs/>
          <w:sz w:val="32"/>
          <w:szCs w:val="32"/>
          <w:highlight w:val="none"/>
        </w:rPr>
        <w:t>）:支出决算为</w:t>
      </w:r>
      <w:r>
        <w:rPr>
          <w:rStyle w:val="20"/>
          <w:rFonts w:hint="eastAsia" w:ascii="仿宋_GB2312" w:hAnsi="仿宋_GB2312" w:eastAsia="仿宋_GB2312" w:cs="仿宋_GB2312"/>
          <w:b w:val="0"/>
          <w:bCs/>
          <w:sz w:val="32"/>
          <w:szCs w:val="32"/>
          <w:highlight w:val="none"/>
          <w:lang w:val="en-US" w:eastAsia="zh-CN"/>
        </w:rPr>
        <w:t>0.9</w:t>
      </w:r>
      <w:r>
        <w:rPr>
          <w:rStyle w:val="20"/>
          <w:rFonts w:hint="eastAsia" w:ascii="仿宋_GB2312" w:hAnsi="仿宋_GB2312" w:eastAsia="仿宋_GB2312" w:cs="仿宋_GB2312"/>
          <w:b w:val="0"/>
          <w:bCs/>
          <w:sz w:val="32"/>
          <w:szCs w:val="32"/>
          <w:highlight w:val="none"/>
        </w:rPr>
        <w:t>万元，完成预算</w:t>
      </w:r>
      <w:r>
        <w:rPr>
          <w:rStyle w:val="20"/>
          <w:rFonts w:hint="eastAsia" w:ascii="仿宋_GB2312" w:hAnsi="仿宋_GB2312" w:eastAsia="仿宋_GB2312" w:cs="仿宋_GB2312"/>
          <w:b w:val="0"/>
          <w:bCs/>
          <w:sz w:val="32"/>
          <w:szCs w:val="32"/>
          <w:highlight w:val="none"/>
          <w:lang w:val="en-US" w:eastAsia="zh-CN"/>
        </w:rPr>
        <w:t>100</w:t>
      </w:r>
      <w:r>
        <w:rPr>
          <w:rStyle w:val="20"/>
          <w:rFonts w:hint="eastAsia" w:ascii="仿宋_GB2312" w:hAnsi="仿宋_GB2312" w:eastAsia="仿宋_GB2312" w:cs="仿宋_GB2312"/>
          <w:b w:val="0"/>
          <w:bCs/>
          <w:sz w:val="32"/>
          <w:szCs w:val="32"/>
          <w:highlight w:val="none"/>
        </w:rPr>
        <w:t>%</w:t>
      </w:r>
      <w:r>
        <w:rPr>
          <w:rStyle w:val="20"/>
          <w:rFonts w:hint="eastAsia" w:ascii="仿宋_GB2312" w:hAnsi="仿宋_GB2312" w:eastAsia="仿宋_GB2312" w:cs="仿宋_GB2312"/>
          <w:b w:val="0"/>
          <w:bCs/>
          <w:sz w:val="32"/>
          <w:szCs w:val="32"/>
          <w:highlight w:val="none"/>
          <w:lang w:eastAsia="zh-CN"/>
        </w:rPr>
        <w:t>，决算数与预算数持平。</w:t>
      </w:r>
    </w:p>
    <w:p w14:paraId="31A51EC3">
      <w:pPr>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7.</w:t>
      </w:r>
      <w:r>
        <w:rPr>
          <w:rFonts w:hint="eastAsia" w:ascii="仿宋_GB2312" w:hAnsi="仿宋_GB2312" w:eastAsia="仿宋_GB2312" w:cs="仿宋_GB2312"/>
          <w:color w:val="000000"/>
          <w:sz w:val="32"/>
          <w:szCs w:val="32"/>
        </w:rPr>
        <w:t>卫生健康支出（</w:t>
      </w:r>
      <w:r>
        <w:rPr>
          <w:rStyle w:val="20"/>
          <w:rFonts w:hint="eastAsia" w:ascii="仿宋_GB2312" w:hAnsi="仿宋_GB2312" w:eastAsia="仿宋_GB2312" w:cs="仿宋_GB2312"/>
          <w:b w:val="0"/>
          <w:bCs/>
          <w:color w:val="auto"/>
          <w:sz w:val="32"/>
          <w:szCs w:val="32"/>
          <w:highlight w:val="none"/>
        </w:rPr>
        <w:t>类</w:t>
      </w:r>
      <w:r>
        <w:rPr>
          <w:rFonts w:hint="eastAsia" w:ascii="仿宋_GB2312" w:hAnsi="仿宋_GB2312" w:eastAsia="仿宋_GB2312" w:cs="仿宋_GB2312"/>
          <w:color w:val="000000"/>
          <w:sz w:val="32"/>
          <w:szCs w:val="32"/>
        </w:rPr>
        <w:t>）公共卫生（</w:t>
      </w:r>
      <w:r>
        <w:rPr>
          <w:rStyle w:val="20"/>
          <w:rFonts w:hint="eastAsia" w:ascii="仿宋_GB2312" w:hAnsi="仿宋_GB2312" w:eastAsia="仿宋_GB2312" w:cs="仿宋_GB2312"/>
          <w:b w:val="0"/>
          <w:bCs/>
          <w:color w:val="auto"/>
          <w:sz w:val="32"/>
          <w:szCs w:val="32"/>
          <w:highlight w:val="none"/>
        </w:rPr>
        <w:t>款</w:t>
      </w:r>
      <w:r>
        <w:rPr>
          <w:rFonts w:hint="eastAsia" w:ascii="仿宋_GB2312" w:hAnsi="仿宋_GB2312" w:eastAsia="仿宋_GB2312" w:cs="仿宋_GB2312"/>
          <w:color w:val="000000"/>
          <w:sz w:val="32"/>
          <w:szCs w:val="32"/>
        </w:rPr>
        <w:t>）其他公共卫生支出（</w:t>
      </w:r>
      <w:r>
        <w:rPr>
          <w:rStyle w:val="20"/>
          <w:rFonts w:hint="eastAsia" w:ascii="仿宋_GB2312" w:hAnsi="仿宋_GB2312" w:eastAsia="仿宋_GB2312" w:cs="仿宋_GB2312"/>
          <w:b w:val="0"/>
          <w:bCs/>
          <w:color w:val="auto"/>
          <w:sz w:val="32"/>
          <w:szCs w:val="32"/>
          <w:highlight w:val="none"/>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1.64</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p>
    <w:p w14:paraId="06FC40CB">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8</w:t>
      </w:r>
      <w:r>
        <w:rPr>
          <w:rFonts w:hint="eastAsia" w:ascii="仿宋_GB2312" w:hAnsi="仿宋_GB2312" w:eastAsia="仿宋_GB2312" w:cs="仿宋_GB2312"/>
          <w:color w:val="000000"/>
          <w:sz w:val="32"/>
          <w:szCs w:val="32"/>
        </w:rPr>
        <w:t>.卫生健康支出（</w:t>
      </w:r>
      <w:r>
        <w:rPr>
          <w:rStyle w:val="20"/>
          <w:rFonts w:hint="eastAsia" w:ascii="仿宋_GB2312" w:hAnsi="仿宋_GB2312" w:eastAsia="仿宋_GB2312" w:cs="仿宋_GB2312"/>
          <w:b w:val="0"/>
          <w:bCs/>
          <w:color w:val="auto"/>
          <w:sz w:val="32"/>
          <w:szCs w:val="32"/>
          <w:highlight w:val="none"/>
        </w:rPr>
        <w:t>类</w:t>
      </w:r>
      <w:r>
        <w:rPr>
          <w:rFonts w:hint="eastAsia" w:ascii="仿宋_GB2312" w:hAnsi="仿宋_GB2312" w:eastAsia="仿宋_GB2312" w:cs="仿宋_GB2312"/>
          <w:color w:val="000000"/>
          <w:sz w:val="32"/>
          <w:szCs w:val="32"/>
        </w:rPr>
        <w:t>）行政事业单位医疗（</w:t>
      </w:r>
      <w:r>
        <w:rPr>
          <w:rStyle w:val="20"/>
          <w:rFonts w:hint="eastAsia" w:ascii="仿宋_GB2312" w:hAnsi="仿宋_GB2312" w:eastAsia="仿宋_GB2312" w:cs="仿宋_GB2312"/>
          <w:b w:val="0"/>
          <w:bCs/>
          <w:color w:val="auto"/>
          <w:sz w:val="32"/>
          <w:szCs w:val="32"/>
          <w:highlight w:val="none"/>
        </w:rPr>
        <w:t>款</w:t>
      </w:r>
      <w:r>
        <w:rPr>
          <w:rFonts w:hint="eastAsia" w:ascii="仿宋_GB2312" w:hAnsi="仿宋_GB2312" w:eastAsia="仿宋_GB2312" w:cs="仿宋_GB2312"/>
          <w:color w:val="000000"/>
          <w:sz w:val="32"/>
          <w:szCs w:val="32"/>
        </w:rPr>
        <w:t>）事业单位医疗（</w:t>
      </w:r>
      <w:r>
        <w:rPr>
          <w:rStyle w:val="20"/>
          <w:rFonts w:hint="eastAsia" w:ascii="仿宋_GB2312" w:hAnsi="仿宋_GB2312" w:eastAsia="仿宋_GB2312" w:cs="仿宋_GB2312"/>
          <w:b w:val="0"/>
          <w:bCs/>
          <w:color w:val="auto"/>
          <w:sz w:val="32"/>
          <w:szCs w:val="32"/>
          <w:highlight w:val="none"/>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19.96</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p>
    <w:p w14:paraId="5D45DC85">
      <w:pPr>
        <w:numPr>
          <w:ilvl w:val="0"/>
          <w:numId w:val="0"/>
        </w:numPr>
        <w:spacing w:line="600" w:lineRule="exact"/>
        <w:ind w:firstLine="640" w:firstLineChars="200"/>
        <w:rPr>
          <w:rFonts w:hint="eastAsia" w:ascii="仿宋_GB2312" w:hAnsi="仿宋_GB2312" w:eastAsia="仿宋_GB2312" w:cs="仿宋_GB2312"/>
          <w:b w:val="0"/>
          <w:bCs/>
          <w:sz w:val="32"/>
          <w:szCs w:val="32"/>
          <w:highlight w:val="none"/>
        </w:rPr>
      </w:pPr>
      <w:r>
        <w:rPr>
          <w:rStyle w:val="20"/>
          <w:rFonts w:hint="eastAsia" w:ascii="仿宋_GB2312" w:hAnsi="仿宋_GB2312" w:eastAsia="仿宋_GB2312" w:cs="仿宋_GB2312"/>
          <w:b w:val="0"/>
          <w:bCs/>
          <w:sz w:val="32"/>
          <w:szCs w:val="32"/>
          <w:highlight w:val="none"/>
          <w:lang w:val="en-US" w:eastAsia="zh-CN"/>
        </w:rPr>
        <w:t>9.</w:t>
      </w:r>
      <w:r>
        <w:rPr>
          <w:rFonts w:hint="eastAsia" w:ascii="仿宋_GB2312" w:hAnsi="仿宋_GB2312" w:eastAsia="仿宋_GB2312" w:cs="仿宋_GB2312"/>
          <w:b w:val="0"/>
          <w:bCs/>
          <w:sz w:val="32"/>
          <w:szCs w:val="32"/>
          <w:highlight w:val="none"/>
        </w:rPr>
        <w:t>卫生健康</w:t>
      </w:r>
      <w:r>
        <w:rPr>
          <w:rStyle w:val="20"/>
          <w:rFonts w:hint="eastAsia" w:ascii="仿宋_GB2312" w:hAnsi="仿宋_GB2312" w:eastAsia="仿宋_GB2312" w:cs="仿宋_GB2312"/>
          <w:b w:val="0"/>
          <w:bCs/>
          <w:sz w:val="32"/>
          <w:szCs w:val="32"/>
          <w:highlight w:val="none"/>
        </w:rPr>
        <w:t>（</w:t>
      </w:r>
      <w:r>
        <w:rPr>
          <w:rStyle w:val="20"/>
          <w:rFonts w:hint="eastAsia" w:ascii="仿宋_GB2312" w:hAnsi="仿宋_GB2312" w:eastAsia="仿宋_GB2312" w:cs="仿宋_GB2312"/>
          <w:b w:val="0"/>
          <w:bCs/>
          <w:color w:val="auto"/>
          <w:sz w:val="32"/>
          <w:szCs w:val="32"/>
          <w:highlight w:val="none"/>
        </w:rPr>
        <w:t>类</w:t>
      </w:r>
      <w:r>
        <w:rPr>
          <w:rStyle w:val="20"/>
          <w:rFonts w:hint="eastAsia" w:ascii="仿宋_GB2312" w:hAnsi="仿宋_GB2312" w:eastAsia="仿宋_GB2312" w:cs="仿宋_GB2312"/>
          <w:b w:val="0"/>
          <w:bCs/>
          <w:sz w:val="32"/>
          <w:szCs w:val="32"/>
          <w:highlight w:val="none"/>
        </w:rPr>
        <w:t>）其他卫生健康支出（</w:t>
      </w:r>
      <w:r>
        <w:rPr>
          <w:rStyle w:val="20"/>
          <w:rFonts w:hint="eastAsia" w:ascii="仿宋_GB2312" w:hAnsi="仿宋_GB2312" w:eastAsia="仿宋_GB2312" w:cs="仿宋_GB2312"/>
          <w:b w:val="0"/>
          <w:bCs/>
          <w:color w:val="auto"/>
          <w:sz w:val="32"/>
          <w:szCs w:val="32"/>
          <w:highlight w:val="none"/>
        </w:rPr>
        <w:t>款</w:t>
      </w:r>
      <w:r>
        <w:rPr>
          <w:rStyle w:val="20"/>
          <w:rFonts w:hint="eastAsia" w:ascii="仿宋_GB2312" w:hAnsi="仿宋_GB2312" w:eastAsia="仿宋_GB2312" w:cs="仿宋_GB2312"/>
          <w:b w:val="0"/>
          <w:bCs/>
          <w:sz w:val="32"/>
          <w:szCs w:val="32"/>
          <w:highlight w:val="none"/>
        </w:rPr>
        <w:t>）其他卫生健康支出（</w:t>
      </w:r>
      <w:r>
        <w:rPr>
          <w:rStyle w:val="20"/>
          <w:rFonts w:hint="eastAsia" w:ascii="仿宋_GB2312" w:hAnsi="仿宋_GB2312" w:eastAsia="仿宋_GB2312" w:cs="仿宋_GB2312"/>
          <w:b w:val="0"/>
          <w:bCs/>
          <w:color w:val="auto"/>
          <w:sz w:val="32"/>
          <w:szCs w:val="32"/>
          <w:highlight w:val="none"/>
        </w:rPr>
        <w:t>项</w:t>
      </w:r>
      <w:r>
        <w:rPr>
          <w:rStyle w:val="20"/>
          <w:rFonts w:hint="eastAsia" w:ascii="仿宋_GB2312" w:hAnsi="仿宋_GB2312" w:eastAsia="仿宋_GB2312" w:cs="仿宋_GB2312"/>
          <w:b w:val="0"/>
          <w:bCs/>
          <w:sz w:val="32"/>
          <w:szCs w:val="32"/>
          <w:highlight w:val="none"/>
        </w:rPr>
        <w:t>）:支出决算为</w:t>
      </w:r>
      <w:r>
        <w:rPr>
          <w:rStyle w:val="20"/>
          <w:rFonts w:hint="eastAsia" w:ascii="仿宋_GB2312" w:hAnsi="仿宋_GB2312" w:eastAsia="仿宋_GB2312" w:cs="仿宋_GB2312"/>
          <w:b w:val="0"/>
          <w:bCs/>
          <w:sz w:val="32"/>
          <w:szCs w:val="32"/>
          <w:highlight w:val="none"/>
          <w:lang w:val="en-US" w:eastAsia="zh-CN"/>
        </w:rPr>
        <w:t>0.49</w:t>
      </w:r>
      <w:r>
        <w:rPr>
          <w:rStyle w:val="20"/>
          <w:rFonts w:hint="eastAsia" w:ascii="仿宋_GB2312" w:hAnsi="仿宋_GB2312" w:eastAsia="仿宋_GB2312" w:cs="仿宋_GB2312"/>
          <w:b w:val="0"/>
          <w:bCs/>
          <w:sz w:val="32"/>
          <w:szCs w:val="32"/>
          <w:highlight w:val="none"/>
        </w:rPr>
        <w:t>万元，完成预算</w:t>
      </w:r>
      <w:r>
        <w:rPr>
          <w:rStyle w:val="20"/>
          <w:rFonts w:hint="eastAsia" w:ascii="仿宋_GB2312" w:hAnsi="仿宋_GB2312" w:eastAsia="仿宋_GB2312" w:cs="仿宋_GB2312"/>
          <w:b w:val="0"/>
          <w:bCs/>
          <w:sz w:val="32"/>
          <w:szCs w:val="32"/>
          <w:highlight w:val="none"/>
          <w:lang w:val="en-US" w:eastAsia="zh-CN"/>
        </w:rPr>
        <w:t>100</w:t>
      </w:r>
      <w:r>
        <w:rPr>
          <w:rStyle w:val="20"/>
          <w:rFonts w:hint="eastAsia" w:ascii="仿宋_GB2312" w:hAnsi="仿宋_GB2312" w:eastAsia="仿宋_GB2312" w:cs="仿宋_GB2312"/>
          <w:b w:val="0"/>
          <w:bCs/>
          <w:sz w:val="32"/>
          <w:szCs w:val="32"/>
          <w:highlight w:val="none"/>
        </w:rPr>
        <w:t>%</w:t>
      </w:r>
      <w:r>
        <w:rPr>
          <w:rStyle w:val="20"/>
          <w:rFonts w:hint="eastAsia" w:ascii="仿宋_GB2312" w:hAnsi="仿宋_GB2312" w:eastAsia="仿宋_GB2312" w:cs="仿宋_GB2312"/>
          <w:b w:val="0"/>
          <w:bCs/>
          <w:sz w:val="32"/>
          <w:szCs w:val="32"/>
          <w:highlight w:val="none"/>
          <w:lang w:eastAsia="zh-CN"/>
        </w:rPr>
        <w:t>，决算数与预算数持平。</w:t>
      </w:r>
    </w:p>
    <w:p w14:paraId="1E590419">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10</w:t>
      </w:r>
      <w:r>
        <w:rPr>
          <w:rFonts w:hint="eastAsia" w:ascii="仿宋_GB2312" w:hAnsi="仿宋_GB2312" w:eastAsia="仿宋_GB2312" w:cs="仿宋_GB2312"/>
          <w:color w:val="000000"/>
          <w:sz w:val="32"/>
          <w:szCs w:val="32"/>
        </w:rPr>
        <w:t>.住房保障支出（</w:t>
      </w:r>
      <w:r>
        <w:rPr>
          <w:rStyle w:val="20"/>
          <w:rFonts w:hint="eastAsia" w:ascii="仿宋_GB2312" w:hAnsi="仿宋_GB2312" w:eastAsia="仿宋_GB2312" w:cs="仿宋_GB2312"/>
          <w:b w:val="0"/>
          <w:bCs/>
          <w:color w:val="auto"/>
          <w:sz w:val="32"/>
          <w:szCs w:val="32"/>
          <w:highlight w:val="none"/>
        </w:rPr>
        <w:t>类</w:t>
      </w:r>
      <w:r>
        <w:rPr>
          <w:rFonts w:hint="eastAsia" w:ascii="仿宋_GB2312" w:hAnsi="仿宋_GB2312" w:eastAsia="仿宋_GB2312" w:cs="仿宋_GB2312"/>
          <w:color w:val="000000"/>
          <w:sz w:val="32"/>
          <w:szCs w:val="32"/>
        </w:rPr>
        <w:t>）住房改革支出（</w:t>
      </w:r>
      <w:r>
        <w:rPr>
          <w:rStyle w:val="20"/>
          <w:rFonts w:hint="eastAsia" w:ascii="仿宋_GB2312" w:hAnsi="仿宋_GB2312" w:eastAsia="仿宋_GB2312" w:cs="仿宋_GB2312"/>
          <w:b w:val="0"/>
          <w:bCs/>
          <w:color w:val="auto"/>
          <w:sz w:val="32"/>
          <w:szCs w:val="32"/>
          <w:highlight w:val="none"/>
        </w:rPr>
        <w:t>款</w:t>
      </w:r>
      <w:r>
        <w:rPr>
          <w:rFonts w:hint="eastAsia" w:ascii="仿宋_GB2312" w:hAnsi="仿宋_GB2312" w:eastAsia="仿宋_GB2312" w:cs="仿宋_GB2312"/>
          <w:color w:val="000000"/>
          <w:sz w:val="32"/>
          <w:szCs w:val="32"/>
        </w:rPr>
        <w:t>）住房公积金（</w:t>
      </w:r>
      <w:r>
        <w:rPr>
          <w:rStyle w:val="20"/>
          <w:rFonts w:hint="eastAsia" w:ascii="仿宋_GB2312" w:hAnsi="仿宋_GB2312" w:eastAsia="仿宋_GB2312" w:cs="仿宋_GB2312"/>
          <w:b w:val="0"/>
          <w:bCs/>
          <w:color w:val="auto"/>
          <w:sz w:val="32"/>
          <w:szCs w:val="32"/>
          <w:highlight w:val="none"/>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26.76</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p>
    <w:p w14:paraId="7E569D84">
      <w:pPr>
        <w:tabs>
          <w:tab w:val="right" w:pos="8306"/>
        </w:tabs>
        <w:spacing w:line="600" w:lineRule="exact"/>
        <w:ind w:firstLine="640"/>
        <w:outlineLvl w:val="1"/>
        <w:rPr>
          <w:rStyle w:val="23"/>
        </w:rPr>
      </w:pPr>
      <w:bookmarkStart w:id="49" w:name="_Toc15396608"/>
      <w:bookmarkStart w:id="50" w:name="_Toc9320"/>
      <w:bookmarkStart w:id="51" w:name="_Toc15377214"/>
      <w:r>
        <w:rPr>
          <w:rFonts w:hint="eastAsia" w:ascii="黑体" w:eastAsia="黑体"/>
          <w:sz w:val="32"/>
          <w:szCs w:val="32"/>
        </w:rPr>
        <w:t>六</w:t>
      </w:r>
      <w:r>
        <w:rPr>
          <w:rFonts w:hint="eastAsia" w:ascii="黑体" w:eastAsia="黑体"/>
          <w:b/>
          <w:sz w:val="32"/>
          <w:szCs w:val="32"/>
        </w:rPr>
        <w:t>、一</w:t>
      </w:r>
      <w:r>
        <w:rPr>
          <w:rStyle w:val="23"/>
          <w:rFonts w:hint="eastAsia" w:ascii="黑体" w:eastAsia="黑体"/>
          <w:b w:val="0"/>
        </w:rPr>
        <w:t>般公共预算财政拨款基本支出决算情况说明</w:t>
      </w:r>
      <w:bookmarkEnd w:id="49"/>
      <w:bookmarkEnd w:id="50"/>
      <w:bookmarkEnd w:id="51"/>
      <w:r>
        <w:rPr>
          <w:rStyle w:val="23"/>
          <w:rFonts w:ascii="黑体" w:eastAsia="黑体"/>
          <w:b w:val="0"/>
        </w:rPr>
        <w:tab/>
      </w:r>
    </w:p>
    <w:p w14:paraId="278D64D4">
      <w:pPr>
        <w:spacing w:line="600" w:lineRule="exact"/>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年度一般公共预算财政拨款基本支出</w:t>
      </w:r>
      <w:r>
        <w:rPr>
          <w:rFonts w:hint="eastAsia" w:ascii="仿宋_GB2312" w:hAnsi="仿宋_GB2312" w:eastAsia="仿宋_GB2312" w:cs="仿宋_GB2312"/>
          <w:b w:val="0"/>
          <w:bCs/>
          <w:sz w:val="32"/>
          <w:szCs w:val="32"/>
          <w:lang w:eastAsia="zh-CN"/>
        </w:rPr>
        <w:t>356.72</w:t>
      </w:r>
      <w:r>
        <w:rPr>
          <w:rFonts w:hint="eastAsia" w:ascii="仿宋_GB2312" w:hAnsi="仿宋_GB2312" w:eastAsia="仿宋_GB2312" w:cs="仿宋_GB2312"/>
          <w:sz w:val="32"/>
          <w:szCs w:val="32"/>
        </w:rPr>
        <w:t>万元，其中：</w:t>
      </w:r>
    </w:p>
    <w:p w14:paraId="03F1F4C7">
      <w:pPr>
        <w:spacing w:line="600" w:lineRule="exact"/>
        <w:ind w:firstLine="645"/>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人员经费</w:t>
      </w:r>
      <w:r>
        <w:rPr>
          <w:rFonts w:hint="eastAsia" w:ascii="仿宋_GB2312" w:hAnsi="仿宋_GB2312" w:eastAsia="仿宋_GB2312" w:cs="仿宋_GB2312"/>
          <w:b w:val="0"/>
          <w:bCs/>
          <w:sz w:val="32"/>
          <w:szCs w:val="32"/>
          <w:lang w:eastAsia="zh-CN"/>
        </w:rPr>
        <w:t>356.72</w:t>
      </w:r>
      <w:r>
        <w:rPr>
          <w:rFonts w:hint="eastAsia" w:ascii="仿宋_GB2312" w:hAnsi="仿宋_GB2312" w:eastAsia="仿宋_GB2312" w:cs="仿宋_GB2312"/>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公用经费</w:t>
      </w:r>
      <w:r>
        <w:rPr>
          <w:rFonts w:hint="eastAsia" w:ascii="仿宋_GB2312" w:hAnsi="仿宋_GB2312" w:eastAsia="仿宋_GB2312" w:cs="仿宋_GB2312"/>
          <w:b w:val="0"/>
          <w:bCs/>
          <w:sz w:val="32"/>
          <w:szCs w:val="32"/>
        </w:rPr>
        <w:t>0</w:t>
      </w:r>
      <w:r>
        <w:rPr>
          <w:rFonts w:hint="eastAsia" w:ascii="仿宋_GB2312" w:hAnsi="仿宋_GB2312" w:eastAsia="仿宋_GB2312" w:cs="仿宋_GB2312"/>
          <w:sz w:val="32"/>
          <w:szCs w:val="32"/>
        </w:rPr>
        <w:t>万元。</w:t>
      </w:r>
    </w:p>
    <w:p w14:paraId="506A6905">
      <w:pPr>
        <w:numPr>
          <w:ilvl w:val="0"/>
          <w:numId w:val="2"/>
        </w:numPr>
        <w:spacing w:line="600" w:lineRule="exact"/>
        <w:ind w:left="0" w:firstLine="640"/>
        <w:outlineLvl w:val="1"/>
        <w:rPr>
          <w:rStyle w:val="23"/>
          <w:rFonts w:hint="eastAsia" w:ascii="黑体" w:eastAsia="黑体"/>
          <w:b w:val="0"/>
        </w:rPr>
      </w:pPr>
      <w:bookmarkStart w:id="52" w:name="_Toc15396609"/>
      <w:bookmarkStart w:id="53" w:name="_Toc15377215"/>
      <w:bookmarkStart w:id="54" w:name="_Toc25098"/>
      <w:r>
        <w:rPr>
          <w:rStyle w:val="23"/>
          <w:rFonts w:hint="eastAsia" w:ascii="黑体" w:eastAsia="黑体"/>
          <w:b w:val="0"/>
        </w:rPr>
        <w:t>财政拨款</w:t>
      </w:r>
      <w:r>
        <w:rPr>
          <w:rStyle w:val="23"/>
          <w:rFonts w:hint="eastAsia" w:ascii="黑体" w:eastAsia="黑体"/>
          <w:b w:val="0"/>
          <w:bCs w:val="0"/>
        </w:rPr>
        <w:t>“</w:t>
      </w:r>
      <w:r>
        <w:rPr>
          <w:rStyle w:val="23"/>
          <w:rFonts w:hint="eastAsia" w:ascii="黑体" w:eastAsia="黑体"/>
          <w:b/>
          <w:bCs/>
        </w:rPr>
        <w:t>三公</w:t>
      </w:r>
      <w:r>
        <w:rPr>
          <w:rStyle w:val="23"/>
          <w:rFonts w:hint="eastAsia" w:ascii="黑体" w:eastAsia="黑体"/>
          <w:b w:val="0"/>
          <w:bCs w:val="0"/>
        </w:rPr>
        <w:t>”</w:t>
      </w:r>
      <w:r>
        <w:rPr>
          <w:rStyle w:val="23"/>
          <w:rFonts w:hint="eastAsia" w:ascii="黑体" w:eastAsia="黑体"/>
          <w:b w:val="0"/>
        </w:rPr>
        <w:t>经费支出决算情况说明</w:t>
      </w:r>
      <w:bookmarkEnd w:id="52"/>
      <w:bookmarkEnd w:id="53"/>
      <w:bookmarkEnd w:id="54"/>
    </w:p>
    <w:p w14:paraId="0C144605">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rPr>
      </w:pPr>
      <w:bookmarkStart w:id="55" w:name="_Toc15377216"/>
      <w:r>
        <w:rPr>
          <w:rFonts w:hint="eastAsia" w:ascii="Times New Roman" w:hAnsi="Times New Roman" w:eastAsia="楷体_GB2312" w:cs="Times New Roman"/>
          <w:b/>
          <w:color w:val="auto"/>
          <w:sz w:val="32"/>
          <w:szCs w:val="32"/>
          <w:highlight w:val="none"/>
        </w:rPr>
        <w:t>（</w:t>
      </w:r>
      <w:bookmarkStart w:id="105" w:name="_GoBack"/>
      <w:bookmarkEnd w:id="105"/>
      <w:r>
        <w:rPr>
          <w:rFonts w:hint="eastAsia" w:ascii="Times New Roman" w:hAnsi="Times New Roman" w:eastAsia="楷体_GB2312" w:cs="Times New Roman"/>
          <w:b/>
          <w:color w:val="auto"/>
          <w:sz w:val="32"/>
          <w:szCs w:val="32"/>
          <w:highlight w:val="none"/>
        </w:rPr>
        <w:t>一）“三公”经费财政拨款支出决算总体情况说明</w:t>
      </w:r>
      <w:bookmarkEnd w:id="55"/>
    </w:p>
    <w:p w14:paraId="1E34C7F1">
      <w:pPr>
        <w:spacing w:line="6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年度“三公”经费财政拨款支出决算为</w:t>
      </w:r>
      <w:r>
        <w:rPr>
          <w:rFonts w:hint="eastAsia" w:ascii="仿宋_GB2312" w:hAnsi="仿宋_GB2312" w:eastAsia="仿宋_GB2312" w:cs="仿宋_GB2312"/>
          <w:b w:val="0"/>
          <w:bCs/>
          <w:sz w:val="32"/>
          <w:szCs w:val="32"/>
          <w:lang w:eastAsia="zh-CN"/>
        </w:rPr>
        <w:t>1.64</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lang w:eastAsia="zh-CN"/>
        </w:rPr>
        <w:t>与</w:t>
      </w:r>
      <w:r>
        <w:rPr>
          <w:rFonts w:hint="eastAsia" w:ascii="仿宋_GB2312" w:hAnsi="仿宋_GB2312" w:eastAsia="仿宋_GB2312" w:cs="仿宋_GB2312"/>
          <w:sz w:val="32"/>
          <w:szCs w:val="32"/>
          <w:lang w:val="en-US" w:eastAsia="zh-CN"/>
        </w:rPr>
        <w:t>2024</w:t>
      </w:r>
      <w:r>
        <w:rPr>
          <w:rFonts w:hint="eastAsia" w:ascii="仿宋_GB2312" w:hAnsi="仿宋_GB2312" w:eastAsia="仿宋_GB2312" w:cs="仿宋_GB2312"/>
          <w:sz w:val="32"/>
          <w:szCs w:val="32"/>
        </w:rPr>
        <w:t>年度</w:t>
      </w:r>
      <w:r>
        <w:rPr>
          <w:rFonts w:hint="eastAsia" w:ascii="仿宋_GB2312" w:hAnsi="仿宋_GB2312" w:eastAsia="仿宋_GB2312" w:cs="仿宋_GB2312"/>
          <w:sz w:val="32"/>
          <w:szCs w:val="32"/>
          <w:lang w:eastAsia="zh-CN"/>
        </w:rPr>
        <w:t>相比，减少</w:t>
      </w:r>
      <w:r>
        <w:rPr>
          <w:rFonts w:hint="eastAsia" w:ascii="仿宋_GB2312" w:hAnsi="仿宋_GB2312" w:eastAsia="仿宋_GB2312" w:cs="仿宋_GB2312"/>
          <w:sz w:val="32"/>
          <w:szCs w:val="32"/>
          <w:lang w:val="en-US" w:eastAsia="zh-CN"/>
        </w:rPr>
        <w:t>1.48万元，下降47.4%</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主要原因是：本年出诊较少，公务用车使用较少。</w:t>
      </w:r>
    </w:p>
    <w:p w14:paraId="169DB381">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rPr>
      </w:pPr>
      <w:bookmarkStart w:id="56" w:name="_Toc15377217"/>
      <w:r>
        <w:rPr>
          <w:rFonts w:hint="eastAsia" w:ascii="Times New Roman" w:hAnsi="Times New Roman" w:eastAsia="楷体_GB2312" w:cs="Times New Roman"/>
          <w:b/>
          <w:color w:val="auto"/>
          <w:sz w:val="32"/>
          <w:szCs w:val="32"/>
          <w:highlight w:val="none"/>
          <w:lang w:eastAsia="zh-CN"/>
        </w:rPr>
        <w:drawing>
          <wp:anchor distT="0" distB="0" distL="114300" distR="114300" simplePos="0" relativeHeight="251660288" behindDoc="0" locked="0" layoutInCell="1" allowOverlap="1">
            <wp:simplePos x="0" y="0"/>
            <wp:positionH relativeFrom="column">
              <wp:posOffset>767080</wp:posOffset>
            </wp:positionH>
            <wp:positionV relativeFrom="paragraph">
              <wp:posOffset>-8910955</wp:posOffset>
            </wp:positionV>
            <wp:extent cx="4206875" cy="2560955"/>
            <wp:effectExtent l="4445" t="4445" r="10160" b="10160"/>
            <wp:wrapTopAndBottom/>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Times New Roman" w:hAnsi="Times New Roman" w:eastAsia="楷体_GB2312" w:cs="Times New Roman"/>
          <w:b/>
          <w:color w:val="auto"/>
          <w:sz w:val="32"/>
          <w:szCs w:val="32"/>
          <w:highlight w:val="none"/>
        </w:rPr>
        <w:t>（二）“三公”经费财政拨款支出决算具体情况说明</w:t>
      </w:r>
      <w:bookmarkEnd w:id="56"/>
    </w:p>
    <w:p w14:paraId="0FBDE06C">
      <w:pPr>
        <w:spacing w:line="6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年度“三公”经费财政拨款支出决算中，因公出国（境）费支出决算</w:t>
      </w:r>
      <w:r>
        <w:rPr>
          <w:rFonts w:hint="eastAsia" w:ascii="仿宋_GB2312" w:hAnsi="仿宋_GB2312" w:eastAsia="仿宋_GB2312" w:cs="仿宋_GB2312"/>
          <w:b w:val="0"/>
          <w:bCs/>
          <w:sz w:val="32"/>
          <w:szCs w:val="32"/>
        </w:rPr>
        <w:t>0万元；</w:t>
      </w:r>
      <w:r>
        <w:rPr>
          <w:rFonts w:hint="eastAsia" w:ascii="仿宋_GB2312" w:hAnsi="仿宋_GB2312" w:eastAsia="仿宋_GB2312" w:cs="仿宋_GB2312"/>
          <w:sz w:val="32"/>
          <w:szCs w:val="32"/>
        </w:rPr>
        <w:t>公务用车购置费支出决算</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公务用车运行维护费支出决算</w:t>
      </w:r>
      <w:r>
        <w:rPr>
          <w:rFonts w:hint="eastAsia" w:ascii="仿宋_GB2312" w:hAnsi="仿宋_GB2312" w:eastAsia="仿宋_GB2312" w:cs="仿宋_GB2312"/>
          <w:sz w:val="32"/>
          <w:szCs w:val="32"/>
          <w:lang w:val="en-US" w:eastAsia="zh-CN"/>
        </w:rPr>
        <w:t>1.64</w:t>
      </w:r>
      <w:r>
        <w:rPr>
          <w:rFonts w:hint="eastAsia" w:ascii="仿宋_GB2312" w:hAnsi="仿宋_GB2312" w:eastAsia="仿宋_GB2312" w:cs="仿宋_GB2312"/>
          <w:sz w:val="32"/>
          <w:szCs w:val="32"/>
        </w:rPr>
        <w:t>万元，占100%</w:t>
      </w:r>
      <w:r>
        <w:rPr>
          <w:rFonts w:hint="eastAsia" w:ascii="仿宋_GB2312" w:hAnsi="仿宋_GB2312" w:eastAsia="仿宋_GB2312" w:cs="仿宋_GB2312"/>
          <w:b w:val="0"/>
          <w:bCs/>
          <w:sz w:val="32"/>
          <w:szCs w:val="32"/>
        </w:rPr>
        <w:t>；公务接待费支出决算0万</w:t>
      </w:r>
      <w:r>
        <w:rPr>
          <w:rFonts w:hint="eastAsia" w:ascii="仿宋_GB2312" w:hAnsi="仿宋_GB2312" w:eastAsia="仿宋_GB2312" w:cs="仿宋_GB2312"/>
          <w:sz w:val="32"/>
          <w:szCs w:val="32"/>
        </w:rPr>
        <w:t>元。具体情况如下：</w:t>
      </w:r>
    </w:p>
    <w:p w14:paraId="06F5C42C">
      <w:pPr>
        <w:spacing w:line="600" w:lineRule="exact"/>
        <w:ind w:firstLine="640"/>
        <w:rPr>
          <w:rFonts w:hint="eastAsia" w:ascii="仿宋_GB2312" w:hAnsi="仿宋_GB2312" w:eastAsia="仿宋_GB2312" w:cs="仿宋_GB2312"/>
          <w:color w:val="000000"/>
          <w:sz w:val="32"/>
          <w:szCs w:val="32"/>
        </w:rPr>
      </w:pPr>
      <w:bookmarkStart w:id="57" w:name="_Toc15377218"/>
      <w:bookmarkStart w:id="58" w:name="_Toc15396610"/>
      <w:r>
        <w:rPr>
          <w:rFonts w:hint="eastAsia" w:ascii="仿宋_GB2312" w:hAnsi="仿宋_GB2312" w:eastAsia="仿宋_GB2312" w:cs="仿宋_GB2312"/>
          <w:color w:val="000000"/>
          <w:sz w:val="32"/>
          <w:szCs w:val="32"/>
        </w:rPr>
        <w:t>1.因公出国（境）经费支出</w:t>
      </w:r>
      <w:r>
        <w:rPr>
          <w:rFonts w:hint="eastAsia" w:ascii="仿宋_GB2312" w:hAnsi="仿宋_GB2312" w:eastAsia="仿宋_GB2312" w:cs="仿宋_GB2312"/>
          <w:color w:val="000000"/>
          <w:sz w:val="32"/>
          <w:u w:color="auto"/>
          <w:lang w:eastAsia="zh-CN"/>
        </w:rPr>
        <w:t>0</w:t>
      </w:r>
      <w:r>
        <w:rPr>
          <w:rFonts w:hint="eastAsia" w:ascii="仿宋_GB2312" w:hAnsi="仿宋_GB2312" w:eastAsia="仿宋_GB2312" w:cs="仿宋_GB2312"/>
          <w:color w:val="000000"/>
          <w:sz w:val="32"/>
          <w:szCs w:val="32"/>
        </w:rPr>
        <w:t>万元。全年安排因公出国（境）团组</w:t>
      </w:r>
      <w:r>
        <w:rPr>
          <w:rFonts w:hint="eastAsia" w:ascii="仿宋_GB2312" w:hAnsi="仿宋_GB2312" w:eastAsia="仿宋_GB2312" w:cs="仿宋_GB2312"/>
          <w:color w:val="000000"/>
          <w:sz w:val="32"/>
          <w:u w:color="auto"/>
        </w:rPr>
        <w:t>0</w:t>
      </w:r>
      <w:r>
        <w:rPr>
          <w:rFonts w:hint="eastAsia" w:ascii="仿宋_GB2312" w:hAnsi="仿宋_GB2312" w:eastAsia="仿宋_GB2312" w:cs="仿宋_GB2312"/>
          <w:color w:val="000000"/>
          <w:sz w:val="32"/>
          <w:szCs w:val="32"/>
        </w:rPr>
        <w:t>次，出国（境）</w:t>
      </w:r>
      <w:r>
        <w:rPr>
          <w:rFonts w:hint="eastAsia" w:ascii="仿宋_GB2312" w:hAnsi="仿宋_GB2312" w:eastAsia="仿宋_GB2312" w:cs="仿宋_GB2312"/>
          <w:color w:val="000000"/>
          <w:sz w:val="32"/>
          <w:u w:color="auto"/>
        </w:rPr>
        <w:t>0</w:t>
      </w:r>
      <w:r>
        <w:rPr>
          <w:rFonts w:hint="eastAsia" w:ascii="仿宋_GB2312" w:hAnsi="仿宋_GB2312" w:eastAsia="仿宋_GB2312" w:cs="仿宋_GB2312"/>
          <w:color w:val="000000"/>
          <w:sz w:val="32"/>
          <w:szCs w:val="32"/>
        </w:rPr>
        <w:t>人。</w:t>
      </w:r>
      <w:r>
        <w:rPr>
          <w:rFonts w:hint="eastAsia" w:ascii="仿宋_GB2312" w:hAnsi="仿宋_GB2312" w:eastAsia="仿宋_GB2312" w:cs="仿宋_GB2312"/>
          <w:color w:val="000000"/>
          <w:sz w:val="32"/>
          <w:u w:color="auto"/>
        </w:rPr>
        <w:t xml:space="preserve"> </w:t>
      </w:r>
    </w:p>
    <w:p w14:paraId="422DE0A6">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w:t>
      </w:r>
      <w:r>
        <w:rPr>
          <w:rFonts w:hint="eastAsia" w:ascii="仿宋_GB2312" w:hAnsi="仿宋_GB2312" w:eastAsia="仿宋_GB2312" w:cs="仿宋_GB2312"/>
          <w:sz w:val="32"/>
          <w:szCs w:val="32"/>
          <w:highlight w:val="none"/>
        </w:rPr>
        <w:t>公务用车购置</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color w:val="000000"/>
          <w:sz w:val="32"/>
          <w:szCs w:val="32"/>
        </w:rPr>
        <w:t>公务用车运行维护费支出</w:t>
      </w:r>
      <w:r>
        <w:rPr>
          <w:rFonts w:hint="eastAsia" w:ascii="仿宋_GB2312" w:hAnsi="仿宋_GB2312" w:eastAsia="仿宋_GB2312" w:cs="仿宋_GB2312"/>
          <w:sz w:val="32"/>
          <w:szCs w:val="32"/>
          <w:lang w:val="en-US" w:eastAsia="zh-CN"/>
        </w:rPr>
        <w:t>1.64</w:t>
      </w:r>
      <w:r>
        <w:rPr>
          <w:rFonts w:hint="eastAsia" w:ascii="仿宋_GB2312" w:hAnsi="仿宋_GB2312" w:eastAsia="仿宋_GB2312" w:cs="仿宋_GB2312"/>
          <w:color w:val="000000"/>
          <w:sz w:val="32"/>
          <w:szCs w:val="32"/>
          <w:lang w:eastAsia="zh-CN"/>
        </w:rPr>
        <w:t>万元</w:t>
      </w:r>
      <w:r>
        <w:rPr>
          <w:rFonts w:hint="eastAsia" w:ascii="仿宋_GB2312" w:hAnsi="仿宋_GB2312" w:eastAsia="仿宋_GB2312" w:cs="仿宋_GB2312"/>
          <w:color w:val="000000"/>
          <w:sz w:val="32"/>
          <w:szCs w:val="32"/>
        </w:rPr>
        <w:t>,完成预算</w:t>
      </w:r>
      <w:r>
        <w:rPr>
          <w:rFonts w:hint="eastAsia" w:ascii="仿宋_GB2312" w:hAnsi="仿宋_GB2312" w:eastAsia="仿宋_GB2312" w:cs="仿宋_GB2312"/>
          <w:color w:val="000000"/>
          <w:sz w:val="32"/>
          <w:u w:color="auto"/>
        </w:rPr>
        <w:t>10</w:t>
      </w:r>
      <w:r>
        <w:rPr>
          <w:rFonts w:hint="eastAsia" w:ascii="仿宋_GB2312" w:hAnsi="仿宋_GB2312" w:eastAsia="仿宋_GB2312" w:cs="仿宋_GB2312"/>
          <w:color w:val="000000"/>
          <w:sz w:val="32"/>
          <w:u w:color="auto"/>
          <w:lang w:eastAsia="zh-CN"/>
        </w:rPr>
        <w:t>0</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公务用车运行维护费支出决算</w:t>
      </w:r>
      <w:r>
        <w:rPr>
          <w:rFonts w:hint="eastAsia" w:ascii="仿宋_GB2312" w:hAnsi="仿宋_GB2312" w:eastAsia="仿宋_GB2312" w:cs="仿宋_GB2312"/>
          <w:color w:val="000000"/>
          <w:sz w:val="32"/>
          <w:szCs w:val="32"/>
          <w:lang w:eastAsia="zh-CN"/>
        </w:rPr>
        <w:t>，与</w:t>
      </w:r>
      <w:r>
        <w:rPr>
          <w:rFonts w:hint="eastAsia" w:ascii="仿宋_GB2312" w:hAnsi="仿宋_GB2312" w:eastAsia="仿宋_GB2312" w:cs="仿宋_GB2312"/>
          <w:color w:val="000000"/>
          <w:sz w:val="32"/>
          <w:u w:color="auto"/>
          <w:lang w:eastAsia="zh-CN"/>
        </w:rPr>
        <w:t>2024</w:t>
      </w:r>
      <w:r>
        <w:rPr>
          <w:rFonts w:hint="eastAsia" w:ascii="仿宋_GB2312" w:hAnsi="仿宋_GB2312" w:eastAsia="仿宋_GB2312" w:cs="仿宋_GB2312"/>
          <w:color w:val="000000"/>
          <w:sz w:val="32"/>
          <w:u w:color="auto"/>
        </w:rPr>
        <w:t>年</w:t>
      </w:r>
      <w:r>
        <w:rPr>
          <w:rFonts w:hint="eastAsia" w:ascii="仿宋_GB2312" w:hAnsi="仿宋_GB2312" w:eastAsia="仿宋_GB2312" w:cs="仿宋_GB2312"/>
          <w:color w:val="000000"/>
          <w:sz w:val="32"/>
          <w:u w:color="auto"/>
          <w:lang w:eastAsia="zh-CN"/>
        </w:rPr>
        <w:t>相比，</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lang w:val="en-US" w:eastAsia="zh-CN"/>
        </w:rPr>
        <w:t>1.48</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主要原因是：本年出诊较少，公务用车使用较少。</w:t>
      </w:r>
      <w:r>
        <w:rPr>
          <w:rFonts w:hint="eastAsia" w:ascii="仿宋_GB2312" w:hAnsi="仿宋_GB2312" w:eastAsia="仿宋_GB2312" w:cs="仿宋_GB2312"/>
          <w:color w:val="000000"/>
          <w:sz w:val="32"/>
          <w:u w:color="auto"/>
        </w:rPr>
        <w:t xml:space="preserve"> </w:t>
      </w:r>
    </w:p>
    <w:p w14:paraId="376288E2">
      <w:pPr>
        <w:spacing w:line="600"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u w:color="auto"/>
        </w:rPr>
        <w:t>截至</w:t>
      </w:r>
      <w:r>
        <w:rPr>
          <w:rFonts w:hint="eastAsia" w:ascii="仿宋_GB2312" w:hAnsi="仿宋_GB2312" w:eastAsia="仿宋_GB2312" w:cs="仿宋_GB2312"/>
          <w:color w:val="000000"/>
          <w:sz w:val="32"/>
          <w:szCs w:val="32"/>
          <w:lang w:eastAsia="zh-CN"/>
        </w:rPr>
        <w:t>2025</w:t>
      </w:r>
      <w:r>
        <w:rPr>
          <w:rFonts w:hint="eastAsia" w:ascii="仿宋_GB2312" w:hAnsi="仿宋_GB2312" w:eastAsia="仿宋_GB2312" w:cs="仿宋_GB2312"/>
          <w:color w:val="000000"/>
          <w:sz w:val="32"/>
          <w:szCs w:val="32"/>
        </w:rPr>
        <w:t>年12月底，单位共有公务用车</w:t>
      </w:r>
      <w:r>
        <w:rPr>
          <w:rFonts w:hint="eastAsia" w:ascii="仿宋_GB2312" w:hAnsi="仿宋_GB2312" w:eastAsia="仿宋_GB2312" w:cs="仿宋_GB2312"/>
          <w:color w:val="000000"/>
          <w:sz w:val="32"/>
          <w:u w:color="auto"/>
          <w:lang w:val="en-US" w:eastAsia="zh-CN"/>
        </w:rPr>
        <w:t>1</w:t>
      </w:r>
      <w:r>
        <w:rPr>
          <w:rFonts w:hint="eastAsia" w:ascii="仿宋_GB2312" w:hAnsi="仿宋_GB2312" w:eastAsia="仿宋_GB2312" w:cs="仿宋_GB2312"/>
          <w:color w:val="000000"/>
          <w:sz w:val="32"/>
          <w:szCs w:val="32"/>
        </w:rPr>
        <w:t>辆，其中：其中：应急保障用车</w:t>
      </w:r>
      <w:r>
        <w:rPr>
          <w:rFonts w:hint="eastAsia" w:ascii="仿宋_GB2312" w:hAnsi="仿宋_GB2312" w:eastAsia="仿宋_GB2312" w:cs="仿宋_GB2312"/>
          <w:color w:val="000000"/>
          <w:sz w:val="32"/>
          <w:szCs w:val="32"/>
          <w:lang w:val="en-US" w:eastAsia="zh-CN"/>
        </w:rPr>
        <w:t>1辆。</w:t>
      </w:r>
    </w:p>
    <w:p w14:paraId="68CEEE6B">
      <w:pPr>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公务用车运行维护费支出</w:t>
      </w:r>
      <w:r>
        <w:rPr>
          <w:rFonts w:hint="eastAsia" w:ascii="仿宋_GB2312" w:hAnsi="仿宋_GB2312" w:eastAsia="仿宋_GB2312" w:cs="仿宋_GB2312"/>
          <w:color w:val="000000"/>
          <w:sz w:val="32"/>
          <w:u w:color="auto"/>
          <w:lang w:val="en-US" w:eastAsia="zh-CN"/>
        </w:rPr>
        <w:t>1.64</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auto"/>
          <w:kern w:val="2"/>
          <w:sz w:val="32"/>
          <w:szCs w:val="32"/>
          <w:highlight w:val="none"/>
          <w:lang w:val="en-US" w:eastAsia="zh-CN" w:bidi="ar-SA"/>
        </w:rPr>
        <w:t>主要用于卫生院出诊等工作所需的公务用车燃料费、维修费、过路过桥费、保险费等支出。</w:t>
      </w:r>
      <w:r>
        <w:rPr>
          <w:rFonts w:hint="eastAsia" w:ascii="仿宋_GB2312" w:hAnsi="仿宋_GB2312" w:eastAsia="仿宋_GB2312" w:cs="仿宋_GB2312"/>
          <w:color w:val="000000"/>
          <w:sz w:val="32"/>
          <w:u w:color="auto"/>
        </w:rPr>
        <w:t xml:space="preserve"> </w:t>
      </w:r>
    </w:p>
    <w:p w14:paraId="6D2C2F8E">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3.公务接待费支出</w:t>
      </w:r>
      <w:r>
        <w:rPr>
          <w:rFonts w:hint="eastAsia" w:ascii="仿宋_GB2312" w:hAnsi="仿宋_GB2312" w:eastAsia="仿宋_GB2312" w:cs="仿宋_GB2312"/>
          <w:color w:val="000000"/>
          <w:sz w:val="32"/>
          <w:u w:color="auto"/>
          <w:lang w:eastAsia="zh-CN"/>
        </w:rPr>
        <w:t>0</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szCs w:val="32"/>
        </w:rPr>
        <w:t xml:space="preserve">。 </w:t>
      </w:r>
    </w:p>
    <w:p w14:paraId="65E116AC">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国内公务接待支出</w:t>
      </w:r>
      <w:r>
        <w:rPr>
          <w:rFonts w:hint="eastAsia" w:ascii="仿宋_GB2312" w:hAnsi="仿宋_GB2312" w:eastAsia="仿宋_GB2312" w:cs="仿宋_GB2312"/>
          <w:color w:val="000000"/>
          <w:sz w:val="32"/>
          <w:u w:color="auto"/>
          <w:lang w:eastAsia="zh-CN"/>
        </w:rPr>
        <w:t>0</w:t>
      </w:r>
      <w:r>
        <w:rPr>
          <w:rFonts w:hint="eastAsia" w:ascii="仿宋_GB2312" w:hAnsi="仿宋_GB2312" w:eastAsia="仿宋_GB2312" w:cs="仿宋_GB2312"/>
          <w:color w:val="000000"/>
          <w:sz w:val="32"/>
          <w:u w:color="auto"/>
        </w:rPr>
        <w:t>万元。国内公务接待0批次，0人次（不包括陪同人员）。</w:t>
      </w:r>
    </w:p>
    <w:p w14:paraId="3D802E3F">
      <w:pPr>
        <w:pStyle w:val="7"/>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外事接待支出</w:t>
      </w:r>
      <w:r>
        <w:rPr>
          <w:rFonts w:hint="eastAsia" w:ascii="仿宋_GB2312" w:hAnsi="仿宋_GB2312" w:eastAsia="仿宋_GB2312" w:cs="仿宋_GB2312"/>
          <w:color w:val="000000"/>
          <w:sz w:val="32"/>
          <w:u w:color="auto"/>
          <w:lang w:eastAsia="zh-CN"/>
        </w:rPr>
        <w:t>0</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eastAsia="zh-CN"/>
        </w:rPr>
        <w:t>。</w:t>
      </w:r>
      <w:r>
        <w:rPr>
          <w:rFonts w:hint="eastAsia" w:ascii="仿宋_GB2312" w:hAnsi="仿宋_GB2312" w:eastAsia="仿宋_GB2312" w:cs="仿宋_GB2312"/>
          <w:color w:val="000000"/>
          <w:sz w:val="32"/>
          <w:u w:color="auto"/>
        </w:rPr>
        <w:t>外事接待0批次，0人</w:t>
      </w:r>
      <w:r>
        <w:rPr>
          <w:rFonts w:hint="eastAsia" w:ascii="仿宋_GB2312" w:hAnsi="仿宋_GB2312" w:eastAsia="仿宋_GB2312" w:cs="仿宋_GB2312"/>
          <w:color w:val="000000"/>
          <w:sz w:val="32"/>
          <w:u w:color="auto"/>
          <w:lang w:eastAsia="zh-CN"/>
        </w:rPr>
        <w:t>。</w:t>
      </w:r>
    </w:p>
    <w:p w14:paraId="397F8CF4">
      <w:pPr>
        <w:spacing w:line="600" w:lineRule="exact"/>
        <w:ind w:firstLine="640"/>
        <w:outlineLvl w:val="1"/>
        <w:rPr>
          <w:rStyle w:val="23"/>
          <w:rFonts w:ascii="黑体" w:eastAsia="黑体"/>
        </w:rPr>
      </w:pPr>
      <w:bookmarkStart w:id="59" w:name="_Toc21496"/>
      <w:r>
        <w:rPr>
          <w:rFonts w:hint="eastAsia" w:ascii="黑体" w:eastAsia="黑体"/>
          <w:sz w:val="32"/>
          <w:szCs w:val="32"/>
        </w:rPr>
        <w:t>八、</w:t>
      </w:r>
      <w:r>
        <w:rPr>
          <w:rStyle w:val="23"/>
          <w:rFonts w:hint="eastAsia" w:ascii="黑体" w:eastAsia="黑体"/>
          <w:b w:val="0"/>
        </w:rPr>
        <w:t>政府性基金预算支出决算情况说明</w:t>
      </w:r>
      <w:bookmarkEnd w:id="57"/>
      <w:bookmarkEnd w:id="58"/>
      <w:bookmarkEnd w:id="59"/>
    </w:p>
    <w:p w14:paraId="447E5D56">
      <w:pPr>
        <w:spacing w:line="6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年度政府性基金预算财政拨款支出</w:t>
      </w:r>
      <w:r>
        <w:rPr>
          <w:rFonts w:hint="eastAsia" w:ascii="仿宋_GB2312" w:hAnsi="仿宋_GB2312" w:eastAsia="仿宋_GB2312" w:cs="仿宋_GB2312"/>
          <w:b w:val="0"/>
          <w:bCs/>
          <w:sz w:val="32"/>
          <w:szCs w:val="32"/>
        </w:rPr>
        <w:t>0</w:t>
      </w:r>
      <w:r>
        <w:rPr>
          <w:rFonts w:hint="eastAsia" w:ascii="仿宋_GB2312" w:hAnsi="仿宋_GB2312" w:eastAsia="仿宋_GB2312" w:cs="仿宋_GB2312"/>
          <w:sz w:val="32"/>
          <w:szCs w:val="32"/>
        </w:rPr>
        <w:t>万元。</w:t>
      </w:r>
    </w:p>
    <w:p w14:paraId="0DC978A0">
      <w:pPr>
        <w:numPr>
          <w:ilvl w:val="0"/>
          <w:numId w:val="3"/>
        </w:numPr>
        <w:spacing w:line="600" w:lineRule="exact"/>
        <w:ind w:left="0" w:firstLine="640"/>
        <w:outlineLvl w:val="1"/>
        <w:rPr>
          <w:rStyle w:val="23"/>
          <w:rFonts w:ascii="黑体" w:eastAsia="黑体"/>
          <w:b w:val="0"/>
        </w:rPr>
      </w:pPr>
      <w:bookmarkStart w:id="60" w:name="_Toc1183"/>
      <w:bookmarkStart w:id="61" w:name="_Toc15396611"/>
      <w:bookmarkStart w:id="62" w:name="_Toc15377219"/>
      <w:r>
        <w:rPr>
          <w:rStyle w:val="23"/>
          <w:rFonts w:hint="eastAsia" w:ascii="黑体" w:eastAsia="黑体"/>
          <w:b w:val="0"/>
        </w:rPr>
        <w:t>国有资本经营预算支出决算情况说明</w:t>
      </w:r>
      <w:bookmarkEnd w:id="60"/>
      <w:bookmarkEnd w:id="61"/>
      <w:bookmarkEnd w:id="62"/>
    </w:p>
    <w:p w14:paraId="6531DDE9">
      <w:pPr>
        <w:spacing w:line="6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年度国有资本经营预算财政拨款支出</w:t>
      </w:r>
      <w:r>
        <w:rPr>
          <w:rFonts w:hint="eastAsia" w:ascii="仿宋_GB2312" w:hAnsi="仿宋_GB2312" w:eastAsia="仿宋_GB2312" w:cs="仿宋_GB2312"/>
          <w:b w:val="0"/>
          <w:bCs/>
          <w:sz w:val="32"/>
          <w:szCs w:val="32"/>
        </w:rPr>
        <w:t>0</w:t>
      </w:r>
      <w:r>
        <w:rPr>
          <w:rFonts w:hint="eastAsia" w:ascii="仿宋_GB2312" w:hAnsi="仿宋_GB2312" w:eastAsia="仿宋_GB2312" w:cs="仿宋_GB2312"/>
          <w:sz w:val="32"/>
          <w:szCs w:val="32"/>
        </w:rPr>
        <w:t>万元。</w:t>
      </w:r>
    </w:p>
    <w:p w14:paraId="27875E6C">
      <w:pPr>
        <w:numPr>
          <w:ilvl w:val="0"/>
          <w:numId w:val="3"/>
        </w:numPr>
        <w:spacing w:line="600" w:lineRule="exact"/>
        <w:ind w:left="0" w:firstLine="640"/>
        <w:outlineLvl w:val="1"/>
        <w:rPr>
          <w:rStyle w:val="23"/>
          <w:rFonts w:ascii="黑体" w:eastAsia="黑体"/>
          <w:b w:val="0"/>
        </w:rPr>
      </w:pPr>
      <w:bookmarkStart w:id="63" w:name="_Toc2694"/>
      <w:bookmarkStart w:id="64" w:name="_Toc15377221"/>
      <w:bookmarkStart w:id="65" w:name="_Toc15396612"/>
      <w:r>
        <w:rPr>
          <w:rStyle w:val="23"/>
          <w:rFonts w:hint="eastAsia" w:ascii="黑体" w:eastAsia="黑体"/>
          <w:b w:val="0"/>
        </w:rPr>
        <w:t>其他重要事项的情况说明</w:t>
      </w:r>
      <w:bookmarkEnd w:id="63"/>
      <w:bookmarkEnd w:id="64"/>
      <w:bookmarkEnd w:id="65"/>
    </w:p>
    <w:p w14:paraId="6F28BEE4">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rPr>
      </w:pPr>
      <w:bookmarkStart w:id="66" w:name="_Toc15377222"/>
      <w:r>
        <w:rPr>
          <w:rFonts w:hint="eastAsia" w:ascii="Times New Roman" w:hAnsi="Times New Roman" w:eastAsia="楷体_GB2312" w:cs="Times New Roman"/>
          <w:b/>
          <w:color w:val="auto"/>
          <w:sz w:val="32"/>
          <w:szCs w:val="32"/>
          <w:highlight w:val="none"/>
        </w:rPr>
        <w:t>（一）机关运行经费支出情况</w:t>
      </w:r>
      <w:bookmarkEnd w:id="66"/>
    </w:p>
    <w:p w14:paraId="414DC38F">
      <w:pPr>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w:t>
      </w:r>
      <w:r>
        <w:rPr>
          <w:rFonts w:hint="eastAsia" w:ascii="仿宋_GB2312" w:hAnsi="仿宋_GB2312" w:eastAsia="仿宋_GB2312" w:cs="仿宋_GB2312"/>
          <w:b w:val="0"/>
          <w:bCs/>
          <w:sz w:val="32"/>
          <w:szCs w:val="32"/>
        </w:rPr>
        <w:t>四川省阿坝州茂县南新镇卫生院机关运行经费支出0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p>
    <w:p w14:paraId="6E9EFEA0">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rPr>
      </w:pPr>
      <w:bookmarkStart w:id="67" w:name="_Toc15377223"/>
      <w:r>
        <w:rPr>
          <w:rFonts w:hint="eastAsia" w:ascii="Times New Roman" w:hAnsi="Times New Roman" w:eastAsia="楷体_GB2312" w:cs="Times New Roman"/>
          <w:b/>
          <w:color w:val="auto"/>
          <w:sz w:val="32"/>
          <w:szCs w:val="32"/>
          <w:highlight w:val="none"/>
        </w:rPr>
        <w:t>（二）政府采购支出情况</w:t>
      </w:r>
      <w:bookmarkEnd w:id="67"/>
    </w:p>
    <w:p w14:paraId="2B4D6522">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w:t>
      </w:r>
      <w:r>
        <w:rPr>
          <w:rFonts w:hint="eastAsia" w:ascii="仿宋_GB2312" w:hAnsi="仿宋_GB2312" w:eastAsia="仿宋_GB2312" w:cs="仿宋_GB2312"/>
          <w:b w:val="0"/>
          <w:bCs w:val="0"/>
          <w:sz w:val="32"/>
          <w:szCs w:val="32"/>
        </w:rPr>
        <w:t>四川省阿坝州茂县南新镇卫生院政府采购支出总额0万元，其中：政府采购货物支出0万元、政府采购工程支出0万元、政府采购服务支出0万元。授予中小企业合同金额0万元，占政府采购支出总额的0%，其中：授予小微企业合同金额0万元，占政府采购支出总额的0%</w:t>
      </w:r>
      <w:r>
        <w:rPr>
          <w:rFonts w:hint="eastAsia" w:ascii="仿宋_GB2312" w:hAnsi="仿宋_GB2312" w:eastAsia="仿宋_GB2312" w:cs="仿宋_GB2312"/>
          <w:sz w:val="32"/>
          <w:szCs w:val="32"/>
        </w:rPr>
        <w:t>。</w:t>
      </w:r>
    </w:p>
    <w:p w14:paraId="394357ED">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rPr>
      </w:pPr>
      <w:bookmarkStart w:id="68" w:name="_Toc15377224"/>
      <w:r>
        <w:rPr>
          <w:rFonts w:hint="eastAsia" w:ascii="Times New Roman" w:hAnsi="Times New Roman" w:eastAsia="楷体_GB2312" w:cs="Times New Roman"/>
          <w:b/>
          <w:color w:val="auto"/>
          <w:sz w:val="32"/>
          <w:szCs w:val="32"/>
          <w:highlight w:val="none"/>
        </w:rPr>
        <w:t>（三）国有资产占有使用情况</w:t>
      </w:r>
      <w:bookmarkEnd w:id="68"/>
    </w:p>
    <w:p w14:paraId="2D33281A">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截至</w:t>
      </w:r>
      <w:r>
        <w:rPr>
          <w:rFonts w:hint="eastAsia" w:ascii="仿宋_GB2312" w:hAnsi="仿宋_GB2312" w:eastAsia="仿宋_GB2312" w:cs="仿宋_GB2312"/>
          <w:color w:val="000000"/>
          <w:sz w:val="32"/>
          <w:u w:color="auto"/>
          <w:lang w:eastAsia="zh-CN"/>
        </w:rPr>
        <w:t>2025</w:t>
      </w:r>
      <w:r>
        <w:rPr>
          <w:rFonts w:hint="eastAsia" w:ascii="仿宋_GB2312" w:hAnsi="仿宋_GB2312" w:eastAsia="仿宋_GB2312" w:cs="仿宋_GB2312"/>
          <w:color w:val="000000"/>
          <w:sz w:val="32"/>
          <w:u w:color="auto"/>
        </w:rPr>
        <w:t>年</w:t>
      </w:r>
      <w:r>
        <w:rPr>
          <w:rFonts w:hint="eastAsia" w:ascii="仿宋_GB2312" w:hAnsi="仿宋_GB2312" w:eastAsia="仿宋_GB2312" w:cs="仿宋_GB2312"/>
          <w:color w:val="000000"/>
          <w:sz w:val="32"/>
          <w:szCs w:val="32"/>
        </w:rPr>
        <w:t>12月31日，共有车辆</w:t>
      </w:r>
      <w:r>
        <w:rPr>
          <w:rFonts w:hint="eastAsia" w:ascii="仿宋_GB2312" w:hAnsi="仿宋_GB2312" w:eastAsia="仿宋_GB2312" w:cs="仿宋_GB2312"/>
          <w:color w:val="000000"/>
          <w:sz w:val="32"/>
          <w:u w:color="auto"/>
          <w:lang w:val="en-US" w:eastAsia="zh-CN"/>
        </w:rPr>
        <w:t>1</w:t>
      </w:r>
      <w:r>
        <w:rPr>
          <w:rFonts w:hint="eastAsia" w:ascii="仿宋_GB2312" w:hAnsi="仿宋_GB2312" w:eastAsia="仿宋_GB2312" w:cs="仿宋_GB2312"/>
          <w:color w:val="000000"/>
          <w:sz w:val="32"/>
          <w:u w:color="auto"/>
        </w:rPr>
        <w:t>辆，其中：主要领导干部用车0</w:t>
      </w:r>
      <w:r>
        <w:rPr>
          <w:rFonts w:hint="eastAsia" w:ascii="仿宋_GB2312" w:hAnsi="仿宋_GB2312" w:eastAsia="仿宋_GB2312" w:cs="仿宋_GB2312"/>
          <w:color w:val="000000"/>
          <w:sz w:val="32"/>
          <w:szCs w:val="32"/>
        </w:rPr>
        <w:t>辆、机要通信用车</w:t>
      </w:r>
      <w:r>
        <w:rPr>
          <w:rFonts w:hint="eastAsia" w:ascii="仿宋_GB2312" w:hAnsi="仿宋_GB2312" w:eastAsia="仿宋_GB2312" w:cs="仿宋_GB2312"/>
          <w:color w:val="000000"/>
          <w:sz w:val="32"/>
          <w:u w:color="auto"/>
        </w:rPr>
        <w:t>0</w:t>
      </w:r>
      <w:r>
        <w:rPr>
          <w:rFonts w:hint="eastAsia" w:ascii="仿宋_GB2312" w:hAnsi="仿宋_GB2312" w:eastAsia="仿宋_GB2312" w:cs="仿宋_GB2312"/>
          <w:color w:val="000000"/>
          <w:sz w:val="32"/>
          <w:szCs w:val="32"/>
        </w:rPr>
        <w:t>辆、应急保障用车</w:t>
      </w:r>
      <w:r>
        <w:rPr>
          <w:rFonts w:hint="eastAsia" w:ascii="仿宋_GB2312" w:hAnsi="仿宋_GB2312" w:eastAsia="仿宋_GB2312" w:cs="仿宋_GB2312"/>
          <w:color w:val="000000"/>
          <w:sz w:val="32"/>
          <w:u w:color="auto"/>
          <w:lang w:val="en-US" w:eastAsia="zh-CN"/>
        </w:rPr>
        <w:t>1</w:t>
      </w:r>
      <w:r>
        <w:rPr>
          <w:rFonts w:hint="eastAsia" w:ascii="仿宋_GB2312" w:hAnsi="仿宋_GB2312" w:eastAsia="仿宋_GB2312" w:cs="仿宋_GB2312"/>
          <w:color w:val="000000"/>
          <w:sz w:val="32"/>
          <w:szCs w:val="32"/>
        </w:rPr>
        <w:t>辆、其他用车</w:t>
      </w:r>
      <w:r>
        <w:rPr>
          <w:rFonts w:hint="eastAsia" w:ascii="仿宋_GB2312" w:hAnsi="仿宋_GB2312" w:eastAsia="仿宋_GB2312" w:cs="仿宋_GB2312"/>
          <w:color w:val="000000"/>
          <w:sz w:val="32"/>
          <w:u w:color="auto"/>
        </w:rPr>
        <w:t>0</w:t>
      </w:r>
      <w:r>
        <w:rPr>
          <w:rFonts w:hint="eastAsia" w:ascii="仿宋_GB2312" w:hAnsi="仿宋_GB2312" w:eastAsia="仿宋_GB2312" w:cs="仿宋_GB2312"/>
          <w:color w:val="000000"/>
          <w:sz w:val="32"/>
          <w:szCs w:val="32"/>
        </w:rPr>
        <w:t>辆。单价50</w:t>
      </w:r>
      <w:r>
        <w:rPr>
          <w:rFonts w:hint="eastAsia" w:ascii="仿宋_GB2312" w:hAnsi="仿宋_GB2312" w:eastAsia="仿宋_GB2312" w:cs="仿宋_GB2312"/>
          <w:color w:val="000000"/>
          <w:sz w:val="32"/>
          <w:szCs w:val="32"/>
          <w:lang w:eastAsia="zh-CN"/>
        </w:rPr>
        <w:t>万元</w:t>
      </w:r>
      <w:r>
        <w:rPr>
          <w:rFonts w:hint="eastAsia" w:ascii="仿宋_GB2312" w:hAnsi="仿宋_GB2312" w:eastAsia="仿宋_GB2312" w:cs="仿宋_GB2312"/>
          <w:color w:val="000000"/>
          <w:sz w:val="32"/>
          <w:szCs w:val="32"/>
        </w:rPr>
        <w:t>以上通用设备</w:t>
      </w:r>
      <w:r>
        <w:rPr>
          <w:rFonts w:hint="eastAsia" w:ascii="仿宋_GB2312" w:hAnsi="仿宋_GB2312" w:eastAsia="仿宋_GB2312" w:cs="仿宋_GB2312"/>
          <w:color w:val="000000"/>
          <w:sz w:val="32"/>
          <w:u w:color="auto"/>
        </w:rPr>
        <w:t>0</w:t>
      </w:r>
      <w:r>
        <w:rPr>
          <w:rFonts w:hint="eastAsia" w:ascii="仿宋_GB2312" w:hAnsi="仿宋_GB2312" w:eastAsia="仿宋_GB2312" w:cs="仿宋_GB2312"/>
          <w:color w:val="000000"/>
          <w:sz w:val="32"/>
          <w:szCs w:val="32"/>
        </w:rPr>
        <w:t>台（套），单价100</w:t>
      </w:r>
      <w:r>
        <w:rPr>
          <w:rFonts w:hint="eastAsia" w:ascii="仿宋_GB2312" w:hAnsi="仿宋_GB2312" w:eastAsia="仿宋_GB2312" w:cs="仿宋_GB2312"/>
          <w:color w:val="000000"/>
          <w:sz w:val="32"/>
          <w:szCs w:val="32"/>
          <w:lang w:eastAsia="zh-CN"/>
        </w:rPr>
        <w:t>万元</w:t>
      </w:r>
      <w:r>
        <w:rPr>
          <w:rFonts w:hint="eastAsia" w:ascii="仿宋_GB2312" w:hAnsi="仿宋_GB2312" w:eastAsia="仿宋_GB2312" w:cs="仿宋_GB2312"/>
          <w:color w:val="000000"/>
          <w:sz w:val="32"/>
          <w:szCs w:val="32"/>
        </w:rPr>
        <w:t>以上专用设备</w:t>
      </w:r>
      <w:r>
        <w:rPr>
          <w:rFonts w:hint="eastAsia" w:ascii="仿宋_GB2312" w:hAnsi="仿宋_GB2312" w:eastAsia="仿宋_GB2312" w:cs="仿宋_GB2312"/>
          <w:color w:val="000000"/>
          <w:sz w:val="32"/>
          <w:szCs w:val="32"/>
          <w:lang w:val="en-US" w:eastAsia="zh-CN"/>
        </w:rPr>
        <w:t>0</w:t>
      </w:r>
      <w:r>
        <w:rPr>
          <w:rFonts w:hint="eastAsia" w:ascii="仿宋_GB2312" w:hAnsi="仿宋_GB2312" w:eastAsia="仿宋_GB2312" w:cs="仿宋_GB2312"/>
          <w:color w:val="000000"/>
          <w:sz w:val="32"/>
          <w:szCs w:val="32"/>
        </w:rPr>
        <w:t>台（套）。</w:t>
      </w:r>
    </w:p>
    <w:p w14:paraId="691E5580">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rPr>
      </w:pPr>
      <w:r>
        <w:rPr>
          <w:rFonts w:hint="eastAsia" w:ascii="Times New Roman" w:hAnsi="Times New Roman" w:eastAsia="楷体_GB2312" w:cs="Times New Roman"/>
          <w:b/>
          <w:color w:val="auto"/>
          <w:sz w:val="32"/>
          <w:szCs w:val="32"/>
          <w:highlight w:val="none"/>
        </w:rPr>
        <w:t>（四）预算绩效管理情况</w:t>
      </w:r>
    </w:p>
    <w:p w14:paraId="3FC98AF5">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根据预算绩效管理要求，本单位在</w:t>
      </w: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年度预算编制阶段，组织对</w:t>
      </w:r>
      <w:r>
        <w:rPr>
          <w:rFonts w:hint="eastAsia" w:ascii="仿宋_GB2312" w:hAnsi="仿宋_GB2312" w:eastAsia="仿宋_GB2312" w:cs="仿宋_GB2312"/>
          <w:sz w:val="32"/>
          <w:szCs w:val="32"/>
          <w:lang w:val="en-US" w:eastAsia="zh-CN"/>
        </w:rPr>
        <w:t>基本公共卫生服务</w:t>
      </w:r>
      <w:r>
        <w:rPr>
          <w:rFonts w:hint="eastAsia" w:ascii="仿宋_GB2312" w:hAnsi="仿宋_GB2312" w:eastAsia="仿宋_GB2312" w:cs="仿宋_GB2312"/>
          <w:sz w:val="32"/>
          <w:szCs w:val="32"/>
        </w:rPr>
        <w:t>项目等</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个项目开展了预算事前绩效评估，对</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个项目编制了绩效目标，预算执行过程中，选取</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个项目开展绩效监控，组织对</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个项目开展绩效自评，绩效自评表详见第四部分附件。</w:t>
      </w:r>
    </w:p>
    <w:p w14:paraId="29BFA7E5">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306D5A5A">
      <w:pPr>
        <w:numPr>
          <w:ilvl w:val="0"/>
          <w:numId w:val="4"/>
        </w:numPr>
        <w:spacing w:line="600" w:lineRule="exact"/>
        <w:ind w:left="0" w:firstLine="660" w:firstLineChars="150"/>
        <w:jc w:val="center"/>
        <w:outlineLvl w:val="0"/>
        <w:rPr>
          <w:rStyle w:val="22"/>
          <w:rFonts w:hint="eastAsia" w:ascii="方正小标宋简体" w:hAnsi="方正小标宋简体" w:eastAsia="方正小标宋简体" w:cs="方正小标宋简体"/>
          <w:b w:val="0"/>
        </w:rPr>
      </w:pPr>
      <w:bookmarkStart w:id="69" w:name="_Toc15377225"/>
      <w:bookmarkStart w:id="70" w:name="_Toc28586"/>
      <w:bookmarkStart w:id="71" w:name="_Toc15396613"/>
      <w:r>
        <w:rPr>
          <w:rFonts w:hint="eastAsia" w:ascii="方正小标宋简体" w:hAnsi="方正小标宋简体" w:eastAsia="方正小标宋简体" w:cs="方正小标宋简体"/>
          <w:sz w:val="44"/>
          <w:szCs w:val="44"/>
        </w:rPr>
        <w:t>名</w:t>
      </w:r>
      <w:r>
        <w:rPr>
          <w:rStyle w:val="22"/>
          <w:rFonts w:hint="eastAsia" w:ascii="方正小标宋简体" w:hAnsi="方正小标宋简体" w:eastAsia="方正小标宋简体" w:cs="方正小标宋简体"/>
          <w:b w:val="0"/>
        </w:rPr>
        <w:t>词解释</w:t>
      </w:r>
      <w:bookmarkEnd w:id="69"/>
      <w:bookmarkEnd w:id="70"/>
      <w:bookmarkEnd w:id="71"/>
    </w:p>
    <w:p w14:paraId="259D423D">
      <w:pPr>
        <w:spacing w:line="600" w:lineRule="exact"/>
        <w:jc w:val="left"/>
        <w:rPr>
          <w:rFonts w:ascii="宋体"/>
          <w:b/>
          <w:sz w:val="44"/>
          <w:szCs w:val="44"/>
        </w:rPr>
      </w:pPr>
    </w:p>
    <w:p w14:paraId="6338CD74">
      <w:pPr>
        <w:keepNext w:val="0"/>
        <w:keepLines w:val="0"/>
        <w:pageBreakBefore w:val="0"/>
        <w:widowControl w:val="0"/>
        <w:numPr>
          <w:ilvl w:val="0"/>
          <w:numId w:val="5"/>
        </w:numPr>
        <w:kinsoku/>
        <w:wordWrap/>
        <w:overflowPunct/>
        <w:topLinePunct w:val="0"/>
        <w:autoSpaceDE/>
        <w:autoSpaceDN/>
        <w:bidi w:val="0"/>
        <w:adjustRightInd/>
        <w:snapToGrid/>
        <w:spacing w:line="600" w:lineRule="exact"/>
        <w:ind w:left="0" w:firstLine="640" w:firstLineChars="200"/>
        <w:textAlignment w:val="auto"/>
        <w:outlineLvl w:val="1"/>
        <w:rPr>
          <w:rFonts w:hint="eastAsia" w:ascii="仿宋_GB2312" w:hAnsi="仿宋_GB2312" w:eastAsia="仿宋_GB2312" w:cs="仿宋_GB2312"/>
          <w:color w:val="000000"/>
          <w:sz w:val="32"/>
          <w:szCs w:val="32"/>
        </w:rPr>
      </w:pPr>
      <w:bookmarkStart w:id="72" w:name="_Toc24674"/>
      <w:r>
        <w:rPr>
          <w:rFonts w:hint="eastAsia" w:ascii="仿宋_GB2312" w:hAnsi="仿宋_GB2312" w:eastAsia="仿宋_GB2312" w:cs="仿宋_GB2312"/>
          <w:color w:val="000000"/>
          <w:sz w:val="32"/>
          <w:szCs w:val="32"/>
        </w:rPr>
        <w:t>财政拨款收入：指单位从同级财政</w:t>
      </w:r>
      <w:r>
        <w:rPr>
          <w:rFonts w:hint="eastAsia" w:ascii="仿宋_GB2312" w:hAnsi="仿宋_GB2312" w:eastAsia="仿宋_GB2312" w:cs="仿宋_GB2312"/>
          <w:color w:val="000000"/>
          <w:sz w:val="32"/>
          <w:szCs w:val="32"/>
          <w:lang w:eastAsia="zh-CN"/>
        </w:rPr>
        <w:t>单位</w:t>
      </w:r>
      <w:r>
        <w:rPr>
          <w:rFonts w:hint="eastAsia" w:ascii="仿宋_GB2312" w:hAnsi="仿宋_GB2312" w:eastAsia="仿宋_GB2312" w:cs="仿宋_GB2312"/>
          <w:color w:val="000000"/>
          <w:sz w:val="32"/>
          <w:szCs w:val="32"/>
        </w:rPr>
        <w:t>取得的财政预算资金。</w:t>
      </w:r>
      <w:bookmarkEnd w:id="72"/>
    </w:p>
    <w:p w14:paraId="5BAD62C0">
      <w:pPr>
        <w:keepNext w:val="0"/>
        <w:keepLines w:val="0"/>
        <w:pageBreakBefore w:val="0"/>
        <w:widowControl w:val="0"/>
        <w:numPr>
          <w:ilvl w:val="0"/>
          <w:numId w:val="5"/>
        </w:numPr>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事业收入：指事业单位开展专业业务活动及辅助活动取得的收入。</w:t>
      </w:r>
    </w:p>
    <w:p w14:paraId="51902551">
      <w:pPr>
        <w:keepNext w:val="0"/>
        <w:keepLines w:val="0"/>
        <w:pageBreakBefore w:val="0"/>
        <w:widowControl w:val="0"/>
        <w:numPr>
          <w:ilvl w:val="0"/>
          <w:numId w:val="5"/>
        </w:numPr>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经营收入：指事业单位在专业业务活动及其辅助活动之外开展非独立核算经营活动取得的收入</w:t>
      </w:r>
    </w:p>
    <w:p w14:paraId="0A4EAB28">
      <w:pPr>
        <w:keepNext w:val="0"/>
        <w:keepLines w:val="0"/>
        <w:pageBreakBefore w:val="0"/>
        <w:widowControl w:val="0"/>
        <w:numPr>
          <w:ilvl w:val="0"/>
          <w:numId w:val="5"/>
        </w:numPr>
        <w:kinsoku/>
        <w:wordWrap/>
        <w:overflowPunct/>
        <w:topLinePunct w:val="0"/>
        <w:autoSpaceDE/>
        <w:autoSpaceDN/>
        <w:bidi w:val="0"/>
        <w:adjustRightInd/>
        <w:snapToGrid/>
        <w:spacing w:line="600" w:lineRule="exact"/>
        <w:ind w:left="0" w:firstLine="640" w:firstLineChars="200"/>
        <w:textAlignment w:val="auto"/>
        <w:outlineLvl w:val="1"/>
        <w:rPr>
          <w:rFonts w:hint="eastAsia" w:ascii="仿宋_GB2312" w:hAnsi="仿宋_GB2312" w:eastAsia="仿宋_GB2312" w:cs="仿宋_GB2312"/>
          <w:color w:val="000000"/>
          <w:sz w:val="32"/>
          <w:szCs w:val="32"/>
        </w:rPr>
      </w:pPr>
      <w:bookmarkStart w:id="73" w:name="_Toc24511"/>
      <w:r>
        <w:rPr>
          <w:rFonts w:hint="eastAsia" w:ascii="仿宋_GB2312" w:hAnsi="仿宋_GB2312" w:eastAsia="仿宋_GB2312" w:cs="仿宋_GB2312"/>
          <w:color w:val="000000"/>
          <w:sz w:val="32"/>
          <w:szCs w:val="32"/>
        </w:rPr>
        <w:t>其他收入：指单位取得的除上述收入以外的各项收入。</w:t>
      </w:r>
      <w:bookmarkEnd w:id="73"/>
    </w:p>
    <w:p w14:paraId="4B1E1164">
      <w:pPr>
        <w:keepNext w:val="0"/>
        <w:keepLines w:val="0"/>
        <w:pageBreakBefore w:val="0"/>
        <w:widowControl w:val="0"/>
        <w:numPr>
          <w:ilvl w:val="0"/>
          <w:numId w:val="5"/>
        </w:numPr>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14:paraId="072E1EDF">
      <w:pPr>
        <w:keepNext w:val="0"/>
        <w:keepLines w:val="0"/>
        <w:pageBreakBefore w:val="0"/>
        <w:widowControl w:val="0"/>
        <w:numPr>
          <w:ilvl w:val="0"/>
          <w:numId w:val="5"/>
        </w:numPr>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年初结转和结余：指以前年度尚未完成、结转到本年按有关规定继续使用的资金。 </w:t>
      </w:r>
    </w:p>
    <w:p w14:paraId="7F49E682">
      <w:pPr>
        <w:keepNext w:val="0"/>
        <w:keepLines w:val="0"/>
        <w:pageBreakBefore w:val="0"/>
        <w:widowControl w:val="0"/>
        <w:numPr>
          <w:ilvl w:val="0"/>
          <w:numId w:val="5"/>
        </w:numPr>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结余分配：指事业单位按照事业单位会计制度的规定从非财政补助结余中分配的事业基金和职工福利基金等。</w:t>
      </w:r>
    </w:p>
    <w:p w14:paraId="75B27B8A">
      <w:pPr>
        <w:keepNext w:val="0"/>
        <w:keepLines w:val="0"/>
        <w:pageBreakBefore w:val="0"/>
        <w:widowControl w:val="0"/>
        <w:numPr>
          <w:ilvl w:val="0"/>
          <w:numId w:val="5"/>
        </w:numPr>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年末结转和结余：指单位按有关规定结转到下年或以后年度继续使用的资金。</w:t>
      </w:r>
    </w:p>
    <w:p w14:paraId="23FF7F0E">
      <w:pPr>
        <w:keepNext w:val="0"/>
        <w:keepLines w:val="0"/>
        <w:pageBreakBefore w:val="0"/>
        <w:widowControl w:val="0"/>
        <w:numPr>
          <w:ilvl w:val="0"/>
          <w:numId w:val="5"/>
        </w:numPr>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）行政事业单位养老支出（</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）机关事业单位基本养老保险缴费支出（</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）：反映机关事业单位实施养老保险制度由单位缴纳的基本养老保险费支出。</w:t>
      </w:r>
    </w:p>
    <w:p w14:paraId="1E6E02C6">
      <w:pPr>
        <w:keepNext w:val="0"/>
        <w:keepLines w:val="0"/>
        <w:pageBreakBefore w:val="0"/>
        <w:widowControl w:val="0"/>
        <w:numPr>
          <w:ilvl w:val="0"/>
          <w:numId w:val="5"/>
        </w:numPr>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）行政事业单位养老支出（</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）机关事业单位职业年金缴费支出（</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）：反映机关事业单位实施养老保险制度由单位实际缴纳的职业年金支出。</w:t>
      </w:r>
    </w:p>
    <w:p w14:paraId="6D9B548F">
      <w:pPr>
        <w:keepNext w:val="0"/>
        <w:keepLines w:val="0"/>
        <w:pageBreakBefore w:val="0"/>
        <w:widowControl w:val="0"/>
        <w:numPr>
          <w:ilvl w:val="0"/>
          <w:numId w:val="5"/>
        </w:numPr>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卫生健康支出（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）基层医疗卫生机构（</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）乡镇卫生院（</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）：反映用于乡镇卫生院的支出。</w:t>
      </w:r>
    </w:p>
    <w:p w14:paraId="150C56D7">
      <w:pPr>
        <w:keepNext w:val="0"/>
        <w:keepLines w:val="0"/>
        <w:pageBreakBefore w:val="0"/>
        <w:widowControl w:val="0"/>
        <w:numPr>
          <w:ilvl w:val="0"/>
          <w:numId w:val="5"/>
        </w:numPr>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卫生健康支出（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）基层医疗卫生机构（</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）其他基层医疗卫生机构支出（</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）：反映除上述项目以外的其他用于基层医疗卫生机构的支出。</w:t>
      </w:r>
    </w:p>
    <w:p w14:paraId="6E9C4DED">
      <w:pPr>
        <w:keepNext w:val="0"/>
        <w:keepLines w:val="0"/>
        <w:pageBreakBefore w:val="0"/>
        <w:widowControl w:val="0"/>
        <w:numPr>
          <w:ilvl w:val="0"/>
          <w:numId w:val="5"/>
        </w:numPr>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卫生健康支出（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）公共卫生（</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）基本公共卫生服务（</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）：反映基本公共卫生服务支出。</w:t>
      </w:r>
    </w:p>
    <w:p w14:paraId="0DCAF8D6">
      <w:pPr>
        <w:keepNext w:val="0"/>
        <w:keepLines w:val="0"/>
        <w:pageBreakBefore w:val="0"/>
        <w:widowControl w:val="0"/>
        <w:numPr>
          <w:ilvl w:val="0"/>
          <w:numId w:val="5"/>
        </w:numPr>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卫生健康支出（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）行政事业单位医疗（</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）事业单位医疗（</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）：反映财政</w:t>
      </w:r>
      <w:r>
        <w:rPr>
          <w:rFonts w:hint="eastAsia" w:ascii="仿宋_GB2312" w:hAnsi="仿宋_GB2312" w:eastAsia="仿宋_GB2312" w:cs="仿宋_GB2312"/>
          <w:color w:val="000000"/>
          <w:sz w:val="32"/>
          <w:szCs w:val="32"/>
          <w:lang w:eastAsia="zh-CN"/>
        </w:rPr>
        <w:t>单位</w:t>
      </w:r>
      <w:r>
        <w:rPr>
          <w:rFonts w:hint="eastAsia" w:ascii="仿宋_GB2312" w:hAnsi="仿宋_GB2312" w:eastAsia="仿宋_GB2312" w:cs="仿宋_GB2312"/>
          <w:color w:val="000000"/>
          <w:sz w:val="32"/>
          <w:szCs w:val="32"/>
        </w:rPr>
        <w:t>安排的事业单位基本医疗保险缴费经费，未参加医疗保险的事业单位的公费医疗经费，按国家规定享受离休人员待遇的医疗经费。</w:t>
      </w:r>
    </w:p>
    <w:p w14:paraId="435CD3F8">
      <w:pPr>
        <w:keepNext w:val="0"/>
        <w:keepLines w:val="0"/>
        <w:pageBreakBefore w:val="0"/>
        <w:widowControl w:val="0"/>
        <w:numPr>
          <w:ilvl w:val="0"/>
          <w:numId w:val="5"/>
        </w:numPr>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卫生健康支出（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）其他卫生健康支出（</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）其他卫生健康支出（</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）：反映除上述项以外其他用于卫生健康方面的支出。</w:t>
      </w:r>
    </w:p>
    <w:p w14:paraId="5B80870F">
      <w:pPr>
        <w:keepNext w:val="0"/>
        <w:keepLines w:val="0"/>
        <w:pageBreakBefore w:val="0"/>
        <w:widowControl w:val="0"/>
        <w:numPr>
          <w:ilvl w:val="0"/>
          <w:numId w:val="5"/>
        </w:numPr>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住房保障支出（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）住房改革支出（</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）住房公积金（</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）：反映行政事业单位按人力资源和社会保障部、财政部规定的基本工资和津贴补贴以及规定比例为职工缴纳的住房公积金。</w:t>
      </w:r>
    </w:p>
    <w:p w14:paraId="0AF99F65">
      <w:pPr>
        <w:keepNext w:val="0"/>
        <w:keepLines w:val="0"/>
        <w:pageBreakBefore w:val="0"/>
        <w:widowControl w:val="0"/>
        <w:numPr>
          <w:ilvl w:val="0"/>
          <w:numId w:val="5"/>
        </w:numPr>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基本支出：指为保障机构正常运转、完成日常工作任务而发生的人员支出和公用支出。</w:t>
      </w:r>
    </w:p>
    <w:p w14:paraId="269A8287">
      <w:pPr>
        <w:keepNext w:val="0"/>
        <w:keepLines w:val="0"/>
        <w:pageBreakBefore w:val="0"/>
        <w:widowControl w:val="0"/>
        <w:numPr>
          <w:ilvl w:val="0"/>
          <w:numId w:val="5"/>
        </w:numPr>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项目支出：指在基本支出之外为完成特定行政任务和事业发展目标所发生的支出。 </w:t>
      </w:r>
    </w:p>
    <w:p w14:paraId="6400A3A7">
      <w:pPr>
        <w:keepNext w:val="0"/>
        <w:keepLines w:val="0"/>
        <w:pageBreakBefore w:val="0"/>
        <w:widowControl w:val="0"/>
        <w:numPr>
          <w:ilvl w:val="0"/>
          <w:numId w:val="5"/>
        </w:numPr>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经营支出：指事业单位在专业业务活动及其辅助活动之外开展非独立核算经营活动发生的支出。</w:t>
      </w:r>
    </w:p>
    <w:p w14:paraId="6F8D1CB3">
      <w:pPr>
        <w:keepNext w:val="0"/>
        <w:keepLines w:val="0"/>
        <w:pageBreakBefore w:val="0"/>
        <w:widowControl w:val="0"/>
        <w:numPr>
          <w:ilvl w:val="0"/>
          <w:numId w:val="5"/>
        </w:numPr>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“三公”经费：指</w:t>
      </w:r>
      <w:r>
        <w:rPr>
          <w:rFonts w:hint="eastAsia" w:ascii="仿宋_GB2312" w:hAnsi="仿宋_GB2312" w:eastAsia="仿宋_GB2312" w:cs="仿宋_GB2312"/>
          <w:color w:val="000000"/>
          <w:sz w:val="32"/>
          <w:szCs w:val="32"/>
          <w:lang w:eastAsia="zh-CN"/>
        </w:rPr>
        <w:t>单位</w:t>
      </w:r>
      <w:r>
        <w:rPr>
          <w:rFonts w:hint="eastAsia" w:ascii="仿宋_GB2312" w:hAnsi="仿宋_GB2312" w:eastAsia="仿宋_GB2312" w:cs="仿宋_GB2312"/>
          <w:color w:val="000000"/>
          <w:sz w:val="32"/>
          <w:szCs w:val="32"/>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7B04414">
      <w:pPr>
        <w:keepNext w:val="0"/>
        <w:keepLines w:val="0"/>
        <w:pageBreakBefore w:val="0"/>
        <w:widowControl w:val="0"/>
        <w:numPr>
          <w:ilvl w:val="0"/>
          <w:numId w:val="5"/>
        </w:numPr>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7B567AB">
      <w:pPr>
        <w:keepNext w:val="0"/>
        <w:keepLines w:val="0"/>
        <w:pageBreakBefore w:val="0"/>
        <w:widowControl w:val="0"/>
        <w:numPr>
          <w:ilvl w:val="0"/>
          <w:numId w:val="5"/>
        </w:numPr>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sz w:val="32"/>
          <w:szCs w:val="32"/>
        </w:rPr>
      </w:pPr>
      <w:bookmarkStart w:id="74" w:name="_Toc15396614"/>
      <w:bookmarkStart w:id="75" w:name="_Toc15377226"/>
      <w:r>
        <w:rPr>
          <w:rFonts w:hint="eastAsia" w:ascii="仿宋_GB2312" w:hAnsi="仿宋_GB2312" w:eastAsia="仿宋_GB2312" w:cs="仿宋_GB2312"/>
          <w:color w:val="000000"/>
          <w:sz w:val="32"/>
          <w:szCs w:val="32"/>
        </w:rPr>
        <w:t>财政应返还额度：为行政事业单位会计核算科目，用于核算实行国库集中支付的行政事业单位应收财政返还的资金额度。</w:t>
      </w:r>
    </w:p>
    <w:p w14:paraId="00EA5D5C">
      <w:pPr>
        <w:spacing w:line="600" w:lineRule="exact"/>
        <w:jc w:val="center"/>
        <w:outlineLvl w:val="0"/>
        <w:rPr>
          <w:rStyle w:val="22"/>
          <w:rFonts w:hint="eastAsia" w:ascii="方正小标宋简体" w:hAnsi="方正小标宋简体" w:eastAsia="方正小标宋简体" w:cs="方正小标宋简体"/>
          <w:b w:val="0"/>
        </w:rPr>
      </w:pPr>
      <w:bookmarkStart w:id="76" w:name="_Toc5963"/>
      <w:r>
        <w:rPr>
          <w:rFonts w:hint="eastAsia" w:ascii="方正小标宋简体" w:hAnsi="方正小标宋简体" w:eastAsia="方正小标宋简体" w:cs="方正小标宋简体"/>
          <w:sz w:val="44"/>
          <w:szCs w:val="44"/>
        </w:rPr>
        <w:t>第</w:t>
      </w:r>
      <w:r>
        <w:rPr>
          <w:rStyle w:val="22"/>
          <w:rFonts w:hint="eastAsia" w:ascii="方正小标宋简体" w:hAnsi="方正小标宋简体" w:eastAsia="方正小标宋简体" w:cs="方正小标宋简体"/>
          <w:b w:val="0"/>
        </w:rPr>
        <w:t>四部分 附件</w:t>
      </w:r>
      <w:bookmarkEnd w:id="74"/>
      <w:bookmarkEnd w:id="76"/>
    </w:p>
    <w:tbl>
      <w:tblPr>
        <w:tblStyle w:val="18"/>
        <w:tblpPr w:leftFromText="180" w:rightFromText="180" w:vertAnchor="text" w:horzAnchor="page" w:tblpX="742" w:tblpY="280"/>
        <w:tblOverlap w:val="never"/>
        <w:tblW w:w="1093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7"/>
        <w:gridCol w:w="1309"/>
        <w:gridCol w:w="1280"/>
        <w:gridCol w:w="1669"/>
        <w:gridCol w:w="515"/>
        <w:gridCol w:w="1172"/>
        <w:gridCol w:w="461"/>
        <w:gridCol w:w="1083"/>
        <w:gridCol w:w="756"/>
        <w:gridCol w:w="756"/>
        <w:gridCol w:w="1257"/>
      </w:tblGrid>
      <w:tr w14:paraId="20807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093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2A258FC">
            <w:pPr>
              <w:keepNext w:val="0"/>
              <w:keepLines w:val="0"/>
              <w:widowControl/>
              <w:suppressLineNumbers w:val="0"/>
              <w:jc w:val="center"/>
              <w:textAlignment w:val="center"/>
              <w:rPr>
                <w:rFonts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部门预算项目支出绩效自评表（2025年度）</w:t>
            </w:r>
          </w:p>
        </w:tc>
      </w:tr>
      <w:tr w14:paraId="47E45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3DB620">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8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89CABC1">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基层医疗卫生机构实施基本药物制度项目</w:t>
            </w:r>
          </w:p>
        </w:tc>
      </w:tr>
      <w:tr w14:paraId="1B0FE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FCC978">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50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D0E807">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茂县卫生健康局</w:t>
            </w:r>
          </w:p>
        </w:tc>
        <w:tc>
          <w:tcPr>
            <w:tcW w:w="1083" w:type="dxa"/>
            <w:tcBorders>
              <w:top w:val="nil"/>
              <w:left w:val="nil"/>
              <w:bottom w:val="nil"/>
              <w:right w:val="nil"/>
            </w:tcBorders>
            <w:shd w:val="clear" w:color="auto" w:fill="auto"/>
            <w:vAlign w:val="center"/>
          </w:tcPr>
          <w:p w14:paraId="51A689D4">
            <w:pPr>
              <w:keepNext w:val="0"/>
              <w:keepLines w:val="0"/>
              <w:widowControl/>
              <w:suppressLineNumbers w:val="0"/>
              <w:jc w:val="left"/>
              <w:textAlignment w:val="center"/>
              <w:rPr>
                <w:rFonts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实施单位 （盖章）</w:t>
            </w:r>
          </w:p>
        </w:tc>
        <w:tc>
          <w:tcPr>
            <w:tcW w:w="27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09D6A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茂县南新镇卫生院</w:t>
            </w:r>
          </w:p>
        </w:tc>
      </w:tr>
      <w:tr w14:paraId="2282C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1FEB67">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63E877">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50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8421D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385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A9BBBB">
            <w:pPr>
              <w:keepNext w:val="0"/>
              <w:keepLines w:val="0"/>
              <w:widowControl/>
              <w:suppressLineNumbers w:val="0"/>
              <w:jc w:val="center"/>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年度目标完成情况</w:t>
            </w:r>
          </w:p>
        </w:tc>
      </w:tr>
      <w:tr w14:paraId="7FF74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0"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71952"/>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DC1CE"/>
        </w:tc>
        <w:tc>
          <w:tcPr>
            <w:tcW w:w="50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639277">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6"/>
                <w:szCs w:val="16"/>
                <w:u w:val="none"/>
                <w:lang w:val="en-US" w:eastAsia="zh-CN"/>
              </w:rPr>
              <w:t>　</w:t>
            </w:r>
            <w:r>
              <w:rPr>
                <w:rFonts w:hint="eastAsia" w:ascii="宋体" w:eastAsia="宋体" w:cs="宋体"/>
                <w:i w:val="0"/>
                <w:iCs w:val="0"/>
                <w:color w:val="000000"/>
                <w:kern w:val="0"/>
                <w:sz w:val="16"/>
                <w:szCs w:val="16"/>
                <w:u w:val="none"/>
                <w:lang w:val="en-US" w:eastAsia="zh-CN"/>
              </w:rPr>
              <w:t>建立健全基层医疗卫生机构基本药物制度和落实多渠道基药补偿,让广大农牧民群众因病致贫、因病返贫、看病难、看病贵的问题得到有效缓解。</w:t>
            </w:r>
          </w:p>
        </w:tc>
        <w:tc>
          <w:tcPr>
            <w:tcW w:w="385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F4CB86">
            <w:pPr>
              <w:keepNext w:val="0"/>
              <w:keepLines w:val="0"/>
              <w:widowControl/>
              <w:suppressLineNumbers w:val="0"/>
              <w:jc w:val="left"/>
              <w:textAlignment w:val="center"/>
              <w:rPr>
                <w:rFonts w:hint="eastAsia" w:ascii="黑体" w:eastAsia="黑体" w:cs="黑体"/>
                <w:i w:val="0"/>
                <w:iCs w:val="0"/>
                <w:color w:val="000000"/>
                <w:sz w:val="12"/>
                <w:szCs w:val="12"/>
                <w:u w:val="none"/>
              </w:rPr>
            </w:pPr>
            <w:r>
              <w:rPr>
                <w:rFonts w:hint="eastAsia" w:ascii="黑体" w:eastAsia="黑体" w:cs="黑体"/>
                <w:i w:val="0"/>
                <w:iCs w:val="0"/>
                <w:color w:val="000000"/>
                <w:kern w:val="0"/>
                <w:sz w:val="16"/>
                <w:szCs w:val="16"/>
                <w:u w:val="none"/>
                <w:lang w:val="en-US" w:eastAsia="zh-CN"/>
              </w:rPr>
              <w:t>通过该项目的实施，切实缓解了广大农牧民群众“因病致贫”“因病返贫”看病难、看病贵问题，减轻了广大农牧民就医经济负担，得到了实实在在的好处。</w:t>
            </w:r>
          </w:p>
        </w:tc>
      </w:tr>
      <w:tr w14:paraId="7F702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C4A45"/>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BC1C4">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8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155BAA5">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eastAsia="宋体" w:cs="宋体"/>
                <w:i w:val="0"/>
                <w:iCs w:val="0"/>
                <w:color w:val="000000"/>
                <w:kern w:val="0"/>
                <w:sz w:val="16"/>
                <w:szCs w:val="16"/>
                <w:u w:val="none"/>
                <w:lang w:val="en-US" w:eastAsia="zh-CN"/>
              </w:rPr>
              <w:t>取消药品加成项目,有效缓解了全县农民群众因病致贫、因病返贫、看病难、看病贵的问题，全面提升了广大农民的健康水平，缩小城乡之间的差距。</w:t>
            </w:r>
          </w:p>
        </w:tc>
      </w:tr>
      <w:tr w14:paraId="6921C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7530E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126B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4480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FDDB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21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E0B5F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F16E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D6EF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919A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1745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77C9A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B97E8"/>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F129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55FD0">
            <w:pPr>
              <w:keepNext w:val="0"/>
              <w:keepLines w:val="0"/>
              <w:widowControl/>
              <w:suppressLineNumbers w:val="0"/>
              <w:jc w:val="center"/>
              <w:textAlignment w:val="center"/>
              <w:rPr>
                <w:rFonts w:ascii="宋体" w:eastAsia="宋体" w:cs="宋体"/>
                <w:i w:val="0"/>
                <w:iCs w:val="0"/>
                <w:color w:val="000000"/>
                <w:sz w:val="18"/>
                <w:szCs w:val="18"/>
                <w:u w:val="none"/>
                <w:lang w:val="en-US"/>
              </w:rPr>
            </w:pPr>
            <w:r>
              <w:rPr>
                <w:rFonts w:hint="eastAsia" w:ascii="宋体" w:cs="宋体"/>
                <w:i w:val="0"/>
                <w:iCs w:val="0"/>
                <w:color w:val="000000"/>
                <w:kern w:val="0"/>
                <w:sz w:val="18"/>
                <w:szCs w:val="18"/>
                <w:u w:val="none"/>
                <w:lang w:val="en-US" w:eastAsia="zh-CN"/>
              </w:rPr>
              <w:t>2.08</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3ACDE">
            <w:pPr>
              <w:keepNext w:val="0"/>
              <w:keepLines w:val="0"/>
              <w:widowControl/>
              <w:suppressLineNumbers w:val="0"/>
              <w:jc w:val="center"/>
              <w:textAlignment w:val="center"/>
              <w:rPr>
                <w:rFonts w:hint="default" w:ascii="宋体" w:eastAsia="宋体" w:cs="宋体"/>
                <w:i w:val="0"/>
                <w:iCs w:val="0"/>
                <w:color w:val="000000"/>
                <w:sz w:val="18"/>
                <w:szCs w:val="18"/>
                <w:u w:val="none"/>
                <w:lang w:val="en-US"/>
              </w:rPr>
            </w:pPr>
            <w:r>
              <w:rPr>
                <w:rFonts w:hint="eastAsia" w:ascii="宋体" w:cs="宋体"/>
                <w:i w:val="0"/>
                <w:iCs w:val="0"/>
                <w:color w:val="000000"/>
                <w:kern w:val="0"/>
                <w:sz w:val="18"/>
                <w:szCs w:val="18"/>
                <w:u w:val="none"/>
                <w:lang w:val="en-US" w:eastAsia="zh-CN"/>
              </w:rPr>
              <w:t>2.08</w:t>
            </w:r>
          </w:p>
        </w:tc>
        <w:tc>
          <w:tcPr>
            <w:tcW w:w="21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261F2B">
            <w:pPr>
              <w:keepNext w:val="0"/>
              <w:keepLines w:val="0"/>
              <w:widowControl/>
              <w:suppressLineNumbers w:val="0"/>
              <w:jc w:val="center"/>
              <w:textAlignment w:val="center"/>
              <w:rPr>
                <w:rFonts w:hint="default" w:ascii="宋体" w:eastAsia="宋体" w:cs="宋体"/>
                <w:i w:val="0"/>
                <w:iCs w:val="0"/>
                <w:color w:val="000000"/>
                <w:sz w:val="18"/>
                <w:szCs w:val="18"/>
                <w:u w:val="none"/>
                <w:lang w:val="en-US"/>
              </w:rPr>
            </w:pPr>
            <w:r>
              <w:rPr>
                <w:rFonts w:hint="eastAsia" w:ascii="宋体" w:cs="宋体"/>
                <w:i w:val="0"/>
                <w:iCs w:val="0"/>
                <w:color w:val="000000"/>
                <w:kern w:val="0"/>
                <w:sz w:val="18"/>
                <w:szCs w:val="18"/>
                <w:u w:val="none"/>
                <w:lang w:val="en-US" w:eastAsia="zh-CN"/>
              </w:rPr>
              <w:t>2.08</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1FA8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2099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5458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2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F44F27">
            <w:pPr>
              <w:rPr>
                <w:rFonts w:hint="eastAsia" w:ascii="黑体" w:eastAsia="黑体" w:cs="黑体"/>
                <w:i/>
                <w:iCs/>
                <w:color w:val="000000"/>
                <w:sz w:val="18"/>
                <w:szCs w:val="18"/>
                <w:u w:val="none"/>
              </w:rPr>
            </w:pPr>
          </w:p>
        </w:tc>
      </w:tr>
      <w:tr w14:paraId="3FEA6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1BF9F3"/>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E80C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F115A">
            <w:pPr>
              <w:keepNext w:val="0"/>
              <w:keepLines w:val="0"/>
              <w:widowControl/>
              <w:suppressLineNumbers w:val="0"/>
              <w:jc w:val="center"/>
              <w:textAlignment w:val="center"/>
              <w:rPr>
                <w:rFonts w:ascii="宋体" w:eastAsia="宋体" w:cs="宋体"/>
                <w:i w:val="0"/>
                <w:iCs w:val="0"/>
                <w:color w:val="000000"/>
                <w:sz w:val="18"/>
                <w:szCs w:val="18"/>
                <w:u w:val="none"/>
                <w:lang w:val="en-US"/>
              </w:rPr>
            </w:pPr>
            <w:r>
              <w:rPr>
                <w:rFonts w:hint="eastAsia" w:ascii="宋体" w:cs="宋体"/>
                <w:i w:val="0"/>
                <w:iCs w:val="0"/>
                <w:color w:val="000000"/>
                <w:kern w:val="0"/>
                <w:sz w:val="18"/>
                <w:szCs w:val="18"/>
                <w:u w:val="none"/>
                <w:lang w:val="en-US" w:eastAsia="zh-CN"/>
              </w:rPr>
              <w:t>2.08</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FA598">
            <w:pPr>
              <w:keepNext w:val="0"/>
              <w:keepLines w:val="0"/>
              <w:widowControl/>
              <w:suppressLineNumbers w:val="0"/>
              <w:jc w:val="center"/>
              <w:textAlignment w:val="center"/>
              <w:rPr>
                <w:rFonts w:hint="default" w:ascii="宋体" w:eastAsia="宋体" w:cs="宋体"/>
                <w:i w:val="0"/>
                <w:iCs w:val="0"/>
                <w:color w:val="000000"/>
                <w:sz w:val="18"/>
                <w:szCs w:val="18"/>
                <w:u w:val="none"/>
                <w:lang w:val="en-US"/>
              </w:rPr>
            </w:pPr>
            <w:r>
              <w:rPr>
                <w:rFonts w:hint="eastAsia" w:ascii="宋体" w:cs="宋体"/>
                <w:i w:val="0"/>
                <w:iCs w:val="0"/>
                <w:color w:val="000000"/>
                <w:kern w:val="0"/>
                <w:sz w:val="18"/>
                <w:szCs w:val="18"/>
                <w:u w:val="none"/>
                <w:lang w:val="en-US" w:eastAsia="zh-CN"/>
              </w:rPr>
              <w:t>2.08</w:t>
            </w:r>
          </w:p>
        </w:tc>
        <w:tc>
          <w:tcPr>
            <w:tcW w:w="21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392B7D">
            <w:pPr>
              <w:keepNext w:val="0"/>
              <w:keepLines w:val="0"/>
              <w:widowControl/>
              <w:suppressLineNumbers w:val="0"/>
              <w:jc w:val="center"/>
              <w:textAlignment w:val="center"/>
              <w:rPr>
                <w:rFonts w:hint="default" w:ascii="宋体" w:eastAsia="宋体" w:cs="宋体"/>
                <w:i w:val="0"/>
                <w:iCs w:val="0"/>
                <w:color w:val="000000"/>
                <w:sz w:val="18"/>
                <w:szCs w:val="18"/>
                <w:u w:val="none"/>
                <w:lang w:val="en-US"/>
              </w:rPr>
            </w:pPr>
            <w:r>
              <w:rPr>
                <w:rFonts w:hint="eastAsia" w:ascii="宋体" w:cs="宋体"/>
                <w:i w:val="0"/>
                <w:iCs w:val="0"/>
                <w:color w:val="000000"/>
                <w:kern w:val="0"/>
                <w:sz w:val="18"/>
                <w:szCs w:val="18"/>
                <w:u w:val="none"/>
                <w:lang w:val="en-US" w:eastAsia="zh-CN"/>
              </w:rPr>
              <w:t>2.08</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C73C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3070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6574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2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F5853"/>
        </w:tc>
      </w:tr>
      <w:tr w14:paraId="00FC0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DB2DE"/>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2F00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3600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AAB59">
            <w:pPr>
              <w:jc w:val="center"/>
              <w:rPr>
                <w:rFonts w:hint="eastAsia" w:ascii="宋体" w:eastAsia="宋体" w:cs="宋体"/>
                <w:i w:val="0"/>
                <w:iCs w:val="0"/>
                <w:color w:val="000000"/>
                <w:sz w:val="18"/>
                <w:szCs w:val="18"/>
                <w:u w:val="none"/>
              </w:rPr>
            </w:pPr>
          </w:p>
        </w:tc>
        <w:tc>
          <w:tcPr>
            <w:tcW w:w="21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642F12">
            <w:pPr>
              <w:jc w:val="center"/>
              <w:rPr>
                <w:rFonts w:hint="eastAsia" w:asci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86AF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E523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97D3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2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9E7B4"/>
        </w:tc>
      </w:tr>
      <w:tr w14:paraId="07299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2705C0"/>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BE85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E0E4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52873">
            <w:pPr>
              <w:jc w:val="center"/>
              <w:rPr>
                <w:rFonts w:hint="eastAsia" w:ascii="宋体" w:eastAsia="宋体" w:cs="宋体"/>
                <w:i w:val="0"/>
                <w:iCs w:val="0"/>
                <w:color w:val="000000"/>
                <w:sz w:val="18"/>
                <w:szCs w:val="18"/>
                <w:u w:val="none"/>
              </w:rPr>
            </w:pPr>
          </w:p>
        </w:tc>
        <w:tc>
          <w:tcPr>
            <w:tcW w:w="21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0C64F9">
            <w:pPr>
              <w:jc w:val="center"/>
              <w:rPr>
                <w:rFonts w:hint="eastAsia" w:asci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9C72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AEEC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75A0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2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78466"/>
        </w:tc>
      </w:tr>
      <w:tr w14:paraId="34D76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995C7"/>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EC1D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92EE6">
            <w:pPr>
              <w:jc w:val="center"/>
              <w:rPr>
                <w:rFonts w:hint="eastAsia" w:ascii="微软雅黑" w:eastAsia="微软雅黑" w:cs="微软雅黑"/>
                <w:i/>
                <w:iCs/>
                <w:color w:val="000000"/>
                <w:sz w:val="16"/>
                <w:szCs w:val="16"/>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1C18E">
            <w:pPr>
              <w:jc w:val="center"/>
              <w:rPr>
                <w:rFonts w:hint="eastAsia" w:ascii="微软雅黑" w:eastAsia="微软雅黑" w:cs="微软雅黑"/>
                <w:i/>
                <w:iCs/>
                <w:color w:val="000000"/>
                <w:sz w:val="16"/>
                <w:szCs w:val="16"/>
                <w:u w:val="none"/>
              </w:rPr>
            </w:pPr>
          </w:p>
        </w:tc>
        <w:tc>
          <w:tcPr>
            <w:tcW w:w="21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89CC7C">
            <w:pPr>
              <w:jc w:val="center"/>
              <w:rPr>
                <w:rFonts w:hint="eastAsia" w:ascii="微软雅黑" w:eastAsia="微软雅黑" w:cs="微软雅黑"/>
                <w:i/>
                <w:iCs/>
                <w:color w:val="000000"/>
                <w:sz w:val="16"/>
                <w:szCs w:val="16"/>
                <w:u w:val="none"/>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0D47A">
            <w:pPr>
              <w:jc w:val="center"/>
              <w:rPr>
                <w:rFonts w:hint="eastAsia" w:ascii="微软雅黑" w:eastAsia="微软雅黑" w:cs="微软雅黑"/>
                <w:i/>
                <w:iCs/>
                <w:color w:val="000000"/>
                <w:sz w:val="16"/>
                <w:szCs w:val="16"/>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540A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3283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2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15498"/>
        </w:tc>
      </w:tr>
      <w:tr w14:paraId="1BCD8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8D7CD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FC25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DC77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D128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0A68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B954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BC32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768B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ACC3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982E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E855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5A737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541247"/>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B5BE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CC8C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5856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实施基本药物制度的村卫生室占比</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F3C97">
            <w:pPr>
              <w:keepNext w:val="0"/>
              <w:keepLines w:val="0"/>
              <w:widowControl/>
              <w:suppressLineNumbers w:val="0"/>
              <w:jc w:val="center"/>
              <w:textAlignment w:val="center"/>
              <w:rPr>
                <w:rFonts w:ascii="宋体" w:eastAsia="宋体" w:cs="宋体"/>
                <w:i w:val="0"/>
                <w:iCs w:val="0"/>
                <w:color w:val="000000"/>
                <w:sz w:val="18"/>
                <w:szCs w:val="18"/>
                <w:u w:val="none"/>
              </w:rPr>
            </w:pPr>
            <w:r>
              <w:rPr>
                <w:rStyle w:val="31"/>
                <w:lang w:val="en-US" w:eastAsia="zh-CN"/>
              </w:rPr>
              <w:t>＝</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8F1D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295B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D8FC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1BA4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E40D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351CD">
            <w:pPr>
              <w:jc w:val="center"/>
              <w:rPr>
                <w:rFonts w:hint="eastAsia" w:ascii="宋体" w:eastAsia="宋体" w:cs="宋体"/>
                <w:i w:val="0"/>
                <w:iCs w:val="0"/>
                <w:color w:val="000000"/>
                <w:sz w:val="18"/>
                <w:szCs w:val="18"/>
                <w:u w:val="none"/>
              </w:rPr>
            </w:pPr>
          </w:p>
        </w:tc>
      </w:tr>
      <w:tr w14:paraId="5E83F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BA94A5"/>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547B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C836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AF6A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实施基本药物制度的政府办基层医疗卫生机构占比</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9C0B5">
            <w:pPr>
              <w:keepNext w:val="0"/>
              <w:keepLines w:val="0"/>
              <w:widowControl/>
              <w:suppressLineNumbers w:val="0"/>
              <w:jc w:val="center"/>
              <w:textAlignment w:val="center"/>
              <w:rPr>
                <w:rFonts w:ascii="宋体" w:eastAsia="宋体" w:cs="宋体"/>
                <w:i w:val="0"/>
                <w:iCs w:val="0"/>
                <w:color w:val="000000"/>
                <w:sz w:val="18"/>
                <w:szCs w:val="18"/>
                <w:u w:val="none"/>
              </w:rPr>
            </w:pPr>
            <w:r>
              <w:rPr>
                <w:rStyle w:val="31"/>
                <w:lang w:val="en-US" w:eastAsia="zh-CN"/>
              </w:rPr>
              <w:t>＝</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8D35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2658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5903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29A0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5113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7F88B">
            <w:pPr>
              <w:jc w:val="center"/>
              <w:rPr>
                <w:rFonts w:hint="eastAsia" w:ascii="宋体" w:eastAsia="宋体" w:cs="宋体"/>
                <w:i w:val="0"/>
                <w:iCs w:val="0"/>
                <w:color w:val="000000"/>
                <w:sz w:val="18"/>
                <w:szCs w:val="18"/>
                <w:u w:val="none"/>
              </w:rPr>
            </w:pPr>
          </w:p>
        </w:tc>
      </w:tr>
      <w:tr w14:paraId="05EBE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A7CC6"/>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6B7B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2203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F4D1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基层医疗卫生机构“优质服务基层行”活动开展评价机构数比例</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BA616">
            <w:pPr>
              <w:keepNext w:val="0"/>
              <w:keepLines w:val="0"/>
              <w:widowControl/>
              <w:suppressLineNumbers w:val="0"/>
              <w:jc w:val="center"/>
              <w:textAlignment w:val="center"/>
              <w:rPr>
                <w:rFonts w:ascii="宋体" w:eastAsia="宋体" w:cs="宋体"/>
                <w:i w:val="0"/>
                <w:iCs w:val="0"/>
                <w:color w:val="000000"/>
                <w:sz w:val="18"/>
                <w:szCs w:val="18"/>
                <w:u w:val="none"/>
              </w:rPr>
            </w:pPr>
            <w:r>
              <w:rPr>
                <w:rStyle w:val="31"/>
                <w:lang w:val="en-US" w:eastAsia="zh-CN"/>
              </w:rPr>
              <w:t>≥</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8823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D3A6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01EB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0A36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FF57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10133">
            <w:pPr>
              <w:jc w:val="center"/>
              <w:rPr>
                <w:rFonts w:hint="eastAsia" w:ascii="宋体" w:eastAsia="宋体" w:cs="宋体"/>
                <w:i w:val="0"/>
                <w:iCs w:val="0"/>
                <w:color w:val="000000"/>
                <w:sz w:val="18"/>
                <w:szCs w:val="18"/>
                <w:u w:val="none"/>
              </w:rPr>
            </w:pPr>
          </w:p>
        </w:tc>
      </w:tr>
      <w:tr w14:paraId="6EB83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A7C462"/>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8D59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0728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8F25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乡村医生收入</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EAEF9">
            <w:pPr>
              <w:keepNext w:val="0"/>
              <w:keepLines w:val="0"/>
              <w:widowControl/>
              <w:suppressLineNumbers w:val="0"/>
              <w:jc w:val="center"/>
              <w:textAlignment w:val="center"/>
              <w:rPr>
                <w:rFonts w:ascii="宋体" w:eastAsia="宋体" w:cs="宋体"/>
                <w:i w:val="0"/>
                <w:iCs w:val="0"/>
                <w:color w:val="000000"/>
                <w:sz w:val="18"/>
                <w:szCs w:val="18"/>
                <w:u w:val="none"/>
              </w:rPr>
            </w:pPr>
            <w:r>
              <w:rPr>
                <w:rStyle w:val="31"/>
                <w:lang w:val="en-US" w:eastAsia="zh-CN"/>
              </w:rPr>
              <w:t>定性</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27171">
            <w:pPr>
              <w:keepNext w:val="0"/>
              <w:keepLines w:val="0"/>
              <w:widowControl/>
              <w:suppressLineNumbers w:val="0"/>
              <w:jc w:val="center"/>
              <w:textAlignment w:val="center"/>
              <w:rPr>
                <w:rFonts w:ascii="宋体" w:eastAsia="宋体" w:cs="宋体"/>
                <w:i w:val="0"/>
                <w:iCs w:val="0"/>
                <w:color w:val="000000"/>
                <w:sz w:val="18"/>
                <w:szCs w:val="18"/>
                <w:u w:val="none"/>
              </w:rPr>
            </w:pPr>
            <w:r>
              <w:rPr>
                <w:rStyle w:val="31"/>
                <w:lang w:val="en-US" w:eastAsia="zh-CN"/>
              </w:rPr>
              <w:t>保持稳定</w:t>
            </w: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B12D1">
            <w:pPr>
              <w:jc w:val="center"/>
              <w:rPr>
                <w:rFonts w:hint="eastAsia" w:asci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F4E76">
            <w:pPr>
              <w:keepNext w:val="0"/>
              <w:keepLines w:val="0"/>
              <w:widowControl/>
              <w:suppressLineNumbers w:val="0"/>
              <w:jc w:val="center"/>
              <w:textAlignment w:val="center"/>
              <w:rPr>
                <w:rFonts w:ascii="宋体" w:eastAsia="宋体" w:cs="宋体"/>
                <w:i w:val="0"/>
                <w:iCs w:val="0"/>
                <w:color w:val="000000"/>
                <w:sz w:val="18"/>
                <w:szCs w:val="18"/>
                <w:u w:val="none"/>
              </w:rPr>
            </w:pPr>
            <w:r>
              <w:rPr>
                <w:rStyle w:val="31"/>
                <w:lang w:val="en-US" w:eastAsia="zh-CN"/>
              </w:rPr>
              <w:t>保持稳定</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384A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E59F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EF45B">
            <w:pPr>
              <w:jc w:val="center"/>
              <w:rPr>
                <w:rFonts w:hint="eastAsia" w:ascii="宋体" w:eastAsia="宋体" w:cs="宋体"/>
                <w:i w:val="0"/>
                <w:iCs w:val="0"/>
                <w:color w:val="000000"/>
                <w:sz w:val="18"/>
                <w:szCs w:val="18"/>
                <w:u w:val="none"/>
              </w:rPr>
            </w:pPr>
          </w:p>
        </w:tc>
      </w:tr>
      <w:tr w14:paraId="665BB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7EDCF"/>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24FC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497B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可持续影响指标</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A334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基本药物制度在基层持续实施</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DED04">
            <w:pPr>
              <w:keepNext w:val="0"/>
              <w:keepLines w:val="0"/>
              <w:widowControl/>
              <w:suppressLineNumbers w:val="0"/>
              <w:jc w:val="center"/>
              <w:textAlignment w:val="center"/>
              <w:rPr>
                <w:rFonts w:ascii="宋体" w:eastAsia="宋体" w:cs="宋体"/>
                <w:i w:val="0"/>
                <w:iCs w:val="0"/>
                <w:color w:val="000000"/>
                <w:sz w:val="18"/>
                <w:szCs w:val="18"/>
                <w:u w:val="none"/>
              </w:rPr>
            </w:pPr>
            <w:r>
              <w:rPr>
                <w:rStyle w:val="31"/>
                <w:lang w:val="en-US" w:eastAsia="zh-CN"/>
              </w:rPr>
              <w:t>定性</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1B0F0">
            <w:pPr>
              <w:keepNext w:val="0"/>
              <w:keepLines w:val="0"/>
              <w:widowControl/>
              <w:suppressLineNumbers w:val="0"/>
              <w:jc w:val="center"/>
              <w:textAlignment w:val="center"/>
              <w:rPr>
                <w:rFonts w:ascii="宋体" w:eastAsia="宋体" w:cs="宋体"/>
                <w:i w:val="0"/>
                <w:iCs w:val="0"/>
                <w:color w:val="000000"/>
                <w:sz w:val="18"/>
                <w:szCs w:val="18"/>
                <w:u w:val="none"/>
              </w:rPr>
            </w:pPr>
            <w:r>
              <w:rPr>
                <w:rStyle w:val="31"/>
                <w:lang w:val="en-US" w:eastAsia="zh-CN"/>
              </w:rPr>
              <w:t>中长期</w:t>
            </w: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EFB09">
            <w:pPr>
              <w:jc w:val="center"/>
              <w:rPr>
                <w:rFonts w:hint="eastAsia" w:asci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49074">
            <w:pPr>
              <w:keepNext w:val="0"/>
              <w:keepLines w:val="0"/>
              <w:widowControl/>
              <w:suppressLineNumbers w:val="0"/>
              <w:jc w:val="center"/>
              <w:textAlignment w:val="center"/>
              <w:rPr>
                <w:rFonts w:ascii="宋体" w:eastAsia="宋体" w:cs="宋体"/>
                <w:i w:val="0"/>
                <w:iCs w:val="0"/>
                <w:color w:val="000000"/>
                <w:sz w:val="18"/>
                <w:szCs w:val="18"/>
                <w:u w:val="none"/>
              </w:rPr>
            </w:pPr>
            <w:r>
              <w:rPr>
                <w:rStyle w:val="31"/>
                <w:lang w:val="en-US" w:eastAsia="zh-CN"/>
              </w:rPr>
              <w:t>中长期</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E3D1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F466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D52B0">
            <w:pPr>
              <w:jc w:val="center"/>
              <w:rPr>
                <w:rFonts w:hint="eastAsia" w:ascii="宋体" w:eastAsia="宋体" w:cs="宋体"/>
                <w:i w:val="0"/>
                <w:iCs w:val="0"/>
                <w:color w:val="000000"/>
                <w:sz w:val="18"/>
                <w:szCs w:val="18"/>
                <w:u w:val="none"/>
              </w:rPr>
            </w:pPr>
          </w:p>
        </w:tc>
      </w:tr>
      <w:tr w14:paraId="66ED7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6BBFF"/>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3550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DA2B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CD71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对基本药物制度补助满意度</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8B945">
            <w:pPr>
              <w:keepNext w:val="0"/>
              <w:keepLines w:val="0"/>
              <w:widowControl/>
              <w:suppressLineNumbers w:val="0"/>
              <w:jc w:val="center"/>
              <w:textAlignment w:val="center"/>
              <w:rPr>
                <w:rFonts w:ascii="宋体" w:eastAsia="宋体" w:cs="宋体"/>
                <w:i w:val="0"/>
                <w:iCs w:val="0"/>
                <w:color w:val="000000"/>
                <w:sz w:val="18"/>
                <w:szCs w:val="18"/>
                <w:u w:val="none"/>
              </w:rPr>
            </w:pPr>
            <w:r>
              <w:rPr>
                <w:rStyle w:val="31"/>
                <w:lang w:val="en-US" w:eastAsia="zh-CN"/>
              </w:rPr>
              <w:t>≥</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426B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80</w:t>
            </w: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4B44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5233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86D9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E495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C5660">
            <w:pPr>
              <w:jc w:val="center"/>
              <w:rPr>
                <w:rFonts w:hint="eastAsia" w:ascii="宋体" w:eastAsia="宋体" w:cs="宋体"/>
                <w:i w:val="0"/>
                <w:iCs w:val="0"/>
                <w:color w:val="000000"/>
                <w:sz w:val="18"/>
                <w:szCs w:val="18"/>
                <w:u w:val="none"/>
              </w:rPr>
            </w:pPr>
          </w:p>
        </w:tc>
      </w:tr>
      <w:tr w14:paraId="1BF3C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0FA9D"/>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BCB8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0079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F2C3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医院医务人员满意度</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EFFA6">
            <w:pPr>
              <w:keepNext w:val="0"/>
              <w:keepLines w:val="0"/>
              <w:widowControl/>
              <w:suppressLineNumbers w:val="0"/>
              <w:jc w:val="center"/>
              <w:textAlignment w:val="center"/>
              <w:rPr>
                <w:rFonts w:ascii="宋体" w:eastAsia="宋体" w:cs="宋体"/>
                <w:i w:val="0"/>
                <w:iCs w:val="0"/>
                <w:color w:val="000000"/>
                <w:sz w:val="18"/>
                <w:szCs w:val="18"/>
                <w:u w:val="none"/>
              </w:rPr>
            </w:pPr>
            <w:r>
              <w:rPr>
                <w:rStyle w:val="31"/>
                <w:lang w:val="en-US" w:eastAsia="zh-CN"/>
              </w:rPr>
              <w:t>≥</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8694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80</w:t>
            </w: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C62B2">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466C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3566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25A0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110BB">
            <w:pPr>
              <w:jc w:val="center"/>
              <w:rPr>
                <w:rFonts w:hint="eastAsia" w:ascii="宋体" w:eastAsia="宋体" w:cs="宋体"/>
                <w:i w:val="0"/>
                <w:iCs w:val="0"/>
                <w:color w:val="000000"/>
                <w:sz w:val="18"/>
                <w:szCs w:val="18"/>
                <w:u w:val="none"/>
              </w:rPr>
            </w:pPr>
          </w:p>
        </w:tc>
      </w:tr>
      <w:tr w14:paraId="3D309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12AC3"/>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0DF58">
            <w:pPr>
              <w:jc w:val="center"/>
              <w:rPr>
                <w:rFonts w:hint="eastAsia" w:ascii="宋体" w:eastAsia="宋体" w:cs="宋体"/>
                <w:i w:val="0"/>
                <w:iCs w:val="0"/>
                <w:color w:val="000000"/>
                <w:sz w:val="18"/>
                <w:szCs w:val="18"/>
                <w:u w:val="none"/>
              </w:rPr>
            </w:pP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613D7">
            <w:pPr>
              <w:jc w:val="center"/>
              <w:rPr>
                <w:rFonts w:hint="eastAsia" w:ascii="宋体" w:eastAsia="宋体" w:cs="宋体"/>
                <w:i w:val="0"/>
                <w:iCs w:val="0"/>
                <w:color w:val="000000"/>
                <w:sz w:val="18"/>
                <w:szCs w:val="18"/>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41A07">
            <w:pPr>
              <w:jc w:val="center"/>
              <w:rPr>
                <w:rFonts w:hint="eastAsia" w:ascii="宋体" w:eastAsia="宋体" w:cs="宋体"/>
                <w:i w:val="0"/>
                <w:iCs w:val="0"/>
                <w:color w:val="000000"/>
                <w:sz w:val="18"/>
                <w:szCs w:val="18"/>
                <w:u w:val="none"/>
              </w:rPr>
            </w:pP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CA3AF">
            <w:pPr>
              <w:jc w:val="center"/>
              <w:rPr>
                <w:rFonts w:hint="eastAsia" w:ascii="宋体" w:eastAsia="宋体" w:cs="宋体"/>
                <w:i w:val="0"/>
                <w:iCs w:val="0"/>
                <w:color w:val="000000"/>
                <w:sz w:val="18"/>
                <w:szCs w:val="18"/>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8D68C">
            <w:pPr>
              <w:jc w:val="center"/>
              <w:rPr>
                <w:rFonts w:hint="eastAsia" w:ascii="宋体" w:eastAsia="宋体" w:cs="宋体"/>
                <w:i w:val="0"/>
                <w:iCs w:val="0"/>
                <w:color w:val="000000"/>
                <w:sz w:val="18"/>
                <w:szCs w:val="18"/>
                <w:u w:val="none"/>
              </w:rPr>
            </w:pP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F0CE8">
            <w:pPr>
              <w:jc w:val="center"/>
              <w:rPr>
                <w:rFonts w:hint="eastAsia" w:asci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E73F7">
            <w:pPr>
              <w:jc w:val="center"/>
              <w:rPr>
                <w:rFonts w:hint="eastAsia" w:ascii="微软雅黑" w:eastAsia="微软雅黑" w:cs="微软雅黑"/>
                <w:i/>
                <w:iCs/>
                <w:color w:val="000000"/>
                <w:sz w:val="16"/>
                <w:szCs w:val="16"/>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30897">
            <w:pPr>
              <w:jc w:val="center"/>
              <w:rPr>
                <w:rFonts w:hint="eastAsia" w:asci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76393">
            <w:pPr>
              <w:jc w:val="center"/>
              <w:rPr>
                <w:rFonts w:hint="eastAsia" w:ascii="宋体" w:eastAsia="宋体" w:cs="宋体"/>
                <w:i w:val="0"/>
                <w:iCs w:val="0"/>
                <w:color w:val="000000"/>
                <w:sz w:val="18"/>
                <w:szCs w:val="18"/>
                <w:u w:val="none"/>
              </w:rPr>
            </w:pP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D4598">
            <w:pPr>
              <w:jc w:val="center"/>
              <w:rPr>
                <w:rFonts w:hint="eastAsia" w:ascii="微软雅黑" w:eastAsia="微软雅黑" w:cs="微软雅黑"/>
                <w:i/>
                <w:iCs/>
                <w:color w:val="000000"/>
                <w:sz w:val="16"/>
                <w:szCs w:val="16"/>
                <w:u w:val="none"/>
              </w:rPr>
            </w:pPr>
          </w:p>
        </w:tc>
      </w:tr>
      <w:tr w14:paraId="62F4C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16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535DD0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BC98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069F0">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B681E">
            <w:pPr>
              <w:rPr>
                <w:rFonts w:hint="eastAsia" w:ascii="宋体" w:eastAsia="宋体" w:cs="宋体"/>
                <w:i w:val="0"/>
                <w:iCs w:val="0"/>
                <w:color w:val="000000"/>
                <w:sz w:val="18"/>
                <w:szCs w:val="18"/>
                <w:u w:val="none"/>
              </w:rPr>
            </w:pPr>
          </w:p>
        </w:tc>
      </w:tr>
      <w:tr w14:paraId="7B5C6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28D5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1025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AF5312C">
            <w:pPr>
              <w:keepNext w:val="0"/>
              <w:keepLines w:val="0"/>
              <w:widowControl/>
              <w:suppressLineNumbers w:val="0"/>
              <w:jc w:val="left"/>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切实缓解广大农牧民群众“因病致贫”、“因病返贫”问题的重要途径，就医经济负担有所减轻，农民得到了实实在在的好处，全面提升了广大农民的健康水平缩小城乡之间的差距</w:t>
            </w:r>
          </w:p>
        </w:tc>
      </w:tr>
      <w:tr w14:paraId="06983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10FB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1025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3FD9C1E">
            <w:pPr>
              <w:rPr>
                <w:rFonts w:hint="eastAsia" w:ascii="微软雅黑" w:eastAsia="微软雅黑" w:cs="微软雅黑"/>
                <w:i/>
                <w:iCs/>
                <w:color w:val="000000"/>
                <w:sz w:val="16"/>
                <w:szCs w:val="16"/>
                <w:u w:val="none"/>
              </w:rPr>
            </w:pPr>
          </w:p>
        </w:tc>
      </w:tr>
      <w:tr w14:paraId="3C78E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0565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1025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D8D0859">
            <w:pPr>
              <w:rPr>
                <w:rFonts w:hint="eastAsia" w:ascii="微软雅黑" w:eastAsia="微软雅黑" w:cs="微软雅黑"/>
                <w:i/>
                <w:iCs/>
                <w:color w:val="000000"/>
                <w:sz w:val="16"/>
                <w:szCs w:val="16"/>
                <w:u w:val="none"/>
              </w:rPr>
            </w:pPr>
          </w:p>
        </w:tc>
      </w:tr>
      <w:tr w14:paraId="5D81B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4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6B13DB">
            <w:pPr>
              <w:keepNext w:val="0"/>
              <w:keepLines w:val="0"/>
              <w:widowControl/>
              <w:suppressLineNumbers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项目负责人：孟国兵</w:t>
            </w:r>
          </w:p>
        </w:tc>
        <w:tc>
          <w:tcPr>
            <w:tcW w:w="548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D48BD9C">
            <w:pPr>
              <w:keepNext w:val="0"/>
              <w:keepLines w:val="0"/>
              <w:widowControl/>
              <w:suppressLineNumbers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财务负责人：苏忠琼</w:t>
            </w:r>
          </w:p>
        </w:tc>
      </w:tr>
      <w:tr w14:paraId="20E82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7" w:type="dxa"/>
            <w:tcBorders>
              <w:top w:val="nil"/>
              <w:left w:val="nil"/>
              <w:bottom w:val="nil"/>
              <w:right w:val="nil"/>
            </w:tcBorders>
            <w:shd w:val="clear" w:color="auto" w:fill="auto"/>
            <w:vAlign w:val="center"/>
          </w:tcPr>
          <w:p w14:paraId="4EB8CB24">
            <w:pPr>
              <w:rPr>
                <w:rFonts w:hint="eastAsia" w:ascii="宋体" w:eastAsia="宋体" w:cs="宋体"/>
                <w:i w:val="0"/>
                <w:iCs w:val="0"/>
                <w:color w:val="000000"/>
                <w:sz w:val="18"/>
                <w:szCs w:val="18"/>
                <w:u w:val="none"/>
              </w:rPr>
            </w:pPr>
          </w:p>
        </w:tc>
        <w:tc>
          <w:tcPr>
            <w:tcW w:w="1309" w:type="dxa"/>
            <w:tcBorders>
              <w:top w:val="nil"/>
              <w:left w:val="nil"/>
              <w:bottom w:val="nil"/>
              <w:right w:val="nil"/>
            </w:tcBorders>
            <w:shd w:val="clear" w:color="auto" w:fill="auto"/>
            <w:vAlign w:val="center"/>
          </w:tcPr>
          <w:p w14:paraId="7CD0C979">
            <w:pPr>
              <w:rPr>
                <w:rFonts w:hint="eastAsia" w:ascii="宋体" w:eastAsia="宋体" w:cs="宋体"/>
                <w:i w:val="0"/>
                <w:iCs w:val="0"/>
                <w:color w:val="000000"/>
                <w:sz w:val="18"/>
                <w:szCs w:val="18"/>
                <w:u w:val="none"/>
              </w:rPr>
            </w:pPr>
          </w:p>
        </w:tc>
        <w:tc>
          <w:tcPr>
            <w:tcW w:w="1280" w:type="dxa"/>
            <w:tcBorders>
              <w:top w:val="nil"/>
              <w:left w:val="nil"/>
              <w:bottom w:val="nil"/>
              <w:right w:val="nil"/>
            </w:tcBorders>
            <w:shd w:val="clear" w:color="auto" w:fill="auto"/>
            <w:vAlign w:val="center"/>
          </w:tcPr>
          <w:p w14:paraId="1EEFCF61">
            <w:pPr>
              <w:rPr>
                <w:rFonts w:hint="eastAsia" w:ascii="宋体" w:eastAsia="宋体" w:cs="宋体"/>
                <w:i w:val="0"/>
                <w:iCs w:val="0"/>
                <w:color w:val="000000"/>
                <w:sz w:val="18"/>
                <w:szCs w:val="18"/>
                <w:u w:val="none"/>
              </w:rPr>
            </w:pPr>
          </w:p>
        </w:tc>
        <w:tc>
          <w:tcPr>
            <w:tcW w:w="1669" w:type="dxa"/>
            <w:tcBorders>
              <w:top w:val="nil"/>
              <w:left w:val="nil"/>
              <w:bottom w:val="nil"/>
              <w:right w:val="nil"/>
            </w:tcBorders>
            <w:shd w:val="clear" w:color="auto" w:fill="auto"/>
            <w:vAlign w:val="center"/>
          </w:tcPr>
          <w:p w14:paraId="2B5F38CC">
            <w:pPr>
              <w:rPr>
                <w:rFonts w:hint="eastAsia" w:ascii="宋体" w:eastAsia="宋体" w:cs="宋体"/>
                <w:i w:val="0"/>
                <w:iCs w:val="0"/>
                <w:color w:val="000000"/>
                <w:sz w:val="18"/>
                <w:szCs w:val="18"/>
                <w:u w:val="none"/>
              </w:rPr>
            </w:pPr>
          </w:p>
        </w:tc>
        <w:tc>
          <w:tcPr>
            <w:tcW w:w="515" w:type="dxa"/>
            <w:tcBorders>
              <w:top w:val="nil"/>
              <w:left w:val="nil"/>
              <w:bottom w:val="nil"/>
              <w:right w:val="nil"/>
            </w:tcBorders>
            <w:shd w:val="clear" w:color="auto" w:fill="auto"/>
            <w:vAlign w:val="center"/>
          </w:tcPr>
          <w:p w14:paraId="35331499">
            <w:pPr>
              <w:rPr>
                <w:rFonts w:hint="eastAsia" w:ascii="宋体" w:eastAsia="宋体" w:cs="宋体"/>
                <w:i w:val="0"/>
                <w:iCs w:val="0"/>
                <w:color w:val="000000"/>
                <w:sz w:val="18"/>
                <w:szCs w:val="18"/>
                <w:u w:val="none"/>
              </w:rPr>
            </w:pPr>
          </w:p>
        </w:tc>
        <w:tc>
          <w:tcPr>
            <w:tcW w:w="1172" w:type="dxa"/>
            <w:tcBorders>
              <w:top w:val="nil"/>
              <w:left w:val="nil"/>
              <w:bottom w:val="nil"/>
              <w:right w:val="nil"/>
            </w:tcBorders>
            <w:shd w:val="clear" w:color="auto" w:fill="auto"/>
            <w:vAlign w:val="center"/>
          </w:tcPr>
          <w:p w14:paraId="346646AE">
            <w:pPr>
              <w:rPr>
                <w:rFonts w:hint="eastAsia" w:ascii="宋体" w:eastAsia="宋体" w:cs="宋体"/>
                <w:i w:val="0"/>
                <w:iCs w:val="0"/>
                <w:color w:val="000000"/>
                <w:sz w:val="18"/>
                <w:szCs w:val="18"/>
                <w:u w:val="none"/>
              </w:rPr>
            </w:pPr>
          </w:p>
        </w:tc>
        <w:tc>
          <w:tcPr>
            <w:tcW w:w="461" w:type="dxa"/>
            <w:tcBorders>
              <w:top w:val="nil"/>
              <w:left w:val="nil"/>
              <w:bottom w:val="nil"/>
              <w:right w:val="nil"/>
            </w:tcBorders>
            <w:shd w:val="clear" w:color="auto" w:fill="auto"/>
            <w:vAlign w:val="center"/>
          </w:tcPr>
          <w:p w14:paraId="747AB10F">
            <w:pPr>
              <w:rPr>
                <w:rFonts w:hint="eastAsia" w:ascii="宋体" w:eastAsia="宋体" w:cs="宋体"/>
                <w:i w:val="0"/>
                <w:iCs w:val="0"/>
                <w:color w:val="000000"/>
                <w:sz w:val="18"/>
                <w:szCs w:val="18"/>
                <w:u w:val="none"/>
              </w:rPr>
            </w:pPr>
          </w:p>
        </w:tc>
        <w:tc>
          <w:tcPr>
            <w:tcW w:w="1083" w:type="dxa"/>
            <w:tcBorders>
              <w:top w:val="nil"/>
              <w:left w:val="nil"/>
              <w:bottom w:val="nil"/>
              <w:right w:val="nil"/>
            </w:tcBorders>
            <w:shd w:val="clear" w:color="auto" w:fill="auto"/>
            <w:vAlign w:val="center"/>
          </w:tcPr>
          <w:p w14:paraId="01337658">
            <w:pPr>
              <w:rPr>
                <w:rFonts w:hint="eastAsia" w:asci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011ED9BE">
            <w:pPr>
              <w:rPr>
                <w:rFonts w:hint="eastAsia" w:asci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4500AB79">
            <w:pPr>
              <w:rPr>
                <w:rFonts w:hint="eastAsia" w:ascii="宋体" w:eastAsia="宋体" w:cs="宋体"/>
                <w:i w:val="0"/>
                <w:iCs w:val="0"/>
                <w:color w:val="000000"/>
                <w:sz w:val="18"/>
                <w:szCs w:val="18"/>
                <w:u w:val="none"/>
              </w:rPr>
            </w:pPr>
          </w:p>
        </w:tc>
        <w:tc>
          <w:tcPr>
            <w:tcW w:w="1257" w:type="dxa"/>
            <w:tcBorders>
              <w:top w:val="nil"/>
              <w:left w:val="nil"/>
              <w:bottom w:val="nil"/>
              <w:right w:val="nil"/>
            </w:tcBorders>
            <w:shd w:val="clear" w:color="auto" w:fill="auto"/>
            <w:vAlign w:val="center"/>
          </w:tcPr>
          <w:p w14:paraId="54080E94">
            <w:pPr>
              <w:rPr>
                <w:rFonts w:hint="eastAsia" w:ascii="宋体" w:eastAsia="宋体" w:cs="宋体"/>
                <w:i w:val="0"/>
                <w:iCs w:val="0"/>
                <w:color w:val="000000"/>
                <w:sz w:val="18"/>
                <w:szCs w:val="18"/>
                <w:u w:val="none"/>
              </w:rPr>
            </w:pPr>
          </w:p>
        </w:tc>
      </w:tr>
      <w:tr w14:paraId="01623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93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C956D5E">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部门预算项目支出绩效自评表（2025年度）</w:t>
            </w:r>
          </w:p>
        </w:tc>
      </w:tr>
      <w:tr w14:paraId="4604C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BB3F2D">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8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6FE0FFE">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6"/>
                <w:szCs w:val="16"/>
                <w:u w:val="none"/>
                <w:lang w:val="en-US" w:eastAsia="zh-CN"/>
              </w:rPr>
              <w:t>基本公共卫生服务项目</w:t>
            </w:r>
          </w:p>
        </w:tc>
      </w:tr>
      <w:tr w14:paraId="21799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0D67B0">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50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901AB1">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茂县卫生健康局</w:t>
            </w:r>
          </w:p>
        </w:tc>
        <w:tc>
          <w:tcPr>
            <w:tcW w:w="1083" w:type="dxa"/>
            <w:tcBorders>
              <w:top w:val="nil"/>
              <w:left w:val="nil"/>
              <w:bottom w:val="nil"/>
              <w:right w:val="nil"/>
            </w:tcBorders>
            <w:shd w:val="clear" w:color="auto" w:fill="auto"/>
            <w:vAlign w:val="center"/>
          </w:tcPr>
          <w:p w14:paraId="06A90BCC">
            <w:pPr>
              <w:keepNext w:val="0"/>
              <w:keepLines w:val="0"/>
              <w:widowControl/>
              <w:suppressLineNumbers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实施单位 （盖章）</w:t>
            </w:r>
          </w:p>
        </w:tc>
        <w:tc>
          <w:tcPr>
            <w:tcW w:w="27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F5024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茂县南新镇卫生院</w:t>
            </w:r>
          </w:p>
        </w:tc>
      </w:tr>
      <w:tr w14:paraId="7B595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F86EEA">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5C67A3">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50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4D66C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385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002872">
            <w:pPr>
              <w:keepNext w:val="0"/>
              <w:keepLines w:val="0"/>
              <w:widowControl/>
              <w:suppressLineNumbers w:val="0"/>
              <w:jc w:val="center"/>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年度目标完成情况</w:t>
            </w:r>
          </w:p>
        </w:tc>
      </w:tr>
      <w:tr w14:paraId="34E14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0"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C1C017"/>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3DE04"/>
        </w:tc>
        <w:tc>
          <w:tcPr>
            <w:tcW w:w="50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30E8AD">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eastAsia="宋体" w:cs="宋体"/>
                <w:i w:val="0"/>
                <w:iCs w:val="0"/>
                <w:color w:val="000000"/>
                <w:kern w:val="0"/>
                <w:sz w:val="16"/>
                <w:szCs w:val="16"/>
                <w:u w:val="none"/>
                <w:lang w:val="en-US" w:eastAsia="zh-CN"/>
              </w:rPr>
              <w:t>通过实施基本公共卫生服务项目，对影响居民健康的主要卫生问题实施干预，减少主要健康危险因素，有效预防和控制主要传染病及慢性病，使城乡居民逐步享有均等化的公共卫生服务。</w:t>
            </w:r>
          </w:p>
        </w:tc>
        <w:tc>
          <w:tcPr>
            <w:tcW w:w="385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E33070">
            <w:pPr>
              <w:keepNext w:val="0"/>
              <w:keepLines w:val="0"/>
              <w:widowControl/>
              <w:suppressLineNumbers w:val="0"/>
              <w:jc w:val="left"/>
              <w:textAlignment w:val="center"/>
              <w:rPr>
                <w:rFonts w:hint="eastAsia" w:ascii="黑体" w:eastAsia="黑体" w:cs="黑体"/>
                <w:i w:val="0"/>
                <w:iCs w:val="0"/>
                <w:color w:val="000000"/>
                <w:sz w:val="12"/>
                <w:szCs w:val="12"/>
                <w:u w:val="none"/>
              </w:rPr>
            </w:pPr>
            <w:r>
              <w:rPr>
                <w:rFonts w:hint="eastAsia" w:ascii="黑体" w:eastAsia="黑体" w:cs="黑体"/>
                <w:i w:val="0"/>
                <w:iCs w:val="0"/>
                <w:color w:val="000000"/>
                <w:kern w:val="0"/>
                <w:sz w:val="16"/>
                <w:szCs w:val="16"/>
                <w:u w:val="none"/>
                <w:lang w:val="en-US" w:eastAsia="zh-CN"/>
              </w:rPr>
              <w:t>通过该项目实施，保障了部分慢性病（如高血压、糖尿病）、65岁以上老年人、0-6岁儿童、孕产妇、结核病、重性精神疾病患者等重点人群得到了规范化、系统化的管理和治疗，有效防控相关疾病，大幅度提高了广大人群平均期望寿命。</w:t>
            </w:r>
          </w:p>
        </w:tc>
      </w:tr>
      <w:tr w14:paraId="410A0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0"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3F250"/>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EFA1B">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8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97035FF">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6"/>
                <w:szCs w:val="16"/>
                <w:u w:val="none"/>
                <w:lang w:val="en-US" w:eastAsia="zh-CN"/>
              </w:rPr>
              <w:t>通过项目实施，保障部分慢性病（如高血压、糖尿病）、65岁以上老年人、0-6岁儿童、孕产妇、结核病、重性精神疾病患者等重点人群能得到规范化、系统化的管理、治疗，有效防控了相关疾病，从而大幅度提高了广大人群平均期望寿命，继实施新农合政策后的又一项医疗卫生民生工程，它改变了病人的求医理念，从过去传统的被动就医到现在的主动就诊、求治.</w:t>
            </w:r>
          </w:p>
        </w:tc>
      </w:tr>
      <w:tr w14:paraId="4FE12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9A90D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95BD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535A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2518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21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8DF1B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F57F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4BC6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43E5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FF8A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281E5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CCDCD3"/>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422A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75D38">
            <w:pPr>
              <w:keepNext w:val="0"/>
              <w:keepLines w:val="0"/>
              <w:widowControl/>
              <w:suppressLineNumbers w:val="0"/>
              <w:jc w:val="center"/>
              <w:textAlignment w:val="center"/>
              <w:rPr>
                <w:rFonts w:hint="default" w:ascii="宋体" w:eastAsia="宋体" w:cs="宋体"/>
                <w:i w:val="0"/>
                <w:iCs w:val="0"/>
                <w:color w:val="000000"/>
                <w:sz w:val="18"/>
                <w:szCs w:val="18"/>
                <w:u w:val="none"/>
                <w:lang w:val="en-US"/>
              </w:rPr>
            </w:pPr>
            <w:r>
              <w:rPr>
                <w:rFonts w:hint="eastAsia" w:ascii="宋体" w:cs="宋体"/>
                <w:i w:val="0"/>
                <w:iCs w:val="0"/>
                <w:color w:val="000000"/>
                <w:kern w:val="0"/>
                <w:sz w:val="18"/>
                <w:szCs w:val="18"/>
                <w:u w:val="none"/>
                <w:lang w:val="en-US" w:eastAsia="zh-CN"/>
              </w:rPr>
              <w:t>4.57</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BEDDD">
            <w:pPr>
              <w:keepNext w:val="0"/>
              <w:keepLines w:val="0"/>
              <w:widowControl/>
              <w:suppressLineNumbers w:val="0"/>
              <w:jc w:val="center"/>
              <w:textAlignment w:val="center"/>
              <w:rPr>
                <w:rFonts w:hint="default" w:ascii="宋体" w:eastAsia="宋体" w:cs="宋体"/>
                <w:i w:val="0"/>
                <w:iCs w:val="0"/>
                <w:color w:val="000000"/>
                <w:sz w:val="18"/>
                <w:szCs w:val="18"/>
                <w:u w:val="none"/>
                <w:lang w:val="en-US"/>
              </w:rPr>
            </w:pPr>
            <w:r>
              <w:rPr>
                <w:rFonts w:hint="eastAsia" w:ascii="宋体" w:cs="宋体"/>
                <w:i w:val="0"/>
                <w:iCs w:val="0"/>
                <w:color w:val="000000"/>
                <w:kern w:val="0"/>
                <w:sz w:val="18"/>
                <w:szCs w:val="18"/>
                <w:u w:val="none"/>
                <w:lang w:val="en-US" w:eastAsia="zh-CN"/>
              </w:rPr>
              <w:t>4.57</w:t>
            </w:r>
          </w:p>
        </w:tc>
        <w:tc>
          <w:tcPr>
            <w:tcW w:w="21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D0E210">
            <w:pPr>
              <w:keepNext w:val="0"/>
              <w:keepLines w:val="0"/>
              <w:widowControl/>
              <w:suppressLineNumbers w:val="0"/>
              <w:jc w:val="center"/>
              <w:textAlignment w:val="center"/>
              <w:rPr>
                <w:rFonts w:hint="default" w:ascii="宋体" w:eastAsia="宋体" w:cs="宋体"/>
                <w:i w:val="0"/>
                <w:iCs w:val="0"/>
                <w:color w:val="000000"/>
                <w:sz w:val="18"/>
                <w:szCs w:val="18"/>
                <w:u w:val="none"/>
                <w:lang w:val="en-US"/>
              </w:rPr>
            </w:pPr>
            <w:r>
              <w:rPr>
                <w:rFonts w:hint="eastAsia" w:ascii="宋体" w:cs="宋体"/>
                <w:i w:val="0"/>
                <w:iCs w:val="0"/>
                <w:color w:val="000000"/>
                <w:kern w:val="0"/>
                <w:sz w:val="18"/>
                <w:szCs w:val="18"/>
                <w:u w:val="none"/>
                <w:lang w:val="en-US" w:eastAsia="zh-CN"/>
              </w:rPr>
              <w:t>4.57</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0250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FA1A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49CE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2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DBDBB5">
            <w:pPr>
              <w:rPr>
                <w:rFonts w:hint="eastAsia" w:ascii="黑体" w:eastAsia="黑体" w:cs="黑体"/>
                <w:i/>
                <w:iCs/>
                <w:color w:val="000000"/>
                <w:sz w:val="18"/>
                <w:szCs w:val="18"/>
                <w:u w:val="none"/>
              </w:rPr>
            </w:pPr>
          </w:p>
        </w:tc>
      </w:tr>
      <w:tr w14:paraId="6658B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304E0"/>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42A9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2CDD3">
            <w:pPr>
              <w:keepNext w:val="0"/>
              <w:keepLines w:val="0"/>
              <w:widowControl/>
              <w:suppressLineNumbers w:val="0"/>
              <w:jc w:val="center"/>
              <w:textAlignment w:val="center"/>
              <w:rPr>
                <w:rFonts w:hint="default" w:ascii="宋体" w:eastAsia="宋体" w:cs="宋体"/>
                <w:i w:val="0"/>
                <w:iCs w:val="0"/>
                <w:color w:val="000000"/>
                <w:sz w:val="18"/>
                <w:szCs w:val="18"/>
                <w:u w:val="none"/>
                <w:lang w:val="en-US"/>
              </w:rPr>
            </w:pPr>
            <w:r>
              <w:rPr>
                <w:rFonts w:hint="eastAsia" w:ascii="宋体" w:cs="宋体"/>
                <w:i w:val="0"/>
                <w:iCs w:val="0"/>
                <w:color w:val="000000"/>
                <w:kern w:val="0"/>
                <w:sz w:val="18"/>
                <w:szCs w:val="18"/>
                <w:u w:val="none"/>
                <w:lang w:val="en-US" w:eastAsia="zh-CN"/>
              </w:rPr>
              <w:t>4.57</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03108">
            <w:pPr>
              <w:keepNext w:val="0"/>
              <w:keepLines w:val="0"/>
              <w:widowControl/>
              <w:suppressLineNumbers w:val="0"/>
              <w:jc w:val="center"/>
              <w:textAlignment w:val="center"/>
              <w:rPr>
                <w:rFonts w:hint="default" w:ascii="宋体" w:eastAsia="宋体" w:cs="宋体"/>
                <w:i w:val="0"/>
                <w:iCs w:val="0"/>
                <w:color w:val="000000"/>
                <w:sz w:val="18"/>
                <w:szCs w:val="18"/>
                <w:u w:val="none"/>
                <w:lang w:val="en-US"/>
              </w:rPr>
            </w:pPr>
            <w:r>
              <w:rPr>
                <w:rFonts w:hint="eastAsia" w:ascii="宋体" w:cs="宋体"/>
                <w:i w:val="0"/>
                <w:iCs w:val="0"/>
                <w:color w:val="000000"/>
                <w:kern w:val="0"/>
                <w:sz w:val="18"/>
                <w:szCs w:val="18"/>
                <w:u w:val="none"/>
                <w:lang w:val="en-US" w:eastAsia="zh-CN"/>
              </w:rPr>
              <w:t>4.57</w:t>
            </w:r>
          </w:p>
        </w:tc>
        <w:tc>
          <w:tcPr>
            <w:tcW w:w="21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D53AC0">
            <w:pPr>
              <w:keepNext w:val="0"/>
              <w:keepLines w:val="0"/>
              <w:widowControl/>
              <w:suppressLineNumbers w:val="0"/>
              <w:jc w:val="center"/>
              <w:textAlignment w:val="center"/>
              <w:rPr>
                <w:rFonts w:hint="default" w:ascii="宋体" w:eastAsia="宋体" w:cs="宋体"/>
                <w:i w:val="0"/>
                <w:iCs w:val="0"/>
                <w:color w:val="000000"/>
                <w:sz w:val="18"/>
                <w:szCs w:val="18"/>
                <w:u w:val="none"/>
                <w:lang w:val="en-US"/>
              </w:rPr>
            </w:pPr>
            <w:r>
              <w:rPr>
                <w:rFonts w:hint="eastAsia" w:ascii="宋体" w:cs="宋体"/>
                <w:i w:val="0"/>
                <w:iCs w:val="0"/>
                <w:color w:val="000000"/>
                <w:kern w:val="0"/>
                <w:sz w:val="18"/>
                <w:szCs w:val="18"/>
                <w:u w:val="none"/>
                <w:lang w:val="en-US" w:eastAsia="zh-CN"/>
              </w:rPr>
              <w:t>4.57</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35EB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AC6E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BE47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2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F7D9E"/>
        </w:tc>
      </w:tr>
      <w:tr w14:paraId="10F6E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76760"/>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A807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6AD0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25114">
            <w:pPr>
              <w:jc w:val="center"/>
              <w:rPr>
                <w:rFonts w:hint="eastAsia" w:ascii="宋体" w:eastAsia="宋体" w:cs="宋体"/>
                <w:i w:val="0"/>
                <w:iCs w:val="0"/>
                <w:color w:val="000000"/>
                <w:sz w:val="18"/>
                <w:szCs w:val="18"/>
                <w:u w:val="none"/>
              </w:rPr>
            </w:pPr>
          </w:p>
        </w:tc>
        <w:tc>
          <w:tcPr>
            <w:tcW w:w="21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913C15">
            <w:pPr>
              <w:jc w:val="center"/>
              <w:rPr>
                <w:rFonts w:hint="eastAsia" w:asci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799B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69CA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E225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2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0525BC"/>
        </w:tc>
      </w:tr>
      <w:tr w14:paraId="506E7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BF429"/>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DB28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F59A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0B364">
            <w:pPr>
              <w:jc w:val="center"/>
              <w:rPr>
                <w:rFonts w:hint="eastAsia" w:ascii="宋体" w:eastAsia="宋体" w:cs="宋体"/>
                <w:i w:val="0"/>
                <w:iCs w:val="0"/>
                <w:color w:val="000000"/>
                <w:sz w:val="18"/>
                <w:szCs w:val="18"/>
                <w:u w:val="none"/>
              </w:rPr>
            </w:pPr>
          </w:p>
        </w:tc>
        <w:tc>
          <w:tcPr>
            <w:tcW w:w="21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FA6159">
            <w:pPr>
              <w:jc w:val="center"/>
              <w:rPr>
                <w:rFonts w:hint="eastAsia" w:asci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0CD4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32B8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6BB7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2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44DDA"/>
        </w:tc>
      </w:tr>
      <w:tr w14:paraId="6E41B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09DA2"/>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92B9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FD5E4">
            <w:pPr>
              <w:jc w:val="center"/>
              <w:rPr>
                <w:rFonts w:hint="eastAsia" w:ascii="微软雅黑" w:eastAsia="微软雅黑" w:cs="微软雅黑"/>
                <w:i/>
                <w:iCs/>
                <w:color w:val="000000"/>
                <w:sz w:val="16"/>
                <w:szCs w:val="16"/>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AF77A">
            <w:pPr>
              <w:jc w:val="center"/>
              <w:rPr>
                <w:rFonts w:hint="eastAsia" w:ascii="微软雅黑" w:eastAsia="微软雅黑" w:cs="微软雅黑"/>
                <w:i/>
                <w:iCs/>
                <w:color w:val="000000"/>
                <w:sz w:val="16"/>
                <w:szCs w:val="16"/>
                <w:u w:val="none"/>
              </w:rPr>
            </w:pPr>
          </w:p>
        </w:tc>
        <w:tc>
          <w:tcPr>
            <w:tcW w:w="21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35AC0C">
            <w:pPr>
              <w:jc w:val="center"/>
              <w:rPr>
                <w:rFonts w:hint="eastAsia" w:ascii="微软雅黑" w:eastAsia="微软雅黑" w:cs="微软雅黑"/>
                <w:i/>
                <w:iCs/>
                <w:color w:val="000000"/>
                <w:sz w:val="16"/>
                <w:szCs w:val="16"/>
                <w:u w:val="none"/>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43D59">
            <w:pPr>
              <w:jc w:val="center"/>
              <w:rPr>
                <w:rFonts w:hint="eastAsia" w:ascii="微软雅黑" w:eastAsia="微软雅黑" w:cs="微软雅黑"/>
                <w:i/>
                <w:iCs/>
                <w:color w:val="000000"/>
                <w:sz w:val="16"/>
                <w:szCs w:val="16"/>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975D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5288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2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8F97F"/>
        </w:tc>
      </w:tr>
      <w:tr w14:paraId="1BA75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7781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6168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16DD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6883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3462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FB2B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2B52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0B1F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0888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6FB9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C6D7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4EED4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B04FD">
            <w:pPr>
              <w:jc w:val="center"/>
              <w:rPr>
                <w:rFonts w:hint="eastAsia" w:ascii="宋体" w:eastAsia="宋体" w:cs="宋体"/>
                <w:i w:val="0"/>
                <w:iCs w:val="0"/>
                <w:color w:val="000000"/>
                <w:sz w:val="18"/>
                <w:szCs w:val="18"/>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6F21F">
            <w:pPr>
              <w:keepNext w:val="0"/>
              <w:keepLines w:val="0"/>
              <w:widowControl/>
              <w:suppressLineNumbers w:val="0"/>
              <w:jc w:val="center"/>
              <w:textAlignment w:val="center"/>
              <w:rPr>
                <w:rFonts w:ascii="宋体" w:eastAsia="宋体" w:cs="宋体"/>
                <w:i w:val="0"/>
                <w:iCs w:val="0"/>
                <w:color w:val="000000"/>
                <w:sz w:val="18"/>
                <w:szCs w:val="18"/>
                <w:u w:val="none"/>
              </w:rPr>
            </w:pPr>
            <w:r>
              <w:rPr>
                <w:rStyle w:val="31"/>
                <w:lang w:val="en-US" w:eastAsia="zh-CN"/>
              </w:rPr>
              <w:t>产出指标</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884A1">
            <w:pPr>
              <w:keepNext w:val="0"/>
              <w:keepLines w:val="0"/>
              <w:widowControl/>
              <w:suppressLineNumbers w:val="0"/>
              <w:jc w:val="center"/>
              <w:textAlignment w:val="center"/>
              <w:rPr>
                <w:rFonts w:ascii="宋体" w:eastAsia="宋体" w:cs="宋体"/>
                <w:i w:val="0"/>
                <w:iCs w:val="0"/>
                <w:color w:val="000000"/>
                <w:sz w:val="18"/>
                <w:szCs w:val="18"/>
                <w:u w:val="none"/>
              </w:rPr>
            </w:pPr>
            <w:r>
              <w:rPr>
                <w:rStyle w:val="31"/>
                <w:lang w:val="en-US" w:eastAsia="zh-CN"/>
              </w:rPr>
              <w:t>数量指标</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1C64B">
            <w:pPr>
              <w:keepNext w:val="0"/>
              <w:keepLines w:val="0"/>
              <w:widowControl/>
              <w:suppressLineNumbers w:val="0"/>
              <w:jc w:val="center"/>
              <w:textAlignment w:val="center"/>
              <w:rPr>
                <w:rFonts w:ascii="宋体" w:eastAsia="宋体" w:cs="宋体"/>
                <w:i w:val="0"/>
                <w:iCs w:val="0"/>
                <w:color w:val="000000"/>
                <w:sz w:val="18"/>
                <w:szCs w:val="18"/>
                <w:u w:val="none"/>
              </w:rPr>
            </w:pPr>
            <w:r>
              <w:rPr>
                <w:rStyle w:val="31"/>
                <w:lang w:val="en-US" w:eastAsia="zh-CN"/>
              </w:rPr>
              <w:t>服务基本公共卫生服务人数</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62C5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5D9AC">
            <w:pPr>
              <w:keepNext w:val="0"/>
              <w:keepLines w:val="0"/>
              <w:widowControl/>
              <w:suppressLineNumbers w:val="0"/>
              <w:jc w:val="center"/>
              <w:textAlignment w:val="center"/>
              <w:rPr>
                <w:rFonts w:ascii="宋体" w:eastAsia="宋体" w:cs="宋体"/>
                <w:i w:val="0"/>
                <w:iCs w:val="0"/>
                <w:color w:val="000000"/>
                <w:sz w:val="18"/>
                <w:szCs w:val="18"/>
                <w:u w:val="none"/>
                <w:lang w:val="en-US"/>
              </w:rPr>
            </w:pPr>
            <w:r>
              <w:rPr>
                <w:rFonts w:hint="eastAsia" w:ascii="宋体" w:cs="宋体"/>
                <w:i w:val="0"/>
                <w:iCs w:val="0"/>
                <w:color w:val="000000"/>
                <w:kern w:val="0"/>
                <w:sz w:val="18"/>
                <w:szCs w:val="18"/>
                <w:u w:val="none"/>
                <w:lang w:val="en-US" w:eastAsia="zh-CN"/>
              </w:rPr>
              <w:t>6939.00</w:t>
            </w: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092E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人</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2211F">
            <w:pPr>
              <w:keepNext w:val="0"/>
              <w:keepLines w:val="0"/>
              <w:widowControl/>
              <w:suppressLineNumbers w:val="0"/>
              <w:jc w:val="center"/>
              <w:textAlignment w:val="center"/>
              <w:rPr>
                <w:rFonts w:ascii="宋体" w:eastAsia="宋体" w:cs="宋体"/>
                <w:i w:val="0"/>
                <w:iCs w:val="0"/>
                <w:color w:val="000000"/>
                <w:sz w:val="18"/>
                <w:szCs w:val="18"/>
                <w:u w:val="none"/>
                <w:lang w:val="en-US"/>
              </w:rPr>
            </w:pPr>
            <w:r>
              <w:rPr>
                <w:rFonts w:hint="eastAsia" w:ascii="宋体" w:cs="宋体"/>
                <w:i w:val="0"/>
                <w:iCs w:val="0"/>
                <w:color w:val="000000"/>
                <w:kern w:val="0"/>
                <w:sz w:val="18"/>
                <w:szCs w:val="18"/>
                <w:u w:val="none"/>
                <w:lang w:val="en-US" w:eastAsia="zh-CN"/>
              </w:rPr>
              <w:t>6939.00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0268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AF18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7F2D2">
            <w:pPr>
              <w:jc w:val="center"/>
              <w:rPr>
                <w:rFonts w:hint="eastAsia" w:ascii="宋体" w:eastAsia="宋体" w:cs="宋体"/>
                <w:i w:val="0"/>
                <w:iCs w:val="0"/>
                <w:color w:val="000000"/>
                <w:sz w:val="18"/>
                <w:szCs w:val="18"/>
                <w:u w:val="none"/>
              </w:rPr>
            </w:pPr>
          </w:p>
        </w:tc>
      </w:tr>
      <w:tr w14:paraId="121B7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26902">
            <w:pPr>
              <w:jc w:val="center"/>
              <w:rPr>
                <w:rFonts w:hint="eastAsia" w:ascii="宋体" w:eastAsia="宋体" w:cs="宋体"/>
                <w:i w:val="0"/>
                <w:iCs w:val="0"/>
                <w:color w:val="000000"/>
                <w:sz w:val="18"/>
                <w:szCs w:val="18"/>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F7372">
            <w:pPr>
              <w:keepNext w:val="0"/>
              <w:keepLines w:val="0"/>
              <w:widowControl/>
              <w:suppressLineNumbers w:val="0"/>
              <w:jc w:val="center"/>
              <w:textAlignment w:val="center"/>
              <w:rPr>
                <w:rFonts w:ascii="宋体" w:eastAsia="宋体" w:cs="宋体"/>
                <w:i w:val="0"/>
                <w:iCs w:val="0"/>
                <w:color w:val="000000"/>
                <w:sz w:val="18"/>
                <w:szCs w:val="18"/>
                <w:u w:val="none"/>
              </w:rPr>
            </w:pPr>
            <w:r>
              <w:rPr>
                <w:rStyle w:val="31"/>
                <w:lang w:val="en-US" w:eastAsia="zh-CN"/>
              </w:rPr>
              <w:t>产出指标</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B71D6">
            <w:pPr>
              <w:keepNext w:val="0"/>
              <w:keepLines w:val="0"/>
              <w:widowControl/>
              <w:suppressLineNumbers w:val="0"/>
              <w:jc w:val="center"/>
              <w:textAlignment w:val="center"/>
              <w:rPr>
                <w:rFonts w:ascii="宋体" w:eastAsia="宋体" w:cs="宋体"/>
                <w:i w:val="0"/>
                <w:iCs w:val="0"/>
                <w:color w:val="000000"/>
                <w:sz w:val="18"/>
                <w:szCs w:val="18"/>
                <w:u w:val="none"/>
              </w:rPr>
            </w:pPr>
            <w:r>
              <w:rPr>
                <w:rStyle w:val="31"/>
                <w:lang w:val="en-US" w:eastAsia="zh-CN"/>
              </w:rPr>
              <w:t>数量指标</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ABB06">
            <w:pPr>
              <w:keepNext w:val="0"/>
              <w:keepLines w:val="0"/>
              <w:widowControl/>
              <w:suppressLineNumbers w:val="0"/>
              <w:jc w:val="center"/>
              <w:textAlignment w:val="center"/>
              <w:rPr>
                <w:rFonts w:ascii="宋体" w:eastAsia="宋体" w:cs="宋体"/>
                <w:i w:val="0"/>
                <w:iCs w:val="0"/>
                <w:color w:val="000000"/>
                <w:sz w:val="18"/>
                <w:szCs w:val="18"/>
                <w:u w:val="none"/>
              </w:rPr>
            </w:pPr>
            <w:r>
              <w:rPr>
                <w:rStyle w:val="31"/>
                <w:lang w:val="en-US" w:eastAsia="zh-CN"/>
              </w:rPr>
              <w:t>居民健康档案建档人数</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7A12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43D52">
            <w:pPr>
              <w:keepNext w:val="0"/>
              <w:keepLines w:val="0"/>
              <w:widowControl/>
              <w:suppressLineNumbers w:val="0"/>
              <w:jc w:val="center"/>
              <w:textAlignment w:val="center"/>
              <w:rPr>
                <w:rFonts w:ascii="宋体" w:eastAsia="宋体" w:cs="宋体"/>
                <w:i w:val="0"/>
                <w:iCs w:val="0"/>
                <w:color w:val="000000"/>
                <w:sz w:val="18"/>
                <w:szCs w:val="18"/>
                <w:u w:val="none"/>
              </w:rPr>
            </w:pPr>
            <w:r>
              <w:rPr>
                <w:rFonts w:hint="eastAsia" w:ascii="宋体" w:cs="宋体"/>
                <w:i w:val="0"/>
                <w:iCs w:val="0"/>
                <w:color w:val="000000"/>
                <w:kern w:val="0"/>
                <w:sz w:val="18"/>
                <w:szCs w:val="18"/>
                <w:u w:val="none"/>
                <w:lang w:val="en-US" w:eastAsia="zh-CN"/>
              </w:rPr>
              <w:t>6939</w:t>
            </w:r>
            <w:r>
              <w:rPr>
                <w:rFonts w:ascii="宋体" w:eastAsia="宋体" w:cs="宋体"/>
                <w:i w:val="0"/>
                <w:iCs w:val="0"/>
                <w:color w:val="000000"/>
                <w:kern w:val="0"/>
                <w:sz w:val="18"/>
                <w:szCs w:val="18"/>
                <w:u w:val="none"/>
                <w:lang w:val="en-US" w:eastAsia="zh-CN"/>
              </w:rPr>
              <w:t>.00</w:t>
            </w: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FE00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人</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D5E67">
            <w:pPr>
              <w:keepNext w:val="0"/>
              <w:keepLines w:val="0"/>
              <w:widowControl/>
              <w:suppressLineNumbers w:val="0"/>
              <w:jc w:val="center"/>
              <w:textAlignment w:val="center"/>
              <w:rPr>
                <w:rFonts w:ascii="宋体" w:eastAsia="宋体" w:cs="宋体"/>
                <w:i w:val="0"/>
                <w:iCs w:val="0"/>
                <w:color w:val="000000"/>
                <w:sz w:val="18"/>
                <w:szCs w:val="18"/>
                <w:u w:val="none"/>
              </w:rPr>
            </w:pPr>
            <w:r>
              <w:rPr>
                <w:rFonts w:hint="eastAsia" w:ascii="宋体" w:cs="宋体"/>
                <w:i w:val="0"/>
                <w:iCs w:val="0"/>
                <w:color w:val="000000"/>
                <w:kern w:val="0"/>
                <w:sz w:val="18"/>
                <w:szCs w:val="18"/>
                <w:u w:val="none"/>
                <w:lang w:val="en-US" w:eastAsia="zh-CN"/>
              </w:rPr>
              <w:t>6939</w:t>
            </w:r>
            <w:r>
              <w:rPr>
                <w:rFonts w:ascii="宋体" w:eastAsia="宋体" w:cs="宋体"/>
                <w:i w:val="0"/>
                <w:iCs w:val="0"/>
                <w:color w:val="000000"/>
                <w:kern w:val="0"/>
                <w:sz w:val="18"/>
                <w:szCs w:val="18"/>
                <w:u w:val="none"/>
                <w:lang w:val="en-US" w:eastAsia="zh-CN"/>
              </w:rPr>
              <w:t>.00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74EF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E3FC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F2268">
            <w:pPr>
              <w:jc w:val="center"/>
              <w:rPr>
                <w:rFonts w:hint="eastAsia" w:ascii="宋体" w:eastAsia="宋体" w:cs="宋体"/>
                <w:i w:val="0"/>
                <w:iCs w:val="0"/>
                <w:color w:val="000000"/>
                <w:sz w:val="18"/>
                <w:szCs w:val="18"/>
                <w:u w:val="none"/>
              </w:rPr>
            </w:pPr>
          </w:p>
        </w:tc>
      </w:tr>
      <w:tr w14:paraId="41EBC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A9655">
            <w:pPr>
              <w:jc w:val="center"/>
              <w:rPr>
                <w:rFonts w:hint="eastAsia" w:ascii="宋体" w:eastAsia="宋体" w:cs="宋体"/>
                <w:i w:val="0"/>
                <w:iCs w:val="0"/>
                <w:color w:val="000000"/>
                <w:sz w:val="18"/>
                <w:szCs w:val="18"/>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10EA2">
            <w:pPr>
              <w:keepNext w:val="0"/>
              <w:keepLines w:val="0"/>
              <w:widowControl/>
              <w:suppressLineNumbers w:val="0"/>
              <w:jc w:val="center"/>
              <w:textAlignment w:val="center"/>
              <w:rPr>
                <w:rFonts w:ascii="宋体" w:eastAsia="宋体" w:cs="宋体"/>
                <w:i w:val="0"/>
                <w:iCs w:val="0"/>
                <w:color w:val="000000"/>
                <w:sz w:val="18"/>
                <w:szCs w:val="18"/>
                <w:u w:val="none"/>
              </w:rPr>
            </w:pPr>
            <w:r>
              <w:rPr>
                <w:rStyle w:val="31"/>
                <w:lang w:val="en-US" w:eastAsia="zh-CN"/>
              </w:rPr>
              <w:t>产出指标</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23326">
            <w:pPr>
              <w:keepNext w:val="0"/>
              <w:keepLines w:val="0"/>
              <w:widowControl/>
              <w:suppressLineNumbers w:val="0"/>
              <w:jc w:val="center"/>
              <w:textAlignment w:val="center"/>
              <w:rPr>
                <w:rFonts w:ascii="宋体" w:eastAsia="宋体" w:cs="宋体"/>
                <w:i w:val="0"/>
                <w:iCs w:val="0"/>
                <w:color w:val="000000"/>
                <w:sz w:val="18"/>
                <w:szCs w:val="18"/>
                <w:u w:val="none"/>
              </w:rPr>
            </w:pPr>
            <w:r>
              <w:rPr>
                <w:rStyle w:val="31"/>
                <w:lang w:val="en-US" w:eastAsia="zh-CN"/>
              </w:rPr>
              <w:t>质量指标</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671A7">
            <w:pPr>
              <w:keepNext w:val="0"/>
              <w:keepLines w:val="0"/>
              <w:widowControl/>
              <w:suppressLineNumbers w:val="0"/>
              <w:jc w:val="center"/>
              <w:textAlignment w:val="center"/>
              <w:rPr>
                <w:rFonts w:ascii="宋体" w:eastAsia="宋体" w:cs="宋体"/>
                <w:i w:val="0"/>
                <w:iCs w:val="0"/>
                <w:color w:val="000000"/>
                <w:sz w:val="18"/>
                <w:szCs w:val="18"/>
                <w:u w:val="none"/>
              </w:rPr>
            </w:pPr>
            <w:r>
              <w:rPr>
                <w:rStyle w:val="31"/>
                <w:lang w:val="en-US" w:eastAsia="zh-CN"/>
              </w:rPr>
              <w:t>2型糖尿病患者基层规范管理服务率</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F152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718C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60.00</w:t>
            </w: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3DB4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8A37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540F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9394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765DA">
            <w:pPr>
              <w:jc w:val="center"/>
              <w:rPr>
                <w:rFonts w:hint="eastAsia" w:ascii="宋体" w:eastAsia="宋体" w:cs="宋体"/>
                <w:i w:val="0"/>
                <w:iCs w:val="0"/>
                <w:color w:val="000000"/>
                <w:sz w:val="18"/>
                <w:szCs w:val="18"/>
                <w:u w:val="none"/>
              </w:rPr>
            </w:pPr>
          </w:p>
        </w:tc>
      </w:tr>
      <w:tr w14:paraId="6C897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A5193">
            <w:pPr>
              <w:jc w:val="center"/>
              <w:rPr>
                <w:rFonts w:hint="eastAsia" w:ascii="宋体" w:eastAsia="宋体" w:cs="宋体"/>
                <w:i w:val="0"/>
                <w:iCs w:val="0"/>
                <w:color w:val="000000"/>
                <w:sz w:val="18"/>
                <w:szCs w:val="18"/>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B448A">
            <w:pPr>
              <w:keepNext w:val="0"/>
              <w:keepLines w:val="0"/>
              <w:widowControl/>
              <w:suppressLineNumbers w:val="0"/>
              <w:jc w:val="center"/>
              <w:textAlignment w:val="center"/>
              <w:rPr>
                <w:rFonts w:ascii="宋体" w:eastAsia="宋体" w:cs="宋体"/>
                <w:i w:val="0"/>
                <w:iCs w:val="0"/>
                <w:color w:val="000000"/>
                <w:sz w:val="18"/>
                <w:szCs w:val="18"/>
                <w:u w:val="none"/>
              </w:rPr>
            </w:pPr>
            <w:r>
              <w:rPr>
                <w:rStyle w:val="31"/>
                <w:lang w:val="en-US" w:eastAsia="zh-CN"/>
              </w:rPr>
              <w:t>产出指标</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B1D1A">
            <w:pPr>
              <w:keepNext w:val="0"/>
              <w:keepLines w:val="0"/>
              <w:widowControl/>
              <w:suppressLineNumbers w:val="0"/>
              <w:jc w:val="center"/>
              <w:textAlignment w:val="center"/>
              <w:rPr>
                <w:rFonts w:ascii="宋体" w:eastAsia="宋体" w:cs="宋体"/>
                <w:i w:val="0"/>
                <w:iCs w:val="0"/>
                <w:color w:val="000000"/>
                <w:sz w:val="18"/>
                <w:szCs w:val="18"/>
                <w:u w:val="none"/>
              </w:rPr>
            </w:pPr>
            <w:r>
              <w:rPr>
                <w:rStyle w:val="31"/>
                <w:lang w:val="en-US" w:eastAsia="zh-CN"/>
              </w:rPr>
              <w:t>质量指标</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12D80">
            <w:pPr>
              <w:keepNext w:val="0"/>
              <w:keepLines w:val="0"/>
              <w:widowControl/>
              <w:suppressLineNumbers w:val="0"/>
              <w:jc w:val="center"/>
              <w:textAlignment w:val="center"/>
              <w:rPr>
                <w:rFonts w:ascii="宋体" w:eastAsia="宋体" w:cs="宋体"/>
                <w:i w:val="0"/>
                <w:iCs w:val="0"/>
                <w:color w:val="000000"/>
                <w:sz w:val="18"/>
                <w:szCs w:val="18"/>
                <w:u w:val="none"/>
              </w:rPr>
            </w:pPr>
            <w:r>
              <w:rPr>
                <w:rStyle w:val="31"/>
                <w:lang w:val="en-US" w:eastAsia="zh-CN"/>
              </w:rPr>
              <w:t>高血压患者基层规范管理服务率</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3C2D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2017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60.00</w:t>
            </w: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B3BA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0A0A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21B1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92B1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F219D">
            <w:pPr>
              <w:jc w:val="center"/>
              <w:rPr>
                <w:rFonts w:hint="eastAsia" w:ascii="宋体" w:eastAsia="宋体" w:cs="宋体"/>
                <w:i w:val="0"/>
                <w:iCs w:val="0"/>
                <w:color w:val="000000"/>
                <w:sz w:val="18"/>
                <w:szCs w:val="18"/>
                <w:u w:val="none"/>
              </w:rPr>
            </w:pPr>
          </w:p>
        </w:tc>
      </w:tr>
      <w:tr w14:paraId="0B131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88CE9">
            <w:pPr>
              <w:jc w:val="center"/>
              <w:rPr>
                <w:rFonts w:hint="eastAsia" w:ascii="宋体" w:eastAsia="宋体" w:cs="宋体"/>
                <w:i w:val="0"/>
                <w:iCs w:val="0"/>
                <w:color w:val="000000"/>
                <w:sz w:val="18"/>
                <w:szCs w:val="18"/>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06B11">
            <w:pPr>
              <w:keepNext w:val="0"/>
              <w:keepLines w:val="0"/>
              <w:widowControl/>
              <w:suppressLineNumbers w:val="0"/>
              <w:jc w:val="center"/>
              <w:textAlignment w:val="center"/>
              <w:rPr>
                <w:rFonts w:ascii="宋体" w:eastAsia="宋体" w:cs="宋体"/>
                <w:i w:val="0"/>
                <w:iCs w:val="0"/>
                <w:color w:val="000000"/>
                <w:sz w:val="18"/>
                <w:szCs w:val="18"/>
                <w:u w:val="none"/>
              </w:rPr>
            </w:pPr>
            <w:r>
              <w:rPr>
                <w:rStyle w:val="31"/>
                <w:lang w:val="en-US" w:eastAsia="zh-CN"/>
              </w:rPr>
              <w:t>产出指标</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3C4CB">
            <w:pPr>
              <w:keepNext w:val="0"/>
              <w:keepLines w:val="0"/>
              <w:widowControl/>
              <w:suppressLineNumbers w:val="0"/>
              <w:jc w:val="center"/>
              <w:textAlignment w:val="center"/>
              <w:rPr>
                <w:rFonts w:ascii="宋体" w:eastAsia="宋体" w:cs="宋体"/>
                <w:i w:val="0"/>
                <w:iCs w:val="0"/>
                <w:color w:val="000000"/>
                <w:sz w:val="18"/>
                <w:szCs w:val="18"/>
                <w:u w:val="none"/>
              </w:rPr>
            </w:pPr>
            <w:r>
              <w:rPr>
                <w:rStyle w:val="31"/>
                <w:lang w:val="en-US" w:eastAsia="zh-CN"/>
              </w:rPr>
              <w:t>质量指标</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AAFCB">
            <w:pPr>
              <w:keepNext w:val="0"/>
              <w:keepLines w:val="0"/>
              <w:widowControl/>
              <w:suppressLineNumbers w:val="0"/>
              <w:jc w:val="center"/>
              <w:textAlignment w:val="center"/>
              <w:rPr>
                <w:rFonts w:ascii="宋体" w:eastAsia="宋体" w:cs="宋体"/>
                <w:i w:val="0"/>
                <w:iCs w:val="0"/>
                <w:color w:val="000000"/>
                <w:sz w:val="18"/>
                <w:szCs w:val="18"/>
                <w:u w:val="none"/>
              </w:rPr>
            </w:pPr>
            <w:r>
              <w:rPr>
                <w:rStyle w:val="31"/>
                <w:lang w:val="en-US" w:eastAsia="zh-CN"/>
              </w:rPr>
              <w:t>居民规范化电子健康档案覆盖率</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1F11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C878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70.00</w:t>
            </w: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E046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DC9E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70.00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62B1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40CA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A3D68">
            <w:pPr>
              <w:jc w:val="center"/>
              <w:rPr>
                <w:rFonts w:hint="eastAsia" w:ascii="宋体" w:eastAsia="宋体" w:cs="宋体"/>
                <w:i w:val="0"/>
                <w:iCs w:val="0"/>
                <w:color w:val="000000"/>
                <w:sz w:val="18"/>
                <w:szCs w:val="18"/>
                <w:u w:val="none"/>
              </w:rPr>
            </w:pPr>
          </w:p>
        </w:tc>
      </w:tr>
      <w:tr w14:paraId="23001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6EE31">
            <w:pPr>
              <w:jc w:val="center"/>
              <w:rPr>
                <w:rFonts w:hint="eastAsia" w:ascii="宋体" w:eastAsia="宋体" w:cs="宋体"/>
                <w:i w:val="0"/>
                <w:iCs w:val="0"/>
                <w:color w:val="000000"/>
                <w:sz w:val="18"/>
                <w:szCs w:val="18"/>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BF083">
            <w:pPr>
              <w:keepNext w:val="0"/>
              <w:keepLines w:val="0"/>
              <w:widowControl/>
              <w:suppressLineNumbers w:val="0"/>
              <w:jc w:val="center"/>
              <w:textAlignment w:val="center"/>
              <w:rPr>
                <w:rFonts w:ascii="宋体" w:eastAsia="宋体" w:cs="宋体"/>
                <w:i w:val="0"/>
                <w:iCs w:val="0"/>
                <w:color w:val="000000"/>
                <w:sz w:val="18"/>
                <w:szCs w:val="18"/>
                <w:u w:val="none"/>
              </w:rPr>
            </w:pPr>
            <w:r>
              <w:rPr>
                <w:rStyle w:val="31"/>
                <w:lang w:val="en-US" w:eastAsia="zh-CN"/>
              </w:rPr>
              <w:t>效益指标</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0BC0F">
            <w:pPr>
              <w:keepNext w:val="0"/>
              <w:keepLines w:val="0"/>
              <w:widowControl/>
              <w:suppressLineNumbers w:val="0"/>
              <w:jc w:val="center"/>
              <w:textAlignment w:val="center"/>
              <w:rPr>
                <w:rFonts w:ascii="宋体" w:eastAsia="宋体" w:cs="宋体"/>
                <w:i w:val="0"/>
                <w:iCs w:val="0"/>
                <w:color w:val="000000"/>
                <w:sz w:val="18"/>
                <w:szCs w:val="18"/>
                <w:u w:val="none"/>
              </w:rPr>
            </w:pPr>
            <w:r>
              <w:rPr>
                <w:rStyle w:val="31"/>
                <w:lang w:val="en-US" w:eastAsia="zh-CN"/>
              </w:rPr>
              <w:t>社会效益指标</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9F925">
            <w:pPr>
              <w:keepNext w:val="0"/>
              <w:keepLines w:val="0"/>
              <w:widowControl/>
              <w:suppressLineNumbers w:val="0"/>
              <w:jc w:val="center"/>
              <w:textAlignment w:val="center"/>
              <w:rPr>
                <w:rFonts w:ascii="宋体" w:eastAsia="宋体" w:cs="宋体"/>
                <w:i w:val="0"/>
                <w:iCs w:val="0"/>
                <w:color w:val="000000"/>
                <w:sz w:val="18"/>
                <w:szCs w:val="18"/>
                <w:u w:val="none"/>
              </w:rPr>
            </w:pPr>
            <w:r>
              <w:rPr>
                <w:rStyle w:val="31"/>
                <w:lang w:val="en-US" w:eastAsia="zh-CN"/>
              </w:rPr>
              <w:t>居民健康素养水平</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1066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0D729">
            <w:pPr>
              <w:keepNext w:val="0"/>
              <w:keepLines w:val="0"/>
              <w:widowControl/>
              <w:suppressLineNumbers w:val="0"/>
              <w:jc w:val="center"/>
              <w:textAlignment w:val="center"/>
              <w:rPr>
                <w:rFonts w:ascii="宋体" w:eastAsia="宋体" w:cs="宋体"/>
                <w:i w:val="0"/>
                <w:iCs w:val="0"/>
                <w:color w:val="000000"/>
                <w:sz w:val="18"/>
                <w:szCs w:val="18"/>
                <w:u w:val="none"/>
              </w:rPr>
            </w:pPr>
            <w:r>
              <w:rPr>
                <w:rStyle w:val="31"/>
                <w:lang w:val="en-US" w:eastAsia="zh-CN"/>
              </w:rPr>
              <w:t>不断提高</w:t>
            </w: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9690F">
            <w:pPr>
              <w:jc w:val="center"/>
              <w:rPr>
                <w:rFonts w:hint="eastAsia" w:asci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65A56">
            <w:pPr>
              <w:keepNext w:val="0"/>
              <w:keepLines w:val="0"/>
              <w:widowControl/>
              <w:suppressLineNumbers w:val="0"/>
              <w:jc w:val="center"/>
              <w:textAlignment w:val="center"/>
              <w:rPr>
                <w:rFonts w:ascii="宋体" w:eastAsia="宋体" w:cs="宋体"/>
                <w:i w:val="0"/>
                <w:iCs w:val="0"/>
                <w:color w:val="000000"/>
                <w:sz w:val="18"/>
                <w:szCs w:val="18"/>
                <w:u w:val="none"/>
              </w:rPr>
            </w:pPr>
            <w:r>
              <w:rPr>
                <w:rStyle w:val="31"/>
                <w:lang w:val="en-US" w:eastAsia="zh-CN"/>
              </w:rPr>
              <w:t>不断提高</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7FCB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0B9B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20.00</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30CA9">
            <w:pPr>
              <w:jc w:val="center"/>
              <w:rPr>
                <w:rFonts w:hint="eastAsia" w:ascii="宋体" w:eastAsia="宋体" w:cs="宋体"/>
                <w:i w:val="0"/>
                <w:iCs w:val="0"/>
                <w:color w:val="000000"/>
                <w:sz w:val="18"/>
                <w:szCs w:val="18"/>
                <w:u w:val="none"/>
              </w:rPr>
            </w:pPr>
          </w:p>
        </w:tc>
      </w:tr>
      <w:tr w14:paraId="45AEB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B9D9F">
            <w:pPr>
              <w:jc w:val="center"/>
              <w:rPr>
                <w:rFonts w:hint="eastAsia" w:ascii="宋体" w:eastAsia="宋体" w:cs="宋体"/>
                <w:i w:val="0"/>
                <w:iCs w:val="0"/>
                <w:color w:val="000000"/>
                <w:sz w:val="18"/>
                <w:szCs w:val="18"/>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B0A3E">
            <w:pPr>
              <w:keepNext w:val="0"/>
              <w:keepLines w:val="0"/>
              <w:widowControl/>
              <w:suppressLineNumbers w:val="0"/>
              <w:jc w:val="center"/>
              <w:textAlignment w:val="center"/>
              <w:rPr>
                <w:rFonts w:ascii="宋体" w:eastAsia="宋体" w:cs="宋体"/>
                <w:i w:val="0"/>
                <w:iCs w:val="0"/>
                <w:color w:val="000000"/>
                <w:sz w:val="18"/>
                <w:szCs w:val="18"/>
                <w:u w:val="none"/>
              </w:rPr>
            </w:pPr>
            <w:r>
              <w:rPr>
                <w:rStyle w:val="31"/>
                <w:lang w:val="en-US" w:eastAsia="zh-CN"/>
              </w:rPr>
              <w:t>满意度指标</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D4F41">
            <w:pPr>
              <w:keepNext w:val="0"/>
              <w:keepLines w:val="0"/>
              <w:widowControl/>
              <w:suppressLineNumbers w:val="0"/>
              <w:jc w:val="center"/>
              <w:textAlignment w:val="center"/>
              <w:rPr>
                <w:rFonts w:ascii="宋体" w:eastAsia="宋体" w:cs="宋体"/>
                <w:i w:val="0"/>
                <w:iCs w:val="0"/>
                <w:color w:val="000000"/>
                <w:sz w:val="18"/>
                <w:szCs w:val="18"/>
                <w:u w:val="none"/>
              </w:rPr>
            </w:pPr>
            <w:r>
              <w:rPr>
                <w:rStyle w:val="31"/>
                <w:lang w:val="en-US" w:eastAsia="zh-CN"/>
              </w:rPr>
              <w:t>服务对象满意度指标</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02C64">
            <w:pPr>
              <w:keepNext w:val="0"/>
              <w:keepLines w:val="0"/>
              <w:widowControl/>
              <w:suppressLineNumbers w:val="0"/>
              <w:jc w:val="center"/>
              <w:textAlignment w:val="center"/>
              <w:rPr>
                <w:rFonts w:ascii="宋体" w:eastAsia="宋体" w:cs="宋体"/>
                <w:i w:val="0"/>
                <w:iCs w:val="0"/>
                <w:color w:val="000000"/>
                <w:sz w:val="18"/>
                <w:szCs w:val="18"/>
                <w:u w:val="none"/>
              </w:rPr>
            </w:pPr>
            <w:r>
              <w:rPr>
                <w:rStyle w:val="31"/>
                <w:lang w:val="en-US" w:eastAsia="zh-CN"/>
              </w:rPr>
              <w:t>服务对象满意度</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3A6C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7ACD6">
            <w:pPr>
              <w:keepNext w:val="0"/>
              <w:keepLines w:val="0"/>
              <w:widowControl/>
              <w:suppressLineNumbers w:val="0"/>
              <w:jc w:val="center"/>
              <w:textAlignment w:val="center"/>
              <w:rPr>
                <w:rFonts w:ascii="宋体" w:eastAsia="宋体" w:cs="宋体"/>
                <w:i w:val="0"/>
                <w:iCs w:val="0"/>
                <w:color w:val="000000"/>
                <w:sz w:val="18"/>
                <w:szCs w:val="18"/>
                <w:u w:val="none"/>
              </w:rPr>
            </w:pPr>
            <w:r>
              <w:rPr>
                <w:rFonts w:hint="eastAsia" w:ascii="宋体" w:cs="宋体"/>
                <w:i w:val="0"/>
                <w:iCs w:val="0"/>
                <w:color w:val="000000"/>
                <w:kern w:val="0"/>
                <w:sz w:val="18"/>
                <w:szCs w:val="18"/>
                <w:u w:val="none"/>
                <w:lang w:val="en-US" w:eastAsia="zh-CN"/>
              </w:rPr>
              <w:t>90</w:t>
            </w:r>
            <w:r>
              <w:rPr>
                <w:rFonts w:ascii="宋体" w:eastAsia="宋体" w:cs="宋体"/>
                <w:i w:val="0"/>
                <w:iCs w:val="0"/>
                <w:color w:val="000000"/>
                <w:kern w:val="0"/>
                <w:sz w:val="18"/>
                <w:szCs w:val="18"/>
                <w:u w:val="none"/>
                <w:lang w:val="en-US" w:eastAsia="zh-CN"/>
              </w:rPr>
              <w:t>.00</w:t>
            </w: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B44E6">
            <w:pPr>
              <w:keepNext w:val="0"/>
              <w:keepLines w:val="0"/>
              <w:widowControl/>
              <w:suppressLineNumbers w:val="0"/>
              <w:jc w:val="center"/>
              <w:textAlignment w:val="center"/>
              <w:rPr>
                <w:rFonts w:hint="eastAsia"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4CA24">
            <w:pPr>
              <w:keepNext w:val="0"/>
              <w:keepLines w:val="0"/>
              <w:widowControl/>
              <w:suppressLineNumbers w:val="0"/>
              <w:jc w:val="center"/>
              <w:textAlignment w:val="center"/>
              <w:rPr>
                <w:rFonts w:ascii="宋体" w:eastAsia="宋体" w:cs="宋体"/>
                <w:i w:val="0"/>
                <w:iCs w:val="0"/>
                <w:color w:val="000000"/>
                <w:sz w:val="18"/>
                <w:szCs w:val="18"/>
                <w:u w:val="none"/>
              </w:rPr>
            </w:pPr>
            <w:r>
              <w:rPr>
                <w:rFonts w:hint="eastAsia" w:ascii="宋体" w:cs="宋体"/>
                <w:i w:val="0"/>
                <w:iCs w:val="0"/>
                <w:color w:val="000000"/>
                <w:kern w:val="0"/>
                <w:sz w:val="18"/>
                <w:szCs w:val="18"/>
                <w:u w:val="none"/>
                <w:lang w:val="en-US" w:eastAsia="zh-CN"/>
              </w:rPr>
              <w:t>90</w:t>
            </w:r>
            <w:r>
              <w:rPr>
                <w:rFonts w:ascii="宋体" w:eastAsia="宋体" w:cs="宋体"/>
                <w:i w:val="0"/>
                <w:iCs w:val="0"/>
                <w:color w:val="000000"/>
                <w:kern w:val="0"/>
                <w:sz w:val="18"/>
                <w:szCs w:val="18"/>
                <w:u w:val="none"/>
                <w:lang w:val="en-US" w:eastAsia="zh-CN"/>
              </w:rPr>
              <w:t>.00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F323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D17C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62C85">
            <w:pPr>
              <w:jc w:val="center"/>
              <w:rPr>
                <w:rFonts w:hint="eastAsia" w:ascii="宋体" w:eastAsia="宋体" w:cs="宋体"/>
                <w:i w:val="0"/>
                <w:iCs w:val="0"/>
                <w:color w:val="000000"/>
                <w:sz w:val="18"/>
                <w:szCs w:val="18"/>
                <w:u w:val="none"/>
              </w:rPr>
            </w:pPr>
          </w:p>
        </w:tc>
      </w:tr>
      <w:tr w14:paraId="347C1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26345">
            <w:pPr>
              <w:jc w:val="center"/>
              <w:rPr>
                <w:rFonts w:hint="eastAsia" w:ascii="宋体" w:eastAsia="宋体" w:cs="宋体"/>
                <w:i w:val="0"/>
                <w:iCs w:val="0"/>
                <w:color w:val="000000"/>
                <w:sz w:val="18"/>
                <w:szCs w:val="18"/>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7CBA4">
            <w:pPr>
              <w:jc w:val="center"/>
              <w:rPr>
                <w:rFonts w:hint="eastAsia" w:ascii="宋体" w:eastAsia="宋体" w:cs="宋体"/>
                <w:i w:val="0"/>
                <w:iCs w:val="0"/>
                <w:color w:val="000000"/>
                <w:sz w:val="18"/>
                <w:szCs w:val="18"/>
                <w:u w:val="none"/>
              </w:rPr>
            </w:pP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8F8A4">
            <w:pPr>
              <w:jc w:val="center"/>
              <w:rPr>
                <w:rFonts w:hint="eastAsia" w:ascii="宋体" w:eastAsia="宋体" w:cs="宋体"/>
                <w:i w:val="0"/>
                <w:iCs w:val="0"/>
                <w:color w:val="000000"/>
                <w:sz w:val="18"/>
                <w:szCs w:val="18"/>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D3B21">
            <w:pPr>
              <w:jc w:val="center"/>
              <w:rPr>
                <w:rFonts w:hint="eastAsia" w:ascii="宋体" w:eastAsia="宋体" w:cs="宋体"/>
                <w:i w:val="0"/>
                <w:iCs w:val="0"/>
                <w:color w:val="000000"/>
                <w:sz w:val="18"/>
                <w:szCs w:val="18"/>
                <w:u w:val="none"/>
              </w:rPr>
            </w:pP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60083">
            <w:pPr>
              <w:jc w:val="center"/>
              <w:rPr>
                <w:rFonts w:hint="eastAsia" w:ascii="宋体" w:eastAsia="宋体" w:cs="宋体"/>
                <w:i w:val="0"/>
                <w:iCs w:val="0"/>
                <w:color w:val="000000"/>
                <w:sz w:val="18"/>
                <w:szCs w:val="18"/>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B06ED">
            <w:pPr>
              <w:jc w:val="center"/>
              <w:rPr>
                <w:rFonts w:hint="eastAsia" w:ascii="宋体" w:eastAsia="宋体" w:cs="宋体"/>
                <w:i w:val="0"/>
                <w:iCs w:val="0"/>
                <w:color w:val="000000"/>
                <w:sz w:val="18"/>
                <w:szCs w:val="18"/>
                <w:u w:val="none"/>
              </w:rPr>
            </w:pP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31889">
            <w:pPr>
              <w:jc w:val="center"/>
              <w:rPr>
                <w:rFonts w:hint="eastAsia" w:asci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DF281">
            <w:pPr>
              <w:jc w:val="center"/>
              <w:rPr>
                <w:rFonts w:hint="eastAsia" w:asci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A1E96">
            <w:pPr>
              <w:jc w:val="center"/>
              <w:rPr>
                <w:rFonts w:hint="eastAsia" w:asci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288C0">
            <w:pPr>
              <w:jc w:val="center"/>
              <w:rPr>
                <w:rFonts w:hint="eastAsia" w:ascii="宋体" w:eastAsia="宋体" w:cs="宋体"/>
                <w:i w:val="0"/>
                <w:iCs w:val="0"/>
                <w:color w:val="000000"/>
                <w:sz w:val="18"/>
                <w:szCs w:val="18"/>
                <w:u w:val="none"/>
              </w:rPr>
            </w:pP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4BADB">
            <w:pPr>
              <w:jc w:val="center"/>
              <w:rPr>
                <w:rFonts w:hint="eastAsia" w:ascii="宋体" w:eastAsia="宋体" w:cs="宋体"/>
                <w:i w:val="0"/>
                <w:iCs w:val="0"/>
                <w:color w:val="000000"/>
                <w:sz w:val="18"/>
                <w:szCs w:val="18"/>
                <w:u w:val="none"/>
              </w:rPr>
            </w:pPr>
          </w:p>
        </w:tc>
      </w:tr>
      <w:tr w14:paraId="04CE1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A778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5D0F6">
            <w:pPr>
              <w:jc w:val="center"/>
              <w:rPr>
                <w:rFonts w:hint="eastAsia" w:ascii="宋体" w:eastAsia="宋体" w:cs="宋体"/>
                <w:i w:val="0"/>
                <w:iCs w:val="0"/>
                <w:color w:val="000000"/>
                <w:sz w:val="18"/>
                <w:szCs w:val="18"/>
                <w:u w:val="none"/>
              </w:rPr>
            </w:pP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6192F">
            <w:pPr>
              <w:jc w:val="center"/>
              <w:rPr>
                <w:rFonts w:hint="eastAsia" w:ascii="宋体" w:eastAsia="宋体" w:cs="宋体"/>
                <w:i w:val="0"/>
                <w:iCs w:val="0"/>
                <w:color w:val="000000"/>
                <w:sz w:val="18"/>
                <w:szCs w:val="18"/>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1E130">
            <w:pPr>
              <w:jc w:val="center"/>
              <w:rPr>
                <w:rFonts w:hint="eastAsia" w:ascii="宋体" w:eastAsia="宋体" w:cs="宋体"/>
                <w:i w:val="0"/>
                <w:iCs w:val="0"/>
                <w:color w:val="000000"/>
                <w:sz w:val="18"/>
                <w:szCs w:val="18"/>
                <w:u w:val="none"/>
              </w:rPr>
            </w:pP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54D5C">
            <w:pPr>
              <w:jc w:val="center"/>
              <w:rPr>
                <w:rFonts w:hint="eastAsia" w:ascii="宋体" w:eastAsia="宋体" w:cs="宋体"/>
                <w:i w:val="0"/>
                <w:iCs w:val="0"/>
                <w:color w:val="000000"/>
                <w:sz w:val="18"/>
                <w:szCs w:val="18"/>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C24B6">
            <w:pPr>
              <w:jc w:val="center"/>
              <w:rPr>
                <w:rFonts w:hint="eastAsia" w:ascii="宋体" w:eastAsia="宋体" w:cs="宋体"/>
                <w:i w:val="0"/>
                <w:iCs w:val="0"/>
                <w:color w:val="000000"/>
                <w:sz w:val="18"/>
                <w:szCs w:val="18"/>
                <w:u w:val="none"/>
              </w:rPr>
            </w:pP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09313">
            <w:pPr>
              <w:jc w:val="center"/>
              <w:rPr>
                <w:rFonts w:hint="eastAsia" w:asci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63787">
            <w:pPr>
              <w:jc w:val="center"/>
              <w:rPr>
                <w:rFonts w:hint="eastAsia" w:asci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3370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57CA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BE6DF">
            <w:pPr>
              <w:jc w:val="center"/>
              <w:rPr>
                <w:rFonts w:hint="eastAsia" w:ascii="宋体" w:eastAsia="宋体" w:cs="宋体"/>
                <w:i w:val="0"/>
                <w:iCs w:val="0"/>
                <w:color w:val="000000"/>
                <w:sz w:val="18"/>
                <w:szCs w:val="18"/>
                <w:u w:val="none"/>
              </w:rPr>
            </w:pPr>
          </w:p>
        </w:tc>
      </w:tr>
      <w:tr w14:paraId="43245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3BD8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1025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0546D09">
            <w:pPr>
              <w:keepNext w:val="0"/>
              <w:keepLines w:val="0"/>
              <w:widowControl/>
              <w:suppressLineNumbers w:val="0"/>
              <w:jc w:val="left"/>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通过实施基本公共卫生服务项目，对影响居民健康的主要卫生问题实施干预，减少主要健康危险因素，有效预防和控制主要传染病及慢性病，使城乡居民逐步享有均等化的公共卫生服务。</w:t>
            </w:r>
          </w:p>
        </w:tc>
      </w:tr>
      <w:tr w14:paraId="71A1C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B49A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1025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882A6C4">
            <w:pPr>
              <w:rPr>
                <w:rFonts w:hint="eastAsia" w:ascii="微软雅黑" w:eastAsia="微软雅黑" w:cs="微软雅黑"/>
                <w:i/>
                <w:iCs/>
                <w:color w:val="000000"/>
                <w:sz w:val="16"/>
                <w:szCs w:val="16"/>
                <w:u w:val="none"/>
              </w:rPr>
            </w:pPr>
          </w:p>
        </w:tc>
      </w:tr>
      <w:tr w14:paraId="0316A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E6BF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1025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7872834">
            <w:pPr>
              <w:rPr>
                <w:rFonts w:hint="eastAsia" w:ascii="微软雅黑" w:eastAsia="微软雅黑" w:cs="微软雅黑"/>
                <w:i/>
                <w:iCs/>
                <w:color w:val="000000"/>
                <w:sz w:val="16"/>
                <w:szCs w:val="16"/>
                <w:u w:val="none"/>
              </w:rPr>
            </w:pPr>
          </w:p>
        </w:tc>
      </w:tr>
      <w:tr w14:paraId="09B88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C5431C">
            <w:pPr>
              <w:keepNext w:val="0"/>
              <w:keepLines w:val="0"/>
              <w:widowControl/>
              <w:suppressLineNumbers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项目负责人：孟国兵</w:t>
            </w:r>
          </w:p>
        </w:tc>
        <w:tc>
          <w:tcPr>
            <w:tcW w:w="548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1E81382">
            <w:pPr>
              <w:keepNext w:val="0"/>
              <w:keepLines w:val="0"/>
              <w:widowControl/>
              <w:suppressLineNumbers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财务负责人：苏忠琼</w:t>
            </w:r>
          </w:p>
        </w:tc>
      </w:tr>
    </w:tbl>
    <w:p w14:paraId="6C4DA932">
      <w:pPr>
        <w:spacing w:line="572" w:lineRule="exact"/>
        <w:jc w:val="left"/>
        <w:outlineLvl w:val="9"/>
        <w:rPr>
          <w:rFonts w:ascii="仿宋_GB2312" w:eastAsia="仿宋_GB2312" w:cs="仿宋_GB2312"/>
          <w:sz w:val="32"/>
          <w:szCs w:val="32"/>
        </w:rPr>
      </w:pPr>
    </w:p>
    <w:p w14:paraId="0A91E356">
      <w:pPr>
        <w:pStyle w:val="8"/>
        <w:spacing w:before="93" w:beforeLines="0"/>
        <w:rPr>
          <w:rFonts w:cs="仿宋"/>
          <w:sz w:val="32"/>
          <w:szCs w:val="32"/>
        </w:rPr>
      </w:pPr>
      <w:bookmarkStart w:id="77" w:name="_Toc15396618"/>
    </w:p>
    <w:p w14:paraId="7D78276D">
      <w:pPr>
        <w:pStyle w:val="8"/>
        <w:spacing w:before="93" w:beforeLines="0"/>
        <w:rPr>
          <w:rFonts w:cs="仿宋"/>
          <w:sz w:val="32"/>
          <w:szCs w:val="32"/>
        </w:rPr>
      </w:pPr>
    </w:p>
    <w:p w14:paraId="17C2CC8E">
      <w:pPr>
        <w:pStyle w:val="8"/>
        <w:spacing w:before="93" w:beforeLines="0"/>
        <w:rPr>
          <w:rFonts w:cs="仿宋"/>
          <w:sz w:val="32"/>
          <w:szCs w:val="32"/>
        </w:rPr>
      </w:pPr>
    </w:p>
    <w:p w14:paraId="79A13EA8">
      <w:pPr>
        <w:pStyle w:val="8"/>
        <w:spacing w:before="93" w:beforeLines="0"/>
        <w:rPr>
          <w:rFonts w:cs="仿宋"/>
          <w:sz w:val="32"/>
          <w:szCs w:val="32"/>
        </w:rPr>
      </w:pPr>
    </w:p>
    <w:p w14:paraId="40F0E8D7">
      <w:pPr>
        <w:pStyle w:val="8"/>
        <w:spacing w:before="93" w:beforeLines="0"/>
        <w:rPr>
          <w:rFonts w:cs="仿宋"/>
          <w:sz w:val="32"/>
          <w:szCs w:val="32"/>
        </w:rPr>
      </w:pPr>
    </w:p>
    <w:p w14:paraId="5B86A12E">
      <w:pPr>
        <w:pStyle w:val="8"/>
        <w:spacing w:before="93" w:beforeLines="0"/>
        <w:rPr>
          <w:rFonts w:cs="仿宋"/>
          <w:sz w:val="32"/>
          <w:szCs w:val="32"/>
        </w:rPr>
      </w:pPr>
    </w:p>
    <w:p w14:paraId="7CC726A4">
      <w:pPr>
        <w:pStyle w:val="8"/>
        <w:spacing w:before="93" w:beforeLines="0"/>
        <w:rPr>
          <w:rFonts w:cs="仿宋"/>
          <w:sz w:val="32"/>
          <w:szCs w:val="32"/>
        </w:rPr>
      </w:pPr>
    </w:p>
    <w:p w14:paraId="21E462B2">
      <w:pPr>
        <w:pStyle w:val="8"/>
        <w:spacing w:before="93" w:beforeLines="0"/>
        <w:rPr>
          <w:rFonts w:cs="仿宋"/>
          <w:sz w:val="32"/>
          <w:szCs w:val="32"/>
        </w:rPr>
      </w:pPr>
    </w:p>
    <w:p w14:paraId="16162800">
      <w:pPr>
        <w:spacing w:line="600" w:lineRule="exact"/>
        <w:jc w:val="center"/>
        <w:outlineLvl w:val="0"/>
        <w:rPr>
          <w:rFonts w:hint="eastAsia" w:ascii="方正小标宋简体" w:hAnsi="方正小标宋简体" w:eastAsia="方正小标宋简体" w:cs="方正小标宋简体"/>
          <w:sz w:val="44"/>
          <w:szCs w:val="44"/>
        </w:rPr>
      </w:pPr>
      <w:bookmarkStart w:id="78" w:name="_Toc4401"/>
      <w:r>
        <w:rPr>
          <w:rFonts w:hint="eastAsia" w:ascii="方正小标宋简体" w:hAnsi="方正小标宋简体" w:eastAsia="方正小标宋简体" w:cs="方正小标宋简体"/>
          <w:sz w:val="44"/>
          <w:szCs w:val="44"/>
        </w:rPr>
        <w:t>第</w:t>
      </w:r>
      <w:r>
        <w:rPr>
          <w:rStyle w:val="22"/>
          <w:rFonts w:hint="eastAsia" w:ascii="方正小标宋简体" w:hAnsi="方正小标宋简体" w:eastAsia="方正小标宋简体" w:cs="方正小标宋简体"/>
          <w:b w:val="0"/>
          <w:sz w:val="44"/>
          <w:szCs w:val="44"/>
        </w:rPr>
        <w:t>五部分 附表</w:t>
      </w:r>
      <w:bookmarkEnd w:id="75"/>
      <w:bookmarkEnd w:id="77"/>
      <w:bookmarkEnd w:id="78"/>
      <w:bookmarkStart w:id="79" w:name="_Toc15396619"/>
    </w:p>
    <w:p w14:paraId="7B481272">
      <w:pPr>
        <w:pStyle w:val="4"/>
        <w:rPr>
          <w:rFonts w:hint="eastAsia" w:ascii="仿宋_GB2312" w:hAnsi="仿宋_GB2312" w:eastAsia="仿宋_GB2312" w:cs="仿宋_GB2312"/>
        </w:rPr>
      </w:pPr>
      <w:bookmarkStart w:id="80" w:name="_Toc15758"/>
      <w:r>
        <w:rPr>
          <w:rFonts w:hint="eastAsia" w:ascii="仿宋_GB2312" w:hAnsi="仿宋_GB2312" w:eastAsia="仿宋_GB2312" w:cs="仿宋_GB2312"/>
          <w:b w:val="0"/>
        </w:rPr>
        <w:t>一、收</w:t>
      </w:r>
      <w:r>
        <w:rPr>
          <w:rStyle w:val="23"/>
          <w:rFonts w:hint="eastAsia" w:ascii="仿宋_GB2312" w:hAnsi="仿宋_GB2312" w:eastAsia="仿宋_GB2312" w:cs="仿宋_GB2312"/>
          <w:b w:val="0"/>
          <w:bCs w:val="0"/>
        </w:rPr>
        <w:t>入支出决算总表</w:t>
      </w:r>
      <w:bookmarkEnd w:id="79"/>
      <w:bookmarkEnd w:id="80"/>
    </w:p>
    <w:p w14:paraId="60139148">
      <w:pPr>
        <w:pStyle w:val="4"/>
        <w:rPr>
          <w:rFonts w:hint="eastAsia" w:ascii="仿宋_GB2312" w:hAnsi="仿宋_GB2312" w:eastAsia="仿宋_GB2312" w:cs="仿宋_GB2312"/>
        </w:rPr>
      </w:pPr>
      <w:bookmarkStart w:id="81" w:name="_Toc14140"/>
      <w:bookmarkStart w:id="82" w:name="_Toc15396620"/>
      <w:r>
        <w:rPr>
          <w:rFonts w:hint="eastAsia" w:ascii="仿宋_GB2312" w:hAnsi="仿宋_GB2312" w:eastAsia="仿宋_GB2312" w:cs="仿宋_GB2312"/>
          <w:b w:val="0"/>
        </w:rPr>
        <w:t>二、收</w:t>
      </w:r>
      <w:r>
        <w:rPr>
          <w:rStyle w:val="23"/>
          <w:rFonts w:hint="eastAsia" w:ascii="仿宋_GB2312" w:hAnsi="仿宋_GB2312" w:eastAsia="仿宋_GB2312" w:cs="仿宋_GB2312"/>
          <w:b w:val="0"/>
          <w:bCs w:val="0"/>
        </w:rPr>
        <w:t>入决算表</w:t>
      </w:r>
      <w:bookmarkEnd w:id="81"/>
      <w:bookmarkEnd w:id="82"/>
    </w:p>
    <w:p w14:paraId="42140A05">
      <w:pPr>
        <w:pStyle w:val="4"/>
        <w:rPr>
          <w:rFonts w:hint="eastAsia" w:ascii="仿宋_GB2312" w:hAnsi="仿宋_GB2312" w:eastAsia="仿宋_GB2312" w:cs="仿宋_GB2312"/>
        </w:rPr>
      </w:pPr>
      <w:bookmarkStart w:id="83" w:name="_Toc10005"/>
      <w:bookmarkStart w:id="84" w:name="_Toc15396621"/>
      <w:r>
        <w:rPr>
          <w:rStyle w:val="23"/>
          <w:rFonts w:hint="eastAsia" w:ascii="仿宋_GB2312" w:hAnsi="仿宋_GB2312" w:eastAsia="仿宋_GB2312" w:cs="仿宋_GB2312"/>
          <w:b w:val="0"/>
          <w:bCs w:val="0"/>
        </w:rPr>
        <w:t>三、</w:t>
      </w:r>
      <w:r>
        <w:rPr>
          <w:rFonts w:hint="eastAsia" w:ascii="仿宋_GB2312" w:hAnsi="仿宋_GB2312" w:eastAsia="仿宋_GB2312" w:cs="仿宋_GB2312"/>
          <w:b w:val="0"/>
        </w:rPr>
        <w:t>支</w:t>
      </w:r>
      <w:r>
        <w:rPr>
          <w:rStyle w:val="23"/>
          <w:rFonts w:hint="eastAsia" w:ascii="仿宋_GB2312" w:hAnsi="仿宋_GB2312" w:eastAsia="仿宋_GB2312" w:cs="仿宋_GB2312"/>
          <w:b w:val="0"/>
          <w:bCs w:val="0"/>
        </w:rPr>
        <w:t>出决算表</w:t>
      </w:r>
      <w:bookmarkEnd w:id="83"/>
      <w:bookmarkEnd w:id="84"/>
    </w:p>
    <w:p w14:paraId="64130FD0">
      <w:pPr>
        <w:pStyle w:val="4"/>
        <w:rPr>
          <w:rFonts w:hint="eastAsia" w:ascii="仿宋_GB2312" w:hAnsi="仿宋_GB2312" w:eastAsia="仿宋_GB2312" w:cs="仿宋_GB2312"/>
          <w:b w:val="0"/>
        </w:rPr>
      </w:pPr>
      <w:bookmarkStart w:id="85" w:name="_Toc15396622"/>
      <w:bookmarkStart w:id="86" w:name="_Toc30034"/>
      <w:r>
        <w:rPr>
          <w:rStyle w:val="23"/>
          <w:rFonts w:hint="eastAsia" w:ascii="仿宋_GB2312" w:hAnsi="仿宋_GB2312" w:eastAsia="仿宋_GB2312" w:cs="仿宋_GB2312"/>
          <w:b w:val="0"/>
          <w:bCs w:val="0"/>
        </w:rPr>
        <w:t>四、</w:t>
      </w:r>
      <w:r>
        <w:rPr>
          <w:rFonts w:hint="eastAsia" w:ascii="仿宋_GB2312" w:hAnsi="仿宋_GB2312" w:eastAsia="仿宋_GB2312" w:cs="仿宋_GB2312"/>
          <w:b w:val="0"/>
        </w:rPr>
        <w:t>财</w:t>
      </w:r>
      <w:r>
        <w:rPr>
          <w:rStyle w:val="23"/>
          <w:rFonts w:hint="eastAsia" w:ascii="仿宋_GB2312" w:hAnsi="仿宋_GB2312" w:eastAsia="仿宋_GB2312" w:cs="仿宋_GB2312"/>
          <w:b w:val="0"/>
          <w:bCs w:val="0"/>
        </w:rPr>
        <w:t>政拨款收入支出决算总表</w:t>
      </w:r>
      <w:bookmarkEnd w:id="85"/>
      <w:bookmarkEnd w:id="86"/>
    </w:p>
    <w:p w14:paraId="5A38F634">
      <w:pPr>
        <w:pStyle w:val="4"/>
        <w:rPr>
          <w:rStyle w:val="23"/>
          <w:rFonts w:hint="eastAsia" w:ascii="仿宋_GB2312" w:hAnsi="仿宋_GB2312" w:eastAsia="仿宋_GB2312" w:cs="仿宋_GB2312"/>
          <w:b w:val="0"/>
          <w:bCs w:val="0"/>
        </w:rPr>
      </w:pPr>
      <w:bookmarkStart w:id="87" w:name="_Toc21487"/>
      <w:bookmarkStart w:id="88" w:name="_Toc15396623"/>
      <w:r>
        <w:rPr>
          <w:rStyle w:val="23"/>
          <w:rFonts w:hint="eastAsia" w:ascii="仿宋_GB2312" w:hAnsi="仿宋_GB2312" w:eastAsia="仿宋_GB2312" w:cs="仿宋_GB2312"/>
          <w:b w:val="0"/>
          <w:bCs w:val="0"/>
        </w:rPr>
        <w:t>五、</w:t>
      </w:r>
      <w:r>
        <w:rPr>
          <w:rFonts w:hint="eastAsia" w:ascii="仿宋_GB2312" w:hAnsi="仿宋_GB2312" w:eastAsia="仿宋_GB2312" w:cs="仿宋_GB2312"/>
          <w:b w:val="0"/>
        </w:rPr>
        <w:t>财</w:t>
      </w:r>
      <w:r>
        <w:rPr>
          <w:rStyle w:val="23"/>
          <w:rFonts w:hint="eastAsia" w:ascii="仿宋_GB2312" w:hAnsi="仿宋_GB2312" w:eastAsia="仿宋_GB2312" w:cs="仿宋_GB2312"/>
          <w:b w:val="0"/>
          <w:bCs w:val="0"/>
        </w:rPr>
        <w:t>政拨款支出决算明细表</w:t>
      </w:r>
      <w:bookmarkEnd w:id="87"/>
      <w:bookmarkEnd w:id="88"/>
      <w:bookmarkStart w:id="89" w:name="_Toc15396624"/>
    </w:p>
    <w:p w14:paraId="7A05F777">
      <w:pPr>
        <w:pStyle w:val="4"/>
        <w:rPr>
          <w:rFonts w:hint="eastAsia" w:ascii="仿宋_GB2312" w:hAnsi="仿宋_GB2312" w:eastAsia="仿宋_GB2312" w:cs="仿宋_GB2312"/>
        </w:rPr>
      </w:pPr>
      <w:bookmarkStart w:id="90" w:name="_Toc13321"/>
      <w:r>
        <w:rPr>
          <w:rStyle w:val="23"/>
          <w:rFonts w:hint="eastAsia" w:ascii="仿宋_GB2312" w:hAnsi="仿宋_GB2312" w:eastAsia="仿宋_GB2312" w:cs="仿宋_GB2312"/>
          <w:b w:val="0"/>
          <w:bCs w:val="0"/>
        </w:rPr>
        <w:t>六、</w:t>
      </w:r>
      <w:r>
        <w:rPr>
          <w:rFonts w:hint="eastAsia" w:ascii="仿宋_GB2312" w:hAnsi="仿宋_GB2312" w:eastAsia="仿宋_GB2312" w:cs="仿宋_GB2312"/>
          <w:b w:val="0"/>
        </w:rPr>
        <w:t>一</w:t>
      </w:r>
      <w:r>
        <w:rPr>
          <w:rStyle w:val="23"/>
          <w:rFonts w:hint="eastAsia" w:ascii="仿宋_GB2312" w:hAnsi="仿宋_GB2312" w:eastAsia="仿宋_GB2312" w:cs="仿宋_GB2312"/>
          <w:b w:val="0"/>
          <w:bCs w:val="0"/>
        </w:rPr>
        <w:t>般公共预算财政拨款支出决算表</w:t>
      </w:r>
      <w:bookmarkEnd w:id="89"/>
      <w:bookmarkEnd w:id="90"/>
    </w:p>
    <w:p w14:paraId="0D8D6B2A">
      <w:pPr>
        <w:pStyle w:val="4"/>
        <w:rPr>
          <w:rFonts w:hint="eastAsia" w:ascii="仿宋_GB2312" w:hAnsi="仿宋_GB2312" w:eastAsia="仿宋_GB2312" w:cs="仿宋_GB2312"/>
        </w:rPr>
      </w:pPr>
      <w:bookmarkStart w:id="91" w:name="_Toc22554"/>
      <w:bookmarkStart w:id="92" w:name="_Toc15396625"/>
      <w:r>
        <w:rPr>
          <w:rStyle w:val="23"/>
          <w:rFonts w:hint="eastAsia" w:ascii="仿宋_GB2312" w:hAnsi="仿宋_GB2312" w:eastAsia="仿宋_GB2312" w:cs="仿宋_GB2312"/>
          <w:b w:val="0"/>
          <w:bCs w:val="0"/>
        </w:rPr>
        <w:t>七、</w:t>
      </w:r>
      <w:r>
        <w:rPr>
          <w:rFonts w:hint="eastAsia" w:ascii="仿宋_GB2312" w:hAnsi="仿宋_GB2312" w:eastAsia="仿宋_GB2312" w:cs="仿宋_GB2312"/>
          <w:b w:val="0"/>
        </w:rPr>
        <w:t>一</w:t>
      </w:r>
      <w:r>
        <w:rPr>
          <w:rStyle w:val="23"/>
          <w:rFonts w:hint="eastAsia" w:ascii="仿宋_GB2312" w:hAnsi="仿宋_GB2312" w:eastAsia="仿宋_GB2312" w:cs="仿宋_GB2312"/>
          <w:b w:val="0"/>
          <w:bCs w:val="0"/>
        </w:rPr>
        <w:t>般公共预算财政拨款支出决算明细表</w:t>
      </w:r>
      <w:bookmarkEnd w:id="91"/>
      <w:bookmarkEnd w:id="92"/>
    </w:p>
    <w:p w14:paraId="6EFA16F7">
      <w:pPr>
        <w:pStyle w:val="4"/>
        <w:rPr>
          <w:rFonts w:hint="eastAsia" w:ascii="仿宋_GB2312" w:hAnsi="仿宋_GB2312" w:eastAsia="仿宋_GB2312" w:cs="仿宋_GB2312"/>
        </w:rPr>
      </w:pPr>
      <w:bookmarkStart w:id="93" w:name="_Toc13881"/>
      <w:bookmarkStart w:id="94" w:name="_Toc15396626"/>
      <w:r>
        <w:rPr>
          <w:rStyle w:val="23"/>
          <w:rFonts w:hint="eastAsia" w:ascii="仿宋_GB2312" w:hAnsi="仿宋_GB2312" w:eastAsia="仿宋_GB2312" w:cs="仿宋_GB2312"/>
          <w:b w:val="0"/>
          <w:bCs w:val="0"/>
        </w:rPr>
        <w:t>八、</w:t>
      </w:r>
      <w:r>
        <w:rPr>
          <w:rFonts w:hint="eastAsia" w:ascii="仿宋_GB2312" w:hAnsi="仿宋_GB2312" w:eastAsia="仿宋_GB2312" w:cs="仿宋_GB2312"/>
          <w:b w:val="0"/>
        </w:rPr>
        <w:t>一</w:t>
      </w:r>
      <w:r>
        <w:rPr>
          <w:rStyle w:val="23"/>
          <w:rFonts w:hint="eastAsia" w:ascii="仿宋_GB2312" w:hAnsi="仿宋_GB2312" w:eastAsia="仿宋_GB2312" w:cs="仿宋_GB2312"/>
          <w:b w:val="0"/>
          <w:bCs w:val="0"/>
        </w:rPr>
        <w:t>般公共预算财政拨款基本支出决算表</w:t>
      </w:r>
      <w:bookmarkEnd w:id="93"/>
      <w:bookmarkEnd w:id="94"/>
    </w:p>
    <w:p w14:paraId="74D311D4">
      <w:pPr>
        <w:pStyle w:val="4"/>
        <w:rPr>
          <w:rFonts w:hint="eastAsia" w:ascii="仿宋_GB2312" w:hAnsi="仿宋_GB2312" w:eastAsia="仿宋_GB2312" w:cs="仿宋_GB2312"/>
        </w:rPr>
      </w:pPr>
      <w:bookmarkStart w:id="95" w:name="_Toc13972"/>
      <w:bookmarkStart w:id="96" w:name="_Toc15396627"/>
      <w:r>
        <w:rPr>
          <w:rStyle w:val="23"/>
          <w:rFonts w:hint="eastAsia" w:ascii="仿宋_GB2312" w:hAnsi="仿宋_GB2312" w:eastAsia="仿宋_GB2312" w:cs="仿宋_GB2312"/>
          <w:b w:val="0"/>
          <w:bCs w:val="0"/>
        </w:rPr>
        <w:t>九、</w:t>
      </w:r>
      <w:r>
        <w:rPr>
          <w:rFonts w:hint="eastAsia" w:ascii="仿宋_GB2312" w:hAnsi="仿宋_GB2312" w:eastAsia="仿宋_GB2312" w:cs="仿宋_GB2312"/>
          <w:b w:val="0"/>
        </w:rPr>
        <w:t>一</w:t>
      </w:r>
      <w:r>
        <w:rPr>
          <w:rStyle w:val="23"/>
          <w:rFonts w:hint="eastAsia" w:ascii="仿宋_GB2312" w:hAnsi="仿宋_GB2312" w:eastAsia="仿宋_GB2312" w:cs="仿宋_GB2312"/>
          <w:b w:val="0"/>
          <w:bCs w:val="0"/>
        </w:rPr>
        <w:t>般公共预算财政拨款项目支出决算表</w:t>
      </w:r>
      <w:bookmarkEnd w:id="95"/>
      <w:bookmarkEnd w:id="96"/>
    </w:p>
    <w:p w14:paraId="5CD5B2F9">
      <w:pPr>
        <w:pStyle w:val="4"/>
        <w:rPr>
          <w:rFonts w:hint="eastAsia" w:ascii="仿宋_GB2312" w:hAnsi="仿宋_GB2312" w:eastAsia="仿宋_GB2312" w:cs="仿宋_GB2312"/>
        </w:rPr>
      </w:pPr>
      <w:bookmarkStart w:id="97" w:name="_Toc15396628"/>
      <w:bookmarkStart w:id="98" w:name="_Toc14411"/>
      <w:r>
        <w:rPr>
          <w:rStyle w:val="23"/>
          <w:rFonts w:hint="eastAsia" w:ascii="仿宋_GB2312" w:hAnsi="仿宋_GB2312" w:eastAsia="仿宋_GB2312" w:cs="仿宋_GB2312"/>
          <w:b w:val="0"/>
          <w:bCs w:val="0"/>
        </w:rPr>
        <w:t>十、</w:t>
      </w:r>
      <w:bookmarkEnd w:id="97"/>
      <w:r>
        <w:rPr>
          <w:rFonts w:hint="eastAsia" w:ascii="仿宋_GB2312" w:hAnsi="仿宋_GB2312" w:eastAsia="仿宋_GB2312" w:cs="仿宋_GB2312"/>
          <w:b w:val="0"/>
        </w:rPr>
        <w:t>政</w:t>
      </w:r>
      <w:r>
        <w:rPr>
          <w:rStyle w:val="23"/>
          <w:rFonts w:hint="eastAsia" w:ascii="仿宋_GB2312" w:hAnsi="仿宋_GB2312" w:eastAsia="仿宋_GB2312" w:cs="仿宋_GB2312"/>
          <w:b w:val="0"/>
          <w:bCs w:val="0"/>
        </w:rPr>
        <w:t>府性基金预算财政拨款收入支出决算表</w:t>
      </w:r>
      <w:bookmarkEnd w:id="98"/>
    </w:p>
    <w:p w14:paraId="0DAC6CA6">
      <w:pPr>
        <w:pStyle w:val="4"/>
        <w:rPr>
          <w:rFonts w:hint="eastAsia" w:ascii="仿宋_GB2312" w:hAnsi="仿宋_GB2312" w:eastAsia="仿宋_GB2312" w:cs="仿宋_GB2312"/>
        </w:rPr>
      </w:pPr>
      <w:bookmarkStart w:id="99" w:name="_Toc15396629"/>
      <w:bookmarkStart w:id="100" w:name="_Toc29183"/>
      <w:r>
        <w:rPr>
          <w:rStyle w:val="23"/>
          <w:rFonts w:hint="eastAsia" w:ascii="仿宋_GB2312" w:hAnsi="仿宋_GB2312" w:eastAsia="仿宋_GB2312" w:cs="仿宋_GB2312"/>
          <w:b w:val="0"/>
          <w:bCs w:val="0"/>
        </w:rPr>
        <w:t>十一、</w:t>
      </w:r>
      <w:bookmarkEnd w:id="99"/>
      <w:r>
        <w:rPr>
          <w:rFonts w:hint="eastAsia" w:ascii="仿宋_GB2312" w:hAnsi="仿宋_GB2312" w:eastAsia="仿宋_GB2312" w:cs="仿宋_GB2312"/>
          <w:b w:val="0"/>
        </w:rPr>
        <w:t>国</w:t>
      </w:r>
      <w:r>
        <w:rPr>
          <w:rStyle w:val="23"/>
          <w:rFonts w:hint="eastAsia" w:ascii="仿宋_GB2312" w:hAnsi="仿宋_GB2312" w:eastAsia="仿宋_GB2312" w:cs="仿宋_GB2312"/>
          <w:b w:val="0"/>
          <w:bCs w:val="0"/>
        </w:rPr>
        <w:t>有资本经营预算财政拨款收入支出决算表</w:t>
      </w:r>
      <w:bookmarkEnd w:id="100"/>
    </w:p>
    <w:p w14:paraId="10E6864E">
      <w:pPr>
        <w:pStyle w:val="4"/>
        <w:rPr>
          <w:rFonts w:hint="eastAsia" w:ascii="仿宋_GB2312" w:hAnsi="仿宋_GB2312" w:eastAsia="仿宋_GB2312" w:cs="仿宋_GB2312"/>
        </w:rPr>
      </w:pPr>
      <w:bookmarkStart w:id="101" w:name="_Toc15396630"/>
      <w:bookmarkStart w:id="102" w:name="_Toc29388"/>
      <w:r>
        <w:rPr>
          <w:rStyle w:val="23"/>
          <w:rFonts w:hint="eastAsia" w:ascii="仿宋_GB2312" w:hAnsi="仿宋_GB2312" w:eastAsia="仿宋_GB2312" w:cs="仿宋_GB2312"/>
          <w:b w:val="0"/>
          <w:bCs w:val="0"/>
        </w:rPr>
        <w:t>十二、</w:t>
      </w:r>
      <w:bookmarkEnd w:id="101"/>
      <w:r>
        <w:rPr>
          <w:rStyle w:val="23"/>
          <w:rFonts w:hint="eastAsia" w:ascii="仿宋_GB2312" w:hAnsi="仿宋_GB2312" w:eastAsia="仿宋_GB2312" w:cs="仿宋_GB2312"/>
          <w:b w:val="0"/>
          <w:bCs w:val="0"/>
        </w:rPr>
        <w:t>国有资本经营预算财政拨款支出决算表</w:t>
      </w:r>
      <w:bookmarkEnd w:id="102"/>
    </w:p>
    <w:p w14:paraId="0B818FA3">
      <w:pPr>
        <w:pStyle w:val="4"/>
        <w:rPr>
          <w:rFonts w:hint="eastAsia" w:ascii="仿宋_GB2312" w:hAnsi="仿宋_GB2312" w:eastAsia="仿宋_GB2312" w:cs="仿宋_GB2312"/>
        </w:rPr>
      </w:pPr>
      <w:bookmarkStart w:id="103" w:name="_Toc15396631"/>
      <w:bookmarkStart w:id="104" w:name="_Toc26458"/>
      <w:r>
        <w:rPr>
          <w:rStyle w:val="23"/>
          <w:rFonts w:hint="eastAsia" w:ascii="仿宋_GB2312" w:hAnsi="仿宋_GB2312" w:eastAsia="仿宋_GB2312" w:cs="仿宋_GB2312"/>
          <w:b w:val="0"/>
          <w:bCs w:val="0"/>
        </w:rPr>
        <w:t>十三、</w:t>
      </w:r>
      <w:bookmarkEnd w:id="103"/>
      <w:r>
        <w:rPr>
          <w:rStyle w:val="23"/>
          <w:rFonts w:hint="eastAsia" w:ascii="仿宋_GB2312" w:hAnsi="仿宋_GB2312" w:eastAsia="仿宋_GB2312" w:cs="仿宋_GB2312"/>
          <w:b w:val="0"/>
          <w:bCs w:val="0"/>
        </w:rPr>
        <w:t>财政拨款“三公”经费支出决算表</w:t>
      </w:r>
      <w:bookmarkEnd w:id="104"/>
    </w:p>
    <w:sectPr>
      <w:footerReference r:id="rId6" w:type="first"/>
      <w:footerReference r:id="rId5"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53044835"/>
    </w:sdtPr>
    <w:sdtContent>
      <w:p w14:paraId="14372906">
        <w:pPr>
          <w:pStyle w:val="13"/>
          <w:jc w:val="center"/>
        </w:pPr>
      </w:p>
    </w:sdtContent>
  </w:sdt>
  <w:p w14:paraId="49276BFF">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5EA9F">
    <w:pPr>
      <w:pStyle w:val="13"/>
      <w:jc w:val="center"/>
    </w:pPr>
    <w:r>
      <w:rPr>
        <w:sz w:val="18"/>
      </w:rP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114300" cy="285115"/>
              <wp:effectExtent l="0" t="0" r="0" b="0"/>
              <wp:wrapNone/>
              <wp:docPr id="1" name="文本框 9"/>
              <wp:cNvGraphicFramePr/>
              <a:graphic xmlns:a="http://schemas.openxmlformats.org/drawingml/2006/main">
                <a:graphicData uri="http://schemas.microsoft.com/office/word/2010/wordprocessingShape">
                  <wps:wsp>
                    <wps:cNvSpPr/>
                    <wps:spPr>
                      <a:xfrm>
                        <a:off x="0" y="0"/>
                        <a:ext cx="114300" cy="285045"/>
                      </a:xfrm>
                      <a:prstGeom prst="rect">
                        <a:avLst/>
                      </a:prstGeom>
                      <a:noFill/>
                      <a:ln w="6350" cap="flat" cmpd="sng">
                        <a:noFill/>
                        <a:prstDash val="solid"/>
                        <a:round/>
                      </a:ln>
                    </wps:spPr>
                    <wps:txbx>
                      <w:txbxContent>
                        <w:sdt>
                          <w:sdtPr>
                            <w:id w:val="-1193305799"/>
                          </w:sdtPr>
                          <w:sdtContent>
                            <w:p w14:paraId="09BB1B52">
                              <w:pPr>
                                <w:pStyle w:val="13"/>
                                <w:jc w:val="center"/>
                              </w:pPr>
                              <w:r>
                                <w:fldChar w:fldCharType="begin"/>
                              </w:r>
                              <w:r>
                                <w:instrText xml:space="preserve">PAGE   \* MERGEFORMAT</w:instrText>
                              </w:r>
                              <w:r>
                                <w:fldChar w:fldCharType="separate"/>
                              </w:r>
                              <w:r>
                                <w:rPr>
                                  <w:lang w:val="zh-CN"/>
                                </w:rPr>
                                <w:t>15</w:t>
                              </w:r>
                              <w:r>
                                <w:fldChar w:fldCharType="end"/>
                              </w:r>
                            </w:p>
                          </w:sdtContent>
                        </w:sdt>
                        <w:p w14:paraId="3A7778E9"/>
                      </w:txbxContent>
                    </wps:txbx>
                    <wps:bodyPr vert="horz" wrap="none" lIns="0" tIns="0" rIns="0" bIns="0" anchor="t" anchorCtr="0" upright="0">
                      <a:spAutoFit/>
                    </wps:bodyPr>
                  </wps:wsp>
                </a:graphicData>
              </a:graphic>
            </wp:anchor>
          </w:drawing>
        </mc:Choice>
        <mc:Fallback>
          <w:pict>
            <v:rect id="文本框 9" o:spid="_x0000_s1026" o:spt="1" style="position:absolute;left:0pt;margin-top:0pt;height:22.45pt;width:9pt;mso-position-horizontal:center;mso-position-horizontal-relative:margin;mso-wrap-style:none;z-index:251659264;mso-width-relative:page;mso-height-relative:page;" filled="f" stroked="f" coordsize="21600,21600" o:gfxdata="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evYjl1gAAAAMBAAAPAAAAAAAAAAEAIAAAACIAAABkcnMvZG93&#10;bnJldi54bWxQSwECFAAUAAAACACHTuJAm7KNaQICAAD0AwAADgAAAAAAAAABACAAAAAlAQAAZHJz&#10;L2Uyb0RvYy54bWxQSwUGAAAAAAYABgBZAQAAmQUAAAAA&#10;">
              <v:fill on="f" focussize="0,0"/>
              <v:stroke on="f" weight="0.5pt" joinstyle="round"/>
              <v:imagedata o:title=""/>
              <o:lock v:ext="edit" aspectratio="f"/>
              <v:textbox inset="0mm,0mm,0mm,0mm" style="mso-fit-shape-to-text:t;">
                <w:txbxContent>
                  <w:sdt>
                    <w:sdtPr>
                      <w:id w:val="-1193305799"/>
                    </w:sdtPr>
                    <w:sdtContent>
                      <w:p w14:paraId="09BB1B52">
                        <w:pPr>
                          <w:pStyle w:val="13"/>
                          <w:jc w:val="center"/>
                        </w:pPr>
                        <w:r>
                          <w:fldChar w:fldCharType="begin"/>
                        </w:r>
                        <w:r>
                          <w:instrText xml:space="preserve">PAGE   \* MERGEFORMAT</w:instrText>
                        </w:r>
                        <w:r>
                          <w:fldChar w:fldCharType="separate"/>
                        </w:r>
                        <w:r>
                          <w:rPr>
                            <w:lang w:val="zh-CN"/>
                          </w:rPr>
                          <w:t>15</w:t>
                        </w:r>
                        <w:r>
                          <w:fldChar w:fldCharType="end"/>
                        </w:r>
                      </w:p>
                    </w:sdtContent>
                  </w:sdt>
                  <w:p w14:paraId="3A7778E9"/>
                </w:txbxContent>
              </v:textbox>
            </v:rect>
          </w:pict>
        </mc:Fallback>
      </mc:AlternateContent>
    </w:r>
  </w:p>
  <w:p w14:paraId="61EC86FE">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318F6D">
    <w:pPr>
      <w:pStyle w:val="13"/>
    </w:pPr>
    <w:r>
      <w:rPr>
        <w:sz w:val="18"/>
      </w:rP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57150" cy="131445"/>
              <wp:effectExtent l="0" t="0" r="0" b="0"/>
              <wp:wrapNone/>
              <wp:docPr id="4" name="文本框 10"/>
              <wp:cNvGraphicFramePr/>
              <a:graphic xmlns:a="http://schemas.openxmlformats.org/drawingml/2006/main">
                <a:graphicData uri="http://schemas.microsoft.com/office/word/2010/wordprocessingShape">
                  <wps:wsp>
                    <wps:cNvSpPr/>
                    <wps:spPr>
                      <a:xfrm>
                        <a:off x="0" y="0"/>
                        <a:ext cx="57150" cy="131559"/>
                      </a:xfrm>
                      <a:prstGeom prst="rect">
                        <a:avLst/>
                      </a:prstGeom>
                      <a:noFill/>
                      <a:ln w="6350" cap="flat" cmpd="sng">
                        <a:noFill/>
                        <a:prstDash val="solid"/>
                        <a:round/>
                      </a:ln>
                    </wps:spPr>
                    <wps:txbx>
                      <w:txbxContent>
                        <w:p w14:paraId="3BFD506D">
                          <w:pPr>
                            <w:pStyle w:val="13"/>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rect id="文本框 10" o:spid="_x0000_s1026" o:spt="1" style="position:absolute;left:0pt;margin-top:0pt;height:10.35pt;width:4.5pt;mso-position-horizontal:center;mso-position-horizontal-relative:margin;mso-wrap-style:none;z-index:251659264;mso-width-relative:page;mso-height-relative:page;" filled="f" stroked="f" coordsize="21600,21600" o:gfxdata="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jKmL89UAAAACAQAADwAAAAAAAAABACAAAAAiAAAAZHJzL2Rvd25y&#10;ZXYueG1sUEsBAhQAFAAAAAgAh07iQOZmn/MBAgAA9AMAAA4AAAAAAAAAAQAgAAAAJAEAAGRycy9l&#10;Mm9Eb2MueG1sUEsFBgAAAAAGAAYAWQEAAJcFAAAAAA==&#10;">
              <v:fill on="f" focussize="0,0"/>
              <v:stroke on="f" weight="0.5pt" joinstyle="round"/>
              <v:imagedata o:title=""/>
              <o:lock v:ext="edit" aspectratio="f"/>
              <v:textbox inset="0mm,0mm,0mm,0mm" style="mso-fit-shape-to-text:t;">
                <w:txbxContent>
                  <w:p w14:paraId="3BFD506D">
                    <w:pPr>
                      <w:pStyle w:val="13"/>
                    </w:pPr>
                    <w:r>
                      <w:fldChar w:fldCharType="begin"/>
                    </w:r>
                    <w:r>
                      <w:instrText xml:space="preserve"> PAGE  \* MERGEFORMAT </w:instrText>
                    </w:r>
                    <w:r>
                      <w:fldChar w:fldCharType="separate"/>
                    </w:r>
                    <w:r>
                      <w:t>1</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737B9B">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pPr>
        <w:ind w:left="0" w:firstLine="0"/>
      </w:pPr>
      <w:rPr>
        <w:rFonts w:hint="eastAsia"/>
      </w:rPr>
    </w:lvl>
  </w:abstractNum>
  <w:abstractNum w:abstractNumId="1">
    <w:nsid w:val="D25BE097"/>
    <w:multiLevelType w:val="singleLevel"/>
    <w:tmpl w:val="D25BE097"/>
    <w:lvl w:ilvl="0" w:tentative="0">
      <w:start w:val="7"/>
      <w:numFmt w:val="chineseCounting"/>
      <w:suff w:val="nothing"/>
      <w:lvlText w:val="%1、"/>
      <w:lvlJc w:val="left"/>
      <w:pPr>
        <w:ind w:left="0" w:firstLine="0"/>
      </w:pPr>
      <w:rPr>
        <w:rFonts w:hint="eastAsia"/>
      </w:rPr>
    </w:lvl>
  </w:abstractNum>
  <w:abstractNum w:abstractNumId="2">
    <w:nsid w:val="E2FA047D"/>
    <w:multiLevelType w:val="singleLevel"/>
    <w:tmpl w:val="E2FA047D"/>
    <w:lvl w:ilvl="0" w:tentative="0">
      <w:start w:val="3"/>
      <w:numFmt w:val="chineseCounting"/>
      <w:suff w:val="space"/>
      <w:lvlText w:val="第%1部分"/>
      <w:lvlJc w:val="left"/>
      <w:pPr>
        <w:ind w:left="0" w:firstLine="0"/>
      </w:pPr>
      <w:rPr>
        <w:rFonts w:hint="eastAsia" w:ascii="方正小标宋简体" w:hAnsi="方正小标宋简体" w:eastAsia="方正小标宋简体" w:cs="方正小标宋简体"/>
        <w:sz w:val="44"/>
        <w:szCs w:val="44"/>
      </w:rPr>
    </w:lvl>
  </w:abstractNum>
  <w:abstractNum w:abstractNumId="3">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4">
    <w:nsid w:val="5FEB06AE"/>
    <w:multiLevelType w:val="singleLevel"/>
    <w:tmpl w:val="5FEB06AE"/>
    <w:lvl w:ilvl="0" w:tentative="0">
      <w:start w:val="1"/>
      <w:numFmt w:val="decimal"/>
      <w:suff w:val="space"/>
      <w:lvlText w:val="%1."/>
      <w:lvlJc w:val="left"/>
      <w:pPr>
        <w:ind w:left="0" w:firstLine="0"/>
      </w:pPr>
      <w:rPr>
        <w:rFonts w:hint="default"/>
        <w:b w:val="0"/>
        <w:bCs w:val="0"/>
        <w:sz w:val="32"/>
        <w:szCs w:val="32"/>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useFELayout/>
    <w:doNotUseIndentAsNumberingTabStop/>
    <w:compatSetting w:name="compatibilityMode" w:uri="http://schemas.microsoft.com/office/word" w:val="14"/>
  </w:compat>
  <w:docVars>
    <w:docVar w:name="commondata" w:val="eyJoZGlkIjoiMTUxY2U2NThhMDg2ZGRlYTQyNzdlM2UzMGY3ZjEwNTMifQ=="/>
  </w:docVars>
  <w:rsids>
    <w:rsidRoot w:val="00000000"/>
    <w:rsid w:val="025F28B4"/>
    <w:rsid w:val="097A67FC"/>
    <w:rsid w:val="0AC413A1"/>
    <w:rsid w:val="0E826E6C"/>
    <w:rsid w:val="11D706B9"/>
    <w:rsid w:val="12435D4E"/>
    <w:rsid w:val="14D233B9"/>
    <w:rsid w:val="1599008C"/>
    <w:rsid w:val="15C63491"/>
    <w:rsid w:val="173F1128"/>
    <w:rsid w:val="1759533F"/>
    <w:rsid w:val="18C272A1"/>
    <w:rsid w:val="1A2351EE"/>
    <w:rsid w:val="1C6A24BC"/>
    <w:rsid w:val="243F5C4A"/>
    <w:rsid w:val="2489657E"/>
    <w:rsid w:val="26E52AD8"/>
    <w:rsid w:val="2A7D4BD9"/>
    <w:rsid w:val="2CD77D84"/>
    <w:rsid w:val="33A71FBA"/>
    <w:rsid w:val="35347ACA"/>
    <w:rsid w:val="361231BE"/>
    <w:rsid w:val="37460BE1"/>
    <w:rsid w:val="3BCB453B"/>
    <w:rsid w:val="3BEE1FD7"/>
    <w:rsid w:val="3DEB4AAE"/>
    <w:rsid w:val="3E2B306F"/>
    <w:rsid w:val="3E3C527C"/>
    <w:rsid w:val="3E401A52"/>
    <w:rsid w:val="41546D80"/>
    <w:rsid w:val="430E5D85"/>
    <w:rsid w:val="43884ABF"/>
    <w:rsid w:val="49A81A17"/>
    <w:rsid w:val="4CFF0244"/>
    <w:rsid w:val="4D52686A"/>
    <w:rsid w:val="5651594F"/>
    <w:rsid w:val="584E5617"/>
    <w:rsid w:val="5A1E23F6"/>
    <w:rsid w:val="5AD07919"/>
    <w:rsid w:val="5BA904C1"/>
    <w:rsid w:val="5C1C603C"/>
    <w:rsid w:val="5D795F6D"/>
    <w:rsid w:val="60FF41BB"/>
    <w:rsid w:val="63936E3D"/>
    <w:rsid w:val="656211BC"/>
    <w:rsid w:val="67D0065F"/>
    <w:rsid w:val="69C51D1A"/>
    <w:rsid w:val="69D34437"/>
    <w:rsid w:val="6B327947"/>
    <w:rsid w:val="6BED6CE1"/>
    <w:rsid w:val="6BFF7765"/>
    <w:rsid w:val="6C111246"/>
    <w:rsid w:val="6CB705C0"/>
    <w:rsid w:val="6ED0363B"/>
    <w:rsid w:val="70E50622"/>
    <w:rsid w:val="710E5EDF"/>
    <w:rsid w:val="71600CA6"/>
    <w:rsid w:val="74D4131A"/>
    <w:rsid w:val="751F12F1"/>
    <w:rsid w:val="765863F0"/>
    <w:rsid w:val="76DB0DCF"/>
    <w:rsid w:val="78AF42C1"/>
    <w:rsid w:val="79132AFB"/>
    <w:rsid w:val="7BFD5343"/>
    <w:rsid w:val="7EF221E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unhideWhenUsed="0" w:uiPriority="0" w:semiHidden="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2"/>
    <w:qFormat/>
    <w:uiPriority w:val="0"/>
    <w:pPr>
      <w:keepNext/>
      <w:keepLines/>
      <w:widowControl w:val="0"/>
      <w:spacing w:before="340" w:after="330" w:line="578" w:lineRule="auto"/>
      <w:outlineLvl w:val="0"/>
    </w:pPr>
    <w:rPr>
      <w:b/>
      <w:bCs/>
      <w:kern w:val="44"/>
      <w:sz w:val="44"/>
      <w:szCs w:val="44"/>
    </w:rPr>
  </w:style>
  <w:style w:type="paragraph" w:styleId="4">
    <w:name w:val="heading 2"/>
    <w:basedOn w:val="1"/>
    <w:next w:val="1"/>
    <w:link w:val="23"/>
    <w:uiPriority w:val="0"/>
    <w:pPr>
      <w:keepNext/>
      <w:keepLines/>
      <w:widowControl w:val="0"/>
      <w:spacing w:before="260" w:after="260" w:line="415" w:lineRule="auto"/>
      <w:outlineLvl w:val="1"/>
    </w:pPr>
    <w:rPr>
      <w:rFonts w:ascii="Cambria" w:hAnsi="Cambria" w:eastAsia="宋体" w:cs="Times New Roman"/>
      <w:b/>
      <w:bCs/>
      <w:sz w:val="32"/>
      <w:szCs w:val="32"/>
    </w:rPr>
  </w:style>
  <w:style w:type="paragraph" w:styleId="5">
    <w:name w:val="heading 3"/>
    <w:basedOn w:val="1"/>
    <w:next w:val="1"/>
    <w:uiPriority w:val="0"/>
    <w:pPr>
      <w:keepNext/>
      <w:keepLines/>
      <w:widowControl w:val="0"/>
      <w:spacing w:before="260" w:after="260" w:line="415" w:lineRule="auto"/>
      <w:outlineLvl w:val="2"/>
    </w:pPr>
    <w:rPr>
      <w:b/>
      <w:bCs/>
      <w:sz w:val="32"/>
      <w:szCs w:val="32"/>
    </w:rPr>
  </w:style>
  <w:style w:type="character" w:default="1" w:styleId="19">
    <w:name w:val="Default Paragraph Font"/>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customStyle="1" w:styleId="2">
    <w:name w:val="标题 5（有编号）（绿盟科技）"/>
    <w:next w:val="1"/>
    <w:qFormat/>
    <w:uiPriority w:val="0"/>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6">
    <w:name w:val="table of authorities"/>
    <w:basedOn w:val="1"/>
    <w:next w:val="1"/>
    <w:qFormat/>
    <w:uiPriority w:val="0"/>
    <w:pPr>
      <w:ind w:left="200" w:leftChars="200"/>
    </w:pPr>
  </w:style>
  <w:style w:type="paragraph" w:styleId="7">
    <w:name w:val="Normal Indent"/>
    <w:basedOn w:val="1"/>
    <w:qFormat/>
    <w:uiPriority w:val="0"/>
    <w:pPr>
      <w:ind w:firstLine="680"/>
    </w:pPr>
  </w:style>
  <w:style w:type="paragraph" w:styleId="8">
    <w:name w:val="Body Text"/>
    <w:basedOn w:val="1"/>
    <w:qFormat/>
    <w:uiPriority w:val="0"/>
    <w:pPr>
      <w:spacing w:before="30" w:beforeLines="30"/>
    </w:pPr>
    <w:rPr>
      <w:rFonts w:ascii="仿宋_GB2312" w:eastAsia="仿宋_GB2312"/>
      <w:kern w:val="0"/>
      <w:sz w:val="30"/>
    </w:rPr>
  </w:style>
  <w:style w:type="paragraph" w:styleId="9">
    <w:name w:val="Body Text Indent"/>
    <w:basedOn w:val="1"/>
    <w:next w:val="10"/>
    <w:qFormat/>
    <w:uiPriority w:val="0"/>
    <w:pPr>
      <w:spacing w:after="120"/>
      <w:ind w:left="200" w:leftChars="200"/>
    </w:pPr>
    <w:rPr>
      <w:rFonts w:ascii="仿宋_GB2312" w:hAnsi="仿宋_GB2312"/>
      <w:szCs w:val="32"/>
    </w:rPr>
  </w:style>
  <w:style w:type="paragraph" w:styleId="10">
    <w:name w:val="Body Text First Indent 2"/>
    <w:basedOn w:val="9"/>
    <w:next w:val="1"/>
    <w:qFormat/>
    <w:uiPriority w:val="0"/>
    <w:pPr>
      <w:ind w:firstLine="200" w:firstLineChars="200"/>
    </w:pPr>
  </w:style>
  <w:style w:type="paragraph" w:styleId="11">
    <w:name w:val="toc 3"/>
    <w:basedOn w:val="1"/>
    <w:next w:val="1"/>
    <w:qFormat/>
    <w:uiPriority w:val="0"/>
    <w:pPr>
      <w:tabs>
        <w:tab w:val="right" w:leader="dot" w:pos="8296"/>
      </w:tabs>
      <w:ind w:left="400" w:leftChars="400"/>
    </w:pPr>
  </w:style>
  <w:style w:type="paragraph" w:styleId="12">
    <w:name w:val="Balloon Text"/>
    <w:basedOn w:val="1"/>
    <w:qFormat/>
    <w:uiPriority w:val="0"/>
    <w:rPr>
      <w:sz w:val="18"/>
      <w:szCs w:val="18"/>
    </w:rPr>
  </w:style>
  <w:style w:type="paragraph" w:styleId="13">
    <w:name w:val="footer"/>
    <w:basedOn w:val="1"/>
    <w:qFormat/>
    <w:uiPriority w:val="0"/>
    <w:pPr>
      <w:tabs>
        <w:tab w:val="center" w:pos="4153"/>
        <w:tab w:val="right" w:pos="8306"/>
      </w:tabs>
      <w:snapToGrid w:val="0"/>
      <w:jc w:val="left"/>
    </w:pPr>
    <w:rPr>
      <w:rFonts w:ascii="Calibri" w:hAnsi="Calibri"/>
      <w:kern w:val="0"/>
      <w:sz w:val="18"/>
      <w:szCs w:val="18"/>
    </w:rPr>
  </w:style>
  <w:style w:type="paragraph" w:styleId="14">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5">
    <w:name w:val="toc 1"/>
    <w:basedOn w:val="1"/>
    <w:next w:val="1"/>
    <w:qFormat/>
    <w:uiPriority w:val="0"/>
    <w:pPr>
      <w:tabs>
        <w:tab w:val="right" w:leader="dot" w:pos="8296"/>
      </w:tabs>
      <w:spacing w:before="93"/>
      <w:jc w:val="center"/>
    </w:pPr>
    <w:rPr>
      <w:rFonts w:ascii="仿宋" w:eastAsia="仿宋"/>
      <w:sz w:val="28"/>
      <w:szCs w:val="28"/>
    </w:rPr>
  </w:style>
  <w:style w:type="paragraph" w:styleId="16">
    <w:name w:val="footnote text"/>
    <w:basedOn w:val="1"/>
    <w:next w:val="10"/>
    <w:semiHidden/>
    <w:qFormat/>
    <w:uiPriority w:val="0"/>
    <w:pPr>
      <w:snapToGrid w:val="0"/>
      <w:jc w:val="left"/>
    </w:pPr>
    <w:rPr>
      <w:sz w:val="18"/>
      <w:szCs w:val="18"/>
    </w:rPr>
  </w:style>
  <w:style w:type="paragraph" w:styleId="17">
    <w:name w:val="toc 2"/>
    <w:basedOn w:val="6"/>
    <w:next w:val="1"/>
    <w:qFormat/>
    <w:uiPriority w:val="0"/>
    <w:pPr>
      <w:tabs>
        <w:tab w:val="right" w:leader="dot" w:pos="8296"/>
      </w:tabs>
      <w:ind w:left="200" w:leftChars="200"/>
    </w:pPr>
    <w:rPr>
      <w:rFonts w:ascii="Times New Roman" w:hAnsi="Times New Roman" w:eastAsia="宋体"/>
    </w:r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character" w:customStyle="1" w:styleId="22">
    <w:name w:val="heading 1 Char"/>
    <w:basedOn w:val="19"/>
    <w:link w:val="3"/>
    <w:qFormat/>
    <w:uiPriority w:val="0"/>
    <w:rPr>
      <w:rFonts w:ascii="Times New Roman" w:hAnsi="Times New Roman" w:eastAsia="宋体" w:cs="Times New Roman"/>
      <w:b/>
      <w:bCs/>
      <w:kern w:val="44"/>
      <w:sz w:val="44"/>
      <w:szCs w:val="44"/>
      <w:lang w:val="en-US" w:eastAsia="zh-CN" w:bidi="ar-SA"/>
    </w:rPr>
  </w:style>
  <w:style w:type="character" w:customStyle="1" w:styleId="23">
    <w:name w:val="heading 2 Char"/>
    <w:basedOn w:val="19"/>
    <w:link w:val="4"/>
    <w:qFormat/>
    <w:uiPriority w:val="0"/>
    <w:rPr>
      <w:rFonts w:ascii="Cambria" w:hAnsi="Cambria" w:eastAsia="宋体" w:cs="Times New Roman"/>
      <w:b/>
      <w:bCs/>
      <w:kern w:val="2"/>
      <w:sz w:val="32"/>
      <w:szCs w:val="32"/>
      <w:lang w:val="en-US" w:eastAsia="zh-CN" w:bidi="ar-SA"/>
    </w:rPr>
  </w:style>
  <w:style w:type="character" w:customStyle="1" w:styleId="24">
    <w:name w:val="Header Char"/>
    <w:basedOn w:val="19"/>
    <w:qFormat/>
    <w:uiPriority w:val="0"/>
    <w:rPr>
      <w:rFonts w:ascii="Times New Roman" w:hAnsi="Times New Roman"/>
      <w:sz w:val="18"/>
      <w:szCs w:val="18"/>
    </w:rPr>
  </w:style>
  <w:style w:type="character" w:customStyle="1" w:styleId="25">
    <w:name w:val="Footer Char"/>
    <w:basedOn w:val="19"/>
    <w:qFormat/>
    <w:uiPriority w:val="0"/>
    <w:rPr>
      <w:rFonts w:ascii="Times New Roman" w:hAnsi="Times New Roman"/>
      <w:sz w:val="18"/>
      <w:szCs w:val="18"/>
    </w:rPr>
  </w:style>
  <w:style w:type="character" w:customStyle="1" w:styleId="26">
    <w:name w:val="Body Text Char"/>
    <w:basedOn w:val="19"/>
    <w:qFormat/>
    <w:uiPriority w:val="0"/>
    <w:rPr>
      <w:rFonts w:ascii="Times New Roman" w:hAnsi="Times New Roman"/>
      <w:szCs w:val="24"/>
    </w:rPr>
  </w:style>
  <w:style w:type="paragraph" w:customStyle="1" w:styleId="27">
    <w:name w:val="Defaul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styleId="28">
    <w:name w:val="List Paragraph"/>
    <w:basedOn w:val="1"/>
    <w:qFormat/>
    <w:uiPriority w:val="0"/>
    <w:pPr>
      <w:ind w:firstLine="200" w:firstLineChars="200"/>
    </w:pPr>
  </w:style>
  <w:style w:type="paragraph" w:customStyle="1" w:styleId="29">
    <w:name w:val="TOC 标题1"/>
    <w:basedOn w:val="3"/>
    <w:next w:val="1"/>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paragraph" w:customStyle="1" w:styleId="30">
    <w:name w:val="TOC 标题2"/>
    <w:basedOn w:val="3"/>
    <w:next w:val="1"/>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character" w:customStyle="1" w:styleId="31">
    <w:name w:val="font81"/>
    <w:basedOn w:val="19"/>
    <w:qFormat/>
    <w:uiPriority w:val="0"/>
    <w:rPr>
      <w:rFonts w:ascii="Helvetica" w:hAnsi="Helvetica" w:eastAsia="Helvetica" w:cs="Helvetica"/>
      <w:color w:val="000000"/>
      <w:sz w:val="19"/>
      <w:szCs w:val="19"/>
      <w:u w:val="none"/>
    </w:rPr>
  </w:style>
  <w:style w:type="paragraph" w:customStyle="1" w:styleId="32">
    <w:name w:val="WPSOffice手动目录 1"/>
    <w:qFormat/>
    <w:uiPriority w:val="0"/>
    <w:rPr>
      <w:rFonts w:ascii="Times New Roman" w:hAnsi="Times New Roman" w:eastAsia="宋体" w:cs="Times New Roman"/>
      <w:sz w:val="20"/>
      <w:szCs w:val="20"/>
      <w:lang w:val="en-US" w:eastAsia="zh-CN" w:bidi="ar-SA"/>
    </w:rPr>
  </w:style>
  <w:style w:type="paragraph" w:customStyle="1" w:styleId="33">
    <w:name w:val="WPSOffice手动目录 2"/>
    <w:uiPriority w:val="0"/>
    <w:pPr>
      <w:ind w:left="200" w:leftChars="200"/>
    </w:pPr>
    <w:rPr>
      <w:rFonts w:ascii="Times New Roman" w:hAnsi="Times New Roman" w:eastAsia="宋体" w:cs="Times New Roman"/>
      <w:sz w:val="20"/>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r>
              <a:t>收入、支出决算总计变动情况图</a:t>
            </a:r>
          </a:p>
        </c:rich>
      </c:tx>
      <c:layout>
        <c:manualLayout>
          <c:xMode val="edge"/>
          <c:yMode val="edge"/>
          <c:x val="0.153440895620678"/>
          <c:y val="0.0182759671032592"/>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收入</c:v>
                </c:pt>
              </c:strCache>
            </c:strRef>
          </c:tx>
          <c:spPr>
            <a:solidFill>
              <a:schemeClr val="accent6">
                <a:shade val="76667"/>
              </a:schemeClr>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Sheet1!$B$2:$B$3</c:f>
              <c:numCache>
                <c:formatCode>General</c:formatCode>
                <c:ptCount val="2"/>
                <c:pt idx="0">
                  <c:v>428.26</c:v>
                </c:pt>
                <c:pt idx="1">
                  <c:v>472.64</c:v>
                </c:pt>
              </c:numCache>
            </c:numRef>
          </c:val>
        </c:ser>
        <c:ser>
          <c:idx val="1"/>
          <c:order val="1"/>
          <c:tx>
            <c:strRef>
              <c:f>Sheet1!$C$1</c:f>
              <c:strCache>
                <c:ptCount val="1"/>
                <c:pt idx="0">
                  <c:v>支出</c:v>
                </c:pt>
              </c:strCache>
            </c:strRef>
          </c:tx>
          <c:spPr>
            <a:solidFill>
              <a:schemeClr val="accent6">
                <a:tint val="76667"/>
              </a:schemeClr>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Sheet1!$C$2:$C$3</c:f>
              <c:numCache>
                <c:formatCode>General</c:formatCode>
                <c:ptCount val="2"/>
                <c:pt idx="0">
                  <c:v>428.26</c:v>
                </c:pt>
                <c:pt idx="1">
                  <c:v>472.64</c:v>
                </c:pt>
              </c:numCache>
            </c:numRef>
          </c:val>
        </c:ser>
        <c:dLbls>
          <c:showLegendKey val="0"/>
          <c:showVal val="1"/>
          <c:showCatName val="0"/>
          <c:showSerName val="0"/>
          <c:showPercent val="0"/>
          <c:showBubbleSize val="0"/>
        </c:dLbls>
        <c:gapWidth val="246"/>
        <c:overlap val="-28"/>
        <c:axId val="0"/>
        <c:axId val="1"/>
      </c:barChart>
      <c:catAx>
        <c:axId val="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0"/>
        <c:crossesAt val="1"/>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0f0f749-facf-4494-b926-ebe4bca0ae8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tx>
            <c:strRef>
              <c:f>'Sheet1 (2)'!$B$1</c:f>
              <c:strCache>
                <c:ptCount val="1"/>
                <c:pt idx="0">
                  <c:v>本年收入</c:v>
                </c:pt>
              </c:strCache>
            </c:strRef>
          </c:tx>
          <c:spPr/>
          <c:explosion val="0"/>
          <c:dPt>
            <c:idx val="0"/>
            <c:bubble3D val="0"/>
            <c:explosion val="9"/>
            <c:spPr>
              <a:solidFill>
                <a:schemeClr val="accent6">
                  <a:shade val="76667"/>
                </a:schemeClr>
              </a:solidFill>
              <a:ln>
                <a:solidFill>
                  <a:schemeClr val="bg1"/>
                </a:solidFill>
              </a:ln>
              <a:effectLst/>
            </c:spPr>
          </c:dPt>
          <c:dPt>
            <c:idx val="1"/>
            <c:bubble3D val="0"/>
            <c:spPr>
              <a:solidFill>
                <a:schemeClr val="accent6">
                  <a:tint val="76667"/>
                </a:schemeClr>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一般公共预算财政拨款收入, 446.44</a:t>
                    </a:r>
                  </a:p>
                </c:rich>
              </c:tx>
              <c:numFmt formatCode="General"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事业收入, 26.2</a:t>
                    </a:r>
                  </a:p>
                </c:rich>
              </c:tx>
              <c:numFmt formatCode="General"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1"/>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 (2)'!$A$2:$A$3</c:f>
              <c:strCache>
                <c:ptCount val="2"/>
                <c:pt idx="0">
                  <c:v>一般公共预算财政拨款收入</c:v>
                </c:pt>
                <c:pt idx="1">
                  <c:v>事业收入</c:v>
                </c:pt>
              </c:strCache>
            </c:strRef>
          </c:cat>
          <c:val>
            <c:numRef>
              <c:f>'Sheet1 (2)'!$B$2:$B$3</c:f>
              <c:numCache>
                <c:formatCode>General</c:formatCode>
                <c:ptCount val="2"/>
                <c:pt idx="0">
                  <c:v>446.44</c:v>
                </c:pt>
                <c:pt idx="1">
                  <c:v>26.2</c:v>
                </c:pt>
              </c:numCache>
            </c:numRef>
          </c:val>
        </c:ser>
        <c:dLbls>
          <c:showLegendKey val="0"/>
          <c:showVal val="0"/>
          <c:showCatName val="0"/>
          <c:showSerName val="0"/>
          <c:showPercent val="1"/>
          <c:showBubbleSize val="0"/>
          <c:showLeaderLines val="1"/>
        </c:dLbls>
        <c:firstSliceAng val="36"/>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3b5e441-261e-4c8c-9b14-1485e867947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tx>
            <c:strRef>
              <c:f>'Sheet1 (3)'!$B$1</c:f>
              <c:strCache>
                <c:ptCount val="1"/>
                <c:pt idx="0">
                  <c:v>本年支出</c:v>
                </c:pt>
              </c:strCache>
            </c:strRef>
          </c:tx>
          <c:spPr/>
          <c:explosion val="0"/>
          <c:dPt>
            <c:idx val="0"/>
            <c:bubble3D val="0"/>
            <c:explosion val="9"/>
            <c:spPr>
              <a:solidFill>
                <a:schemeClr val="accent6">
                  <a:shade val="76667"/>
                </a:schemeClr>
              </a:solidFill>
              <a:ln>
                <a:solidFill>
                  <a:schemeClr val="bg1"/>
                </a:solidFill>
              </a:ln>
              <a:effectLst/>
            </c:spPr>
          </c:dPt>
          <c:dPt>
            <c:idx val="1"/>
            <c:bubble3D val="0"/>
            <c:spPr>
              <a:solidFill>
                <a:schemeClr val="accent6">
                  <a:tint val="76667"/>
                </a:schemeClr>
              </a:solidFill>
              <a:ln>
                <a:solidFill>
                  <a:schemeClr val="bg1"/>
                </a:solidFill>
              </a:ln>
              <a:effectLst/>
            </c:spPr>
          </c:dPt>
          <c:dLbls>
            <c:dLbl>
              <c:idx val="0"/>
              <c:layout>
                <c:manualLayout>
                  <c:x val="0.00589698"/>
                  <c:y val="-0.10719662"/>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0.008478167"/>
                  <c:y val="0.15121007"/>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 (3)'!$A$2:$A$3</c:f>
              <c:strCache>
                <c:ptCount val="2"/>
                <c:pt idx="0">
                  <c:v>基本支出</c:v>
                </c:pt>
                <c:pt idx="1">
                  <c:v>项目支出</c:v>
                </c:pt>
              </c:strCache>
            </c:strRef>
          </c:cat>
          <c:val>
            <c:numRef>
              <c:f>'Sheet1 (3)'!$B$2:$B$3</c:f>
              <c:numCache>
                <c:formatCode>General</c:formatCode>
                <c:ptCount val="2"/>
                <c:pt idx="0">
                  <c:v>360.81</c:v>
                </c:pt>
                <c:pt idx="1">
                  <c:v>89.72</c:v>
                </c:pt>
              </c:numCache>
            </c:numRef>
          </c:val>
        </c:ser>
        <c:dLbls>
          <c:showLegendKey val="0"/>
          <c:showVal val="1"/>
          <c:showCatName val="1"/>
          <c:showSerName val="0"/>
          <c:showPercent val="0"/>
          <c:showBubbleSize val="0"/>
          <c:showLeaderLines val="1"/>
        </c:dLbls>
        <c:firstSliceAng val="36"/>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df48a57-66e4-4283-8bf7-1c18d294ea2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r>
              <a:t>财政拨款收、支决算总计变动情况图</a:t>
            </a:r>
          </a:p>
        </c:rich>
      </c:tx>
      <c:layout/>
      <c:overlay val="0"/>
      <c:spPr>
        <a:noFill/>
        <a:ln>
          <a:noFill/>
        </a:ln>
        <a:effectLst/>
      </c:spPr>
    </c:title>
    <c:autoTitleDeleted val="0"/>
    <c:plotArea>
      <c:layout>
        <c:manualLayout>
          <c:layoutTarget val="inner"/>
          <c:xMode val="edge"/>
          <c:yMode val="edge"/>
          <c:x val="0.109574468085106"/>
          <c:y val="0.26852418860992"/>
          <c:w val="0.854373522458629"/>
          <c:h val="0.479914268218004"/>
        </c:manualLayout>
      </c:layout>
      <c:barChart>
        <c:barDir val="col"/>
        <c:grouping val="clustered"/>
        <c:varyColors val="0"/>
        <c:ser>
          <c:idx val="0"/>
          <c:order val="0"/>
          <c:tx>
            <c:strRef>
              <c:f>'Sheet1 (4)'!$B$1</c:f>
              <c:strCache>
                <c:ptCount val="1"/>
                <c:pt idx="0">
                  <c:v>财政拨款收入</c:v>
                </c:pt>
              </c:strCache>
            </c:strRef>
          </c:tx>
          <c:spPr>
            <a:solidFill>
              <a:schemeClr val="accent6">
                <a:shade val="76667"/>
              </a:schemeClr>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 (4)'!$A$2:$A$3</c:f>
              <c:numCache>
                <c:formatCode>General</c:formatCode>
                <c:ptCount val="2"/>
                <c:pt idx="0">
                  <c:v>2024</c:v>
                </c:pt>
                <c:pt idx="1">
                  <c:v>2025</c:v>
                </c:pt>
              </c:numCache>
            </c:numRef>
          </c:cat>
          <c:val>
            <c:numRef>
              <c:f>'Sheet1 (4)'!$B$2:$B$3</c:f>
              <c:numCache>
                <c:formatCode>0.00_ </c:formatCode>
                <c:ptCount val="2"/>
                <c:pt idx="0">
                  <c:v>409.7</c:v>
                </c:pt>
                <c:pt idx="1">
                  <c:v>446.44</c:v>
                </c:pt>
              </c:numCache>
            </c:numRef>
          </c:val>
        </c:ser>
        <c:ser>
          <c:idx val="1"/>
          <c:order val="1"/>
          <c:tx>
            <c:strRef>
              <c:f>'Sheet1 (4)'!$C$1</c:f>
              <c:strCache>
                <c:ptCount val="1"/>
                <c:pt idx="0">
                  <c:v>财政拨款支出</c:v>
                </c:pt>
              </c:strCache>
            </c:strRef>
          </c:tx>
          <c:spPr>
            <a:solidFill>
              <a:schemeClr val="accent6">
                <a:tint val="76667"/>
              </a:schemeClr>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 (4)'!$A$2:$A$3</c:f>
              <c:numCache>
                <c:formatCode>General</c:formatCode>
                <c:ptCount val="2"/>
                <c:pt idx="0">
                  <c:v>2024</c:v>
                </c:pt>
                <c:pt idx="1">
                  <c:v>2025</c:v>
                </c:pt>
              </c:numCache>
            </c:numRef>
          </c:cat>
          <c:val>
            <c:numRef>
              <c:f>'Sheet1 (4)'!$C$2:$C$3</c:f>
              <c:numCache>
                <c:formatCode>0.00_ </c:formatCode>
                <c:ptCount val="2"/>
                <c:pt idx="0">
                  <c:v>409.7</c:v>
                </c:pt>
                <c:pt idx="1">
                  <c:v>446.44</c:v>
                </c:pt>
              </c:numCache>
            </c:numRef>
          </c:val>
        </c:ser>
        <c:dLbls>
          <c:showLegendKey val="0"/>
          <c:showVal val="1"/>
          <c:showCatName val="0"/>
          <c:showSerName val="0"/>
          <c:showPercent val="0"/>
          <c:showBubbleSize val="0"/>
        </c:dLbls>
        <c:gapWidth val="246"/>
        <c:overlap val="-28"/>
        <c:axId val="0"/>
        <c:axId val="1"/>
      </c:barChart>
      <c:catAx>
        <c:axId val="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lt1">
                  <a:lumMod val="90200"/>
                </a:schemeClr>
              </a:solidFill>
              <a:round/>
            </a:ln>
            <a:effectLst/>
          </c:spPr>
        </c:majorGridlines>
        <c:numFmt formatCode="0.00_ "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0"/>
        <c:crossesAt val="1"/>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c056cc7-326a-4a6e-b37f-571a560ee26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一般公共预算财政拨款支出决算变动情况图</a:t>
            </a:r>
          </a:p>
        </c:rich>
      </c:tx>
      <c:layout>
        <c:manualLayout>
          <c:xMode val="edge"/>
          <c:yMode val="edge"/>
          <c:x val="0.090071895171319"/>
          <c:y val="0.0482657666388467"/>
        </c:manualLayout>
      </c:layout>
      <c:overlay val="0"/>
      <c:spPr>
        <a:noFill/>
        <a:ln>
          <a:noFill/>
        </a:ln>
        <a:effectLst/>
      </c:spPr>
    </c:title>
    <c:autoTitleDeleted val="0"/>
    <c:plotArea>
      <c:layout>
        <c:manualLayout>
          <c:layoutTarget val="inner"/>
          <c:xMode val="edge"/>
          <c:yMode val="edge"/>
          <c:x val="0.08183622"/>
          <c:y val="0.20849772"/>
          <c:w val="0.8996428"/>
          <c:h val="0.48449165"/>
        </c:manualLayout>
      </c:layout>
      <c:barChart>
        <c:barDir val="col"/>
        <c:grouping val="clustered"/>
        <c:varyColors val="0"/>
        <c:ser>
          <c:idx val="0"/>
          <c:order val="0"/>
          <c:tx>
            <c:strRef>
              <c:f>'Sheet1 (5)'!$B$1</c:f>
              <c:strCache>
                <c:ptCount val="1"/>
                <c:pt idx="0">
                  <c:v>一般公共预算财政拨款支出</c:v>
                </c:pt>
              </c:strCache>
            </c:strRef>
          </c:tx>
          <c:spPr>
            <a:solidFill>
              <a:schemeClr val="accent6"/>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 (5)'!$A$2:$A$3</c:f>
              <c:numCache>
                <c:formatCode>General</c:formatCode>
                <c:ptCount val="2"/>
                <c:pt idx="0">
                  <c:v>2023</c:v>
                </c:pt>
                <c:pt idx="1">
                  <c:v>2024</c:v>
                </c:pt>
              </c:numCache>
            </c:numRef>
          </c:cat>
          <c:val>
            <c:numRef>
              <c:f>'Sheet1 (5)'!$B$2:$B$3</c:f>
              <c:numCache>
                <c:formatCode>General</c:formatCode>
                <c:ptCount val="2"/>
                <c:pt idx="0">
                  <c:v>388.84</c:v>
                </c:pt>
                <c:pt idx="1">
                  <c:v>409.7</c:v>
                </c:pt>
              </c:numCache>
            </c:numRef>
          </c:val>
        </c:ser>
        <c:dLbls>
          <c:showLegendKey val="0"/>
          <c:showVal val="1"/>
          <c:showCatName val="0"/>
          <c:showSerName val="0"/>
          <c:showPercent val="0"/>
          <c:showBubbleSize val="0"/>
        </c:dLbls>
        <c:gapWidth val="246"/>
        <c:overlap val="-28"/>
        <c:axId val="0"/>
        <c:axId val="1"/>
      </c:barChart>
      <c:catAx>
        <c:axId val="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0"/>
        <c:crossesAt val="1"/>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48262d1-ff0a-4b1e-8cc2-e27e360f64a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r>
              <a:t>一般公共预算财政拨款支出决算结构图</a:t>
            </a:r>
          </a:p>
        </c:rich>
      </c:tx>
      <c:layout/>
      <c:overlay val="0"/>
      <c:spPr>
        <a:noFill/>
        <a:ln>
          <a:noFill/>
        </a:ln>
        <a:effectLst/>
      </c:spPr>
    </c:title>
    <c:autoTitleDeleted val="0"/>
    <c:plotArea>
      <c:layout/>
      <c:pieChart>
        <c:varyColors val="1"/>
        <c:ser>
          <c:idx val="0"/>
          <c:order val="0"/>
          <c:tx>
            <c:strRef>
              <c:f>'Sheet1 (6)'!$B$1</c:f>
              <c:strCache>
                <c:ptCount val="1"/>
                <c:pt idx="0">
                  <c:v>一般公共预算财政拨款支出</c:v>
                </c:pt>
              </c:strCache>
            </c:strRef>
          </c:tx>
          <c:spPr/>
          <c:explosion val="0"/>
          <c:dPt>
            <c:idx val="0"/>
            <c:bubble3D val="0"/>
            <c:explosion val="9"/>
            <c:spPr>
              <a:solidFill>
                <a:schemeClr val="accent6">
                  <a:shade val="65000"/>
                </a:schemeClr>
              </a:solidFill>
              <a:ln>
                <a:solidFill>
                  <a:schemeClr val="bg1"/>
                </a:solidFill>
              </a:ln>
              <a:effectLst/>
            </c:spPr>
          </c:dPt>
          <c:dPt>
            <c:idx val="1"/>
            <c:bubble3D val="0"/>
            <c:spPr>
              <a:solidFill>
                <a:schemeClr val="accent6"/>
              </a:solidFill>
              <a:ln>
                <a:solidFill>
                  <a:schemeClr val="bg1"/>
                </a:solidFill>
              </a:ln>
              <a:effectLst/>
            </c:spPr>
          </c:dPt>
          <c:dPt>
            <c:idx val="2"/>
            <c:bubble3D val="0"/>
            <c:spPr>
              <a:solidFill>
                <a:schemeClr val="accent6">
                  <a:tint val="65000"/>
                </a:schemeClr>
              </a:solidFill>
              <a:ln>
                <a:solidFill>
                  <a:schemeClr val="bg1"/>
                </a:solidFill>
              </a:ln>
              <a:effectLst/>
            </c:spPr>
          </c:dPt>
          <c:dLbls>
            <c:dLbl>
              <c:idx val="0"/>
              <c:layout>
                <c:manualLayout>
                  <c:x val="-0.0702585404561306"/>
                  <c:y val="0.103667178510158"/>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0.0802138084778885"/>
                  <c:y val="0.0979518156420696"/>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 (6)'!$A$2:$A$4</c:f>
              <c:strCache>
                <c:ptCount val="3"/>
                <c:pt idx="0">
                  <c:v>社会保障和就业支出</c:v>
                </c:pt>
                <c:pt idx="1">
                  <c:v>卫生健康支出</c:v>
                </c:pt>
                <c:pt idx="2">
                  <c:v>住房保障支出</c:v>
                </c:pt>
              </c:strCache>
            </c:strRef>
          </c:cat>
          <c:val>
            <c:numRef>
              <c:f>'Sheet1 (6)'!$B$2:$B$4</c:f>
              <c:numCache>
                <c:formatCode>General</c:formatCode>
                <c:ptCount val="3"/>
                <c:pt idx="0">
                  <c:v>47.58</c:v>
                </c:pt>
                <c:pt idx="1">
                  <c:v>372.1</c:v>
                </c:pt>
                <c:pt idx="2">
                  <c:v>26.76</c:v>
                </c:pt>
              </c:numCache>
            </c:numRef>
          </c:val>
        </c:ser>
        <c:dLbls>
          <c:showLegendKey val="0"/>
          <c:showVal val="1"/>
          <c:showCatName val="1"/>
          <c:showSerName val="0"/>
          <c:showPercent val="0"/>
          <c:showBubbleSize val="0"/>
          <c:showLeaderLines val="1"/>
        </c:dLbls>
        <c:firstSliceAng val="36"/>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5595435-3ae0-42d6-8825-9201c057904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a:t>
            </a:r>
            <a:r>
              <a:rPr lang="en-US" altLang="zh-CN"/>
              <a:t>“</a:t>
            </a:r>
            <a:r>
              <a:t>三公</a:t>
            </a:r>
            <a:r>
              <a:rPr lang="en-US" altLang="zh-CN"/>
              <a:t>”</a:t>
            </a:r>
            <a:r>
              <a:t>经费支出结构图</a:t>
            </a:r>
          </a:p>
        </c:rich>
      </c:tx>
      <c:layout>
        <c:manualLayout>
          <c:xMode val="edge"/>
          <c:yMode val="edge"/>
          <c:x val="0.147378572681045"/>
          <c:y val="0.239764166393711"/>
        </c:manualLayout>
      </c:layout>
      <c:overlay val="0"/>
      <c:spPr>
        <a:noFill/>
        <a:ln>
          <a:noFill/>
        </a:ln>
        <a:effectLst/>
      </c:spPr>
    </c:title>
    <c:autoTitleDeleted val="0"/>
    <c:plotArea>
      <c:layout/>
      <c:pieChart>
        <c:varyColors val="1"/>
        <c:ser>
          <c:idx val="0"/>
          <c:order val="0"/>
          <c:tx>
            <c:strRef>
              <c:f>Sheet1!$B$1</c:f>
              <c:strCache>
                <c:ptCount val="1"/>
                <c:pt idx="0">
                  <c:v>三公经费</c:v>
                </c:pt>
              </c:strCache>
            </c:strRef>
          </c:tx>
          <c:spPr/>
          <c:explosion val="0"/>
          <c:dPt>
            <c:idx val="0"/>
            <c:bubble3D val="0"/>
            <c:spPr>
              <a:solidFill>
                <a:schemeClr val="accent1"/>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公务用车运行维护费支出</c:v>
                </c:pt>
              </c:strCache>
            </c:strRef>
          </c:cat>
          <c:val>
            <c:numRef>
              <c:f>Sheet1!$B$2</c:f>
              <c:numCache>
                <c:formatCode>General</c:formatCode>
                <c:ptCount val="1"/>
                <c:pt idx="0">
                  <c:v>1.64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593579114482272"/>
          <c:y val="0.85189150606709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b9dad6b-2f20-4db9-a400-6c9c399f450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withinLinear" id="19">
  <a:schemeClr val="accent6"/>
</cs:colorStyle>
</file>

<file path=word/charts/colors2.xml><?xml version="1.0" encoding="utf-8"?>
<cs:colorStyle xmlns:cs="http://schemas.microsoft.com/office/drawing/2012/chartStyle" xmlns:a="http://schemas.openxmlformats.org/drawingml/2006/main" meth="withinLinear" id="19">
  <a:schemeClr val="accent6"/>
</cs:colorStyle>
</file>

<file path=word/charts/colors3.xml><?xml version="1.0" encoding="utf-8"?>
<cs:colorStyle xmlns:cs="http://schemas.microsoft.com/office/drawing/2012/chartStyle" xmlns:a="http://schemas.openxmlformats.org/drawingml/2006/main" meth="withinLinear" id="19">
  <a:schemeClr val="accent6"/>
</cs:colorStyle>
</file>

<file path=word/charts/colors4.xml><?xml version="1.0" encoding="utf-8"?>
<cs:colorStyle xmlns:cs="http://schemas.microsoft.com/office/drawing/2012/chartStyle" xmlns:a="http://schemas.openxmlformats.org/drawingml/2006/main" meth="withinLinear" id="19">
  <a:schemeClr val="accent6"/>
</cs:colorStyle>
</file>

<file path=word/charts/colors5.xml><?xml version="1.0" encoding="utf-8"?>
<cs:colorStyle xmlns:cs="http://schemas.microsoft.com/office/drawing/2012/chartStyle" xmlns:a="http://schemas.openxmlformats.org/drawingml/2006/main" meth="withinLinear" id="19">
  <a:schemeClr val="accent6"/>
</cs:colorStyle>
</file>

<file path=word/charts/colors6.xml><?xml version="1.0" encoding="utf-8"?>
<cs:colorStyle xmlns:cs="http://schemas.microsoft.com/office/drawing/2012/chartStyle" xmlns:a="http://schemas.openxmlformats.org/drawingml/2006/main" meth="withinLinear" id="19">
  <a:schemeClr val="accent6"/>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四川省财政厅</Company>
  <Pages>19</Pages>
  <Words>5216</Words>
  <Characters>5662</Characters>
  <Lines>729</Lines>
  <Paragraphs>404</Paragraphs>
  <TotalTime>12</TotalTime>
  <ScaleCrop>false</ScaleCrop>
  <LinksUpToDate>false</LinksUpToDate>
  <CharactersWithSpaces>5778</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2020-08-08T09:49:00Z</dcterms:created>
  <dc:creator>曹颖</dc:creator>
  <cp:lastModifiedBy>苏苏</cp:lastModifiedBy>
  <cp:lastPrinted>2024-09-18T16:25:00Z</cp:lastPrinted>
  <dcterms:modified xsi:type="dcterms:W3CDTF">2026-09-01T07:42:11Z</dcterms:modified>
  <dc:title>四川省***</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D2652C54D36C417CBDE3D771E26C82C3_13</vt:lpwstr>
  </property>
  <property fmtid="{D5CDD505-2E9C-101B-9397-08002B2CF9AE}" pid="4" name="KSOTemplateDocerSaveRecord">
    <vt:lpwstr>eyJoZGlkIjoiMzhlY2U5OGM5MmI0MDFmODcxODQxOWZmOWNhMmI2OTciLCJ1c2VySWQiOiIyODI5NzI1MjQifQ==</vt:lpwstr>
  </property>
</Properties>
</file>