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6AC035">
      <w:pPr>
        <w:pStyle w:val="6"/>
        <w:jc w:val="left"/>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77425"/>
      <w:bookmarkStart w:id="2" w:name="_Toc15396597"/>
      <w:bookmarkStart w:id="3" w:name="_Toc15306267"/>
      <w:bookmarkStart w:id="4" w:name="_Toc15396475"/>
      <w:bookmarkStart w:id="5" w:name="_Toc15377193"/>
    </w:p>
    <w:p w14:paraId="21916985">
      <w:pPr>
        <w:pStyle w:val="6"/>
        <w:rPr>
          <w:rFonts w:hint="eastAsia" w:ascii="Times New Roman" w:hAnsi="Times New Roman" w:eastAsia="方正小标宋简体" w:cs="Times New Roman"/>
          <w:color w:val="auto"/>
          <w:kern w:val="2"/>
          <w:sz w:val="72"/>
          <w:szCs w:val="72"/>
          <w:highlight w:val="none"/>
          <w:lang w:val="en-US" w:eastAsia="zh-CN" w:bidi="ar-SA"/>
        </w:rPr>
      </w:pPr>
    </w:p>
    <w:p w14:paraId="6AF54F94">
      <w:pPr>
        <w:pStyle w:val="6"/>
        <w:rPr>
          <w:rFonts w:hint="eastAsia" w:ascii="Times New Roman" w:hAnsi="Times New Roman" w:eastAsia="方正小标宋简体" w:cs="Times New Roman"/>
          <w:color w:val="auto"/>
          <w:kern w:val="2"/>
          <w:sz w:val="72"/>
          <w:szCs w:val="72"/>
          <w:highlight w:val="none"/>
          <w:lang w:val="en-US" w:eastAsia="zh-CN" w:bidi="ar-SA"/>
        </w:rPr>
      </w:pPr>
    </w:p>
    <w:p w14:paraId="0F1A3A48">
      <w:pPr>
        <w:pageBreakBefore w:val="0"/>
        <w:widowControl w:val="0"/>
        <w:kinsoku/>
        <w:wordWrap/>
        <w:overflowPunct/>
        <w:topLinePunct w:val="0"/>
        <w:bidi w:val="0"/>
        <w:spacing w:line="576" w:lineRule="exact"/>
        <w:jc w:val="center"/>
        <w:textAlignment w:val="auto"/>
        <w:rPr>
          <w:rFonts w:hint="eastAsia" w:ascii="方正小标宋简体" w:eastAsia="方正小标宋简体" w:cs="方正小标宋简体"/>
          <w:sz w:val="48"/>
          <w:szCs w:val="48"/>
        </w:rPr>
      </w:pPr>
    </w:p>
    <w:p w14:paraId="6B13E0F8">
      <w:pPr>
        <w:pageBreakBefore w:val="0"/>
        <w:widowControl w:val="0"/>
        <w:kinsoku/>
        <w:wordWrap/>
        <w:overflowPunct/>
        <w:topLinePunct w:val="0"/>
        <w:bidi w:val="0"/>
        <w:spacing w:line="576" w:lineRule="exact"/>
        <w:jc w:val="center"/>
        <w:textAlignment w:val="auto"/>
        <w:rPr>
          <w:rFonts w:hint="eastAsia" w:ascii="方正小标宋简体" w:eastAsia="方正小标宋简体" w:cs="方正小标宋简体"/>
          <w:sz w:val="48"/>
          <w:szCs w:val="48"/>
        </w:rPr>
      </w:pPr>
      <w:r>
        <w:rPr>
          <w:rFonts w:hint="eastAsia" w:ascii="方正小标宋简体" w:eastAsia="方正小标宋简体" w:cs="方正小标宋简体"/>
          <w:sz w:val="48"/>
          <w:szCs w:val="48"/>
        </w:rPr>
        <w:t>202</w:t>
      </w:r>
      <w:r>
        <w:rPr>
          <w:rFonts w:hint="eastAsia" w:ascii="方正小标宋简体" w:eastAsia="方正小标宋简体" w:cs="方正小标宋简体"/>
          <w:sz w:val="48"/>
          <w:szCs w:val="48"/>
          <w:lang w:val="en-US" w:eastAsia="zh-CN"/>
        </w:rPr>
        <w:t>5</w:t>
      </w:r>
      <w:r>
        <w:rPr>
          <w:rFonts w:hint="eastAsia" w:ascii="方正小标宋简体" w:eastAsia="方正小标宋简体" w:cs="方正小标宋简体"/>
          <w:sz w:val="48"/>
          <w:szCs w:val="48"/>
        </w:rPr>
        <w:t>年度</w:t>
      </w:r>
    </w:p>
    <w:p w14:paraId="2E2D2EDF">
      <w:pPr>
        <w:pageBreakBefore w:val="0"/>
        <w:widowControl w:val="0"/>
        <w:kinsoku/>
        <w:wordWrap/>
        <w:overflowPunct/>
        <w:topLinePunct w:val="0"/>
        <w:bidi w:val="0"/>
        <w:spacing w:line="576" w:lineRule="exact"/>
        <w:jc w:val="center"/>
        <w:textAlignment w:val="auto"/>
        <w:rPr>
          <w:rFonts w:ascii="Times New Roman" w:hAnsi="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720" w:num="1"/>
          <w:titlePg/>
          <w:docGrid w:type="lines" w:linePitch="312" w:charSpace="0"/>
        </w:sectPr>
      </w:pPr>
      <w:r>
        <w:rPr>
          <w:rFonts w:hint="eastAsia" w:ascii="方正小标宋简体" w:eastAsia="方正小标宋简体" w:cs="方正小标宋简体"/>
          <w:sz w:val="48"/>
          <w:szCs w:val="48"/>
          <w:lang w:eastAsia="zh-CN"/>
        </w:rPr>
        <w:t>茂县卫生健康局（汇总）部门决算</w:t>
      </w:r>
    </w:p>
    <w:bookmarkEnd w:id="0"/>
    <w:bookmarkEnd w:id="1"/>
    <w:bookmarkEnd w:id="2"/>
    <w:bookmarkEnd w:id="3"/>
    <w:bookmarkEnd w:id="4"/>
    <w:bookmarkEnd w:id="5"/>
    <w:p w14:paraId="013890AC">
      <w:pPr>
        <w:pStyle w:val="17"/>
        <w:keepNext w:val="0"/>
        <w:keepLines w:val="0"/>
        <w:pageBreakBefore w:val="0"/>
        <w:widowControl/>
        <w:suppressLineNumbers w:val="0"/>
        <w:kinsoku/>
        <w:wordWrap/>
        <w:overflowPunct/>
        <w:topLinePunct w:val="0"/>
        <w:bidi w:val="0"/>
        <w:spacing w:line="576" w:lineRule="exact"/>
        <w:jc w:val="center"/>
        <w:textAlignment w:val="auto"/>
        <w:rPr>
          <w:rFonts w:ascii="黑体" w:eastAsia="黑体" w:cs="Times New Roman"/>
          <w:color w:val="000000"/>
          <w:sz w:val="48"/>
          <w:szCs w:val="48"/>
          <w:lang w:val="en-US" w:eastAsia="zh-CN"/>
        </w:rPr>
      </w:pPr>
      <w:bookmarkStart w:id="6" w:name="_Toc15396599"/>
      <w:bookmarkStart w:id="7" w:name="_Toc15377196"/>
      <w:r>
        <w:rPr>
          <w:rFonts w:hint="eastAsia" w:ascii="黑体" w:eastAsia="黑体" w:cs="Times New Roman"/>
          <w:color w:val="000000"/>
          <w:sz w:val="48"/>
          <w:szCs w:val="48"/>
          <w:lang w:val="en-US" w:eastAsia="zh-CN"/>
        </w:rPr>
        <w:t>目录</w:t>
      </w:r>
    </w:p>
    <w:p w14:paraId="41715E85">
      <w:pPr>
        <w:pStyle w:val="13"/>
        <w:pageBreakBefore w:val="0"/>
        <w:widowControl w:val="0"/>
        <w:kinsoku/>
        <w:wordWrap/>
        <w:overflowPunct/>
        <w:topLinePunct w:val="0"/>
        <w:bidi w:val="0"/>
        <w:spacing w:line="576" w:lineRule="exact"/>
        <w:jc w:val="center"/>
        <w:textAlignment w:val="auto"/>
        <w:rPr>
          <w:rFonts w:hint="eastAsia" w:ascii="仿宋_GB2312" w:eastAsia="仿宋_GB2312" w:cs="仿宋_GB2312"/>
          <w:sz w:val="32"/>
          <w:szCs w:val="32"/>
        </w:rPr>
      </w:pPr>
      <w:r>
        <w:rPr>
          <w:rFonts w:hint="eastAsia" w:ascii="仿宋_GB2312" w:eastAsia="仿宋_GB2312" w:cs="仿宋_GB2312"/>
          <w:kern w:val="2"/>
          <w:sz w:val="32"/>
          <w:szCs w:val="32"/>
          <w:lang w:eastAsia="zh-CN" w:bidi="ar-SA"/>
        </w:rPr>
        <w:t>公开时间：</w:t>
      </w:r>
      <w:r>
        <w:rPr>
          <w:rFonts w:hint="eastAsia" w:ascii="仿宋_GB2312" w:eastAsia="仿宋_GB2312" w:cs="仿宋_GB2312"/>
          <w:b w:val="0"/>
          <w:bCs w:val="0"/>
          <w:sz w:val="32"/>
          <w:szCs w:val="32"/>
        </w:rPr>
        <w:t>202</w:t>
      </w:r>
      <w:r>
        <w:rPr>
          <w:rFonts w:hint="eastAsia" w:ascii="仿宋_GB2312" w:eastAsia="仿宋_GB2312" w:cs="仿宋_GB2312"/>
          <w:b w:val="0"/>
          <w:bCs w:val="0"/>
          <w:sz w:val="32"/>
          <w:szCs w:val="32"/>
          <w:lang w:val="en-US" w:eastAsia="zh-CN"/>
        </w:rPr>
        <w:t>6</w:t>
      </w:r>
      <w:r>
        <w:rPr>
          <w:rFonts w:hint="eastAsia" w:ascii="仿宋_GB2312" w:eastAsia="仿宋_GB2312" w:cs="仿宋_GB2312"/>
          <w:b w:val="0"/>
          <w:bCs w:val="0"/>
          <w:sz w:val="32"/>
          <w:szCs w:val="32"/>
        </w:rPr>
        <w:t>年</w:t>
      </w:r>
      <w:r>
        <w:rPr>
          <w:rFonts w:hint="eastAsia" w:ascii="仿宋_GB2312" w:eastAsia="仿宋_GB2312" w:cs="仿宋_GB2312"/>
          <w:b w:val="0"/>
          <w:bCs w:val="0"/>
          <w:sz w:val="32"/>
          <w:szCs w:val="32"/>
          <w:lang w:val="en-US" w:eastAsia="zh-CN"/>
        </w:rPr>
        <w:t>9</w:t>
      </w:r>
      <w:r>
        <w:rPr>
          <w:rFonts w:hint="eastAsia" w:ascii="仿宋_GB2312" w:eastAsia="仿宋_GB2312" w:cs="仿宋_GB2312"/>
          <w:b w:val="0"/>
          <w:bCs w:val="0"/>
          <w:sz w:val="32"/>
          <w:szCs w:val="32"/>
        </w:rPr>
        <w:t>月</w:t>
      </w:r>
      <w:r>
        <w:rPr>
          <w:rFonts w:hint="eastAsia" w:ascii="仿宋_GB2312" w:eastAsia="仿宋_GB2312" w:cs="仿宋_GB2312"/>
          <w:b w:val="0"/>
          <w:bCs w:val="0"/>
          <w:sz w:val="32"/>
          <w:szCs w:val="32"/>
          <w:lang w:val="en-US" w:eastAsia="zh-CN"/>
        </w:rPr>
        <w:t>4</w:t>
      </w:r>
      <w:r>
        <w:rPr>
          <w:rFonts w:hint="eastAsia" w:ascii="仿宋_GB2312" w:eastAsia="仿宋_GB2312" w:cs="仿宋_GB2312"/>
          <w:b w:val="0"/>
          <w:bCs w:val="0"/>
          <w:sz w:val="32"/>
          <w:szCs w:val="32"/>
        </w:rPr>
        <w:t>日</w:t>
      </w:r>
    </w:p>
    <w:p w14:paraId="68C362B9">
      <w:pPr>
        <w:pStyle w:val="33"/>
        <w:tabs>
          <w:tab w:val="right" w:leader="dot" w:pos="8845"/>
        </w:tabs>
        <w:rPr>
          <w:rFonts w:hint="eastAsia" w:ascii="仿宋_GB2312" w:eastAsia="仿宋_GB2312" w:cs="仿宋_GB2312"/>
          <w:b/>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TOC \o "1-2" \h \u </w:instrText>
      </w:r>
      <w:r>
        <w:rPr>
          <w:rFonts w:hint="eastAsia" w:ascii="仿宋_GB2312" w:eastAsia="仿宋_GB2312" w:cs="仿宋_GB2312"/>
          <w:sz w:val="32"/>
          <w:szCs w:val="32"/>
        </w:rPr>
        <w:fldChar w:fldCharType="separate"/>
      </w:r>
      <w:r>
        <w:rPr>
          <w:rFonts w:hint="eastAsia" w:ascii="仿宋_GB2312" w:eastAsia="仿宋_GB2312" w:cs="仿宋_GB2312"/>
          <w:b/>
          <w:sz w:val="32"/>
          <w:szCs w:val="32"/>
        </w:rPr>
        <w:fldChar w:fldCharType="begin"/>
      </w:r>
      <w:r>
        <w:rPr>
          <w:rFonts w:hint="eastAsia" w:ascii="仿宋_GB2312" w:eastAsia="仿宋_GB2312" w:cs="仿宋_GB2312"/>
          <w:b/>
          <w:sz w:val="32"/>
          <w:szCs w:val="32"/>
        </w:rPr>
        <w:instrText xml:space="preserve"> HYPERLINK \l _Toc14220 </w:instrText>
      </w:r>
      <w:r>
        <w:rPr>
          <w:rFonts w:hint="eastAsia" w:ascii="仿宋_GB2312" w:eastAsia="仿宋_GB2312" w:cs="仿宋_GB2312"/>
          <w:b/>
          <w:sz w:val="32"/>
          <w:szCs w:val="32"/>
        </w:rPr>
        <w:fldChar w:fldCharType="separate"/>
      </w:r>
      <w:r>
        <w:rPr>
          <w:rFonts w:hint="eastAsia" w:ascii="仿宋_GB2312" w:eastAsia="仿宋_GB2312" w:cs="仿宋_GB2312"/>
          <w:b/>
          <w:sz w:val="32"/>
          <w:szCs w:val="32"/>
          <w:lang w:bidi="ar-SA"/>
        </w:rPr>
        <w:t>第一部分 部门概况</w:t>
      </w:r>
      <w:r>
        <w:rPr>
          <w:rFonts w:hint="eastAsia" w:ascii="仿宋_GB2312" w:eastAsia="仿宋_GB2312" w:cs="仿宋_GB2312"/>
          <w:b/>
          <w:sz w:val="32"/>
          <w:szCs w:val="32"/>
        </w:rPr>
        <w:tab/>
      </w:r>
      <w:r>
        <w:rPr>
          <w:rFonts w:hint="eastAsia" w:ascii="仿宋_GB2312" w:eastAsia="仿宋_GB2312" w:cs="仿宋_GB2312"/>
          <w:b/>
          <w:sz w:val="32"/>
          <w:szCs w:val="32"/>
          <w:lang w:val="en-US" w:eastAsia="zh-CN"/>
        </w:rPr>
        <w:t>1</w:t>
      </w:r>
      <w:r>
        <w:rPr>
          <w:rFonts w:hint="eastAsia" w:ascii="仿宋_GB2312" w:eastAsia="仿宋_GB2312" w:cs="仿宋_GB2312"/>
          <w:b/>
          <w:sz w:val="32"/>
          <w:szCs w:val="32"/>
        </w:rPr>
        <w:fldChar w:fldCharType="end"/>
      </w:r>
    </w:p>
    <w:p w14:paraId="459F2CEC">
      <w:pPr>
        <w:pStyle w:val="34"/>
        <w:tabs>
          <w:tab w:val="right" w:leader="dot" w:pos="8845"/>
        </w:tabs>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_Toc13877 </w:instrText>
      </w:r>
      <w:r>
        <w:rPr>
          <w:rFonts w:hint="eastAsia" w:ascii="仿宋_GB2312" w:eastAsia="仿宋_GB2312" w:cs="仿宋_GB2312"/>
          <w:sz w:val="32"/>
          <w:szCs w:val="32"/>
        </w:rPr>
        <w:fldChar w:fldCharType="separate"/>
      </w:r>
      <w:r>
        <w:rPr>
          <w:rFonts w:hint="eastAsia" w:ascii="仿宋_GB2312" w:eastAsia="仿宋_GB2312" w:cs="仿宋_GB2312"/>
          <w:kern w:val="2"/>
          <w:sz w:val="32"/>
          <w:szCs w:val="32"/>
          <w:lang w:bidi="ar-SA"/>
        </w:rPr>
        <w:t>一、</w:t>
      </w:r>
      <w:r>
        <w:rPr>
          <w:rFonts w:hint="eastAsia" w:ascii="仿宋_GB2312" w:eastAsia="仿宋_GB2312" w:cs="仿宋_GB2312"/>
          <w:kern w:val="2"/>
          <w:sz w:val="32"/>
          <w:szCs w:val="32"/>
          <w:lang w:eastAsia="zh-CN" w:bidi="ar-SA"/>
        </w:rPr>
        <w:t>部门</w:t>
      </w:r>
      <w:r>
        <w:rPr>
          <w:rFonts w:hint="eastAsia" w:ascii="仿宋_GB2312" w:eastAsia="仿宋_GB2312" w:cs="仿宋_GB2312"/>
          <w:kern w:val="2"/>
          <w:sz w:val="32"/>
          <w:szCs w:val="32"/>
          <w:lang w:bidi="ar-SA"/>
        </w:rPr>
        <w:t>职</w:t>
      </w:r>
      <w:r>
        <w:rPr>
          <w:rFonts w:hint="eastAsia" w:ascii="仿宋_GB2312" w:eastAsia="仿宋_GB2312" w:cs="仿宋_GB2312"/>
          <w:kern w:val="2"/>
          <w:sz w:val="32"/>
          <w:szCs w:val="32"/>
          <w:lang w:eastAsia="zh-CN" w:bidi="ar-SA"/>
        </w:rPr>
        <w:t>责</w:t>
      </w:r>
      <w:r>
        <w:rPr>
          <w:rFonts w:hint="eastAsia" w:ascii="仿宋_GB2312" w:eastAsia="仿宋_GB2312" w:cs="仿宋_GB2312"/>
          <w:sz w:val="32"/>
          <w:szCs w:val="32"/>
        </w:rPr>
        <w:tab/>
      </w:r>
      <w:r>
        <w:rPr>
          <w:rFonts w:hint="eastAsia" w:ascii="仿宋_GB2312" w:eastAsia="仿宋_GB2312" w:cs="仿宋_GB2312"/>
          <w:sz w:val="32"/>
          <w:szCs w:val="32"/>
          <w:lang w:val="en-US" w:eastAsia="zh-CN"/>
        </w:rPr>
        <w:t>1</w:t>
      </w:r>
      <w:r>
        <w:rPr>
          <w:rFonts w:hint="eastAsia" w:ascii="仿宋_GB2312" w:eastAsia="仿宋_GB2312" w:cs="仿宋_GB2312"/>
          <w:sz w:val="32"/>
          <w:szCs w:val="32"/>
        </w:rPr>
        <w:fldChar w:fldCharType="end"/>
      </w:r>
    </w:p>
    <w:p w14:paraId="0EDD2974">
      <w:pPr>
        <w:pStyle w:val="34"/>
        <w:tabs>
          <w:tab w:val="right" w:leader="dot" w:pos="8845"/>
        </w:tabs>
        <w:rPr>
          <w:rFonts w:hint="eastAsia" w:ascii="仿宋_GB2312" w:eastAsia="仿宋_GB2312" w:cs="仿宋_GB2312"/>
          <w:sz w:val="32"/>
          <w:szCs w:val="32"/>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_Toc8419 </w:instrText>
      </w:r>
      <w:r>
        <w:rPr>
          <w:rFonts w:hint="eastAsia" w:ascii="仿宋_GB2312" w:eastAsia="仿宋_GB2312" w:cs="仿宋_GB2312"/>
          <w:sz w:val="32"/>
          <w:szCs w:val="32"/>
        </w:rPr>
        <w:fldChar w:fldCharType="separate"/>
      </w:r>
      <w:r>
        <w:rPr>
          <w:rFonts w:hint="eastAsia" w:ascii="仿宋_GB2312" w:eastAsia="仿宋_GB2312" w:cs="仿宋_GB2312"/>
          <w:kern w:val="2"/>
          <w:sz w:val="32"/>
          <w:szCs w:val="32"/>
          <w:lang w:bidi="ar-SA"/>
        </w:rPr>
        <w:t>二、机构设置</w:t>
      </w:r>
      <w:r>
        <w:rPr>
          <w:rFonts w:hint="eastAsia" w:ascii="仿宋_GB2312" w:eastAsia="仿宋_GB2312" w:cs="仿宋_GB2312"/>
          <w:sz w:val="32"/>
          <w:szCs w:val="32"/>
        </w:rPr>
        <w:tab/>
      </w:r>
      <w:r>
        <w:rPr>
          <w:rFonts w:hint="eastAsia" w:ascii="仿宋_GB2312" w:eastAsia="仿宋_GB2312" w:cs="仿宋_GB2312"/>
          <w:sz w:val="32"/>
          <w:szCs w:val="32"/>
          <w:lang w:val="en-US" w:eastAsia="zh-CN"/>
        </w:rPr>
        <w:t>3</w:t>
      </w:r>
      <w:r>
        <w:rPr>
          <w:rFonts w:hint="eastAsia" w:ascii="仿宋_GB2312" w:eastAsia="仿宋_GB2312" w:cs="仿宋_GB2312"/>
          <w:sz w:val="32"/>
          <w:szCs w:val="32"/>
        </w:rPr>
        <w:fldChar w:fldCharType="end"/>
      </w:r>
    </w:p>
    <w:p w14:paraId="4E332A9A">
      <w:pPr>
        <w:pStyle w:val="33"/>
        <w:tabs>
          <w:tab w:val="right" w:leader="dot" w:pos="8845"/>
        </w:tabs>
        <w:rPr>
          <w:rFonts w:hint="eastAsia" w:ascii="仿宋_GB2312" w:eastAsia="仿宋_GB2312" w:cs="仿宋_GB2312"/>
          <w:b/>
          <w:sz w:val="32"/>
          <w:szCs w:val="32"/>
        </w:rPr>
      </w:pPr>
      <w:r>
        <w:rPr>
          <w:rFonts w:hint="eastAsia" w:ascii="仿宋_GB2312" w:eastAsia="仿宋_GB2312" w:cs="仿宋_GB2312"/>
          <w:b/>
          <w:sz w:val="32"/>
          <w:szCs w:val="32"/>
        </w:rPr>
        <w:fldChar w:fldCharType="begin"/>
      </w:r>
      <w:r>
        <w:rPr>
          <w:rFonts w:hint="eastAsia" w:ascii="仿宋_GB2312" w:eastAsia="仿宋_GB2312" w:cs="仿宋_GB2312"/>
          <w:b/>
          <w:sz w:val="32"/>
          <w:szCs w:val="32"/>
        </w:rPr>
        <w:instrText xml:space="preserve"> HYPERLINK \l _Toc11019 </w:instrText>
      </w:r>
      <w:r>
        <w:rPr>
          <w:rFonts w:hint="eastAsia" w:ascii="仿宋_GB2312" w:eastAsia="仿宋_GB2312" w:cs="仿宋_GB2312"/>
          <w:b/>
          <w:sz w:val="32"/>
          <w:szCs w:val="32"/>
        </w:rPr>
        <w:fldChar w:fldCharType="separate"/>
      </w:r>
      <w:r>
        <w:rPr>
          <w:rFonts w:hint="eastAsia" w:ascii="仿宋_GB2312" w:eastAsia="仿宋_GB2312" w:cs="仿宋_GB2312"/>
          <w:b/>
          <w:sz w:val="32"/>
          <w:szCs w:val="32"/>
        </w:rPr>
        <w:t>第二部分 202</w:t>
      </w:r>
      <w:r>
        <w:rPr>
          <w:rFonts w:hint="eastAsia" w:ascii="仿宋_GB2312" w:eastAsia="仿宋_GB2312" w:cs="仿宋_GB2312"/>
          <w:b/>
          <w:sz w:val="32"/>
          <w:szCs w:val="32"/>
          <w:lang w:val="en-US" w:eastAsia="zh-CN"/>
        </w:rPr>
        <w:t>5</w:t>
      </w:r>
      <w:r>
        <w:rPr>
          <w:rFonts w:hint="eastAsia" w:ascii="仿宋_GB2312" w:eastAsia="仿宋_GB2312" w:cs="仿宋_GB2312"/>
          <w:b/>
          <w:sz w:val="32"/>
          <w:szCs w:val="32"/>
        </w:rPr>
        <w:t>年度部门决算情况说明</w:t>
      </w:r>
      <w:r>
        <w:rPr>
          <w:rFonts w:hint="eastAsia" w:ascii="仿宋_GB2312" w:eastAsia="仿宋_GB2312" w:cs="仿宋_GB2312"/>
          <w:b/>
          <w:sz w:val="32"/>
          <w:szCs w:val="32"/>
        </w:rPr>
        <w:tab/>
      </w:r>
      <w:r>
        <w:rPr>
          <w:rFonts w:hint="eastAsia" w:ascii="仿宋_GB2312" w:eastAsia="仿宋_GB2312" w:cs="仿宋_GB2312"/>
          <w:b/>
          <w:sz w:val="32"/>
          <w:szCs w:val="32"/>
          <w:lang w:val="en-US" w:eastAsia="zh-CN"/>
        </w:rPr>
        <w:t>4</w:t>
      </w:r>
      <w:r>
        <w:rPr>
          <w:rFonts w:hint="eastAsia" w:ascii="仿宋_GB2312" w:eastAsia="仿宋_GB2312" w:cs="仿宋_GB2312"/>
          <w:b/>
          <w:sz w:val="32"/>
          <w:szCs w:val="32"/>
        </w:rPr>
        <w:fldChar w:fldCharType="end"/>
      </w:r>
    </w:p>
    <w:p w14:paraId="5B0B0020">
      <w:pPr>
        <w:pStyle w:val="34"/>
        <w:tabs>
          <w:tab w:val="right" w:leader="dot" w:pos="8845"/>
        </w:tabs>
        <w:rPr>
          <w:rFonts w:hint="eastAsia" w:ascii="仿宋_GB2312" w:eastAsia="仿宋_GB2312" w:cs="仿宋_GB2312"/>
          <w:b w:val="0"/>
          <w:bCs w:val="0"/>
          <w:sz w:val="32"/>
          <w:szCs w:val="32"/>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_Toc29548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sz w:val="32"/>
          <w:szCs w:val="32"/>
        </w:rPr>
        <w:t>一、 收入支出决算总体情况说明</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lang w:val="en-US" w:eastAsia="zh-CN"/>
        </w:rPr>
        <w:t>4</w:t>
      </w:r>
      <w:r>
        <w:rPr>
          <w:rFonts w:hint="eastAsia" w:ascii="仿宋_GB2312" w:eastAsia="仿宋_GB2312" w:cs="仿宋_GB2312"/>
          <w:b w:val="0"/>
          <w:bCs w:val="0"/>
          <w:sz w:val="32"/>
          <w:szCs w:val="32"/>
        </w:rPr>
        <w:fldChar w:fldCharType="end"/>
      </w:r>
    </w:p>
    <w:p w14:paraId="0B9A5D4E">
      <w:pPr>
        <w:pStyle w:val="34"/>
        <w:tabs>
          <w:tab w:val="right" w:leader="dot" w:pos="8845"/>
        </w:tabs>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_Toc21872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sz w:val="32"/>
          <w:szCs w:val="32"/>
        </w:rPr>
        <w:t>二、 收入决算情况说明</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lang w:val="en-US" w:eastAsia="zh-CN"/>
        </w:rPr>
        <w:t>4</w:t>
      </w:r>
      <w:r>
        <w:rPr>
          <w:rFonts w:hint="eastAsia" w:ascii="仿宋_GB2312" w:eastAsia="仿宋_GB2312" w:cs="仿宋_GB2312"/>
          <w:b w:val="0"/>
          <w:bCs w:val="0"/>
          <w:sz w:val="32"/>
          <w:szCs w:val="32"/>
        </w:rPr>
        <w:fldChar w:fldCharType="end"/>
      </w:r>
    </w:p>
    <w:p w14:paraId="084653B8">
      <w:pPr>
        <w:pStyle w:val="34"/>
        <w:tabs>
          <w:tab w:val="right" w:leader="dot" w:pos="8845"/>
        </w:tabs>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_Toc28382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sz w:val="32"/>
          <w:szCs w:val="32"/>
        </w:rPr>
        <w:t>三、 支出决算情况说明</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lang w:val="en-US" w:eastAsia="zh-CN"/>
        </w:rPr>
        <w:t>5</w:t>
      </w:r>
      <w:r>
        <w:rPr>
          <w:rFonts w:hint="eastAsia" w:ascii="仿宋_GB2312" w:eastAsia="仿宋_GB2312" w:cs="仿宋_GB2312"/>
          <w:b w:val="0"/>
          <w:bCs w:val="0"/>
          <w:sz w:val="32"/>
          <w:szCs w:val="32"/>
        </w:rPr>
        <w:fldChar w:fldCharType="end"/>
      </w:r>
    </w:p>
    <w:p w14:paraId="78714E6D">
      <w:pPr>
        <w:pStyle w:val="34"/>
        <w:tabs>
          <w:tab w:val="right" w:leader="dot" w:pos="8845"/>
        </w:tabs>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_Toc20821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sz w:val="32"/>
          <w:szCs w:val="32"/>
          <w:lang w:val="en-US" w:eastAsia="zh-CN"/>
        </w:rPr>
        <w:t>四、财政拨款收入支出决算总体情况说明</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lang w:val="en-US" w:eastAsia="zh-CN"/>
        </w:rPr>
        <w:t>5</w:t>
      </w:r>
      <w:r>
        <w:rPr>
          <w:rFonts w:hint="eastAsia" w:ascii="仿宋_GB2312" w:eastAsia="仿宋_GB2312" w:cs="仿宋_GB2312"/>
          <w:b w:val="0"/>
          <w:bCs w:val="0"/>
          <w:sz w:val="32"/>
          <w:szCs w:val="32"/>
        </w:rPr>
        <w:fldChar w:fldCharType="end"/>
      </w:r>
    </w:p>
    <w:p w14:paraId="28880D9D">
      <w:pPr>
        <w:pStyle w:val="34"/>
        <w:tabs>
          <w:tab w:val="right" w:leader="dot" w:pos="8845"/>
        </w:tabs>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_Toc5654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val="en-US" w:eastAsia="zh-CN" w:bidi="ar-SA"/>
        </w:rPr>
        <w:t>五、一般公共预算财政拨款支出决算情况说明</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lang w:val="en-US" w:eastAsia="zh-CN"/>
        </w:rPr>
        <w:t>6</w:t>
      </w:r>
      <w:r>
        <w:rPr>
          <w:rFonts w:hint="eastAsia" w:ascii="仿宋_GB2312" w:eastAsia="仿宋_GB2312" w:cs="仿宋_GB2312"/>
          <w:b w:val="0"/>
          <w:bCs w:val="0"/>
          <w:sz w:val="32"/>
          <w:szCs w:val="32"/>
        </w:rPr>
        <w:fldChar w:fldCharType="end"/>
      </w:r>
    </w:p>
    <w:p w14:paraId="6660691C">
      <w:pPr>
        <w:pStyle w:val="34"/>
        <w:tabs>
          <w:tab w:val="right" w:leader="dot" w:pos="8845"/>
        </w:tabs>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_Toc6004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val="en-US" w:eastAsia="zh-CN" w:bidi="ar-SA"/>
        </w:rPr>
        <w:t>六、一般公共预算财政拨款基本支出决算情况说明   </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lang w:val="en-US" w:eastAsia="zh-CN"/>
        </w:rPr>
        <w:t>1</w:t>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0</w:t>
      </w:r>
    </w:p>
    <w:p w14:paraId="7C7811EC">
      <w:pPr>
        <w:pStyle w:val="34"/>
        <w:tabs>
          <w:tab w:val="right" w:leader="dot" w:pos="8845"/>
        </w:tabs>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_Toc31215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sz w:val="32"/>
          <w:szCs w:val="32"/>
        </w:rPr>
        <w:t>七、 财政拨款“三公”经费支出决算情况说明</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lang w:val="en-US" w:eastAsia="zh-CN"/>
        </w:rPr>
        <w:t>1</w:t>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1</w:t>
      </w:r>
    </w:p>
    <w:p w14:paraId="5B6AD187">
      <w:pPr>
        <w:pStyle w:val="34"/>
        <w:tabs>
          <w:tab w:val="right" w:leader="dot" w:pos="8845"/>
        </w:tabs>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_Toc21531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sz w:val="32"/>
          <w:szCs w:val="32"/>
        </w:rPr>
        <w:t>八、政府性基金预算支出决算情况说明</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lang w:val="en-US" w:eastAsia="zh-CN"/>
        </w:rPr>
        <w:t>1</w:t>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w:t>
      </w:r>
    </w:p>
    <w:p w14:paraId="238CE74D">
      <w:pPr>
        <w:pStyle w:val="34"/>
        <w:tabs>
          <w:tab w:val="right" w:leader="dot" w:pos="8845"/>
        </w:tabs>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_Toc7150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sz w:val="32"/>
          <w:szCs w:val="32"/>
          <w:lang w:eastAsia="zh-CN"/>
        </w:rPr>
        <w:t>九、</w:t>
      </w:r>
      <w:r>
        <w:rPr>
          <w:rFonts w:hint="eastAsia" w:ascii="仿宋_GB2312" w:eastAsia="仿宋_GB2312" w:cs="仿宋_GB2312"/>
          <w:b w:val="0"/>
          <w:bCs w:val="0"/>
          <w:sz w:val="32"/>
          <w:szCs w:val="32"/>
        </w:rPr>
        <w:t>国有资本经营预算支出决算情况说明</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lang w:val="en-US" w:eastAsia="zh-CN"/>
        </w:rPr>
        <w:t>1</w:t>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w:t>
      </w:r>
    </w:p>
    <w:p w14:paraId="7838A6AB">
      <w:pPr>
        <w:pStyle w:val="34"/>
        <w:tabs>
          <w:tab w:val="right" w:leader="dot" w:pos="8845"/>
        </w:tabs>
        <w:rPr>
          <w:rFonts w:hint="eastAsia" w:ascii="仿宋_GB2312" w:eastAsia="仿宋_GB2312" w:cs="仿宋_GB2312"/>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_Toc28635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sz w:val="32"/>
          <w:szCs w:val="32"/>
        </w:rPr>
        <w:t>十、其他重要事项的情况说明</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lang w:val="en-US" w:eastAsia="zh-CN"/>
        </w:rPr>
        <w:t>1</w:t>
      </w:r>
      <w:r>
        <w:rPr>
          <w:rFonts w:hint="eastAsia" w:ascii="仿宋_GB2312" w:eastAsia="仿宋_GB2312" w:cs="仿宋_GB2312"/>
          <w:b w:val="0"/>
          <w:bCs w:val="0"/>
          <w:sz w:val="32"/>
          <w:szCs w:val="32"/>
        </w:rPr>
        <w:fldChar w:fldCharType="end"/>
      </w:r>
      <w:r>
        <w:rPr>
          <w:rFonts w:hint="eastAsia" w:ascii="仿宋_GB2312" w:eastAsia="仿宋_GB2312" w:cs="仿宋_GB2312"/>
          <w:sz w:val="32"/>
          <w:szCs w:val="32"/>
          <w:lang w:val="en-US" w:eastAsia="zh-CN"/>
        </w:rPr>
        <w:t>3</w:t>
      </w:r>
    </w:p>
    <w:p w14:paraId="593516BF">
      <w:pPr>
        <w:pStyle w:val="33"/>
        <w:tabs>
          <w:tab w:val="right" w:leader="dot" w:pos="8845"/>
        </w:tabs>
        <w:rPr>
          <w:rFonts w:hint="eastAsia" w:ascii="仿宋_GB2312" w:eastAsia="仿宋_GB2312" w:cs="仿宋_GB2312"/>
          <w:b/>
          <w:sz w:val="32"/>
          <w:szCs w:val="32"/>
          <w:lang w:val="en-US" w:eastAsia="zh-CN"/>
        </w:rPr>
      </w:pPr>
      <w:r>
        <w:rPr>
          <w:rFonts w:hint="eastAsia" w:ascii="仿宋_GB2312" w:eastAsia="仿宋_GB2312" w:cs="仿宋_GB2312"/>
          <w:b/>
          <w:sz w:val="32"/>
          <w:szCs w:val="32"/>
        </w:rPr>
        <w:fldChar w:fldCharType="begin"/>
      </w:r>
      <w:r>
        <w:rPr>
          <w:rFonts w:hint="eastAsia" w:ascii="仿宋_GB2312" w:eastAsia="仿宋_GB2312" w:cs="仿宋_GB2312"/>
          <w:b/>
          <w:sz w:val="32"/>
          <w:szCs w:val="32"/>
        </w:rPr>
        <w:instrText xml:space="preserve"> HYPERLINK \l _Toc9876 </w:instrText>
      </w:r>
      <w:r>
        <w:rPr>
          <w:rFonts w:hint="eastAsia" w:ascii="仿宋_GB2312" w:eastAsia="仿宋_GB2312" w:cs="仿宋_GB2312"/>
          <w:b/>
          <w:sz w:val="32"/>
          <w:szCs w:val="32"/>
        </w:rPr>
        <w:fldChar w:fldCharType="separate"/>
      </w:r>
      <w:r>
        <w:rPr>
          <w:rFonts w:hint="eastAsia" w:ascii="仿宋_GB2312" w:eastAsia="仿宋_GB2312" w:cs="仿宋_GB2312"/>
          <w:b/>
          <w:sz w:val="32"/>
          <w:szCs w:val="32"/>
        </w:rPr>
        <w:t>第三部分 名词解释</w:t>
      </w:r>
      <w:r>
        <w:rPr>
          <w:rFonts w:hint="eastAsia" w:ascii="仿宋_GB2312" w:eastAsia="仿宋_GB2312" w:cs="仿宋_GB2312"/>
          <w:b/>
          <w:sz w:val="32"/>
          <w:szCs w:val="32"/>
        </w:rPr>
        <w:tab/>
      </w:r>
      <w:r>
        <w:rPr>
          <w:rFonts w:hint="eastAsia" w:ascii="仿宋_GB2312" w:eastAsia="仿宋_GB2312" w:cs="仿宋_GB2312"/>
          <w:b/>
          <w:sz w:val="32"/>
          <w:szCs w:val="32"/>
          <w:lang w:val="en-US" w:eastAsia="zh-CN"/>
        </w:rPr>
        <w:t>1</w:t>
      </w:r>
      <w:r>
        <w:rPr>
          <w:rFonts w:hint="eastAsia" w:ascii="仿宋_GB2312" w:eastAsia="仿宋_GB2312" w:cs="仿宋_GB2312"/>
          <w:b/>
          <w:sz w:val="32"/>
          <w:szCs w:val="32"/>
        </w:rPr>
        <w:fldChar w:fldCharType="end"/>
      </w:r>
      <w:r>
        <w:rPr>
          <w:rFonts w:hint="eastAsia" w:ascii="仿宋_GB2312" w:eastAsia="仿宋_GB2312" w:cs="仿宋_GB2312"/>
          <w:b/>
          <w:sz w:val="32"/>
          <w:szCs w:val="32"/>
          <w:lang w:val="en-US" w:eastAsia="zh-CN"/>
        </w:rPr>
        <w:t>6</w:t>
      </w:r>
    </w:p>
    <w:p w14:paraId="342930DD">
      <w:pPr>
        <w:pStyle w:val="33"/>
        <w:tabs>
          <w:tab w:val="right" w:leader="dot" w:pos="8845"/>
        </w:tabs>
        <w:rPr>
          <w:rFonts w:hint="default" w:ascii="仿宋_GB2312" w:eastAsia="仿宋_GB2312" w:cs="仿宋_GB2312"/>
          <w:b/>
          <w:sz w:val="32"/>
          <w:szCs w:val="32"/>
          <w:lang w:val="en-US" w:eastAsia="zh-CN"/>
        </w:rPr>
      </w:pPr>
      <w:r>
        <w:rPr>
          <w:rFonts w:hint="eastAsia" w:ascii="仿宋_GB2312" w:eastAsia="仿宋_GB2312" w:cs="仿宋_GB2312"/>
          <w:b/>
          <w:sz w:val="32"/>
          <w:szCs w:val="32"/>
        </w:rPr>
        <w:fldChar w:fldCharType="begin"/>
      </w:r>
      <w:r>
        <w:rPr>
          <w:rFonts w:hint="eastAsia" w:ascii="仿宋_GB2312" w:eastAsia="仿宋_GB2312" w:cs="仿宋_GB2312"/>
          <w:b/>
          <w:sz w:val="32"/>
          <w:szCs w:val="32"/>
        </w:rPr>
        <w:instrText xml:space="preserve"> HYPERLINK \l _Toc5353 </w:instrText>
      </w:r>
      <w:r>
        <w:rPr>
          <w:rFonts w:hint="eastAsia" w:ascii="仿宋_GB2312" w:eastAsia="仿宋_GB2312" w:cs="仿宋_GB2312"/>
          <w:b/>
          <w:sz w:val="32"/>
          <w:szCs w:val="32"/>
        </w:rPr>
        <w:fldChar w:fldCharType="separate"/>
      </w:r>
      <w:r>
        <w:rPr>
          <w:rFonts w:hint="eastAsia" w:ascii="仿宋_GB2312" w:eastAsia="仿宋_GB2312" w:cs="仿宋_GB2312"/>
          <w:b/>
          <w:kern w:val="2"/>
          <w:sz w:val="32"/>
          <w:szCs w:val="32"/>
          <w:lang w:val="en-US" w:eastAsia="zh-CN" w:bidi="ar-SA"/>
        </w:rPr>
        <w:t>第四部分 附件</w:t>
      </w:r>
      <w:r>
        <w:rPr>
          <w:rFonts w:hint="eastAsia" w:ascii="仿宋_GB2312" w:eastAsia="仿宋_GB2312" w:cs="仿宋_GB2312"/>
          <w:b/>
          <w:sz w:val="32"/>
          <w:szCs w:val="32"/>
        </w:rPr>
        <w:tab/>
      </w:r>
      <w:r>
        <w:rPr>
          <w:rFonts w:hint="eastAsia" w:ascii="仿宋_GB2312" w:eastAsia="仿宋_GB2312" w:cs="仿宋_GB2312"/>
          <w:b/>
          <w:sz w:val="32"/>
          <w:szCs w:val="32"/>
          <w:lang w:val="en-US" w:eastAsia="zh-CN"/>
        </w:rPr>
        <w:t>1</w:t>
      </w:r>
      <w:r>
        <w:rPr>
          <w:rFonts w:hint="eastAsia" w:ascii="仿宋_GB2312" w:eastAsia="仿宋_GB2312" w:cs="仿宋_GB2312"/>
          <w:b/>
          <w:sz w:val="32"/>
          <w:szCs w:val="32"/>
        </w:rPr>
        <w:fldChar w:fldCharType="end"/>
      </w:r>
      <w:r>
        <w:rPr>
          <w:rFonts w:hint="eastAsia" w:ascii="仿宋_GB2312" w:eastAsia="仿宋_GB2312" w:cs="仿宋_GB2312"/>
          <w:b/>
          <w:sz w:val="32"/>
          <w:szCs w:val="32"/>
          <w:lang w:val="en-US" w:eastAsia="zh-CN"/>
        </w:rPr>
        <w:t>9</w:t>
      </w:r>
    </w:p>
    <w:p w14:paraId="68063A72">
      <w:pPr>
        <w:pStyle w:val="34"/>
        <w:tabs>
          <w:tab w:val="right" w:leader="dot" w:pos="8845"/>
        </w:tabs>
        <w:rPr>
          <w:rFonts w:hint="eastAsia" w:ascii="仿宋_GB2312" w:eastAsia="仿宋_GB2312" w:cs="仿宋_GB2312"/>
          <w:sz w:val="32"/>
          <w:szCs w:val="32"/>
          <w:lang w:val="en-US" w:eastAsia="zh-CN"/>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_Toc32144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附件</w:t>
      </w:r>
      <w:r>
        <w:rPr>
          <w:rFonts w:hint="eastAsia" w:ascii="仿宋_GB2312" w:eastAsia="仿宋_GB2312" w:cs="仿宋_GB2312"/>
          <w:sz w:val="32"/>
          <w:szCs w:val="32"/>
          <w:lang w:val="en-US" w:eastAsia="zh-CN"/>
        </w:rPr>
        <w:t>1</w:t>
      </w:r>
      <w:r>
        <w:rPr>
          <w:rFonts w:hint="eastAsia" w:ascii="仿宋_GB2312" w:eastAsia="仿宋_GB2312" w:cs="仿宋_GB2312"/>
          <w:sz w:val="32"/>
          <w:szCs w:val="32"/>
        </w:rPr>
        <w:tab/>
      </w:r>
      <w:r>
        <w:rPr>
          <w:rFonts w:hint="eastAsia" w:ascii="仿宋_GB2312" w:eastAsia="仿宋_GB2312" w:cs="仿宋_GB2312"/>
          <w:sz w:val="32"/>
          <w:szCs w:val="32"/>
          <w:lang w:val="en-US" w:eastAsia="zh-CN"/>
        </w:rPr>
        <w:t>1</w:t>
      </w:r>
      <w:r>
        <w:rPr>
          <w:rFonts w:hint="eastAsia" w:ascii="仿宋_GB2312" w:eastAsia="仿宋_GB2312" w:cs="仿宋_GB2312"/>
          <w:sz w:val="32"/>
          <w:szCs w:val="32"/>
        </w:rPr>
        <w:fldChar w:fldCharType="end"/>
      </w:r>
      <w:r>
        <w:rPr>
          <w:rFonts w:hint="eastAsia" w:ascii="仿宋_GB2312" w:eastAsia="仿宋_GB2312" w:cs="仿宋_GB2312"/>
          <w:sz w:val="32"/>
          <w:szCs w:val="32"/>
          <w:lang w:val="en-US" w:eastAsia="zh-CN"/>
        </w:rPr>
        <w:t>9</w:t>
      </w:r>
    </w:p>
    <w:p w14:paraId="633FE166">
      <w:pPr>
        <w:pStyle w:val="34"/>
        <w:tabs>
          <w:tab w:val="right" w:leader="dot" w:pos="8845"/>
        </w:tabs>
        <w:rPr>
          <w:rFonts w:hint="eastAsia" w:ascii="仿宋_GB2312" w:eastAsia="仿宋_GB2312" w:cs="仿宋_GB2312"/>
          <w:b/>
          <w:sz w:val="32"/>
          <w:szCs w:val="32"/>
          <w:lang w:val="en-US" w:eastAsia="zh-CN"/>
        </w:rPr>
      </w:pP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HYPERLINK \l _Toc27846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附件</w:t>
      </w:r>
      <w:r>
        <w:rPr>
          <w:rFonts w:hint="eastAsia" w:ascii="仿宋_GB2312" w:eastAsia="仿宋_GB2312" w:cs="仿宋_GB2312"/>
          <w:sz w:val="32"/>
          <w:szCs w:val="32"/>
          <w:lang w:val="en-US" w:eastAsia="zh-CN"/>
        </w:rPr>
        <w:t>2</w:t>
      </w:r>
      <w:r>
        <w:rPr>
          <w:rFonts w:hint="eastAsia" w:ascii="仿宋_GB2312" w:eastAsia="仿宋_GB2312" w:cs="仿宋_GB2312"/>
          <w:sz w:val="32"/>
          <w:szCs w:val="32"/>
        </w:rPr>
        <w:tab/>
      </w:r>
      <w:r>
        <w:rPr>
          <w:rFonts w:hint="eastAsia" w:ascii="仿宋_GB2312" w:eastAsia="仿宋_GB2312" w:cs="仿宋_GB2312"/>
          <w:sz w:val="32"/>
          <w:szCs w:val="32"/>
          <w:lang w:val="en-US" w:eastAsia="zh-CN"/>
        </w:rPr>
        <w:t>3</w:t>
      </w:r>
      <w:r>
        <w:rPr>
          <w:rFonts w:hint="eastAsia" w:ascii="仿宋_GB2312" w:eastAsia="仿宋_GB2312" w:cs="仿宋_GB2312"/>
          <w:sz w:val="32"/>
          <w:szCs w:val="32"/>
        </w:rPr>
        <w:fldChar w:fldCharType="end"/>
      </w:r>
      <w:r>
        <w:rPr>
          <w:rFonts w:hint="eastAsia" w:ascii="仿宋_GB2312" w:eastAsia="仿宋_GB2312" w:cs="仿宋_GB2312"/>
          <w:sz w:val="32"/>
          <w:szCs w:val="32"/>
          <w:lang w:val="en-US" w:eastAsia="zh-CN"/>
        </w:rPr>
        <w:t>8</w:t>
      </w:r>
    </w:p>
    <w:p w14:paraId="5CA0A0A0">
      <w:pPr>
        <w:pStyle w:val="33"/>
        <w:tabs>
          <w:tab w:val="right" w:leader="dot" w:pos="8845"/>
        </w:tabs>
        <w:rPr>
          <w:rFonts w:hint="default" w:ascii="仿宋_GB2312" w:eastAsia="仿宋_GB2312" w:cs="仿宋_GB2312"/>
          <w:b/>
          <w:sz w:val="32"/>
          <w:szCs w:val="32"/>
          <w:lang w:val="en-US" w:eastAsia="zh-CN"/>
        </w:rPr>
      </w:pPr>
      <w:r>
        <w:rPr>
          <w:rFonts w:hint="eastAsia" w:ascii="仿宋_GB2312" w:eastAsia="仿宋_GB2312" w:cs="仿宋_GB2312"/>
          <w:b/>
          <w:sz w:val="32"/>
          <w:szCs w:val="32"/>
        </w:rPr>
        <w:fldChar w:fldCharType="begin"/>
      </w:r>
      <w:r>
        <w:rPr>
          <w:rFonts w:hint="eastAsia" w:ascii="仿宋_GB2312" w:eastAsia="仿宋_GB2312" w:cs="仿宋_GB2312"/>
          <w:b/>
          <w:sz w:val="32"/>
          <w:szCs w:val="32"/>
        </w:rPr>
        <w:instrText xml:space="preserve"> HYPERLINK \l _Toc31792 </w:instrText>
      </w:r>
      <w:r>
        <w:rPr>
          <w:rFonts w:hint="eastAsia" w:ascii="仿宋_GB2312" w:eastAsia="仿宋_GB2312" w:cs="仿宋_GB2312"/>
          <w:b/>
          <w:sz w:val="32"/>
          <w:szCs w:val="32"/>
        </w:rPr>
        <w:fldChar w:fldCharType="separate"/>
      </w:r>
      <w:r>
        <w:rPr>
          <w:rFonts w:hint="eastAsia" w:ascii="仿宋_GB2312" w:eastAsia="仿宋_GB2312" w:cs="仿宋_GB2312"/>
          <w:b/>
          <w:sz w:val="32"/>
          <w:szCs w:val="32"/>
        </w:rPr>
        <w:t>第五部分 附表</w:t>
      </w:r>
      <w:r>
        <w:rPr>
          <w:rFonts w:hint="eastAsia" w:ascii="仿宋_GB2312" w:eastAsia="仿宋_GB2312" w:cs="仿宋_GB2312"/>
          <w:b/>
          <w:sz w:val="32"/>
          <w:szCs w:val="32"/>
        </w:rPr>
        <w:tab/>
      </w:r>
      <w:r>
        <w:rPr>
          <w:rFonts w:hint="eastAsia" w:ascii="仿宋_GB2312" w:eastAsia="仿宋_GB2312" w:cs="仿宋_GB2312"/>
          <w:b/>
          <w:sz w:val="32"/>
          <w:szCs w:val="32"/>
        </w:rPr>
        <w:fldChar w:fldCharType="end"/>
      </w:r>
      <w:r>
        <w:rPr>
          <w:rFonts w:hint="eastAsia" w:ascii="仿宋_GB2312" w:eastAsia="仿宋_GB2312" w:cs="仿宋_GB2312"/>
          <w:b/>
          <w:sz w:val="32"/>
          <w:szCs w:val="32"/>
          <w:lang w:val="en-US" w:eastAsia="zh-CN"/>
        </w:rPr>
        <w:t>39</w:t>
      </w:r>
    </w:p>
    <w:p w14:paraId="590C1AB5">
      <w:pPr>
        <w:pStyle w:val="34"/>
        <w:tabs>
          <w:tab w:val="right" w:leader="dot" w:pos="8845"/>
        </w:tabs>
        <w:rPr>
          <w:rFonts w:hint="eastAsia" w:ascii="仿宋_GB2312" w:eastAsia="仿宋_GB2312" w:cs="仿宋_GB2312"/>
          <w:b w:val="0"/>
          <w:bCs w:val="0"/>
          <w:sz w:val="32"/>
          <w:szCs w:val="32"/>
        </w:rPr>
        <w:sectPr>
          <w:footerReference r:id="rId8" w:type="first"/>
          <w:footerReference r:id="rId7" w:type="default"/>
          <w:pgSz w:w="11906" w:h="16838"/>
          <w:pgMar w:top="1440" w:right="1800" w:bottom="1440" w:left="1800" w:header="851" w:footer="992" w:gutter="0"/>
          <w:pgNumType w:fmt="decimal" w:start="1"/>
          <w:cols w:space="720" w:num="1"/>
          <w:titlePg/>
          <w:docGrid w:type="lines" w:linePitch="312" w:charSpace="0"/>
        </w:sectPr>
      </w:pPr>
    </w:p>
    <w:p w14:paraId="1B200BDF">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_Toc2560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一、收入支出决算总表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5652F56B">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_Toc14338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二、收入决算表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75464A58">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_Toc1816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三、支出决算表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6F2B8D58">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_Toc12338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四、财政拨款收入支出决算总表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39276FD3">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_Toc19655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五、财政拨款支出决算明细表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4B3A17A1">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_Toc24209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六、一般公共预算财政拨款支出决算表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0C20486C">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_Toc9477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七、一般公共预算财政拨款支出决算明细表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717C8B43">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_Toc1761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八、一般公共预算财政拨款基本支出决算表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70FD98F6">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_Toc1938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九、一般公共预算财政拨款项目支出决算表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0D876F73">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_Toc223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十、政府性基金预算财政拨款收入支出决算表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05FEACF3">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_Toc6221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十一、国有资本经营预算财政拨款收入支出决算表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60D3C0CE">
      <w:pPr>
        <w:pStyle w:val="34"/>
        <w:tabs>
          <w:tab w:val="right" w:leader="dot" w:pos="8845"/>
        </w:tabs>
        <w:rPr>
          <w:rFonts w:hint="default" w:ascii="仿宋_GB2312" w:eastAsia="仿宋_GB2312" w:cs="仿宋_GB2312"/>
          <w:b w:val="0"/>
          <w:bCs w:val="0"/>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_Toc10165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十二、国有资本经营预算财政拨款支出决算表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b w:val="0"/>
          <w:bCs w:val="0"/>
          <w:sz w:val="32"/>
          <w:szCs w:val="32"/>
          <w:lang w:val="en-US" w:eastAsia="zh-CN"/>
        </w:rPr>
        <w:t>39</w:t>
      </w:r>
    </w:p>
    <w:p w14:paraId="60468EF1">
      <w:pPr>
        <w:pStyle w:val="34"/>
        <w:tabs>
          <w:tab w:val="right" w:leader="dot" w:pos="8845"/>
        </w:tabs>
        <w:rPr>
          <w:rFonts w:hint="default" w:ascii="仿宋_GB2312" w:eastAsia="仿宋_GB2312" w:cs="仿宋_GB2312"/>
          <w:sz w:val="32"/>
          <w:szCs w:val="32"/>
          <w:lang w:val="en-US" w:eastAsia="zh-CN"/>
        </w:rPr>
      </w:pPr>
      <w:r>
        <w:rPr>
          <w:rFonts w:hint="eastAsia" w:ascii="仿宋_GB2312" w:eastAsia="仿宋_GB2312" w:cs="仿宋_GB2312"/>
          <w:b w:val="0"/>
          <w:bCs w:val="0"/>
          <w:sz w:val="32"/>
          <w:szCs w:val="32"/>
        </w:rPr>
        <w:fldChar w:fldCharType="begin"/>
      </w:r>
      <w:r>
        <w:rPr>
          <w:rFonts w:hint="eastAsia" w:ascii="仿宋_GB2312" w:eastAsia="仿宋_GB2312" w:cs="仿宋_GB2312"/>
          <w:b w:val="0"/>
          <w:bCs w:val="0"/>
          <w:sz w:val="32"/>
          <w:szCs w:val="32"/>
        </w:rPr>
        <w:instrText xml:space="preserve"> HYPERLINK \l _Toc6483 </w:instrText>
      </w:r>
      <w:r>
        <w:rPr>
          <w:rFonts w:hint="eastAsia" w:ascii="仿宋_GB2312" w:eastAsia="仿宋_GB2312" w:cs="仿宋_GB2312"/>
          <w:b w:val="0"/>
          <w:bCs w:val="0"/>
          <w:sz w:val="32"/>
          <w:szCs w:val="32"/>
        </w:rPr>
        <w:fldChar w:fldCharType="separate"/>
      </w:r>
      <w:r>
        <w:rPr>
          <w:rFonts w:hint="eastAsia" w:ascii="仿宋_GB2312" w:eastAsia="仿宋_GB2312" w:cs="仿宋_GB2312"/>
          <w:b w:val="0"/>
          <w:bCs w:val="0"/>
          <w:kern w:val="2"/>
          <w:sz w:val="32"/>
          <w:szCs w:val="32"/>
          <w:lang w:bidi="ar-SA"/>
        </w:rPr>
        <w:t>十三、财政拨款“三公”经费支出决算表</w:t>
      </w:r>
      <w:r>
        <w:rPr>
          <w:rFonts w:hint="eastAsia" w:ascii="仿宋_GB2312" w:eastAsia="仿宋_GB2312" w:cs="仿宋_GB2312"/>
          <w:b w:val="0"/>
          <w:bCs w:val="0"/>
          <w:sz w:val="32"/>
          <w:szCs w:val="32"/>
        </w:rPr>
        <w:tab/>
      </w:r>
      <w:r>
        <w:rPr>
          <w:rFonts w:hint="eastAsia" w:ascii="仿宋_GB2312" w:eastAsia="仿宋_GB2312" w:cs="仿宋_GB2312"/>
          <w:b w:val="0"/>
          <w:bCs w:val="0"/>
          <w:sz w:val="32"/>
          <w:szCs w:val="32"/>
        </w:rPr>
        <w:fldChar w:fldCharType="end"/>
      </w:r>
      <w:r>
        <w:rPr>
          <w:rFonts w:hint="eastAsia" w:ascii="仿宋_GB2312" w:eastAsia="仿宋_GB2312" w:cs="仿宋_GB2312"/>
          <w:sz w:val="32"/>
          <w:szCs w:val="32"/>
          <w:lang w:val="en-US" w:eastAsia="zh-CN"/>
        </w:rPr>
        <w:t>39</w:t>
      </w:r>
    </w:p>
    <w:p w14:paraId="13893F2E">
      <w:pPr>
        <w:pStyle w:val="3"/>
        <w:ind w:left="0"/>
        <w:jc w:val="center"/>
        <w:rPr>
          <w:rStyle w:val="23"/>
          <w:rFonts w:hint="eastAsia" w:ascii="Times New Roman" w:hAnsi="Times New Roman" w:eastAsia="方正小标宋简体" w:cs="方正小标宋简体"/>
          <w:b w:val="0"/>
          <w:bCs w:val="0"/>
          <w:color w:val="auto"/>
          <w:highlight w:val="none"/>
        </w:rPr>
        <w:sectPr>
          <w:footerReference r:id="rId10" w:type="first"/>
          <w:footerReference r:id="rId9" w:type="default"/>
          <w:pgSz w:w="11906" w:h="16838"/>
          <w:pgMar w:top="1440" w:right="1800" w:bottom="1440" w:left="1800" w:header="851" w:footer="992" w:gutter="0"/>
          <w:pgNumType w:fmt="decimal" w:start="1"/>
          <w:cols w:space="720" w:num="1"/>
          <w:docGrid w:type="lines" w:linePitch="312" w:charSpace="0"/>
        </w:sectPr>
      </w:pPr>
      <w:r>
        <w:rPr>
          <w:rFonts w:hint="eastAsia" w:ascii="仿宋_GB2312" w:eastAsia="仿宋_GB2312" w:cs="仿宋_GB2312"/>
          <w:b/>
          <w:sz w:val="32"/>
          <w:szCs w:val="32"/>
        </w:rPr>
        <w:fldChar w:fldCharType="end"/>
      </w:r>
    </w:p>
    <w:p w14:paraId="0C1CC315">
      <w:pPr>
        <w:pStyle w:val="3"/>
        <w:jc w:val="center"/>
        <w:rPr>
          <w:rStyle w:val="23"/>
          <w:rFonts w:hint="eastAsia" w:ascii="Times New Roman" w:hAnsi="Times New Roman" w:eastAsia="方正小标宋简体" w:cs="方正小标宋简体"/>
          <w:b w:val="0"/>
          <w:bCs w:val="0"/>
          <w:color w:val="auto"/>
          <w:highlight w:val="none"/>
        </w:rPr>
      </w:pPr>
      <w:r>
        <w:rPr>
          <w:rFonts w:hint="eastAsia" w:eastAsia="方正小标宋简体" w:cs="方正小标宋简体"/>
          <w:b w:val="0"/>
          <w:color w:val="auto"/>
          <w:highlight w:val="none"/>
          <w:lang w:eastAsia="zh-CN"/>
        </w:rPr>
        <w:t>第一部分</w:t>
      </w:r>
      <w:r>
        <w:rPr>
          <w:rFonts w:hint="eastAsia" w:ascii="Times New Roman" w:hAnsi="Times New Roman" w:eastAsia="方正小标宋简体" w:cs="方正小标宋简体"/>
          <w:b w:val="0"/>
          <w:color w:val="auto"/>
          <w:highlight w:val="none"/>
        </w:rPr>
        <w:t xml:space="preserve"> </w:t>
      </w:r>
      <w:r>
        <w:rPr>
          <w:rStyle w:val="23"/>
          <w:rFonts w:hint="eastAsia" w:ascii="Times New Roman" w:hAnsi="Times New Roman" w:eastAsia="方正小标宋简体" w:cs="方正小标宋简体"/>
          <w:b w:val="0"/>
          <w:bCs w:val="0"/>
          <w:color w:val="auto"/>
          <w:highlight w:val="none"/>
        </w:rPr>
        <w:t>部门概况</w:t>
      </w:r>
      <w:bookmarkEnd w:id="6"/>
      <w:bookmarkEnd w:id="7"/>
    </w:p>
    <w:p w14:paraId="625FA773">
      <w:pPr>
        <w:pStyle w:val="4"/>
        <w:keepNext/>
        <w:keepLines/>
        <w:pageBreakBefore w:val="0"/>
        <w:widowControl w:val="0"/>
        <w:kinsoku/>
        <w:wordWrap/>
        <w:overflowPunct/>
        <w:topLinePunct w:val="0"/>
        <w:autoSpaceDE/>
        <w:autoSpaceDN/>
        <w:bidi w:val="0"/>
        <w:spacing w:before="0" w:beforeAutospacing="0" w:after="0" w:afterAutospacing="0" w:line="576" w:lineRule="exact"/>
        <w:ind w:firstLine="640" w:firstLineChars="200"/>
        <w:jc w:val="both"/>
        <w:textAlignment w:val="auto"/>
        <w:outlineLvl w:val="1"/>
        <w:rPr>
          <w:rFonts w:hint="eastAsia" w:ascii="黑体" w:eastAsia="黑体" w:cs="Times New Roman"/>
          <w:b w:val="0"/>
          <w:color w:val="000000"/>
          <w:kern w:val="2"/>
          <w:sz w:val="32"/>
          <w:szCs w:val="32"/>
          <w:lang w:bidi="ar-SA"/>
        </w:rPr>
      </w:pPr>
      <w:bookmarkStart w:id="8" w:name="_Toc27639"/>
      <w:bookmarkStart w:id="9" w:name="_Toc13877"/>
      <w:bookmarkStart w:id="10" w:name="_Toc20800"/>
      <w:r>
        <w:rPr>
          <w:rFonts w:hint="eastAsia" w:ascii="黑体" w:eastAsia="黑体" w:cs="Times New Roman"/>
          <w:b w:val="0"/>
          <w:color w:val="000000"/>
          <w:kern w:val="2"/>
          <w:sz w:val="32"/>
          <w:szCs w:val="32"/>
          <w:lang w:bidi="ar-SA"/>
        </w:rPr>
        <w:t>一、</w:t>
      </w:r>
      <w:r>
        <w:rPr>
          <w:rFonts w:hint="eastAsia" w:ascii="黑体" w:eastAsia="黑体" w:cs="Times New Roman"/>
          <w:b w:val="0"/>
          <w:color w:val="000000"/>
          <w:kern w:val="2"/>
          <w:sz w:val="32"/>
          <w:szCs w:val="32"/>
          <w:lang w:eastAsia="zh-CN" w:bidi="ar-SA"/>
        </w:rPr>
        <w:t>部门</w:t>
      </w:r>
      <w:r>
        <w:rPr>
          <w:rFonts w:hint="eastAsia" w:ascii="黑体" w:eastAsia="黑体" w:cs="Times New Roman"/>
          <w:b w:val="0"/>
          <w:color w:val="000000"/>
          <w:kern w:val="2"/>
          <w:sz w:val="32"/>
          <w:szCs w:val="32"/>
          <w:lang w:bidi="ar-SA"/>
        </w:rPr>
        <w:t>职</w:t>
      </w:r>
      <w:r>
        <w:rPr>
          <w:rFonts w:hint="eastAsia" w:ascii="黑体" w:eastAsia="黑体" w:cs="Times New Roman"/>
          <w:b w:val="0"/>
          <w:color w:val="000000"/>
          <w:kern w:val="2"/>
          <w:sz w:val="32"/>
          <w:szCs w:val="32"/>
          <w:lang w:eastAsia="zh-CN" w:bidi="ar-SA"/>
        </w:rPr>
        <w:t>责</w:t>
      </w:r>
      <w:bookmarkEnd w:id="8"/>
      <w:bookmarkEnd w:id="9"/>
      <w:bookmarkEnd w:id="10"/>
    </w:p>
    <w:p w14:paraId="0FBBCC0C">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pPr>
      <w:bookmarkStart w:id="11" w:name="_Toc12656"/>
      <w:bookmarkStart w:id="12" w:name="_Toc8419"/>
      <w:r>
        <w:rPr>
          <w:rFonts w:hint="eastAsia" w:ascii="仿宋_GB2312" w:eastAsia="仿宋_GB2312" w:cs="仿宋_GB2312"/>
          <w:b w:val="0"/>
          <w:bCs w:val="0"/>
          <w:color w:val="auto"/>
          <w:sz w:val="32"/>
          <w:szCs w:val="32"/>
          <w:shd w:val="clear" w:color="auto" w:fill="FFFFFF"/>
          <w:lang w:val="en-US" w:eastAsia="zh-CN"/>
        </w:rPr>
        <w:t>1.拟订并组织实施卫生健康基本公共卫生服务均等化、普惠化、便捷化和公共资源向基层延伸等政策措施。贯彻落实卫生健康、中（羌）医发展政策。制定并组织实施全县卫生健康、中（羌）医技术规范、实施方案。统筹规划全县卫生健康、中（羌）医服务资源配置。</w:t>
      </w:r>
    </w:p>
    <w:p w14:paraId="6A86E2A5">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2.牵头推进全县深化医药卫生体制改革。研究提出深化改革重大政策和措施的建议。牵头负责全县分级诊疗、现代医院管理、全民医保、药品供应保障、综合监管 5项基本医疗卫生制度建设。贯彻落实卫生健康公共服务提供主体多元化、提供方式多样化的政策措施。</w:t>
      </w:r>
    </w:p>
    <w:p w14:paraId="2E34D9C9">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3.负责拟订并推动落实全县疾病预防控制规划、免疫规划以及严重危害人民健康的艾滋病等重大传染病、地方病等公共卫生问题的干预措施。负责全县医疗卫生应急工作，组织和指导全县突发公共卫生事件预防控制和各类突发公共事件的医疗卫生救援，报告传染病疫情信息、突发公共卫生事件应急处置信息。</w:t>
      </w:r>
    </w:p>
    <w:p w14:paraId="377A8511">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4.贯彻落实并组织实施医养结合政策，建立和完善老年健康服务体系，推进老年健康管理与服务。</w:t>
      </w:r>
    </w:p>
    <w:p w14:paraId="2F6B9F5E">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sectPr>
          <w:headerReference r:id="rId12" w:type="first"/>
          <w:footerReference r:id="rId14" w:type="first"/>
          <w:headerReference r:id="rId11" w:type="default"/>
          <w:footerReference r:id="rId13" w:type="default"/>
          <w:pgSz w:w="11906" w:h="16838"/>
          <w:pgMar w:top="1440" w:right="1800" w:bottom="1440" w:left="1800" w:header="851" w:footer="992" w:gutter="0"/>
          <w:pgNumType w:fmt="decimal" w:start="1"/>
          <w:cols w:space="720" w:num="1"/>
          <w:titlePg/>
          <w:docGrid w:type="lines" w:linePitch="312" w:charSpace="0"/>
        </w:sectPr>
      </w:pPr>
      <w:r>
        <w:rPr>
          <w:rFonts w:hint="eastAsia" w:ascii="仿宋_GB2312" w:eastAsia="仿宋_GB2312" w:cs="仿宋_GB2312"/>
          <w:b w:val="0"/>
          <w:bCs w:val="0"/>
          <w:color w:val="auto"/>
          <w:sz w:val="32"/>
          <w:szCs w:val="32"/>
          <w:shd w:val="clear" w:color="auto" w:fill="FFFFFF"/>
          <w:lang w:val="en-US" w:eastAsia="zh-CN"/>
        </w:rPr>
        <w:t>5.贯彻落实国家药物政策和国家基本药物制度。开展药械使用监测、临床综合评价和短缺药品预警，组织执行国家</w:t>
      </w:r>
    </w:p>
    <w:p w14:paraId="05941C25">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textAlignment w:val="auto"/>
        <w:outlineLvl w:val="1"/>
        <w:rPr>
          <w:rFonts w:hint="eastAsia" w:ascii="仿宋_GB2312" w:eastAsia="仿宋_GB2312" w:cs="仿宋_GB2312"/>
          <w:b w:val="0"/>
          <w:bCs w:val="0"/>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药典和国家基本药物目录，贯彻落实基本药物使用的政策措施。按照国家、省州相关要求组织实施食品安全风险监测，对食源性疾病及食品安全事故有关因素开展流行病学调查。依法开展食品安全企业标准备案。</w:t>
      </w:r>
    </w:p>
    <w:p w14:paraId="794BB6C3">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6.负责职责范围内的职业卫生、放射卫生、环境卫生、学校卫生、公共场所卫生、饮用水卫生等公共卫生的监督管理。负责传染病防治监督，健全卫生健康综合监管体系。</w:t>
      </w:r>
    </w:p>
    <w:p w14:paraId="216B9EFD">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7.拟订全县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4B156386">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8.负责承担全县人口监测预警工作并提出人口与家庭发展相关健康政策建议。监督实施计划生育家庭扶助政策和计划生育特殊家庭扶助关怀制度。</w:t>
      </w:r>
    </w:p>
    <w:p w14:paraId="1045092D">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 xml:space="preserve">9.负责全县卫生健康工作。负责医疗卫生、妇幼健康服务体系和基层卫生队伍建设。推进卫生健康科技创新发展。   </w:t>
      </w:r>
    </w:p>
    <w:p w14:paraId="217F286A">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10.贯彻落实干部医疗保健政策措施，负责县级保健对象的医疗保健工作。负责县级部门有关干部医疗服务工作。负责重要会议与重大活动的医疗卫生保障工作。</w:t>
      </w:r>
    </w:p>
    <w:p w14:paraId="43DDA961">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val="0"/>
          <w:bCs w:val="0"/>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 xml:space="preserve">11.依法依规履行卫生健康行业安全生产监管职责。负责职责范围内的生态环境保护、审批服务便民化等工作。负责全县职业病防治工作。负责本系统内公共机构节能工作。 </w:t>
      </w:r>
    </w:p>
    <w:p w14:paraId="5E5B42AC">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仿宋_GB2312" w:eastAsia="仿宋_GB2312" w:cs="仿宋_GB2312"/>
          <w:b/>
          <w:bCs/>
          <w:color w:val="auto"/>
          <w:sz w:val="32"/>
          <w:szCs w:val="32"/>
          <w:shd w:val="clear" w:color="auto" w:fill="FFFFFF"/>
          <w:lang w:val="en-US" w:eastAsia="zh-CN"/>
        </w:rPr>
      </w:pPr>
      <w:r>
        <w:rPr>
          <w:rFonts w:hint="eastAsia" w:ascii="仿宋_GB2312" w:eastAsia="仿宋_GB2312" w:cs="仿宋_GB2312"/>
          <w:b w:val="0"/>
          <w:bCs w:val="0"/>
          <w:color w:val="auto"/>
          <w:sz w:val="32"/>
          <w:szCs w:val="32"/>
          <w:shd w:val="clear" w:color="auto" w:fill="FFFFFF"/>
          <w:lang w:val="en-US" w:eastAsia="zh-CN"/>
        </w:rPr>
        <w:t>12.完成县委、县政府交办的其他任务</w:t>
      </w:r>
      <w:r>
        <w:rPr>
          <w:rFonts w:hint="eastAsia" w:ascii="仿宋_GB2312" w:eastAsia="仿宋_GB2312" w:cs="仿宋_GB2312"/>
          <w:b/>
          <w:bCs/>
          <w:color w:val="auto"/>
          <w:sz w:val="32"/>
          <w:szCs w:val="32"/>
          <w:shd w:val="clear" w:color="auto" w:fill="FFFFFF"/>
          <w:lang w:val="en-US" w:eastAsia="zh-CN"/>
        </w:rPr>
        <w:t>。</w:t>
      </w:r>
    </w:p>
    <w:p w14:paraId="06AC2746">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黑体" w:eastAsia="黑体" w:cs="Times New Roman"/>
          <w:b w:val="0"/>
          <w:color w:val="000000"/>
          <w:kern w:val="2"/>
          <w:sz w:val="32"/>
          <w:szCs w:val="32"/>
          <w:lang w:bidi="ar-SA"/>
        </w:rPr>
        <w:sectPr>
          <w:footerReference r:id="rId16" w:type="first"/>
          <w:footerReference r:id="rId15" w:type="default"/>
          <w:pgSz w:w="11906" w:h="16838"/>
          <w:pgMar w:top="1440" w:right="1800" w:bottom="1440" w:left="1800" w:header="851" w:footer="992" w:gutter="0"/>
          <w:pgNumType w:fmt="decimal"/>
          <w:cols w:space="720" w:num="1"/>
          <w:titlePg/>
          <w:docGrid w:type="lines" w:linePitch="312" w:charSpace="0"/>
        </w:sectPr>
      </w:pPr>
    </w:p>
    <w:p w14:paraId="70117288">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outlineLvl w:val="1"/>
        <w:rPr>
          <w:rFonts w:hint="eastAsia" w:ascii="黑体" w:eastAsia="黑体" w:cs="Times New Roman"/>
          <w:b w:val="0"/>
          <w:color w:val="000000"/>
          <w:kern w:val="2"/>
          <w:sz w:val="32"/>
          <w:szCs w:val="32"/>
          <w:lang w:bidi="ar-SA"/>
        </w:rPr>
      </w:pPr>
      <w:r>
        <w:rPr>
          <w:rFonts w:hint="eastAsia" w:ascii="黑体" w:eastAsia="黑体" w:cs="Times New Roman"/>
          <w:b w:val="0"/>
          <w:color w:val="000000"/>
          <w:kern w:val="2"/>
          <w:sz w:val="32"/>
          <w:szCs w:val="32"/>
          <w:lang w:bidi="ar-SA"/>
        </w:rPr>
        <w:t>二、机构设置</w:t>
      </w:r>
      <w:bookmarkEnd w:id="11"/>
      <w:bookmarkEnd w:id="12"/>
    </w:p>
    <w:p w14:paraId="618FB2CB">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茂县</w:t>
      </w:r>
      <w:r>
        <w:rPr>
          <w:rFonts w:hint="eastAsia" w:ascii="仿宋_GB2312" w:eastAsia="仿宋_GB2312" w:cs="仿宋_GB2312"/>
          <w:sz w:val="32"/>
          <w:szCs w:val="32"/>
          <w:lang w:eastAsia="zh-CN"/>
        </w:rPr>
        <w:t>卫生健康局下属二级预算单位</w:t>
      </w:r>
      <w:r>
        <w:rPr>
          <w:rFonts w:hint="eastAsia" w:ascii="仿宋_GB2312" w:eastAsia="仿宋_GB2312" w:cs="仿宋_GB2312"/>
          <w:sz w:val="32"/>
          <w:szCs w:val="32"/>
          <w:lang w:val="en-US" w:eastAsia="zh-CN"/>
        </w:rPr>
        <w:t>17个</w:t>
      </w:r>
      <w:r>
        <w:rPr>
          <w:rFonts w:hint="eastAsia" w:ascii="仿宋_GB2312" w:eastAsia="仿宋_GB2312" w:cs="仿宋_GB2312"/>
          <w:sz w:val="32"/>
          <w:szCs w:val="32"/>
          <w:lang w:eastAsia="zh-CN"/>
        </w:rPr>
        <w:t>，</w:t>
      </w:r>
      <w:r>
        <w:rPr>
          <w:rFonts w:hint="eastAsia" w:ascii="仿宋_GB2312" w:eastAsia="仿宋_GB2312" w:cs="仿宋_GB2312"/>
          <w:sz w:val="32"/>
          <w:szCs w:val="32"/>
        </w:rPr>
        <w:t>其中</w:t>
      </w:r>
      <w:r>
        <w:rPr>
          <w:rFonts w:hint="eastAsia" w:ascii="仿宋_GB2312" w:eastAsia="仿宋_GB2312" w:cs="仿宋_GB2312"/>
          <w:sz w:val="32"/>
          <w:szCs w:val="32"/>
          <w:lang w:val="en-US" w:eastAsia="zh-CN"/>
        </w:rPr>
        <w:t>:</w:t>
      </w:r>
      <w:r>
        <w:rPr>
          <w:rFonts w:hint="eastAsia" w:ascii="Times New Roman" w:hAnsi="Times New Roman" w:eastAsia="仿宋_GB2312" w:cs="仿宋_GB2312"/>
          <w:color w:val="auto"/>
          <w:sz w:val="32"/>
          <w:szCs w:val="32"/>
          <w:highlight w:val="none"/>
        </w:rPr>
        <w:t>其中行政单位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ascii="Times New Roman" w:hAnsi="Times New Roman"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r>
        <w:rPr>
          <w:rFonts w:hint="eastAsia" w:ascii="仿宋_GB2312" w:eastAsia="仿宋_GB2312" w:cs="仿宋_GB2312"/>
          <w:sz w:val="32"/>
          <w:szCs w:val="32"/>
        </w:rPr>
        <w:t>其他事业单位</w:t>
      </w:r>
      <w:r>
        <w:rPr>
          <w:rFonts w:hint="eastAsia" w:ascii="仿宋_GB2312" w:eastAsia="仿宋_GB2312" w:cs="仿宋_GB2312"/>
          <w:sz w:val="32"/>
          <w:szCs w:val="32"/>
          <w:lang w:val="en-US" w:eastAsia="zh-CN"/>
        </w:rPr>
        <w:t>17</w:t>
      </w:r>
      <w:r>
        <w:rPr>
          <w:rFonts w:hint="eastAsia" w:ascii="仿宋_GB2312" w:eastAsia="仿宋_GB2312" w:cs="仿宋_GB2312"/>
          <w:sz w:val="32"/>
          <w:szCs w:val="32"/>
        </w:rPr>
        <w:t>个。</w:t>
      </w:r>
    </w:p>
    <w:p w14:paraId="7D335F1B">
      <w:pPr>
        <w:keepNext w:val="0"/>
        <w:keepLines w:val="0"/>
        <w:pageBreakBefore w:val="0"/>
        <w:widowControl w:val="0"/>
        <w:pBdr>
          <w:bottom w:val="single" w:color="FFFFFF" w:sz="4" w:space="29"/>
        </w:pBdr>
        <w:tabs>
          <w:tab w:val="left" w:pos="1440"/>
        </w:tabs>
        <w:kinsoku/>
        <w:wordWrap/>
        <w:overflowPunct/>
        <w:topLinePunct w:val="0"/>
        <w:bidi w:val="0"/>
        <w:snapToGrid/>
        <w:spacing w:line="580"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纳入茂县</w:t>
      </w:r>
      <w:r>
        <w:rPr>
          <w:rFonts w:hint="eastAsia" w:ascii="仿宋_GB2312" w:eastAsia="仿宋_GB2312" w:cs="仿宋_GB2312"/>
          <w:sz w:val="32"/>
          <w:szCs w:val="32"/>
          <w:lang w:eastAsia="zh-CN"/>
        </w:rPr>
        <w:t>卫生健康局</w:t>
      </w: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年度部门决算编制范围的二级预算单位包括：</w:t>
      </w:r>
    </w:p>
    <w:p w14:paraId="524D63E9">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lang w:val="en-US" w:eastAsia="zh-CN"/>
        </w:rPr>
        <w:t>1.</w:t>
      </w:r>
      <w:r>
        <w:rPr>
          <w:rFonts w:hint="eastAsia" w:ascii="仿宋_GB2312" w:eastAsia="仿宋_GB2312" w:cs="仿宋_GB2312"/>
          <w:sz w:val="32"/>
          <w:szCs w:val="32"/>
        </w:rPr>
        <w:t>茂县医学会</w:t>
      </w:r>
    </w:p>
    <w:p w14:paraId="4A7AC395">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2.茂县卫生进修学校</w:t>
      </w:r>
    </w:p>
    <w:p w14:paraId="7BF1CE04">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rPr>
        <w:t>3.茂县卫生</w:t>
      </w:r>
      <w:r>
        <w:rPr>
          <w:rFonts w:hint="eastAsia" w:ascii="仿宋_GB2312" w:eastAsia="仿宋_GB2312" w:cs="仿宋_GB2312"/>
          <w:sz w:val="32"/>
          <w:szCs w:val="32"/>
          <w:lang w:eastAsia="zh-CN"/>
        </w:rPr>
        <w:t>事务综合服务中心</w:t>
      </w:r>
    </w:p>
    <w:p w14:paraId="53130890">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4.茂县医药卫生体制改革办公室</w:t>
      </w:r>
    </w:p>
    <w:p w14:paraId="1DF34392">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.茂县人民医院</w:t>
      </w:r>
    </w:p>
    <w:p w14:paraId="76DBECE2">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.茂县中医</w:t>
      </w:r>
      <w:r>
        <w:rPr>
          <w:rFonts w:hint="eastAsia" w:ascii="仿宋_GB2312" w:eastAsia="仿宋_GB2312" w:cs="仿宋_GB2312"/>
          <w:sz w:val="32"/>
          <w:szCs w:val="32"/>
          <w:lang w:eastAsia="zh-CN"/>
        </w:rPr>
        <w:t>医院</w:t>
      </w:r>
    </w:p>
    <w:p w14:paraId="38C482F4">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7.茂县南新镇卫生院</w:t>
      </w:r>
    </w:p>
    <w:p w14:paraId="66088692">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8.茂县沟口镇卫生院</w:t>
      </w:r>
    </w:p>
    <w:p w14:paraId="2A536350">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9.茂县渭门镇卫生院</w:t>
      </w:r>
    </w:p>
    <w:p w14:paraId="4D799FB8">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10.茂县赤不苏镇卫生院</w:t>
      </w:r>
    </w:p>
    <w:p w14:paraId="27976DCF">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11.茂县叠溪镇卫生院</w:t>
      </w:r>
    </w:p>
    <w:p w14:paraId="350D631C">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12.茂县富顺镇卫生院</w:t>
      </w:r>
    </w:p>
    <w:p w14:paraId="6F4C27A8">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13.茂县土门镇卫生院</w:t>
      </w:r>
    </w:p>
    <w:p w14:paraId="6C2C3D80">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14.茂县沙坝镇卫生院</w:t>
      </w:r>
    </w:p>
    <w:p w14:paraId="6A833396">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15.茂县洼底镇卫生院</w:t>
      </w:r>
    </w:p>
    <w:p w14:paraId="207E921A">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16.茂县黑虎镇卫生院</w:t>
      </w:r>
    </w:p>
    <w:p w14:paraId="4366BC84">
      <w:pPr>
        <w:keepNext w:val="0"/>
        <w:keepLines w:val="0"/>
        <w:pageBreakBefore w:val="0"/>
        <w:widowControl/>
        <w:pBdr>
          <w:bottom w:val="single" w:color="FFFFFF" w:sz="4" w:space="29"/>
        </w:pBdr>
        <w:tabs>
          <w:tab w:val="left" w:pos="1440"/>
        </w:tabs>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rPr>
      </w:pPr>
      <w:r>
        <w:rPr>
          <w:rFonts w:hint="eastAsia" w:ascii="仿宋_GB2312" w:eastAsia="仿宋_GB2312" w:cs="仿宋_GB2312"/>
          <w:sz w:val="32"/>
          <w:szCs w:val="32"/>
          <w:lang w:val="en-US" w:eastAsia="zh-CN"/>
        </w:rPr>
        <w:t>17.茂县凤仪镇社区卫生服务中心</w:t>
      </w:r>
    </w:p>
    <w:p w14:paraId="6D5AB62A">
      <w:pPr>
        <w:pStyle w:val="3"/>
        <w:jc w:val="center"/>
        <w:rPr>
          <w:rFonts w:hint="eastAsia" w:ascii="Times New Roman" w:hAnsi="Times New Roman" w:eastAsia="方正小标宋简体" w:cs="方正小标宋简体"/>
          <w:b w:val="0"/>
          <w:color w:val="auto"/>
          <w:highlight w:val="none"/>
        </w:rPr>
        <w:sectPr>
          <w:footerReference r:id="rId18" w:type="first"/>
          <w:footerReference r:id="rId17" w:type="default"/>
          <w:pgSz w:w="11906" w:h="16838"/>
          <w:pgMar w:top="1440" w:right="1800" w:bottom="1440" w:left="1800" w:header="851" w:footer="992" w:gutter="0"/>
          <w:pgNumType w:fmt="decimal"/>
          <w:cols w:space="720" w:num="1"/>
          <w:docGrid w:type="lines" w:linePitch="312" w:charSpace="0"/>
        </w:sectPr>
      </w:pPr>
      <w:bookmarkStart w:id="13" w:name="_Toc15377204"/>
      <w:bookmarkStart w:id="14" w:name="_Toc15396602"/>
    </w:p>
    <w:p w14:paraId="28A8D438">
      <w:pPr>
        <w:pStyle w:val="3"/>
        <w:jc w:val="center"/>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3"/>
      <w:bookmarkEnd w:id="14"/>
    </w:p>
    <w:p w14:paraId="7646097E">
      <w:pPr>
        <w:pStyle w:val="29"/>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4"/>
          <w:rFonts w:hint="eastAsia" w:ascii="Times New Roman" w:hAnsi="Times New Roman" w:eastAsia="黑体"/>
          <w:b w:val="0"/>
          <w:color w:val="auto"/>
          <w:highlight w:val="none"/>
        </w:rPr>
      </w:pPr>
      <w:bookmarkStart w:id="15" w:name="_Toc15377205"/>
      <w:bookmarkStart w:id="16"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4"/>
          <w:rFonts w:hint="eastAsia" w:ascii="Times New Roman" w:hAnsi="Times New Roman" w:eastAsia="黑体"/>
          <w:b w:val="0"/>
          <w:color w:val="auto"/>
          <w:highlight w:val="none"/>
        </w:rPr>
        <w:t>入支出决算总体情况说明</w:t>
      </w:r>
      <w:bookmarkEnd w:id="15"/>
      <w:bookmarkEnd w:id="16"/>
    </w:p>
    <w:p w14:paraId="16C16C6B">
      <w:pPr>
        <w:pageBreakBefore w:val="0"/>
        <w:widowControl w:val="0"/>
        <w:kinsoku/>
        <w:wordWrap/>
        <w:overflowPunct/>
        <w:topLinePunct w:val="0"/>
        <w:bidi w:val="0"/>
        <w:spacing w:line="576"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eastAsia="仿宋_GB2312" w:cs="仿宋_GB2312"/>
          <w:sz w:val="32"/>
          <w:szCs w:val="32"/>
          <w:lang w:val="en-US" w:eastAsia="zh-CN"/>
        </w:rPr>
        <w:t>40354.97</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16251.52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67.42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ascii="仿宋" w:hAnsi="仿宋" w:eastAsia="仿宋"/>
          <w:color w:val="auto"/>
          <w:sz w:val="32"/>
          <w:szCs w:val="32"/>
          <w:highlight w:val="none"/>
          <w:lang w:val="en-US" w:eastAsia="zh-CN"/>
        </w:rPr>
        <w:t>2025年增加高原病防治研究基地（阿坝）建设专项项目资金及育儿补贴项目资金</w:t>
      </w:r>
      <w:r>
        <w:rPr>
          <w:rFonts w:hint="eastAsia" w:ascii="仿宋" w:hAnsi="仿宋" w:eastAsia="仿宋"/>
          <w:color w:val="auto"/>
          <w:sz w:val="32"/>
          <w:szCs w:val="32"/>
          <w:highlight w:val="none"/>
          <w:lang w:eastAsia="zh-CN"/>
        </w:rPr>
        <w:t>。</w:t>
      </w:r>
    </w:p>
    <w:p w14:paraId="130880AC">
      <w:pPr>
        <w:pStyle w:val="2"/>
        <w:jc w:val="center"/>
        <w:rPr>
          <w:rFonts w:hint="eastAsia"/>
        </w:rPr>
      </w:pPr>
      <w:r>
        <w:drawing>
          <wp:inline distT="0" distB="0" distL="114300" distR="114300">
            <wp:extent cx="4572000" cy="2741930"/>
            <wp:effectExtent l="4445" t="4445" r="14605" b="15875"/>
            <wp:docPr id="2052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C7EFFA3">
      <w:pPr>
        <w:pStyle w:val="29"/>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bookmarkStart w:id="17" w:name="_Toc15377206"/>
      <w:bookmarkStart w:id="18" w:name="_Toc15396604"/>
      <w:r>
        <w:rPr>
          <w:rFonts w:hint="eastAsia" w:ascii="Times New Roman" w:hAnsi="Times New Roman" w:eastAsia="黑体"/>
          <w:color w:val="auto"/>
          <w:sz w:val="32"/>
          <w:szCs w:val="32"/>
          <w:highlight w:val="none"/>
          <w:lang w:eastAsia="zh-CN"/>
        </w:rPr>
        <w:t>二、收入决算情况说明</w:t>
      </w:r>
      <w:bookmarkEnd w:id="17"/>
      <w:bookmarkEnd w:id="18"/>
    </w:p>
    <w:p w14:paraId="7F85CEA8">
      <w:pPr>
        <w:pStyle w:val="29"/>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eastAsia="仿宋_GB2312" w:cs="仿宋_GB2312"/>
          <w:color w:val="auto"/>
          <w:sz w:val="32"/>
          <w:szCs w:val="32"/>
          <w:highlight w:val="none"/>
          <w:lang w:eastAsia="zh-CN"/>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年度本年收入合计</w:t>
      </w:r>
      <w:r>
        <w:rPr>
          <w:rFonts w:hint="eastAsia" w:ascii="仿宋_GB2312" w:eastAsia="仿宋_GB2312" w:cs="仿宋_GB2312"/>
          <w:sz w:val="32"/>
          <w:szCs w:val="32"/>
          <w:lang w:val="en-US" w:eastAsia="zh-CN"/>
        </w:rPr>
        <w:t>40354.97</w:t>
      </w:r>
      <w:r>
        <w:rPr>
          <w:rFonts w:hint="eastAsia" w:ascii="仿宋_GB2312" w:eastAsia="仿宋_GB2312" w:cs="仿宋_GB2312"/>
          <w:sz w:val="32"/>
          <w:szCs w:val="32"/>
        </w:rPr>
        <w:t>万元，其中：一般公共预算财政拨款收入</w:t>
      </w:r>
      <w:r>
        <w:rPr>
          <w:rFonts w:hint="eastAsia" w:ascii="仿宋_GB2312" w:eastAsia="仿宋_GB2312" w:cs="仿宋_GB2312"/>
          <w:sz w:val="32"/>
          <w:szCs w:val="32"/>
          <w:lang w:val="en-US" w:eastAsia="zh-CN"/>
        </w:rPr>
        <w:t>15486.81</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lang w:val="en-US" w:eastAsia="zh-CN"/>
        </w:rPr>
        <w:t>38.38</w:t>
      </w:r>
      <w:r>
        <w:rPr>
          <w:rFonts w:hint="eastAsia" w:ascii="仿宋_GB2312"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Times New Roman" w:hAnsi="Times New Roman" w:eastAsia="仿宋_GB2312" w:cs="仿宋_GB2312"/>
          <w:color w:val="auto"/>
          <w:sz w:val="32"/>
          <w:szCs w:val="32"/>
          <w:highlight w:val="none"/>
          <w:lang w:val="en-US" w:eastAsia="zh-CN"/>
        </w:rPr>
        <w:t>14682</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36.38</w:t>
      </w:r>
      <w:r>
        <w:rPr>
          <w:rFonts w:hint="eastAsia" w:ascii="Times New Roman" w:hAnsi="Times New Roman"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lang w:eastAsia="zh-CN"/>
        </w:rPr>
        <w:t>事业收入</w:t>
      </w:r>
      <w:r>
        <w:rPr>
          <w:rFonts w:hint="eastAsia" w:ascii="仿宋_GB2312" w:eastAsia="仿宋_GB2312" w:cs="仿宋_GB2312"/>
          <w:sz w:val="32"/>
          <w:szCs w:val="32"/>
          <w:lang w:val="en-US" w:eastAsia="zh-CN"/>
        </w:rPr>
        <w:t>9862.64</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lang w:val="en-US" w:eastAsia="zh-CN"/>
        </w:rPr>
        <w:t>24.44</w:t>
      </w:r>
      <w:r>
        <w:rPr>
          <w:rFonts w:hint="eastAsia" w:ascii="仿宋_GB2312" w:eastAsia="仿宋_GB2312" w:cs="仿宋_GB2312"/>
          <w:color w:val="auto"/>
          <w:sz w:val="32"/>
          <w:szCs w:val="32"/>
          <w:highlight w:val="none"/>
          <w:lang w:eastAsia="zh-CN"/>
        </w:rPr>
        <w:t>%；其他收入</w:t>
      </w:r>
      <w:r>
        <w:rPr>
          <w:rFonts w:hint="eastAsia" w:ascii="仿宋_GB2312" w:eastAsia="仿宋_GB2312" w:cs="仿宋_GB2312"/>
          <w:sz w:val="32"/>
          <w:szCs w:val="32"/>
          <w:lang w:val="en-US" w:eastAsia="zh-CN"/>
        </w:rPr>
        <w:t>323.52</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lang w:val="en-US" w:eastAsia="zh-CN"/>
        </w:rPr>
        <w:t>0.8</w:t>
      </w:r>
      <w:r>
        <w:rPr>
          <w:rFonts w:hint="eastAsia" w:ascii="仿宋_GB2312" w:eastAsia="仿宋_GB2312" w:cs="仿宋_GB2312"/>
          <w:color w:val="auto"/>
          <w:sz w:val="32"/>
          <w:szCs w:val="32"/>
          <w:highlight w:val="none"/>
          <w:lang w:eastAsia="zh-CN"/>
        </w:rPr>
        <w:t>%。</w:t>
      </w:r>
    </w:p>
    <w:p w14:paraId="34B07050">
      <w:pPr>
        <w:ind w:firstLine="525" w:firstLineChars="250"/>
        <w:sectPr>
          <w:footerReference r:id="rId19" w:type="default"/>
          <w:pgSz w:w="11906" w:h="16838"/>
          <w:pgMar w:top="1440" w:right="1800" w:bottom="1440" w:left="1800" w:header="851" w:footer="992" w:gutter="0"/>
          <w:pgNumType w:fmt="decimal"/>
          <w:cols w:space="720" w:num="1"/>
          <w:docGrid w:type="lines" w:linePitch="312" w:charSpace="0"/>
        </w:sectPr>
      </w:pPr>
    </w:p>
    <w:p w14:paraId="7DD828DC">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676140" cy="2313305"/>
            <wp:effectExtent l="5080" t="4445" r="5080" b="6350"/>
            <wp:docPr id="144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22E1A30">
      <w:pPr>
        <w:pStyle w:val="29"/>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4"/>
          <w:rFonts w:hint="eastAsia" w:ascii="Times New Roman" w:hAnsi="Times New Roman" w:eastAsia="黑体"/>
          <w:b w:val="0"/>
          <w:color w:val="auto"/>
          <w:highlight w:val="none"/>
        </w:rPr>
      </w:pPr>
      <w:bookmarkStart w:id="19" w:name="_Toc15396605"/>
      <w:bookmarkStart w:id="20"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4"/>
          <w:rFonts w:hint="eastAsia" w:ascii="Times New Roman" w:hAnsi="Times New Roman" w:eastAsia="黑体"/>
          <w:b w:val="0"/>
          <w:color w:val="auto"/>
          <w:highlight w:val="none"/>
        </w:rPr>
        <w:t>出决算情况说明</w:t>
      </w:r>
      <w:bookmarkEnd w:id="19"/>
      <w:bookmarkEnd w:id="20"/>
    </w:p>
    <w:p w14:paraId="0712BF12">
      <w:pPr>
        <w:pStyle w:val="29"/>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年度本年支出合计</w:t>
      </w:r>
      <w:r>
        <w:rPr>
          <w:rFonts w:hint="eastAsia" w:ascii="仿宋_GB2312" w:eastAsia="仿宋_GB2312" w:cs="仿宋_GB2312"/>
          <w:sz w:val="32"/>
          <w:szCs w:val="32"/>
          <w:lang w:val="en-US" w:eastAsia="zh-CN"/>
        </w:rPr>
        <w:t>39455.26</w:t>
      </w:r>
      <w:r>
        <w:rPr>
          <w:rFonts w:hint="eastAsia" w:ascii="仿宋_GB2312" w:eastAsia="仿宋_GB2312" w:cs="仿宋_GB2312"/>
          <w:color w:val="auto"/>
          <w:sz w:val="32"/>
          <w:szCs w:val="32"/>
          <w:highlight w:val="none"/>
          <w:lang w:eastAsia="zh-CN"/>
        </w:rPr>
        <w:t>万元，其中：基本支出</w:t>
      </w:r>
      <w:r>
        <w:rPr>
          <w:rFonts w:hint="eastAsia" w:ascii="仿宋_GB2312" w:eastAsia="仿宋_GB2312" w:cs="仿宋_GB2312"/>
          <w:sz w:val="32"/>
          <w:szCs w:val="32"/>
          <w:lang w:val="en-US" w:eastAsia="zh-CN"/>
        </w:rPr>
        <w:t>20111.87</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lang w:val="en-US" w:eastAsia="zh-CN"/>
        </w:rPr>
        <w:t>50.97</w:t>
      </w:r>
      <w:r>
        <w:rPr>
          <w:rFonts w:hint="eastAsia" w:ascii="仿宋_GB2312" w:eastAsia="仿宋_GB2312" w:cs="仿宋_GB2312"/>
          <w:color w:val="auto"/>
          <w:sz w:val="32"/>
          <w:szCs w:val="32"/>
          <w:highlight w:val="none"/>
          <w:lang w:eastAsia="zh-CN"/>
        </w:rPr>
        <w:t>%；项目支出</w:t>
      </w:r>
      <w:r>
        <w:rPr>
          <w:rFonts w:hint="eastAsia" w:ascii="仿宋_GB2312" w:eastAsia="仿宋_GB2312" w:cs="仿宋_GB2312"/>
          <w:sz w:val="32"/>
          <w:szCs w:val="32"/>
          <w:lang w:val="en-US" w:eastAsia="zh-CN"/>
        </w:rPr>
        <w:t>19343.39</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lang w:val="en-US" w:eastAsia="zh-CN"/>
        </w:rPr>
        <w:t>49.03</w:t>
      </w:r>
      <w:r>
        <w:rPr>
          <w:rFonts w:hint="eastAsia" w:ascii="仿宋_GB2312" w:eastAsia="仿宋_GB2312" w:cs="仿宋_GB2312"/>
          <w:color w:val="auto"/>
          <w:sz w:val="32"/>
          <w:szCs w:val="32"/>
          <w:highlight w:val="none"/>
          <w:lang w:eastAsia="zh-CN"/>
        </w:rPr>
        <w:t>%。</w:t>
      </w:r>
    </w:p>
    <w:p w14:paraId="7A55A0D3">
      <w:pPr>
        <w:pStyle w:val="2"/>
        <w:jc w:val="center"/>
        <w:rPr>
          <w:rFonts w:hint="eastAsia"/>
          <w:lang w:eastAsia="zh-CN"/>
        </w:rPr>
      </w:pPr>
      <w:r>
        <w:drawing>
          <wp:inline distT="0" distB="0" distL="114300" distR="114300">
            <wp:extent cx="4787900" cy="2402205"/>
            <wp:effectExtent l="4445" t="4445" r="8255" b="12700"/>
            <wp:docPr id="3175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0B28DEC">
      <w:pPr>
        <w:spacing w:line="600" w:lineRule="exact"/>
        <w:ind w:firstLine="640" w:firstLineChars="200"/>
        <w:outlineLvl w:val="1"/>
        <w:rPr>
          <w:rStyle w:val="24"/>
          <w:rFonts w:ascii="Times New Roman" w:hAnsi="Times New Roman" w:eastAsia="黑体"/>
          <w:b w:val="0"/>
          <w:color w:val="auto"/>
          <w:highlight w:val="none"/>
        </w:rPr>
      </w:pPr>
      <w:bookmarkStart w:id="21" w:name="_Toc15377208"/>
      <w:bookmarkStart w:id="22" w:name="_Toc15396606"/>
      <w:r>
        <w:rPr>
          <w:rFonts w:hint="eastAsia" w:ascii="Times New Roman" w:hAnsi="Times New Roman" w:eastAsia="黑体"/>
          <w:color w:val="auto"/>
          <w:sz w:val="32"/>
          <w:szCs w:val="32"/>
          <w:highlight w:val="none"/>
        </w:rPr>
        <w:t>四、财</w:t>
      </w:r>
      <w:r>
        <w:rPr>
          <w:rStyle w:val="24"/>
          <w:rFonts w:hint="eastAsia" w:ascii="Times New Roman" w:hAnsi="Times New Roman" w:eastAsia="黑体"/>
          <w:b w:val="0"/>
          <w:color w:val="auto"/>
          <w:highlight w:val="none"/>
        </w:rPr>
        <w:t>政拨款收入支出决算总体情况说明</w:t>
      </w:r>
      <w:bookmarkEnd w:id="21"/>
      <w:bookmarkEnd w:id="22"/>
    </w:p>
    <w:p w14:paraId="28E886D9">
      <w:pPr>
        <w:pageBreakBefore w:val="0"/>
        <w:widowControl w:val="0"/>
        <w:kinsoku/>
        <w:wordWrap/>
        <w:overflowPunct/>
        <w:topLinePunct w:val="0"/>
        <w:bidi w:val="0"/>
        <w:spacing w:line="576" w:lineRule="exact"/>
        <w:ind w:firstLine="640" w:firstLineChars="200"/>
        <w:textAlignment w:val="auto"/>
        <w:rPr>
          <w:rFonts w:hint="eastAsia" w:ascii="仿宋" w:hAnsi="仿宋" w:eastAsia="仿宋"/>
          <w:color w:val="auto"/>
          <w:sz w:val="32"/>
          <w:szCs w:val="32"/>
          <w:highlight w:val="none"/>
          <w:lang w:val="en-US" w:eastAsia="zh-CN"/>
        </w:rPr>
        <w:sectPr>
          <w:footerReference r:id="rId20" w:type="default"/>
          <w:pgSz w:w="11906" w:h="16838"/>
          <w:pgMar w:top="1440" w:right="1800" w:bottom="1440" w:left="1800" w:header="851" w:footer="992" w:gutter="0"/>
          <w:pgNumType w:fmt="decimal"/>
          <w:cols w:space="720" w:num="1"/>
          <w:docGrid w:type="lines" w:linePitch="312" w:charSpace="0"/>
        </w:sectPr>
      </w:pPr>
      <w:r>
        <w:rPr>
          <w:rFonts w:hint="eastAsia" w:ascii="仿宋_GB2312" w:eastAsia="仿宋_GB2312" w:cs="仿宋_GB2312"/>
          <w:color w:val="auto"/>
          <w:kern w:val="2"/>
          <w:sz w:val="32"/>
          <w:szCs w:val="32"/>
          <w:highlight w:val="none"/>
          <w:lang w:val="en-US" w:eastAsia="zh-CN" w:bidi="ar-SA"/>
        </w:rPr>
        <w:t>2025年度财政拨款收入、支出总计均为</w:t>
      </w:r>
      <w:r>
        <w:rPr>
          <w:rFonts w:hint="eastAsia" w:ascii="仿宋_GB2312" w:eastAsia="仿宋_GB2312" w:cs="仿宋_GB2312"/>
          <w:sz w:val="32"/>
          <w:szCs w:val="32"/>
          <w:lang w:val="en-US" w:eastAsia="zh-CN"/>
        </w:rPr>
        <w:t>30168.81</w:t>
      </w:r>
      <w:r>
        <w:rPr>
          <w:rFonts w:hint="eastAsia" w:ascii="仿宋_GB2312" w:eastAsia="仿宋_GB2312" w:cs="仿宋_GB2312"/>
          <w:color w:val="auto"/>
          <w:kern w:val="2"/>
          <w:sz w:val="32"/>
          <w:szCs w:val="32"/>
          <w:highlight w:val="none"/>
          <w:lang w:val="en-US" w:eastAsia="zh-CN" w:bidi="ar-SA"/>
        </w:rPr>
        <w:t>万元。与2024年度相比，财政拨款收入总计、支出总计各增加16038.52万元，增长113.5%。主要变动原因是：</w:t>
      </w:r>
      <w:r>
        <w:rPr>
          <w:rFonts w:hint="eastAsia" w:ascii="仿宋" w:hAnsi="仿宋" w:eastAsia="仿宋"/>
          <w:color w:val="auto"/>
          <w:sz w:val="32"/>
          <w:szCs w:val="32"/>
          <w:highlight w:val="none"/>
          <w:lang w:val="en-US" w:eastAsia="zh-CN"/>
        </w:rPr>
        <w:t>2025年增加高原病防治研究基地（阿坝）建设专项项目资金及育儿补</w:t>
      </w:r>
    </w:p>
    <w:p w14:paraId="1420DD51">
      <w:pPr>
        <w:pageBreakBefore w:val="0"/>
        <w:widowControl w:val="0"/>
        <w:kinsoku/>
        <w:wordWrap/>
        <w:overflowPunct/>
        <w:topLinePunct w:val="0"/>
        <w:bidi w:val="0"/>
        <w:spacing w:line="576" w:lineRule="exact"/>
        <w:textAlignment w:val="auto"/>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val="en-US" w:eastAsia="zh-CN"/>
        </w:rPr>
        <w:t>项目资金</w:t>
      </w:r>
      <w:r>
        <w:rPr>
          <w:rFonts w:hint="eastAsia" w:ascii="仿宋" w:hAnsi="仿宋" w:eastAsia="仿宋"/>
          <w:color w:val="auto"/>
          <w:sz w:val="32"/>
          <w:szCs w:val="32"/>
          <w:highlight w:val="none"/>
          <w:lang w:eastAsia="zh-CN"/>
        </w:rPr>
        <w:t>。</w:t>
      </w:r>
    </w:p>
    <w:p w14:paraId="11BB2104">
      <w:pPr>
        <w:pStyle w:val="2"/>
        <w:jc w:val="center"/>
        <w:rPr>
          <w:rFonts w:hint="eastAsia"/>
          <w:lang w:val="en-US" w:eastAsia="zh-CN"/>
        </w:rPr>
      </w:pPr>
      <w:r>
        <w:drawing>
          <wp:inline distT="0" distB="0" distL="114300" distR="114300">
            <wp:extent cx="4826000" cy="2743200"/>
            <wp:effectExtent l="4445" t="4445" r="8255" b="14605"/>
            <wp:docPr id="3277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B89A561">
      <w:pPr>
        <w:spacing w:line="600" w:lineRule="exact"/>
        <w:ind w:firstLine="640" w:firstLineChars="200"/>
        <w:outlineLvl w:val="1"/>
        <w:rPr>
          <w:rStyle w:val="24"/>
          <w:rFonts w:ascii="Times New Roman" w:hAnsi="Times New Roman" w:eastAsia="黑体"/>
          <w:b w:val="0"/>
          <w:color w:val="auto"/>
          <w:highlight w:val="none"/>
        </w:rPr>
      </w:pPr>
      <w:bookmarkStart w:id="23" w:name="_Toc15396607"/>
      <w:bookmarkStart w:id="24"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4"/>
          <w:rFonts w:hint="eastAsia" w:ascii="Times New Roman" w:hAnsi="Times New Roman" w:eastAsia="黑体"/>
          <w:b w:val="0"/>
          <w:color w:val="auto"/>
          <w:highlight w:val="none"/>
        </w:rPr>
        <w:t>般公共预算财政拨款支出决算情况说明</w:t>
      </w:r>
      <w:bookmarkEnd w:id="23"/>
      <w:bookmarkEnd w:id="24"/>
    </w:p>
    <w:p w14:paraId="635C4A85">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25" w:name="_Toc15377210"/>
      <w:r>
        <w:rPr>
          <w:rFonts w:hint="eastAsia" w:ascii="Times New Roman" w:hAnsi="Times New Roman" w:eastAsia="楷体_GB2312" w:cs="Times New Roman"/>
          <w:b/>
          <w:color w:val="auto"/>
          <w:sz w:val="32"/>
          <w:szCs w:val="32"/>
          <w:highlight w:val="none"/>
        </w:rPr>
        <w:t>（一）一般公共预算财政拨款支出决算总体情况</w:t>
      </w:r>
      <w:bookmarkEnd w:id="25"/>
    </w:p>
    <w:p w14:paraId="2FAB4668">
      <w:pPr>
        <w:spacing w:line="600" w:lineRule="exact"/>
        <w:ind w:firstLine="640"/>
        <w:rPr>
          <w:rFonts w:hint="eastAsia" w:ascii="仿宋" w:eastAsia="仿宋" w:cs="Times New Roman"/>
          <w:color w:val="000000"/>
          <w:sz w:val="32"/>
          <w:szCs w:val="32"/>
          <w:lang w:val="en-US" w:eastAsia="zh-CN"/>
        </w:rPr>
      </w:pPr>
      <w:r>
        <w:rPr>
          <w:rFonts w:hint="eastAsia" w:ascii="仿宋_GB2312" w:eastAsia="仿宋_GB2312" w:cs="仿宋_GB2312"/>
          <w:color w:val="auto"/>
          <w:kern w:val="2"/>
          <w:sz w:val="32"/>
          <w:szCs w:val="32"/>
          <w:highlight w:val="none"/>
          <w:lang w:val="en-US" w:eastAsia="zh-CN" w:bidi="ar-SA"/>
        </w:rPr>
        <w:t>2025年度一般公共预算财政拨款支出</w:t>
      </w:r>
      <w:r>
        <w:rPr>
          <w:rFonts w:hint="eastAsia" w:ascii="仿宋_GB2312" w:eastAsia="仿宋_GB2312" w:cs="仿宋_GB2312"/>
          <w:sz w:val="32"/>
          <w:szCs w:val="32"/>
          <w:lang w:val="en-US" w:eastAsia="zh-CN"/>
        </w:rPr>
        <w:t>15486.81</w:t>
      </w:r>
      <w:r>
        <w:rPr>
          <w:rFonts w:hint="eastAsia" w:ascii="仿宋_GB2312"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lang w:val="en-US" w:eastAsia="zh-CN"/>
        </w:rPr>
        <w:t>51.33</w:t>
      </w:r>
      <w:r>
        <w:rPr>
          <w:rFonts w:hint="eastAsia" w:ascii="仿宋_GB2312" w:eastAsia="仿宋_GB2312" w:cs="仿宋_GB2312"/>
          <w:color w:val="auto"/>
          <w:kern w:val="2"/>
          <w:sz w:val="32"/>
          <w:szCs w:val="32"/>
          <w:highlight w:val="none"/>
          <w:lang w:val="en-US" w:eastAsia="zh-CN" w:bidi="ar-SA"/>
        </w:rPr>
        <w:t>%。与2024年度相比，一般公共预算财政拨款支出增加1356.52万元，增长9.6%。主要变动原因是：2025年增加育儿补贴项目资金</w:t>
      </w:r>
      <w:r>
        <w:rPr>
          <w:rFonts w:hint="eastAsia" w:ascii="仿宋" w:eastAsia="仿宋" w:cs="Times New Roman"/>
          <w:color w:val="000000"/>
          <w:sz w:val="32"/>
          <w:szCs w:val="32"/>
          <w:lang w:val="en-US" w:eastAsia="zh-CN"/>
        </w:rPr>
        <w:t>。</w:t>
      </w:r>
      <w:bookmarkStart w:id="26" w:name="_Toc15377211"/>
    </w:p>
    <w:p w14:paraId="0B112A9E">
      <w:pPr>
        <w:pStyle w:val="2"/>
        <w:jc w:val="center"/>
      </w:pPr>
      <w:r>
        <w:drawing>
          <wp:inline distT="0" distB="0" distL="114300" distR="114300">
            <wp:extent cx="4283710" cy="2181860"/>
            <wp:effectExtent l="4445" t="4445" r="17145" b="23495"/>
            <wp:docPr id="3380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30A3B51">
      <w:pPr>
        <w:spacing w:line="600" w:lineRule="exact"/>
        <w:ind w:firstLine="321" w:firstLineChars="100"/>
        <w:jc w:val="both"/>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6"/>
    </w:p>
    <w:p w14:paraId="6A8500AF">
      <w:pPr>
        <w:spacing w:line="600" w:lineRule="exact"/>
        <w:ind w:firstLine="640"/>
        <w:rPr>
          <w:rFonts w:hint="eastAsia" w:ascii="仿宋_GB2312" w:eastAsia="仿宋_GB2312" w:cs="仿宋_GB2312"/>
          <w:color w:val="auto"/>
          <w:kern w:val="2"/>
          <w:sz w:val="32"/>
          <w:szCs w:val="32"/>
          <w:highlight w:val="none"/>
          <w:lang w:val="en-US" w:eastAsia="zh-CN" w:bidi="ar-SA"/>
        </w:rPr>
        <w:sectPr>
          <w:footerReference r:id="rId21" w:type="default"/>
          <w:pgSz w:w="11906" w:h="16838"/>
          <w:pgMar w:top="1440" w:right="1800" w:bottom="1440" w:left="1800" w:header="851" w:footer="992" w:gutter="0"/>
          <w:pgNumType w:fmt="decimal"/>
          <w:cols w:space="720" w:num="1"/>
          <w:docGrid w:type="lines" w:linePitch="312" w:charSpace="0"/>
        </w:sectPr>
      </w:pPr>
    </w:p>
    <w:p w14:paraId="2D28CC76">
      <w:pPr>
        <w:spacing w:line="600" w:lineRule="exact"/>
        <w:ind w:firstLine="640"/>
        <w:rPr>
          <w:rFonts w:hint="eastAsia" w:ascii="仿宋_GB2312" w:eastAsia="仿宋_GB2312" w:cs="仿宋_GB2312"/>
          <w:color w:val="auto"/>
          <w:kern w:val="2"/>
          <w:sz w:val="32"/>
          <w:szCs w:val="32"/>
          <w:lang w:val="en-US" w:eastAsia="zh-CN" w:bidi="ar-SA"/>
        </w:rPr>
      </w:pPr>
      <w:r>
        <w:rPr>
          <w:rFonts w:hint="eastAsia" w:ascii="仿宋_GB2312" w:eastAsia="仿宋_GB2312" w:cs="仿宋_GB2312"/>
          <w:color w:val="auto"/>
          <w:kern w:val="2"/>
          <w:sz w:val="32"/>
          <w:szCs w:val="32"/>
          <w:highlight w:val="none"/>
          <w:lang w:val="en-US" w:eastAsia="zh-CN" w:bidi="ar-SA"/>
        </w:rPr>
        <w:t>2025年度一般公共预算财政拨款支出</w:t>
      </w:r>
      <w:r>
        <w:rPr>
          <w:rFonts w:hint="eastAsia" w:ascii="仿宋_GB2312" w:eastAsia="仿宋_GB2312" w:cs="仿宋_GB2312"/>
          <w:sz w:val="32"/>
          <w:szCs w:val="32"/>
          <w:lang w:val="en-US" w:eastAsia="zh-CN"/>
        </w:rPr>
        <w:t>15486.81</w:t>
      </w:r>
      <w:r>
        <w:rPr>
          <w:rFonts w:hint="eastAsia" w:ascii="仿宋_GB2312" w:eastAsia="仿宋_GB2312" w:cs="仿宋_GB2312"/>
          <w:color w:val="auto"/>
          <w:kern w:val="2"/>
          <w:sz w:val="32"/>
          <w:szCs w:val="32"/>
          <w:highlight w:val="none"/>
          <w:lang w:val="en-US" w:eastAsia="zh-CN" w:bidi="ar-SA"/>
        </w:rPr>
        <w:t>万元，主要用于以下方面：</w:t>
      </w:r>
      <w:r>
        <w:rPr>
          <w:rFonts w:hint="eastAsia" w:ascii="Times New Roman" w:hAnsi="Times New Roman" w:eastAsia="仿宋_GB2312" w:cs="仿宋_GB2312"/>
          <w:color w:val="auto"/>
          <w:kern w:val="2"/>
          <w:sz w:val="32"/>
          <w:szCs w:val="32"/>
          <w:highlight w:val="none"/>
          <w:lang w:val="en-US" w:eastAsia="zh-CN" w:bidi="ar-SA"/>
        </w:rPr>
        <w:t>一般公共服务支出2.5万元，占0.02%；</w:t>
      </w:r>
      <w:r>
        <w:rPr>
          <w:rFonts w:hint="eastAsia" w:ascii="仿宋_GB2312" w:eastAsia="仿宋_GB2312" w:cs="仿宋_GB2312"/>
          <w:color w:val="auto"/>
          <w:kern w:val="2"/>
          <w:sz w:val="32"/>
          <w:szCs w:val="32"/>
          <w:highlight w:val="none"/>
          <w:lang w:val="en-US" w:eastAsia="zh-CN" w:bidi="ar-SA"/>
        </w:rPr>
        <w:t>社会保障和就业支出1771.24万元，占11.44%；卫生健康支出11961.95万元，占77.24%；住房保障支出973.21万元，占6.28%；农林水支出</w:t>
      </w:r>
      <w:r>
        <w:rPr>
          <w:rFonts w:hint="eastAsia" w:ascii="仿宋_GB2312" w:eastAsia="仿宋_GB2312" w:cs="仿宋_GB2312"/>
          <w:color w:val="auto"/>
          <w:kern w:val="2"/>
          <w:sz w:val="32"/>
          <w:szCs w:val="32"/>
          <w:lang w:val="en-US" w:eastAsia="zh-CN" w:bidi="ar-SA"/>
        </w:rPr>
        <w:t>777.91万元，占5.02%。</w:t>
      </w:r>
    </w:p>
    <w:p w14:paraId="541B2CDD">
      <w:pPr>
        <w:pStyle w:val="2"/>
        <w:jc w:val="center"/>
        <w:rPr>
          <w:lang w:val="en-US" w:eastAsia="zh-CN"/>
        </w:rPr>
      </w:pPr>
      <w:r>
        <w:drawing>
          <wp:inline distT="0" distB="0" distL="114300" distR="114300">
            <wp:extent cx="4779010" cy="2695575"/>
            <wp:effectExtent l="4445" t="4445" r="17145" b="5080"/>
            <wp:docPr id="3482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07E8FEE">
      <w:pPr>
        <w:rPr>
          <w:lang w:val="en-US" w:eastAsia="zh-CN"/>
        </w:rPr>
      </w:pPr>
    </w:p>
    <w:p w14:paraId="42041C77">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2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7"/>
    </w:p>
    <w:p w14:paraId="33B19995">
      <w:pPr>
        <w:spacing w:line="600" w:lineRule="exact"/>
        <w:ind w:firstLine="640"/>
        <w:rPr>
          <w:rFonts w:hint="eastAsia" w:ascii="仿宋_GB2312" w:eastAsia="仿宋_GB2312" w:cs="仿宋_GB2312"/>
          <w:color w:val="auto"/>
          <w:kern w:val="2"/>
          <w:sz w:val="32"/>
          <w:szCs w:val="32"/>
          <w:highlight w:val="none"/>
          <w:lang w:val="en-US" w:eastAsia="zh-CN" w:bidi="ar-SA"/>
        </w:rPr>
      </w:pPr>
      <w:bookmarkStart w:id="28" w:name="_Toc15377444"/>
      <w:bookmarkStart w:id="29" w:name="_Toc15377213"/>
      <w:bookmarkStart w:id="30" w:name="_Toc15378460"/>
      <w:r>
        <w:rPr>
          <w:rFonts w:hint="eastAsia" w:ascii="仿宋_GB2312" w:hAnsi="Times New Roman" w:eastAsia="仿宋_GB2312" w:cs="仿宋_GB2312"/>
          <w:color w:val="auto"/>
          <w:kern w:val="2"/>
          <w:sz w:val="32"/>
          <w:szCs w:val="32"/>
          <w:highlight w:val="none"/>
          <w:lang w:val="en-US" w:eastAsia="zh-CN" w:bidi="ar-SA"/>
        </w:rPr>
        <w:t>2025年度一般公共预算财政拨</w:t>
      </w:r>
      <w:r>
        <w:rPr>
          <w:rFonts w:hint="eastAsia" w:ascii="仿宋_GB2312" w:eastAsia="仿宋_GB2312" w:cs="仿宋_GB2312"/>
          <w:color w:val="auto"/>
          <w:kern w:val="2"/>
          <w:sz w:val="32"/>
          <w:szCs w:val="32"/>
          <w:highlight w:val="none"/>
          <w:lang w:val="en-US" w:eastAsia="zh-CN" w:bidi="ar-SA"/>
        </w:rPr>
        <w:t>款支出决算数为</w:t>
      </w:r>
      <w:r>
        <w:rPr>
          <w:rFonts w:hint="eastAsia" w:ascii="仿宋_GB2312" w:eastAsia="仿宋_GB2312" w:cs="仿宋_GB2312"/>
          <w:sz w:val="32"/>
          <w:szCs w:val="32"/>
          <w:lang w:val="en-US" w:eastAsia="zh-CN"/>
        </w:rPr>
        <w:t>15486.81</w:t>
      </w:r>
      <w:r>
        <w:rPr>
          <w:rFonts w:hint="eastAsia" w:ascii="仿宋_GB2312" w:eastAsia="仿宋_GB2312" w:cs="仿宋_GB2312"/>
          <w:sz w:val="32"/>
          <w:szCs w:val="32"/>
          <w:lang w:eastAsia="zh-CN"/>
        </w:rPr>
        <w:t>万元</w:t>
      </w:r>
      <w:r>
        <w:rPr>
          <w:rFonts w:hint="eastAsia" w:ascii="仿宋_GB2312" w:eastAsia="仿宋_GB2312" w:cs="仿宋_GB2312"/>
          <w:color w:val="auto"/>
          <w:kern w:val="2"/>
          <w:sz w:val="32"/>
          <w:szCs w:val="32"/>
          <w:highlight w:val="none"/>
          <w:lang w:val="en-US" w:eastAsia="zh-CN" w:bidi="ar-SA"/>
        </w:rPr>
        <w:t>，完成预算100%。其中：</w:t>
      </w:r>
      <w:bookmarkEnd w:id="28"/>
      <w:bookmarkEnd w:id="29"/>
      <w:bookmarkEnd w:id="30"/>
    </w:p>
    <w:p w14:paraId="51844B21">
      <w:pPr>
        <w:pStyle w:val="29"/>
        <w:pBdr>
          <w:bottom w:val="single" w:color="FFFFFF" w:sz="4" w:space="29"/>
        </w:pBdr>
        <w:tabs>
          <w:tab w:val="left" w:pos="1440"/>
        </w:tabs>
        <w:spacing w:line="540" w:lineRule="exact"/>
        <w:ind w:left="0" w:firstLine="643" w:firstLineChars="200"/>
        <w:rPr>
          <w:rFonts w:hint="default" w:ascii="仿宋_GB2312" w:eastAsia="仿宋_GB2312" w:cs="仿宋_GB2312"/>
          <w:b/>
          <w:bCs/>
          <w:color w:val="auto"/>
          <w:sz w:val="32"/>
          <w:szCs w:val="32"/>
          <w:lang w:val="en-US" w:eastAsia="zh-CN"/>
        </w:rPr>
      </w:pPr>
      <w:r>
        <w:rPr>
          <w:rFonts w:hint="eastAsia" w:ascii="仿宋_GB2312" w:eastAsia="仿宋_GB2312" w:cs="仿宋_GB2312"/>
          <w:b/>
          <w:bCs/>
          <w:color w:val="auto"/>
          <w:sz w:val="32"/>
          <w:szCs w:val="32"/>
          <w:lang w:val="en-US" w:eastAsia="zh-CN"/>
        </w:rPr>
        <w:t>1.</w:t>
      </w:r>
      <w:r>
        <w:rPr>
          <w:rFonts w:hint="eastAsia" w:ascii="仿宋_GB2312" w:hAnsi="Times New Roman" w:eastAsia="仿宋_GB2312" w:cs="仿宋_GB2312"/>
          <w:color w:val="auto"/>
          <w:sz w:val="32"/>
          <w:szCs w:val="32"/>
          <w:lang w:val="en-US" w:eastAsia="zh-CN"/>
        </w:rPr>
        <w:t>一般公共服务支出（类）组织事务（款）其他组织事务支出（项）:</w:t>
      </w:r>
      <w:r>
        <w:rPr>
          <w:rFonts w:hint="eastAsia" w:ascii="仿宋_GB2312" w:eastAsia="仿宋_GB2312" w:cs="仿宋_GB2312"/>
          <w:color w:val="auto"/>
          <w:sz w:val="32"/>
          <w:szCs w:val="32"/>
          <w:lang w:eastAsia="zh-CN"/>
        </w:rPr>
        <w:t>支出决算为</w:t>
      </w:r>
      <w:r>
        <w:rPr>
          <w:rFonts w:hint="eastAsia" w:ascii="仿宋_GB2312" w:eastAsia="仿宋_GB2312" w:cs="仿宋_GB2312"/>
          <w:color w:val="auto"/>
          <w:sz w:val="32"/>
          <w:szCs w:val="32"/>
          <w:lang w:val="en-US" w:eastAsia="zh-CN"/>
        </w:rPr>
        <w:t>2.5万元，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7C922A3F">
      <w:pPr>
        <w:pStyle w:val="29"/>
        <w:pBdr>
          <w:bottom w:val="single" w:color="FFFFFF" w:sz="4" w:space="29"/>
        </w:pBdr>
        <w:tabs>
          <w:tab w:val="left" w:pos="1440"/>
        </w:tabs>
        <w:spacing w:line="540" w:lineRule="exact"/>
        <w:ind w:left="0" w:firstLine="643" w:firstLineChars="200"/>
        <w:rPr>
          <w:rFonts w:hint="eastAsia" w:ascii="仿宋_GB2312" w:eastAsia="仿宋_GB2312" w:cs="仿宋_GB2312"/>
          <w:color w:val="auto"/>
          <w:sz w:val="32"/>
          <w:szCs w:val="32"/>
          <w:lang w:eastAsia="zh-CN"/>
        </w:rPr>
      </w:pPr>
      <w:r>
        <w:rPr>
          <w:rFonts w:hint="eastAsia" w:ascii="仿宋_GB2312" w:eastAsia="仿宋_GB2312" w:cs="仿宋_GB2312"/>
          <w:b/>
          <w:bCs/>
          <w:color w:val="auto"/>
          <w:sz w:val="32"/>
          <w:szCs w:val="32"/>
          <w:lang w:val="en-US" w:eastAsia="zh-CN"/>
        </w:rPr>
        <w:t>2.</w:t>
      </w:r>
      <w:r>
        <w:rPr>
          <w:rFonts w:hint="eastAsia" w:ascii="仿宋_GB2312" w:eastAsia="仿宋_GB2312" w:cs="仿宋_GB2312"/>
          <w:color w:val="auto"/>
          <w:sz w:val="32"/>
          <w:szCs w:val="32"/>
          <w:lang w:eastAsia="zh-CN"/>
        </w:rPr>
        <w:t>社会保障和就业支出（</w:t>
      </w:r>
      <w:r>
        <w:rPr>
          <w:rFonts w:hint="eastAsia" w:ascii="仿宋_GB2312" w:eastAsia="仿宋_GB2312" w:cs="仿宋_GB2312"/>
          <w:color w:val="auto"/>
          <w:sz w:val="32"/>
          <w:szCs w:val="32"/>
          <w:lang w:val="en-US" w:eastAsia="zh-CN"/>
        </w:rPr>
        <w:t>类）</w:t>
      </w:r>
      <w:r>
        <w:rPr>
          <w:rFonts w:hint="eastAsia" w:ascii="仿宋_GB2312" w:eastAsia="仿宋_GB2312" w:cs="仿宋_GB2312"/>
          <w:color w:val="auto"/>
          <w:sz w:val="32"/>
          <w:szCs w:val="32"/>
          <w:lang w:eastAsia="zh-CN"/>
        </w:rPr>
        <w:t>行政事业单位养老支出（</w:t>
      </w:r>
      <w:r>
        <w:rPr>
          <w:rFonts w:hint="eastAsia" w:ascii="仿宋_GB2312" w:eastAsia="仿宋_GB2312" w:cs="仿宋_GB2312"/>
          <w:color w:val="auto"/>
          <w:sz w:val="32"/>
          <w:szCs w:val="32"/>
          <w:lang w:val="en-US" w:eastAsia="zh-CN"/>
        </w:rPr>
        <w:t>款）</w:t>
      </w:r>
      <w:r>
        <w:rPr>
          <w:rFonts w:hint="eastAsia" w:ascii="仿宋_GB2312" w:eastAsia="仿宋_GB2312" w:cs="仿宋_GB2312"/>
          <w:color w:val="auto"/>
          <w:sz w:val="32"/>
          <w:szCs w:val="32"/>
          <w:lang w:eastAsia="zh-CN"/>
        </w:rPr>
        <w:t>机关事业单位基本养老保险缴费支出（项）：支出决算为</w:t>
      </w:r>
      <w:r>
        <w:rPr>
          <w:rFonts w:hint="eastAsia" w:ascii="仿宋_GB2312" w:eastAsia="仿宋_GB2312" w:cs="仿宋_GB2312"/>
          <w:color w:val="auto"/>
          <w:sz w:val="32"/>
          <w:szCs w:val="32"/>
          <w:lang w:val="en-US" w:eastAsia="zh-CN"/>
        </w:rPr>
        <w:t>1180.83万元，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4EFEA5C6">
      <w:pPr>
        <w:pStyle w:val="29"/>
        <w:pBdr>
          <w:bottom w:val="single" w:color="FFFFFF" w:sz="4" w:space="29"/>
        </w:pBdr>
        <w:tabs>
          <w:tab w:val="left" w:pos="1440"/>
        </w:tabs>
        <w:spacing w:line="540" w:lineRule="exact"/>
        <w:ind w:left="0" w:firstLine="643" w:firstLineChars="200"/>
        <w:rPr>
          <w:rFonts w:hint="eastAsia" w:ascii="仿宋_GB2312" w:eastAsia="仿宋_GB2312" w:cs="仿宋_GB2312"/>
          <w:color w:val="auto"/>
          <w:sz w:val="32"/>
          <w:szCs w:val="32"/>
          <w:lang w:val="en-US" w:eastAsia="zh-CN"/>
        </w:rPr>
        <w:sectPr>
          <w:footerReference r:id="rId22" w:type="default"/>
          <w:pgSz w:w="11906" w:h="16838"/>
          <w:pgMar w:top="1440" w:right="1800" w:bottom="1440" w:left="1800" w:header="851" w:footer="992" w:gutter="0"/>
          <w:pgNumType w:fmt="decimal"/>
          <w:cols w:space="720" w:num="1"/>
          <w:docGrid w:type="lines" w:linePitch="312" w:charSpace="0"/>
        </w:sectPr>
      </w:pPr>
      <w:r>
        <w:rPr>
          <w:rFonts w:hint="eastAsia" w:ascii="仿宋_GB2312" w:eastAsia="仿宋_GB2312" w:cs="仿宋_GB2312"/>
          <w:b/>
          <w:color w:val="auto"/>
          <w:sz w:val="32"/>
          <w:szCs w:val="32"/>
          <w:lang w:val="en-US" w:eastAsia="zh-CN"/>
        </w:rPr>
        <w:t>3.</w:t>
      </w:r>
      <w:r>
        <w:rPr>
          <w:rFonts w:hint="eastAsia" w:ascii="仿宋_GB2312" w:eastAsia="仿宋_GB2312" w:cs="仿宋_GB2312"/>
          <w:color w:val="auto"/>
          <w:sz w:val="32"/>
          <w:szCs w:val="32"/>
          <w:lang w:eastAsia="zh-CN"/>
        </w:rPr>
        <w:t>社会保障和就业支出（类</w:t>
      </w:r>
      <w:r>
        <w:rPr>
          <w:rFonts w:hint="eastAsia" w:ascii="仿宋_GB2312" w:eastAsia="仿宋_GB2312" w:cs="仿宋_GB2312"/>
          <w:color w:val="auto"/>
          <w:sz w:val="32"/>
          <w:szCs w:val="32"/>
          <w:lang w:val="en-US" w:eastAsia="zh-CN"/>
        </w:rPr>
        <w:t>）</w:t>
      </w:r>
      <w:r>
        <w:rPr>
          <w:rFonts w:hint="eastAsia" w:ascii="仿宋_GB2312" w:eastAsia="仿宋_GB2312" w:cs="仿宋_GB2312"/>
          <w:color w:val="auto"/>
          <w:sz w:val="32"/>
          <w:szCs w:val="32"/>
          <w:lang w:eastAsia="zh-CN"/>
        </w:rPr>
        <w:t>行政事业单位养老支出（</w:t>
      </w:r>
      <w:r>
        <w:rPr>
          <w:rFonts w:hint="eastAsia" w:ascii="仿宋_GB2312" w:eastAsia="仿宋_GB2312" w:cs="仿宋_GB2312"/>
          <w:color w:val="auto"/>
          <w:sz w:val="32"/>
          <w:szCs w:val="32"/>
          <w:lang w:val="en-US" w:eastAsia="zh-CN"/>
        </w:rPr>
        <w:t>款）</w:t>
      </w:r>
    </w:p>
    <w:p w14:paraId="18B870C3">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eastAsia="zh-CN"/>
        </w:rPr>
        <w:t>机关事业单位职业年金缴费支出（</w:t>
      </w:r>
      <w:r>
        <w:rPr>
          <w:rFonts w:hint="eastAsia" w:ascii="仿宋_GB2312" w:eastAsia="仿宋_GB2312" w:cs="仿宋_GB2312"/>
          <w:color w:val="auto"/>
          <w:sz w:val="32"/>
          <w:szCs w:val="32"/>
          <w:lang w:val="en-US" w:eastAsia="zh-CN"/>
        </w:rPr>
        <w:t>项）：支出决算数为590.41万元，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40FFDE6A">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4.</w:t>
      </w:r>
      <w:r>
        <w:rPr>
          <w:rFonts w:hint="eastAsia" w:ascii="仿宋_GB2312" w:eastAsia="仿宋_GB2312" w:cs="仿宋_GB2312"/>
          <w:color w:val="auto"/>
          <w:sz w:val="32"/>
          <w:szCs w:val="32"/>
          <w:lang w:eastAsia="zh-CN"/>
        </w:rPr>
        <w:t>卫生健康支出（</w:t>
      </w:r>
      <w:r>
        <w:rPr>
          <w:rFonts w:hint="eastAsia" w:ascii="仿宋_GB2312" w:eastAsia="仿宋_GB2312" w:cs="仿宋_GB2312"/>
          <w:color w:val="auto"/>
          <w:sz w:val="32"/>
          <w:szCs w:val="32"/>
          <w:lang w:val="en-US" w:eastAsia="zh-CN"/>
        </w:rPr>
        <w:t>类）</w:t>
      </w:r>
      <w:r>
        <w:rPr>
          <w:rFonts w:hint="eastAsia" w:ascii="仿宋_GB2312" w:eastAsia="仿宋_GB2312" w:cs="仿宋_GB2312"/>
          <w:b w:val="0"/>
          <w:bCs/>
          <w:color w:val="auto"/>
          <w:sz w:val="32"/>
          <w:szCs w:val="32"/>
          <w:lang w:eastAsia="zh-CN"/>
        </w:rPr>
        <w:t>行政事业单位医疗（</w:t>
      </w:r>
      <w:r>
        <w:rPr>
          <w:rFonts w:hint="eastAsia" w:ascii="仿宋_GB2312" w:eastAsia="仿宋_GB2312" w:cs="仿宋_GB2312"/>
          <w:b w:val="0"/>
          <w:bCs/>
          <w:color w:val="auto"/>
          <w:sz w:val="32"/>
          <w:szCs w:val="32"/>
          <w:lang w:val="en-US" w:eastAsia="zh-CN"/>
        </w:rPr>
        <w:t>款）</w:t>
      </w:r>
      <w:r>
        <w:rPr>
          <w:rFonts w:hint="eastAsia" w:ascii="仿宋_GB2312" w:eastAsia="仿宋_GB2312" w:cs="仿宋_GB2312"/>
          <w:color w:val="auto"/>
          <w:sz w:val="32"/>
          <w:szCs w:val="32"/>
          <w:lang w:eastAsia="zh-CN"/>
        </w:rPr>
        <w:t>行政单位医疗（</w:t>
      </w:r>
      <w:r>
        <w:rPr>
          <w:rFonts w:hint="eastAsia" w:ascii="仿宋_GB2312" w:eastAsia="仿宋_GB2312" w:cs="仿宋_GB2312"/>
          <w:color w:val="auto"/>
          <w:sz w:val="32"/>
          <w:szCs w:val="32"/>
          <w:lang w:val="en-US" w:eastAsia="zh-CN"/>
        </w:rPr>
        <w:t>项</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lang w:val="en-US" w:eastAsia="zh-CN"/>
        </w:rPr>
        <w:t>支出决算数为17.94万元，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6E0B6D61">
      <w:pPr>
        <w:pStyle w:val="29"/>
        <w:pBdr>
          <w:bottom w:val="single" w:color="FFFFFF" w:sz="4" w:space="29"/>
        </w:pBdr>
        <w:tabs>
          <w:tab w:val="left" w:pos="1440"/>
        </w:tabs>
        <w:spacing w:line="540" w:lineRule="exact"/>
        <w:ind w:left="0" w:firstLine="643"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color w:val="auto"/>
          <w:sz w:val="32"/>
          <w:szCs w:val="32"/>
          <w:lang w:val="en-US" w:eastAsia="zh-CN"/>
        </w:rPr>
        <w:t>5.</w:t>
      </w:r>
      <w:r>
        <w:rPr>
          <w:rFonts w:hint="eastAsia" w:ascii="仿宋_GB2312" w:eastAsia="仿宋_GB2312" w:cs="仿宋_GB2312"/>
          <w:color w:val="auto"/>
          <w:sz w:val="32"/>
          <w:szCs w:val="32"/>
          <w:lang w:eastAsia="zh-CN"/>
        </w:rPr>
        <w:t>卫生健康支出（</w:t>
      </w:r>
      <w:r>
        <w:rPr>
          <w:rFonts w:hint="eastAsia" w:ascii="仿宋_GB2312" w:eastAsia="仿宋_GB2312" w:cs="仿宋_GB2312"/>
          <w:color w:val="auto"/>
          <w:sz w:val="32"/>
          <w:szCs w:val="32"/>
          <w:lang w:val="en-US" w:eastAsia="zh-CN"/>
        </w:rPr>
        <w:t>类）</w:t>
      </w:r>
      <w:r>
        <w:rPr>
          <w:rFonts w:hint="eastAsia" w:ascii="仿宋_GB2312" w:eastAsia="仿宋_GB2312" w:cs="仿宋_GB2312"/>
          <w:b w:val="0"/>
          <w:bCs/>
          <w:color w:val="auto"/>
          <w:sz w:val="32"/>
          <w:szCs w:val="32"/>
          <w:lang w:eastAsia="zh-CN"/>
        </w:rPr>
        <w:t>行政事业单位医疗（</w:t>
      </w:r>
      <w:r>
        <w:rPr>
          <w:rFonts w:hint="eastAsia" w:ascii="仿宋_GB2312" w:eastAsia="仿宋_GB2312" w:cs="仿宋_GB2312"/>
          <w:b w:val="0"/>
          <w:bCs/>
          <w:color w:val="auto"/>
          <w:sz w:val="32"/>
          <w:szCs w:val="32"/>
          <w:lang w:val="en-US" w:eastAsia="zh-CN"/>
        </w:rPr>
        <w:t>款）</w:t>
      </w:r>
      <w:r>
        <w:rPr>
          <w:rFonts w:hint="eastAsia" w:ascii="仿宋_GB2312" w:eastAsia="仿宋_GB2312" w:cs="仿宋_GB2312"/>
          <w:color w:val="auto"/>
          <w:sz w:val="32"/>
          <w:szCs w:val="32"/>
          <w:lang w:eastAsia="zh-CN"/>
        </w:rPr>
        <w:t>事业单位医疗（</w:t>
      </w:r>
      <w:r>
        <w:rPr>
          <w:rFonts w:hint="eastAsia" w:ascii="仿宋_GB2312" w:eastAsia="仿宋_GB2312" w:cs="仿宋_GB2312"/>
          <w:color w:val="auto"/>
          <w:sz w:val="32"/>
          <w:szCs w:val="32"/>
          <w:lang w:val="en-US" w:eastAsia="zh-CN"/>
        </w:rPr>
        <w:t>项</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lang w:val="en-US" w:eastAsia="zh-CN"/>
        </w:rPr>
        <w:t>支出决算数为657.19万元，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12765327">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6.</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类）卫生健康管理事务（款）</w:t>
      </w:r>
      <w:r>
        <w:rPr>
          <w:rFonts w:hint="eastAsia" w:ascii="仿宋_GB2312" w:eastAsia="仿宋_GB2312" w:cs="仿宋_GB2312"/>
          <w:b w:val="0"/>
          <w:bCs/>
          <w:color w:val="auto"/>
          <w:sz w:val="32"/>
          <w:szCs w:val="32"/>
          <w:lang w:eastAsia="zh-CN"/>
        </w:rPr>
        <w:t>行政运行（项）：</w:t>
      </w:r>
      <w:r>
        <w:rPr>
          <w:rFonts w:hint="eastAsia" w:ascii="仿宋_GB2312" w:eastAsia="仿宋_GB2312" w:cs="仿宋_GB2312"/>
          <w:color w:val="auto"/>
          <w:sz w:val="32"/>
          <w:szCs w:val="32"/>
          <w:lang w:val="en-US" w:eastAsia="zh-CN"/>
        </w:rPr>
        <w:t>支出决算数为211万元，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0017DC6F">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7.</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类）卫生健康管理事务（款）</w:t>
      </w:r>
      <w:r>
        <w:rPr>
          <w:rFonts w:hint="eastAsia" w:ascii="仿宋_GB2312" w:eastAsia="仿宋_GB2312" w:cs="仿宋_GB2312"/>
          <w:b w:val="0"/>
          <w:bCs/>
          <w:color w:val="auto"/>
          <w:sz w:val="32"/>
          <w:szCs w:val="32"/>
          <w:lang w:eastAsia="zh-CN"/>
        </w:rPr>
        <w:t>其他卫生健康管理事务支出（</w:t>
      </w:r>
      <w:r>
        <w:rPr>
          <w:rFonts w:hint="eastAsia" w:ascii="仿宋_GB2312" w:eastAsia="仿宋_GB2312" w:cs="仿宋_GB2312"/>
          <w:b w:val="0"/>
          <w:bCs/>
          <w:color w:val="auto"/>
          <w:sz w:val="32"/>
          <w:szCs w:val="32"/>
          <w:lang w:val="en-US" w:eastAsia="zh-CN"/>
        </w:rPr>
        <w:t>项</w:t>
      </w:r>
      <w:r>
        <w:rPr>
          <w:rFonts w:hint="eastAsia" w:ascii="仿宋_GB2312" w:eastAsia="仿宋_GB2312" w:cs="仿宋_GB2312"/>
          <w:b w:val="0"/>
          <w:bCs/>
          <w:color w:val="auto"/>
          <w:sz w:val="32"/>
          <w:szCs w:val="32"/>
          <w:lang w:eastAsia="zh-CN"/>
        </w:rPr>
        <w:t>）：</w:t>
      </w:r>
      <w:r>
        <w:rPr>
          <w:rFonts w:hint="eastAsia" w:ascii="仿宋_GB2312" w:eastAsia="仿宋_GB2312" w:cs="仿宋_GB2312"/>
          <w:color w:val="auto"/>
          <w:sz w:val="32"/>
          <w:szCs w:val="32"/>
          <w:lang w:val="en-US" w:eastAsia="zh-CN"/>
        </w:rPr>
        <w:t>支出决算数为112.48万元，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78642531">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8.</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类）公立医院（款）</w:t>
      </w:r>
      <w:r>
        <w:rPr>
          <w:rFonts w:hint="eastAsia" w:ascii="仿宋_GB2312" w:eastAsia="仿宋_GB2312" w:cs="仿宋_GB2312"/>
          <w:b w:val="0"/>
          <w:bCs/>
          <w:color w:val="auto"/>
          <w:sz w:val="32"/>
          <w:szCs w:val="32"/>
          <w:lang w:eastAsia="zh-CN"/>
        </w:rPr>
        <w:t>综合医院（</w:t>
      </w:r>
      <w:r>
        <w:rPr>
          <w:rFonts w:hint="eastAsia" w:ascii="仿宋_GB2312" w:eastAsia="仿宋_GB2312" w:cs="仿宋_GB2312"/>
          <w:b w:val="0"/>
          <w:bCs/>
          <w:color w:val="auto"/>
          <w:sz w:val="32"/>
          <w:szCs w:val="32"/>
          <w:lang w:val="en-US" w:eastAsia="zh-CN"/>
        </w:rPr>
        <w:t>项</w:t>
      </w:r>
      <w:r>
        <w:rPr>
          <w:rFonts w:hint="eastAsia" w:ascii="仿宋_GB2312" w:eastAsia="仿宋_GB2312" w:cs="仿宋_GB2312"/>
          <w:b w:val="0"/>
          <w:bCs/>
          <w:color w:val="auto"/>
          <w:sz w:val="32"/>
          <w:szCs w:val="32"/>
          <w:lang w:eastAsia="zh-CN"/>
        </w:rPr>
        <w:t>）：</w:t>
      </w:r>
      <w:r>
        <w:rPr>
          <w:rFonts w:hint="eastAsia" w:ascii="仿宋_GB2312" w:eastAsia="仿宋_GB2312" w:cs="仿宋_GB2312"/>
          <w:color w:val="auto"/>
          <w:sz w:val="32"/>
          <w:szCs w:val="32"/>
          <w:lang w:val="en-US" w:eastAsia="zh-CN"/>
        </w:rPr>
        <w:t>支出决算数为2995.91万元，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64D30EC4">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9.</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类）公立医院（款）</w:t>
      </w:r>
      <w:r>
        <w:rPr>
          <w:rFonts w:hint="eastAsia" w:ascii="仿宋_GB2312" w:eastAsia="仿宋_GB2312" w:cs="仿宋_GB2312"/>
          <w:b w:val="0"/>
          <w:bCs/>
          <w:color w:val="auto"/>
          <w:sz w:val="32"/>
          <w:szCs w:val="32"/>
          <w:lang w:eastAsia="zh-CN"/>
        </w:rPr>
        <w:t>中医（民族）医院（</w:t>
      </w:r>
      <w:r>
        <w:rPr>
          <w:rFonts w:hint="eastAsia" w:ascii="仿宋_GB2312" w:eastAsia="仿宋_GB2312" w:cs="仿宋_GB2312"/>
          <w:b w:val="0"/>
          <w:bCs/>
          <w:color w:val="auto"/>
          <w:sz w:val="32"/>
          <w:szCs w:val="32"/>
          <w:lang w:val="en-US" w:eastAsia="zh-CN"/>
        </w:rPr>
        <w:t>项</w:t>
      </w:r>
      <w:r>
        <w:rPr>
          <w:rFonts w:hint="eastAsia" w:ascii="仿宋_GB2312" w:eastAsia="仿宋_GB2312" w:cs="仿宋_GB2312"/>
          <w:b w:val="0"/>
          <w:bCs/>
          <w:color w:val="auto"/>
          <w:sz w:val="32"/>
          <w:szCs w:val="32"/>
          <w:lang w:eastAsia="zh-CN"/>
        </w:rPr>
        <w:t>）：</w:t>
      </w:r>
      <w:r>
        <w:rPr>
          <w:rFonts w:hint="eastAsia" w:ascii="仿宋_GB2312" w:eastAsia="仿宋_GB2312" w:cs="仿宋_GB2312"/>
          <w:color w:val="auto"/>
          <w:sz w:val="32"/>
          <w:szCs w:val="32"/>
          <w:lang w:val="en-US" w:eastAsia="zh-CN"/>
        </w:rPr>
        <w:t>支出决算数为1146.16万元，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0E0D3F10">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10.</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类）基层医疗卫生机构（款）</w:t>
      </w:r>
      <w:r>
        <w:rPr>
          <w:rFonts w:hint="eastAsia" w:ascii="仿宋_GB2312" w:eastAsia="仿宋_GB2312" w:cs="仿宋_GB2312"/>
          <w:color w:val="auto"/>
          <w:sz w:val="32"/>
          <w:szCs w:val="32"/>
          <w:lang w:eastAsia="zh-CN"/>
        </w:rPr>
        <w:t>城市社区卫生机构（</w:t>
      </w:r>
      <w:r>
        <w:rPr>
          <w:rFonts w:hint="eastAsia" w:ascii="仿宋_GB2312" w:eastAsia="仿宋_GB2312" w:cs="仿宋_GB2312"/>
          <w:color w:val="auto"/>
          <w:sz w:val="32"/>
          <w:szCs w:val="32"/>
          <w:lang w:val="en-US" w:eastAsia="zh-CN"/>
        </w:rPr>
        <w:t>项</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lang w:val="en-US" w:eastAsia="zh-CN"/>
        </w:rPr>
        <w:t>支出决算数为751.65万元，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3911105B">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sectPr>
          <w:footerReference r:id="rId23" w:type="default"/>
          <w:pgSz w:w="11906" w:h="16838"/>
          <w:pgMar w:top="1440" w:right="1800" w:bottom="1440" w:left="1800" w:header="851" w:footer="992" w:gutter="0"/>
          <w:pgNumType w:fmt="decimal"/>
          <w:cols w:space="720" w:num="1"/>
          <w:docGrid w:type="lines" w:linePitch="312" w:charSpace="0"/>
        </w:sectPr>
      </w:pPr>
      <w:r>
        <w:rPr>
          <w:rFonts w:hint="eastAsia" w:ascii="仿宋_GB2312" w:eastAsia="仿宋_GB2312" w:cs="仿宋_GB2312"/>
          <w:b w:val="0"/>
          <w:bCs/>
          <w:color w:val="auto"/>
          <w:sz w:val="32"/>
          <w:szCs w:val="32"/>
          <w:lang w:val="en-US" w:eastAsia="zh-CN"/>
        </w:rPr>
        <w:t>11.</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类）基层医疗卫生机构（款）</w:t>
      </w:r>
      <w:r>
        <w:rPr>
          <w:rFonts w:hint="eastAsia" w:ascii="仿宋_GB2312" w:eastAsia="仿宋_GB2312" w:cs="仿宋_GB2312"/>
          <w:color w:val="auto"/>
          <w:sz w:val="32"/>
          <w:szCs w:val="32"/>
          <w:lang w:eastAsia="zh-CN"/>
        </w:rPr>
        <w:t>乡镇卫生院（</w:t>
      </w:r>
      <w:r>
        <w:rPr>
          <w:rFonts w:hint="eastAsia" w:ascii="仿宋_GB2312" w:eastAsia="仿宋_GB2312" w:cs="仿宋_GB2312"/>
          <w:color w:val="auto"/>
          <w:sz w:val="32"/>
          <w:szCs w:val="32"/>
          <w:lang w:val="en-US" w:eastAsia="zh-CN"/>
        </w:rPr>
        <w:t>项</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lang w:val="en-US" w:eastAsia="zh-CN"/>
        </w:rPr>
        <w:t>支出决算数为2396.49万元，</w:t>
      </w:r>
      <w:r>
        <w:rPr>
          <w:rFonts w:hint="eastAsia" w:ascii="仿宋_GB2312" w:eastAsia="仿宋_GB2312" w:cs="仿宋_GB2312"/>
          <w:color w:val="auto"/>
          <w:kern w:val="2"/>
          <w:sz w:val="32"/>
          <w:szCs w:val="32"/>
          <w:highlight w:val="none"/>
          <w:lang w:val="en-US" w:eastAsia="zh-CN" w:bidi="ar-SA"/>
        </w:rPr>
        <w:t>完成预算100%，</w:t>
      </w:r>
    </w:p>
    <w:p w14:paraId="1BF3333C">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决算数与预算数持平。</w:t>
      </w:r>
    </w:p>
    <w:p w14:paraId="73126580">
      <w:pPr>
        <w:pStyle w:val="29"/>
        <w:pBdr>
          <w:bottom w:val="single" w:color="FFFFFF" w:sz="4" w:space="29"/>
        </w:pBdr>
        <w:tabs>
          <w:tab w:val="left" w:pos="1440"/>
        </w:tabs>
        <w:spacing w:line="540" w:lineRule="exact"/>
        <w:ind w:left="0" w:leftChars="0" w:firstLine="640" w:firstLineChars="200"/>
        <w:rPr>
          <w:rFonts w:hint="eastAsia" w:ascii="仿宋_GB2312" w:eastAsia="仿宋_GB2312" w:cs="仿宋_GB2312"/>
          <w:color w:val="auto"/>
          <w:sz w:val="32"/>
          <w:szCs w:val="32"/>
          <w:lang w:val="en-US" w:eastAsia="zh-CN"/>
        </w:rPr>
      </w:pPr>
      <w:r>
        <w:rPr>
          <w:rFonts w:hint="eastAsia" w:ascii="仿宋_GB2312" w:hAnsi="Times New Roman" w:eastAsia="仿宋_GB2312" w:cs="仿宋_GB2312"/>
          <w:b w:val="0"/>
          <w:bCs/>
          <w:color w:val="auto"/>
          <w:sz w:val="32"/>
          <w:szCs w:val="32"/>
          <w:lang w:val="en-US" w:eastAsia="zh-CN"/>
        </w:rPr>
        <w:t>12.卫生健康支出（类）基层医疗卫生机构（款）其他基层医疗卫生机构支出（项）：支出决算数为299.17万元，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09FE4A1A">
      <w:pPr>
        <w:pStyle w:val="29"/>
        <w:pBdr>
          <w:bottom w:val="single" w:color="FFFFFF" w:sz="4" w:space="29"/>
        </w:pBdr>
        <w:tabs>
          <w:tab w:val="left" w:pos="1440"/>
        </w:tabs>
        <w:spacing w:line="540" w:lineRule="exact"/>
        <w:ind w:left="0" w:leftChars="0" w:firstLine="640" w:firstLineChars="200"/>
        <w:rPr>
          <w:rFonts w:hint="default"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13.</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类）公共卫生（款）其他专业公共卫生机构（项）：</w:t>
      </w:r>
      <w:r>
        <w:rPr>
          <w:rFonts w:hint="eastAsia" w:ascii="仿宋_GB2312" w:eastAsia="仿宋_GB2312" w:cs="仿宋_GB2312"/>
          <w:color w:val="auto"/>
          <w:sz w:val="32"/>
          <w:szCs w:val="32"/>
          <w:lang w:val="en-US" w:eastAsia="zh-CN"/>
        </w:rPr>
        <w:t>支出决算数为39.54万元，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0A3974CD">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14.</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类）公共卫生（款)</w:t>
      </w:r>
      <w:r>
        <w:rPr>
          <w:rFonts w:hint="eastAsia" w:ascii="仿宋_GB2312" w:eastAsia="仿宋_GB2312" w:cs="仿宋_GB2312"/>
          <w:color w:val="auto"/>
          <w:sz w:val="32"/>
          <w:szCs w:val="32"/>
          <w:lang w:eastAsia="zh-CN"/>
        </w:rPr>
        <w:t>基本公共卫生服务（项）：</w:t>
      </w:r>
      <w:r>
        <w:rPr>
          <w:rFonts w:hint="eastAsia" w:ascii="仿宋_GB2312" w:eastAsia="仿宋_GB2312" w:cs="仿宋_GB2312"/>
          <w:color w:val="auto"/>
          <w:sz w:val="32"/>
          <w:szCs w:val="32"/>
          <w:lang w:val="en-US" w:eastAsia="zh-CN"/>
        </w:rPr>
        <w:t>支出决算数为852.36万元，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4EC619C7">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15.</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类）公共卫生（款)</w:t>
      </w:r>
      <w:r>
        <w:rPr>
          <w:rFonts w:hint="eastAsia" w:ascii="仿宋_GB2312" w:eastAsia="仿宋_GB2312" w:cs="仿宋_GB2312"/>
          <w:color w:val="auto"/>
          <w:sz w:val="32"/>
          <w:szCs w:val="32"/>
          <w:lang w:eastAsia="zh-CN"/>
        </w:rPr>
        <w:t>重大公共卫生服务（项）：</w:t>
      </w:r>
      <w:r>
        <w:rPr>
          <w:rFonts w:hint="eastAsia" w:ascii="仿宋_GB2312" w:eastAsia="仿宋_GB2312" w:cs="仿宋_GB2312"/>
          <w:color w:val="auto"/>
          <w:sz w:val="32"/>
          <w:szCs w:val="32"/>
          <w:lang w:val="en-US" w:eastAsia="zh-CN"/>
        </w:rPr>
        <w:t>支出决算数为40.38万元，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6F82FA37">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16.</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类）公共卫生（款)其他公共卫生支出（项）：</w:t>
      </w:r>
      <w:r>
        <w:rPr>
          <w:rFonts w:hint="eastAsia" w:ascii="仿宋_GB2312" w:eastAsia="仿宋_GB2312" w:cs="仿宋_GB2312"/>
          <w:color w:val="auto"/>
          <w:sz w:val="32"/>
          <w:szCs w:val="32"/>
          <w:lang w:val="en-US" w:eastAsia="zh-CN"/>
        </w:rPr>
        <w:t>支出决算数为96.27万元，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135C39B2">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17.</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w:t>
      </w:r>
      <w:r>
        <w:rPr>
          <w:rFonts w:hint="eastAsia" w:ascii="仿宋_GB2312" w:eastAsia="仿宋_GB2312" w:cs="仿宋_GB2312"/>
          <w:color w:val="auto"/>
          <w:sz w:val="32"/>
          <w:szCs w:val="32"/>
          <w:lang w:eastAsia="zh-CN"/>
        </w:rPr>
        <w:t>其他卫生健康支出</w:t>
      </w:r>
      <w:r>
        <w:rPr>
          <w:rFonts w:hint="eastAsia" w:ascii="仿宋_GB2312" w:eastAsia="仿宋_GB2312" w:cs="仿宋_GB2312"/>
          <w:color w:val="auto"/>
          <w:sz w:val="32"/>
          <w:szCs w:val="32"/>
          <w:lang w:val="en-US" w:eastAsia="zh-CN"/>
        </w:rPr>
        <w:t>(款)</w:t>
      </w:r>
      <w:r>
        <w:rPr>
          <w:rFonts w:hint="eastAsia" w:ascii="仿宋_GB2312" w:eastAsia="仿宋_GB2312" w:cs="仿宋_GB2312"/>
          <w:color w:val="auto"/>
          <w:sz w:val="32"/>
          <w:szCs w:val="32"/>
          <w:lang w:eastAsia="zh-CN"/>
        </w:rPr>
        <w:t>其他卫生健康支出（</w:t>
      </w:r>
      <w:r>
        <w:rPr>
          <w:rFonts w:hint="eastAsia" w:ascii="仿宋_GB2312" w:eastAsia="仿宋_GB2312" w:cs="仿宋_GB2312"/>
          <w:color w:val="auto"/>
          <w:sz w:val="32"/>
          <w:szCs w:val="32"/>
          <w:lang w:val="en-US" w:eastAsia="zh-CN"/>
        </w:rPr>
        <w:t>项)：支出决算数为1014.4万元，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740C4845">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18.</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类）计划生育事务(款)</w:t>
      </w:r>
      <w:r>
        <w:rPr>
          <w:rFonts w:hint="eastAsia" w:ascii="仿宋_GB2312" w:eastAsia="仿宋_GB2312" w:cs="仿宋_GB2312"/>
          <w:color w:val="auto"/>
          <w:sz w:val="32"/>
          <w:szCs w:val="32"/>
          <w:lang w:eastAsia="zh-CN"/>
        </w:rPr>
        <w:t xml:space="preserve"> 计划生育服务（</w:t>
      </w:r>
      <w:r>
        <w:rPr>
          <w:rFonts w:hint="eastAsia" w:ascii="仿宋_GB2312" w:eastAsia="仿宋_GB2312" w:cs="仿宋_GB2312"/>
          <w:color w:val="auto"/>
          <w:sz w:val="32"/>
          <w:szCs w:val="32"/>
          <w:lang w:val="en-US" w:eastAsia="zh-CN"/>
        </w:rPr>
        <w:t>项)：支出决算数为3.27万元，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3DE53344">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b w:val="0"/>
          <w:bCs/>
          <w:color w:val="auto"/>
          <w:sz w:val="32"/>
          <w:szCs w:val="32"/>
          <w:lang w:val="en-US" w:eastAsia="zh-CN"/>
        </w:rPr>
        <w:t>19.</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类）计划生育事务(款)</w:t>
      </w:r>
      <w:r>
        <w:rPr>
          <w:rFonts w:hint="eastAsia" w:ascii="仿宋_GB2312" w:eastAsia="仿宋_GB2312" w:cs="仿宋_GB2312"/>
          <w:color w:val="auto"/>
          <w:sz w:val="32"/>
          <w:szCs w:val="32"/>
          <w:lang w:eastAsia="zh-CN"/>
        </w:rPr>
        <w:t>其他计划生育事务支出（</w:t>
      </w:r>
      <w:r>
        <w:rPr>
          <w:rFonts w:hint="eastAsia" w:ascii="仿宋_GB2312" w:eastAsia="仿宋_GB2312" w:cs="仿宋_GB2312"/>
          <w:color w:val="auto"/>
          <w:sz w:val="32"/>
          <w:szCs w:val="32"/>
          <w:lang w:val="en-US" w:eastAsia="zh-CN"/>
        </w:rPr>
        <w:t>项)：支出决算数为254.52万元，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562A4C81">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sectPr>
          <w:footerReference r:id="rId24" w:type="default"/>
          <w:pgSz w:w="11906" w:h="16838"/>
          <w:pgMar w:top="1440" w:right="1800" w:bottom="1440" w:left="1800" w:header="851" w:footer="992" w:gutter="0"/>
          <w:pgNumType w:fmt="decimal"/>
          <w:cols w:space="720" w:num="1"/>
          <w:docGrid w:type="lines" w:linePitch="312" w:charSpace="0"/>
        </w:sectPr>
      </w:pPr>
    </w:p>
    <w:p w14:paraId="420C5BF1">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20.卫生健康支出（类）医疗救助（款）其他医疗救助支出（项）：支出决算数为82.09万元，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7B13ABF5">
      <w:pPr>
        <w:pStyle w:val="29"/>
        <w:pBdr>
          <w:bottom w:val="single" w:color="FFFFFF" w:sz="4" w:space="29"/>
        </w:pBdr>
        <w:tabs>
          <w:tab w:val="left" w:pos="1440"/>
        </w:tabs>
        <w:spacing w:line="540" w:lineRule="exact"/>
        <w:ind w:left="0" w:firstLine="640" w:firstLineChars="200"/>
        <w:rPr>
          <w:rFonts w:hint="default"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21.卫生健康支出（类）中医药事务（款）中医（民族医）药专项（项）：支出决算数为110万元，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44DA3EEA">
      <w:pPr>
        <w:pStyle w:val="29"/>
        <w:pBdr>
          <w:bottom w:val="single" w:color="FFFFFF" w:sz="4" w:space="29"/>
        </w:pBdr>
        <w:tabs>
          <w:tab w:val="left" w:pos="1440"/>
        </w:tabs>
        <w:spacing w:line="540" w:lineRule="exact"/>
        <w:ind w:left="0" w:firstLine="640" w:firstLineChars="200"/>
        <w:rPr>
          <w:rFonts w:hint="default"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22.</w:t>
      </w:r>
      <w:r>
        <w:rPr>
          <w:rFonts w:hint="eastAsia" w:ascii="仿宋_GB2312" w:eastAsia="仿宋_GB2312" w:cs="仿宋_GB2312"/>
          <w:b w:val="0"/>
          <w:bCs/>
          <w:color w:val="auto"/>
          <w:sz w:val="32"/>
          <w:szCs w:val="32"/>
          <w:lang w:eastAsia="zh-CN"/>
        </w:rPr>
        <w:t>卫生健康支出（</w:t>
      </w:r>
      <w:r>
        <w:rPr>
          <w:rFonts w:hint="eastAsia" w:ascii="仿宋_GB2312" w:eastAsia="仿宋_GB2312" w:cs="仿宋_GB2312"/>
          <w:b w:val="0"/>
          <w:bCs/>
          <w:color w:val="auto"/>
          <w:sz w:val="32"/>
          <w:szCs w:val="32"/>
          <w:lang w:val="en-US" w:eastAsia="zh-CN"/>
        </w:rPr>
        <w:t>类）托育服务（款）其他托育服务支出（项）：</w:t>
      </w:r>
      <w:r>
        <w:rPr>
          <w:rFonts w:hint="eastAsia" w:ascii="仿宋_GB2312" w:eastAsia="仿宋_GB2312" w:cs="仿宋_GB2312"/>
          <w:color w:val="auto"/>
          <w:sz w:val="32"/>
          <w:szCs w:val="32"/>
          <w:lang w:val="en-US" w:eastAsia="zh-CN"/>
        </w:rPr>
        <w:t>支出决算数为881.13万元，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5AE1CB56">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23.</w:t>
      </w:r>
      <w:r>
        <w:rPr>
          <w:rFonts w:hint="eastAsia" w:ascii="仿宋_GB2312" w:eastAsia="仿宋_GB2312" w:cs="仿宋_GB2312"/>
          <w:color w:val="auto"/>
          <w:sz w:val="32"/>
          <w:szCs w:val="32"/>
          <w:lang w:eastAsia="zh-CN"/>
        </w:rPr>
        <w:t>农林水支出（类）巩固脱贫攻坚成果衔接乡村振兴</w:t>
      </w:r>
      <w:r>
        <w:rPr>
          <w:rFonts w:hint="eastAsia" w:ascii="仿宋_GB2312" w:eastAsia="仿宋_GB2312" w:cs="仿宋_GB2312"/>
          <w:color w:val="auto"/>
          <w:sz w:val="32"/>
          <w:szCs w:val="32"/>
          <w:lang w:val="en-US" w:eastAsia="zh-CN"/>
        </w:rPr>
        <w:t>（款）社会发展（项）：支出决算数为659.25万元，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6EAB5DD6">
      <w:pPr>
        <w:pStyle w:val="29"/>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eastAsia="zh-CN"/>
        </w:rPr>
      </w:pPr>
      <w:r>
        <w:rPr>
          <w:rFonts w:hint="eastAsia" w:ascii="仿宋_GB2312" w:eastAsia="仿宋_GB2312" w:cs="仿宋_GB2312"/>
          <w:color w:val="auto"/>
          <w:sz w:val="32"/>
          <w:szCs w:val="32"/>
          <w:lang w:val="en-US" w:eastAsia="zh-CN"/>
        </w:rPr>
        <w:t>24.</w:t>
      </w:r>
      <w:r>
        <w:rPr>
          <w:rFonts w:hint="eastAsia" w:ascii="仿宋_GB2312" w:eastAsia="仿宋_GB2312" w:cs="仿宋_GB2312"/>
          <w:color w:val="auto"/>
          <w:sz w:val="32"/>
          <w:szCs w:val="32"/>
          <w:lang w:eastAsia="zh-CN"/>
        </w:rPr>
        <w:t>农林水支出（类）巩固脱贫攻坚成果衔接乡村振兴</w:t>
      </w:r>
      <w:r>
        <w:rPr>
          <w:rFonts w:hint="eastAsia" w:ascii="仿宋_GB2312" w:eastAsia="仿宋_GB2312" w:cs="仿宋_GB2312"/>
          <w:color w:val="auto"/>
          <w:sz w:val="32"/>
          <w:szCs w:val="32"/>
          <w:lang w:val="en-US" w:eastAsia="zh-CN"/>
        </w:rPr>
        <w:t>（款）其他巩固脱贫攻坚成果衔接乡村振兴支出（项）：支出决算数为118.66万元，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78200D42">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25.</w:t>
      </w:r>
      <w:r>
        <w:rPr>
          <w:rFonts w:hint="eastAsia" w:ascii="仿宋_GB2312" w:eastAsia="仿宋_GB2312" w:cs="仿宋_GB2312"/>
          <w:color w:val="auto"/>
          <w:sz w:val="32"/>
          <w:szCs w:val="32"/>
          <w:lang w:eastAsia="zh-CN"/>
        </w:rPr>
        <w:t>住房保障支出（类）住房改革支出</w:t>
      </w:r>
      <w:r>
        <w:rPr>
          <w:rFonts w:hint="eastAsia" w:ascii="仿宋_GB2312" w:eastAsia="仿宋_GB2312" w:cs="仿宋_GB2312"/>
          <w:color w:val="auto"/>
          <w:sz w:val="32"/>
          <w:szCs w:val="32"/>
          <w:lang w:val="en-US" w:eastAsia="zh-CN"/>
        </w:rPr>
        <w:t>（款）</w:t>
      </w:r>
      <w:r>
        <w:rPr>
          <w:rFonts w:hint="eastAsia" w:ascii="仿宋_GB2312" w:eastAsia="仿宋_GB2312" w:cs="仿宋_GB2312"/>
          <w:color w:val="auto"/>
          <w:sz w:val="32"/>
          <w:szCs w:val="32"/>
          <w:lang w:eastAsia="zh-CN"/>
        </w:rPr>
        <w:t>住房公积金</w:t>
      </w:r>
      <w:r>
        <w:rPr>
          <w:rFonts w:hint="eastAsia" w:ascii="仿宋_GB2312" w:eastAsia="仿宋_GB2312" w:cs="仿宋_GB2312"/>
          <w:color w:val="auto"/>
          <w:sz w:val="32"/>
          <w:szCs w:val="32"/>
          <w:lang w:val="en-US" w:eastAsia="zh-CN"/>
        </w:rPr>
        <w:t>（项）：支出决算数为970.71万元，</w:t>
      </w:r>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p>
    <w:p w14:paraId="260C49D6">
      <w:pPr>
        <w:pBdr>
          <w:bottom w:val="single" w:color="FFFFFF" w:sz="4" w:space="29"/>
        </w:pBdr>
        <w:tabs>
          <w:tab w:val="left" w:pos="1440"/>
        </w:tabs>
        <w:spacing w:line="540" w:lineRule="exact"/>
        <w:ind w:left="0" w:firstLine="640" w:firstLineChars="200"/>
        <w:rPr>
          <w:rFonts w:hint="eastAsia" w:ascii="仿宋" w:eastAsia="仿宋" w:cs="仿宋"/>
          <w:color w:val="auto"/>
          <w:sz w:val="32"/>
          <w:szCs w:val="32"/>
          <w:lang w:val="en-US" w:eastAsia="zh-CN"/>
        </w:rPr>
      </w:pPr>
      <w:r>
        <w:rPr>
          <w:rFonts w:hint="eastAsia" w:ascii="仿宋_GB2312" w:eastAsia="仿宋_GB2312" w:cs="仿宋_GB2312"/>
          <w:color w:val="auto"/>
          <w:sz w:val="32"/>
          <w:szCs w:val="32"/>
          <w:lang w:val="en-US" w:eastAsia="zh-CN"/>
        </w:rPr>
        <w:t>26.</w:t>
      </w:r>
      <w:r>
        <w:rPr>
          <w:rFonts w:hint="eastAsia" w:ascii="仿宋_GB2312" w:eastAsia="仿宋_GB2312" w:cs="仿宋_GB2312"/>
          <w:color w:val="auto"/>
          <w:sz w:val="32"/>
          <w:szCs w:val="32"/>
          <w:lang w:eastAsia="zh-CN"/>
        </w:rPr>
        <w:t>住房保障支出（类）住房改革支出</w:t>
      </w:r>
      <w:r>
        <w:rPr>
          <w:rFonts w:hint="eastAsia" w:ascii="仿宋_GB2312" w:eastAsia="仿宋_GB2312" w:cs="仿宋_GB2312"/>
          <w:color w:val="auto"/>
          <w:sz w:val="32"/>
          <w:szCs w:val="32"/>
          <w:lang w:val="en-US" w:eastAsia="zh-CN"/>
        </w:rPr>
        <w:t>（款）</w:t>
      </w:r>
      <w:r>
        <w:rPr>
          <w:rFonts w:hint="eastAsia" w:ascii="仿宋_GB2312" w:eastAsia="仿宋_GB2312" w:cs="仿宋_GB2312"/>
          <w:color w:val="auto"/>
          <w:sz w:val="32"/>
          <w:szCs w:val="32"/>
          <w:lang w:eastAsia="zh-CN"/>
        </w:rPr>
        <w:t>购房补贴</w:t>
      </w:r>
      <w:r>
        <w:rPr>
          <w:rFonts w:hint="eastAsia" w:ascii="仿宋_GB2312" w:eastAsia="仿宋_GB2312" w:cs="仿宋_GB2312"/>
          <w:color w:val="auto"/>
          <w:sz w:val="32"/>
          <w:szCs w:val="32"/>
          <w:lang w:val="en-US" w:eastAsia="zh-CN"/>
        </w:rPr>
        <w:t>（项）：支出决算数为2.5万元，</w:t>
      </w:r>
      <w:bookmarkStart w:id="31" w:name="_Toc15377214"/>
      <w:bookmarkStart w:id="32" w:name="_Toc15396608"/>
      <w:r>
        <w:rPr>
          <w:rFonts w:hint="eastAsia" w:ascii="仿宋_GB2312" w:eastAsia="仿宋_GB2312" w:cs="仿宋_GB2312"/>
          <w:color w:val="auto"/>
          <w:kern w:val="2"/>
          <w:sz w:val="32"/>
          <w:szCs w:val="32"/>
          <w:highlight w:val="none"/>
          <w:lang w:val="en-US" w:eastAsia="zh-CN" w:bidi="ar-SA"/>
        </w:rPr>
        <w:t>完成预算100%，</w:t>
      </w:r>
      <w:r>
        <w:rPr>
          <w:rFonts w:hint="eastAsia" w:ascii="仿宋_GB2312" w:eastAsia="仿宋_GB2312" w:cs="仿宋_GB2312"/>
          <w:color w:val="auto"/>
          <w:sz w:val="32"/>
          <w:szCs w:val="32"/>
          <w:lang w:val="en-US" w:eastAsia="zh-CN"/>
        </w:rPr>
        <w:t>决算数与预算数持平。</w:t>
      </w:r>
      <w:r>
        <w:rPr>
          <w:rFonts w:hint="eastAsia" w:ascii="仿宋" w:eastAsia="仿宋" w:cs="仿宋"/>
          <w:color w:val="auto"/>
          <w:sz w:val="32"/>
          <w:szCs w:val="32"/>
          <w:lang w:val="en-US" w:eastAsia="zh-CN"/>
        </w:rPr>
        <w:t xml:space="preserve"> </w:t>
      </w:r>
    </w:p>
    <w:p w14:paraId="5D1902D3">
      <w:pPr>
        <w:pBdr>
          <w:bottom w:val="single" w:color="FFFFFF" w:sz="4" w:space="29"/>
        </w:pBdr>
        <w:tabs>
          <w:tab w:val="left" w:pos="1440"/>
        </w:tabs>
        <w:spacing w:line="540" w:lineRule="exact"/>
        <w:ind w:left="0" w:firstLine="640" w:firstLineChars="200"/>
        <w:rPr>
          <w:rStyle w:val="24"/>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4"/>
          <w:rFonts w:hint="eastAsia" w:ascii="Times New Roman" w:hAnsi="Times New Roman" w:eastAsia="黑体"/>
          <w:b w:val="0"/>
          <w:color w:val="auto"/>
          <w:highlight w:val="none"/>
        </w:rPr>
        <w:t>般公共预算财政拨款基本支出决算情况说明</w:t>
      </w:r>
      <w:bookmarkEnd w:id="31"/>
      <w:bookmarkEnd w:id="32"/>
    </w:p>
    <w:p w14:paraId="674B67BF">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eastAsia="仿宋_GB2312" w:cs="仿宋_GB2312"/>
          <w:color w:val="auto"/>
          <w:sz w:val="32"/>
          <w:szCs w:val="32"/>
          <w:lang w:val="en-US" w:eastAsia="zh-CN"/>
        </w:rPr>
        <w:t>11025.42</w:t>
      </w:r>
      <w:r>
        <w:rPr>
          <w:rFonts w:hint="eastAsia" w:ascii="仿宋_GB2312" w:eastAsia="仿宋_GB2312" w:cs="仿宋_GB2312"/>
          <w:color w:val="auto"/>
          <w:kern w:val="2"/>
          <w:sz w:val="32"/>
          <w:szCs w:val="32"/>
          <w:highlight w:val="none"/>
          <w:lang w:val="en-US" w:eastAsia="zh-CN" w:bidi="ar-SA"/>
        </w:rPr>
        <w:t>万元，其中：</w:t>
      </w:r>
    </w:p>
    <w:p w14:paraId="00075424">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sectPr>
          <w:footerReference r:id="rId25" w:type="default"/>
          <w:pgSz w:w="11906" w:h="16838"/>
          <w:pgMar w:top="1440" w:right="1800" w:bottom="1440" w:left="1800" w:header="851" w:footer="992" w:gutter="0"/>
          <w:pgNumType w:fmt="decimal"/>
          <w:cols w:space="720" w:num="1"/>
          <w:docGrid w:type="lines" w:linePitch="312" w:charSpace="0"/>
        </w:sectPr>
      </w:pPr>
    </w:p>
    <w:p w14:paraId="7382B5DD">
      <w:pPr>
        <w:pBdr>
          <w:bottom w:val="single" w:color="FFFFFF" w:sz="4" w:space="29"/>
        </w:pBdr>
        <w:tabs>
          <w:tab w:val="left" w:pos="1440"/>
        </w:tabs>
        <w:spacing w:line="54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人员经费</w:t>
      </w:r>
      <w:r>
        <w:rPr>
          <w:rFonts w:hint="eastAsia" w:ascii="仿宋_GB2312" w:eastAsia="仿宋_GB2312" w:cs="仿宋_GB2312"/>
          <w:sz w:val="32"/>
          <w:szCs w:val="32"/>
          <w:lang w:val="en-US" w:eastAsia="zh-CN"/>
        </w:rPr>
        <w:t>10913.46</w:t>
      </w:r>
      <w:r>
        <w:rPr>
          <w:rFonts w:hint="eastAsia" w:ascii="仿宋_GB2312" w:eastAsia="仿宋_GB2312" w:cs="仿宋_GB2312"/>
          <w:color w:val="auto"/>
          <w:kern w:val="2"/>
          <w:sz w:val="32"/>
          <w:szCs w:val="32"/>
          <w:highlight w:val="none"/>
          <w:lang w:val="en-US" w:eastAsia="zh-CN" w:bidi="ar-SA"/>
        </w:rPr>
        <w:t>万元，主要包括：基本工资、津贴补贴、奖金、绩效工资、机关事业单位基本养老保险缴费、职业年金缴费、 职工基本医疗保险缴费、其他社会保障缴费、医疗费、其他工资福利支出、抚恤金、生活补助、奖励金、住房公积金等。</w:t>
      </w:r>
      <w:r>
        <w:rPr>
          <w:rFonts w:hint="eastAsia" w:ascii="仿宋_GB2312" w:eastAsia="仿宋_GB2312" w:cs="仿宋_GB2312"/>
          <w:color w:val="auto"/>
          <w:kern w:val="2"/>
          <w:sz w:val="32"/>
          <w:szCs w:val="32"/>
          <w:highlight w:val="none"/>
          <w:lang w:val="en-US" w:eastAsia="zh-CN" w:bidi="ar-SA"/>
        </w:rPr>
        <w:br w:type="textWrapping"/>
      </w:r>
      <w:r>
        <w:rPr>
          <w:rFonts w:hint="eastAsia" w:ascii="仿宋_GB2312" w:eastAsia="仿宋_GB2312" w:cs="仿宋_GB2312"/>
          <w:color w:val="auto"/>
          <w:kern w:val="2"/>
          <w:sz w:val="32"/>
          <w:szCs w:val="32"/>
          <w:highlight w:val="none"/>
          <w:lang w:val="en-US" w:eastAsia="zh-CN" w:bidi="ar-SA"/>
        </w:rPr>
        <w:t>　　公用经费</w:t>
      </w:r>
      <w:r>
        <w:rPr>
          <w:rFonts w:hint="eastAsia" w:ascii="仿宋_GB2312" w:eastAsia="仿宋_GB2312" w:cs="仿宋_GB2312"/>
          <w:sz w:val="32"/>
          <w:szCs w:val="32"/>
          <w:lang w:val="en-US" w:eastAsia="zh-CN"/>
        </w:rPr>
        <w:t>111.96</w:t>
      </w:r>
      <w:r>
        <w:rPr>
          <w:rFonts w:hint="eastAsia" w:ascii="仿宋_GB2312" w:eastAsia="仿宋_GB2312" w:cs="仿宋_GB2312"/>
          <w:color w:val="auto"/>
          <w:kern w:val="2"/>
          <w:sz w:val="32"/>
          <w:szCs w:val="32"/>
          <w:highlight w:val="none"/>
          <w:lang w:val="en-US" w:eastAsia="zh-CN" w:bidi="ar-SA"/>
        </w:rPr>
        <w:t>万元，主要包括：办公费、邮电费、差旅费、公务接待费、福利费、公务用车运行维护费、</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ascii="仿宋_GB2312" w:eastAsia="仿宋_GB2312" w:cs="仿宋_GB2312"/>
          <w:color w:val="auto"/>
          <w:kern w:val="2"/>
          <w:sz w:val="32"/>
          <w:szCs w:val="32"/>
          <w:highlight w:val="none"/>
          <w:lang w:val="en-US" w:eastAsia="zh-CN" w:bidi="ar-SA"/>
        </w:rPr>
        <w:t>等。</w:t>
      </w:r>
      <w:bookmarkStart w:id="33" w:name="_Toc15377215"/>
      <w:bookmarkStart w:id="34" w:name="_Toc15396609"/>
    </w:p>
    <w:p w14:paraId="3806F337">
      <w:pPr>
        <w:numPr>
          <w:ilvl w:val="0"/>
          <w:numId w:val="1"/>
        </w:numPr>
        <w:pBdr>
          <w:bottom w:val="single" w:color="FFFFFF" w:sz="4" w:space="29"/>
        </w:pBdr>
        <w:tabs>
          <w:tab w:val="left" w:pos="1440"/>
        </w:tabs>
        <w:spacing w:line="540" w:lineRule="exact"/>
        <w:ind w:left="0" w:firstLine="640" w:firstLineChars="200"/>
        <w:rPr>
          <w:rStyle w:val="24"/>
          <w:rFonts w:hint="eastAsia" w:ascii="Times New Roman" w:hAnsi="Times New Roman" w:eastAsia="黑体"/>
          <w:b w:val="0"/>
          <w:color w:val="auto"/>
          <w:highlight w:val="none"/>
        </w:rPr>
      </w:pPr>
      <w:r>
        <w:rPr>
          <w:rStyle w:val="24"/>
          <w:rFonts w:hint="eastAsia" w:ascii="Times New Roman" w:hAnsi="Times New Roman" w:eastAsia="黑体"/>
          <w:b w:val="0"/>
          <w:color w:val="auto"/>
          <w:highlight w:val="none"/>
        </w:rPr>
        <w:t>财政拨款</w:t>
      </w:r>
      <w:r>
        <w:rPr>
          <w:rStyle w:val="24"/>
          <w:rFonts w:hint="default" w:ascii="Times New Roman" w:hAnsi="Times New Roman" w:eastAsia="黑体" w:cs="Times New Roman"/>
          <w:color w:val="auto"/>
          <w:highlight w:val="none"/>
        </w:rPr>
        <w:t>“</w:t>
      </w:r>
      <w:r>
        <w:rPr>
          <w:rStyle w:val="24"/>
          <w:rFonts w:hint="eastAsia" w:eastAsia="黑体"/>
          <w:color w:val="auto"/>
          <w:highlight w:val="none"/>
        </w:rPr>
        <w:t>三公</w:t>
      </w:r>
      <w:r>
        <w:rPr>
          <w:rStyle w:val="24"/>
          <w:rFonts w:hint="default" w:ascii="Times New Roman" w:hAnsi="Times New Roman" w:eastAsia="黑体" w:cs="Times New Roman"/>
          <w:color w:val="auto"/>
          <w:highlight w:val="none"/>
        </w:rPr>
        <w:t>”</w:t>
      </w:r>
      <w:r>
        <w:rPr>
          <w:rStyle w:val="24"/>
          <w:rFonts w:hint="eastAsia" w:ascii="Times New Roman" w:hAnsi="Times New Roman" w:eastAsia="黑体"/>
          <w:b w:val="0"/>
          <w:color w:val="auto"/>
          <w:highlight w:val="none"/>
        </w:rPr>
        <w:t>经费支出决算情况说明</w:t>
      </w:r>
      <w:bookmarkEnd w:id="33"/>
      <w:bookmarkEnd w:id="34"/>
      <w:bookmarkStart w:id="35" w:name="_Toc15377216"/>
    </w:p>
    <w:p w14:paraId="568FCB11">
      <w:pPr>
        <w:numPr>
          <w:ilvl w:val="0"/>
          <w:numId w:val="2"/>
        </w:numPr>
        <w:pBdr>
          <w:bottom w:val="single" w:color="FFFFFF" w:sz="4" w:space="29"/>
        </w:pBdr>
        <w:tabs>
          <w:tab w:val="left" w:pos="1440"/>
        </w:tabs>
        <w:spacing w:line="540" w:lineRule="exact"/>
        <w:ind w:left="0" w:firstLine="643" w:firstLineChars="200"/>
        <w:rPr>
          <w:rFonts w:hint="eastAsia" w:ascii="Times New Roman" w:hAnsi="Times New Roman" w:eastAsia="楷体_GB2312" w:cs="楷体_GB2312"/>
          <w:b/>
          <w:color w:val="auto"/>
          <w:sz w:val="32"/>
          <w:szCs w:val="32"/>
          <w:highlight w:val="none"/>
        </w:rPr>
      </w:pPr>
      <w:r>
        <w:rPr>
          <w:rFonts w:hint="default" w:ascii="Times New Roman" w:hAnsi="Times New Roman" w:eastAsia="楷体_GB2312" w:cs="Times New Roman"/>
          <w:b/>
          <w:color w:val="auto"/>
          <w:sz w:val="32"/>
          <w:szCs w:val="32"/>
          <w:highlight w:val="none"/>
        </w:rPr>
        <w:t>“</w:t>
      </w:r>
      <w:r>
        <w:rPr>
          <w:rFonts w:hint="eastAsia" w:ascii="Times New Roman" w:hAnsi="Times New Roman" w:eastAsia="楷体_GB2312" w:cs="楷体_GB2312"/>
          <w:b/>
          <w:color w:val="auto"/>
          <w:sz w:val="32"/>
          <w:szCs w:val="32"/>
          <w:highlight w:val="none"/>
        </w:rPr>
        <w:t>三公</w:t>
      </w:r>
      <w:r>
        <w:rPr>
          <w:rFonts w:hint="default" w:ascii="Times New Roman" w:hAnsi="Times New Roman" w:eastAsia="楷体_GB2312" w:cs="Times New Roman"/>
          <w:b/>
          <w:color w:val="auto"/>
          <w:sz w:val="32"/>
          <w:szCs w:val="32"/>
          <w:highlight w:val="none"/>
        </w:rPr>
        <w:t>”</w:t>
      </w:r>
      <w:r>
        <w:rPr>
          <w:rFonts w:hint="eastAsia" w:ascii="Times New Roman" w:hAnsi="Times New Roman" w:eastAsia="楷体_GB2312" w:cs="楷体_GB2312"/>
          <w:b/>
          <w:color w:val="auto"/>
          <w:sz w:val="32"/>
          <w:szCs w:val="32"/>
          <w:highlight w:val="none"/>
        </w:rPr>
        <w:t>经费财政拨款支出决算总体情况说明</w:t>
      </w:r>
      <w:bookmarkEnd w:id="35"/>
    </w:p>
    <w:p w14:paraId="4BB44B79">
      <w:pPr>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color w:val="000000"/>
          <w:sz w:val="32"/>
          <w:szCs w:val="32"/>
        </w:rPr>
      </w:pPr>
      <w:r>
        <w:rPr>
          <w:rFonts w:hint="eastAsia" w:ascii="仿宋_GB2312" w:eastAsia="仿宋_GB2312" w:cs="仿宋_GB2312"/>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仿宋_GB2312" w:eastAsia="仿宋_GB2312" w:cs="仿宋_GB2312"/>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仿宋_GB2312" w:eastAsia="仿宋_GB2312" w:cs="仿宋_GB2312"/>
          <w:color w:val="auto"/>
          <w:kern w:val="2"/>
          <w:sz w:val="32"/>
          <w:szCs w:val="32"/>
          <w:highlight w:val="none"/>
          <w:lang w:val="en-US" w:eastAsia="zh-CN" w:bidi="ar-SA"/>
        </w:rPr>
        <w:t>经费财政拨款支出决算数为</w:t>
      </w:r>
      <w:r>
        <w:rPr>
          <w:rFonts w:hint="eastAsia" w:ascii="仿宋_GB2312" w:eastAsia="仿宋_GB2312" w:cs="仿宋_GB2312"/>
          <w:sz w:val="32"/>
          <w:szCs w:val="32"/>
          <w:lang w:val="en-US" w:eastAsia="zh-CN"/>
        </w:rPr>
        <w:t>29.49</w:t>
      </w:r>
      <w:r>
        <w:rPr>
          <w:rFonts w:hint="eastAsia" w:ascii="仿宋_GB2312" w:eastAsia="仿宋_GB2312" w:cs="仿宋_GB2312"/>
          <w:color w:val="auto"/>
          <w:kern w:val="2"/>
          <w:sz w:val="32"/>
          <w:szCs w:val="32"/>
          <w:highlight w:val="none"/>
          <w:lang w:val="en-US" w:eastAsia="zh-CN" w:bidi="ar-SA"/>
        </w:rPr>
        <w:t>万元，完成预算</w:t>
      </w:r>
      <w:r>
        <w:rPr>
          <w:rFonts w:hint="eastAsia" w:ascii="仿宋_GB2312" w:eastAsia="仿宋_GB2312" w:cs="仿宋_GB2312"/>
          <w:sz w:val="32"/>
          <w:szCs w:val="32"/>
          <w:lang w:val="en-US" w:eastAsia="zh-CN"/>
        </w:rPr>
        <w:t>94.49</w:t>
      </w:r>
      <w:r>
        <w:rPr>
          <w:rFonts w:hint="eastAsia" w:ascii="仿宋_GB2312" w:eastAsia="仿宋_GB2312" w:cs="仿宋_GB2312"/>
          <w:color w:val="auto"/>
          <w:kern w:val="2"/>
          <w:sz w:val="32"/>
          <w:szCs w:val="32"/>
          <w:highlight w:val="none"/>
          <w:lang w:val="en-US" w:eastAsia="zh-CN" w:bidi="ar-SA"/>
        </w:rPr>
        <w:t>%，与上年度相比减少1.79万元，下降5.72%。</w:t>
      </w:r>
      <w:bookmarkStart w:id="36" w:name="_Toc15377217"/>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：厉行节约，压减支出。</w:t>
      </w:r>
    </w:p>
    <w:p w14:paraId="2C9815EE">
      <w:pPr>
        <w:keepNext w:val="0"/>
        <w:keepLines w:val="0"/>
        <w:pageBreakBefore w:val="0"/>
        <w:widowControl w:val="0"/>
        <w:numPr>
          <w:ilvl w:val="0"/>
          <w:numId w:val="2"/>
        </w:numPr>
        <w:pBdr>
          <w:bottom w:val="single" w:color="FFFFFF" w:sz="4" w:space="29"/>
        </w:pBdr>
        <w:tabs>
          <w:tab w:val="left" w:pos="1440"/>
        </w:tabs>
        <w:kinsoku/>
        <w:wordWrap/>
        <w:overflowPunct/>
        <w:topLinePunct w:val="0"/>
        <w:autoSpaceDE/>
        <w:autoSpaceDN/>
        <w:bidi w:val="0"/>
        <w:adjustRightInd/>
        <w:snapToGrid/>
        <w:spacing w:line="560" w:lineRule="exact"/>
        <w:ind w:left="0" w:firstLine="643" w:firstLineChars="200"/>
        <w:textAlignment w:val="auto"/>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“三公”经费财政拨款支出决算具体情况说明</w:t>
      </w:r>
      <w:bookmarkEnd w:id="36"/>
    </w:p>
    <w:p w14:paraId="2ECAF14C">
      <w:pPr>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2025年度“三公”经费财政拨款支出决算数中，因公出国（境）费支出决算</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万元，占0%；公务用车购置及运行维护费支出决算数</w:t>
      </w:r>
      <w:r>
        <w:rPr>
          <w:rFonts w:hint="eastAsia" w:ascii="仿宋_GB2312" w:eastAsia="仿宋_GB2312" w:cs="仿宋_GB2312"/>
          <w:sz w:val="32"/>
          <w:szCs w:val="32"/>
          <w:lang w:val="en-US" w:eastAsia="zh-CN"/>
        </w:rPr>
        <w:t>29.39</w:t>
      </w:r>
      <w:r>
        <w:rPr>
          <w:rFonts w:hint="eastAsia" w:ascii="仿宋_GB2312" w:eastAsia="仿宋_GB2312" w:cs="仿宋_GB2312"/>
          <w:color w:val="auto"/>
          <w:kern w:val="2"/>
          <w:sz w:val="32"/>
          <w:szCs w:val="32"/>
          <w:highlight w:val="none"/>
          <w:lang w:val="en-US" w:eastAsia="zh-CN" w:bidi="ar-SA"/>
        </w:rPr>
        <w:t>万元，占99.66%。</w:t>
      </w:r>
      <w:r>
        <w:rPr>
          <w:rFonts w:hint="eastAsia" w:ascii="仿宋" w:eastAsia="仿宋" w:cs="Times New Roman"/>
          <w:color w:val="000000"/>
          <w:sz w:val="32"/>
          <w:szCs w:val="32"/>
          <w:lang w:eastAsia="zh-CN"/>
        </w:rPr>
        <w:t>其中：</w:t>
      </w:r>
      <w:r>
        <w:rPr>
          <w:rFonts w:ascii="仿宋" w:eastAsia="仿宋" w:cs="Times New Roman"/>
          <w:color w:val="000000"/>
          <w:sz w:val="32"/>
          <w:szCs w:val="32"/>
        </w:rPr>
        <w:t>公务用车购置</w:t>
      </w:r>
      <w:r>
        <w:rPr>
          <w:rFonts w:hint="eastAsia" w:ascii="仿宋" w:eastAsia="仿宋" w:cs="Times New Roman"/>
          <w:color w:val="000000"/>
          <w:sz w:val="32"/>
          <w:szCs w:val="32"/>
          <w:lang w:eastAsia="zh-CN"/>
        </w:rPr>
        <w:t>费</w:t>
      </w:r>
      <w:r>
        <w:rPr>
          <w:rFonts w:hint="eastAsia" w:ascii="仿宋" w:eastAsia="仿宋" w:cs="Times New Roman"/>
          <w:color w:val="000000"/>
          <w:sz w:val="32"/>
          <w:szCs w:val="32"/>
          <w:lang w:val="en-US" w:eastAsia="zh-CN"/>
        </w:rPr>
        <w:t>0万元</w:t>
      </w:r>
      <w:r>
        <w:rPr>
          <w:rFonts w:hint="eastAsia" w:ascii="仿宋" w:eastAsia="仿宋" w:cs="Times New Roman"/>
          <w:color w:val="000000"/>
          <w:sz w:val="32"/>
          <w:szCs w:val="32"/>
          <w:lang w:eastAsia="zh-CN"/>
        </w:rPr>
        <w:t>，占</w:t>
      </w:r>
      <w:r>
        <w:rPr>
          <w:rFonts w:hint="eastAsia" w:ascii="仿宋" w:eastAsia="仿宋" w:cs="Times New Roman"/>
          <w:color w:val="000000"/>
          <w:sz w:val="32"/>
          <w:szCs w:val="32"/>
          <w:lang w:val="en-US" w:eastAsia="zh-CN"/>
        </w:rPr>
        <w:t>0%；</w:t>
      </w:r>
      <w:r>
        <w:rPr>
          <w:rFonts w:hint="eastAsia" w:ascii="仿宋_GB2312" w:eastAsia="仿宋_GB2312" w:cs="仿宋_GB2312"/>
          <w:color w:val="000000"/>
          <w:sz w:val="32"/>
          <w:szCs w:val="32"/>
          <w:lang w:eastAsia="zh-CN"/>
        </w:rPr>
        <w:t>公务用车</w:t>
      </w:r>
      <w:r>
        <w:rPr>
          <w:rFonts w:hint="eastAsia" w:ascii="仿宋_GB2312" w:eastAsia="仿宋_GB2312" w:cs="仿宋_GB2312"/>
          <w:color w:val="000000"/>
          <w:sz w:val="32"/>
          <w:szCs w:val="32"/>
        </w:rPr>
        <w:t>运行维护费支出决算</w:t>
      </w:r>
      <w:r>
        <w:rPr>
          <w:rFonts w:hint="eastAsia" w:ascii="仿宋_GB2312" w:eastAsia="仿宋_GB2312" w:cs="仿宋_GB2312"/>
          <w:color w:val="000000"/>
          <w:sz w:val="32"/>
          <w:szCs w:val="32"/>
          <w:lang w:eastAsia="zh-CN"/>
        </w:rPr>
        <w:t>数</w:t>
      </w:r>
      <w:r>
        <w:rPr>
          <w:rFonts w:hint="eastAsia" w:ascii="仿宋_GB2312" w:eastAsia="仿宋_GB2312" w:cs="仿宋_GB2312"/>
          <w:color w:val="000000"/>
          <w:sz w:val="32"/>
          <w:szCs w:val="32"/>
          <w:lang w:val="en-US" w:eastAsia="zh-CN"/>
        </w:rPr>
        <w:t>29.39万元，占99.66%；</w:t>
      </w:r>
      <w:r>
        <w:rPr>
          <w:rFonts w:hint="eastAsia" w:ascii="仿宋_GB2312" w:eastAsia="仿宋_GB2312" w:cs="仿宋_GB2312"/>
          <w:color w:val="auto"/>
          <w:kern w:val="2"/>
          <w:sz w:val="32"/>
          <w:szCs w:val="32"/>
          <w:highlight w:val="none"/>
          <w:lang w:val="en-US" w:eastAsia="zh-CN" w:bidi="ar-SA"/>
        </w:rPr>
        <w:t>公务接待费支出决算数</w:t>
      </w:r>
      <w:r>
        <w:rPr>
          <w:rFonts w:hint="eastAsia" w:ascii="仿宋_GB2312" w:eastAsia="仿宋_GB2312" w:cs="仿宋_GB2312"/>
          <w:sz w:val="32"/>
          <w:szCs w:val="32"/>
          <w:lang w:val="en-US" w:eastAsia="zh-CN"/>
        </w:rPr>
        <w:t>0.1</w:t>
      </w:r>
      <w:r>
        <w:rPr>
          <w:rFonts w:hint="eastAsia" w:ascii="仿宋_GB2312" w:eastAsia="仿宋_GB2312" w:cs="仿宋_GB2312"/>
          <w:color w:val="auto"/>
          <w:kern w:val="2"/>
          <w:sz w:val="32"/>
          <w:szCs w:val="32"/>
          <w:highlight w:val="none"/>
          <w:lang w:val="en-US" w:eastAsia="zh-CN" w:bidi="ar-SA"/>
        </w:rPr>
        <w:t>万元，占0.34%。具体情况如下：</w:t>
      </w:r>
    </w:p>
    <w:p w14:paraId="7115DE80">
      <w:pPr>
        <w:pStyle w:val="2"/>
        <w:jc w:val="cente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081780" cy="1720215"/>
            <wp:effectExtent l="5080" t="4445" r="8890" b="8890"/>
            <wp:docPr id="2663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B3BACC2">
      <w:pPr>
        <w:pBdr>
          <w:bottom w:val="single" w:color="FFFFFF" w:sz="4" w:space="29"/>
        </w:pBdr>
        <w:tabs>
          <w:tab w:val="left" w:pos="1440"/>
        </w:tabs>
        <w:spacing w:line="540" w:lineRule="exact"/>
        <w:ind w:left="0" w:firstLine="643" w:firstLineChars="200"/>
        <w:rPr>
          <w:rFonts w:hint="default" w:ascii="仿宋_GB2312" w:eastAsia="仿宋_GB2312" w:cs="仿宋_GB2312"/>
          <w:b/>
          <w:bCs/>
          <w:color w:val="auto"/>
          <w:kern w:val="2"/>
          <w:sz w:val="32"/>
          <w:szCs w:val="32"/>
          <w:highlight w:val="none"/>
          <w:lang w:val="en-US" w:eastAsia="zh-CN" w:bidi="ar-SA"/>
        </w:rPr>
      </w:pPr>
      <w:r>
        <w:rPr>
          <w:rFonts w:hint="eastAsia" w:ascii="仿宋_GB2312" w:eastAsia="仿宋_GB2312" w:cs="仿宋_GB2312"/>
          <w:b/>
          <w:bCs/>
          <w:color w:val="auto"/>
          <w:kern w:val="2"/>
          <w:sz w:val="32"/>
          <w:szCs w:val="32"/>
          <w:highlight w:val="none"/>
          <w:lang w:val="en-US" w:eastAsia="zh-CN" w:bidi="ar-SA"/>
        </w:rPr>
        <w:t>1.因公出国（境）经费支出0万元，完成预算0%。</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14:paraId="6D28B797">
      <w:pPr>
        <w:pBdr>
          <w:bottom w:val="single" w:color="FFFFFF" w:sz="4" w:space="29"/>
        </w:pBdr>
        <w:tabs>
          <w:tab w:val="left" w:pos="1440"/>
        </w:tabs>
        <w:spacing w:line="540" w:lineRule="exact"/>
        <w:ind w:left="0" w:firstLine="643" w:firstLineChars="20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b/>
          <w:bCs/>
          <w:color w:val="auto"/>
          <w:kern w:val="2"/>
          <w:sz w:val="32"/>
          <w:szCs w:val="32"/>
          <w:highlight w:val="none"/>
          <w:lang w:val="en-US" w:eastAsia="zh-CN" w:bidi="ar-SA"/>
        </w:rPr>
        <w:t>2.公务用车购置及运行维护费支出29.39万元</w:t>
      </w:r>
      <w:r>
        <w:rPr>
          <w:rFonts w:hint="eastAsia" w:ascii="仿宋_GB2312" w:eastAsia="仿宋_GB2312" w:cs="仿宋_GB2312"/>
          <w:color w:val="auto"/>
          <w:kern w:val="2"/>
          <w:sz w:val="32"/>
          <w:szCs w:val="32"/>
          <w:highlight w:val="none"/>
          <w:lang w:val="en-US" w:eastAsia="zh-CN" w:bidi="ar-SA"/>
        </w:rPr>
        <w:t>，</w:t>
      </w:r>
      <w:r>
        <w:rPr>
          <w:rFonts w:hint="eastAsia" w:ascii="仿宋_GB2312" w:eastAsia="仿宋_GB2312" w:cs="仿宋_GB2312"/>
          <w:b/>
          <w:bCs/>
          <w:color w:val="auto"/>
          <w:kern w:val="2"/>
          <w:sz w:val="32"/>
          <w:szCs w:val="32"/>
          <w:highlight w:val="none"/>
          <w:lang w:val="en-US" w:eastAsia="zh-CN" w:bidi="ar-SA"/>
        </w:rPr>
        <w:t>完成预算94.47%。</w:t>
      </w:r>
      <w:r>
        <w:rPr>
          <w:rFonts w:hint="eastAsia" w:ascii="仿宋_GB2312" w:eastAsia="仿宋_GB2312" w:cs="仿宋_GB2312"/>
          <w:color w:val="auto"/>
          <w:kern w:val="2"/>
          <w:sz w:val="32"/>
          <w:szCs w:val="32"/>
          <w:highlight w:val="none"/>
          <w:lang w:val="en-US" w:eastAsia="zh-CN" w:bidi="ar-SA"/>
        </w:rPr>
        <w:t>公务用车购置及运行维护费支出决算与上年度相比减少1.83万元，下降5.86%。主要原因是：2025年基层医疗卫生机构用车量减少。</w:t>
      </w:r>
    </w:p>
    <w:p w14:paraId="149981CE">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截至2025年12月31日，局机关及医疗卫生机构共有公务用车41辆，其中：</w:t>
      </w:r>
      <w:r>
        <w:rPr>
          <w:rFonts w:hint="eastAsia" w:ascii="Times New Roman" w:hAnsi="Times New Roman" w:eastAsia="仿宋_GB2312" w:cs="仿宋_GB2312"/>
          <w:color w:val="auto"/>
          <w:kern w:val="2"/>
          <w:sz w:val="32"/>
          <w:szCs w:val="32"/>
          <w:highlight w:val="none"/>
          <w:lang w:val="en-US" w:eastAsia="zh-CN" w:bidi="ar-SA"/>
        </w:rPr>
        <w:t>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仿宋_GB2312" w:eastAsia="仿宋_GB2312" w:cs="仿宋_GB2312"/>
          <w:color w:val="auto"/>
          <w:kern w:val="2"/>
          <w:sz w:val="32"/>
          <w:szCs w:val="32"/>
          <w:highlight w:val="none"/>
          <w:lang w:val="en-US" w:eastAsia="zh-CN" w:bidi="ar-SA"/>
        </w:rPr>
        <w:t>应急保障用车41辆。</w:t>
      </w:r>
    </w:p>
    <w:p w14:paraId="625DA31C">
      <w:pPr>
        <w:pBdr>
          <w:bottom w:val="single" w:color="FFFFFF" w:sz="4" w:space="29"/>
        </w:pBdr>
        <w:tabs>
          <w:tab w:val="left" w:pos="1440"/>
        </w:tabs>
        <w:spacing w:line="540" w:lineRule="exact"/>
        <w:ind w:left="0" w:firstLine="640" w:firstLineChars="200"/>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lang w:val="en-US" w:eastAsia="zh-CN"/>
        </w:rPr>
        <w:t>29.39</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000000"/>
          <w:kern w:val="2"/>
          <w:sz w:val="32"/>
          <w:szCs w:val="32"/>
          <w:lang w:val="en-US" w:eastAsia="zh-CN" w:bidi="ar-SA"/>
        </w:rPr>
        <w:t>主要用于局机关及医疗卫生机构开展</w:t>
      </w:r>
      <w:r>
        <w:rPr>
          <w:rFonts w:hint="eastAsia" w:ascii="仿宋_GB2312" w:hAnsi="仿宋_GB2312" w:eastAsia="仿宋_GB2312" w:cs="仿宋_GB2312"/>
          <w:color w:val="auto"/>
          <w:sz w:val="32"/>
          <w:szCs w:val="32"/>
          <w:highlight w:val="none"/>
          <w:lang w:val="en-US" w:eastAsia="zh-CN"/>
        </w:rPr>
        <w:t>高原病防治研究基地（阿坝）建设专项项目</w:t>
      </w:r>
      <w:r>
        <w:rPr>
          <w:rFonts w:hint="eastAsia" w:ascii="仿宋_GB2312" w:hAnsi="仿宋_GB2312" w:eastAsia="仿宋_GB2312" w:cs="仿宋_GB2312"/>
          <w:color w:val="000000"/>
          <w:kern w:val="2"/>
          <w:sz w:val="32"/>
          <w:szCs w:val="32"/>
          <w:lang w:val="en-US" w:eastAsia="zh-CN" w:bidi="ar-SA"/>
        </w:rPr>
        <w:t>、</w:t>
      </w:r>
      <w:r>
        <w:rPr>
          <w:rFonts w:hint="eastAsia" w:ascii="仿宋_GB2312" w:hAnsi="仿宋_GB2312" w:eastAsia="仿宋_GB2312" w:cs="仿宋_GB2312"/>
          <w:color w:val="000000"/>
          <w:sz w:val="32"/>
          <w:szCs w:val="32"/>
        </w:rPr>
        <w:t>基本公共卫生服务项目、基本药物项目、村卫生体系建设项目、计划生育</w:t>
      </w:r>
      <w:r>
        <w:rPr>
          <w:rFonts w:hint="eastAsia" w:ascii="仿宋_GB2312" w:hAnsi="仿宋_GB2312" w:eastAsia="仿宋_GB2312" w:cs="仿宋_GB2312"/>
          <w:color w:val="000000"/>
          <w:sz w:val="32"/>
          <w:szCs w:val="32"/>
          <w:lang w:eastAsia="zh-CN"/>
        </w:rPr>
        <w:t>服务</w:t>
      </w:r>
      <w:r>
        <w:rPr>
          <w:rFonts w:hint="eastAsia" w:ascii="仿宋_GB2312" w:hAnsi="仿宋_GB2312" w:eastAsia="仿宋_GB2312" w:cs="仿宋_GB2312"/>
          <w:color w:val="000000"/>
          <w:sz w:val="32"/>
          <w:szCs w:val="32"/>
        </w:rPr>
        <w:t>事业</w:t>
      </w:r>
      <w:r>
        <w:rPr>
          <w:rFonts w:hint="eastAsia" w:ascii="仿宋_GB2312" w:hAnsi="仿宋_GB2312" w:eastAsia="仿宋_GB2312" w:cs="仿宋_GB2312"/>
          <w:color w:val="000000"/>
          <w:sz w:val="32"/>
          <w:szCs w:val="32"/>
          <w:lang w:eastAsia="zh-CN"/>
        </w:rPr>
        <w:t>专项、</w:t>
      </w:r>
      <w:r>
        <w:rPr>
          <w:rFonts w:hint="eastAsia" w:ascii="仿宋_GB2312" w:hAnsi="仿宋_GB2312" w:eastAsia="仿宋_GB2312" w:cs="仿宋_GB2312"/>
          <w:color w:val="auto"/>
          <w:sz w:val="32"/>
          <w:szCs w:val="32"/>
          <w:lang w:eastAsia="zh-CN"/>
        </w:rPr>
        <w:t>重大传染病项目</w:t>
      </w:r>
      <w:r>
        <w:rPr>
          <w:rFonts w:hint="eastAsia" w:ascii="仿宋_GB2312" w:hAnsi="仿宋_GB2312" w:eastAsia="仿宋_GB2312" w:cs="仿宋_GB2312"/>
          <w:color w:val="000000"/>
          <w:sz w:val="32"/>
          <w:szCs w:val="32"/>
        </w:rPr>
        <w:t>工作</w:t>
      </w:r>
      <w:r>
        <w:rPr>
          <w:rFonts w:hint="eastAsia" w:ascii="仿宋_GB2312" w:hAnsi="仿宋_GB2312" w:eastAsia="仿宋_GB2312" w:cs="仿宋_GB2312"/>
          <w:color w:val="000000"/>
          <w:kern w:val="2"/>
          <w:sz w:val="32"/>
          <w:szCs w:val="32"/>
          <w:lang w:val="en-US" w:eastAsia="zh-CN" w:bidi="ar-SA"/>
        </w:rPr>
        <w:t>等所需的公务用车燃料费、维修费、过路过桥费、保险费等支出。</w:t>
      </w:r>
    </w:p>
    <w:p w14:paraId="753EAA00">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b w:val="0"/>
          <w:bCs w:val="0"/>
          <w:color w:val="auto"/>
          <w:kern w:val="2"/>
          <w:sz w:val="32"/>
          <w:szCs w:val="32"/>
          <w:highlight w:val="none"/>
          <w:lang w:val="en-US" w:eastAsia="zh-CN" w:bidi="ar-SA"/>
        </w:rPr>
        <w:t>3.公务接待费支出0.1万元，完成预算100%。</w:t>
      </w:r>
      <w:r>
        <w:rPr>
          <w:rFonts w:hint="eastAsia" w:ascii="仿宋_GB2312" w:eastAsia="仿宋_GB2312" w:cs="仿宋_GB2312"/>
          <w:color w:val="auto"/>
          <w:kern w:val="2"/>
          <w:sz w:val="32"/>
          <w:szCs w:val="32"/>
          <w:highlight w:val="none"/>
          <w:lang w:val="en-US" w:eastAsia="zh-CN" w:bidi="ar-SA"/>
        </w:rPr>
        <w:t>公务接待费支出决算与上年度相比增加0.04万元，增长66.67%。主要原因是：</w:t>
      </w:r>
      <w:r>
        <w:rPr>
          <w:rFonts w:hint="eastAsia" w:ascii="仿宋" w:hAnsi="仿宋" w:eastAsia="仿宋" w:cs="仿宋"/>
          <w:color w:val="auto"/>
          <w:sz w:val="32"/>
          <w:szCs w:val="32"/>
          <w:highlight w:val="none"/>
          <w:lang w:val="en-US" w:eastAsia="zh-CN"/>
        </w:rPr>
        <w:t>2025年接待数量增加</w:t>
      </w:r>
      <w:r>
        <w:rPr>
          <w:rFonts w:hint="eastAsia" w:ascii="仿宋_GB2312" w:eastAsia="仿宋_GB2312" w:cs="仿宋_GB2312"/>
          <w:color w:val="auto"/>
          <w:kern w:val="2"/>
          <w:sz w:val="32"/>
          <w:szCs w:val="32"/>
          <w:highlight w:val="none"/>
          <w:lang w:val="en-US" w:eastAsia="zh-CN" w:bidi="ar-SA"/>
        </w:rPr>
        <w:t>。其中：</w:t>
      </w:r>
    </w:p>
    <w:p w14:paraId="317B6D8C">
      <w:pPr>
        <w:pBdr>
          <w:bottom w:val="single" w:color="FFFFFF" w:sz="4" w:space="29"/>
        </w:pBdr>
        <w:tabs>
          <w:tab w:val="left" w:pos="1440"/>
        </w:tabs>
        <w:spacing w:line="540" w:lineRule="exact"/>
        <w:ind w:left="0" w:firstLine="640" w:firstLineChars="200"/>
        <w:rPr>
          <w:rFonts w:hint="eastAsia" w:ascii="仿宋" w:hAnsi="仿宋" w:eastAsia="仿宋" w:cs="仿宋"/>
          <w:color w:val="auto"/>
          <w:sz w:val="32"/>
          <w:szCs w:val="32"/>
          <w:highlight w:val="none"/>
          <w:lang w:val="en-US" w:eastAsia="zh-CN"/>
        </w:rPr>
      </w:pPr>
      <w:r>
        <w:rPr>
          <w:rFonts w:hint="eastAsia" w:ascii="仿宋_GB2312" w:eastAsia="仿宋_GB2312" w:cs="仿宋_GB2312"/>
          <w:color w:val="auto"/>
          <w:kern w:val="2"/>
          <w:sz w:val="32"/>
          <w:szCs w:val="32"/>
          <w:highlight w:val="none"/>
          <w:lang w:val="en-US" w:eastAsia="zh-CN" w:bidi="ar-SA"/>
        </w:rPr>
        <w:t>国内公务接待支出</w:t>
      </w:r>
      <w:r>
        <w:rPr>
          <w:rFonts w:hint="eastAsia" w:ascii="仿宋_GB2312" w:eastAsia="仿宋_GB2312" w:cs="仿宋_GB2312"/>
          <w:color w:val="auto"/>
          <w:sz w:val="32"/>
          <w:szCs w:val="32"/>
          <w:lang w:val="en-US" w:eastAsia="zh-CN"/>
        </w:rPr>
        <w:t>0.1</w:t>
      </w:r>
      <w:r>
        <w:rPr>
          <w:rFonts w:hint="eastAsia" w:ascii="仿宋_GB2312" w:eastAsia="仿宋_GB2312" w:cs="仿宋_GB2312"/>
          <w:color w:val="auto"/>
          <w:kern w:val="2"/>
          <w:sz w:val="32"/>
          <w:szCs w:val="32"/>
          <w:highlight w:val="none"/>
          <w:lang w:val="en-US" w:eastAsia="zh-CN" w:bidi="ar-SA"/>
        </w:rPr>
        <w:t>万元，主要用于</w:t>
      </w:r>
      <w:r>
        <w:rPr>
          <w:rFonts w:hint="eastAsia" w:ascii="仿宋_GB2312" w:eastAsia="仿宋_GB2312" w:cs="仿宋_GB2312"/>
          <w:color w:val="auto"/>
          <w:sz w:val="32"/>
          <w:szCs w:val="32"/>
          <w:lang w:eastAsia="zh-CN"/>
        </w:rPr>
        <w:t>开展各项卫生事业工作</w:t>
      </w:r>
      <w:r>
        <w:rPr>
          <w:rFonts w:hint="eastAsia" w:ascii="仿宋_GB2312" w:eastAsia="仿宋_GB2312" w:cs="仿宋_GB2312"/>
          <w:color w:val="auto"/>
          <w:kern w:val="2"/>
          <w:sz w:val="32"/>
          <w:szCs w:val="32"/>
          <w:highlight w:val="none"/>
          <w:lang w:val="en-US" w:eastAsia="zh-CN" w:bidi="ar-SA"/>
        </w:rPr>
        <w:t>(执行公务、开展业务活动开支的用餐费等)。国内公务接待</w:t>
      </w:r>
      <w:r>
        <w:rPr>
          <w:rFonts w:hint="eastAsia" w:ascii="仿宋_GB2312" w:eastAsia="仿宋_GB2312" w:cs="仿宋_GB2312"/>
          <w:color w:val="auto"/>
          <w:sz w:val="32"/>
          <w:szCs w:val="32"/>
        </w:rPr>
        <w:t>1</w:t>
      </w:r>
      <w:r>
        <w:rPr>
          <w:rFonts w:hint="eastAsia" w:ascii="仿宋_GB2312" w:eastAsia="仿宋_GB2312" w:cs="仿宋_GB2312"/>
          <w:color w:val="auto"/>
          <w:kern w:val="2"/>
          <w:sz w:val="32"/>
          <w:szCs w:val="32"/>
          <w:highlight w:val="none"/>
          <w:lang w:val="en-US" w:eastAsia="zh-CN" w:bidi="ar-SA"/>
        </w:rPr>
        <w:t>批次，</w:t>
      </w:r>
      <w:r>
        <w:rPr>
          <w:rFonts w:hint="eastAsia" w:ascii="仿宋_GB2312" w:eastAsia="仿宋_GB2312" w:cs="仿宋_GB2312"/>
          <w:color w:val="auto"/>
          <w:sz w:val="32"/>
          <w:szCs w:val="32"/>
          <w:lang w:val="en-US" w:eastAsia="zh-CN"/>
        </w:rPr>
        <w:t>11</w:t>
      </w:r>
      <w:r>
        <w:rPr>
          <w:rFonts w:hint="eastAsia" w:ascii="仿宋_GB2312" w:eastAsia="仿宋_GB2312" w:cs="仿宋_GB2312"/>
          <w:color w:val="auto"/>
          <w:kern w:val="2"/>
          <w:sz w:val="32"/>
          <w:szCs w:val="32"/>
          <w:highlight w:val="none"/>
          <w:lang w:val="en-US" w:eastAsia="zh-CN" w:bidi="ar-SA"/>
        </w:rPr>
        <w:t>人次（不包括陪同人员），共计支出0.1万元，具体内容包括：</w:t>
      </w:r>
      <w:r>
        <w:rPr>
          <w:rFonts w:hint="eastAsia" w:ascii="仿宋" w:hAnsi="仿宋" w:eastAsia="仿宋" w:cs="仿宋"/>
          <w:color w:val="auto"/>
          <w:sz w:val="32"/>
          <w:szCs w:val="32"/>
          <w:highlight w:val="none"/>
          <w:lang w:eastAsia="zh-CN"/>
        </w:rPr>
        <w:t>用于开展</w:t>
      </w:r>
      <w:r>
        <w:rPr>
          <w:rFonts w:hint="eastAsia" w:ascii="仿宋" w:hAnsi="仿宋" w:eastAsia="仿宋" w:cs="仿宋"/>
          <w:color w:val="auto"/>
          <w:sz w:val="32"/>
          <w:szCs w:val="32"/>
          <w:highlight w:val="none"/>
          <w:lang w:val="en-US" w:eastAsia="zh-CN"/>
        </w:rPr>
        <w:t>2025年传染病信息报告与质量管理工作调研指导公务接待</w:t>
      </w:r>
      <w:r>
        <w:rPr>
          <w:rFonts w:hint="eastAsia" w:ascii="仿宋" w:hAnsi="仿宋" w:eastAsia="仿宋" w:cs="仿宋"/>
          <w:color w:val="auto"/>
          <w:sz w:val="32"/>
          <w:szCs w:val="32"/>
          <w:highlight w:val="none"/>
          <w:lang w:eastAsia="zh-CN"/>
        </w:rPr>
        <w:t>支出</w:t>
      </w:r>
      <w:r>
        <w:rPr>
          <w:rFonts w:hint="eastAsia" w:ascii="仿宋" w:hAnsi="仿宋" w:eastAsia="仿宋" w:cs="仿宋"/>
          <w:color w:val="auto"/>
          <w:sz w:val="32"/>
          <w:szCs w:val="32"/>
          <w:highlight w:val="none"/>
          <w:lang w:val="en-US" w:eastAsia="zh-CN"/>
        </w:rPr>
        <w:t>0.1万元。</w:t>
      </w:r>
    </w:p>
    <w:p w14:paraId="36553ABD">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外事接待支出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w:t>
      </w:r>
      <w:bookmarkStart w:id="37" w:name="_Toc15396610"/>
      <w:bookmarkStart w:id="38" w:name="_Toc15377218"/>
    </w:p>
    <w:p w14:paraId="236133F9">
      <w:pPr>
        <w:numPr>
          <w:ilvl w:val="0"/>
          <w:numId w:val="1"/>
        </w:numPr>
        <w:pBdr>
          <w:bottom w:val="single" w:color="FFFFFF" w:sz="4" w:space="29"/>
        </w:pBdr>
        <w:tabs>
          <w:tab w:val="left" w:pos="1440"/>
        </w:tabs>
        <w:spacing w:line="540" w:lineRule="exact"/>
        <w:ind w:left="0" w:firstLine="640" w:firstLineChars="200"/>
        <w:rPr>
          <w:rStyle w:val="24"/>
          <w:rFonts w:hint="eastAsia" w:ascii="Times New Roman" w:hAnsi="Times New Roman" w:eastAsia="黑体"/>
          <w:b w:val="0"/>
          <w:color w:val="auto"/>
          <w:highlight w:val="none"/>
        </w:rPr>
      </w:pPr>
      <w:r>
        <w:rPr>
          <w:rStyle w:val="24"/>
          <w:rFonts w:hint="eastAsia" w:ascii="Times New Roman" w:hAnsi="Times New Roman" w:eastAsia="黑体"/>
          <w:b w:val="0"/>
          <w:color w:val="auto"/>
          <w:highlight w:val="none"/>
        </w:rPr>
        <w:t>政府性基金预算支出决算情况说明</w:t>
      </w:r>
      <w:bookmarkEnd w:id="37"/>
      <w:bookmarkEnd w:id="38"/>
    </w:p>
    <w:p w14:paraId="7BD71E10">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2025年度政府性基金预算财政拨款支出</w:t>
      </w:r>
      <w:r>
        <w:rPr>
          <w:rFonts w:hint="eastAsia" w:ascii="仿宋_GB2312" w:eastAsia="仿宋_GB2312" w:cs="仿宋_GB2312"/>
          <w:sz w:val="32"/>
          <w:szCs w:val="32"/>
          <w:lang w:val="en-US" w:eastAsia="zh-CN"/>
        </w:rPr>
        <w:t>14682</w:t>
      </w:r>
      <w:r>
        <w:rPr>
          <w:rFonts w:hint="eastAsia" w:ascii="仿宋_GB2312" w:eastAsia="仿宋_GB2312" w:cs="仿宋_GB2312"/>
          <w:color w:val="auto"/>
          <w:kern w:val="2"/>
          <w:sz w:val="32"/>
          <w:szCs w:val="32"/>
          <w:highlight w:val="none"/>
          <w:lang w:val="en-US" w:eastAsia="zh-CN" w:bidi="ar-SA"/>
        </w:rPr>
        <w:t>万元。</w:t>
      </w:r>
      <w:bookmarkStart w:id="39" w:name="_Toc15396611"/>
      <w:bookmarkStart w:id="40" w:name="_Toc15377219"/>
    </w:p>
    <w:p w14:paraId="3DDD0D70">
      <w:pPr>
        <w:numPr>
          <w:ilvl w:val="0"/>
          <w:numId w:val="1"/>
        </w:numPr>
        <w:pBdr>
          <w:bottom w:val="single" w:color="FFFFFF" w:sz="4" w:space="29"/>
        </w:pBdr>
        <w:tabs>
          <w:tab w:val="left" w:pos="1440"/>
        </w:tabs>
        <w:spacing w:line="540" w:lineRule="exact"/>
        <w:ind w:left="0" w:firstLine="640" w:firstLineChars="200"/>
        <w:rPr>
          <w:rStyle w:val="24"/>
          <w:rFonts w:hint="eastAsia" w:ascii="Times New Roman" w:hAnsi="Times New Roman" w:eastAsia="黑体"/>
          <w:b w:val="0"/>
          <w:color w:val="auto"/>
          <w:highlight w:val="none"/>
        </w:rPr>
      </w:pPr>
      <w:r>
        <w:rPr>
          <w:rStyle w:val="24"/>
          <w:rFonts w:hint="eastAsia" w:ascii="Times New Roman" w:hAnsi="Times New Roman" w:eastAsia="黑体"/>
          <w:b w:val="0"/>
          <w:color w:val="auto"/>
          <w:highlight w:val="none"/>
        </w:rPr>
        <w:t>国有资本经营预算支出决算情况说明</w:t>
      </w:r>
      <w:bookmarkEnd w:id="39"/>
      <w:bookmarkEnd w:id="40"/>
    </w:p>
    <w:p w14:paraId="38091645">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2025年度国有资本经营预算财政拨款支出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w:t>
      </w:r>
      <w:bookmarkStart w:id="41" w:name="_Toc15396612"/>
      <w:bookmarkStart w:id="42" w:name="_Toc15377221"/>
    </w:p>
    <w:p w14:paraId="72CFF3F0">
      <w:pPr>
        <w:numPr>
          <w:ilvl w:val="0"/>
          <w:numId w:val="1"/>
        </w:numPr>
        <w:pBdr>
          <w:bottom w:val="single" w:color="FFFFFF" w:sz="4" w:space="29"/>
        </w:pBdr>
        <w:tabs>
          <w:tab w:val="left" w:pos="1440"/>
        </w:tabs>
        <w:spacing w:line="540" w:lineRule="exact"/>
        <w:ind w:left="0" w:firstLine="640" w:firstLineChars="200"/>
        <w:rPr>
          <w:rStyle w:val="24"/>
          <w:rFonts w:hint="eastAsia" w:ascii="Times New Roman" w:hAnsi="Times New Roman" w:eastAsia="黑体"/>
          <w:b w:val="0"/>
          <w:color w:val="auto"/>
          <w:highlight w:val="none"/>
        </w:rPr>
      </w:pPr>
      <w:r>
        <w:rPr>
          <w:rStyle w:val="24"/>
          <w:rFonts w:hint="eastAsia" w:ascii="Times New Roman" w:hAnsi="Times New Roman" w:eastAsia="黑体"/>
          <w:b w:val="0"/>
          <w:color w:val="auto"/>
          <w:highlight w:val="none"/>
        </w:rPr>
        <w:t>其他重要事项的情况说明</w:t>
      </w:r>
      <w:bookmarkEnd w:id="41"/>
      <w:bookmarkEnd w:id="42"/>
      <w:bookmarkStart w:id="43" w:name="_Toc15377222"/>
    </w:p>
    <w:p w14:paraId="450E4B44">
      <w:pPr>
        <w:numPr>
          <w:ilvl w:val="0"/>
          <w:numId w:val="3"/>
        </w:numPr>
        <w:pBdr>
          <w:bottom w:val="single" w:color="FFFFFF" w:sz="4" w:space="29"/>
        </w:pBdr>
        <w:tabs>
          <w:tab w:val="left" w:pos="1440"/>
        </w:tabs>
        <w:spacing w:line="540" w:lineRule="exact"/>
        <w:ind w:left="0" w:firstLine="643"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机关运行经费支出情况</w:t>
      </w:r>
      <w:bookmarkEnd w:id="43"/>
    </w:p>
    <w:p w14:paraId="388411F8">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w:t>
      </w:r>
      <w:r>
        <w:rPr>
          <w:rFonts w:hint="eastAsia" w:ascii="仿宋_GB2312" w:eastAsia="仿宋_GB2312" w:cs="仿宋_GB2312"/>
          <w:sz w:val="32"/>
          <w:szCs w:val="32"/>
        </w:rPr>
        <w:t>四川省阿坝州茂县卫生健康局</w:t>
      </w:r>
      <w:r>
        <w:rPr>
          <w:rFonts w:hint="eastAsia" w:ascii="仿宋_GB2312" w:eastAsia="仿宋_GB2312" w:cs="仿宋_GB2312"/>
          <w:color w:val="auto"/>
          <w:kern w:val="2"/>
          <w:sz w:val="32"/>
          <w:szCs w:val="32"/>
          <w:highlight w:val="none"/>
          <w:lang w:val="en-US" w:eastAsia="zh-CN" w:bidi="ar-SA"/>
        </w:rPr>
        <w:t>机关运行经费支出16.33万元，与上年度相比增加6.4万元，增长64.45%。主要原因是</w:t>
      </w:r>
      <w:bookmarkStart w:id="44" w:name="_Toc15377223"/>
      <w:r>
        <w:rPr>
          <w:rFonts w:hint="eastAsia" w:ascii="仿宋_GB2312" w:eastAsia="仿宋_GB2312" w:cs="仿宋_GB2312"/>
          <w:color w:val="auto"/>
          <w:kern w:val="2"/>
          <w:sz w:val="32"/>
          <w:szCs w:val="32"/>
          <w:highlight w:val="none"/>
          <w:lang w:val="en-US" w:eastAsia="zh-CN" w:bidi="ar-SA"/>
        </w:rPr>
        <w:t>：</w:t>
      </w:r>
      <w:r>
        <w:rPr>
          <w:rFonts w:hint="eastAsia" w:ascii="仿宋" w:hAnsi="仿宋" w:eastAsia="仿宋" w:cs="仿宋"/>
          <w:color w:val="auto"/>
          <w:sz w:val="32"/>
          <w:szCs w:val="32"/>
          <w:highlight w:val="none"/>
          <w:lang w:val="en-US" w:eastAsia="zh-CN"/>
        </w:rPr>
        <w:t>开展卫生计生事业工作业务量增加</w:t>
      </w:r>
      <w:r>
        <w:rPr>
          <w:rFonts w:hint="eastAsia" w:ascii="仿宋_GB2312" w:eastAsia="仿宋_GB2312" w:cs="仿宋_GB2312"/>
          <w:color w:val="auto"/>
          <w:kern w:val="2"/>
          <w:sz w:val="32"/>
          <w:szCs w:val="32"/>
          <w:highlight w:val="none"/>
          <w:lang w:val="en-US" w:eastAsia="zh-CN" w:bidi="ar-SA"/>
        </w:rPr>
        <w:t>。</w:t>
      </w:r>
    </w:p>
    <w:p w14:paraId="34C738AD">
      <w:pPr>
        <w:numPr>
          <w:ilvl w:val="0"/>
          <w:numId w:val="3"/>
        </w:numPr>
        <w:pBdr>
          <w:bottom w:val="single" w:color="FFFFFF" w:sz="4" w:space="29"/>
        </w:pBdr>
        <w:tabs>
          <w:tab w:val="left" w:pos="1440"/>
        </w:tabs>
        <w:spacing w:line="540" w:lineRule="exact"/>
        <w:ind w:left="0" w:firstLine="643"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政府采购支出情况</w:t>
      </w:r>
      <w:bookmarkEnd w:id="44"/>
    </w:p>
    <w:p w14:paraId="469BDA3A">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w:t>
      </w:r>
      <w:r>
        <w:rPr>
          <w:rFonts w:hint="eastAsia" w:ascii="仿宋_GB2312" w:eastAsia="仿宋_GB2312" w:cs="仿宋_GB2312"/>
          <w:sz w:val="32"/>
          <w:szCs w:val="32"/>
        </w:rPr>
        <w:t>四川省阿坝州茂县卫生健康局</w:t>
      </w:r>
      <w:r>
        <w:rPr>
          <w:rFonts w:hint="eastAsia" w:ascii="仿宋_GB2312" w:eastAsia="仿宋_GB2312" w:cs="仿宋_GB2312"/>
          <w:color w:val="auto"/>
          <w:kern w:val="2"/>
          <w:sz w:val="32"/>
          <w:szCs w:val="32"/>
          <w:highlight w:val="none"/>
          <w:lang w:val="en-US" w:eastAsia="zh-CN" w:bidi="ar-SA"/>
        </w:rPr>
        <w:t>政府采购支出总额</w:t>
      </w:r>
      <w:r>
        <w:rPr>
          <w:rFonts w:hint="eastAsia" w:ascii="仿宋_GB2312" w:eastAsia="仿宋_GB2312" w:cs="仿宋_GB2312"/>
          <w:sz w:val="32"/>
          <w:szCs w:val="32"/>
          <w:lang w:val="en-US" w:eastAsia="zh-CN"/>
        </w:rPr>
        <w:t>1887.74</w:t>
      </w:r>
      <w:r>
        <w:rPr>
          <w:rFonts w:hint="eastAsia" w:ascii="仿宋_GB2312" w:eastAsia="仿宋_GB2312" w:cs="仿宋_GB2312"/>
          <w:color w:val="auto"/>
          <w:kern w:val="2"/>
          <w:sz w:val="32"/>
          <w:szCs w:val="32"/>
          <w:highlight w:val="none"/>
          <w:lang w:val="en-US" w:eastAsia="zh-CN" w:bidi="ar-SA"/>
        </w:rPr>
        <w:t>万元，其中：政府采购货物支出</w:t>
      </w:r>
      <w:r>
        <w:rPr>
          <w:rFonts w:hint="eastAsia" w:ascii="仿宋_GB2312" w:eastAsia="仿宋_GB2312" w:cs="仿宋_GB2312"/>
          <w:sz w:val="32"/>
          <w:szCs w:val="32"/>
          <w:lang w:val="en-US" w:eastAsia="zh-CN"/>
        </w:rPr>
        <w:t>1074.26</w:t>
      </w:r>
      <w:r>
        <w:rPr>
          <w:rFonts w:hint="eastAsia" w:ascii="仿宋_GB2312" w:eastAsia="仿宋_GB2312" w:cs="仿宋_GB2312"/>
          <w:color w:val="auto"/>
          <w:kern w:val="2"/>
          <w:sz w:val="32"/>
          <w:szCs w:val="32"/>
          <w:highlight w:val="none"/>
          <w:lang w:val="en-US" w:eastAsia="zh-CN" w:bidi="ar-SA"/>
        </w:rPr>
        <w:t>万元、政府采购工程支出</w:t>
      </w:r>
      <w:r>
        <w:rPr>
          <w:rFonts w:hint="eastAsia" w:ascii="仿宋_GB2312" w:eastAsia="仿宋_GB2312" w:cs="仿宋_GB2312"/>
          <w:sz w:val="32"/>
          <w:szCs w:val="32"/>
          <w:lang w:val="en-US" w:eastAsia="zh-CN"/>
        </w:rPr>
        <w:t>238</w:t>
      </w:r>
      <w:r>
        <w:rPr>
          <w:rFonts w:hint="eastAsia" w:ascii="仿宋_GB2312" w:eastAsia="仿宋_GB2312" w:cs="仿宋_GB2312"/>
          <w:color w:val="auto"/>
          <w:kern w:val="2"/>
          <w:sz w:val="32"/>
          <w:szCs w:val="32"/>
          <w:highlight w:val="none"/>
          <w:lang w:val="en-US" w:eastAsia="zh-CN" w:bidi="ar-SA"/>
        </w:rPr>
        <w:t>万元、政府采购服务支出</w:t>
      </w:r>
      <w:r>
        <w:rPr>
          <w:rFonts w:hint="eastAsia" w:ascii="仿宋_GB2312" w:eastAsia="仿宋_GB2312" w:cs="仿宋_GB2312"/>
          <w:sz w:val="32"/>
          <w:szCs w:val="32"/>
          <w:lang w:val="en-US" w:eastAsia="zh-CN"/>
        </w:rPr>
        <w:t>575.48</w:t>
      </w:r>
      <w:r>
        <w:rPr>
          <w:rFonts w:hint="eastAsia" w:ascii="仿宋_GB2312" w:eastAsia="仿宋_GB2312" w:cs="仿宋_GB2312"/>
          <w:color w:val="auto"/>
          <w:kern w:val="2"/>
          <w:sz w:val="32"/>
          <w:szCs w:val="32"/>
          <w:highlight w:val="none"/>
          <w:lang w:val="en-US" w:eastAsia="zh-CN" w:bidi="ar-SA"/>
        </w:rPr>
        <w:t>万元。授予中小企业合同金额</w:t>
      </w:r>
      <w:r>
        <w:rPr>
          <w:rFonts w:hint="eastAsia" w:ascii="仿宋_GB2312" w:eastAsia="仿宋_GB2312" w:cs="仿宋_GB2312"/>
          <w:sz w:val="32"/>
          <w:szCs w:val="32"/>
          <w:lang w:val="en-US" w:eastAsia="zh-CN"/>
        </w:rPr>
        <w:t>0</w:t>
      </w:r>
      <w:r>
        <w:rPr>
          <w:rFonts w:hint="eastAsia" w:ascii="仿宋_GB2312"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lang w:val="en-US" w:eastAsia="zh-CN"/>
        </w:rPr>
        <w:t>0</w:t>
      </w:r>
      <w:r>
        <w:rPr>
          <w:rFonts w:hint="eastAsia" w:ascii="仿宋_GB2312" w:eastAsia="仿宋_GB2312" w:cs="仿宋_GB2312"/>
          <w:color w:val="auto"/>
          <w:kern w:val="2"/>
          <w:sz w:val="32"/>
          <w:szCs w:val="32"/>
          <w:highlight w:val="none"/>
          <w:lang w:val="en-US" w:eastAsia="zh-CN" w:bidi="ar-SA"/>
        </w:rPr>
        <w:t>%，其中：授予小微企业合同金额</w:t>
      </w:r>
      <w:r>
        <w:rPr>
          <w:rFonts w:hint="eastAsia" w:ascii="仿宋_GB2312" w:eastAsia="仿宋_GB2312" w:cs="仿宋_GB2312"/>
          <w:sz w:val="32"/>
          <w:szCs w:val="32"/>
          <w:lang w:val="en-US" w:eastAsia="zh-CN"/>
        </w:rPr>
        <w:t>0</w:t>
      </w:r>
      <w:r>
        <w:rPr>
          <w:rFonts w:hint="eastAsia" w:ascii="仿宋_GB2312"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lang w:val="en-US" w:eastAsia="zh-CN"/>
        </w:rPr>
        <w:t>0</w:t>
      </w:r>
      <w:r>
        <w:rPr>
          <w:rFonts w:hint="eastAsia" w:ascii="仿宋_GB2312" w:eastAsia="仿宋_GB2312" w:cs="仿宋_GB2312"/>
          <w:color w:val="auto"/>
          <w:kern w:val="2"/>
          <w:sz w:val="32"/>
          <w:szCs w:val="32"/>
          <w:highlight w:val="none"/>
          <w:lang w:val="en-US" w:eastAsia="zh-CN" w:bidi="ar-SA"/>
        </w:rPr>
        <w:t>%。</w:t>
      </w:r>
      <w:bookmarkStart w:id="45" w:name="_Toc15377224"/>
    </w:p>
    <w:p w14:paraId="6B4A61D9">
      <w:pPr>
        <w:numPr>
          <w:ilvl w:val="0"/>
          <w:numId w:val="3"/>
        </w:numPr>
        <w:pBdr>
          <w:bottom w:val="single" w:color="FFFFFF" w:sz="4" w:space="29"/>
        </w:pBdr>
        <w:tabs>
          <w:tab w:val="left" w:pos="1440"/>
        </w:tabs>
        <w:spacing w:line="540" w:lineRule="exact"/>
        <w:ind w:left="0" w:firstLine="643"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国有资产占有使用情况</w:t>
      </w:r>
      <w:bookmarkEnd w:id="45"/>
    </w:p>
    <w:p w14:paraId="7B800CBD">
      <w:pPr>
        <w:pBdr>
          <w:bottom w:val="single" w:color="FFFFFF" w:sz="4" w:space="29"/>
        </w:pBdr>
        <w:tabs>
          <w:tab w:val="left" w:pos="1440"/>
        </w:tabs>
        <w:spacing w:line="54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截至2025年12月31日，</w:t>
      </w:r>
      <w:r>
        <w:rPr>
          <w:rFonts w:hint="eastAsia" w:ascii="仿宋_GB2312" w:eastAsia="仿宋_GB2312" w:cs="仿宋_GB2312"/>
          <w:sz w:val="32"/>
          <w:szCs w:val="32"/>
        </w:rPr>
        <w:t>四川省阿坝州茂县卫生健康局</w:t>
      </w:r>
      <w:r>
        <w:rPr>
          <w:rFonts w:hint="eastAsia" w:ascii="仿宋_GB2312" w:eastAsia="仿宋_GB2312" w:cs="仿宋_GB2312"/>
          <w:color w:val="auto"/>
          <w:kern w:val="2"/>
          <w:sz w:val="32"/>
          <w:szCs w:val="32"/>
          <w:highlight w:val="none"/>
          <w:lang w:val="en-US" w:eastAsia="zh-CN" w:bidi="ar-SA"/>
        </w:rPr>
        <w:t>共有车辆</w:t>
      </w:r>
      <w:r>
        <w:rPr>
          <w:rFonts w:hint="eastAsia" w:ascii="仿宋_GB2312" w:eastAsia="仿宋_GB2312" w:cs="仿宋_GB2312"/>
          <w:sz w:val="32"/>
          <w:szCs w:val="32"/>
        </w:rPr>
        <w:t>41</w:t>
      </w:r>
      <w:r>
        <w:rPr>
          <w:rFonts w:hint="eastAsia" w:ascii="仿宋_GB2312" w:eastAsia="仿宋_GB2312" w:cs="仿宋_GB2312"/>
          <w:color w:val="auto"/>
          <w:kern w:val="2"/>
          <w:sz w:val="32"/>
          <w:szCs w:val="32"/>
          <w:highlight w:val="none"/>
          <w:lang w:val="en-US" w:eastAsia="zh-CN" w:bidi="ar-SA"/>
        </w:rPr>
        <w:t>辆，其中：</w:t>
      </w:r>
      <w:r>
        <w:rPr>
          <w:rFonts w:hint="default" w:ascii="Times New Roman" w:hAnsi="Times New Roman" w:eastAsia="仿宋_GB2312" w:cs="Times New Roman"/>
          <w:color w:val="auto"/>
          <w:sz w:val="32"/>
          <w:szCs w:val="32"/>
          <w:highlight w:val="none"/>
        </w:rPr>
        <w:t>主要领导干部用车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辆、机要通信用车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w:t>
      </w:r>
      <w:r>
        <w:rPr>
          <w:rFonts w:hint="eastAsia" w:ascii="Times New Roman" w:hAnsi="Times New Roman" w:eastAsia="仿宋_GB2312" w:cs="仿宋_GB2312"/>
          <w:color w:val="auto"/>
          <w:kern w:val="2"/>
          <w:sz w:val="32"/>
          <w:szCs w:val="32"/>
          <w:highlight w:val="none"/>
          <w:lang w:val="en-US" w:eastAsia="zh-CN" w:bidi="ar-SA"/>
        </w:rPr>
        <w:t>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default" w:ascii="Times New Roman" w:hAnsi="Times New Roman" w:eastAsia="仿宋_GB2312" w:cs="Times New Roman"/>
          <w:color w:val="auto"/>
          <w:sz w:val="32"/>
          <w:szCs w:val="32"/>
          <w:highlight w:val="none"/>
        </w:rPr>
        <w:t>应急保障用车</w:t>
      </w:r>
      <w:r>
        <w:rPr>
          <w:rFonts w:hint="eastAsia" w:ascii="Times New Roman" w:hAnsi="Times New Roman" w:eastAsia="仿宋_GB2312" w:cs="Times New Roman"/>
          <w:color w:val="auto"/>
          <w:sz w:val="32"/>
          <w:szCs w:val="32"/>
          <w:highlight w:val="none"/>
          <w:lang w:val="en-US" w:eastAsia="zh-CN"/>
        </w:rPr>
        <w:t>41</w:t>
      </w:r>
      <w:r>
        <w:rPr>
          <w:rFonts w:hint="default" w:ascii="Times New Roman" w:hAnsi="Times New Roman" w:eastAsia="仿宋_GB2312" w:cs="Times New Roman"/>
          <w:color w:val="auto"/>
          <w:sz w:val="32"/>
          <w:szCs w:val="32"/>
          <w:highlight w:val="none"/>
        </w:rPr>
        <w:t>辆、其他用车</w:t>
      </w:r>
      <w:r>
        <w:rPr>
          <w:rFonts w:hint="eastAsia"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w:t>
      </w:r>
      <w:r>
        <w:rPr>
          <w:rFonts w:hint="eastAsia" w:ascii="Times New Roman" w:hAnsi="Times New Roman" w:eastAsia="仿宋_GB2312" w:cs="Times New Roman"/>
          <w:color w:val="auto"/>
          <w:sz w:val="32"/>
          <w:szCs w:val="32"/>
          <w:highlight w:val="none"/>
          <w:lang w:eastAsia="zh-CN"/>
        </w:rPr>
        <w:t>。</w:t>
      </w:r>
      <w:r>
        <w:rPr>
          <w:rFonts w:hint="eastAsia" w:ascii="仿宋_GB2312" w:eastAsia="仿宋_GB2312" w:cs="仿宋_GB2312"/>
          <w:color w:val="auto"/>
          <w:kern w:val="2"/>
          <w:sz w:val="32"/>
          <w:szCs w:val="32"/>
          <w:highlight w:val="none"/>
          <w:lang w:val="en-US" w:eastAsia="zh-CN" w:bidi="ar-SA"/>
        </w:rPr>
        <w:t>单价100万元（含）以上设备（不含车辆）</w:t>
      </w:r>
      <w:r>
        <w:rPr>
          <w:rFonts w:hint="eastAsia" w:ascii="仿宋_GB2312" w:eastAsia="仿宋_GB2312" w:cs="仿宋_GB2312"/>
          <w:sz w:val="32"/>
          <w:szCs w:val="32"/>
          <w:lang w:val="en-US" w:eastAsia="zh-CN"/>
        </w:rPr>
        <w:t>21</w:t>
      </w:r>
      <w:r>
        <w:rPr>
          <w:rFonts w:hint="eastAsia" w:asci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41A61009">
      <w:pPr>
        <w:numPr>
          <w:ilvl w:val="0"/>
          <w:numId w:val="3"/>
        </w:numPr>
        <w:pBdr>
          <w:bottom w:val="single" w:color="FFFFFF" w:sz="4" w:space="29"/>
        </w:pBdr>
        <w:tabs>
          <w:tab w:val="left" w:pos="1440"/>
        </w:tabs>
        <w:spacing w:line="540" w:lineRule="exact"/>
        <w:ind w:left="0" w:firstLine="643"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预算绩效管理情况</w:t>
      </w:r>
    </w:p>
    <w:p w14:paraId="2DA46C97">
      <w:pPr>
        <w:pBdr>
          <w:bottom w:val="single" w:color="FFFFFF" w:sz="4" w:space="29"/>
        </w:pBdr>
        <w:tabs>
          <w:tab w:val="left" w:pos="1440"/>
        </w:tabs>
        <w:spacing w:line="540" w:lineRule="exact"/>
        <w:ind w:left="0" w:firstLine="640" w:firstLineChars="20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根据预算绩效管理要求，局机关及医疗卫生机构在2025年度预算编制阶段，组织对</w:t>
      </w:r>
      <w:r>
        <w:rPr>
          <w:rFonts w:hint="eastAsia" w:ascii="仿宋_GB2312" w:eastAsia="仿宋_GB2312" w:cs="仿宋_GB2312"/>
          <w:color w:val="000000"/>
          <w:sz w:val="32"/>
          <w:szCs w:val="32"/>
          <w:lang w:eastAsia="zh-CN"/>
        </w:rPr>
        <w:t>村卫生室公共运转经费、村医生生活补助、计划生育家庭奖励、县级公立医院取消药品加成县级补助资金、 严重精神病患者监护人实施以奖代补补助资金、</w:t>
      </w:r>
      <w:r>
        <w:rPr>
          <w:rFonts w:hint="eastAsia" w:ascii="仿宋_GB2312" w:eastAsia="仿宋_GB2312" w:cs="仿宋_GB2312"/>
          <w:color w:val="000000"/>
          <w:sz w:val="32"/>
          <w:szCs w:val="32"/>
          <w:lang w:val="en-US" w:eastAsia="zh-CN"/>
        </w:rPr>
        <w:t>基层医疗卫生机构实施基本药物制度补助资金、基本公共卫生服务项目</w:t>
      </w:r>
      <w:r>
        <w:rPr>
          <w:rFonts w:hint="eastAsia" w:ascii="仿宋_GB2312" w:eastAsia="仿宋_GB2312" w:cs="仿宋_GB2312"/>
          <w:color w:val="000000"/>
          <w:sz w:val="32"/>
          <w:szCs w:val="32"/>
          <w:lang w:eastAsia="zh-CN"/>
        </w:rPr>
        <w:t>等</w:t>
      </w:r>
      <w:r>
        <w:rPr>
          <w:rFonts w:hint="eastAsia" w:ascii="仿宋_GB2312" w:eastAsia="仿宋_GB2312" w:cs="仿宋_GB2312"/>
          <w:color w:val="auto"/>
          <w:kern w:val="2"/>
          <w:sz w:val="32"/>
          <w:szCs w:val="32"/>
          <w:highlight w:val="none"/>
          <w:lang w:val="en-US" w:eastAsia="zh-CN" w:bidi="ar-SA"/>
        </w:rPr>
        <w:t>7个项目开展</w:t>
      </w:r>
      <w:r>
        <w:rPr>
          <w:rFonts w:hint="default" w:ascii="Times New Roman" w:hAnsi="Times New Roman" w:eastAsia="仿宋_GB2312" w:cs="Times New Roman"/>
          <w:color w:val="auto"/>
          <w:sz w:val="32"/>
          <w:szCs w:val="32"/>
          <w:highlight w:val="none"/>
          <w:lang w:eastAsia="zh-CN"/>
        </w:rPr>
        <w:t>了预算事前绩效评估</w:t>
      </w:r>
      <w:r>
        <w:rPr>
          <w:rFonts w:hint="eastAsia" w:ascii="仿宋_GB2312"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color w:val="auto"/>
          <w:sz w:val="32"/>
          <w:szCs w:val="32"/>
          <w:highlight w:val="none"/>
          <w:lang w:eastAsia="zh-CN"/>
        </w:rPr>
        <w:t>对</w:t>
      </w: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eastAsia="zh-CN"/>
        </w:rPr>
        <w:t>个项目编制了绩效目标</w:t>
      </w:r>
      <w:r>
        <w:rPr>
          <w:rFonts w:hint="default" w:ascii="Times New Roman" w:hAnsi="Times New Roman" w:eastAsia="仿宋_GB2312" w:cs="Times New Roman"/>
          <w:color w:val="auto"/>
          <w:sz w:val="32"/>
          <w:szCs w:val="32"/>
          <w:highlight w:val="none"/>
          <w:lang w:val="en-US" w:eastAsia="zh-CN"/>
        </w:rPr>
        <w:t>。</w:t>
      </w:r>
      <w:r>
        <w:rPr>
          <w:rFonts w:hint="eastAsia" w:ascii="仿宋_GB2312" w:eastAsia="仿宋_GB2312" w:cs="仿宋_GB2312"/>
          <w:color w:val="auto"/>
          <w:kern w:val="2"/>
          <w:sz w:val="32"/>
          <w:szCs w:val="32"/>
          <w:highlight w:val="none"/>
          <w:lang w:val="en-US" w:eastAsia="zh-CN" w:bidi="ar-SA"/>
        </w:rPr>
        <w:t>预算执行过程中，选取7个项目开展绩效监控，</w:t>
      </w:r>
      <w:r>
        <w:rPr>
          <w:rFonts w:hint="default" w:ascii="Times New Roman" w:hAnsi="Times New Roman" w:eastAsia="仿宋_GB2312" w:cs="Times New Roman"/>
          <w:color w:val="auto"/>
          <w:sz w:val="32"/>
          <w:szCs w:val="32"/>
          <w:highlight w:val="none"/>
          <w:lang w:eastAsia="zh-CN"/>
        </w:rPr>
        <w:t>组织对</w:t>
      </w: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val="en-US" w:eastAsia="zh-CN"/>
        </w:rPr>
        <w:t>个项目开展绩效自评</w:t>
      </w:r>
      <w:r>
        <w:rPr>
          <w:rFonts w:hint="eastAsia" w:ascii="仿宋_GB2312" w:eastAsia="仿宋_GB2312" w:cs="仿宋_GB2312"/>
          <w:color w:val="auto"/>
          <w:kern w:val="2"/>
          <w:sz w:val="32"/>
          <w:szCs w:val="32"/>
          <w:highlight w:val="none"/>
          <w:lang w:val="en-US" w:eastAsia="zh-CN" w:bidi="ar-SA"/>
        </w:rPr>
        <w:t>。</w:t>
      </w:r>
    </w:p>
    <w:p w14:paraId="1B56DFD9">
      <w:pPr>
        <w:pBdr>
          <w:bottom w:val="single" w:color="FFFFFF" w:sz="4" w:space="29"/>
        </w:pBdr>
        <w:tabs>
          <w:tab w:val="left" w:pos="1440"/>
        </w:tabs>
        <w:spacing w:line="540" w:lineRule="exact"/>
        <w:ind w:left="0" w:firstLine="640" w:firstLineChars="200"/>
        <w:rPr>
          <w:rFonts w:hint="eastAsia" w:ascii="仿宋_GB2312" w:eastAsia="仿宋_GB2312" w:cs="仿宋_GB2312"/>
          <w:color w:val="000000"/>
          <w:sz w:val="32"/>
          <w:szCs w:val="32"/>
          <w:lang w:val="en-US" w:eastAsia="zh-CN"/>
        </w:rPr>
      </w:pPr>
      <w:r>
        <w:rPr>
          <w:rFonts w:hint="eastAsia" w:ascii="仿宋_GB2312" w:eastAsia="仿宋_GB2312" w:cs="仿宋_GB2312"/>
          <w:color w:val="auto"/>
          <w:kern w:val="2"/>
          <w:sz w:val="32"/>
          <w:szCs w:val="32"/>
          <w:highlight w:val="none"/>
          <w:lang w:val="en-US" w:eastAsia="zh-CN" w:bidi="ar-SA"/>
        </w:rPr>
        <w:t>组织对2025年度一般公共预算全面开展绩效自评，</w:t>
      </w:r>
      <w:r>
        <w:rPr>
          <w:rFonts w:hint="eastAsia" w:ascii="仿宋_GB2312" w:eastAsia="仿宋_GB2312" w:cs="仿宋_GB2312"/>
          <w:color w:val="000000"/>
          <w:sz w:val="32"/>
          <w:szCs w:val="32"/>
          <w:lang w:val="en-US" w:eastAsia="zh-CN"/>
        </w:rPr>
        <w:t>形成茂县卫生健康局部门整体绩效自评报告，项目分别是</w:t>
      </w:r>
      <w:r>
        <w:rPr>
          <w:rFonts w:hint="eastAsia" w:ascii="仿宋_GB2312" w:eastAsia="仿宋_GB2312" w:cs="仿宋_GB2312"/>
          <w:color w:val="000000"/>
          <w:sz w:val="32"/>
          <w:szCs w:val="32"/>
          <w:lang w:eastAsia="zh-CN"/>
        </w:rPr>
        <w:t>村卫生室公共运转经费、村医生生活补助、计划生育家庭奖励、县级公立医院取消药品加成县级补助资金、 严重精神病患者监护人实施以奖代补补助资金、</w:t>
      </w:r>
      <w:r>
        <w:rPr>
          <w:rFonts w:hint="eastAsia" w:ascii="仿宋_GB2312" w:eastAsia="仿宋_GB2312" w:cs="仿宋_GB2312"/>
          <w:color w:val="000000"/>
          <w:sz w:val="32"/>
          <w:szCs w:val="32"/>
          <w:lang w:val="en-US" w:eastAsia="zh-CN"/>
        </w:rPr>
        <w:t>基层医疗卫生机构实施基本药物制度补助资金、基本公共卫生服务项目</w:t>
      </w:r>
      <w:r>
        <w:rPr>
          <w:rFonts w:hint="eastAsia" w:ascii="仿宋_GB2312" w:eastAsia="仿宋_GB2312" w:cs="仿宋_GB2312"/>
          <w:color w:val="auto"/>
          <w:kern w:val="2"/>
          <w:sz w:val="32"/>
          <w:szCs w:val="32"/>
          <w:highlight w:val="none"/>
          <w:lang w:val="en-US" w:eastAsia="zh-CN" w:bidi="ar-SA"/>
        </w:rPr>
        <w:t>等专项预算项目绩效自评报告，其中，</w:t>
      </w:r>
      <w:r>
        <w:rPr>
          <w:rFonts w:hint="eastAsia" w:ascii="仿宋_GB2312" w:eastAsia="仿宋_GB2312" w:cs="仿宋_GB2312"/>
          <w:color w:val="000000"/>
          <w:sz w:val="32"/>
          <w:szCs w:val="32"/>
          <w:lang w:val="en-US" w:eastAsia="zh-CN"/>
        </w:rPr>
        <w:t>茂县卫生健康局部门</w:t>
      </w:r>
      <w:r>
        <w:rPr>
          <w:rFonts w:hint="eastAsia" w:ascii="仿宋_GB2312" w:eastAsia="仿宋_GB2312" w:cs="仿宋_GB2312"/>
          <w:color w:val="auto"/>
          <w:kern w:val="2"/>
          <w:sz w:val="32"/>
          <w:szCs w:val="32"/>
          <w:highlight w:val="none"/>
          <w:lang w:val="en-US" w:eastAsia="zh-CN" w:bidi="ar-SA"/>
        </w:rPr>
        <w:t>整体绩效自评得分为85分，</w:t>
      </w:r>
      <w:r>
        <w:rPr>
          <w:rFonts w:hint="eastAsia" w:ascii="仿宋_GB2312" w:eastAsia="仿宋_GB2312" w:cs="仿宋_GB2312"/>
          <w:color w:val="000000"/>
          <w:sz w:val="32"/>
          <w:szCs w:val="32"/>
          <w:lang w:eastAsia="zh-CN"/>
        </w:rPr>
        <w:t>基本公共卫生服务项目</w:t>
      </w:r>
      <w:r>
        <w:rPr>
          <w:rFonts w:hint="eastAsia" w:ascii="仿宋_GB2312" w:eastAsia="仿宋_GB2312" w:cs="仿宋_GB2312"/>
          <w:color w:val="000000"/>
          <w:sz w:val="32"/>
          <w:szCs w:val="32"/>
          <w:lang w:val="en-US" w:eastAsia="zh-CN"/>
        </w:rPr>
        <w:t>绩效自评得分为87分，基层医疗卫生机构实施基本药物补助资金项目绩效自评得分85分，计划生育服务项目绩效自评得分79分，村医生生活补助项目绩效自评得分84分，严重精神病患者家属以奖代补项目绩效自评得分83分，县级公立医院取消药品加成项目绩效自评得分86分，绩效自评综述为</w:t>
      </w:r>
      <w:r>
        <w:rPr>
          <w:rFonts w:hint="eastAsia" w:ascii="仿宋_GB2312" w:eastAsia="仿宋_GB2312" w:cs="仿宋_GB2312"/>
          <w:sz w:val="32"/>
          <w:szCs w:val="32"/>
        </w:rPr>
        <w:t>项目支出保障了重点工作的开展，绩效目标得到较好实现，绩效管理水平不断提高，绩效指标体系逐渐丰富和完善</w:t>
      </w:r>
      <w:r>
        <w:rPr>
          <w:rFonts w:hint="eastAsia" w:ascii="仿宋_GB2312" w:eastAsia="仿宋_GB2312" w:cs="仿宋_GB2312"/>
          <w:color w:val="000000"/>
          <w:sz w:val="32"/>
          <w:szCs w:val="32"/>
          <w:lang w:val="en-US" w:eastAsia="zh-CN"/>
        </w:rPr>
        <w:t>。</w:t>
      </w:r>
      <w:r>
        <w:rPr>
          <w:rFonts w:hint="default" w:ascii="Times New Roman" w:hAnsi="Times New Roman" w:eastAsia="仿宋_GB2312" w:cs="Times New Roman"/>
          <w:color w:val="auto"/>
          <w:sz w:val="32"/>
          <w:szCs w:val="32"/>
          <w:highlight w:val="none"/>
          <w:lang w:val="en-US" w:eastAsia="zh-CN"/>
        </w:rPr>
        <w:t>绩效自评表详见第四部分附件。</w:t>
      </w:r>
    </w:p>
    <w:p w14:paraId="40368CFC">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4EF36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0C81B6F">
      <w:pPr>
        <w:pStyle w:val="2"/>
        <w:rPr>
          <w:rFonts w:hint="eastAsia" w:ascii="Times New Roman" w:hAnsi="Times New Roman" w:eastAsia="仿宋_GB2312" w:cs="仿宋_GB2312"/>
          <w:color w:val="auto"/>
          <w:kern w:val="2"/>
          <w:sz w:val="32"/>
          <w:szCs w:val="32"/>
          <w:highlight w:val="none"/>
          <w:lang w:val="en-US" w:eastAsia="zh-CN" w:bidi="ar-SA"/>
        </w:rPr>
      </w:pPr>
    </w:p>
    <w:p w14:paraId="0BDB5A4E">
      <w:pPr>
        <w:rPr>
          <w:rFonts w:hint="eastAsia" w:ascii="Times New Roman" w:hAnsi="Times New Roman" w:eastAsia="仿宋_GB2312" w:cs="仿宋_GB2312"/>
          <w:color w:val="auto"/>
          <w:kern w:val="2"/>
          <w:sz w:val="32"/>
          <w:szCs w:val="32"/>
          <w:highlight w:val="none"/>
          <w:lang w:val="en-US" w:eastAsia="zh-CN" w:bidi="ar-SA"/>
        </w:rPr>
      </w:pPr>
    </w:p>
    <w:p w14:paraId="3D80A67C">
      <w:pPr>
        <w:pStyle w:val="2"/>
        <w:rPr>
          <w:rFonts w:hint="eastAsia" w:ascii="Times New Roman" w:hAnsi="Times New Roman" w:eastAsia="仿宋_GB2312" w:cs="仿宋_GB2312"/>
          <w:color w:val="auto"/>
          <w:kern w:val="2"/>
          <w:sz w:val="32"/>
          <w:szCs w:val="32"/>
          <w:highlight w:val="none"/>
          <w:lang w:val="en-US" w:eastAsia="zh-CN" w:bidi="ar-SA"/>
        </w:rPr>
      </w:pPr>
    </w:p>
    <w:p w14:paraId="65DDA7CA">
      <w:pPr>
        <w:rPr>
          <w:rFonts w:hint="eastAsia" w:ascii="Times New Roman" w:hAnsi="Times New Roman" w:eastAsia="仿宋_GB2312" w:cs="仿宋_GB2312"/>
          <w:color w:val="auto"/>
          <w:kern w:val="2"/>
          <w:sz w:val="32"/>
          <w:szCs w:val="32"/>
          <w:highlight w:val="none"/>
          <w:lang w:val="en-US" w:eastAsia="zh-CN" w:bidi="ar-SA"/>
        </w:rPr>
      </w:pPr>
    </w:p>
    <w:p w14:paraId="2EA9B3A7">
      <w:pPr>
        <w:pStyle w:val="2"/>
        <w:rPr>
          <w:rFonts w:hint="eastAsia" w:ascii="Times New Roman" w:hAnsi="Times New Roman" w:eastAsia="仿宋_GB2312" w:cs="仿宋_GB2312"/>
          <w:color w:val="auto"/>
          <w:kern w:val="2"/>
          <w:sz w:val="32"/>
          <w:szCs w:val="32"/>
          <w:highlight w:val="none"/>
          <w:lang w:val="en-US" w:eastAsia="zh-CN" w:bidi="ar-SA"/>
        </w:rPr>
      </w:pPr>
    </w:p>
    <w:p w14:paraId="22358260">
      <w:pPr>
        <w:rPr>
          <w:rFonts w:hint="eastAsia" w:ascii="Times New Roman" w:hAnsi="Times New Roman" w:eastAsia="仿宋_GB2312" w:cs="仿宋_GB2312"/>
          <w:color w:val="auto"/>
          <w:kern w:val="2"/>
          <w:sz w:val="32"/>
          <w:szCs w:val="32"/>
          <w:highlight w:val="none"/>
          <w:lang w:val="en-US" w:eastAsia="zh-CN" w:bidi="ar-SA"/>
        </w:rPr>
      </w:pPr>
    </w:p>
    <w:p w14:paraId="1F607F2A">
      <w:pPr>
        <w:pStyle w:val="2"/>
        <w:rPr>
          <w:rFonts w:hint="eastAsia"/>
          <w:lang w:val="en-US" w:eastAsia="zh-CN"/>
        </w:rPr>
      </w:pPr>
    </w:p>
    <w:p w14:paraId="4EE8BCBD">
      <w:pPr>
        <w:rPr>
          <w:rFonts w:hint="eastAsia" w:ascii="Times New Roman" w:hAnsi="Times New Roman" w:eastAsia="仿宋_GB2312" w:cs="仿宋_GB2312"/>
          <w:color w:val="auto"/>
          <w:kern w:val="2"/>
          <w:sz w:val="32"/>
          <w:szCs w:val="32"/>
          <w:highlight w:val="none"/>
          <w:lang w:val="en-US" w:eastAsia="zh-CN" w:bidi="ar-SA"/>
        </w:rPr>
      </w:pPr>
    </w:p>
    <w:p w14:paraId="135B49D3">
      <w:pPr>
        <w:rPr>
          <w:rFonts w:hint="eastAsia"/>
          <w:lang w:val="en-US" w:eastAsia="zh-CN"/>
        </w:rPr>
      </w:pPr>
    </w:p>
    <w:p w14:paraId="250C6165">
      <w:pPr>
        <w:spacing w:line="600" w:lineRule="exact"/>
        <w:jc w:val="left"/>
        <w:rPr>
          <w:rFonts w:ascii="Times New Roman" w:hAnsi="Times New Roman"/>
          <w:b/>
          <w:color w:val="auto"/>
          <w:sz w:val="44"/>
          <w:szCs w:val="44"/>
          <w:highlight w:val="none"/>
        </w:rPr>
      </w:pPr>
    </w:p>
    <w:p w14:paraId="02D49553">
      <w:pPr>
        <w:pStyle w:val="2"/>
        <w:rPr>
          <w:rFonts w:ascii="Times New Roman" w:hAnsi="Times New Roman"/>
          <w:b/>
          <w:color w:val="auto"/>
          <w:sz w:val="44"/>
          <w:szCs w:val="44"/>
          <w:highlight w:val="none"/>
        </w:rPr>
      </w:pPr>
    </w:p>
    <w:p w14:paraId="0C6EC12C">
      <w:pPr>
        <w:pStyle w:val="2"/>
      </w:pPr>
    </w:p>
    <w:p w14:paraId="5EF92BA1"/>
    <w:p w14:paraId="0AD62084">
      <w:pPr>
        <w:pStyle w:val="2"/>
      </w:pPr>
    </w:p>
    <w:p w14:paraId="762A655B"/>
    <w:p w14:paraId="73BFBEBA"/>
    <w:p w14:paraId="437739B2">
      <w:pPr>
        <w:pageBreakBefore w:val="0"/>
        <w:widowControl w:val="0"/>
        <w:numPr>
          <w:ilvl w:val="0"/>
          <w:numId w:val="4"/>
        </w:numPr>
        <w:kinsoku/>
        <w:wordWrap/>
        <w:overflowPunct/>
        <w:topLinePunct w:val="0"/>
        <w:bidi w:val="0"/>
        <w:spacing w:line="576" w:lineRule="exact"/>
        <w:ind w:left="0" w:firstLine="660" w:firstLineChars="150"/>
        <w:jc w:val="center"/>
        <w:textAlignment w:val="auto"/>
        <w:outlineLvl w:val="0"/>
        <w:rPr>
          <w:rFonts w:hint="eastAsia" w:ascii="黑体" w:eastAsia="黑体" w:cs="黑体"/>
          <w:sz w:val="44"/>
          <w:szCs w:val="44"/>
        </w:rPr>
      </w:pPr>
      <w:bookmarkStart w:id="46" w:name="_Toc9876"/>
      <w:bookmarkStart w:id="47" w:name="_Toc27367"/>
      <w:bookmarkStart w:id="48" w:name="_Toc26817"/>
      <w:bookmarkStart w:id="49" w:name="_Toc15377226"/>
      <w:r>
        <w:rPr>
          <w:rFonts w:hint="eastAsia" w:ascii="黑体" w:eastAsia="黑体" w:cs="黑体"/>
          <w:color w:val="000000"/>
          <w:sz w:val="44"/>
          <w:szCs w:val="44"/>
        </w:rPr>
        <w:t>名词解释</w:t>
      </w:r>
      <w:bookmarkEnd w:id="46"/>
      <w:bookmarkEnd w:id="47"/>
      <w:bookmarkEnd w:id="48"/>
    </w:p>
    <w:p w14:paraId="4C6F8463">
      <w:pPr>
        <w:pStyle w:val="2"/>
        <w:rPr>
          <w:rFonts w:hint="eastAsia"/>
        </w:rPr>
      </w:pPr>
    </w:p>
    <w:p w14:paraId="2815F71A">
      <w:pPr>
        <w:pStyle w:val="28"/>
        <w:spacing w:line="560" w:lineRule="exact"/>
        <w:ind w:firstLine="640" w:firstLineChars="200"/>
        <w:outlineLvl w:val="1"/>
        <w:rPr>
          <w:rFonts w:ascii="仿宋_GB2312" w:eastAsia="仿宋_GB2312"/>
          <w:sz w:val="32"/>
          <w:szCs w:val="32"/>
        </w:rPr>
      </w:pPr>
      <w:bookmarkStart w:id="50" w:name="_Toc19274"/>
      <w:bookmarkStart w:id="51" w:name="_Toc3289"/>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bookmarkEnd w:id="50"/>
      <w:bookmarkEnd w:id="51"/>
    </w:p>
    <w:p w14:paraId="17C7B0D7">
      <w:pPr>
        <w:pStyle w:val="28"/>
        <w:spacing w:line="560" w:lineRule="exact"/>
        <w:ind w:firstLine="640" w:firstLineChars="200"/>
        <w:rPr>
          <w:rFonts w:hint="eastAsia" w:ascii="仿宋_GB2312" w:eastAsia="仿宋_GB2312"/>
          <w:sz w:val="32"/>
          <w:szCs w:val="32"/>
          <w:lang w:eastAsia="zh-CN"/>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w:t>
      </w:r>
      <w:r>
        <w:rPr>
          <w:rFonts w:hint="eastAsia" w:ascii="仿宋_GB2312" w:eastAsia="仿宋_GB2312"/>
          <w:sz w:val="32"/>
          <w:szCs w:val="32"/>
          <w:lang w:eastAsia="zh-CN"/>
        </w:rPr>
        <w:t>茂县人民医院、茂县中医医院、茂县凤仪镇社区卫生服务中心、茂县赤不苏镇卫生院、茂县沙坝镇卫生院、茂县叠溪镇卫生院、茂县富顺镇卫生院、茂县土门镇卫生院等。</w:t>
      </w:r>
    </w:p>
    <w:p w14:paraId="0A1506C8">
      <w:pPr>
        <w:spacing w:line="576"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3.其他收入：指除上述“财政拨款收入”、“事业收入”、“经营收入”等以外的收入</w:t>
      </w:r>
      <w:r>
        <w:rPr>
          <w:rFonts w:hint="eastAsia" w:ascii="仿宋_GB2312" w:eastAsia="仿宋_GB2312"/>
          <w:sz w:val="32"/>
          <w:szCs w:val="32"/>
          <w:lang w:eastAsia="zh-CN"/>
        </w:rPr>
        <w:t>。</w:t>
      </w:r>
    </w:p>
    <w:p w14:paraId="75AAE586">
      <w:pPr>
        <w:pStyle w:val="28"/>
        <w:pageBreakBefore w:val="0"/>
        <w:widowControl w:val="0"/>
        <w:kinsoku/>
        <w:wordWrap/>
        <w:overflowPunct/>
        <w:topLinePunct w:val="0"/>
        <w:autoSpaceDE w:val="0"/>
        <w:autoSpaceDN w:val="0"/>
        <w:bidi w:val="0"/>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4</w:t>
      </w:r>
      <w:r>
        <w:rPr>
          <w:rFonts w:ascii="仿宋_GB2312" w:eastAsia="仿宋_GB2312"/>
          <w:sz w:val="32"/>
          <w:szCs w:val="32"/>
        </w:rPr>
        <w:t>.使用非财政拨款结余：指事业单位使用以前年度积累的非财政拨款结余弥补当年收支差额的金额。</w:t>
      </w:r>
    </w:p>
    <w:p w14:paraId="00C70163">
      <w:pPr>
        <w:pStyle w:val="28"/>
        <w:pageBreakBefore w:val="0"/>
        <w:widowControl w:val="0"/>
        <w:kinsoku/>
        <w:wordWrap/>
        <w:overflowPunct/>
        <w:topLinePunct w:val="0"/>
        <w:autoSpaceDE w:val="0"/>
        <w:autoSpaceDN w:val="0"/>
        <w:bidi w:val="0"/>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5</w:t>
      </w:r>
      <w:r>
        <w:rPr>
          <w:rFonts w:ascii="仿宋_GB2312" w:eastAsia="仿宋_GB2312"/>
          <w:sz w:val="32"/>
          <w:szCs w:val="32"/>
        </w:rPr>
        <w:t>.年初结转和结余：指以前年度尚未完成、结转到本年按有关规定继续使用的资金。</w:t>
      </w:r>
    </w:p>
    <w:p w14:paraId="7DDDD9F7">
      <w:pPr>
        <w:pStyle w:val="28"/>
        <w:pageBreakBefore w:val="0"/>
        <w:widowControl w:val="0"/>
        <w:kinsoku/>
        <w:wordWrap/>
        <w:overflowPunct/>
        <w:topLinePunct w:val="0"/>
        <w:autoSpaceDE w:val="0"/>
        <w:autoSpaceDN w:val="0"/>
        <w:bidi w:val="0"/>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6</w:t>
      </w:r>
      <w:r>
        <w:rPr>
          <w:rFonts w:ascii="仿宋_GB2312" w:eastAsia="仿宋_GB2312"/>
          <w:sz w:val="32"/>
          <w:szCs w:val="32"/>
        </w:rPr>
        <w:t>.结余分配：指事业单位按照会计制度规定缴纳的所得税、提取的专用结余以及转入非财政拨款结余的金额等。</w:t>
      </w:r>
    </w:p>
    <w:p w14:paraId="00CC0B50">
      <w:pPr>
        <w:pStyle w:val="28"/>
        <w:pageBreakBefore w:val="0"/>
        <w:widowControl w:val="0"/>
        <w:kinsoku/>
        <w:wordWrap/>
        <w:overflowPunct/>
        <w:topLinePunct w:val="0"/>
        <w:autoSpaceDE w:val="0"/>
        <w:autoSpaceDN w:val="0"/>
        <w:bidi w:val="0"/>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7</w:t>
      </w:r>
      <w:r>
        <w:rPr>
          <w:rFonts w:ascii="仿宋_GB2312" w:eastAsia="仿宋_GB2312"/>
          <w:sz w:val="32"/>
          <w:szCs w:val="32"/>
        </w:rPr>
        <w:t>、年末结转和结余：指单位按有关规定结转到下年或以后年度继续使用的资金。</w:t>
      </w:r>
    </w:p>
    <w:p w14:paraId="4A1BDA29">
      <w:pPr>
        <w:pStyle w:val="28"/>
        <w:pageBreakBefore w:val="0"/>
        <w:widowControl w:val="0"/>
        <w:kinsoku/>
        <w:wordWrap/>
        <w:overflowPunct/>
        <w:topLinePunct w:val="0"/>
        <w:autoSpaceDE w:val="0"/>
        <w:autoSpaceDN w:val="0"/>
        <w:bidi w:val="0"/>
        <w:spacing w:line="576"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8.</w:t>
      </w:r>
      <w:r>
        <w:rPr>
          <w:rFonts w:hint="eastAsia" w:ascii="仿宋_GB2312" w:eastAsia="仿宋_GB2312"/>
          <w:sz w:val="32"/>
          <w:szCs w:val="32"/>
          <w:lang w:eastAsia="zh-CN"/>
        </w:rPr>
        <w:t>社会保障和就业支出：社会保障和就业支出（类</w:t>
      </w:r>
      <w:r>
        <w:rPr>
          <w:rFonts w:hint="eastAsia" w:ascii="仿宋_GB2312" w:eastAsia="仿宋_GB2312"/>
          <w:sz w:val="32"/>
          <w:szCs w:val="32"/>
          <w:lang w:val="en-US" w:eastAsia="zh-CN"/>
        </w:rPr>
        <w:t>）</w:t>
      </w:r>
      <w:r>
        <w:rPr>
          <w:rFonts w:hint="eastAsia" w:ascii="仿宋_GB2312" w:eastAsia="仿宋_GB2312"/>
          <w:sz w:val="32"/>
          <w:szCs w:val="32"/>
          <w:lang w:eastAsia="zh-CN"/>
        </w:rPr>
        <w:t>行政事业单位养老支出（</w:t>
      </w:r>
      <w:r>
        <w:rPr>
          <w:rFonts w:hint="eastAsia" w:ascii="仿宋_GB2312" w:eastAsia="仿宋_GB2312"/>
          <w:sz w:val="32"/>
          <w:szCs w:val="32"/>
          <w:lang w:val="en-US" w:eastAsia="zh-CN"/>
        </w:rPr>
        <w:t>款）</w:t>
      </w:r>
      <w:r>
        <w:rPr>
          <w:rFonts w:hint="eastAsia" w:ascii="仿宋_GB2312" w:eastAsia="仿宋_GB2312"/>
          <w:sz w:val="32"/>
          <w:szCs w:val="32"/>
          <w:lang w:eastAsia="zh-CN"/>
        </w:rPr>
        <w:t>机关事业单位基本养老保险缴费支出（项）反映机关事业单位实施养老保险制度由单位缴纳的基本养老保险费支出。</w:t>
      </w:r>
    </w:p>
    <w:p w14:paraId="3C91A036">
      <w:pPr>
        <w:pStyle w:val="28"/>
        <w:pageBreakBefore w:val="0"/>
        <w:widowControl w:val="0"/>
        <w:kinsoku/>
        <w:wordWrap/>
        <w:overflowPunct/>
        <w:topLinePunct w:val="0"/>
        <w:autoSpaceDE w:val="0"/>
        <w:autoSpaceDN w:val="0"/>
        <w:bidi w:val="0"/>
        <w:spacing w:line="576"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9.</w:t>
      </w:r>
      <w:r>
        <w:rPr>
          <w:rFonts w:hint="eastAsia" w:ascii="仿宋_GB2312" w:eastAsia="仿宋_GB2312"/>
          <w:sz w:val="32"/>
          <w:szCs w:val="32"/>
          <w:lang w:eastAsia="zh-CN"/>
        </w:rPr>
        <w:t>社会保障和就业支出：社会保障和就业支出（</w:t>
      </w:r>
      <w:r>
        <w:rPr>
          <w:rFonts w:hint="eastAsia" w:ascii="仿宋_GB2312" w:eastAsia="仿宋_GB2312"/>
          <w:sz w:val="32"/>
          <w:szCs w:val="32"/>
          <w:lang w:val="en-US" w:eastAsia="zh-CN"/>
        </w:rPr>
        <w:t>类）</w:t>
      </w:r>
      <w:r>
        <w:rPr>
          <w:rFonts w:hint="eastAsia" w:ascii="仿宋_GB2312" w:eastAsia="仿宋_GB2312"/>
          <w:sz w:val="32"/>
          <w:szCs w:val="32"/>
          <w:lang w:eastAsia="zh-CN"/>
        </w:rPr>
        <w:t>行政事业单位养老支出（</w:t>
      </w:r>
      <w:r>
        <w:rPr>
          <w:rFonts w:hint="eastAsia" w:ascii="仿宋_GB2312" w:eastAsia="仿宋_GB2312"/>
          <w:sz w:val="32"/>
          <w:szCs w:val="32"/>
          <w:lang w:val="en-US" w:eastAsia="zh-CN"/>
        </w:rPr>
        <w:t>款）</w:t>
      </w:r>
      <w:r>
        <w:rPr>
          <w:rFonts w:hint="eastAsia" w:ascii="仿宋_GB2312" w:eastAsia="仿宋_GB2312"/>
          <w:sz w:val="32"/>
          <w:szCs w:val="32"/>
          <w:lang w:eastAsia="zh-CN"/>
        </w:rPr>
        <w:t>机关事业单位职业年金缴费支出（</w:t>
      </w:r>
      <w:r>
        <w:rPr>
          <w:rFonts w:hint="eastAsia" w:ascii="仿宋_GB2312" w:eastAsia="仿宋_GB2312"/>
          <w:sz w:val="32"/>
          <w:szCs w:val="32"/>
          <w:lang w:val="en-US" w:eastAsia="zh-CN"/>
        </w:rPr>
        <w:t>项）</w:t>
      </w:r>
      <w:r>
        <w:rPr>
          <w:rFonts w:hint="eastAsia" w:ascii="仿宋_GB2312" w:eastAsia="仿宋_GB2312"/>
          <w:sz w:val="32"/>
          <w:szCs w:val="32"/>
          <w:lang w:eastAsia="zh-CN"/>
        </w:rPr>
        <w:t>反映机关事业单位实施养老保险制度由单位缴纳的职业年金支出。。</w:t>
      </w:r>
    </w:p>
    <w:p w14:paraId="1C28DF98">
      <w:pPr>
        <w:pStyle w:val="28"/>
        <w:pageBreakBefore w:val="0"/>
        <w:widowControl w:val="0"/>
        <w:kinsoku/>
        <w:wordWrap/>
        <w:overflowPunct/>
        <w:topLinePunct w:val="0"/>
        <w:autoSpaceDE w:val="0"/>
        <w:autoSpaceDN w:val="0"/>
        <w:bidi w:val="0"/>
        <w:spacing w:line="576"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10.</w:t>
      </w:r>
      <w:r>
        <w:rPr>
          <w:rFonts w:hint="eastAsia" w:ascii="仿宋_GB2312" w:eastAsia="仿宋_GB2312"/>
          <w:sz w:val="32"/>
          <w:szCs w:val="32"/>
          <w:lang w:eastAsia="zh-CN"/>
        </w:rPr>
        <w:t>卫生健康支出：卫生健康支出（</w:t>
      </w:r>
      <w:r>
        <w:rPr>
          <w:rFonts w:hint="eastAsia" w:ascii="仿宋_GB2312" w:eastAsia="仿宋_GB2312"/>
          <w:sz w:val="32"/>
          <w:szCs w:val="32"/>
          <w:lang w:val="en-US" w:eastAsia="zh-CN"/>
        </w:rPr>
        <w:t>类）</w:t>
      </w:r>
      <w:r>
        <w:rPr>
          <w:rFonts w:hint="eastAsia" w:ascii="仿宋_GB2312" w:eastAsia="仿宋_GB2312"/>
          <w:sz w:val="32"/>
          <w:szCs w:val="32"/>
          <w:lang w:eastAsia="zh-CN"/>
        </w:rPr>
        <w:t>行政事业单位医疗（</w:t>
      </w:r>
      <w:r>
        <w:rPr>
          <w:rFonts w:hint="eastAsia" w:ascii="仿宋_GB2312" w:eastAsia="仿宋_GB2312"/>
          <w:sz w:val="32"/>
          <w:szCs w:val="32"/>
          <w:lang w:val="en-US" w:eastAsia="zh-CN"/>
        </w:rPr>
        <w:t>款）</w:t>
      </w:r>
      <w:r>
        <w:rPr>
          <w:rFonts w:hint="eastAsia" w:ascii="仿宋_GB2312" w:eastAsia="仿宋_GB2312"/>
          <w:sz w:val="32"/>
          <w:szCs w:val="32"/>
          <w:lang w:eastAsia="zh-CN"/>
        </w:rPr>
        <w:t>行政单位医疗（</w:t>
      </w:r>
      <w:r>
        <w:rPr>
          <w:rFonts w:hint="eastAsia" w:ascii="仿宋_GB2312" w:eastAsia="仿宋_GB2312"/>
          <w:sz w:val="32"/>
          <w:szCs w:val="32"/>
          <w:lang w:val="en-US" w:eastAsia="zh-CN"/>
        </w:rPr>
        <w:t>项</w:t>
      </w:r>
      <w:r>
        <w:rPr>
          <w:rFonts w:hint="eastAsia" w:ascii="仿宋_GB2312" w:eastAsia="仿宋_GB2312"/>
          <w:sz w:val="32"/>
          <w:szCs w:val="32"/>
          <w:lang w:eastAsia="zh-CN"/>
        </w:rPr>
        <w:t>）反映财政部门安排的行政单位基本医疗保险缴纳经费。</w:t>
      </w:r>
    </w:p>
    <w:p w14:paraId="622F7CAC">
      <w:pPr>
        <w:pStyle w:val="28"/>
        <w:pageBreakBefore w:val="0"/>
        <w:widowControl w:val="0"/>
        <w:kinsoku/>
        <w:wordWrap/>
        <w:overflowPunct/>
        <w:topLinePunct w:val="0"/>
        <w:autoSpaceDE w:val="0"/>
        <w:autoSpaceDN w:val="0"/>
        <w:bidi w:val="0"/>
        <w:spacing w:line="576"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11.</w:t>
      </w:r>
      <w:r>
        <w:rPr>
          <w:rFonts w:hint="eastAsia" w:ascii="仿宋_GB2312" w:eastAsia="仿宋_GB2312"/>
          <w:sz w:val="32"/>
          <w:szCs w:val="32"/>
          <w:lang w:eastAsia="zh-CN"/>
        </w:rPr>
        <w:t>卫生健康支出：卫生健康支出（</w:t>
      </w:r>
      <w:r>
        <w:rPr>
          <w:rFonts w:hint="eastAsia" w:ascii="仿宋_GB2312" w:eastAsia="仿宋_GB2312"/>
          <w:sz w:val="32"/>
          <w:szCs w:val="32"/>
          <w:lang w:val="en-US" w:eastAsia="zh-CN"/>
        </w:rPr>
        <w:t>类）</w:t>
      </w:r>
      <w:r>
        <w:rPr>
          <w:rFonts w:hint="eastAsia" w:ascii="仿宋_GB2312" w:eastAsia="仿宋_GB2312"/>
          <w:sz w:val="32"/>
          <w:szCs w:val="32"/>
          <w:lang w:eastAsia="zh-CN"/>
        </w:rPr>
        <w:t>反映政府卫生健康方面的支出。</w:t>
      </w:r>
    </w:p>
    <w:p w14:paraId="5B6407AD">
      <w:pPr>
        <w:pStyle w:val="28"/>
        <w:pageBreakBefore w:val="0"/>
        <w:widowControl w:val="0"/>
        <w:kinsoku/>
        <w:wordWrap/>
        <w:overflowPunct/>
        <w:topLinePunct w:val="0"/>
        <w:autoSpaceDE w:val="0"/>
        <w:autoSpaceDN w:val="0"/>
        <w:bidi w:val="0"/>
        <w:spacing w:line="576"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12.</w:t>
      </w:r>
      <w:r>
        <w:rPr>
          <w:rFonts w:hint="eastAsia" w:ascii="仿宋_GB2312" w:eastAsia="仿宋_GB2312"/>
          <w:sz w:val="32"/>
          <w:szCs w:val="32"/>
          <w:lang w:eastAsia="zh-CN"/>
        </w:rPr>
        <w:t>住房保障支出：住房保障支出</w:t>
      </w:r>
      <w:r>
        <w:rPr>
          <w:rFonts w:hint="eastAsia" w:ascii="仿宋_GB2312" w:eastAsia="仿宋_GB2312"/>
          <w:sz w:val="32"/>
          <w:szCs w:val="32"/>
          <w:lang w:val="en-US" w:eastAsia="zh-CN"/>
        </w:rPr>
        <w:t>(类)</w:t>
      </w:r>
      <w:r>
        <w:rPr>
          <w:rFonts w:hint="eastAsia" w:ascii="仿宋_GB2312" w:eastAsia="仿宋_GB2312"/>
          <w:sz w:val="32"/>
          <w:szCs w:val="32"/>
          <w:lang w:eastAsia="zh-CN"/>
        </w:rPr>
        <w:t>住房改革支出</w:t>
      </w:r>
      <w:r>
        <w:rPr>
          <w:rFonts w:hint="eastAsia" w:ascii="仿宋_GB2312" w:eastAsia="仿宋_GB2312"/>
          <w:sz w:val="32"/>
          <w:szCs w:val="32"/>
          <w:lang w:val="en-US" w:eastAsia="zh-CN"/>
        </w:rPr>
        <w:t>(款)</w:t>
      </w:r>
      <w:r>
        <w:rPr>
          <w:rFonts w:hint="eastAsia" w:ascii="仿宋_GB2312" w:eastAsia="仿宋_GB2312"/>
          <w:sz w:val="32"/>
          <w:szCs w:val="32"/>
          <w:lang w:eastAsia="zh-CN"/>
        </w:rPr>
        <w:t>住房公积金（项</w:t>
      </w:r>
      <w:r>
        <w:rPr>
          <w:rFonts w:hint="eastAsia" w:ascii="仿宋_GB2312" w:eastAsia="仿宋_GB2312"/>
          <w:sz w:val="32"/>
          <w:szCs w:val="32"/>
          <w:lang w:val="en-US" w:eastAsia="zh-CN"/>
        </w:rPr>
        <w:t>)</w:t>
      </w:r>
      <w:r>
        <w:rPr>
          <w:rFonts w:hint="eastAsia" w:ascii="仿宋_GB2312" w:eastAsia="仿宋_GB2312"/>
          <w:sz w:val="32"/>
          <w:szCs w:val="32"/>
          <w:lang w:eastAsia="zh-CN"/>
        </w:rPr>
        <w:t>反映行政事业单位按人力资源和社会保障部、财政部规定的基本工资和津贴补贴以及规定比例为职工缴纳的住房公积金。</w:t>
      </w:r>
    </w:p>
    <w:p w14:paraId="5339F8EB">
      <w:pPr>
        <w:pageBreakBefore w:val="0"/>
        <w:widowControl w:val="0"/>
        <w:kinsoku/>
        <w:wordWrap/>
        <w:overflowPunct/>
        <w:topLinePunct w:val="0"/>
        <w:bidi w:val="0"/>
        <w:spacing w:line="576" w:lineRule="exact"/>
        <w:ind w:firstLine="640" w:firstLineChars="200"/>
        <w:textAlignment w:val="auto"/>
        <w:rPr>
          <w:rFonts w:ascii="仿宋_GB2312" w:eastAsia="仿宋_GB2312" w:cs="Times New Roman"/>
          <w:color w:val="000000"/>
          <w:sz w:val="32"/>
          <w:szCs w:val="32"/>
        </w:rPr>
      </w:pPr>
      <w:r>
        <w:rPr>
          <w:rFonts w:hint="eastAsia" w:ascii="仿宋_GB2312" w:eastAsia="仿宋_GB2312" w:cs="Times New Roman"/>
          <w:color w:val="000000"/>
          <w:sz w:val="32"/>
          <w:szCs w:val="32"/>
          <w:lang w:val="en-US" w:eastAsia="zh-CN"/>
        </w:rPr>
        <w:t>13</w:t>
      </w:r>
      <w:r>
        <w:rPr>
          <w:rFonts w:ascii="仿宋_GB2312" w:eastAsia="仿宋_GB2312" w:cs="Times New Roman"/>
          <w:color w:val="000000"/>
          <w:sz w:val="32"/>
          <w:szCs w:val="32"/>
        </w:rPr>
        <w:t>.基本支出：指为保障机构正常运转、完成日常工作任务而发生的人员支出和公用支出。</w:t>
      </w:r>
    </w:p>
    <w:p w14:paraId="5873E5D7">
      <w:pPr>
        <w:pageBreakBefore w:val="0"/>
        <w:widowControl w:val="0"/>
        <w:kinsoku/>
        <w:wordWrap/>
        <w:overflowPunct/>
        <w:topLinePunct w:val="0"/>
        <w:bidi w:val="0"/>
        <w:spacing w:line="576" w:lineRule="exact"/>
        <w:ind w:firstLine="640" w:firstLineChars="200"/>
        <w:textAlignment w:val="auto"/>
        <w:rPr>
          <w:rFonts w:ascii="仿宋_GB2312" w:eastAsia="仿宋_GB2312" w:cs="Times New Roman"/>
          <w:color w:val="000000"/>
          <w:sz w:val="32"/>
          <w:szCs w:val="32"/>
        </w:rPr>
      </w:pPr>
      <w:r>
        <w:rPr>
          <w:rFonts w:hint="eastAsia" w:ascii="仿宋_GB2312" w:eastAsia="仿宋_GB2312" w:cs="Times New Roman"/>
          <w:color w:val="000000"/>
          <w:sz w:val="32"/>
          <w:szCs w:val="32"/>
          <w:lang w:val="en-US" w:eastAsia="zh-CN"/>
        </w:rPr>
        <w:t>14</w:t>
      </w:r>
      <w:r>
        <w:rPr>
          <w:rFonts w:ascii="仿宋_GB2312" w:eastAsia="仿宋_GB2312" w:cs="Times New Roman"/>
          <w:color w:val="000000"/>
          <w:sz w:val="32"/>
          <w:szCs w:val="32"/>
        </w:rPr>
        <w:t>.项目支出：指在基本支出之外为完成特定行政任务和事业发展目标所发生的支出。</w:t>
      </w:r>
    </w:p>
    <w:p w14:paraId="35C9F106">
      <w:pPr>
        <w:pageBreakBefore w:val="0"/>
        <w:widowControl w:val="0"/>
        <w:kinsoku/>
        <w:wordWrap/>
        <w:overflowPunct/>
        <w:topLinePunct w:val="0"/>
        <w:bidi w:val="0"/>
        <w:spacing w:line="576" w:lineRule="exact"/>
        <w:ind w:firstLine="640" w:firstLineChars="200"/>
        <w:textAlignment w:val="auto"/>
        <w:rPr>
          <w:rFonts w:ascii="仿宋_GB2312" w:eastAsia="仿宋_GB2312" w:cs="Times New Roman"/>
          <w:color w:val="000000"/>
          <w:sz w:val="32"/>
          <w:szCs w:val="32"/>
        </w:rPr>
      </w:pPr>
      <w:r>
        <w:rPr>
          <w:rFonts w:hint="eastAsia" w:ascii="仿宋_GB2312" w:eastAsia="仿宋_GB2312" w:cs="Times New Roman"/>
          <w:color w:val="000000"/>
          <w:sz w:val="32"/>
          <w:szCs w:val="32"/>
          <w:lang w:val="en-US" w:eastAsia="zh-CN"/>
        </w:rPr>
        <w:t>15</w:t>
      </w:r>
      <w:r>
        <w:rPr>
          <w:rFonts w:ascii="仿宋_GB2312" w:eastAsia="仿宋_GB2312" w:cs="Times New Roman"/>
          <w:color w:val="000000"/>
          <w:sz w:val="32"/>
          <w:szCs w:val="32"/>
        </w:rPr>
        <w:t>.经营支出：指事业单位在专业业务活动及其辅助活动之外开展非独立核算经营活动发生的支出。</w:t>
      </w:r>
    </w:p>
    <w:p w14:paraId="4C2F7E30">
      <w:pPr>
        <w:pageBreakBefore w:val="0"/>
        <w:widowControl w:val="0"/>
        <w:kinsoku/>
        <w:wordWrap/>
        <w:overflowPunct/>
        <w:topLinePunct w:val="0"/>
        <w:bidi w:val="0"/>
        <w:spacing w:line="576" w:lineRule="exact"/>
        <w:ind w:firstLine="640" w:firstLineChars="200"/>
        <w:textAlignment w:val="auto"/>
        <w:rPr>
          <w:rFonts w:ascii="仿宋_GB2312" w:eastAsia="仿宋_GB2312" w:cs="Times New Roman"/>
          <w:color w:val="000000"/>
          <w:sz w:val="32"/>
          <w:szCs w:val="32"/>
        </w:rPr>
      </w:pPr>
      <w:r>
        <w:rPr>
          <w:rFonts w:hint="eastAsia" w:ascii="仿宋_GB2312" w:eastAsia="仿宋_GB2312" w:cs="Times New Roman"/>
          <w:color w:val="000000"/>
          <w:sz w:val="32"/>
          <w:szCs w:val="32"/>
          <w:lang w:val="en-US" w:eastAsia="zh-CN"/>
        </w:rPr>
        <w:t>16</w:t>
      </w:r>
      <w:r>
        <w:rPr>
          <w:rFonts w:ascii="仿宋_GB2312" w:eastAsia="仿宋_GB2312" w:cs="Times New Roman"/>
          <w:color w:val="000000"/>
          <w:sz w:val="32"/>
          <w:szCs w:val="32"/>
        </w:rPr>
        <w:t>.“三公”经费：指部门用财政拨款安排的因公出国（境）费、公务用车购置及运行费和公务接待费。其中，因公出国（境）费反映单位公务出国（境） 的国际旅费、国外城市间交通费、住宿费、伙食费、培训费、公杂费等支出；公务用车购置及运行费反映单位公务用车车辆购置支出（含车辆购置税）及租用费、燃 料费、维修费、过路过桥费、保险费等支出；公务接待费反映单位按规定开支的各类公务接待（含外宾接待）支出。</w:t>
      </w:r>
    </w:p>
    <w:p w14:paraId="6AFB2D74">
      <w:pPr>
        <w:pageBreakBefore w:val="0"/>
        <w:widowControl w:val="0"/>
        <w:kinsoku/>
        <w:wordWrap/>
        <w:overflowPunct/>
        <w:topLinePunct w:val="0"/>
        <w:bidi w:val="0"/>
        <w:spacing w:line="576" w:lineRule="exact"/>
        <w:ind w:firstLine="640" w:firstLineChars="200"/>
        <w:textAlignment w:val="auto"/>
      </w:pPr>
      <w:r>
        <w:rPr>
          <w:rFonts w:hint="eastAsia" w:ascii="仿宋_GB2312" w:eastAsia="仿宋_GB2312" w:cs="Times New Roman"/>
          <w:color w:val="000000"/>
          <w:sz w:val="32"/>
          <w:szCs w:val="32"/>
          <w:lang w:val="en-US" w:eastAsia="zh-CN"/>
        </w:rPr>
        <w:t>17</w:t>
      </w:r>
      <w:r>
        <w:rPr>
          <w:rFonts w:ascii="仿宋_GB2312" w:eastAsia="仿宋_GB2312" w:cs="Times New Roman"/>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t> </w:t>
      </w:r>
    </w:p>
    <w:p w14:paraId="3A576E22">
      <w:pPr>
        <w:spacing w:line="600" w:lineRule="exact"/>
        <w:jc w:val="center"/>
        <w:rPr>
          <w:rFonts w:hint="eastAsia" w:ascii="Times New Roman" w:hAnsi="Times New Roman" w:eastAsia="黑体" w:cs="黑体"/>
          <w:color w:val="FF0000"/>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1DDBCDD4">
      <w:pPr>
        <w:widowControl/>
        <w:spacing w:line="578" w:lineRule="exact"/>
        <w:contextualSpacing/>
        <w:jc w:val="both"/>
        <w:rPr>
          <w:rFonts w:hint="eastAsia" w:ascii="Times New Roman" w:hAnsi="Times New Roman" w:eastAsia="黑体" w:cs="黑体"/>
          <w:b/>
          <w:bCs/>
          <w:color w:val="auto"/>
          <w:sz w:val="32"/>
          <w:szCs w:val="32"/>
          <w:highlight w:val="none"/>
          <w:lang w:val="en-US" w:eastAsia="zh-CN"/>
        </w:rPr>
      </w:pPr>
      <w:r>
        <w:rPr>
          <w:rFonts w:hint="eastAsia" w:ascii="Times New Roman" w:hAnsi="Times New Roman" w:eastAsia="黑体" w:cs="黑体"/>
          <w:b/>
          <w:bCs/>
          <w:color w:val="auto"/>
          <w:sz w:val="32"/>
          <w:szCs w:val="32"/>
          <w:highlight w:val="none"/>
        </w:rPr>
        <w:t>附件</w:t>
      </w:r>
      <w:r>
        <w:rPr>
          <w:rFonts w:hint="eastAsia" w:ascii="Times New Roman" w:hAnsi="Times New Roman" w:eastAsia="黑体" w:cs="黑体"/>
          <w:b/>
          <w:bCs/>
          <w:color w:val="auto"/>
          <w:sz w:val="32"/>
          <w:szCs w:val="32"/>
          <w:highlight w:val="none"/>
          <w:lang w:val="en-US" w:eastAsia="zh-CN"/>
        </w:rPr>
        <w:t>1</w:t>
      </w:r>
    </w:p>
    <w:p w14:paraId="4EB0B9D5">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lang w:eastAsia="zh-CN"/>
        </w:rPr>
        <w:t>部门</w:t>
      </w:r>
      <w:r>
        <w:rPr>
          <w:rFonts w:eastAsia="方正小标宋简体"/>
          <w:bCs/>
          <w:sz w:val="44"/>
          <w:szCs w:val="44"/>
          <w:shd w:val="clear" w:color="auto" w:fill="FFFFFF"/>
        </w:rPr>
        <w:t>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14:paraId="6ED709A8">
      <w:pPr>
        <w:widowControl/>
        <w:spacing w:line="578" w:lineRule="exact"/>
        <w:contextualSpacing/>
        <w:jc w:val="center"/>
        <w:rPr>
          <w:rFonts w:hint="eastAsia" w:ascii="仿宋_GB2312" w:hAnsi="仿宋_GB2312" w:eastAsia="仿宋_GB2312" w:cs="仿宋_GB2312"/>
          <w:szCs w:val="32"/>
          <w:shd w:val="clear" w:color="auto" w:fill="FFFFFF"/>
        </w:rPr>
      </w:pPr>
      <w:r>
        <w:rPr>
          <w:rFonts w:hint="eastAsia" w:ascii="仿宋_GB2312" w:hAnsi="仿宋_GB2312" w:eastAsia="仿宋_GB2312" w:cs="仿宋_GB2312"/>
          <w:sz w:val="32"/>
          <w:szCs w:val="32"/>
          <w:shd w:val="clear" w:color="auto" w:fill="FFFFFF"/>
        </w:rPr>
        <w:t>（报告范围包括机关和下属单位）</w:t>
      </w:r>
    </w:p>
    <w:p w14:paraId="57D13736">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2814279E">
      <w:pPr>
        <w:widowControl/>
        <w:adjustRightInd w:val="0"/>
        <w:snapToGrid w:val="0"/>
        <w:spacing w:line="578" w:lineRule="exact"/>
        <w:ind w:firstLine="640" w:firstLineChars="200"/>
        <w:contextualSpacing/>
        <w:jc w:val="left"/>
        <w:rPr>
          <w:sz w:val="32"/>
          <w:szCs w:val="32"/>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39AB339E">
      <w:pPr>
        <w:spacing w:line="576" w:lineRule="exact"/>
        <w:ind w:firstLine="643" w:firstLineChars="200"/>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w:t>
      </w:r>
      <w:r>
        <w:rPr>
          <w:rFonts w:eastAsia="楷体_GB2312"/>
          <w:b/>
          <w:bCs/>
          <w:color w:val="000000"/>
          <w:kern w:val="0"/>
          <w:sz w:val="32"/>
          <w:szCs w:val="32"/>
          <w:shd w:val="clear" w:color="auto" w:fill="FFFFFF"/>
          <w:lang w:val="zh-CN"/>
        </w:rPr>
        <w:t>机构组成</w:t>
      </w:r>
    </w:p>
    <w:p w14:paraId="0BD7869D">
      <w:pPr>
        <w:spacing w:line="576" w:lineRule="exact"/>
        <w:ind w:firstLine="640" w:firstLineChars="200"/>
        <w:rPr>
          <w:rFonts w:hint="eastAsia" w:ascii="仿宋_GB2312" w:hAnsi="仿宋_GB2312" w:eastAsia="仿宋_GB2312" w:cs="仿宋_GB2312"/>
          <w:color w:val="000000"/>
          <w:kern w:val="0"/>
          <w:sz w:val="32"/>
          <w:szCs w:val="32"/>
          <w:lang w:val="zh-CN" w:eastAsia="zh-CN"/>
        </w:rPr>
      </w:pPr>
      <w:r>
        <w:rPr>
          <w:rFonts w:hint="eastAsia" w:ascii="仿宋_GB2312" w:hAnsi="仿宋_GB2312" w:eastAsia="仿宋_GB2312" w:cs="仿宋_GB2312"/>
          <w:sz w:val="32"/>
          <w:szCs w:val="32"/>
        </w:rPr>
        <w:t>根据《中共茂县县委办公室</w:t>
      </w:r>
      <w:r>
        <w:rPr>
          <w:rFonts w:hint="default"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茂县人民政府办公室关于印发&lt;茂县人民政府职能转变和机构改革方案&gt;的通知》</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茂委办﹝2014﹞111号</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文件要求，将卫生局、县人口和计划生育局的计划生育管理和服务职责整合，组建县卫生和计划生育局,2019年根据《茂县机构改革方案》将县卫生和计划生育局组建县卫生健康局。</w:t>
      </w:r>
      <w:r>
        <w:rPr>
          <w:rFonts w:hint="eastAsia" w:ascii="仿宋_GB2312" w:hAnsi="仿宋_GB2312" w:eastAsia="仿宋_GB2312" w:cs="仿宋_GB2312"/>
          <w:sz w:val="32"/>
          <w:szCs w:val="32"/>
          <w:lang w:eastAsia="zh-CN"/>
        </w:rPr>
        <w:t>卫健局有</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个行政单位，下属</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个事业单位，医疗卫生机构</w:t>
      </w:r>
      <w:r>
        <w:rPr>
          <w:rFonts w:hint="eastAsia" w:ascii="仿宋_GB2312" w:hAnsi="仿宋_GB2312" w:eastAsia="仿宋_GB2312" w:cs="仿宋_GB2312"/>
          <w:sz w:val="32"/>
          <w:szCs w:val="32"/>
          <w:lang w:val="en-US" w:eastAsia="zh-CN"/>
        </w:rPr>
        <w:t>13个。</w:t>
      </w:r>
    </w:p>
    <w:p w14:paraId="43B018F7">
      <w:pPr>
        <w:widowControl/>
        <w:adjustRightInd w:val="0"/>
        <w:snapToGrid w:val="0"/>
        <w:spacing w:line="578" w:lineRule="exact"/>
        <w:ind w:firstLine="643" w:firstLineChars="200"/>
        <w:contextualSpacing/>
        <w:jc w:val="left"/>
        <w:rPr>
          <w:rFonts w:hint="eastAsia"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（二）机构职能</w:t>
      </w:r>
    </w:p>
    <w:p w14:paraId="5A95A7CC">
      <w:pPr>
        <w:spacing w:line="576"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1.贯彻落实</w:t>
      </w:r>
      <w:r>
        <w:rPr>
          <w:rFonts w:hint="eastAsia" w:ascii="仿宋_GB2312" w:hAnsi="仿宋_GB2312" w:eastAsia="仿宋_GB2312" w:cs="仿宋_GB2312"/>
          <w:b w:val="0"/>
          <w:bCs/>
          <w:sz w:val="32"/>
          <w:szCs w:val="32"/>
          <w:shd w:val="clear" w:color="auto" w:fill="FFFFFF"/>
        </w:rPr>
        <w:t>卫生健康、中羌医药发展的政策。</w:t>
      </w:r>
      <w:r>
        <w:rPr>
          <w:rFonts w:hint="eastAsia" w:ascii="仿宋_GB2312" w:hAnsi="仿宋_GB2312" w:eastAsia="仿宋_GB2312" w:cs="仿宋_GB2312"/>
          <w:b w:val="0"/>
          <w:bCs/>
          <w:sz w:val="32"/>
          <w:szCs w:val="32"/>
        </w:rPr>
        <w:t>统筹规划全县</w:t>
      </w:r>
      <w:r>
        <w:rPr>
          <w:rFonts w:hint="eastAsia" w:ascii="仿宋_GB2312" w:hAnsi="仿宋_GB2312" w:eastAsia="仿宋_GB2312" w:cs="仿宋_GB2312"/>
          <w:b w:val="0"/>
          <w:bCs/>
          <w:sz w:val="32"/>
          <w:szCs w:val="32"/>
          <w:shd w:val="clear" w:color="auto" w:fill="FFFFFF"/>
        </w:rPr>
        <w:t>卫生健康、中羌医服务资源配置。</w:t>
      </w:r>
      <w:r>
        <w:rPr>
          <w:rFonts w:hint="eastAsia" w:ascii="仿宋_GB2312" w:hAnsi="仿宋_GB2312" w:eastAsia="仿宋_GB2312" w:cs="仿宋_GB2312"/>
          <w:b w:val="0"/>
          <w:bCs/>
          <w:sz w:val="32"/>
          <w:szCs w:val="32"/>
        </w:rPr>
        <w:t>拟订中羌医药中长期发展规划，并纳入卫生健康事业发展总体规划和战略目标。制定并组织实施推进卫生健康基本公共服务均等化、普惠化、便捷化和公共资源向基层延伸等政策措施。</w:t>
      </w:r>
    </w:p>
    <w:p w14:paraId="32055ACF">
      <w:pPr>
        <w:spacing w:line="576"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shd w:val="clear" w:color="auto" w:fill="FFFFFF"/>
        </w:rPr>
        <w:t>2.牵头推进</w:t>
      </w:r>
      <w:r>
        <w:rPr>
          <w:rFonts w:hint="eastAsia" w:ascii="仿宋_GB2312" w:hAnsi="仿宋_GB2312" w:eastAsia="仿宋_GB2312" w:cs="仿宋_GB2312"/>
          <w:b w:val="0"/>
          <w:bCs/>
          <w:sz w:val="32"/>
          <w:szCs w:val="32"/>
        </w:rPr>
        <w:t>全县</w:t>
      </w:r>
      <w:r>
        <w:rPr>
          <w:rFonts w:hint="eastAsia" w:ascii="仿宋_GB2312" w:hAnsi="仿宋_GB2312" w:eastAsia="仿宋_GB2312" w:cs="仿宋_GB2312"/>
          <w:b w:val="0"/>
          <w:bCs/>
          <w:sz w:val="32"/>
          <w:szCs w:val="32"/>
          <w:shd w:val="clear" w:color="auto" w:fill="FFFFFF"/>
        </w:rPr>
        <w:t>深化医药卫生体制改革。研究提出深化改革重大政策、措施的建议。牵头负责</w:t>
      </w:r>
      <w:r>
        <w:rPr>
          <w:rFonts w:hint="eastAsia" w:ascii="仿宋_GB2312" w:hAnsi="仿宋_GB2312" w:eastAsia="仿宋_GB2312" w:cs="仿宋_GB2312"/>
          <w:b w:val="0"/>
          <w:bCs/>
          <w:sz w:val="32"/>
          <w:szCs w:val="32"/>
        </w:rPr>
        <w:t>全县</w:t>
      </w:r>
      <w:r>
        <w:rPr>
          <w:rFonts w:hint="eastAsia" w:ascii="仿宋_GB2312" w:hAnsi="仿宋_GB2312" w:eastAsia="仿宋_GB2312" w:cs="仿宋_GB2312"/>
          <w:b w:val="0"/>
          <w:bCs/>
          <w:sz w:val="32"/>
          <w:szCs w:val="32"/>
          <w:shd w:val="clear" w:color="auto" w:fill="FFFFFF"/>
        </w:rPr>
        <w:t>分级诊疗、现代医院管理、全民医保、药品供应保障、综合监管5项基本医疗卫生制度建设。贯彻落实推动卫生健康公共服务提供主体多元化、提供方式多样化的各项政策措施。</w:t>
      </w:r>
      <w:r>
        <w:rPr>
          <w:rFonts w:hint="eastAsia" w:ascii="仿宋_GB2312" w:hAnsi="仿宋_GB2312" w:eastAsia="仿宋_GB2312" w:cs="仿宋_GB2312"/>
          <w:b w:val="0"/>
          <w:bCs/>
          <w:sz w:val="32"/>
          <w:szCs w:val="32"/>
        </w:rPr>
        <w:t>负责建立公益性导向的绩效考核和评价运行机制，推进和谐医患关系建设，提出医疗服务价格政策的建议。</w:t>
      </w:r>
    </w:p>
    <w:p w14:paraId="011784C7">
      <w:pPr>
        <w:spacing w:line="54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3.</w:t>
      </w:r>
      <w:r>
        <w:rPr>
          <w:rFonts w:hint="eastAsia" w:ascii="仿宋_GB2312" w:hAnsi="仿宋_GB2312" w:eastAsia="仿宋_GB2312" w:cs="仿宋_GB2312"/>
          <w:b w:val="0"/>
          <w:bCs/>
          <w:sz w:val="32"/>
          <w:szCs w:val="32"/>
          <w:shd w:val="clear" w:color="auto" w:fill="FFFFFF"/>
        </w:rPr>
        <w:t>负责拟订落实</w:t>
      </w:r>
      <w:r>
        <w:rPr>
          <w:rFonts w:hint="eastAsia" w:ascii="仿宋_GB2312" w:hAnsi="仿宋_GB2312" w:eastAsia="仿宋_GB2312" w:cs="仿宋_GB2312"/>
          <w:b w:val="0"/>
          <w:bCs/>
          <w:sz w:val="32"/>
          <w:szCs w:val="32"/>
        </w:rPr>
        <w:t>全县</w:t>
      </w:r>
      <w:r>
        <w:rPr>
          <w:rFonts w:hint="eastAsia" w:ascii="仿宋_GB2312" w:hAnsi="仿宋_GB2312" w:eastAsia="仿宋_GB2312" w:cs="仿宋_GB2312"/>
          <w:b w:val="0"/>
          <w:bCs/>
          <w:sz w:val="32"/>
          <w:szCs w:val="32"/>
          <w:shd w:val="clear" w:color="auto" w:fill="FFFFFF"/>
        </w:rPr>
        <w:t>疾病预防控制规划、免疫规划以及严重危害人民健康的</w:t>
      </w:r>
      <w:r>
        <w:rPr>
          <w:rFonts w:hint="eastAsia" w:ascii="仿宋_GB2312" w:hAnsi="仿宋_GB2312" w:eastAsia="仿宋_GB2312" w:cs="仿宋_GB2312"/>
          <w:b w:val="0"/>
          <w:bCs/>
          <w:sz w:val="32"/>
          <w:szCs w:val="32"/>
        </w:rPr>
        <w:t>艾滋病等重大传染病、地方病等公共卫生问题的干预措施。</w:t>
      </w:r>
      <w:r>
        <w:rPr>
          <w:rFonts w:hint="eastAsia" w:ascii="仿宋_GB2312" w:hAnsi="仿宋_GB2312" w:eastAsia="仿宋_GB2312" w:cs="仿宋_GB2312"/>
          <w:b w:val="0"/>
          <w:bCs/>
          <w:sz w:val="32"/>
          <w:szCs w:val="32"/>
          <w:shd w:val="clear" w:color="auto" w:fill="FFFFFF"/>
        </w:rPr>
        <w:t>负责</w:t>
      </w:r>
      <w:r>
        <w:rPr>
          <w:rFonts w:hint="eastAsia" w:ascii="仿宋_GB2312" w:hAnsi="仿宋_GB2312" w:eastAsia="仿宋_GB2312" w:cs="仿宋_GB2312"/>
          <w:b w:val="0"/>
          <w:bCs/>
          <w:sz w:val="32"/>
          <w:szCs w:val="32"/>
        </w:rPr>
        <w:t>全县</w:t>
      </w:r>
      <w:r>
        <w:rPr>
          <w:rFonts w:hint="eastAsia" w:ascii="仿宋_GB2312" w:hAnsi="仿宋_GB2312" w:eastAsia="仿宋_GB2312" w:cs="仿宋_GB2312"/>
          <w:b w:val="0"/>
          <w:bCs/>
          <w:sz w:val="32"/>
          <w:szCs w:val="32"/>
          <w:shd w:val="clear" w:color="auto" w:fill="FFFFFF"/>
        </w:rPr>
        <w:t>卫生应急工作，负责全县突发公共卫生事件预防控制和各类突发公共事件的医疗卫生救援，报告传染病疫情信息、突发公共卫生事件应急处置信息。</w:t>
      </w:r>
    </w:p>
    <w:p w14:paraId="1274D0A9">
      <w:pPr>
        <w:spacing w:line="54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4.贯彻落实国家和省、州应对人口老龄化政策措施。负责推进老年健康服务体系建设和医养结合工作。承担县老龄工作委员会日常工作。</w:t>
      </w:r>
    </w:p>
    <w:p w14:paraId="61A13F89">
      <w:pPr>
        <w:spacing w:line="54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5.贯彻落实国家药物政策和国家基本药物制度。开展药械使用监测、临床综合评价和短缺药品预警，组织执行国家药典和国家基本药物目录，监管全县基本药物采购、配送、使用政策的实施。负责药品和医疗器械集中采购管理及实施。按照国家、省、州相关要求会同有关部门制定、实施食品安全风险监测计划。依法开展食品安全企业标准备案。</w:t>
      </w:r>
    </w:p>
    <w:p w14:paraId="4F0A4DB2">
      <w:pPr>
        <w:spacing w:line="54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6.负责职责范围内的职业卫生、放射卫生、环境卫生、学校卫生、公共场所卫生、饮用水卫生等公共卫生的监督管理。负责传染病防治监督，健全卫生健康综合监管体系。</w:t>
      </w:r>
    </w:p>
    <w:p w14:paraId="7B3DFF30">
      <w:pPr>
        <w:spacing w:line="54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7.监督实施全县医疗机构、医疗服务行业管理办法，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53B5A570">
      <w:pPr>
        <w:spacing w:line="54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8.研究提出人口与家庭发展相关政策建议。</w:t>
      </w:r>
    </w:p>
    <w:p w14:paraId="095C29D4">
      <w:pPr>
        <w:spacing w:line="540" w:lineRule="exact"/>
        <w:ind w:firstLine="640" w:firstLineChars="200"/>
        <w:rPr>
          <w:rFonts w:hint="eastAsia" w:ascii="仿宋_GB2312" w:hAnsi="仿宋_GB2312" w:eastAsia="仿宋_GB2312" w:cs="仿宋_GB2312"/>
          <w:b w:val="0"/>
          <w:bCs/>
          <w:spacing w:val="4"/>
          <w:sz w:val="32"/>
          <w:szCs w:val="32"/>
        </w:rPr>
      </w:pPr>
      <w:r>
        <w:rPr>
          <w:rFonts w:hint="eastAsia" w:ascii="仿宋_GB2312" w:hAnsi="仿宋_GB2312" w:eastAsia="仿宋_GB2312" w:cs="仿宋_GB2312"/>
          <w:b w:val="0"/>
          <w:bCs/>
          <w:sz w:val="32"/>
          <w:szCs w:val="32"/>
        </w:rPr>
        <w:t>9.</w:t>
      </w:r>
      <w:r>
        <w:rPr>
          <w:rFonts w:hint="eastAsia" w:ascii="仿宋_GB2312" w:hAnsi="仿宋_GB2312" w:eastAsia="仿宋_GB2312" w:cs="仿宋_GB2312"/>
          <w:b w:val="0"/>
          <w:bCs/>
          <w:spacing w:val="4"/>
          <w:sz w:val="32"/>
          <w:szCs w:val="32"/>
        </w:rPr>
        <w:t>负责全县卫生健康工作。负责基层医疗卫生、妇幼健康服务体系和基层卫生队伍建设。推进卫生健康科技创新发展。</w:t>
      </w:r>
    </w:p>
    <w:p w14:paraId="479C1BF8">
      <w:pPr>
        <w:spacing w:line="54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10.</w:t>
      </w:r>
      <w:r>
        <w:rPr>
          <w:rFonts w:hint="eastAsia" w:ascii="仿宋_GB2312" w:hAnsi="仿宋_GB2312" w:eastAsia="仿宋_GB2312" w:cs="仿宋_GB2312"/>
          <w:b w:val="0"/>
          <w:bCs/>
          <w:sz w:val="32"/>
          <w:szCs w:val="32"/>
          <w:shd w:val="clear" w:color="auto" w:fill="FFFFFF"/>
        </w:rPr>
        <w:t>贯彻落实干部医疗保健政策措施，</w:t>
      </w:r>
      <w:r>
        <w:rPr>
          <w:rFonts w:hint="eastAsia" w:ascii="仿宋_GB2312" w:hAnsi="仿宋_GB2312" w:eastAsia="仿宋_GB2312" w:cs="仿宋_GB2312"/>
          <w:b w:val="0"/>
          <w:bCs/>
          <w:sz w:val="32"/>
          <w:szCs w:val="32"/>
        </w:rPr>
        <w:t>负责县级保健对象的医疗保健工作。负责县级部门有关干部医疗服务工作。负责重要会议与重大活动的医疗卫生保障工作。</w:t>
      </w:r>
    </w:p>
    <w:p w14:paraId="5D5E4A7D">
      <w:pPr>
        <w:spacing w:line="54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11.管理县医学会、县计生协会及羌医药分会，并指导业务工作。</w:t>
      </w:r>
    </w:p>
    <w:p w14:paraId="404990AC">
      <w:pPr>
        <w:spacing w:line="54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12.依法依规履行卫生健康行业安全生产监管职责。负责职责范围内的生态环境保护、审批服务便民化等工作。负责全县职业病防治工作。负责本系统内公共机构节能工作。</w:t>
      </w:r>
    </w:p>
    <w:p w14:paraId="578B071E">
      <w:pPr>
        <w:spacing w:line="540" w:lineRule="exact"/>
        <w:ind w:firstLine="640" w:firstLineChars="200"/>
        <w:rPr>
          <w:rFonts w:hint="eastAsia" w:ascii="仿宋_GB2312" w:hAnsi="仿宋_GB2312" w:eastAsia="仿宋_GB2312" w:cs="仿宋_GB2312"/>
          <w:b w:val="0"/>
          <w:bCs/>
          <w:sz w:val="32"/>
          <w:szCs w:val="32"/>
          <w:lang w:val="zh-CN"/>
        </w:rPr>
      </w:pPr>
      <w:r>
        <w:rPr>
          <w:rFonts w:hint="eastAsia" w:ascii="仿宋_GB2312" w:hAnsi="仿宋_GB2312" w:eastAsia="仿宋_GB2312" w:cs="仿宋_GB2312"/>
          <w:b w:val="0"/>
          <w:bCs/>
          <w:sz w:val="32"/>
          <w:szCs w:val="32"/>
        </w:rPr>
        <w:t>13.完成县委、县政府交办的其他任务</w:t>
      </w:r>
    </w:p>
    <w:p w14:paraId="519F66EF">
      <w:pPr>
        <w:pageBreakBefore w:val="0"/>
        <w:kinsoku/>
        <w:wordWrap/>
        <w:overflowPunct/>
        <w:topLinePunct w:val="0"/>
        <w:bidi w:val="0"/>
        <w:spacing w:line="576" w:lineRule="exact"/>
        <w:ind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（三）人员概况</w:t>
      </w:r>
    </w:p>
    <w:p w14:paraId="647F6B70">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年末，</w:t>
      </w:r>
      <w:r>
        <w:rPr>
          <w:rFonts w:hint="eastAsia" w:ascii="仿宋_GB2312" w:hAnsi="仿宋_GB2312" w:eastAsia="仿宋_GB2312" w:cs="仿宋_GB2312"/>
          <w:color w:val="auto"/>
          <w:sz w:val="32"/>
          <w:szCs w:val="32"/>
          <w:lang w:eastAsia="zh-CN"/>
        </w:rPr>
        <w:t>卫健局</w:t>
      </w:r>
      <w:r>
        <w:rPr>
          <w:rFonts w:hint="eastAsia" w:ascii="仿宋_GB2312" w:hAnsi="仿宋_GB2312" w:eastAsia="仿宋_GB2312" w:cs="仿宋_GB2312"/>
          <w:color w:val="auto"/>
          <w:sz w:val="32"/>
          <w:szCs w:val="32"/>
        </w:rPr>
        <w:t>及下属</w:t>
      </w:r>
      <w:r>
        <w:rPr>
          <w:rFonts w:hint="eastAsia" w:ascii="仿宋_GB2312" w:hAnsi="仿宋_GB2312" w:eastAsia="仿宋_GB2312" w:cs="仿宋_GB2312"/>
          <w:color w:val="auto"/>
          <w:sz w:val="32"/>
          <w:szCs w:val="32"/>
          <w:lang w:eastAsia="zh-CN"/>
        </w:rPr>
        <w:t>医疗卫生机构</w:t>
      </w:r>
      <w:r>
        <w:rPr>
          <w:rFonts w:hint="eastAsia" w:ascii="仿宋_GB2312" w:hAnsi="仿宋_GB2312" w:eastAsia="仿宋_GB2312" w:cs="仿宋_GB2312"/>
          <w:color w:val="auto"/>
          <w:sz w:val="32"/>
          <w:szCs w:val="32"/>
        </w:rPr>
        <w:t>年末实有人数</w:t>
      </w:r>
      <w:r>
        <w:rPr>
          <w:rFonts w:hint="eastAsia" w:ascii="仿宋_GB2312" w:hAnsi="仿宋_GB2312" w:eastAsia="仿宋_GB2312" w:cs="仿宋_GB2312"/>
          <w:color w:val="auto"/>
          <w:sz w:val="32"/>
          <w:szCs w:val="32"/>
          <w:lang w:val="en-US" w:eastAsia="zh-CN"/>
        </w:rPr>
        <w:t>638人</w:t>
      </w:r>
      <w:r>
        <w:rPr>
          <w:rFonts w:hint="eastAsia" w:ascii="仿宋_GB2312" w:hAnsi="仿宋_GB2312" w:eastAsia="仿宋_GB2312" w:cs="仿宋_GB2312"/>
          <w:color w:val="auto"/>
          <w:sz w:val="32"/>
          <w:szCs w:val="32"/>
        </w:rPr>
        <w:t>。</w:t>
      </w:r>
    </w:p>
    <w:p w14:paraId="54A59F7A">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黑体" w:cs="Times New Roman"/>
          <w:color w:val="000000"/>
          <w:kern w:val="0"/>
          <w:sz w:val="32"/>
          <w:szCs w:val="32"/>
          <w:highlight w:val="none"/>
          <w:shd w:val="clear" w:color="auto" w:fill="FFFFFF"/>
          <w:lang w:val="zh-CN" w:eastAsia="zh-CN"/>
        </w:rPr>
      </w:pPr>
      <w:r>
        <w:rPr>
          <w:rFonts w:hint="eastAsia" w:ascii="Times New Roman" w:hAnsi="Times New Roman" w:eastAsia="黑体" w:cs="Times New Roman"/>
          <w:color w:val="000000"/>
          <w:kern w:val="0"/>
          <w:sz w:val="32"/>
          <w:szCs w:val="32"/>
          <w:highlight w:val="none"/>
          <w:shd w:val="clear" w:color="auto" w:fill="FFFFFF"/>
          <w:lang w:val="zh-CN" w:eastAsia="zh-CN"/>
        </w:rPr>
        <w:t>二、部门资金收支情况</w:t>
      </w:r>
    </w:p>
    <w:p w14:paraId="11DF2435">
      <w:pPr>
        <w:widowControl/>
        <w:adjustRightInd w:val="0"/>
        <w:snapToGrid w:val="0"/>
        <w:spacing w:line="578" w:lineRule="exact"/>
        <w:ind w:firstLine="643" w:firstLineChars="200"/>
        <w:contextualSpacing/>
        <w:jc w:val="left"/>
        <w:rPr>
          <w:rFonts w:hint="eastAsia" w:ascii="Times New Roman" w:hAnsi="Times New Roman" w:eastAsia="楷体_GB2312" w:cs="Times New Roman"/>
          <w:b/>
          <w:bCs/>
          <w:color w:val="000000"/>
          <w:kern w:val="0"/>
          <w:sz w:val="32"/>
          <w:szCs w:val="32"/>
          <w:highlight w:val="none"/>
          <w:shd w:val="clear" w:color="auto" w:fill="FFFFFF"/>
          <w:lang w:val="zh-CN" w:eastAsia="zh-CN" w:bidi="ar-SA"/>
        </w:rPr>
      </w:pPr>
      <w:r>
        <w:rPr>
          <w:rFonts w:hint="eastAsia" w:ascii="Times New Roman" w:hAnsi="Times New Roman" w:eastAsia="楷体_GB2312" w:cs="Times New Roman"/>
          <w:b/>
          <w:bCs/>
          <w:color w:val="000000"/>
          <w:kern w:val="0"/>
          <w:sz w:val="32"/>
          <w:szCs w:val="32"/>
          <w:highlight w:val="none"/>
          <w:shd w:val="clear" w:color="auto" w:fill="FFFFFF"/>
          <w:lang w:val="zh-CN" w:eastAsia="zh-CN" w:bidi="ar-SA"/>
        </w:rPr>
        <w:t>（一）收入情况</w:t>
      </w:r>
    </w:p>
    <w:p w14:paraId="6493F444">
      <w:pPr>
        <w:widowControl/>
        <w:adjustRightInd w:val="0"/>
        <w:snapToGrid w:val="0"/>
        <w:spacing w:line="578" w:lineRule="exact"/>
        <w:ind w:firstLine="640" w:firstLineChars="200"/>
        <w:contextualSpacing/>
        <w:jc w:val="left"/>
        <w:rPr>
          <w:rFonts w:hint="default" w:ascii="Times New Roman" w:hAnsi="Times New Roman" w:eastAsia="仿宋_GB2312" w:cs="Times New Roman"/>
          <w:bCs/>
          <w:sz w:val="32"/>
          <w:szCs w:val="32"/>
          <w:lang w:eastAsia="zh-CN"/>
        </w:rPr>
      </w:pPr>
      <w:r>
        <w:rPr>
          <w:rFonts w:hint="eastAsia" w:ascii="仿宋_GB2312" w:hAnsi="仿宋_GB2312" w:eastAsia="仿宋_GB2312" w:cs="仿宋_GB2312"/>
          <w:b w:val="0"/>
          <w:bCs w:val="0"/>
          <w:color w:val="auto"/>
          <w:kern w:val="0"/>
          <w:sz w:val="32"/>
          <w:szCs w:val="32"/>
          <w:shd w:val="clear" w:color="auto" w:fill="FFFFFF"/>
          <w:lang w:val="en-US" w:eastAsia="zh-CN"/>
        </w:rPr>
        <w:t>1.2025年</w:t>
      </w:r>
      <w:r>
        <w:rPr>
          <w:rFonts w:hint="eastAsia" w:ascii="仿宋_GB2312" w:hAnsi="仿宋_GB2312" w:eastAsia="仿宋_GB2312" w:cs="仿宋_GB2312"/>
          <w:b w:val="0"/>
          <w:bCs w:val="0"/>
          <w:color w:val="auto"/>
          <w:sz w:val="32"/>
          <w:szCs w:val="32"/>
        </w:rPr>
        <w:t>年初</w:t>
      </w:r>
      <w:r>
        <w:rPr>
          <w:rFonts w:hint="eastAsia" w:ascii="仿宋_GB2312" w:hAnsi="仿宋_GB2312" w:eastAsia="仿宋_GB2312" w:cs="仿宋_GB2312"/>
          <w:b w:val="0"/>
          <w:bCs w:val="0"/>
          <w:color w:val="auto"/>
          <w:sz w:val="32"/>
          <w:szCs w:val="32"/>
          <w:lang w:val="en-US" w:eastAsia="zh-CN"/>
        </w:rPr>
        <w:t>一般公共预算财政拨款收入</w:t>
      </w:r>
      <w:r>
        <w:rPr>
          <w:rFonts w:hint="eastAsia" w:ascii="仿宋_GB2312" w:hAnsi="仿宋_GB2312" w:eastAsia="仿宋_GB2312" w:cs="仿宋_GB2312"/>
          <w:b w:val="0"/>
          <w:bCs w:val="0"/>
          <w:color w:val="auto"/>
          <w:sz w:val="32"/>
          <w:szCs w:val="32"/>
          <w:lang w:eastAsia="zh-CN"/>
        </w:rPr>
        <w:t>是</w:t>
      </w:r>
      <w:r>
        <w:rPr>
          <w:rFonts w:hint="eastAsia" w:ascii="仿宋_GB2312" w:hAnsi="仿宋_GB2312" w:eastAsia="仿宋_GB2312" w:cs="仿宋_GB2312"/>
          <w:b w:val="0"/>
          <w:bCs w:val="0"/>
          <w:color w:val="auto"/>
          <w:sz w:val="32"/>
          <w:szCs w:val="32"/>
          <w:lang w:val="en-US" w:eastAsia="zh-CN"/>
        </w:rPr>
        <w:t>9536.45万元，</w:t>
      </w:r>
      <w:r>
        <w:rPr>
          <w:rFonts w:hint="default" w:ascii="Times New Roman" w:hAnsi="Times New Roman" w:eastAsia="仿宋_GB2312" w:cs="Times New Roman"/>
          <w:bCs/>
          <w:sz w:val="32"/>
          <w:szCs w:val="32"/>
          <w:lang w:eastAsia="zh-CN"/>
        </w:rPr>
        <w:t>其中：一般公共预算财政拨款收入</w:t>
      </w:r>
      <w:r>
        <w:rPr>
          <w:rFonts w:hint="eastAsia" w:ascii="Times New Roman" w:hAnsi="Times New Roman" w:eastAsia="仿宋_GB2312" w:cs="Times New Roman"/>
          <w:bCs/>
          <w:sz w:val="32"/>
          <w:szCs w:val="32"/>
          <w:lang w:val="en-US" w:eastAsia="zh-CN"/>
        </w:rPr>
        <w:t>9536.45</w:t>
      </w:r>
      <w:r>
        <w:rPr>
          <w:rFonts w:hint="default" w:ascii="Times New Roman" w:hAnsi="Times New Roman" w:eastAsia="仿宋_GB2312" w:cs="Times New Roman"/>
          <w:bCs/>
          <w:sz w:val="32"/>
          <w:szCs w:val="32"/>
          <w:lang w:eastAsia="zh-CN"/>
        </w:rPr>
        <w:t>万元，占</w:t>
      </w:r>
      <w:r>
        <w:rPr>
          <w:rFonts w:hint="default" w:ascii="Times New Roman" w:hAnsi="Times New Roman" w:eastAsia="仿宋_GB2312" w:cs="Times New Roman"/>
          <w:bCs/>
          <w:sz w:val="32"/>
          <w:szCs w:val="32"/>
          <w:lang w:val="en-US" w:eastAsia="zh-CN"/>
        </w:rPr>
        <w:t>100</w:t>
      </w:r>
      <w:r>
        <w:rPr>
          <w:rFonts w:hint="default" w:ascii="Times New Roman" w:hAnsi="Times New Roman" w:eastAsia="仿宋_GB2312" w:cs="Times New Roman"/>
          <w:bCs/>
          <w:sz w:val="32"/>
          <w:szCs w:val="32"/>
          <w:lang w:eastAsia="zh-CN"/>
        </w:rPr>
        <w:t>%；年初结转和结余0万元。</w:t>
      </w:r>
    </w:p>
    <w:p w14:paraId="70B62A80">
      <w:pPr>
        <w:widowControl/>
        <w:adjustRightInd w:val="0"/>
        <w:snapToGrid w:val="0"/>
        <w:spacing w:line="578" w:lineRule="exact"/>
        <w:ind w:firstLine="640" w:firstLineChars="200"/>
        <w:contextualSpacing/>
        <w:jc w:val="left"/>
        <w:rPr>
          <w:rFonts w:hint="default" w:ascii="仿宋_GB2312" w:hAnsi="仿宋_GB2312" w:eastAsia="仿宋_GB2312" w:cs="仿宋_GB2312"/>
          <w:b/>
          <w:bCs/>
          <w:color w:val="auto"/>
          <w:kern w:val="0"/>
          <w:sz w:val="32"/>
          <w:szCs w:val="32"/>
          <w:shd w:val="clear" w:color="auto" w:fill="FFFFFF"/>
          <w:lang w:val="en-US"/>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决算报表</w:t>
      </w:r>
      <w:r>
        <w:rPr>
          <w:rFonts w:hint="eastAsia" w:ascii="仿宋_GB2312" w:hAnsi="仿宋_GB2312" w:eastAsia="仿宋_GB2312" w:cs="仿宋_GB2312"/>
          <w:color w:val="auto"/>
          <w:sz w:val="32"/>
          <w:szCs w:val="32"/>
          <w:lang w:eastAsia="zh-CN"/>
        </w:rPr>
        <w:t>本年</w:t>
      </w:r>
      <w:r>
        <w:rPr>
          <w:rFonts w:hint="eastAsia" w:ascii="仿宋_GB2312" w:hAnsi="仿宋_GB2312" w:eastAsia="仿宋_GB2312" w:cs="仿宋_GB2312"/>
          <w:color w:val="auto"/>
          <w:sz w:val="32"/>
          <w:szCs w:val="32"/>
        </w:rPr>
        <w:t>收入</w:t>
      </w:r>
      <w:r>
        <w:rPr>
          <w:rFonts w:hint="eastAsia" w:ascii="仿宋_GB2312" w:hAnsi="仿宋_GB2312" w:eastAsia="仿宋_GB2312" w:cs="仿宋_GB2312"/>
          <w:color w:val="auto"/>
          <w:sz w:val="32"/>
          <w:szCs w:val="32"/>
          <w:lang w:eastAsia="zh-CN"/>
        </w:rPr>
        <w:t>是</w:t>
      </w:r>
      <w:r>
        <w:rPr>
          <w:rFonts w:hint="eastAsia" w:ascii="仿宋_GB2312" w:hAnsi="仿宋_GB2312" w:eastAsia="仿宋_GB2312" w:cs="仿宋_GB2312"/>
          <w:color w:val="auto"/>
          <w:sz w:val="32"/>
          <w:szCs w:val="32"/>
          <w:lang w:val="en-US" w:eastAsia="zh-CN"/>
        </w:rPr>
        <w:t>40354.97万元，其中：一般公共预算财政拨款收入15486.81万元，占38.38%；政府性基金预算财政拨款收入14682万元，占36.38%；事业收入9862.64万元，占24.44%；其他收入323.52万元，占0.8%。</w:t>
      </w:r>
    </w:p>
    <w:p w14:paraId="5A1E1135">
      <w:pPr>
        <w:widowControl/>
        <w:adjustRightInd w:val="0"/>
        <w:snapToGrid w:val="0"/>
        <w:spacing w:line="578" w:lineRule="exact"/>
        <w:ind w:firstLine="643" w:firstLineChars="200"/>
        <w:contextualSpacing/>
        <w:jc w:val="left"/>
        <w:rPr>
          <w:rFonts w:hint="eastAsia" w:ascii="Times New Roman" w:hAnsi="Times New Roman" w:eastAsia="楷体_GB2312" w:cs="Times New Roman"/>
          <w:b/>
          <w:bCs/>
          <w:color w:val="000000"/>
          <w:kern w:val="0"/>
          <w:sz w:val="32"/>
          <w:szCs w:val="32"/>
          <w:highlight w:val="none"/>
          <w:shd w:val="clear" w:color="auto" w:fill="FFFFFF"/>
          <w:lang w:val="zh-CN" w:eastAsia="zh-CN" w:bidi="ar-SA"/>
        </w:rPr>
      </w:pPr>
      <w:r>
        <w:rPr>
          <w:rFonts w:hint="eastAsia" w:ascii="Times New Roman" w:hAnsi="Times New Roman" w:eastAsia="楷体_GB2312" w:cs="Times New Roman"/>
          <w:b/>
          <w:bCs/>
          <w:color w:val="000000"/>
          <w:kern w:val="0"/>
          <w:sz w:val="32"/>
          <w:szCs w:val="32"/>
          <w:highlight w:val="none"/>
          <w:shd w:val="clear" w:color="auto" w:fill="FFFFFF"/>
          <w:lang w:val="zh-CN" w:eastAsia="zh-CN" w:bidi="ar-SA"/>
        </w:rPr>
        <w:t>（二）支出情况</w:t>
      </w:r>
    </w:p>
    <w:p w14:paraId="2B84798A">
      <w:pPr>
        <w:widowControl/>
        <w:adjustRightInd w:val="0"/>
        <w:snapToGrid w:val="0"/>
        <w:spacing w:line="578" w:lineRule="exact"/>
        <w:ind w:firstLine="640" w:firstLineChars="200"/>
        <w:contextualSpacing/>
        <w:jc w:val="left"/>
        <w:rPr>
          <w:rFonts w:hint="eastAsia" w:ascii="仿宋_GB2312" w:eastAsia="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kern w:val="0"/>
          <w:sz w:val="32"/>
          <w:szCs w:val="32"/>
          <w:shd w:val="clear" w:color="auto" w:fill="FFFFFF"/>
          <w:lang w:val="en-US" w:eastAsia="zh-CN"/>
        </w:rPr>
        <w:t>.2025年</w:t>
      </w:r>
      <w:r>
        <w:rPr>
          <w:rFonts w:hint="eastAsia" w:ascii="仿宋_GB2312" w:hAnsi="仿宋_GB2312" w:eastAsia="仿宋_GB2312" w:cs="仿宋_GB2312"/>
          <w:b w:val="0"/>
          <w:bCs w:val="0"/>
          <w:color w:val="auto"/>
          <w:sz w:val="32"/>
          <w:szCs w:val="32"/>
        </w:rPr>
        <w:t>年初</w:t>
      </w:r>
      <w:r>
        <w:rPr>
          <w:rFonts w:hint="eastAsia" w:ascii="仿宋_GB2312" w:hAnsi="仿宋_GB2312" w:eastAsia="仿宋_GB2312" w:cs="仿宋_GB2312"/>
          <w:b w:val="0"/>
          <w:bCs w:val="0"/>
          <w:color w:val="auto"/>
          <w:sz w:val="32"/>
          <w:szCs w:val="32"/>
          <w:lang w:val="en-US" w:eastAsia="zh-CN"/>
        </w:rPr>
        <w:t>一般公共预算财政拨款收入</w:t>
      </w:r>
      <w:r>
        <w:rPr>
          <w:rFonts w:hint="eastAsia" w:ascii="仿宋_GB2312" w:hAnsi="仿宋_GB2312" w:eastAsia="仿宋_GB2312" w:cs="仿宋_GB2312"/>
          <w:b w:val="0"/>
          <w:bCs w:val="0"/>
          <w:color w:val="auto"/>
          <w:sz w:val="32"/>
          <w:szCs w:val="32"/>
          <w:lang w:eastAsia="zh-CN"/>
        </w:rPr>
        <w:t>是</w:t>
      </w:r>
      <w:r>
        <w:rPr>
          <w:rFonts w:hint="eastAsia" w:ascii="仿宋_GB2312" w:hAnsi="仿宋_GB2312" w:eastAsia="仿宋_GB2312" w:cs="仿宋_GB2312"/>
          <w:b w:val="0"/>
          <w:bCs w:val="0"/>
          <w:color w:val="auto"/>
          <w:sz w:val="32"/>
          <w:szCs w:val="32"/>
          <w:lang w:val="en-US" w:eastAsia="zh-CN"/>
        </w:rPr>
        <w:t>9536.45万元，其中：</w:t>
      </w:r>
      <w:r>
        <w:rPr>
          <w:rFonts w:ascii="仿宋_GB2312" w:eastAsia="仿宋_GB2312"/>
          <w:color w:val="auto"/>
          <w:sz w:val="32"/>
          <w:szCs w:val="32"/>
        </w:rPr>
        <w:t>社会保障和就业支出</w:t>
      </w:r>
      <w:r>
        <w:rPr>
          <w:rFonts w:hint="eastAsia" w:ascii="仿宋_GB2312" w:eastAsia="仿宋_GB2312"/>
          <w:color w:val="auto"/>
          <w:sz w:val="32"/>
          <w:szCs w:val="32"/>
          <w:lang w:val="en-US" w:eastAsia="zh-CN"/>
        </w:rPr>
        <w:t>1243.07万</w:t>
      </w:r>
      <w:r>
        <w:rPr>
          <w:rFonts w:ascii="仿宋_GB2312" w:eastAsia="仿宋_GB2312"/>
          <w:color w:val="auto"/>
          <w:sz w:val="32"/>
          <w:szCs w:val="32"/>
        </w:rPr>
        <w:t>元，</w:t>
      </w:r>
      <w:r>
        <w:rPr>
          <w:rFonts w:hint="eastAsia" w:ascii="仿宋_GB2312" w:eastAsia="仿宋_GB2312"/>
          <w:color w:val="auto"/>
          <w:sz w:val="32"/>
          <w:szCs w:val="32"/>
          <w:lang w:eastAsia="zh-CN"/>
        </w:rPr>
        <w:t>占</w:t>
      </w:r>
      <w:r>
        <w:rPr>
          <w:rFonts w:hint="eastAsia" w:ascii="仿宋_GB2312" w:eastAsia="仿宋_GB2312"/>
          <w:color w:val="auto"/>
          <w:sz w:val="32"/>
          <w:szCs w:val="32"/>
          <w:lang w:val="en-US" w:eastAsia="zh-CN"/>
        </w:rPr>
        <w:t>13.03%；</w:t>
      </w:r>
      <w:r>
        <w:rPr>
          <w:rFonts w:hint="eastAsia" w:ascii="仿宋_GB2312" w:eastAsia="仿宋_GB2312"/>
          <w:color w:val="auto"/>
          <w:sz w:val="32"/>
          <w:szCs w:val="32"/>
        </w:rPr>
        <w:t>卫生健康</w:t>
      </w:r>
      <w:r>
        <w:rPr>
          <w:rFonts w:ascii="仿宋_GB2312" w:eastAsia="仿宋_GB2312"/>
          <w:color w:val="auto"/>
          <w:sz w:val="32"/>
          <w:szCs w:val="32"/>
        </w:rPr>
        <w:t>支出</w:t>
      </w:r>
      <w:r>
        <w:rPr>
          <w:rFonts w:hint="eastAsia" w:ascii="仿宋_GB2312" w:eastAsia="仿宋_GB2312"/>
          <w:color w:val="auto"/>
          <w:sz w:val="32"/>
          <w:szCs w:val="32"/>
          <w:lang w:val="en-US" w:eastAsia="zh-CN"/>
        </w:rPr>
        <w:t>8090.75万</w:t>
      </w:r>
      <w:r>
        <w:rPr>
          <w:rFonts w:ascii="仿宋_GB2312" w:eastAsia="仿宋_GB2312"/>
          <w:color w:val="auto"/>
          <w:sz w:val="32"/>
          <w:szCs w:val="32"/>
        </w:rPr>
        <w:t>元，</w:t>
      </w:r>
      <w:r>
        <w:rPr>
          <w:rFonts w:hint="eastAsia" w:ascii="仿宋_GB2312" w:eastAsia="仿宋_GB2312"/>
          <w:color w:val="auto"/>
          <w:sz w:val="32"/>
          <w:szCs w:val="32"/>
          <w:lang w:eastAsia="zh-CN"/>
        </w:rPr>
        <w:t>占</w:t>
      </w:r>
      <w:r>
        <w:rPr>
          <w:rFonts w:hint="eastAsia" w:ascii="仿宋_GB2312" w:eastAsia="仿宋_GB2312"/>
          <w:color w:val="auto"/>
          <w:sz w:val="32"/>
          <w:szCs w:val="32"/>
          <w:lang w:val="en-US" w:eastAsia="zh-CN"/>
        </w:rPr>
        <w:t>84.85%；</w:t>
      </w:r>
      <w:r>
        <w:rPr>
          <w:rFonts w:ascii="仿宋_GB2312" w:eastAsia="仿宋_GB2312"/>
          <w:color w:val="auto"/>
          <w:sz w:val="32"/>
          <w:szCs w:val="32"/>
        </w:rPr>
        <w:t>住房保障支出</w:t>
      </w:r>
      <w:r>
        <w:rPr>
          <w:rFonts w:hint="eastAsia" w:ascii="仿宋_GB2312" w:eastAsia="仿宋_GB2312"/>
          <w:color w:val="auto"/>
          <w:sz w:val="32"/>
          <w:szCs w:val="32"/>
          <w:lang w:val="en-US" w:eastAsia="zh-CN"/>
        </w:rPr>
        <w:t>202.63万</w:t>
      </w:r>
      <w:r>
        <w:rPr>
          <w:rFonts w:ascii="仿宋_GB2312" w:eastAsia="仿宋_GB2312"/>
          <w:color w:val="auto"/>
          <w:sz w:val="32"/>
          <w:szCs w:val="32"/>
        </w:rPr>
        <w:t>元</w:t>
      </w:r>
      <w:r>
        <w:rPr>
          <w:rFonts w:hint="eastAsia" w:ascii="仿宋_GB2312" w:eastAsia="仿宋_GB2312"/>
          <w:color w:val="auto"/>
          <w:sz w:val="32"/>
          <w:szCs w:val="32"/>
          <w:lang w:eastAsia="zh-CN"/>
        </w:rPr>
        <w:t>，占</w:t>
      </w:r>
      <w:r>
        <w:rPr>
          <w:rFonts w:hint="eastAsia" w:ascii="仿宋_GB2312" w:eastAsia="仿宋_GB2312"/>
          <w:color w:val="auto"/>
          <w:sz w:val="32"/>
          <w:szCs w:val="32"/>
          <w:lang w:val="en-US" w:eastAsia="zh-CN"/>
        </w:rPr>
        <w:t>2.12%</w:t>
      </w:r>
      <w:r>
        <w:rPr>
          <w:rFonts w:ascii="仿宋_GB2312" w:eastAsia="仿宋_GB2312"/>
          <w:color w:val="auto"/>
          <w:sz w:val="32"/>
          <w:szCs w:val="32"/>
        </w:rPr>
        <w:t>。</w:t>
      </w:r>
      <w:r>
        <w:rPr>
          <w:rFonts w:hint="eastAsia" w:ascii="仿宋_GB2312" w:eastAsia="仿宋_GB2312"/>
          <w:color w:val="auto"/>
          <w:sz w:val="32"/>
          <w:szCs w:val="32"/>
          <w:lang w:val="en-US" w:eastAsia="zh-CN"/>
        </w:rPr>
        <w:t xml:space="preserve">   </w:t>
      </w:r>
    </w:p>
    <w:p w14:paraId="421F9E67">
      <w:pPr>
        <w:pStyle w:val="29"/>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outlineLvl w:val="1"/>
        <w:rPr>
          <w:rFonts w:hint="default" w:asci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2.2025年</w:t>
      </w:r>
      <w:r>
        <w:rPr>
          <w:rFonts w:hint="eastAsia" w:ascii="仿宋_GB2312" w:hAnsi="仿宋_GB2312" w:eastAsia="仿宋_GB2312" w:cs="仿宋_GB2312"/>
          <w:color w:val="auto"/>
          <w:sz w:val="32"/>
          <w:szCs w:val="32"/>
        </w:rPr>
        <w:t>决算报表支出情况</w:t>
      </w:r>
      <w:r>
        <w:rPr>
          <w:rFonts w:hint="eastAsia" w:ascii="仿宋_GB2312" w:hAnsi="仿宋_GB2312" w:eastAsia="仿宋_GB2312" w:cs="仿宋_GB2312"/>
          <w:color w:val="auto"/>
          <w:sz w:val="32"/>
          <w:szCs w:val="32"/>
          <w:lang w:eastAsia="zh-CN"/>
        </w:rPr>
        <w:t>：</w:t>
      </w:r>
      <w:r>
        <w:rPr>
          <w:rFonts w:hint="eastAsia" w:ascii="仿宋_GB2312" w:eastAsia="仿宋_GB2312" w:cs="仿宋_GB2312"/>
          <w:color w:val="auto"/>
          <w:sz w:val="32"/>
          <w:szCs w:val="32"/>
          <w:highlight w:val="none"/>
          <w:lang w:eastAsia="zh-CN"/>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年度本年支出合计</w:t>
      </w:r>
      <w:r>
        <w:rPr>
          <w:rFonts w:hint="eastAsia" w:ascii="仿宋_GB2312" w:eastAsia="仿宋_GB2312" w:cs="仿宋_GB2312"/>
          <w:sz w:val="32"/>
          <w:szCs w:val="32"/>
          <w:lang w:val="en-US" w:eastAsia="zh-CN"/>
        </w:rPr>
        <w:t>39455.26</w:t>
      </w:r>
      <w:r>
        <w:rPr>
          <w:rFonts w:hint="eastAsia" w:ascii="仿宋_GB2312" w:eastAsia="仿宋_GB2312" w:cs="仿宋_GB2312"/>
          <w:color w:val="auto"/>
          <w:sz w:val="32"/>
          <w:szCs w:val="32"/>
          <w:highlight w:val="none"/>
          <w:lang w:eastAsia="zh-CN"/>
        </w:rPr>
        <w:t>万元，其中：</w:t>
      </w:r>
      <w:r>
        <w:rPr>
          <w:rFonts w:hint="eastAsia" w:ascii="Times New Roman" w:hAnsi="Times New Roman" w:eastAsia="仿宋_GB2312" w:cs="仿宋_GB2312"/>
          <w:color w:val="auto"/>
          <w:kern w:val="2"/>
          <w:sz w:val="32"/>
          <w:szCs w:val="32"/>
          <w:highlight w:val="none"/>
          <w:lang w:val="en-US" w:eastAsia="zh-CN" w:bidi="ar-SA"/>
        </w:rPr>
        <w:t>一般公共服务支出2.5万元，占0.01%；</w:t>
      </w:r>
      <w:r>
        <w:rPr>
          <w:rFonts w:hint="eastAsia" w:ascii="仿宋_GB2312" w:eastAsia="仿宋_GB2312" w:cs="仿宋_GB2312"/>
          <w:color w:val="auto"/>
          <w:kern w:val="2"/>
          <w:sz w:val="32"/>
          <w:szCs w:val="32"/>
          <w:highlight w:val="none"/>
          <w:lang w:val="en-US" w:eastAsia="zh-CN" w:bidi="ar-SA"/>
        </w:rPr>
        <w:t>社会保障和就业支出1771.24万元，占4.49%；卫生健康支出21248.4万元，占53.85%；住房保障支出973.21万元，占2.47%；农林水支出</w:t>
      </w:r>
      <w:r>
        <w:rPr>
          <w:rFonts w:hint="eastAsia" w:ascii="仿宋_GB2312" w:eastAsia="仿宋_GB2312" w:cs="仿宋_GB2312"/>
          <w:color w:val="auto"/>
          <w:kern w:val="2"/>
          <w:sz w:val="32"/>
          <w:szCs w:val="32"/>
          <w:lang w:val="en-US" w:eastAsia="zh-CN" w:bidi="ar-SA"/>
        </w:rPr>
        <w:t>777.91万元，占1.97%；其他支出14682万元，占37.21%</w:t>
      </w:r>
    </w:p>
    <w:p w14:paraId="0E38FBCE">
      <w:pPr>
        <w:widowControl/>
        <w:adjustRightInd w:val="0"/>
        <w:snapToGrid w:val="0"/>
        <w:spacing w:line="578" w:lineRule="exact"/>
        <w:ind w:firstLine="643" w:firstLineChars="200"/>
        <w:contextualSpacing/>
        <w:jc w:val="left"/>
        <w:rPr>
          <w:rFonts w:hint="eastAsia" w:ascii="仿宋_GB2312" w:hAnsi="仿宋_GB2312" w:eastAsia="仿宋_GB2312" w:cs="仿宋_GB2312"/>
          <w:color w:val="auto"/>
          <w:kern w:val="0"/>
          <w:sz w:val="32"/>
          <w:szCs w:val="32"/>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（三）结余分配和结转结余情况。</w:t>
      </w:r>
      <w:r>
        <w:rPr>
          <w:rFonts w:hint="eastAsia" w:ascii="仿宋_GB2312" w:hAnsi="仿宋_GB2312" w:eastAsia="仿宋_GB2312" w:cs="仿宋_GB2312"/>
          <w:color w:val="auto"/>
          <w:sz w:val="32"/>
          <w:szCs w:val="32"/>
          <w:lang w:eastAsia="zh-CN"/>
        </w:rPr>
        <w:t>医疗卫生机构</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年决算报表</w:t>
      </w:r>
      <w:r>
        <w:rPr>
          <w:rFonts w:hint="eastAsia" w:ascii="仿宋_GB2312" w:hAnsi="仿宋_GB2312" w:eastAsia="仿宋_GB2312" w:cs="仿宋_GB2312"/>
          <w:color w:val="auto"/>
          <w:sz w:val="32"/>
          <w:szCs w:val="32"/>
          <w:lang w:eastAsia="zh-CN"/>
        </w:rPr>
        <w:t>结余分配</w:t>
      </w:r>
      <w:r>
        <w:rPr>
          <w:rFonts w:hint="eastAsia" w:ascii="仿宋_GB2312" w:hAnsi="仿宋_GB2312" w:eastAsia="仿宋_GB2312" w:cs="仿宋_GB2312"/>
          <w:color w:val="auto"/>
          <w:sz w:val="32"/>
          <w:szCs w:val="32"/>
          <w:lang w:val="en-US" w:eastAsia="zh-CN"/>
        </w:rPr>
        <w:t>899.72万元</w:t>
      </w:r>
      <w:r>
        <w:rPr>
          <w:rFonts w:hint="eastAsia" w:ascii="仿宋_GB2312" w:hAnsi="仿宋_GB2312" w:eastAsia="仿宋_GB2312" w:cs="仿宋_GB2312"/>
          <w:color w:val="auto"/>
          <w:kern w:val="0"/>
          <w:sz w:val="32"/>
          <w:szCs w:val="32"/>
          <w:shd w:val="clear" w:color="auto" w:fill="FFFFFF"/>
        </w:rPr>
        <w:t>。</w:t>
      </w:r>
    </w:p>
    <w:p w14:paraId="01C16DE8">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黑体" w:cs="Times New Roman"/>
          <w:color w:val="000000"/>
          <w:kern w:val="0"/>
          <w:sz w:val="32"/>
          <w:szCs w:val="32"/>
          <w:highlight w:val="none"/>
          <w:shd w:val="clear" w:color="auto" w:fill="FFFFFF"/>
          <w:lang w:val="zh-CN" w:eastAsia="zh-CN"/>
        </w:rPr>
      </w:pPr>
      <w:r>
        <w:rPr>
          <w:rFonts w:hint="eastAsia" w:ascii="Times New Roman" w:hAnsi="Times New Roman" w:eastAsia="黑体" w:cs="Times New Roman"/>
          <w:color w:val="000000"/>
          <w:kern w:val="0"/>
          <w:sz w:val="32"/>
          <w:szCs w:val="32"/>
          <w:highlight w:val="none"/>
          <w:shd w:val="clear" w:color="auto" w:fill="FFFFFF"/>
          <w:lang w:val="zh-CN" w:eastAsia="zh-CN"/>
        </w:rPr>
        <w:t>三、部门预算绩效分析</w:t>
      </w:r>
    </w:p>
    <w:p w14:paraId="7B639614">
      <w:pPr>
        <w:adjustRightInd w:val="0"/>
        <w:snapToGrid w:val="0"/>
        <w:spacing w:line="578" w:lineRule="exact"/>
        <w:ind w:firstLine="643" w:firstLineChars="200"/>
        <w:contextualSpacing/>
        <w:jc w:val="left"/>
        <w:rPr>
          <w:rFonts w:hint="eastAsia" w:ascii="仿宋_GB2312" w:hAnsi="仿宋_GB2312" w:eastAsia="仿宋_GB2312" w:cs="仿宋_GB2312"/>
          <w:color w:val="auto"/>
          <w:kern w:val="0"/>
          <w:sz w:val="32"/>
          <w:szCs w:val="32"/>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（一）部门预算总体绩效分析。</w:t>
      </w:r>
    </w:p>
    <w:p w14:paraId="510731C3">
      <w:pPr>
        <w:pageBreakBefore w:val="0"/>
        <w:kinsoku/>
        <w:wordWrap/>
        <w:overflowPunct/>
        <w:topLinePunct w:val="0"/>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Times New Roman" w:hAnsi="Times New Roman" w:eastAsia="楷体_GB2312" w:cs="Times New Roman"/>
          <w:b w:val="0"/>
          <w:bCs w:val="0"/>
          <w:color w:val="000000"/>
          <w:kern w:val="0"/>
          <w:sz w:val="32"/>
          <w:szCs w:val="32"/>
          <w:shd w:val="clear" w:color="auto" w:fill="FFFFFF"/>
        </w:rPr>
        <w:t>1.</w:t>
      </w:r>
      <w:r>
        <w:rPr>
          <w:rFonts w:hint="eastAsia" w:ascii="Times New Roman" w:hAnsi="Times New Roman" w:eastAsia="楷体_GB2312" w:cs="Times New Roman"/>
          <w:b w:val="0"/>
          <w:bCs w:val="0"/>
          <w:color w:val="000000"/>
          <w:kern w:val="0"/>
          <w:sz w:val="32"/>
          <w:szCs w:val="32"/>
          <w:shd w:val="clear" w:color="auto" w:fill="FFFFFF"/>
          <w:lang w:val="zh-CN"/>
        </w:rPr>
        <w:t>履职效能</w:t>
      </w:r>
      <w:r>
        <w:rPr>
          <w:rFonts w:hint="eastAsia" w:eastAsia="楷体_GB2312" w:cs="Times New Roman"/>
          <w:b w:val="0"/>
          <w:bCs w:val="0"/>
          <w:color w:val="000000"/>
          <w:kern w:val="0"/>
          <w:sz w:val="32"/>
          <w:szCs w:val="32"/>
          <w:shd w:val="clear" w:color="auto" w:fill="FFFFFF"/>
          <w:lang w:val="zh-CN"/>
        </w:rPr>
        <w:t>。</w:t>
      </w:r>
      <w:r>
        <w:rPr>
          <w:rFonts w:hint="eastAsia" w:ascii="仿宋_GB2312" w:hAnsi="仿宋_GB2312" w:eastAsia="仿宋_GB2312" w:cs="仿宋_GB2312"/>
          <w:b w:val="0"/>
          <w:bCs w:val="0"/>
          <w:color w:val="auto"/>
          <w:sz w:val="32"/>
          <w:szCs w:val="32"/>
          <w:lang w:val="en-US" w:eastAsia="zh-CN"/>
        </w:rPr>
        <w:t>2025年，全县卫健系统紧扣党建引领，落实“第一议题”学习72场次，深化专项整治追缴资金11万余元。全民健康体检9.68万人，建档率95%，组建45个家庭医生服务团队融入“微网实格”，加强对重点人群的健康管理。设立困难农牧民群众大病救助基金</w:t>
      </w:r>
      <w:r>
        <w:rPr>
          <w:rFonts w:hint="default" w:ascii="仿宋_GB2312" w:hAnsi="仿宋_GB2312" w:eastAsia="仿宋_GB2312" w:cs="仿宋_GB2312"/>
          <w:b w:val="0"/>
          <w:bCs w:val="0"/>
          <w:color w:val="auto"/>
          <w:sz w:val="32"/>
          <w:szCs w:val="32"/>
          <w:lang w:val="en-US" w:eastAsia="zh-CN"/>
        </w:rPr>
        <w:t>82.09</w:t>
      </w:r>
      <w:r>
        <w:rPr>
          <w:rFonts w:hint="eastAsia" w:ascii="仿宋_GB2312" w:hAnsi="仿宋_GB2312" w:eastAsia="仿宋_GB2312" w:cs="仿宋_GB2312"/>
          <w:b w:val="0"/>
          <w:bCs w:val="0"/>
          <w:color w:val="auto"/>
          <w:sz w:val="32"/>
          <w:szCs w:val="32"/>
          <w:lang w:val="en-US" w:eastAsia="zh-CN"/>
        </w:rPr>
        <w:t>万</w:t>
      </w:r>
      <w:bookmarkStart w:id="68" w:name="_GoBack"/>
      <w:bookmarkEnd w:id="68"/>
      <w:r>
        <w:rPr>
          <w:rFonts w:hint="eastAsia" w:ascii="仿宋_GB2312" w:hAnsi="仿宋_GB2312" w:eastAsia="仿宋_GB2312" w:cs="仿宋_GB2312"/>
          <w:b w:val="0"/>
          <w:bCs w:val="0"/>
          <w:color w:val="auto"/>
          <w:sz w:val="32"/>
          <w:szCs w:val="32"/>
          <w:lang w:val="en-US" w:eastAsia="zh-CN"/>
        </w:rPr>
        <w:t>元，实施梯度分段救助，已启动对52户符合条件家庭的救助工作。完成免费白内障复明手术147例，大骨节病手术9例，中小学生视力筛查10654人。落实“一次挂号管三天”“重点人群先诊疗后付费”“大病诊后随访”“周末疫苗接种服务”四项惠民措施，累计惠及群众1449人次；免疫规划接种1.2万剂次，核心接种率达标。新生儿疾病筛查率100%，义诊2500次；选派64人进修学习，推广新技术2项，省级优秀人才入选1人。传染病发病率下降16%，医废监管、安防达标率100%，应急保障50余次。共有425名患者享受检查检验结果互认，节约医疗费用4.39万元，群众满意度92%，较2024年提升2个百分点，各项任务圆满完成。</w:t>
      </w:r>
    </w:p>
    <w:p w14:paraId="3664C137">
      <w:pPr>
        <w:numPr>
          <w:ilvl w:val="0"/>
          <w:numId w:val="0"/>
        </w:numPr>
        <w:pBdr>
          <w:bottom w:val="single" w:color="FFFFFF" w:sz="4" w:space="29"/>
        </w:pBdr>
        <w:tabs>
          <w:tab w:val="left" w:pos="1440"/>
        </w:tabs>
        <w:spacing w:line="560" w:lineRule="exact"/>
        <w:ind w:firstLine="640" w:firstLineChars="200"/>
        <w:rPr>
          <w:rStyle w:val="20"/>
          <w:rFonts w:hint="eastAsia" w:ascii="仿宋_GB2312" w:hAnsi="仿宋_GB2312" w:eastAsia="仿宋_GB2312" w:cs="仿宋_GB2312"/>
          <w:b w:val="0"/>
          <w:bCs/>
          <w:i w:val="0"/>
          <w:iCs w:val="0"/>
          <w:caps w:val="0"/>
          <w:color w:val="auto"/>
          <w:spacing w:val="23"/>
          <w:kern w:val="0"/>
          <w:sz w:val="32"/>
          <w:szCs w:val="32"/>
          <w:shd w:val="clear" w:color="auto" w:fill="FFFFFF"/>
          <w:lang w:val="en-US" w:eastAsia="zh-CN" w:bidi="ar-SA"/>
        </w:rPr>
      </w:pPr>
      <w:r>
        <w:rPr>
          <w:rFonts w:hint="eastAsia" w:ascii="Times New Roman" w:hAnsi="Times New Roman" w:eastAsia="楷体_GB2312" w:cs="Times New Roman"/>
          <w:color w:val="000000"/>
          <w:kern w:val="0"/>
          <w:sz w:val="32"/>
          <w:szCs w:val="32"/>
          <w:shd w:val="clear" w:color="auto" w:fill="FFFFFF"/>
        </w:rPr>
        <w:t>2.</w:t>
      </w:r>
      <w:r>
        <w:rPr>
          <w:rFonts w:hint="eastAsia" w:ascii="Times New Roman" w:hAnsi="Times New Roman" w:eastAsia="楷体_GB2312" w:cs="Times New Roman"/>
          <w:color w:val="000000"/>
          <w:kern w:val="0"/>
          <w:sz w:val="32"/>
          <w:szCs w:val="32"/>
          <w:shd w:val="clear" w:color="auto" w:fill="FFFFFF"/>
          <w:lang w:val="zh-CN"/>
        </w:rPr>
        <w:t>预算管理。</w:t>
      </w:r>
      <w:r>
        <w:rPr>
          <w:rFonts w:hint="eastAsia" w:ascii="仿宋_GB2312" w:hAnsi="仿宋_GB2312" w:eastAsia="仿宋_GB2312" w:cs="仿宋_GB2312"/>
          <w:color w:val="auto"/>
          <w:kern w:val="0"/>
          <w:sz w:val="32"/>
          <w:szCs w:val="32"/>
          <w:shd w:val="clear" w:color="auto" w:fill="FFFFFF"/>
          <w:lang w:val="zh-CN"/>
        </w:rPr>
        <w:t>一是严格按照《预算法》编制医疗卫生机构年初预算，年初预算编制的科学性和准确性。</w:t>
      </w:r>
      <w:r>
        <w:rPr>
          <w:rFonts w:hint="eastAsia" w:ascii="仿宋_GB2312" w:hAnsi="仿宋_GB2312" w:eastAsia="仿宋_GB2312" w:cs="仿宋_GB2312"/>
          <w:color w:val="auto"/>
          <w:kern w:val="0"/>
          <w:sz w:val="32"/>
          <w:szCs w:val="32"/>
          <w:shd w:val="clear" w:color="auto" w:fill="FFFFFF"/>
          <w:lang w:val="en-US" w:eastAsia="zh-CN"/>
        </w:rPr>
        <w:t>二是严控“三公”经费、会议、培训、差旅、办公设备购置、信息网络及软件购置更新等一般性支出。</w:t>
      </w:r>
    </w:p>
    <w:p w14:paraId="7F6EA028">
      <w:pPr>
        <w:numPr>
          <w:ilvl w:val="0"/>
          <w:numId w:val="0"/>
        </w:numPr>
        <w:pBdr>
          <w:bottom w:val="single" w:color="FFFFFF" w:sz="4" w:space="29"/>
        </w:pBdr>
        <w:tabs>
          <w:tab w:val="left" w:pos="1440"/>
        </w:tabs>
        <w:spacing w:line="560" w:lineRule="exact"/>
        <w:ind w:firstLine="640" w:firstLineChars="200"/>
        <w:rPr>
          <w:rStyle w:val="20"/>
          <w:rFonts w:hint="eastAsia" w:ascii="仿宋_GB2312" w:hAnsi="仿宋_GB2312" w:eastAsia="仿宋_GB2312" w:cs="仿宋_GB2312"/>
          <w:b w:val="0"/>
          <w:bCs/>
          <w:i w:val="0"/>
          <w:iCs w:val="0"/>
          <w:caps w:val="0"/>
          <w:color w:val="auto"/>
          <w:spacing w:val="23"/>
          <w:kern w:val="0"/>
          <w:sz w:val="32"/>
          <w:szCs w:val="32"/>
          <w:shd w:val="clear" w:color="auto" w:fill="FFFFFF"/>
          <w:lang w:val="en-US" w:eastAsia="zh-CN" w:bidi="ar-SA"/>
        </w:rPr>
      </w:pPr>
      <w:r>
        <w:rPr>
          <w:rFonts w:hint="eastAsia" w:ascii="Times New Roman" w:hAnsi="Times New Roman" w:eastAsia="楷体_GB2312" w:cs="Times New Roman"/>
          <w:color w:val="000000"/>
          <w:kern w:val="0"/>
          <w:sz w:val="32"/>
          <w:szCs w:val="32"/>
          <w:shd w:val="clear" w:color="auto" w:fill="FFFFFF"/>
          <w:lang w:val="en-US" w:eastAsia="zh-CN"/>
        </w:rPr>
        <w:t>3.</w:t>
      </w:r>
      <w:r>
        <w:rPr>
          <w:rFonts w:hint="eastAsia" w:ascii="Times New Roman" w:hAnsi="Times New Roman" w:eastAsia="楷体_GB2312" w:cs="Times New Roman"/>
          <w:color w:val="000000"/>
          <w:kern w:val="0"/>
          <w:sz w:val="32"/>
          <w:szCs w:val="32"/>
          <w:shd w:val="clear" w:color="auto" w:fill="FFFFFF"/>
          <w:lang w:val="zh-CN"/>
        </w:rPr>
        <w:t>财务管理。</w:t>
      </w:r>
      <w:r>
        <w:rPr>
          <w:rFonts w:hint="eastAsia" w:ascii="仿宋_GB2312" w:hAnsi="仿宋_GB2312" w:eastAsia="仿宋_GB2312" w:cs="仿宋_GB2312"/>
          <w:color w:val="auto"/>
          <w:kern w:val="0"/>
          <w:sz w:val="32"/>
          <w:szCs w:val="32"/>
          <w:shd w:val="clear" w:color="auto" w:fill="FFFFFF"/>
          <w:lang w:val="zh-CN"/>
        </w:rPr>
        <w:t>一是切实加强财务管理，严格按照</w:t>
      </w:r>
      <w:r>
        <w:rPr>
          <w:rFonts w:hint="eastAsia" w:ascii="仿宋_GB2312" w:hAnsi="仿宋_GB2312" w:eastAsia="仿宋_GB2312" w:cs="仿宋_GB2312"/>
          <w:color w:val="auto"/>
          <w:kern w:val="0"/>
          <w:sz w:val="32"/>
          <w:szCs w:val="32"/>
          <w:lang w:val="en-US" w:eastAsia="zh-CN"/>
        </w:rPr>
        <w:t>《政府财务会计制度》《医院财务会计制度》执行；加强</w:t>
      </w:r>
      <w:r>
        <w:rPr>
          <w:rFonts w:hint="eastAsia" w:ascii="仿宋_GB2312" w:hAnsi="仿宋_GB2312" w:eastAsia="仿宋_GB2312" w:cs="仿宋_GB2312"/>
          <w:color w:val="auto"/>
          <w:kern w:val="0"/>
          <w:sz w:val="32"/>
          <w:szCs w:val="32"/>
          <w:shd w:val="clear" w:color="auto" w:fill="FFFFFF"/>
          <w:lang w:val="zh-CN"/>
        </w:rPr>
        <w:t>项目资金管理，严格按照项目资金方案使用执行。各项专项资金及时足额拨付到项目执行单位或个人，各项专项资金不存在截留、挤占、挪用资金的问题，无弄虚作假的问题，严格按照专款专用、专账专列，按照资金分配、考核计划执行，无乱列、乱支、套支等情况。二是合理设置财务工作岗位，明确职责权限，并严格实行不相容岗位分离</w:t>
      </w:r>
      <w:r>
        <w:rPr>
          <w:rStyle w:val="20"/>
          <w:rFonts w:hint="eastAsia" w:ascii="仿宋_GB2312" w:hAnsi="仿宋_GB2312" w:eastAsia="仿宋_GB2312" w:cs="仿宋_GB2312"/>
          <w:b w:val="0"/>
          <w:bCs/>
          <w:i w:val="0"/>
          <w:iCs w:val="0"/>
          <w:caps w:val="0"/>
          <w:color w:val="auto"/>
          <w:spacing w:val="23"/>
          <w:kern w:val="0"/>
          <w:sz w:val="32"/>
          <w:szCs w:val="32"/>
          <w:shd w:val="clear" w:color="auto" w:fill="FFFFFF"/>
          <w:lang w:val="en-US" w:eastAsia="zh-CN" w:bidi="ar-SA"/>
        </w:rPr>
        <w:t>。</w:t>
      </w:r>
    </w:p>
    <w:p w14:paraId="3413A2A7">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color w:val="auto"/>
          <w:kern w:val="0"/>
          <w:sz w:val="32"/>
          <w:szCs w:val="32"/>
          <w:shd w:val="clear" w:color="auto" w:fill="FFFFFF"/>
          <w:lang w:val="zh-CN"/>
        </w:rPr>
      </w:pPr>
      <w:r>
        <w:rPr>
          <w:rFonts w:hint="eastAsia" w:ascii="Times New Roman" w:hAnsi="Times New Roman" w:eastAsia="楷体_GB2312" w:cs="Times New Roman"/>
          <w:color w:val="000000"/>
          <w:kern w:val="0"/>
          <w:sz w:val="32"/>
          <w:szCs w:val="32"/>
          <w:shd w:val="clear" w:color="auto" w:fill="FFFFFF"/>
          <w:lang w:val="en-US" w:eastAsia="zh-CN"/>
        </w:rPr>
        <w:t>4.</w:t>
      </w:r>
      <w:r>
        <w:rPr>
          <w:rFonts w:hint="eastAsia" w:ascii="Times New Roman" w:hAnsi="Times New Roman" w:eastAsia="楷体_GB2312" w:cs="Times New Roman"/>
          <w:color w:val="000000"/>
          <w:kern w:val="0"/>
          <w:sz w:val="32"/>
          <w:szCs w:val="32"/>
          <w:shd w:val="clear" w:color="auto" w:fill="FFFFFF"/>
          <w:lang w:val="zh-CN"/>
        </w:rPr>
        <w:t>资产管理。</w:t>
      </w:r>
      <w:r>
        <w:rPr>
          <w:rFonts w:hint="eastAsia" w:ascii="仿宋_GB2312" w:hAnsi="仿宋_GB2312" w:eastAsia="仿宋_GB2312" w:cs="仿宋_GB2312"/>
          <w:color w:val="auto"/>
          <w:kern w:val="0"/>
          <w:sz w:val="32"/>
          <w:szCs w:val="32"/>
          <w:shd w:val="clear" w:color="auto" w:fill="FFFFFF"/>
          <w:lang w:val="zh-CN"/>
        </w:rPr>
        <w:t>人均资产变化率、资产利用率等指标表现稳定，</w:t>
      </w:r>
      <w:r>
        <w:rPr>
          <w:rFonts w:hint="default" w:ascii="Times New Roman" w:hAnsi="Times New Roman" w:eastAsia="仿宋_GB2312" w:cs="Times New Roman"/>
          <w:color w:val="000000"/>
          <w:kern w:val="0"/>
          <w:sz w:val="32"/>
          <w:szCs w:val="32"/>
          <w:shd w:val="clear" w:color="auto" w:fill="FFFFFF"/>
          <w:lang w:val="zh-CN"/>
        </w:rPr>
        <w:t>资产利用率</w:t>
      </w:r>
      <w:r>
        <w:rPr>
          <w:rFonts w:hint="default" w:ascii="Times New Roman" w:hAnsi="Times New Roman" w:eastAsia="仿宋_GB2312" w:cs="Times New Roman"/>
          <w:color w:val="000000"/>
          <w:kern w:val="0"/>
          <w:sz w:val="32"/>
          <w:szCs w:val="32"/>
          <w:shd w:val="clear" w:color="auto" w:fill="FFFFFF"/>
          <w:lang w:val="en-US" w:eastAsia="zh-CN"/>
        </w:rPr>
        <w:t>100%</w:t>
      </w:r>
      <w:r>
        <w:rPr>
          <w:rFonts w:hint="eastAsia" w:ascii="Times New Roman" w:hAnsi="Times New Roman" w:eastAsia="仿宋_GB2312" w:cs="Times New Roman"/>
          <w:color w:val="000000"/>
          <w:kern w:val="0"/>
          <w:sz w:val="32"/>
          <w:szCs w:val="32"/>
          <w:shd w:val="clear" w:color="auto" w:fill="FFFFFF"/>
          <w:lang w:val="en-US" w:eastAsia="zh-CN"/>
        </w:rPr>
        <w:t>，</w:t>
      </w:r>
      <w:r>
        <w:rPr>
          <w:rFonts w:hint="eastAsia" w:ascii="仿宋_GB2312" w:hAnsi="仿宋_GB2312" w:eastAsia="仿宋_GB2312" w:cs="仿宋_GB2312"/>
          <w:color w:val="auto"/>
          <w:kern w:val="0"/>
          <w:sz w:val="32"/>
          <w:szCs w:val="32"/>
          <w:shd w:val="clear" w:color="auto" w:fill="FFFFFF"/>
          <w:lang w:val="zh-CN"/>
        </w:rPr>
        <w:t>无闲置资产。</w:t>
      </w:r>
    </w:p>
    <w:p w14:paraId="34CE22EA">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color w:val="auto"/>
          <w:kern w:val="0"/>
          <w:sz w:val="32"/>
          <w:szCs w:val="32"/>
          <w:shd w:val="clear" w:color="auto" w:fill="FFFFFF"/>
          <w:lang w:val="zh-CN"/>
        </w:rPr>
      </w:pPr>
      <w:r>
        <w:rPr>
          <w:rFonts w:hint="eastAsia" w:ascii="仿宋_GB2312" w:hAnsi="仿宋_GB2312" w:eastAsia="仿宋_GB2312" w:cs="仿宋_GB2312"/>
          <w:color w:val="auto"/>
          <w:kern w:val="0"/>
          <w:sz w:val="32"/>
          <w:szCs w:val="32"/>
          <w:shd w:val="clear" w:color="auto" w:fill="FFFFFF"/>
          <w:lang w:val="en-US" w:eastAsia="zh-CN"/>
        </w:rPr>
        <w:t>5.</w:t>
      </w:r>
      <w:r>
        <w:rPr>
          <w:rFonts w:hint="eastAsia" w:ascii="仿宋_GB2312" w:hAnsi="仿宋_GB2312" w:eastAsia="仿宋_GB2312" w:cs="仿宋_GB2312"/>
          <w:color w:val="auto"/>
          <w:kern w:val="0"/>
          <w:sz w:val="32"/>
          <w:szCs w:val="32"/>
          <w:shd w:val="clear" w:color="auto" w:fill="FFFFFF"/>
          <w:lang w:val="zh-CN"/>
        </w:rPr>
        <w:t>采购管理。本部门严格执行政府采购促进中小企业发展相关管理办法，202</w:t>
      </w:r>
      <w:r>
        <w:rPr>
          <w:rFonts w:hint="eastAsia" w:ascii="仿宋_GB2312" w:hAnsi="仿宋_GB2312" w:eastAsia="仿宋_GB2312" w:cs="仿宋_GB2312"/>
          <w:color w:val="auto"/>
          <w:kern w:val="0"/>
          <w:sz w:val="32"/>
          <w:szCs w:val="32"/>
          <w:shd w:val="clear" w:color="auto" w:fill="FFFFFF"/>
          <w:lang w:val="en-US" w:eastAsia="zh-CN"/>
        </w:rPr>
        <w:t>5</w:t>
      </w:r>
      <w:r>
        <w:rPr>
          <w:rFonts w:hint="eastAsia" w:ascii="仿宋_GB2312" w:hAnsi="仿宋_GB2312" w:eastAsia="仿宋_GB2312" w:cs="仿宋_GB2312"/>
          <w:color w:val="auto"/>
          <w:kern w:val="0"/>
          <w:sz w:val="32"/>
          <w:szCs w:val="32"/>
          <w:shd w:val="clear" w:color="auto" w:fill="FFFFFF"/>
          <w:lang w:val="zh-CN"/>
        </w:rPr>
        <w:t>年执行政府采购资金良好，采购执行率</w:t>
      </w:r>
      <w:r>
        <w:rPr>
          <w:rFonts w:hint="eastAsia" w:ascii="仿宋_GB2312" w:hAnsi="仿宋_GB2312" w:eastAsia="仿宋_GB2312" w:cs="仿宋_GB2312"/>
          <w:color w:val="auto"/>
          <w:kern w:val="0"/>
          <w:sz w:val="32"/>
          <w:szCs w:val="32"/>
          <w:shd w:val="clear" w:color="auto" w:fill="FFFFFF"/>
          <w:lang w:val="en-US" w:eastAsia="zh-CN"/>
        </w:rPr>
        <w:t>100</w:t>
      </w:r>
      <w:r>
        <w:rPr>
          <w:rFonts w:hint="eastAsia" w:ascii="仿宋_GB2312" w:hAnsi="仿宋_GB2312" w:eastAsia="仿宋_GB2312" w:cs="仿宋_GB2312"/>
          <w:color w:val="auto"/>
          <w:kern w:val="0"/>
          <w:sz w:val="32"/>
          <w:szCs w:val="32"/>
          <w:shd w:val="clear" w:color="auto" w:fill="FFFFFF"/>
          <w:lang w:val="zh-CN"/>
        </w:rPr>
        <w:t>%。</w:t>
      </w:r>
    </w:p>
    <w:p w14:paraId="49E9A43A">
      <w:pPr>
        <w:numPr>
          <w:ilvl w:val="0"/>
          <w:numId w:val="0"/>
        </w:numPr>
        <w:pBdr>
          <w:bottom w:val="single" w:color="FFFFFF" w:sz="4" w:space="29"/>
        </w:pBdr>
        <w:tabs>
          <w:tab w:val="left" w:pos="1440"/>
        </w:tabs>
        <w:spacing w:line="560" w:lineRule="exact"/>
        <w:ind w:firstLine="643" w:firstLineChars="200"/>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en-US" w:eastAsia="zh-CN"/>
        </w:rPr>
        <w:t>(二）</w:t>
      </w:r>
      <w:r>
        <w:rPr>
          <w:rFonts w:hint="eastAsia" w:ascii="Times New Roman" w:hAnsi="Times New Roman" w:eastAsia="楷体_GB2312" w:cs="Times New Roman"/>
          <w:b/>
          <w:bCs/>
          <w:color w:val="000000"/>
          <w:kern w:val="0"/>
          <w:sz w:val="32"/>
          <w:szCs w:val="32"/>
          <w:highlight w:val="none"/>
          <w:shd w:val="clear" w:color="auto" w:fill="FFFFFF"/>
          <w:lang w:val="zh-CN"/>
        </w:rPr>
        <w:t>部门预算项目绩效分析</w:t>
      </w:r>
    </w:p>
    <w:p w14:paraId="0473AFB1">
      <w:pPr>
        <w:numPr>
          <w:ilvl w:val="0"/>
          <w:numId w:val="0"/>
        </w:numPr>
        <w:pBdr>
          <w:bottom w:val="single" w:color="FFFFFF" w:sz="4" w:space="29"/>
        </w:pBdr>
        <w:tabs>
          <w:tab w:val="left" w:pos="1440"/>
        </w:tabs>
        <w:spacing w:line="560" w:lineRule="exact"/>
        <w:ind w:firstLine="640" w:firstLineChars="200"/>
        <w:rPr>
          <w:rFonts w:hint="default" w:ascii="Times New Roman" w:hAnsi="Times New Roman" w:eastAsia="仿宋_GB2312" w:cs="Times New Roman"/>
          <w:color w:val="000000"/>
          <w:kern w:val="0"/>
          <w:sz w:val="32"/>
          <w:szCs w:val="32"/>
          <w:shd w:val="clear" w:color="auto" w:fill="FFFFFF"/>
          <w:lang w:val="zh-CN"/>
        </w:rPr>
      </w:pPr>
      <w:r>
        <w:rPr>
          <w:rFonts w:hint="eastAsia" w:ascii="仿宋_GB2312" w:hAnsi="仿宋_GB2312" w:eastAsia="仿宋_GB2312" w:cs="仿宋_GB2312"/>
          <w:color w:val="auto"/>
          <w:kern w:val="0"/>
          <w:sz w:val="32"/>
          <w:szCs w:val="32"/>
          <w:shd w:val="clear" w:color="auto" w:fill="FFFFFF"/>
        </w:rPr>
        <w:t>常年项目绩效分析。</w:t>
      </w:r>
      <w:r>
        <w:rPr>
          <w:rFonts w:hint="eastAsia" w:ascii="仿宋_GB2312" w:hAnsi="仿宋_GB2312" w:eastAsia="仿宋_GB2312" w:cs="仿宋_GB2312"/>
          <w:color w:val="auto"/>
          <w:kern w:val="0"/>
          <w:sz w:val="32"/>
          <w:szCs w:val="32"/>
          <w:shd w:val="clear" w:color="auto" w:fill="FFFFFF"/>
          <w:lang w:val="zh-CN"/>
        </w:rPr>
        <w:t>该类项目总数</w:t>
      </w:r>
      <w:r>
        <w:rPr>
          <w:rFonts w:hint="eastAsia" w:ascii="仿宋_GB2312" w:hAnsi="仿宋_GB2312" w:eastAsia="仿宋_GB2312" w:cs="仿宋_GB2312"/>
          <w:color w:val="auto"/>
          <w:kern w:val="0"/>
          <w:sz w:val="32"/>
          <w:szCs w:val="32"/>
          <w:shd w:val="clear" w:color="auto" w:fill="FFFFFF"/>
          <w:lang w:val="en-US" w:eastAsia="zh-CN"/>
        </w:rPr>
        <w:t>1</w:t>
      </w:r>
      <w:r>
        <w:rPr>
          <w:rFonts w:hint="eastAsia" w:ascii="仿宋_GB2312" w:hAnsi="仿宋_GB2312" w:eastAsia="仿宋_GB2312" w:cs="仿宋_GB2312"/>
          <w:color w:val="auto"/>
          <w:kern w:val="0"/>
          <w:sz w:val="32"/>
          <w:szCs w:val="32"/>
          <w:shd w:val="clear" w:color="auto" w:fill="FFFFFF"/>
          <w:lang w:val="zh-CN"/>
        </w:rPr>
        <w:t>个，涉及预算总金额</w:t>
      </w:r>
      <w:r>
        <w:rPr>
          <w:rFonts w:hint="eastAsia" w:ascii="仿宋_GB2312" w:hAnsi="仿宋_GB2312" w:eastAsia="仿宋_GB2312" w:cs="仿宋_GB2312"/>
          <w:color w:val="auto"/>
          <w:kern w:val="0"/>
          <w:sz w:val="32"/>
          <w:szCs w:val="32"/>
          <w:shd w:val="clear" w:color="auto" w:fill="FFFFFF"/>
        </w:rPr>
        <w:t xml:space="preserve"> </w:t>
      </w:r>
      <w:r>
        <w:rPr>
          <w:rFonts w:hint="eastAsia" w:ascii="仿宋_GB2312" w:hAnsi="仿宋_GB2312" w:eastAsia="仿宋_GB2312" w:cs="仿宋_GB2312"/>
          <w:color w:val="auto"/>
          <w:kern w:val="0"/>
          <w:sz w:val="32"/>
          <w:szCs w:val="32"/>
          <w:shd w:val="clear" w:color="auto" w:fill="FFFFFF"/>
          <w:lang w:val="en-US" w:eastAsia="zh-CN"/>
        </w:rPr>
        <w:t>158.02</w:t>
      </w:r>
      <w:r>
        <w:rPr>
          <w:rFonts w:hint="eastAsia" w:ascii="仿宋_GB2312" w:hAnsi="仿宋_GB2312" w:eastAsia="仿宋_GB2312" w:cs="仿宋_GB2312"/>
          <w:color w:val="auto"/>
          <w:kern w:val="0"/>
          <w:sz w:val="32"/>
          <w:szCs w:val="32"/>
          <w:shd w:val="clear" w:color="auto" w:fill="FFFFFF"/>
          <w:lang w:val="zh-CN"/>
        </w:rPr>
        <w:t>万元，1—1</w:t>
      </w:r>
      <w:r>
        <w:rPr>
          <w:rFonts w:hint="eastAsia" w:ascii="仿宋_GB2312" w:hAnsi="仿宋_GB2312" w:eastAsia="仿宋_GB2312" w:cs="仿宋_GB2312"/>
          <w:color w:val="auto"/>
          <w:kern w:val="0"/>
          <w:sz w:val="32"/>
          <w:szCs w:val="32"/>
          <w:shd w:val="clear" w:color="auto" w:fill="FFFFFF"/>
        </w:rPr>
        <w:t>2</w:t>
      </w:r>
      <w:r>
        <w:rPr>
          <w:rFonts w:hint="eastAsia" w:ascii="仿宋_GB2312" w:hAnsi="仿宋_GB2312" w:eastAsia="仿宋_GB2312" w:cs="仿宋_GB2312"/>
          <w:color w:val="auto"/>
          <w:kern w:val="0"/>
          <w:sz w:val="32"/>
          <w:szCs w:val="32"/>
          <w:shd w:val="clear" w:color="auto" w:fill="FFFFFF"/>
          <w:lang w:val="zh-CN"/>
        </w:rPr>
        <w:t>月预算执行总体进度为</w:t>
      </w:r>
      <w:r>
        <w:rPr>
          <w:rFonts w:hint="eastAsia" w:ascii="仿宋_GB2312" w:hAnsi="仿宋_GB2312" w:eastAsia="仿宋_GB2312" w:cs="仿宋_GB2312"/>
          <w:color w:val="auto"/>
          <w:kern w:val="0"/>
          <w:sz w:val="32"/>
          <w:szCs w:val="32"/>
          <w:shd w:val="clear" w:color="auto" w:fill="FFFFFF"/>
          <w:lang w:val="en-US" w:eastAsia="zh-CN"/>
        </w:rPr>
        <w:t>100</w:t>
      </w:r>
      <w:r>
        <w:rPr>
          <w:rFonts w:hint="eastAsia" w:ascii="仿宋_GB2312" w:hAnsi="仿宋_GB2312" w:eastAsia="仿宋_GB2312" w:cs="仿宋_GB2312"/>
          <w:color w:val="auto"/>
          <w:kern w:val="0"/>
          <w:sz w:val="32"/>
          <w:szCs w:val="32"/>
          <w:shd w:val="clear" w:color="auto" w:fill="FFFFFF"/>
          <w:lang w:val="zh-CN"/>
        </w:rPr>
        <w:t>%。</w:t>
      </w:r>
      <w:r>
        <w:rPr>
          <w:rFonts w:hint="default" w:ascii="Times New Roman" w:hAnsi="Times New Roman" w:eastAsia="仿宋_GB2312" w:cs="Times New Roman"/>
          <w:color w:val="000000"/>
          <w:kern w:val="0"/>
          <w:sz w:val="32"/>
          <w:szCs w:val="32"/>
          <w:shd w:val="clear" w:color="auto" w:fill="FFFFFF"/>
          <w:lang w:val="zh-CN"/>
        </w:rPr>
        <w:t>其中：预算结余率大于</w:t>
      </w:r>
      <w:r>
        <w:rPr>
          <w:rFonts w:hint="default" w:ascii="Times New Roman" w:hAnsi="Times New Roman" w:eastAsia="仿宋_GB2312" w:cs="Times New Roman"/>
          <w:color w:val="000000"/>
          <w:kern w:val="0"/>
          <w:sz w:val="32"/>
          <w:szCs w:val="32"/>
          <w:shd w:val="clear" w:color="auto" w:fill="FFFFFF"/>
        </w:rPr>
        <w:t>10%</w:t>
      </w:r>
      <w:r>
        <w:rPr>
          <w:rFonts w:hint="default" w:ascii="Times New Roman" w:hAnsi="Times New Roman" w:eastAsia="仿宋_GB2312" w:cs="Times New Roman"/>
          <w:color w:val="000000"/>
          <w:kern w:val="0"/>
          <w:sz w:val="32"/>
          <w:szCs w:val="32"/>
          <w:shd w:val="clear" w:color="auto" w:fill="FFFFFF"/>
          <w:lang w:val="zh-CN"/>
        </w:rPr>
        <w:t>的项目共计</w:t>
      </w:r>
      <w:r>
        <w:rPr>
          <w:rFonts w:hint="default" w:ascii="Times New Roman" w:hAnsi="Times New Roman" w:eastAsia="仿宋_GB2312" w:cs="Times New Roman"/>
          <w:color w:val="000000"/>
          <w:kern w:val="0"/>
          <w:sz w:val="32"/>
          <w:szCs w:val="32"/>
          <w:shd w:val="clear" w:color="auto" w:fill="FFFFFF"/>
          <w:lang w:val="en-US" w:eastAsia="zh-CN"/>
        </w:rPr>
        <w:t>0</w:t>
      </w:r>
      <w:r>
        <w:rPr>
          <w:rFonts w:hint="default" w:ascii="Times New Roman" w:hAnsi="Times New Roman" w:eastAsia="仿宋_GB2312" w:cs="Times New Roman"/>
          <w:color w:val="000000"/>
          <w:kern w:val="0"/>
          <w:sz w:val="32"/>
          <w:szCs w:val="32"/>
          <w:shd w:val="clear" w:color="auto" w:fill="FFFFFF"/>
          <w:lang w:val="zh-CN"/>
        </w:rPr>
        <w:t>个。</w:t>
      </w:r>
    </w:p>
    <w:p w14:paraId="314F303F">
      <w:pPr>
        <w:numPr>
          <w:ilvl w:val="0"/>
          <w:numId w:val="0"/>
        </w:numPr>
        <w:pBdr>
          <w:bottom w:val="single" w:color="FFFFFF" w:sz="4" w:space="29"/>
        </w:pBdr>
        <w:tabs>
          <w:tab w:val="left" w:pos="1440"/>
        </w:tabs>
        <w:spacing w:line="560" w:lineRule="exact"/>
        <w:ind w:firstLine="640" w:firstLineChars="200"/>
        <w:rPr>
          <w:rFonts w:hint="eastAsia"/>
          <w:lang w:val="en-US"/>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7</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1410.68</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94.38</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r>
        <w:rPr>
          <w:rFonts w:hint="eastAsia" w:eastAsia="仿宋_GB2312" w:cs="仿宋_GB2312"/>
          <w:color w:val="auto"/>
          <w:kern w:val="2"/>
          <w:sz w:val="32"/>
          <w:szCs w:val="32"/>
          <w:highlight w:val="none"/>
          <w:lang w:val="zh-CN" w:eastAsia="zh-CN" w:bidi="ar-SA"/>
        </w:rPr>
        <w:t>。</w:t>
      </w:r>
    </w:p>
    <w:p w14:paraId="132BF2A8">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color w:val="auto"/>
          <w:kern w:val="0"/>
          <w:sz w:val="32"/>
          <w:szCs w:val="32"/>
          <w:shd w:val="clear" w:color="auto" w:fill="FFFFFF"/>
          <w:lang w:val="zh-CN"/>
        </w:rPr>
      </w:pPr>
      <w:r>
        <w:rPr>
          <w:rFonts w:hint="eastAsia" w:ascii="Times New Roman" w:hAnsi="Times New Roman" w:eastAsia="楷体_GB2312" w:cs="Times New Roman"/>
          <w:b w:val="0"/>
          <w:bCs w:val="0"/>
          <w:color w:val="000000"/>
          <w:kern w:val="0"/>
          <w:sz w:val="32"/>
          <w:szCs w:val="32"/>
          <w:highlight w:val="none"/>
          <w:shd w:val="clear" w:color="auto" w:fill="FFFFFF"/>
          <w:lang w:val="en-US" w:eastAsia="zh-CN"/>
        </w:rPr>
        <w:t>1.</w:t>
      </w:r>
      <w:r>
        <w:rPr>
          <w:rFonts w:hint="eastAsia" w:ascii="Times New Roman" w:hAnsi="Times New Roman" w:eastAsia="楷体_GB2312" w:cs="Times New Roman"/>
          <w:b w:val="0"/>
          <w:bCs w:val="0"/>
          <w:color w:val="000000"/>
          <w:kern w:val="0"/>
          <w:sz w:val="32"/>
          <w:szCs w:val="32"/>
          <w:highlight w:val="none"/>
          <w:shd w:val="clear" w:color="auto" w:fill="FFFFFF"/>
          <w:lang w:val="zh-CN"/>
        </w:rPr>
        <w:t>项目决策。</w:t>
      </w:r>
      <w:r>
        <w:rPr>
          <w:rFonts w:hint="eastAsia" w:ascii="仿宋_GB2312" w:hAnsi="仿宋_GB2312" w:eastAsia="仿宋_GB2312" w:cs="仿宋_GB2312"/>
          <w:color w:val="auto"/>
          <w:kern w:val="0"/>
          <w:sz w:val="32"/>
          <w:szCs w:val="32"/>
          <w:shd w:val="clear" w:color="auto" w:fill="FFFFFF"/>
          <w:lang w:val="zh-CN"/>
        </w:rPr>
        <w:t>一是决策程序按规定履行评估论证、申报程序；二是预算项目绩效目标与计划期内的任务量、预算安排的资金量相匹配，绩效目标设置科学合理、规范完整、量化细化；三是预算项目项入库在规定时间完成项目入库申报。</w:t>
      </w:r>
    </w:p>
    <w:p w14:paraId="50DF696F">
      <w:pPr>
        <w:numPr>
          <w:ilvl w:val="0"/>
          <w:numId w:val="0"/>
        </w:numPr>
        <w:pBdr>
          <w:bottom w:val="single" w:color="FFFFFF" w:sz="4" w:space="29"/>
        </w:pBdr>
        <w:tabs>
          <w:tab w:val="left" w:pos="1440"/>
        </w:tabs>
        <w:spacing w:line="560" w:lineRule="exact"/>
        <w:ind w:firstLine="640" w:firstLineChars="200"/>
        <w:rPr>
          <w:rFonts w:hint="eastAsia" w:ascii="Times New Roman" w:hAnsi="Times New Roman" w:eastAsia="楷体_GB2312" w:cs="Times New Roman"/>
          <w:b w:val="0"/>
          <w:bCs w:val="0"/>
          <w:color w:val="000000"/>
          <w:kern w:val="0"/>
          <w:sz w:val="32"/>
          <w:szCs w:val="32"/>
          <w:highlight w:val="none"/>
          <w:shd w:val="clear" w:color="auto" w:fill="FFFFFF"/>
          <w:lang w:val="en-US" w:eastAsia="zh-CN"/>
        </w:rPr>
      </w:pPr>
      <w:r>
        <w:rPr>
          <w:rFonts w:hint="eastAsia" w:ascii="Times New Roman" w:hAnsi="Times New Roman" w:eastAsia="楷体_GB2312" w:cs="Times New Roman"/>
          <w:b w:val="0"/>
          <w:bCs w:val="0"/>
          <w:color w:val="000000"/>
          <w:kern w:val="0"/>
          <w:sz w:val="32"/>
          <w:szCs w:val="32"/>
          <w:highlight w:val="none"/>
          <w:shd w:val="clear" w:color="auto" w:fill="FFFFFF"/>
          <w:lang w:val="en-US" w:eastAsia="zh-CN"/>
        </w:rPr>
        <w:t>2.项目执行</w:t>
      </w:r>
    </w:p>
    <w:p w14:paraId="556343C0">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rPr>
        <w:t>村卫生室公共运转经费，预算数</w:t>
      </w:r>
      <w:r>
        <w:rPr>
          <w:rFonts w:hint="eastAsia" w:ascii="仿宋_GB2312" w:hAnsi="仿宋_GB2312" w:eastAsia="仿宋_GB2312" w:cs="仿宋_GB2312"/>
          <w:sz w:val="32"/>
          <w:szCs w:val="32"/>
          <w:lang w:val="en-US" w:eastAsia="zh-CN"/>
        </w:rPr>
        <w:t>7.26万元，支付数7.26万元，执行进度100%。</w:t>
      </w:r>
    </w:p>
    <w:p w14:paraId="50F49D49">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村医生生活补助，预算数158.02万元，支付数158.02万元，执行进度100%。</w:t>
      </w:r>
    </w:p>
    <w:p w14:paraId="367BE8BD">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计划生育家庭奖励，预算数3.27万元，支付数3.27万元，执行进度100%。</w:t>
      </w:r>
    </w:p>
    <w:p w14:paraId="43A9233A">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严重精神病患者监护人实施以奖代补补助资金，预算数52.54万元，支付数52.54万元，执行进度100%。</w:t>
      </w:r>
    </w:p>
    <w:p w14:paraId="6C28156C">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县级公立医院取消药品加成补助资金，预算数81.91万元，支付数81.91万元，执行进度100%。</w:t>
      </w:r>
    </w:p>
    <w:p w14:paraId="39182974">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基本公共卫生服务项目补助资金，预算数996.26万元，支付数923.22万元，执行进度92.67%。</w:t>
      </w:r>
    </w:p>
    <w:p w14:paraId="2F5A671B">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基层医疗卫生机构实施基本药物制度补助资金，预算数195.62万元，支付数184.46万元，执行进度94.37%。</w:t>
      </w:r>
    </w:p>
    <w:p w14:paraId="1EDABEE5">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i w:val="0"/>
          <w:iCs w:val="0"/>
          <w:color w:val="auto"/>
          <w:kern w:val="0"/>
          <w:sz w:val="32"/>
          <w:szCs w:val="32"/>
          <w:shd w:val="clear" w:color="auto" w:fill="FFFFFF"/>
          <w:lang w:val="zh-CN"/>
        </w:rPr>
      </w:pPr>
      <w:r>
        <w:rPr>
          <w:rFonts w:hint="eastAsia" w:ascii="Times New Roman" w:hAnsi="Times New Roman" w:eastAsia="楷体_GB2312" w:cs="Times New Roman"/>
          <w:b w:val="0"/>
          <w:bCs w:val="0"/>
          <w:color w:val="000000"/>
          <w:kern w:val="0"/>
          <w:sz w:val="32"/>
          <w:szCs w:val="32"/>
          <w:highlight w:val="none"/>
          <w:shd w:val="clear" w:color="auto" w:fill="FFFFFF"/>
          <w:lang w:val="en-US" w:eastAsia="zh-CN"/>
        </w:rPr>
        <w:t>3.</w:t>
      </w:r>
      <w:r>
        <w:rPr>
          <w:rFonts w:hint="eastAsia" w:ascii="Times New Roman" w:hAnsi="Times New Roman" w:eastAsia="楷体_GB2312" w:cs="Times New Roman"/>
          <w:b w:val="0"/>
          <w:bCs w:val="0"/>
          <w:color w:val="000000"/>
          <w:kern w:val="0"/>
          <w:sz w:val="32"/>
          <w:szCs w:val="32"/>
          <w:highlight w:val="none"/>
          <w:shd w:val="clear" w:color="auto" w:fill="FFFFFF"/>
          <w:lang w:val="zh-CN" w:eastAsia="zh-CN"/>
        </w:rPr>
        <w:t>目标实现。</w:t>
      </w:r>
      <w:r>
        <w:rPr>
          <w:rFonts w:hint="eastAsia" w:ascii="仿宋_GB2312" w:hAnsi="仿宋_GB2312" w:eastAsia="仿宋_GB2312" w:cs="仿宋_GB2312"/>
          <w:color w:val="auto"/>
          <w:kern w:val="0"/>
          <w:sz w:val="32"/>
          <w:szCs w:val="32"/>
          <w:shd w:val="clear" w:color="auto" w:fill="FFFFFF"/>
          <w:lang w:val="zh-CN"/>
        </w:rPr>
        <w:t>项目</w:t>
      </w:r>
      <w:r>
        <w:rPr>
          <w:rFonts w:hint="eastAsia" w:ascii="仿宋_GB2312" w:hAnsi="仿宋_GB2312" w:eastAsia="仿宋_GB2312" w:cs="仿宋_GB2312"/>
          <w:i w:val="0"/>
          <w:iCs w:val="0"/>
          <w:color w:val="auto"/>
          <w:kern w:val="0"/>
          <w:sz w:val="32"/>
          <w:szCs w:val="32"/>
          <w:shd w:val="clear" w:color="auto" w:fill="FFFFFF"/>
          <w:lang w:val="zh-CN"/>
        </w:rPr>
        <w:t>目标圆满完成，项目预算、目标、执行未出现偏离情况，实现效果显著，有效保障卫生计生事业各项工作有序推进。</w:t>
      </w:r>
    </w:p>
    <w:p w14:paraId="6838DC08">
      <w:pPr>
        <w:numPr>
          <w:ilvl w:val="0"/>
          <w:numId w:val="0"/>
        </w:numPr>
        <w:pBdr>
          <w:bottom w:val="single" w:color="FFFFFF" w:sz="4" w:space="29"/>
        </w:pBdr>
        <w:tabs>
          <w:tab w:val="left" w:pos="1440"/>
        </w:tabs>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我单位无</w:t>
      </w:r>
      <w:r>
        <w:rPr>
          <w:rFonts w:hint="default" w:ascii="Times New Roman" w:hAnsi="Times New Roman" w:eastAsia="仿宋_GB2312" w:cs="Times New Roman"/>
          <w:sz w:val="32"/>
          <w:szCs w:val="32"/>
        </w:rPr>
        <w:t>省级部门对202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年度一般公共预算、政府性基金预算、国有资本经营预算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以及债券资金、政府购买服务。</w:t>
      </w:r>
    </w:p>
    <w:p w14:paraId="11300DFE">
      <w:pPr>
        <w:numPr>
          <w:ilvl w:val="0"/>
          <w:numId w:val="2"/>
        </w:numPr>
        <w:pBdr>
          <w:bottom w:val="single" w:color="FFFFFF" w:sz="4" w:space="29"/>
        </w:pBdr>
        <w:tabs>
          <w:tab w:val="left" w:pos="1440"/>
        </w:tabs>
        <w:spacing w:line="560" w:lineRule="exact"/>
        <w:ind w:left="0" w:leftChars="0" w:firstLine="643" w:firstLineChars="200"/>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14:paraId="03F75671">
      <w:pPr>
        <w:numPr>
          <w:ilvl w:val="0"/>
          <w:numId w:val="0"/>
        </w:numPr>
        <w:pBdr>
          <w:bottom w:val="single" w:color="FFFFFF" w:sz="4" w:space="29"/>
        </w:pBdr>
        <w:tabs>
          <w:tab w:val="left" w:pos="1440"/>
        </w:tabs>
        <w:spacing w:line="560" w:lineRule="exact"/>
        <w:ind w:firstLine="640" w:firstLineChars="200"/>
        <w:rPr>
          <w:rStyle w:val="21"/>
          <w:rFonts w:hint="eastAsia" w:ascii="仿宋_GB2312" w:hAnsi="仿宋_GB2312" w:eastAsia="仿宋_GB2312" w:cs="仿宋_GB2312"/>
          <w:i w:val="0"/>
          <w:iCs/>
          <w:color w:val="auto"/>
          <w:kern w:val="0"/>
          <w:sz w:val="32"/>
          <w:szCs w:val="32"/>
          <w:shd w:val="clear" w:color="auto" w:fill="FFFFFF"/>
        </w:rPr>
      </w:pPr>
      <w:r>
        <w:rPr>
          <w:rStyle w:val="21"/>
          <w:rFonts w:hint="eastAsia" w:ascii="仿宋_GB2312" w:hAnsi="仿宋_GB2312" w:eastAsia="仿宋_GB2312" w:cs="仿宋_GB2312"/>
          <w:i w:val="0"/>
          <w:iCs/>
          <w:color w:val="auto"/>
          <w:kern w:val="0"/>
          <w:sz w:val="32"/>
          <w:szCs w:val="32"/>
          <w:shd w:val="clear" w:color="auto" w:fill="FFFFFF"/>
        </w:rPr>
        <w:t>严格按照财政资金绩效管理相关要求，坚持问题导向、结果导向、持续改进原则，将绩效评价结果作为项目资金调整、预算安排、项目整改、管理优化、后续立项的重要依据，切实把绩效评价成果转化为卫生服务提质增效的实际成效，杜绝资金低效、闲置、沉淀，保障公共卫生、医疗服务、基层卫健等项目规范落地。</w:t>
      </w:r>
    </w:p>
    <w:p w14:paraId="75FC1A30">
      <w:pPr>
        <w:numPr>
          <w:ilvl w:val="0"/>
          <w:numId w:val="5"/>
        </w:numPr>
        <w:pBdr>
          <w:bottom w:val="single" w:color="FFFFFF" w:sz="4" w:space="29"/>
        </w:pBdr>
        <w:tabs>
          <w:tab w:val="left" w:pos="1440"/>
        </w:tabs>
        <w:spacing w:line="560" w:lineRule="exact"/>
        <w:ind w:firstLine="640" w:firstLineChars="200"/>
        <w:rPr>
          <w:rFonts w:hint="eastAsia" w:ascii="黑体" w:hAnsi="黑体" w:eastAsia="黑体" w:cs="黑体"/>
          <w:b/>
          <w:bCs/>
          <w:color w:val="000000"/>
          <w:kern w:val="0"/>
          <w:sz w:val="32"/>
          <w:szCs w:val="32"/>
          <w:highlight w:val="none"/>
          <w:shd w:val="clear" w:color="auto" w:fill="FFFFFF"/>
          <w:lang w:val="zh-CN"/>
        </w:rPr>
      </w:pPr>
      <w:r>
        <w:rPr>
          <w:rFonts w:hint="eastAsia" w:ascii="黑体" w:hAnsi="黑体" w:eastAsia="黑体" w:cs="黑体"/>
          <w:color w:val="auto"/>
          <w:kern w:val="0"/>
          <w:sz w:val="32"/>
          <w:szCs w:val="32"/>
          <w:shd w:val="clear" w:color="auto" w:fill="FFFFFF"/>
        </w:rPr>
        <w:t>评价结论及建议</w:t>
      </w:r>
    </w:p>
    <w:p w14:paraId="7CE46660">
      <w:pPr>
        <w:numPr>
          <w:ilvl w:val="0"/>
          <w:numId w:val="6"/>
        </w:numPr>
        <w:pBdr>
          <w:bottom w:val="single" w:color="FFFFFF" w:sz="4" w:space="29"/>
        </w:pBdr>
        <w:tabs>
          <w:tab w:val="left" w:pos="1440"/>
        </w:tabs>
        <w:spacing w:line="560" w:lineRule="exact"/>
        <w:ind w:firstLine="643" w:firstLineChars="200"/>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评价结论</w:t>
      </w:r>
    </w:p>
    <w:p w14:paraId="79DE9EF3">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color w:val="auto"/>
          <w:kern w:val="0"/>
          <w:sz w:val="32"/>
          <w:szCs w:val="32"/>
          <w:shd w:val="clear" w:color="auto" w:fill="FFFFFF"/>
        </w:rPr>
        <w:t>202</w:t>
      </w:r>
      <w:r>
        <w:rPr>
          <w:rFonts w:hint="eastAsia" w:ascii="仿宋_GB2312" w:hAnsi="仿宋_GB2312" w:eastAsia="仿宋_GB2312" w:cs="仿宋_GB2312"/>
          <w:color w:val="auto"/>
          <w:kern w:val="0"/>
          <w:sz w:val="32"/>
          <w:szCs w:val="32"/>
          <w:shd w:val="clear" w:color="auto" w:fill="FFFFFF"/>
          <w:lang w:val="en-US" w:eastAsia="zh-CN"/>
        </w:rPr>
        <w:t>5</w:t>
      </w:r>
      <w:r>
        <w:rPr>
          <w:rFonts w:hint="eastAsia" w:ascii="仿宋_GB2312" w:hAnsi="仿宋_GB2312" w:eastAsia="仿宋_GB2312" w:cs="仿宋_GB2312"/>
          <w:color w:val="auto"/>
          <w:kern w:val="0"/>
          <w:sz w:val="32"/>
          <w:szCs w:val="32"/>
          <w:shd w:val="clear" w:color="auto" w:fill="FFFFFF"/>
        </w:rPr>
        <w:t>年我单位部门整体支出绩效评价自查自评结果良好，全年基本支出保证了部门的正常运行和日常工作的正常开展，项目支出保障了重点工作的开展，达到预期绩效目标</w:t>
      </w:r>
      <w:r>
        <w:rPr>
          <w:rFonts w:hint="eastAsia" w:ascii="仿宋_GB2312" w:hAnsi="仿宋_GB2312" w:eastAsia="仿宋_GB2312" w:cs="仿宋_GB2312"/>
          <w:color w:val="auto"/>
          <w:kern w:val="0"/>
          <w:sz w:val="32"/>
          <w:szCs w:val="32"/>
          <w:shd w:val="clear" w:color="auto" w:fill="FFFFFF"/>
          <w:lang w:eastAsia="zh-CN"/>
        </w:rPr>
        <w:t>；</w:t>
      </w:r>
      <w:r>
        <w:rPr>
          <w:rFonts w:hint="eastAsia" w:ascii="仿宋_GB2312" w:hAnsi="仿宋_GB2312" w:eastAsia="仿宋_GB2312" w:cs="仿宋_GB2312"/>
          <w:color w:val="auto"/>
          <w:kern w:val="0"/>
          <w:sz w:val="32"/>
          <w:szCs w:val="32"/>
          <w:shd w:val="clear" w:color="auto" w:fill="FFFFFF"/>
          <w:lang w:val="en-US" w:eastAsia="zh-CN"/>
        </w:rPr>
        <w:t>持续提升公共卫生服务、基本医疗服务质量，切实发挥卫生项目惠民实效。自评得分为85分。</w:t>
      </w:r>
    </w:p>
    <w:p w14:paraId="07D7103A">
      <w:pPr>
        <w:numPr>
          <w:ilvl w:val="0"/>
          <w:numId w:val="6"/>
        </w:numPr>
        <w:pBdr>
          <w:bottom w:val="single" w:color="FFFFFF" w:sz="4" w:space="29"/>
        </w:pBdr>
        <w:tabs>
          <w:tab w:val="left" w:pos="1440"/>
        </w:tabs>
        <w:spacing w:line="560" w:lineRule="exact"/>
        <w:ind w:left="0" w:leftChars="0" w:firstLine="643" w:firstLineChars="200"/>
        <w:rPr>
          <w:rFonts w:hint="eastAsia"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存在问题</w:t>
      </w:r>
    </w:p>
    <w:p w14:paraId="52645409">
      <w:pPr>
        <w:numPr>
          <w:ilvl w:val="0"/>
          <w:numId w:val="0"/>
        </w:numPr>
        <w:pBdr>
          <w:bottom w:val="single" w:color="FFFFFF" w:sz="4" w:space="29"/>
        </w:pBdr>
        <w:tabs>
          <w:tab w:val="left" w:pos="1440"/>
        </w:tabs>
        <w:spacing w:line="560" w:lineRule="exact"/>
        <w:ind w:firstLine="640" w:firstLineChars="200"/>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color w:val="auto"/>
          <w:kern w:val="0"/>
          <w:sz w:val="32"/>
          <w:szCs w:val="32"/>
          <w:shd w:val="clear" w:color="auto" w:fill="FFFFFF"/>
          <w:lang w:val="en-US" w:eastAsia="zh-CN"/>
        </w:rPr>
        <w:t>一是</w:t>
      </w:r>
      <w:r>
        <w:rPr>
          <w:rFonts w:hint="eastAsia" w:ascii="仿宋_GB2312" w:hAnsi="仿宋_GB2312" w:eastAsia="仿宋_GB2312" w:cs="仿宋_GB2312"/>
          <w:color w:val="auto"/>
          <w:kern w:val="0"/>
          <w:sz w:val="32"/>
          <w:szCs w:val="32"/>
          <w:shd w:val="clear" w:color="auto" w:fill="FFFFFF"/>
        </w:rPr>
        <w:t>绩效目标设置精细化、科学化程度不足</w:t>
      </w:r>
      <w:r>
        <w:rPr>
          <w:rFonts w:hint="eastAsia" w:ascii="仿宋_GB2312" w:hAnsi="仿宋_GB2312" w:eastAsia="仿宋_GB2312" w:cs="仿宋_GB2312"/>
          <w:color w:val="auto"/>
          <w:kern w:val="0"/>
          <w:sz w:val="32"/>
          <w:szCs w:val="32"/>
          <w:shd w:val="clear" w:color="auto" w:fill="FFFFFF"/>
          <w:lang w:eastAsia="zh-CN"/>
        </w:rPr>
        <w:t>；部分卫生项目绩效指标设置较为笼统，量化指标偏少、定性指标偏多，指标值缺乏充分测算依据，与项目实际实施贴合度不够。二是</w:t>
      </w:r>
      <w:r>
        <w:rPr>
          <w:rFonts w:hint="eastAsia" w:ascii="仿宋_GB2312" w:hAnsi="仿宋_GB2312" w:eastAsia="仿宋_GB2312" w:cs="仿宋_GB2312"/>
          <w:color w:val="auto"/>
          <w:kern w:val="0"/>
          <w:sz w:val="32"/>
          <w:szCs w:val="32"/>
          <w:shd w:val="clear" w:color="auto" w:fill="FFFFFF"/>
          <w:lang w:val="en-US" w:eastAsia="zh-CN"/>
        </w:rPr>
        <w:t>项目过程绩效管理不够扎实，重项目实施、轻绩效管控的现象仍然存在。项目日常推进中更多关注资金拨付、任务完成进度，对绩效指标动态跟踪、数据收集、过程监管力度不足。</w:t>
      </w:r>
    </w:p>
    <w:p w14:paraId="26C13D42">
      <w:pPr>
        <w:numPr>
          <w:ilvl w:val="0"/>
          <w:numId w:val="6"/>
        </w:numPr>
        <w:pBdr>
          <w:bottom w:val="single" w:color="FFFFFF" w:sz="4" w:space="29"/>
        </w:pBdr>
        <w:tabs>
          <w:tab w:val="left" w:pos="1440"/>
        </w:tabs>
        <w:spacing w:line="560" w:lineRule="exact"/>
        <w:ind w:left="0" w:leftChars="0" w:firstLine="643" w:firstLineChars="200"/>
        <w:rPr>
          <w:rFonts w:hint="eastAsia"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改进建议</w:t>
      </w:r>
      <w:bookmarkStart w:id="53" w:name="_Hlk110546638"/>
    </w:p>
    <w:p w14:paraId="65554CFA">
      <w:pPr>
        <w:numPr>
          <w:ilvl w:val="0"/>
          <w:numId w:val="0"/>
        </w:numPr>
        <w:pBdr>
          <w:bottom w:val="single" w:color="FFFFFF" w:sz="4" w:space="29"/>
        </w:pBdr>
        <w:tabs>
          <w:tab w:val="left" w:pos="1440"/>
        </w:tabs>
        <w:spacing w:line="560" w:lineRule="exact"/>
        <w:ind w:firstLine="640" w:firstLineChars="200"/>
        <w:rPr>
          <w:rFonts w:hint="eastAsia" w:ascii="仿宋_GB2312" w:eastAsia="仿宋_GB2312" w:cs="仿宋_GB2312"/>
          <w:color w:val="auto"/>
          <w:sz w:val="32"/>
          <w:szCs w:val="32"/>
        </w:rPr>
      </w:pPr>
      <w:r>
        <w:rPr>
          <w:rFonts w:hint="eastAsia" w:ascii="仿宋_GB2312" w:hAnsi="仿宋_GB2312" w:eastAsia="仿宋_GB2312" w:cs="仿宋_GB2312"/>
          <w:b w:val="0"/>
          <w:bCs w:val="0"/>
          <w:color w:val="auto"/>
          <w:kern w:val="0"/>
          <w:sz w:val="32"/>
          <w:szCs w:val="32"/>
          <w:shd w:val="clear" w:color="auto" w:fill="FFFFFF"/>
          <w:lang w:val="en-US" w:eastAsia="zh-CN"/>
        </w:rPr>
        <w:t>一是精准科学设定年度绩效目标，立足卫生项目工作实际，进一步细化、量化绩效指标体系，减少空泛定性指标，提高可量化、可考核、可核验指标占比。二是强化项目全过程绩效管理，建立事前谋划、事中监管、事后复盘的全流程绩效管控机制。常态化开展项目进度和绩效指标双调度，按月、按阶段跟踪指标完成情况，对进度滞后、指标偏弱的问题及时预警、及时纠偏。</w:t>
      </w:r>
      <w:bookmarkEnd w:id="53"/>
    </w:p>
    <w:p w14:paraId="5155837B">
      <w:pPr>
        <w:spacing w:line="540" w:lineRule="exact"/>
        <w:contextualSpacing/>
        <w:rPr>
          <w:rFonts w:hint="eastAsia" w:ascii="仿宋_GB2312" w:eastAsia="仿宋_GB2312" w:cs="仿宋_GB2312"/>
          <w:color w:val="auto"/>
          <w:sz w:val="32"/>
          <w:szCs w:val="32"/>
        </w:rPr>
      </w:pPr>
    </w:p>
    <w:p w14:paraId="1E6BFA7B">
      <w:pPr>
        <w:pStyle w:val="2"/>
        <w:rPr>
          <w:rFonts w:hint="eastAsia"/>
        </w:rPr>
      </w:pPr>
    </w:p>
    <w:p w14:paraId="72D75A2F">
      <w:pPr>
        <w:pStyle w:val="8"/>
        <w:keepNext w:val="0"/>
        <w:keepLines w:val="0"/>
        <w:pageBreakBefore w:val="0"/>
        <w:numPr>
          <w:ilvl w:val="0"/>
          <w:numId w:val="0"/>
        </w:numPr>
        <w:kinsoku/>
        <w:wordWrap/>
        <w:overflowPunct/>
        <w:topLinePunct w:val="0"/>
        <w:autoSpaceDE/>
        <w:autoSpaceDN/>
        <w:bidi w:val="0"/>
        <w:spacing w:line="576" w:lineRule="exact"/>
        <w:textAlignment w:val="auto"/>
        <w:rPr>
          <w:rFonts w:hint="eastAsia" w:ascii="方正小标宋简体" w:hAnsi="方正小标宋简体" w:eastAsia="方正小标宋简体" w:cs="方正小标宋简体"/>
          <w:kern w:val="2"/>
          <w:sz w:val="44"/>
          <w:szCs w:val="44"/>
          <w:u w:val="none"/>
          <w:lang w:val="en-US" w:eastAsia="zh-CN" w:bidi="ar"/>
        </w:rPr>
      </w:pPr>
    </w:p>
    <w:p w14:paraId="403B1AA7">
      <w:pPr>
        <w:pStyle w:val="8"/>
        <w:keepNext w:val="0"/>
        <w:keepLines w:val="0"/>
        <w:pageBreakBefore w:val="0"/>
        <w:numPr>
          <w:ilvl w:val="0"/>
          <w:numId w:val="0"/>
        </w:numPr>
        <w:kinsoku/>
        <w:wordWrap/>
        <w:overflowPunct/>
        <w:topLinePunct w:val="0"/>
        <w:autoSpaceDE/>
        <w:autoSpaceDN/>
        <w:bidi w:val="0"/>
        <w:spacing w:line="576" w:lineRule="exact"/>
        <w:jc w:val="both"/>
        <w:textAlignment w:val="auto"/>
        <w:rPr>
          <w:rFonts w:hint="eastAsia"/>
        </w:rPr>
      </w:pPr>
      <w:r>
        <w:rPr>
          <w:rFonts w:hint="eastAsia" w:ascii="方正小标宋简体" w:hAnsi="方正小标宋简体" w:eastAsia="方正小标宋简体" w:cs="方正小标宋简体"/>
          <w:kern w:val="2"/>
          <w:sz w:val="44"/>
          <w:szCs w:val="44"/>
          <w:u w:val="none"/>
          <w:lang w:val="en-US" w:eastAsia="zh-CN" w:bidi="ar"/>
        </w:rPr>
        <w:t>部门预算项目支出绩效自评表（2025年度）</w:t>
      </w:r>
    </w:p>
    <w:tbl>
      <w:tblPr>
        <w:tblStyle w:val="18"/>
        <w:tblpPr w:leftFromText="180" w:rightFromText="180" w:vertAnchor="text" w:horzAnchor="page" w:tblpX="1424" w:tblpY="1036"/>
        <w:tblOverlap w:val="never"/>
        <w:tblW w:w="93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8"/>
        <w:gridCol w:w="950"/>
        <w:gridCol w:w="916"/>
        <w:gridCol w:w="1568"/>
        <w:gridCol w:w="842"/>
        <w:gridCol w:w="947"/>
        <w:gridCol w:w="755"/>
        <w:gridCol w:w="1090"/>
        <w:gridCol w:w="516"/>
        <w:gridCol w:w="449"/>
        <w:gridCol w:w="654"/>
      </w:tblGrid>
      <w:tr w14:paraId="55B39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6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CA6C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名称</w:t>
            </w:r>
          </w:p>
        </w:tc>
        <w:tc>
          <w:tcPr>
            <w:tcW w:w="7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A7226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51322321T000000055213-村卫生室公共运转经费</w:t>
            </w:r>
          </w:p>
        </w:tc>
      </w:tr>
      <w:tr w14:paraId="62576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4" w:hRule="atLeast"/>
        </w:trPr>
        <w:tc>
          <w:tcPr>
            <w:tcW w:w="16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35C8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07669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茂县卫生健康局本级</w:t>
            </w:r>
          </w:p>
        </w:tc>
        <w:tc>
          <w:tcPr>
            <w:tcW w:w="1090" w:type="dxa"/>
            <w:tcBorders>
              <w:top w:val="nil"/>
              <w:left w:val="nil"/>
              <w:bottom w:val="nil"/>
              <w:right w:val="nil"/>
            </w:tcBorders>
            <w:shd w:val="clear" w:color="auto" w:fill="auto"/>
            <w:vAlign w:val="center"/>
          </w:tcPr>
          <w:p w14:paraId="1BC0AA6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实施单位 （盖章）</w:t>
            </w:r>
          </w:p>
        </w:tc>
        <w:tc>
          <w:tcPr>
            <w:tcW w:w="16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5228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r>
      <w:tr w14:paraId="39AB2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4814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8748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0C73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27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33AA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14:paraId="366E7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5E17A">
            <w:pP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83EF4">
            <w:pPr>
              <w:rPr>
                <w:rFonts w:hint="eastAsia" w:ascii="仿宋_GB2312" w:hAnsi="仿宋_GB2312" w:eastAsia="仿宋_GB2312" w:cs="仿宋_GB2312"/>
                <w:i w:val="0"/>
                <w:iCs w:val="0"/>
                <w:color w:val="000000"/>
                <w:sz w:val="20"/>
                <w:szCs w:val="20"/>
                <w:u w:val="none"/>
              </w:rPr>
            </w:pP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F30CC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加快村级卫生组织建设步伐，进一步稳定和巩固农村卫生人员队伍，健全农村改革卫生服务体系，确保农村卫生服务网络“网底”不破，实施乡村卫生服务一体化管理。　</w:t>
            </w:r>
          </w:p>
        </w:tc>
        <w:tc>
          <w:tcPr>
            <w:tcW w:w="27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C5BC7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加快村级卫生组织建设步伐，进一步稳定和巩固农村卫生人员队伍，健全农村改革卫生服务体系，确保农村卫生服务网络“网底”不破，实施乡村卫生服务一体化管理。　</w:t>
            </w:r>
          </w:p>
        </w:tc>
      </w:tr>
      <w:tr w14:paraId="38D6A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B370A">
            <w:pP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E09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7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B0EAFD">
            <w:pPr>
              <w:rPr>
                <w:rFonts w:hint="eastAsia" w:ascii="仿宋_GB2312" w:hAnsi="仿宋_GB2312" w:eastAsia="仿宋_GB2312" w:cs="仿宋_GB2312"/>
                <w:i w:val="0"/>
                <w:iCs w:val="0"/>
                <w:color w:val="000000"/>
                <w:sz w:val="20"/>
                <w:szCs w:val="20"/>
                <w:u w:val="none"/>
              </w:rPr>
            </w:pPr>
          </w:p>
        </w:tc>
      </w:tr>
      <w:tr w14:paraId="0E409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170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9A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F5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40F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37F8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DE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24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D6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27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14:paraId="6E1CE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5"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56024">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643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46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7.26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93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7.26</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9A75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7.26</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1D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81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14B6">
            <w:pPr>
              <w:jc w:val="center"/>
              <w:rPr>
                <w:rFonts w:hint="eastAsia" w:ascii="仿宋_GB2312" w:hAnsi="仿宋_GB2312" w:eastAsia="仿宋_GB2312" w:cs="仿宋_GB2312"/>
                <w:i w:val="0"/>
                <w:iCs w:val="0"/>
                <w:color w:val="000000"/>
                <w:sz w:val="20"/>
                <w:szCs w:val="20"/>
                <w:u w:val="none"/>
              </w:rPr>
            </w:pP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A3914">
            <w:pPr>
              <w:rPr>
                <w:rFonts w:hint="eastAsia" w:ascii="仿宋_GB2312" w:hAnsi="仿宋_GB2312" w:eastAsia="仿宋_GB2312" w:cs="仿宋_GB2312"/>
                <w:i w:val="0"/>
                <w:iCs w:val="0"/>
                <w:color w:val="000000"/>
                <w:sz w:val="20"/>
                <w:szCs w:val="20"/>
                <w:u w:val="none"/>
              </w:rPr>
            </w:pPr>
          </w:p>
        </w:tc>
      </w:tr>
      <w:tr w14:paraId="2C220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CF4BC">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80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D45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7.26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18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7.26</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F67A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7.26</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50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FC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F6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10FCA">
            <w:pPr>
              <w:rPr>
                <w:rFonts w:hint="eastAsia" w:ascii="仿宋_GB2312" w:hAnsi="仿宋_GB2312" w:eastAsia="仿宋_GB2312" w:cs="仿宋_GB2312"/>
                <w:i w:val="0"/>
                <w:iCs w:val="0"/>
                <w:color w:val="000000"/>
                <w:sz w:val="20"/>
                <w:szCs w:val="20"/>
                <w:u w:val="none"/>
              </w:rPr>
            </w:pPr>
          </w:p>
        </w:tc>
      </w:tr>
      <w:tr w14:paraId="4A0C1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EC864">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CD8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31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7E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D5D1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21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B0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D6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53753">
            <w:pPr>
              <w:rPr>
                <w:rFonts w:hint="eastAsia" w:ascii="仿宋_GB2312" w:hAnsi="仿宋_GB2312" w:eastAsia="仿宋_GB2312" w:cs="仿宋_GB2312"/>
                <w:i w:val="0"/>
                <w:iCs w:val="0"/>
                <w:color w:val="000000"/>
                <w:sz w:val="20"/>
                <w:szCs w:val="20"/>
                <w:u w:val="none"/>
              </w:rPr>
            </w:pPr>
          </w:p>
        </w:tc>
      </w:tr>
      <w:tr w14:paraId="7398C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EE1C6">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B5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109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36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BCBB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AA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A0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97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17AD2">
            <w:pPr>
              <w:rPr>
                <w:rFonts w:hint="eastAsia" w:ascii="仿宋_GB2312" w:hAnsi="仿宋_GB2312" w:eastAsia="仿宋_GB2312" w:cs="仿宋_GB2312"/>
                <w:i w:val="0"/>
                <w:iCs w:val="0"/>
                <w:color w:val="000000"/>
                <w:sz w:val="20"/>
                <w:szCs w:val="20"/>
                <w:u w:val="none"/>
              </w:rPr>
            </w:pPr>
          </w:p>
        </w:tc>
      </w:tr>
      <w:tr w14:paraId="0F7FC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484D4">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5A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27AE">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5FFF">
            <w:pPr>
              <w:jc w:val="center"/>
              <w:rPr>
                <w:rFonts w:hint="eastAsia" w:ascii="仿宋_GB2312" w:hAnsi="仿宋_GB2312" w:eastAsia="仿宋_GB2312" w:cs="仿宋_GB2312"/>
                <w:i w:val="0"/>
                <w:iCs w:val="0"/>
                <w:color w:val="000000"/>
                <w:sz w:val="20"/>
                <w:szCs w:val="20"/>
                <w:u w:val="none"/>
              </w:rPr>
            </w:pP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DDDA78">
            <w:pPr>
              <w:jc w:val="center"/>
              <w:rPr>
                <w:rFonts w:hint="eastAsia" w:ascii="仿宋_GB2312" w:hAnsi="仿宋_GB2312" w:eastAsia="仿宋_GB2312" w:cs="仿宋_GB2312"/>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D6E6">
            <w:pPr>
              <w:jc w:val="center"/>
              <w:rPr>
                <w:rFonts w:hint="eastAsia" w:ascii="仿宋_GB2312" w:hAnsi="仿宋_GB2312"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F6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531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00FD4">
            <w:pPr>
              <w:rPr>
                <w:rFonts w:hint="eastAsia" w:ascii="仿宋_GB2312" w:hAnsi="仿宋_GB2312" w:eastAsia="仿宋_GB2312" w:cs="仿宋_GB2312"/>
                <w:i w:val="0"/>
                <w:iCs w:val="0"/>
                <w:color w:val="000000"/>
                <w:sz w:val="20"/>
                <w:szCs w:val="20"/>
                <w:u w:val="none"/>
              </w:rPr>
            </w:pPr>
          </w:p>
        </w:tc>
      </w:tr>
      <w:tr w14:paraId="64011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03D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B5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EE3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E9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4B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AB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409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93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90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84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502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14:paraId="7EBBB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CA37C">
            <w:pPr>
              <w:jc w:val="center"/>
              <w:rPr>
                <w:rFonts w:hint="eastAsia" w:ascii="仿宋_GB2312" w:hAnsi="仿宋_GB2312" w:eastAsia="仿宋_GB2312" w:cs="仿宋_GB2312"/>
                <w:i w:val="0"/>
                <w:iCs w:val="0"/>
                <w:color w:val="000000"/>
                <w:sz w:val="20"/>
                <w:szCs w:val="20"/>
                <w:u w:val="none"/>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4500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2AC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00F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村医生数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7B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AC6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07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E9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121人</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23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73B5">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6520">
            <w:pPr>
              <w:jc w:val="center"/>
              <w:rPr>
                <w:rFonts w:hint="eastAsia" w:ascii="仿宋_GB2312" w:hAnsi="仿宋_GB2312" w:eastAsia="仿宋_GB2312" w:cs="仿宋_GB2312"/>
                <w:i w:val="0"/>
                <w:iCs w:val="0"/>
                <w:color w:val="000000"/>
                <w:sz w:val="20"/>
                <w:szCs w:val="20"/>
                <w:u w:val="none"/>
              </w:rPr>
            </w:pPr>
          </w:p>
        </w:tc>
      </w:tr>
      <w:tr w14:paraId="62504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C86C7">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5969B">
            <w:pPr>
              <w:jc w:val="center"/>
              <w:rPr>
                <w:rFonts w:hint="eastAsia" w:ascii="仿宋_GB2312" w:hAnsi="仿宋_GB2312"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9AE8A">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6E8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村卫生室个数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EC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A0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15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个</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FB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121个</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4C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C43E">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BBF9">
            <w:pPr>
              <w:jc w:val="center"/>
              <w:rPr>
                <w:rFonts w:hint="eastAsia" w:ascii="仿宋_GB2312" w:hAnsi="仿宋_GB2312" w:eastAsia="仿宋_GB2312" w:cs="仿宋_GB2312"/>
                <w:i w:val="0"/>
                <w:iCs w:val="0"/>
                <w:color w:val="000000"/>
                <w:sz w:val="20"/>
                <w:szCs w:val="20"/>
                <w:u w:val="none"/>
              </w:rPr>
            </w:pPr>
          </w:p>
        </w:tc>
      </w:tr>
      <w:tr w14:paraId="12FE5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8F7A9">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0FDCA">
            <w:pPr>
              <w:jc w:val="center"/>
              <w:rPr>
                <w:rFonts w:hint="eastAsia" w:ascii="仿宋_GB2312" w:hAnsi="仿宋_GB2312" w:eastAsia="仿宋_GB2312" w:cs="仿宋_GB2312"/>
                <w:i w:val="0"/>
                <w:iCs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2B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质量指标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9C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符合条件申报对象覆盖率</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72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4E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25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97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F49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4479">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2119">
            <w:pPr>
              <w:jc w:val="center"/>
              <w:rPr>
                <w:rFonts w:hint="eastAsia" w:ascii="仿宋_GB2312" w:hAnsi="仿宋_GB2312" w:eastAsia="仿宋_GB2312" w:cs="仿宋_GB2312"/>
                <w:i w:val="0"/>
                <w:iCs w:val="0"/>
                <w:color w:val="000000"/>
                <w:sz w:val="20"/>
                <w:szCs w:val="20"/>
                <w:u w:val="none"/>
              </w:rPr>
            </w:pPr>
          </w:p>
        </w:tc>
      </w:tr>
      <w:tr w14:paraId="3BD7A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2BB93">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042E9">
            <w:pPr>
              <w:jc w:val="center"/>
              <w:rPr>
                <w:rFonts w:hint="eastAsia" w:ascii="仿宋_GB2312" w:hAnsi="仿宋_GB2312" w:eastAsia="仿宋_GB2312" w:cs="仿宋_GB2312"/>
                <w:i w:val="0"/>
                <w:iCs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B81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时效指标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DE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完成时限</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2C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C5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2E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62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1年</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29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04CD">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48B6">
            <w:pPr>
              <w:jc w:val="center"/>
              <w:rPr>
                <w:rFonts w:hint="eastAsia" w:ascii="仿宋_GB2312" w:hAnsi="仿宋_GB2312" w:eastAsia="仿宋_GB2312" w:cs="仿宋_GB2312"/>
                <w:i w:val="0"/>
                <w:iCs w:val="0"/>
                <w:color w:val="000000"/>
                <w:sz w:val="20"/>
                <w:szCs w:val="20"/>
                <w:u w:val="none"/>
              </w:rPr>
            </w:pPr>
          </w:p>
        </w:tc>
      </w:tr>
      <w:tr w14:paraId="15879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F0BE1">
            <w:pPr>
              <w:jc w:val="center"/>
              <w:rPr>
                <w:rFonts w:hint="eastAsia" w:ascii="仿宋_GB2312" w:hAnsi="仿宋_GB2312" w:eastAsia="仿宋_GB2312" w:cs="仿宋_GB2312"/>
                <w:i w:val="0"/>
                <w:iCs w:val="0"/>
                <w:color w:val="000000"/>
                <w:sz w:val="20"/>
                <w:szCs w:val="20"/>
                <w:u w:val="none"/>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8F3A5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FEF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社会效益指标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38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巩固农村卫生人员队伍</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7C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8C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FBF06">
            <w:pPr>
              <w:jc w:val="center"/>
              <w:rPr>
                <w:rFonts w:hint="eastAsia" w:ascii="仿宋_GB2312" w:hAnsi="仿宋_GB2312" w:eastAsia="仿宋_GB2312" w:cs="仿宋_GB2312"/>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13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54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91F7">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BDCF">
            <w:pPr>
              <w:jc w:val="center"/>
              <w:rPr>
                <w:rFonts w:hint="eastAsia" w:ascii="仿宋_GB2312" w:hAnsi="仿宋_GB2312" w:eastAsia="仿宋_GB2312" w:cs="仿宋_GB2312"/>
                <w:i w:val="0"/>
                <w:iCs w:val="0"/>
                <w:color w:val="000000"/>
                <w:sz w:val="20"/>
                <w:szCs w:val="20"/>
                <w:u w:val="none"/>
              </w:rPr>
            </w:pPr>
          </w:p>
        </w:tc>
      </w:tr>
      <w:tr w14:paraId="54B41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F2D45">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2BECD">
            <w:pPr>
              <w:jc w:val="center"/>
              <w:rPr>
                <w:rFonts w:hint="eastAsia" w:ascii="仿宋_GB2312" w:hAnsi="仿宋_GB2312"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0F81F">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A1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健全农村改革卫生服务体系，确保农村卫生服务网络“网底”不破，实施乡村卫生服务一体化管理。</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B7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D09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1AD2">
            <w:pPr>
              <w:jc w:val="center"/>
              <w:rPr>
                <w:rFonts w:hint="eastAsia" w:ascii="仿宋_GB2312" w:hAnsi="仿宋_GB2312" w:eastAsia="仿宋_GB2312" w:cs="仿宋_GB2312"/>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BC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52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13E61">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82AE">
            <w:pPr>
              <w:jc w:val="center"/>
              <w:rPr>
                <w:rFonts w:hint="eastAsia" w:ascii="仿宋_GB2312" w:hAnsi="仿宋_GB2312" w:eastAsia="仿宋_GB2312" w:cs="仿宋_GB2312"/>
                <w:i w:val="0"/>
                <w:iCs w:val="0"/>
                <w:color w:val="000000"/>
                <w:sz w:val="20"/>
                <w:szCs w:val="20"/>
                <w:u w:val="none"/>
              </w:rPr>
            </w:pPr>
          </w:p>
        </w:tc>
      </w:tr>
      <w:tr w14:paraId="51ECC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926F1">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CD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8B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3D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群众满意度</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C7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2C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35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7D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EB5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D124">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D1A1">
            <w:pPr>
              <w:jc w:val="center"/>
              <w:rPr>
                <w:rFonts w:hint="eastAsia" w:ascii="仿宋_GB2312" w:hAnsi="仿宋_GB2312" w:eastAsia="仿宋_GB2312" w:cs="仿宋_GB2312"/>
                <w:i w:val="0"/>
                <w:iCs w:val="0"/>
                <w:color w:val="000000"/>
                <w:sz w:val="20"/>
                <w:szCs w:val="20"/>
                <w:u w:val="none"/>
              </w:rPr>
            </w:pPr>
          </w:p>
        </w:tc>
      </w:tr>
      <w:tr w14:paraId="21B7F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77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522C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F9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E610">
            <w:pP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409F">
            <w:pPr>
              <w:rPr>
                <w:rFonts w:hint="eastAsia" w:ascii="仿宋_GB2312" w:hAnsi="仿宋_GB2312" w:eastAsia="仿宋_GB2312" w:cs="仿宋_GB2312"/>
                <w:i w:val="0"/>
                <w:iCs w:val="0"/>
                <w:color w:val="000000"/>
                <w:sz w:val="20"/>
                <w:szCs w:val="20"/>
                <w:u w:val="none"/>
              </w:rPr>
            </w:pPr>
          </w:p>
        </w:tc>
      </w:tr>
      <w:tr w14:paraId="085F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41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C2707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加快村级卫生组织建设步伐，进一步稳定和巩固农村卫生人员队伍，健全农村改革卫生服务体系，确保农村卫生服务网络“网底”不破，实施乡村卫生服务一体化管理。</w:t>
            </w:r>
          </w:p>
        </w:tc>
      </w:tr>
      <w:tr w14:paraId="30DDB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EC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B82B4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4EE7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22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B75BE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6CA90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496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BE447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项目负责人：刘永凤</w:t>
            </w:r>
          </w:p>
        </w:tc>
        <w:tc>
          <w:tcPr>
            <w:tcW w:w="441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E2E59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财务负责人：屈雅欣</w:t>
            </w:r>
          </w:p>
        </w:tc>
      </w:tr>
      <w:tr w14:paraId="24DF4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8" w:type="dxa"/>
            <w:tcBorders>
              <w:top w:val="nil"/>
              <w:left w:val="nil"/>
              <w:bottom w:val="nil"/>
              <w:right w:val="nil"/>
            </w:tcBorders>
            <w:shd w:val="clear" w:color="auto" w:fill="auto"/>
            <w:vAlign w:val="center"/>
          </w:tcPr>
          <w:p w14:paraId="3D156D57">
            <w:pPr>
              <w:rPr>
                <w:rFonts w:hint="eastAsia" w:ascii="仿宋_GB2312" w:hAnsi="仿宋_GB2312" w:eastAsia="仿宋_GB2312" w:cs="仿宋_GB2312"/>
                <w:i w:val="0"/>
                <w:iCs w:val="0"/>
                <w:color w:val="000000"/>
                <w:sz w:val="20"/>
                <w:szCs w:val="20"/>
                <w:u w:val="none"/>
              </w:rPr>
            </w:pPr>
          </w:p>
        </w:tc>
        <w:tc>
          <w:tcPr>
            <w:tcW w:w="950" w:type="dxa"/>
            <w:tcBorders>
              <w:top w:val="nil"/>
              <w:left w:val="nil"/>
              <w:bottom w:val="nil"/>
              <w:right w:val="nil"/>
            </w:tcBorders>
            <w:shd w:val="clear" w:color="auto" w:fill="auto"/>
            <w:vAlign w:val="center"/>
          </w:tcPr>
          <w:p w14:paraId="1A0B8D1C">
            <w:pPr>
              <w:rPr>
                <w:rFonts w:hint="eastAsia" w:ascii="仿宋_GB2312" w:hAnsi="仿宋_GB2312" w:eastAsia="仿宋_GB2312" w:cs="仿宋_GB2312"/>
                <w:i w:val="0"/>
                <w:iCs w:val="0"/>
                <w:color w:val="000000"/>
                <w:sz w:val="20"/>
                <w:szCs w:val="20"/>
                <w:u w:val="none"/>
              </w:rPr>
            </w:pPr>
          </w:p>
        </w:tc>
        <w:tc>
          <w:tcPr>
            <w:tcW w:w="916" w:type="dxa"/>
            <w:tcBorders>
              <w:top w:val="nil"/>
              <w:left w:val="nil"/>
              <w:bottom w:val="nil"/>
              <w:right w:val="nil"/>
            </w:tcBorders>
            <w:shd w:val="clear" w:color="auto" w:fill="auto"/>
            <w:vAlign w:val="center"/>
          </w:tcPr>
          <w:p w14:paraId="00EEE356">
            <w:pPr>
              <w:rPr>
                <w:rFonts w:hint="eastAsia" w:ascii="仿宋_GB2312" w:hAnsi="仿宋_GB2312" w:eastAsia="仿宋_GB2312" w:cs="仿宋_GB2312"/>
                <w:i w:val="0"/>
                <w:iCs w:val="0"/>
                <w:color w:val="000000"/>
                <w:sz w:val="20"/>
                <w:szCs w:val="20"/>
                <w:u w:val="none"/>
              </w:rPr>
            </w:pPr>
          </w:p>
        </w:tc>
        <w:tc>
          <w:tcPr>
            <w:tcW w:w="1568" w:type="dxa"/>
            <w:tcBorders>
              <w:top w:val="nil"/>
              <w:left w:val="nil"/>
              <w:bottom w:val="nil"/>
              <w:right w:val="nil"/>
            </w:tcBorders>
            <w:shd w:val="clear" w:color="auto" w:fill="auto"/>
            <w:vAlign w:val="center"/>
          </w:tcPr>
          <w:p w14:paraId="7ECC7A2A">
            <w:pPr>
              <w:rPr>
                <w:rFonts w:hint="eastAsia" w:ascii="仿宋_GB2312" w:hAnsi="仿宋_GB2312" w:eastAsia="仿宋_GB2312" w:cs="仿宋_GB2312"/>
                <w:i w:val="0"/>
                <w:iCs w:val="0"/>
                <w:color w:val="000000"/>
                <w:sz w:val="20"/>
                <w:szCs w:val="20"/>
                <w:u w:val="none"/>
              </w:rPr>
            </w:pPr>
          </w:p>
        </w:tc>
        <w:tc>
          <w:tcPr>
            <w:tcW w:w="842" w:type="dxa"/>
            <w:tcBorders>
              <w:top w:val="nil"/>
              <w:left w:val="nil"/>
              <w:bottom w:val="nil"/>
              <w:right w:val="nil"/>
            </w:tcBorders>
            <w:shd w:val="clear" w:color="auto" w:fill="auto"/>
            <w:vAlign w:val="center"/>
          </w:tcPr>
          <w:p w14:paraId="035627B1">
            <w:pPr>
              <w:rPr>
                <w:rFonts w:hint="eastAsia" w:ascii="仿宋_GB2312" w:hAnsi="仿宋_GB2312" w:eastAsia="仿宋_GB2312" w:cs="仿宋_GB2312"/>
                <w:i w:val="0"/>
                <w:iCs w:val="0"/>
                <w:color w:val="000000"/>
                <w:sz w:val="20"/>
                <w:szCs w:val="20"/>
                <w:u w:val="none"/>
              </w:rPr>
            </w:pPr>
          </w:p>
        </w:tc>
        <w:tc>
          <w:tcPr>
            <w:tcW w:w="947" w:type="dxa"/>
            <w:tcBorders>
              <w:top w:val="nil"/>
              <w:left w:val="nil"/>
              <w:bottom w:val="nil"/>
              <w:right w:val="nil"/>
            </w:tcBorders>
            <w:shd w:val="clear" w:color="auto" w:fill="auto"/>
            <w:vAlign w:val="center"/>
          </w:tcPr>
          <w:p w14:paraId="7C99A3F2">
            <w:pPr>
              <w:rPr>
                <w:rFonts w:hint="eastAsia" w:ascii="仿宋_GB2312" w:hAnsi="仿宋_GB2312" w:eastAsia="仿宋_GB2312" w:cs="仿宋_GB2312"/>
                <w:i w:val="0"/>
                <w:iCs w:val="0"/>
                <w:color w:val="000000"/>
                <w:sz w:val="20"/>
                <w:szCs w:val="20"/>
                <w:u w:val="none"/>
              </w:rPr>
            </w:pPr>
          </w:p>
        </w:tc>
        <w:tc>
          <w:tcPr>
            <w:tcW w:w="755" w:type="dxa"/>
            <w:tcBorders>
              <w:top w:val="nil"/>
              <w:left w:val="nil"/>
              <w:bottom w:val="nil"/>
              <w:right w:val="nil"/>
            </w:tcBorders>
            <w:shd w:val="clear" w:color="auto" w:fill="auto"/>
            <w:vAlign w:val="center"/>
          </w:tcPr>
          <w:p w14:paraId="0B984B19">
            <w:pPr>
              <w:rPr>
                <w:rFonts w:hint="eastAsia" w:ascii="仿宋_GB2312" w:hAnsi="仿宋_GB2312" w:eastAsia="仿宋_GB2312" w:cs="仿宋_GB2312"/>
                <w:i w:val="0"/>
                <w:iCs w:val="0"/>
                <w:color w:val="000000"/>
                <w:sz w:val="20"/>
                <w:szCs w:val="20"/>
                <w:u w:val="none"/>
              </w:rPr>
            </w:pPr>
          </w:p>
        </w:tc>
        <w:tc>
          <w:tcPr>
            <w:tcW w:w="1090" w:type="dxa"/>
            <w:tcBorders>
              <w:top w:val="nil"/>
              <w:left w:val="nil"/>
              <w:bottom w:val="nil"/>
              <w:right w:val="nil"/>
            </w:tcBorders>
            <w:shd w:val="clear" w:color="auto" w:fill="auto"/>
            <w:vAlign w:val="center"/>
          </w:tcPr>
          <w:p w14:paraId="748E0331">
            <w:pPr>
              <w:rPr>
                <w:rFonts w:hint="eastAsia" w:ascii="仿宋_GB2312" w:hAnsi="仿宋_GB2312" w:eastAsia="仿宋_GB2312" w:cs="仿宋_GB2312"/>
                <w:i w:val="0"/>
                <w:iCs w:val="0"/>
                <w:color w:val="000000"/>
                <w:sz w:val="20"/>
                <w:szCs w:val="20"/>
                <w:u w:val="none"/>
              </w:rPr>
            </w:pPr>
          </w:p>
        </w:tc>
        <w:tc>
          <w:tcPr>
            <w:tcW w:w="516" w:type="dxa"/>
            <w:tcBorders>
              <w:top w:val="nil"/>
              <w:left w:val="nil"/>
              <w:bottom w:val="nil"/>
              <w:right w:val="nil"/>
            </w:tcBorders>
            <w:shd w:val="clear" w:color="auto" w:fill="auto"/>
            <w:vAlign w:val="center"/>
          </w:tcPr>
          <w:p w14:paraId="29966388">
            <w:pPr>
              <w:rPr>
                <w:rFonts w:hint="eastAsia" w:ascii="仿宋_GB2312" w:hAnsi="仿宋_GB2312" w:eastAsia="仿宋_GB2312" w:cs="仿宋_GB2312"/>
                <w:i w:val="0"/>
                <w:iCs w:val="0"/>
                <w:color w:val="000000"/>
                <w:sz w:val="20"/>
                <w:szCs w:val="20"/>
                <w:u w:val="none"/>
              </w:rPr>
            </w:pPr>
          </w:p>
        </w:tc>
        <w:tc>
          <w:tcPr>
            <w:tcW w:w="449" w:type="dxa"/>
            <w:tcBorders>
              <w:top w:val="nil"/>
              <w:left w:val="nil"/>
              <w:bottom w:val="nil"/>
              <w:right w:val="nil"/>
            </w:tcBorders>
            <w:shd w:val="clear" w:color="auto" w:fill="auto"/>
            <w:vAlign w:val="center"/>
          </w:tcPr>
          <w:p w14:paraId="44A0F00B">
            <w:pPr>
              <w:rPr>
                <w:rFonts w:hint="eastAsia" w:ascii="仿宋_GB2312" w:hAnsi="仿宋_GB2312" w:eastAsia="仿宋_GB2312" w:cs="仿宋_GB2312"/>
                <w:i w:val="0"/>
                <w:iCs w:val="0"/>
                <w:color w:val="000000"/>
                <w:sz w:val="20"/>
                <w:szCs w:val="20"/>
                <w:u w:val="none"/>
              </w:rPr>
            </w:pPr>
          </w:p>
        </w:tc>
        <w:tc>
          <w:tcPr>
            <w:tcW w:w="654" w:type="dxa"/>
            <w:tcBorders>
              <w:top w:val="nil"/>
              <w:left w:val="nil"/>
              <w:bottom w:val="nil"/>
              <w:right w:val="nil"/>
            </w:tcBorders>
            <w:shd w:val="clear" w:color="auto" w:fill="auto"/>
            <w:vAlign w:val="center"/>
          </w:tcPr>
          <w:p w14:paraId="1D39EF26">
            <w:pPr>
              <w:rPr>
                <w:rFonts w:hint="eastAsia" w:ascii="仿宋_GB2312" w:hAnsi="仿宋_GB2312" w:eastAsia="仿宋_GB2312" w:cs="仿宋_GB2312"/>
                <w:i w:val="0"/>
                <w:iCs w:val="0"/>
                <w:color w:val="000000"/>
                <w:sz w:val="20"/>
                <w:szCs w:val="20"/>
                <w:u w:val="none"/>
              </w:rPr>
            </w:pPr>
          </w:p>
        </w:tc>
      </w:tr>
      <w:tr w14:paraId="543E3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16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0744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项目名称</w:t>
            </w:r>
          </w:p>
        </w:tc>
        <w:tc>
          <w:tcPr>
            <w:tcW w:w="7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16611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51322321T000000056727-村医生生活补助</w:t>
            </w:r>
          </w:p>
        </w:tc>
      </w:tr>
      <w:tr w14:paraId="02621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6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A2F4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04024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茂县卫生健康局本级</w:t>
            </w:r>
          </w:p>
        </w:tc>
        <w:tc>
          <w:tcPr>
            <w:tcW w:w="1090" w:type="dxa"/>
            <w:tcBorders>
              <w:top w:val="nil"/>
              <w:left w:val="nil"/>
              <w:bottom w:val="nil"/>
              <w:right w:val="nil"/>
            </w:tcBorders>
            <w:shd w:val="clear" w:color="auto" w:fill="auto"/>
            <w:vAlign w:val="center"/>
          </w:tcPr>
          <w:p w14:paraId="079DB22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实施单位 （盖章）</w:t>
            </w:r>
          </w:p>
        </w:tc>
        <w:tc>
          <w:tcPr>
            <w:tcW w:w="16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5E3F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r>
      <w:tr w14:paraId="09F8A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838F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1296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B8CB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27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3C97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14:paraId="1BFB4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868E2">
            <w:pP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37A4E">
            <w:pPr>
              <w:rPr>
                <w:rFonts w:hint="eastAsia" w:ascii="仿宋_GB2312" w:hAnsi="仿宋_GB2312" w:eastAsia="仿宋_GB2312" w:cs="仿宋_GB2312"/>
                <w:i w:val="0"/>
                <w:iCs w:val="0"/>
                <w:color w:val="000000"/>
                <w:sz w:val="20"/>
                <w:szCs w:val="20"/>
                <w:u w:val="none"/>
              </w:rPr>
            </w:pP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92F17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加快村级卫生组织建设步伐，进一步稳定和巩固农村卫生人员队伍，健全农村改革卫生服务体系，确保农村卫生服务网络“网底”不破，实施乡村卫生服务一体化管理。</w:t>
            </w:r>
          </w:p>
        </w:tc>
        <w:tc>
          <w:tcPr>
            <w:tcW w:w="27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76025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加快村级卫生组织建设步伐，进一步稳定和巩固农村卫生人员队伍，健全农村改革卫生服务体系，确保农村卫生服务网络“网底”不破，实施乡村卫生服务一体化管理。　</w:t>
            </w:r>
          </w:p>
        </w:tc>
      </w:tr>
      <w:tr w14:paraId="3C147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040C7">
            <w:pP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4DC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7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B4D110">
            <w:pPr>
              <w:rPr>
                <w:rFonts w:hint="eastAsia" w:ascii="仿宋_GB2312" w:hAnsi="仿宋_GB2312" w:eastAsia="仿宋_GB2312" w:cs="仿宋_GB2312"/>
                <w:i w:val="0"/>
                <w:iCs w:val="0"/>
                <w:color w:val="000000"/>
                <w:sz w:val="20"/>
                <w:szCs w:val="20"/>
                <w:u w:val="none"/>
              </w:rPr>
            </w:pPr>
          </w:p>
        </w:tc>
      </w:tr>
      <w:tr w14:paraId="4E016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CD7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63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20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BF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5FD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BE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03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AD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C1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14:paraId="0521E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B9012">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522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31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107.448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D7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158.02</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B2E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158.02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18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FF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3B38">
            <w:pPr>
              <w:jc w:val="center"/>
              <w:rPr>
                <w:rFonts w:hint="eastAsia" w:ascii="仿宋_GB2312" w:hAnsi="仿宋_GB2312" w:eastAsia="仿宋_GB2312" w:cs="仿宋_GB2312"/>
                <w:i w:val="0"/>
                <w:iCs w:val="0"/>
                <w:color w:val="000000"/>
                <w:sz w:val="20"/>
                <w:szCs w:val="20"/>
                <w:u w:val="none"/>
              </w:rPr>
            </w:pP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C7B0F">
            <w:pPr>
              <w:rPr>
                <w:rFonts w:hint="eastAsia" w:ascii="仿宋_GB2312" w:hAnsi="仿宋_GB2312" w:eastAsia="仿宋_GB2312" w:cs="仿宋_GB2312"/>
                <w:i w:val="0"/>
                <w:iCs w:val="0"/>
                <w:color w:val="000000"/>
                <w:sz w:val="20"/>
                <w:szCs w:val="20"/>
                <w:u w:val="none"/>
              </w:rPr>
            </w:pPr>
          </w:p>
        </w:tc>
      </w:tr>
      <w:tr w14:paraId="432A4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C212B">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88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6B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107.448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3E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158.02</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A26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158.02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EBA5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39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D3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6FFA5">
            <w:pPr>
              <w:rPr>
                <w:rFonts w:hint="eastAsia" w:ascii="仿宋_GB2312" w:hAnsi="仿宋_GB2312" w:eastAsia="仿宋_GB2312" w:cs="仿宋_GB2312"/>
                <w:i w:val="0"/>
                <w:iCs w:val="0"/>
                <w:color w:val="000000"/>
                <w:sz w:val="20"/>
                <w:szCs w:val="20"/>
                <w:u w:val="none"/>
              </w:rPr>
            </w:pPr>
          </w:p>
        </w:tc>
      </w:tr>
      <w:tr w14:paraId="64E63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36B3F">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AA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2B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98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FB13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DA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A1F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60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13E78">
            <w:pPr>
              <w:rPr>
                <w:rFonts w:hint="eastAsia" w:ascii="仿宋_GB2312" w:hAnsi="仿宋_GB2312" w:eastAsia="仿宋_GB2312" w:cs="仿宋_GB2312"/>
                <w:i w:val="0"/>
                <w:iCs w:val="0"/>
                <w:color w:val="000000"/>
                <w:sz w:val="20"/>
                <w:szCs w:val="20"/>
                <w:u w:val="none"/>
              </w:rPr>
            </w:pPr>
          </w:p>
        </w:tc>
      </w:tr>
      <w:tr w14:paraId="3A00A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42BE1">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A6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A7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05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168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66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7B5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52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48439">
            <w:pPr>
              <w:rPr>
                <w:rFonts w:hint="eastAsia" w:ascii="仿宋_GB2312" w:hAnsi="仿宋_GB2312" w:eastAsia="仿宋_GB2312" w:cs="仿宋_GB2312"/>
                <w:i w:val="0"/>
                <w:iCs w:val="0"/>
                <w:color w:val="000000"/>
                <w:sz w:val="20"/>
                <w:szCs w:val="20"/>
                <w:u w:val="none"/>
              </w:rPr>
            </w:pPr>
          </w:p>
        </w:tc>
      </w:tr>
      <w:tr w14:paraId="0D942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F5A50">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C1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344E">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C175">
            <w:pPr>
              <w:jc w:val="center"/>
              <w:rPr>
                <w:rFonts w:hint="eastAsia" w:ascii="仿宋_GB2312" w:hAnsi="仿宋_GB2312" w:eastAsia="仿宋_GB2312" w:cs="仿宋_GB2312"/>
                <w:i w:val="0"/>
                <w:iCs w:val="0"/>
                <w:color w:val="000000"/>
                <w:sz w:val="20"/>
                <w:szCs w:val="20"/>
                <w:u w:val="none"/>
              </w:rPr>
            </w:pP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7C3CB8">
            <w:pPr>
              <w:jc w:val="center"/>
              <w:rPr>
                <w:rFonts w:hint="eastAsia" w:ascii="仿宋_GB2312" w:hAnsi="仿宋_GB2312" w:eastAsia="仿宋_GB2312" w:cs="仿宋_GB2312"/>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AFCE">
            <w:pPr>
              <w:jc w:val="center"/>
              <w:rPr>
                <w:rFonts w:hint="eastAsia" w:ascii="仿宋_GB2312" w:hAnsi="仿宋_GB2312"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FF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DE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EC22A">
            <w:pPr>
              <w:rPr>
                <w:rFonts w:hint="eastAsia" w:ascii="仿宋_GB2312" w:hAnsi="仿宋_GB2312" w:eastAsia="仿宋_GB2312" w:cs="仿宋_GB2312"/>
                <w:i w:val="0"/>
                <w:iCs w:val="0"/>
                <w:color w:val="000000"/>
                <w:sz w:val="20"/>
                <w:szCs w:val="20"/>
                <w:u w:val="none"/>
              </w:rPr>
            </w:pPr>
          </w:p>
        </w:tc>
      </w:tr>
      <w:tr w14:paraId="1FE25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FD8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5F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7E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58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D3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E5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67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7DE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19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08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17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14:paraId="5AF82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CB759">
            <w:pPr>
              <w:jc w:val="center"/>
              <w:rPr>
                <w:rFonts w:hint="eastAsia" w:ascii="仿宋_GB2312" w:hAnsi="仿宋_GB2312" w:eastAsia="仿宋_GB2312" w:cs="仿宋_GB2312"/>
                <w:i w:val="0"/>
                <w:iCs w:val="0"/>
                <w:color w:val="000000"/>
                <w:sz w:val="20"/>
                <w:szCs w:val="20"/>
                <w:u w:val="none"/>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7E7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15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F5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村医生生活补助人数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0AE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BD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6F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C0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121人</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36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EC094">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8D05">
            <w:pPr>
              <w:jc w:val="center"/>
              <w:rPr>
                <w:rFonts w:hint="eastAsia" w:ascii="仿宋_GB2312" w:hAnsi="仿宋_GB2312" w:eastAsia="仿宋_GB2312" w:cs="仿宋_GB2312"/>
                <w:i w:val="0"/>
                <w:iCs w:val="0"/>
                <w:color w:val="000000"/>
                <w:sz w:val="20"/>
                <w:szCs w:val="20"/>
                <w:u w:val="none"/>
              </w:rPr>
            </w:pPr>
          </w:p>
        </w:tc>
      </w:tr>
      <w:tr w14:paraId="11688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098AF">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15F7A">
            <w:pPr>
              <w:jc w:val="center"/>
              <w:rPr>
                <w:rFonts w:hint="eastAsia" w:ascii="仿宋_GB2312" w:hAnsi="仿宋_GB2312" w:eastAsia="仿宋_GB2312" w:cs="仿宋_GB2312"/>
                <w:i w:val="0"/>
                <w:iCs w:val="0"/>
                <w:color w:val="000000"/>
                <w:sz w:val="20"/>
                <w:szCs w:val="20"/>
                <w:u w:val="none"/>
              </w:rPr>
            </w:pP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19A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质量指标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F0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村医生县级配套标准</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950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46A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740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F7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元/月</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E7D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740元/月</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37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2E844">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98F3">
            <w:pPr>
              <w:jc w:val="center"/>
              <w:rPr>
                <w:rFonts w:hint="eastAsia" w:ascii="仿宋_GB2312" w:hAnsi="仿宋_GB2312" w:eastAsia="仿宋_GB2312" w:cs="仿宋_GB2312"/>
                <w:i w:val="0"/>
                <w:iCs w:val="0"/>
                <w:color w:val="000000"/>
                <w:sz w:val="20"/>
                <w:szCs w:val="20"/>
                <w:u w:val="none"/>
              </w:rPr>
            </w:pPr>
          </w:p>
        </w:tc>
      </w:tr>
      <w:tr w14:paraId="2AFC5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11A0A">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B5A84">
            <w:pPr>
              <w:jc w:val="center"/>
              <w:rPr>
                <w:rFonts w:hint="eastAsia" w:ascii="仿宋_GB2312" w:hAnsi="仿宋_GB2312"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81DAF">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46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符合政策规定</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32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2D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D8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56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40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CF23">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AF51">
            <w:pPr>
              <w:jc w:val="center"/>
              <w:rPr>
                <w:rFonts w:hint="eastAsia" w:ascii="仿宋_GB2312" w:hAnsi="仿宋_GB2312" w:eastAsia="仿宋_GB2312" w:cs="仿宋_GB2312"/>
                <w:i w:val="0"/>
                <w:iCs w:val="0"/>
                <w:color w:val="000000"/>
                <w:sz w:val="20"/>
                <w:szCs w:val="20"/>
                <w:u w:val="none"/>
              </w:rPr>
            </w:pPr>
          </w:p>
        </w:tc>
      </w:tr>
      <w:tr w14:paraId="3CD32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16A25">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ED4F4">
            <w:pPr>
              <w:jc w:val="center"/>
              <w:rPr>
                <w:rFonts w:hint="eastAsia" w:ascii="仿宋_GB2312" w:hAnsi="仿宋_GB2312"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D9775">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E3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全额发放村医生补助</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F9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7C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5F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94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1E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3EDE">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309B">
            <w:pPr>
              <w:jc w:val="center"/>
              <w:rPr>
                <w:rFonts w:hint="eastAsia" w:ascii="仿宋_GB2312" w:hAnsi="仿宋_GB2312" w:eastAsia="仿宋_GB2312" w:cs="仿宋_GB2312"/>
                <w:i w:val="0"/>
                <w:iCs w:val="0"/>
                <w:color w:val="000000"/>
                <w:sz w:val="20"/>
                <w:szCs w:val="20"/>
                <w:u w:val="none"/>
              </w:rPr>
            </w:pPr>
          </w:p>
        </w:tc>
      </w:tr>
      <w:tr w14:paraId="46336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4B92F">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68F3B">
            <w:pPr>
              <w:jc w:val="center"/>
              <w:rPr>
                <w:rFonts w:hint="eastAsia" w:ascii="仿宋_GB2312" w:hAnsi="仿宋_GB2312" w:eastAsia="仿宋_GB2312" w:cs="仿宋_GB2312"/>
                <w:i w:val="0"/>
                <w:iCs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3B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时效指标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87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完成时限</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83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B2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4D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B4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1年</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9C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BEEE">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BD57">
            <w:pPr>
              <w:jc w:val="center"/>
              <w:rPr>
                <w:rFonts w:hint="eastAsia" w:ascii="仿宋_GB2312" w:hAnsi="仿宋_GB2312" w:eastAsia="仿宋_GB2312" w:cs="仿宋_GB2312"/>
                <w:i w:val="0"/>
                <w:iCs w:val="0"/>
                <w:color w:val="000000"/>
                <w:sz w:val="20"/>
                <w:szCs w:val="20"/>
                <w:u w:val="none"/>
              </w:rPr>
            </w:pPr>
          </w:p>
        </w:tc>
      </w:tr>
      <w:tr w14:paraId="78110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583"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173B9">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18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CA7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社会效益指标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2F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加快村级卫生组织建设步伐，进一步稳定和巩固农村卫生人员队伍，健全农村改革卫生服务体系，确保农村卫生服务网络“网底”不破，实施乡村卫生服务一体化管理。</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D8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46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1C56">
            <w:pPr>
              <w:jc w:val="center"/>
              <w:rPr>
                <w:rFonts w:hint="eastAsia" w:ascii="仿宋_GB2312" w:hAnsi="仿宋_GB2312" w:eastAsia="仿宋_GB2312" w:cs="仿宋_GB2312"/>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20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76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C801">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E5E3">
            <w:pPr>
              <w:jc w:val="center"/>
              <w:rPr>
                <w:rFonts w:hint="eastAsia" w:ascii="仿宋_GB2312" w:hAnsi="仿宋_GB2312" w:eastAsia="仿宋_GB2312" w:cs="仿宋_GB2312"/>
                <w:i w:val="0"/>
                <w:iCs w:val="0"/>
                <w:color w:val="000000"/>
                <w:sz w:val="20"/>
                <w:szCs w:val="20"/>
                <w:u w:val="none"/>
              </w:rPr>
            </w:pPr>
          </w:p>
        </w:tc>
      </w:tr>
      <w:tr w14:paraId="0C496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5E711">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D41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5D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AA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群众满意度</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553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9F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A7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4CC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BE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259D">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F969">
            <w:pPr>
              <w:jc w:val="center"/>
              <w:rPr>
                <w:rFonts w:hint="eastAsia" w:ascii="仿宋_GB2312" w:hAnsi="仿宋_GB2312" w:eastAsia="仿宋_GB2312" w:cs="仿宋_GB2312"/>
                <w:i w:val="0"/>
                <w:iCs w:val="0"/>
                <w:color w:val="000000"/>
                <w:sz w:val="20"/>
                <w:szCs w:val="20"/>
                <w:u w:val="none"/>
              </w:rPr>
            </w:pPr>
          </w:p>
        </w:tc>
      </w:tr>
      <w:tr w14:paraId="33195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77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4D68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7E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72D6">
            <w:pP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32D0">
            <w:pPr>
              <w:rPr>
                <w:rFonts w:hint="eastAsia" w:ascii="仿宋_GB2312" w:hAnsi="仿宋_GB2312" w:eastAsia="仿宋_GB2312" w:cs="仿宋_GB2312"/>
                <w:i w:val="0"/>
                <w:iCs w:val="0"/>
                <w:color w:val="000000"/>
                <w:sz w:val="20"/>
                <w:szCs w:val="20"/>
                <w:u w:val="none"/>
              </w:rPr>
            </w:pPr>
          </w:p>
        </w:tc>
      </w:tr>
      <w:tr w14:paraId="76FDD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DB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0453C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加快村级卫生组织建设步伐，进一步稳定和巩固农村卫生人员队伍，健全农村改革卫生服务体系，确保农村卫生服务网络“网底”不破，实施乡村卫生服务一体化管理。</w:t>
            </w:r>
          </w:p>
        </w:tc>
      </w:tr>
      <w:tr w14:paraId="5E2F8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93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C2774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2CC11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A3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0C4EE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7CD98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496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04618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项目负责人：刘永凤</w:t>
            </w:r>
          </w:p>
        </w:tc>
        <w:tc>
          <w:tcPr>
            <w:tcW w:w="441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A4794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财务负责人：屈雅欣</w:t>
            </w:r>
          </w:p>
        </w:tc>
      </w:tr>
      <w:tr w14:paraId="2DF75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8" w:type="dxa"/>
            <w:tcBorders>
              <w:top w:val="nil"/>
              <w:left w:val="nil"/>
              <w:bottom w:val="nil"/>
              <w:right w:val="nil"/>
            </w:tcBorders>
            <w:shd w:val="clear" w:color="auto" w:fill="auto"/>
            <w:vAlign w:val="center"/>
          </w:tcPr>
          <w:p w14:paraId="5AC9C6EC">
            <w:pPr>
              <w:rPr>
                <w:rFonts w:hint="eastAsia" w:ascii="仿宋_GB2312" w:hAnsi="仿宋_GB2312" w:eastAsia="仿宋_GB2312" w:cs="仿宋_GB2312"/>
                <w:i w:val="0"/>
                <w:iCs w:val="0"/>
                <w:color w:val="000000"/>
                <w:sz w:val="20"/>
                <w:szCs w:val="20"/>
                <w:u w:val="none"/>
              </w:rPr>
            </w:pPr>
          </w:p>
        </w:tc>
        <w:tc>
          <w:tcPr>
            <w:tcW w:w="950" w:type="dxa"/>
            <w:tcBorders>
              <w:top w:val="nil"/>
              <w:left w:val="nil"/>
              <w:bottom w:val="nil"/>
              <w:right w:val="nil"/>
            </w:tcBorders>
            <w:shd w:val="clear" w:color="auto" w:fill="auto"/>
            <w:vAlign w:val="center"/>
          </w:tcPr>
          <w:p w14:paraId="5916F7E8">
            <w:pPr>
              <w:rPr>
                <w:rFonts w:hint="eastAsia" w:ascii="仿宋_GB2312" w:hAnsi="仿宋_GB2312" w:eastAsia="仿宋_GB2312" w:cs="仿宋_GB2312"/>
                <w:i w:val="0"/>
                <w:iCs w:val="0"/>
                <w:color w:val="000000"/>
                <w:sz w:val="20"/>
                <w:szCs w:val="20"/>
                <w:u w:val="none"/>
              </w:rPr>
            </w:pPr>
          </w:p>
        </w:tc>
        <w:tc>
          <w:tcPr>
            <w:tcW w:w="916" w:type="dxa"/>
            <w:tcBorders>
              <w:top w:val="nil"/>
              <w:left w:val="nil"/>
              <w:bottom w:val="nil"/>
              <w:right w:val="nil"/>
            </w:tcBorders>
            <w:shd w:val="clear" w:color="auto" w:fill="auto"/>
            <w:vAlign w:val="center"/>
          </w:tcPr>
          <w:p w14:paraId="5C31B90B">
            <w:pPr>
              <w:rPr>
                <w:rFonts w:hint="eastAsia" w:ascii="仿宋_GB2312" w:hAnsi="仿宋_GB2312" w:eastAsia="仿宋_GB2312" w:cs="仿宋_GB2312"/>
                <w:i w:val="0"/>
                <w:iCs w:val="0"/>
                <w:color w:val="000000"/>
                <w:sz w:val="20"/>
                <w:szCs w:val="20"/>
                <w:u w:val="none"/>
              </w:rPr>
            </w:pPr>
          </w:p>
        </w:tc>
        <w:tc>
          <w:tcPr>
            <w:tcW w:w="1568" w:type="dxa"/>
            <w:tcBorders>
              <w:top w:val="nil"/>
              <w:left w:val="nil"/>
              <w:bottom w:val="nil"/>
              <w:right w:val="nil"/>
            </w:tcBorders>
            <w:shd w:val="clear" w:color="auto" w:fill="auto"/>
            <w:vAlign w:val="center"/>
          </w:tcPr>
          <w:p w14:paraId="61334AF6">
            <w:pPr>
              <w:rPr>
                <w:rFonts w:hint="eastAsia" w:ascii="仿宋_GB2312" w:hAnsi="仿宋_GB2312" w:eastAsia="仿宋_GB2312" w:cs="仿宋_GB2312"/>
                <w:i w:val="0"/>
                <w:iCs w:val="0"/>
                <w:color w:val="000000"/>
                <w:sz w:val="20"/>
                <w:szCs w:val="20"/>
                <w:u w:val="none"/>
              </w:rPr>
            </w:pPr>
          </w:p>
        </w:tc>
        <w:tc>
          <w:tcPr>
            <w:tcW w:w="842" w:type="dxa"/>
            <w:tcBorders>
              <w:top w:val="nil"/>
              <w:left w:val="nil"/>
              <w:bottom w:val="nil"/>
              <w:right w:val="nil"/>
            </w:tcBorders>
            <w:shd w:val="clear" w:color="auto" w:fill="auto"/>
            <w:vAlign w:val="center"/>
          </w:tcPr>
          <w:p w14:paraId="603F8D9B">
            <w:pPr>
              <w:rPr>
                <w:rFonts w:hint="eastAsia" w:ascii="仿宋_GB2312" w:hAnsi="仿宋_GB2312" w:eastAsia="仿宋_GB2312" w:cs="仿宋_GB2312"/>
                <w:i w:val="0"/>
                <w:iCs w:val="0"/>
                <w:color w:val="000000"/>
                <w:sz w:val="20"/>
                <w:szCs w:val="20"/>
                <w:u w:val="none"/>
              </w:rPr>
            </w:pPr>
          </w:p>
        </w:tc>
        <w:tc>
          <w:tcPr>
            <w:tcW w:w="947" w:type="dxa"/>
            <w:tcBorders>
              <w:top w:val="nil"/>
              <w:left w:val="nil"/>
              <w:bottom w:val="nil"/>
              <w:right w:val="nil"/>
            </w:tcBorders>
            <w:shd w:val="clear" w:color="auto" w:fill="auto"/>
            <w:vAlign w:val="center"/>
          </w:tcPr>
          <w:p w14:paraId="7ED69CBA">
            <w:pPr>
              <w:rPr>
                <w:rFonts w:hint="eastAsia" w:ascii="仿宋_GB2312" w:hAnsi="仿宋_GB2312" w:eastAsia="仿宋_GB2312" w:cs="仿宋_GB2312"/>
                <w:i w:val="0"/>
                <w:iCs w:val="0"/>
                <w:color w:val="000000"/>
                <w:sz w:val="20"/>
                <w:szCs w:val="20"/>
                <w:u w:val="none"/>
              </w:rPr>
            </w:pPr>
          </w:p>
        </w:tc>
        <w:tc>
          <w:tcPr>
            <w:tcW w:w="755" w:type="dxa"/>
            <w:tcBorders>
              <w:top w:val="nil"/>
              <w:left w:val="nil"/>
              <w:bottom w:val="nil"/>
              <w:right w:val="nil"/>
            </w:tcBorders>
            <w:shd w:val="clear" w:color="auto" w:fill="auto"/>
            <w:vAlign w:val="center"/>
          </w:tcPr>
          <w:p w14:paraId="43A777F5">
            <w:pPr>
              <w:rPr>
                <w:rFonts w:hint="eastAsia" w:ascii="仿宋_GB2312" w:hAnsi="仿宋_GB2312" w:eastAsia="仿宋_GB2312" w:cs="仿宋_GB2312"/>
                <w:i w:val="0"/>
                <w:iCs w:val="0"/>
                <w:color w:val="000000"/>
                <w:sz w:val="20"/>
                <w:szCs w:val="20"/>
                <w:u w:val="none"/>
              </w:rPr>
            </w:pPr>
          </w:p>
        </w:tc>
        <w:tc>
          <w:tcPr>
            <w:tcW w:w="1090" w:type="dxa"/>
            <w:tcBorders>
              <w:top w:val="nil"/>
              <w:left w:val="nil"/>
              <w:bottom w:val="nil"/>
              <w:right w:val="nil"/>
            </w:tcBorders>
            <w:shd w:val="clear" w:color="auto" w:fill="auto"/>
            <w:vAlign w:val="center"/>
          </w:tcPr>
          <w:p w14:paraId="65C58F42">
            <w:pPr>
              <w:rPr>
                <w:rFonts w:hint="eastAsia" w:ascii="仿宋_GB2312" w:hAnsi="仿宋_GB2312" w:eastAsia="仿宋_GB2312" w:cs="仿宋_GB2312"/>
                <w:i w:val="0"/>
                <w:iCs w:val="0"/>
                <w:color w:val="000000"/>
                <w:sz w:val="20"/>
                <w:szCs w:val="20"/>
                <w:u w:val="none"/>
              </w:rPr>
            </w:pPr>
          </w:p>
        </w:tc>
        <w:tc>
          <w:tcPr>
            <w:tcW w:w="516" w:type="dxa"/>
            <w:tcBorders>
              <w:top w:val="nil"/>
              <w:left w:val="nil"/>
              <w:bottom w:val="nil"/>
              <w:right w:val="nil"/>
            </w:tcBorders>
            <w:shd w:val="clear" w:color="auto" w:fill="auto"/>
            <w:vAlign w:val="center"/>
          </w:tcPr>
          <w:p w14:paraId="1E633657">
            <w:pPr>
              <w:rPr>
                <w:rFonts w:hint="eastAsia" w:ascii="仿宋_GB2312" w:hAnsi="仿宋_GB2312" w:eastAsia="仿宋_GB2312" w:cs="仿宋_GB2312"/>
                <w:i w:val="0"/>
                <w:iCs w:val="0"/>
                <w:color w:val="000000"/>
                <w:sz w:val="20"/>
                <w:szCs w:val="20"/>
                <w:u w:val="none"/>
              </w:rPr>
            </w:pPr>
          </w:p>
        </w:tc>
        <w:tc>
          <w:tcPr>
            <w:tcW w:w="449" w:type="dxa"/>
            <w:tcBorders>
              <w:top w:val="nil"/>
              <w:left w:val="nil"/>
              <w:bottom w:val="nil"/>
              <w:right w:val="nil"/>
            </w:tcBorders>
            <w:shd w:val="clear" w:color="auto" w:fill="auto"/>
            <w:vAlign w:val="center"/>
          </w:tcPr>
          <w:p w14:paraId="050B82BB">
            <w:pPr>
              <w:rPr>
                <w:rFonts w:hint="eastAsia" w:ascii="仿宋_GB2312" w:hAnsi="仿宋_GB2312" w:eastAsia="仿宋_GB2312" w:cs="仿宋_GB2312"/>
                <w:i w:val="0"/>
                <w:iCs w:val="0"/>
                <w:color w:val="000000"/>
                <w:sz w:val="20"/>
                <w:szCs w:val="20"/>
                <w:u w:val="none"/>
              </w:rPr>
            </w:pPr>
          </w:p>
        </w:tc>
        <w:tc>
          <w:tcPr>
            <w:tcW w:w="654" w:type="dxa"/>
            <w:tcBorders>
              <w:top w:val="nil"/>
              <w:left w:val="nil"/>
              <w:bottom w:val="nil"/>
              <w:right w:val="nil"/>
            </w:tcBorders>
            <w:shd w:val="clear" w:color="auto" w:fill="auto"/>
            <w:vAlign w:val="center"/>
          </w:tcPr>
          <w:p w14:paraId="50AC15F1">
            <w:pPr>
              <w:rPr>
                <w:rFonts w:hint="eastAsia" w:ascii="仿宋_GB2312" w:hAnsi="仿宋_GB2312" w:eastAsia="仿宋_GB2312" w:cs="仿宋_GB2312"/>
                <w:i w:val="0"/>
                <w:iCs w:val="0"/>
                <w:color w:val="000000"/>
                <w:sz w:val="20"/>
                <w:szCs w:val="20"/>
                <w:u w:val="none"/>
              </w:rPr>
            </w:pPr>
          </w:p>
        </w:tc>
      </w:tr>
      <w:tr w14:paraId="31496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16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06FE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项目名称</w:t>
            </w:r>
          </w:p>
        </w:tc>
        <w:tc>
          <w:tcPr>
            <w:tcW w:w="7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2B228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51322321T000000056761-计划生育家庭奖励</w:t>
            </w:r>
          </w:p>
        </w:tc>
      </w:tr>
      <w:tr w14:paraId="20138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6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9C38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BEBFC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茂县卫生健康局本级</w:t>
            </w:r>
          </w:p>
        </w:tc>
        <w:tc>
          <w:tcPr>
            <w:tcW w:w="1090" w:type="dxa"/>
            <w:tcBorders>
              <w:top w:val="nil"/>
              <w:left w:val="nil"/>
              <w:bottom w:val="nil"/>
              <w:right w:val="nil"/>
            </w:tcBorders>
            <w:shd w:val="clear" w:color="auto" w:fill="auto"/>
            <w:vAlign w:val="center"/>
          </w:tcPr>
          <w:p w14:paraId="3D5FE5D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实施单位 （盖章）</w:t>
            </w:r>
          </w:p>
        </w:tc>
        <w:tc>
          <w:tcPr>
            <w:tcW w:w="16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4D7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r>
      <w:tr w14:paraId="1F716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C62A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90BA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8232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27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1406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14:paraId="7C312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11A94">
            <w:pP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B1BEF">
            <w:pPr>
              <w:rPr>
                <w:rFonts w:hint="eastAsia" w:ascii="仿宋_GB2312" w:hAnsi="仿宋_GB2312" w:eastAsia="仿宋_GB2312" w:cs="仿宋_GB2312"/>
                <w:i w:val="0"/>
                <w:iCs w:val="0"/>
                <w:color w:val="000000"/>
                <w:sz w:val="20"/>
                <w:szCs w:val="20"/>
                <w:u w:val="none"/>
              </w:rPr>
            </w:pP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D0D58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深入贯彻落实科学发展观，坚持以人为本，综合运用生活经济资源，对实行计划生育的家庭给予奖励、优待、救助。</w:t>
            </w:r>
          </w:p>
        </w:tc>
        <w:tc>
          <w:tcPr>
            <w:tcW w:w="27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3EB14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深入贯彻落实科学发展观，坚持以人为本，综合运用生活经济资源，对实行计划生育的家庭给予奖励、优待、救助</w:t>
            </w:r>
          </w:p>
        </w:tc>
      </w:tr>
      <w:tr w14:paraId="50132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9D453">
            <w:pP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CE06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7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56193D">
            <w:pPr>
              <w:rPr>
                <w:rFonts w:hint="eastAsia" w:ascii="仿宋_GB2312" w:hAnsi="仿宋_GB2312" w:eastAsia="仿宋_GB2312" w:cs="仿宋_GB2312"/>
                <w:i w:val="0"/>
                <w:iCs w:val="0"/>
                <w:color w:val="000000"/>
                <w:sz w:val="20"/>
                <w:szCs w:val="20"/>
                <w:u w:val="none"/>
              </w:rPr>
            </w:pPr>
          </w:p>
        </w:tc>
      </w:tr>
      <w:tr w14:paraId="0BCA3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82F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BB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9E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61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38CA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FA0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CA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B95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8AE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14:paraId="3AB7E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5"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DB6CB">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7D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C9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4.43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DE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3.27</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CC45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3.27</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9B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F8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B389">
            <w:pPr>
              <w:jc w:val="center"/>
              <w:rPr>
                <w:rFonts w:hint="eastAsia" w:ascii="仿宋_GB2312" w:hAnsi="仿宋_GB2312" w:eastAsia="仿宋_GB2312" w:cs="仿宋_GB2312"/>
                <w:i w:val="0"/>
                <w:iCs w:val="0"/>
                <w:color w:val="000000"/>
                <w:sz w:val="20"/>
                <w:szCs w:val="20"/>
                <w:u w:val="none"/>
              </w:rPr>
            </w:pP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EBB07">
            <w:pPr>
              <w:rPr>
                <w:rFonts w:hint="eastAsia" w:ascii="仿宋_GB2312" w:hAnsi="仿宋_GB2312" w:eastAsia="仿宋_GB2312" w:cs="仿宋_GB2312"/>
                <w:i w:val="0"/>
                <w:iCs w:val="0"/>
                <w:color w:val="000000"/>
                <w:sz w:val="20"/>
                <w:szCs w:val="20"/>
                <w:u w:val="none"/>
              </w:rPr>
            </w:pPr>
          </w:p>
        </w:tc>
      </w:tr>
      <w:tr w14:paraId="797DE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1E3CC">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BEF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3C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4.43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B5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3.27</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602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3.27</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B2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75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E16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27C2E">
            <w:pPr>
              <w:rPr>
                <w:rFonts w:hint="eastAsia" w:ascii="仿宋_GB2312" w:hAnsi="仿宋_GB2312" w:eastAsia="仿宋_GB2312" w:cs="仿宋_GB2312"/>
                <w:i w:val="0"/>
                <w:iCs w:val="0"/>
                <w:color w:val="000000"/>
                <w:sz w:val="20"/>
                <w:szCs w:val="20"/>
                <w:u w:val="none"/>
              </w:rPr>
            </w:pPr>
          </w:p>
        </w:tc>
      </w:tr>
      <w:tr w14:paraId="39D78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D18E1">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73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81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74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084E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0D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47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4C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9F258">
            <w:pPr>
              <w:rPr>
                <w:rFonts w:hint="eastAsia" w:ascii="仿宋_GB2312" w:hAnsi="仿宋_GB2312" w:eastAsia="仿宋_GB2312" w:cs="仿宋_GB2312"/>
                <w:i w:val="0"/>
                <w:iCs w:val="0"/>
                <w:color w:val="000000"/>
                <w:sz w:val="20"/>
                <w:szCs w:val="20"/>
                <w:u w:val="none"/>
              </w:rPr>
            </w:pPr>
          </w:p>
        </w:tc>
      </w:tr>
      <w:tr w14:paraId="2242B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D6485">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A2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78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7A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A122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0C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C8E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73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1D07F">
            <w:pPr>
              <w:rPr>
                <w:rFonts w:hint="eastAsia" w:ascii="仿宋_GB2312" w:hAnsi="仿宋_GB2312" w:eastAsia="仿宋_GB2312" w:cs="仿宋_GB2312"/>
                <w:i w:val="0"/>
                <w:iCs w:val="0"/>
                <w:color w:val="000000"/>
                <w:sz w:val="20"/>
                <w:szCs w:val="20"/>
                <w:u w:val="none"/>
              </w:rPr>
            </w:pPr>
          </w:p>
        </w:tc>
      </w:tr>
      <w:tr w14:paraId="28BA8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85BB7">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D4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0290A">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C82B1">
            <w:pPr>
              <w:jc w:val="center"/>
              <w:rPr>
                <w:rFonts w:hint="eastAsia" w:ascii="仿宋_GB2312" w:hAnsi="仿宋_GB2312" w:eastAsia="仿宋_GB2312" w:cs="仿宋_GB2312"/>
                <w:i w:val="0"/>
                <w:iCs w:val="0"/>
                <w:color w:val="000000"/>
                <w:sz w:val="20"/>
                <w:szCs w:val="20"/>
                <w:u w:val="none"/>
              </w:rPr>
            </w:pP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ABE41">
            <w:pPr>
              <w:jc w:val="center"/>
              <w:rPr>
                <w:rFonts w:hint="eastAsia" w:ascii="仿宋_GB2312" w:hAnsi="仿宋_GB2312" w:eastAsia="仿宋_GB2312" w:cs="仿宋_GB2312"/>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B633">
            <w:pPr>
              <w:jc w:val="center"/>
              <w:rPr>
                <w:rFonts w:hint="eastAsia" w:ascii="仿宋_GB2312" w:hAnsi="仿宋_GB2312"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58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22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27CF7">
            <w:pPr>
              <w:rPr>
                <w:rFonts w:hint="eastAsia" w:ascii="仿宋_GB2312" w:hAnsi="仿宋_GB2312" w:eastAsia="仿宋_GB2312" w:cs="仿宋_GB2312"/>
                <w:i w:val="0"/>
                <w:iCs w:val="0"/>
                <w:color w:val="000000"/>
                <w:sz w:val="20"/>
                <w:szCs w:val="20"/>
                <w:u w:val="none"/>
              </w:rPr>
            </w:pPr>
          </w:p>
        </w:tc>
      </w:tr>
      <w:tr w14:paraId="3822C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DE6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9E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5CD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69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27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2D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76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0D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90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971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B8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14:paraId="0F4A9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43F44">
            <w:pPr>
              <w:jc w:val="center"/>
              <w:rPr>
                <w:rFonts w:hint="eastAsia" w:ascii="仿宋_GB2312" w:hAnsi="仿宋_GB2312" w:eastAsia="仿宋_GB2312" w:cs="仿宋_GB2312"/>
                <w:i w:val="0"/>
                <w:iCs w:val="0"/>
                <w:color w:val="000000"/>
                <w:sz w:val="20"/>
                <w:szCs w:val="20"/>
                <w:u w:val="none"/>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A2D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7E8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7E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独生子女父母奖励人次</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57D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B1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205</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B6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人次</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84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198人</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7C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D09A8">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A8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人数减少</w:t>
            </w:r>
          </w:p>
        </w:tc>
      </w:tr>
      <w:tr w14:paraId="2DCA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CE553">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725E2">
            <w:pPr>
              <w:jc w:val="center"/>
              <w:rPr>
                <w:rFonts w:hint="eastAsia" w:ascii="仿宋_GB2312" w:hAnsi="仿宋_GB2312"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63571">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6F4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符合条件申报对象覆盖率</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8C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E5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14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DC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80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D0CFC">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C469">
            <w:pPr>
              <w:jc w:val="center"/>
              <w:rPr>
                <w:rFonts w:hint="eastAsia" w:ascii="仿宋_GB2312" w:hAnsi="仿宋_GB2312" w:eastAsia="仿宋_GB2312" w:cs="仿宋_GB2312"/>
                <w:i w:val="0"/>
                <w:iCs w:val="0"/>
                <w:color w:val="000000"/>
                <w:sz w:val="20"/>
                <w:szCs w:val="20"/>
                <w:u w:val="none"/>
              </w:rPr>
            </w:pPr>
          </w:p>
        </w:tc>
      </w:tr>
      <w:tr w14:paraId="16931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1797E">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10ABE">
            <w:pPr>
              <w:jc w:val="center"/>
              <w:rPr>
                <w:rFonts w:hint="eastAsia" w:ascii="仿宋_GB2312" w:hAnsi="仿宋_GB2312" w:eastAsia="仿宋_GB2312" w:cs="仿宋_GB2312"/>
                <w:i w:val="0"/>
                <w:iCs w:val="0"/>
                <w:color w:val="000000"/>
                <w:sz w:val="20"/>
                <w:szCs w:val="20"/>
                <w:u w:val="none"/>
              </w:rPr>
            </w:pP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232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质量指标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5D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奖励金及时完整发放</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CE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CD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C6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D9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89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2325">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23E2">
            <w:pPr>
              <w:jc w:val="center"/>
              <w:rPr>
                <w:rFonts w:hint="eastAsia" w:ascii="仿宋_GB2312" w:hAnsi="仿宋_GB2312" w:eastAsia="仿宋_GB2312" w:cs="仿宋_GB2312"/>
                <w:i w:val="0"/>
                <w:iCs w:val="0"/>
                <w:color w:val="000000"/>
                <w:sz w:val="20"/>
                <w:szCs w:val="20"/>
                <w:u w:val="none"/>
              </w:rPr>
            </w:pPr>
          </w:p>
        </w:tc>
      </w:tr>
      <w:tr w14:paraId="6593D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44F59">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CDE2A">
            <w:pPr>
              <w:jc w:val="center"/>
              <w:rPr>
                <w:rFonts w:hint="eastAsia" w:ascii="仿宋_GB2312" w:hAnsi="仿宋_GB2312"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04889">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A1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发放奖励金标准符合政策规定</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22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C6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6B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30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A2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8C14">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947F">
            <w:pPr>
              <w:jc w:val="center"/>
              <w:rPr>
                <w:rFonts w:hint="eastAsia" w:ascii="仿宋_GB2312" w:hAnsi="仿宋_GB2312" w:eastAsia="仿宋_GB2312" w:cs="仿宋_GB2312"/>
                <w:i w:val="0"/>
                <w:iCs w:val="0"/>
                <w:color w:val="000000"/>
                <w:sz w:val="20"/>
                <w:szCs w:val="20"/>
                <w:u w:val="none"/>
              </w:rPr>
            </w:pPr>
          </w:p>
        </w:tc>
      </w:tr>
      <w:tr w14:paraId="35C73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27889">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59DAE">
            <w:pPr>
              <w:jc w:val="center"/>
              <w:rPr>
                <w:rFonts w:hint="eastAsia" w:ascii="仿宋_GB2312" w:hAnsi="仿宋_GB2312" w:eastAsia="仿宋_GB2312" w:cs="仿宋_GB2312"/>
                <w:i w:val="0"/>
                <w:iCs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0CD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时效指标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38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完成时限</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E4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50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B0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367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1年</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17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A72C">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54AF">
            <w:pPr>
              <w:jc w:val="center"/>
              <w:rPr>
                <w:rFonts w:hint="eastAsia" w:ascii="仿宋_GB2312" w:hAnsi="仿宋_GB2312" w:eastAsia="仿宋_GB2312" w:cs="仿宋_GB2312"/>
                <w:i w:val="0"/>
                <w:iCs w:val="0"/>
                <w:color w:val="000000"/>
                <w:sz w:val="20"/>
                <w:szCs w:val="20"/>
                <w:u w:val="none"/>
              </w:rPr>
            </w:pPr>
          </w:p>
        </w:tc>
      </w:tr>
      <w:tr w14:paraId="5D2F7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3FADD">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9D8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64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社会效益指标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F805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深入贯彻落实科学发展观，坚持以人为本，综合运用生活经济资源，对实行计划生育的家庭给予奖励、优待、救助。</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3D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31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1DD7">
            <w:pPr>
              <w:jc w:val="center"/>
              <w:rPr>
                <w:rFonts w:hint="eastAsia" w:ascii="仿宋_GB2312" w:hAnsi="仿宋_GB2312" w:eastAsia="仿宋_GB2312" w:cs="仿宋_GB2312"/>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44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F13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22E5">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6B7C">
            <w:pPr>
              <w:jc w:val="center"/>
              <w:rPr>
                <w:rFonts w:hint="eastAsia" w:ascii="仿宋_GB2312" w:hAnsi="仿宋_GB2312" w:eastAsia="仿宋_GB2312" w:cs="仿宋_GB2312"/>
                <w:i w:val="0"/>
                <w:iCs w:val="0"/>
                <w:color w:val="000000"/>
                <w:sz w:val="20"/>
                <w:szCs w:val="20"/>
                <w:u w:val="none"/>
              </w:rPr>
            </w:pPr>
          </w:p>
        </w:tc>
      </w:tr>
      <w:tr w14:paraId="7CE5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0F0D6">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D9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9A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A9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群众满意度</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B4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2DF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BE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84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BC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D365">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8198">
            <w:pPr>
              <w:jc w:val="center"/>
              <w:rPr>
                <w:rFonts w:hint="eastAsia" w:ascii="仿宋_GB2312" w:hAnsi="仿宋_GB2312" w:eastAsia="仿宋_GB2312" w:cs="仿宋_GB2312"/>
                <w:i w:val="0"/>
                <w:iCs w:val="0"/>
                <w:color w:val="000000"/>
                <w:sz w:val="20"/>
                <w:szCs w:val="20"/>
                <w:u w:val="none"/>
              </w:rPr>
            </w:pPr>
          </w:p>
        </w:tc>
      </w:tr>
      <w:tr w14:paraId="36360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77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E646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7E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4457">
            <w:pP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3712">
            <w:pPr>
              <w:rPr>
                <w:rFonts w:hint="eastAsia" w:ascii="仿宋_GB2312" w:hAnsi="仿宋_GB2312" w:eastAsia="仿宋_GB2312" w:cs="仿宋_GB2312"/>
                <w:i w:val="0"/>
                <w:iCs w:val="0"/>
                <w:color w:val="000000"/>
                <w:sz w:val="20"/>
                <w:szCs w:val="20"/>
                <w:u w:val="none"/>
              </w:rPr>
            </w:pPr>
          </w:p>
        </w:tc>
      </w:tr>
      <w:tr w14:paraId="68FFD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C1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B69BC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深入贯彻落实科学发展观，坚持以人为本，综合运用生活经济资源，对实行计划生育的家庭给予奖励、优待、救助。</w:t>
            </w:r>
          </w:p>
        </w:tc>
      </w:tr>
      <w:tr w14:paraId="649EF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7D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6EC26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5561F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B8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56145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4DC50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496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E7E81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项目负责人：曾世珍</w:t>
            </w:r>
          </w:p>
        </w:tc>
        <w:tc>
          <w:tcPr>
            <w:tcW w:w="441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F40E6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财务负责人：屈雅欣</w:t>
            </w:r>
          </w:p>
        </w:tc>
      </w:tr>
      <w:tr w14:paraId="1F2C3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8" w:type="dxa"/>
            <w:tcBorders>
              <w:top w:val="nil"/>
              <w:left w:val="nil"/>
              <w:bottom w:val="nil"/>
              <w:right w:val="nil"/>
            </w:tcBorders>
            <w:shd w:val="clear" w:color="auto" w:fill="auto"/>
            <w:vAlign w:val="center"/>
          </w:tcPr>
          <w:p w14:paraId="50F5BCEE">
            <w:pPr>
              <w:rPr>
                <w:rFonts w:hint="eastAsia" w:ascii="仿宋_GB2312" w:hAnsi="仿宋_GB2312" w:eastAsia="仿宋_GB2312" w:cs="仿宋_GB2312"/>
                <w:i w:val="0"/>
                <w:iCs w:val="0"/>
                <w:color w:val="000000"/>
                <w:sz w:val="20"/>
                <w:szCs w:val="20"/>
                <w:u w:val="none"/>
              </w:rPr>
            </w:pPr>
          </w:p>
        </w:tc>
        <w:tc>
          <w:tcPr>
            <w:tcW w:w="950" w:type="dxa"/>
            <w:tcBorders>
              <w:top w:val="nil"/>
              <w:left w:val="nil"/>
              <w:bottom w:val="nil"/>
              <w:right w:val="nil"/>
            </w:tcBorders>
            <w:shd w:val="clear" w:color="auto" w:fill="auto"/>
            <w:vAlign w:val="center"/>
          </w:tcPr>
          <w:p w14:paraId="655BDB12">
            <w:pPr>
              <w:rPr>
                <w:rFonts w:hint="eastAsia" w:ascii="仿宋_GB2312" w:hAnsi="仿宋_GB2312" w:eastAsia="仿宋_GB2312" w:cs="仿宋_GB2312"/>
                <w:i w:val="0"/>
                <w:iCs w:val="0"/>
                <w:color w:val="000000"/>
                <w:sz w:val="20"/>
                <w:szCs w:val="20"/>
                <w:u w:val="none"/>
              </w:rPr>
            </w:pPr>
          </w:p>
        </w:tc>
        <w:tc>
          <w:tcPr>
            <w:tcW w:w="916" w:type="dxa"/>
            <w:tcBorders>
              <w:top w:val="nil"/>
              <w:left w:val="nil"/>
              <w:bottom w:val="nil"/>
              <w:right w:val="nil"/>
            </w:tcBorders>
            <w:shd w:val="clear" w:color="auto" w:fill="auto"/>
            <w:vAlign w:val="center"/>
          </w:tcPr>
          <w:p w14:paraId="362E9794">
            <w:pPr>
              <w:rPr>
                <w:rFonts w:hint="eastAsia" w:ascii="仿宋_GB2312" w:hAnsi="仿宋_GB2312" w:eastAsia="仿宋_GB2312" w:cs="仿宋_GB2312"/>
                <w:i w:val="0"/>
                <w:iCs w:val="0"/>
                <w:color w:val="000000"/>
                <w:sz w:val="20"/>
                <w:szCs w:val="20"/>
                <w:u w:val="none"/>
              </w:rPr>
            </w:pPr>
          </w:p>
        </w:tc>
        <w:tc>
          <w:tcPr>
            <w:tcW w:w="1568" w:type="dxa"/>
            <w:tcBorders>
              <w:top w:val="nil"/>
              <w:left w:val="nil"/>
              <w:bottom w:val="nil"/>
              <w:right w:val="nil"/>
            </w:tcBorders>
            <w:shd w:val="clear" w:color="auto" w:fill="auto"/>
            <w:vAlign w:val="center"/>
          </w:tcPr>
          <w:p w14:paraId="74320F21">
            <w:pPr>
              <w:rPr>
                <w:rFonts w:hint="eastAsia" w:ascii="仿宋_GB2312" w:hAnsi="仿宋_GB2312" w:eastAsia="仿宋_GB2312" w:cs="仿宋_GB2312"/>
                <w:i w:val="0"/>
                <w:iCs w:val="0"/>
                <w:color w:val="000000"/>
                <w:sz w:val="20"/>
                <w:szCs w:val="20"/>
                <w:u w:val="none"/>
              </w:rPr>
            </w:pPr>
          </w:p>
        </w:tc>
        <w:tc>
          <w:tcPr>
            <w:tcW w:w="842" w:type="dxa"/>
            <w:tcBorders>
              <w:top w:val="nil"/>
              <w:left w:val="nil"/>
              <w:bottom w:val="nil"/>
              <w:right w:val="nil"/>
            </w:tcBorders>
            <w:shd w:val="clear" w:color="auto" w:fill="auto"/>
            <w:vAlign w:val="center"/>
          </w:tcPr>
          <w:p w14:paraId="3BED1EBC">
            <w:pPr>
              <w:rPr>
                <w:rFonts w:hint="eastAsia" w:ascii="仿宋_GB2312" w:hAnsi="仿宋_GB2312" w:eastAsia="仿宋_GB2312" w:cs="仿宋_GB2312"/>
                <w:i w:val="0"/>
                <w:iCs w:val="0"/>
                <w:color w:val="000000"/>
                <w:sz w:val="20"/>
                <w:szCs w:val="20"/>
                <w:u w:val="none"/>
              </w:rPr>
            </w:pPr>
          </w:p>
        </w:tc>
        <w:tc>
          <w:tcPr>
            <w:tcW w:w="947" w:type="dxa"/>
            <w:tcBorders>
              <w:top w:val="nil"/>
              <w:left w:val="nil"/>
              <w:bottom w:val="nil"/>
              <w:right w:val="nil"/>
            </w:tcBorders>
            <w:shd w:val="clear" w:color="auto" w:fill="auto"/>
            <w:vAlign w:val="center"/>
          </w:tcPr>
          <w:p w14:paraId="70479C59">
            <w:pPr>
              <w:rPr>
                <w:rFonts w:hint="eastAsia" w:ascii="仿宋_GB2312" w:hAnsi="仿宋_GB2312" w:eastAsia="仿宋_GB2312" w:cs="仿宋_GB2312"/>
                <w:i w:val="0"/>
                <w:iCs w:val="0"/>
                <w:color w:val="000000"/>
                <w:sz w:val="20"/>
                <w:szCs w:val="20"/>
                <w:u w:val="none"/>
              </w:rPr>
            </w:pPr>
          </w:p>
        </w:tc>
        <w:tc>
          <w:tcPr>
            <w:tcW w:w="755" w:type="dxa"/>
            <w:tcBorders>
              <w:top w:val="nil"/>
              <w:left w:val="nil"/>
              <w:bottom w:val="nil"/>
              <w:right w:val="nil"/>
            </w:tcBorders>
            <w:shd w:val="clear" w:color="auto" w:fill="auto"/>
            <w:vAlign w:val="center"/>
          </w:tcPr>
          <w:p w14:paraId="6452FD18">
            <w:pPr>
              <w:rPr>
                <w:rFonts w:hint="eastAsia" w:ascii="仿宋_GB2312" w:hAnsi="仿宋_GB2312" w:eastAsia="仿宋_GB2312" w:cs="仿宋_GB2312"/>
                <w:i w:val="0"/>
                <w:iCs w:val="0"/>
                <w:color w:val="000000"/>
                <w:sz w:val="20"/>
                <w:szCs w:val="20"/>
                <w:u w:val="none"/>
              </w:rPr>
            </w:pPr>
          </w:p>
        </w:tc>
        <w:tc>
          <w:tcPr>
            <w:tcW w:w="1090" w:type="dxa"/>
            <w:tcBorders>
              <w:top w:val="nil"/>
              <w:left w:val="nil"/>
              <w:bottom w:val="nil"/>
              <w:right w:val="nil"/>
            </w:tcBorders>
            <w:shd w:val="clear" w:color="auto" w:fill="auto"/>
            <w:vAlign w:val="center"/>
          </w:tcPr>
          <w:p w14:paraId="00B39E95">
            <w:pPr>
              <w:rPr>
                <w:rFonts w:hint="eastAsia" w:ascii="仿宋_GB2312" w:hAnsi="仿宋_GB2312" w:eastAsia="仿宋_GB2312" w:cs="仿宋_GB2312"/>
                <w:i w:val="0"/>
                <w:iCs w:val="0"/>
                <w:color w:val="000000"/>
                <w:sz w:val="20"/>
                <w:szCs w:val="20"/>
                <w:u w:val="none"/>
              </w:rPr>
            </w:pPr>
          </w:p>
        </w:tc>
        <w:tc>
          <w:tcPr>
            <w:tcW w:w="516" w:type="dxa"/>
            <w:tcBorders>
              <w:top w:val="nil"/>
              <w:left w:val="nil"/>
              <w:bottom w:val="nil"/>
              <w:right w:val="nil"/>
            </w:tcBorders>
            <w:shd w:val="clear" w:color="auto" w:fill="auto"/>
            <w:vAlign w:val="center"/>
          </w:tcPr>
          <w:p w14:paraId="538947DF">
            <w:pPr>
              <w:rPr>
                <w:rFonts w:hint="eastAsia" w:ascii="仿宋_GB2312" w:hAnsi="仿宋_GB2312" w:eastAsia="仿宋_GB2312" w:cs="仿宋_GB2312"/>
                <w:i w:val="0"/>
                <w:iCs w:val="0"/>
                <w:color w:val="000000"/>
                <w:sz w:val="20"/>
                <w:szCs w:val="20"/>
                <w:u w:val="none"/>
              </w:rPr>
            </w:pPr>
          </w:p>
        </w:tc>
        <w:tc>
          <w:tcPr>
            <w:tcW w:w="449" w:type="dxa"/>
            <w:tcBorders>
              <w:top w:val="nil"/>
              <w:left w:val="nil"/>
              <w:bottom w:val="nil"/>
              <w:right w:val="nil"/>
            </w:tcBorders>
            <w:shd w:val="clear" w:color="auto" w:fill="auto"/>
            <w:vAlign w:val="center"/>
          </w:tcPr>
          <w:p w14:paraId="4581A397">
            <w:pPr>
              <w:rPr>
                <w:rFonts w:hint="eastAsia" w:ascii="仿宋_GB2312" w:hAnsi="仿宋_GB2312" w:eastAsia="仿宋_GB2312" w:cs="仿宋_GB2312"/>
                <w:i w:val="0"/>
                <w:iCs w:val="0"/>
                <w:color w:val="000000"/>
                <w:sz w:val="20"/>
                <w:szCs w:val="20"/>
                <w:u w:val="none"/>
              </w:rPr>
            </w:pPr>
          </w:p>
        </w:tc>
        <w:tc>
          <w:tcPr>
            <w:tcW w:w="654" w:type="dxa"/>
            <w:tcBorders>
              <w:top w:val="nil"/>
              <w:left w:val="nil"/>
              <w:bottom w:val="nil"/>
              <w:right w:val="nil"/>
            </w:tcBorders>
            <w:shd w:val="clear" w:color="auto" w:fill="auto"/>
            <w:vAlign w:val="center"/>
          </w:tcPr>
          <w:p w14:paraId="44FA9989">
            <w:pPr>
              <w:rPr>
                <w:rFonts w:hint="eastAsia" w:ascii="仿宋_GB2312" w:hAnsi="仿宋_GB2312" w:eastAsia="仿宋_GB2312" w:cs="仿宋_GB2312"/>
                <w:i w:val="0"/>
                <w:iCs w:val="0"/>
                <w:color w:val="000000"/>
                <w:sz w:val="20"/>
                <w:szCs w:val="20"/>
                <w:u w:val="none"/>
              </w:rPr>
            </w:pPr>
          </w:p>
        </w:tc>
      </w:tr>
      <w:tr w14:paraId="16599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16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076D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项目名称</w:t>
            </w:r>
          </w:p>
        </w:tc>
        <w:tc>
          <w:tcPr>
            <w:tcW w:w="7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8B6DA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51322321T000000056816-严重精神病患者监护人实施以奖代补补助资金</w:t>
            </w:r>
          </w:p>
        </w:tc>
      </w:tr>
      <w:tr w14:paraId="55FD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6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94DF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27F6A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茂县卫生健康局本级</w:t>
            </w:r>
          </w:p>
        </w:tc>
        <w:tc>
          <w:tcPr>
            <w:tcW w:w="1090" w:type="dxa"/>
            <w:tcBorders>
              <w:top w:val="nil"/>
              <w:left w:val="nil"/>
              <w:bottom w:val="nil"/>
              <w:right w:val="nil"/>
            </w:tcBorders>
            <w:shd w:val="clear" w:color="auto" w:fill="auto"/>
            <w:vAlign w:val="center"/>
          </w:tcPr>
          <w:p w14:paraId="608B559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实施单位 （盖章）</w:t>
            </w:r>
          </w:p>
        </w:tc>
        <w:tc>
          <w:tcPr>
            <w:tcW w:w="16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AF0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r>
      <w:tr w14:paraId="31089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898F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7DB88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1373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27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4001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14:paraId="5F901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C3901">
            <w:pP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4E475">
            <w:pPr>
              <w:rPr>
                <w:rFonts w:hint="eastAsia" w:ascii="仿宋_GB2312" w:hAnsi="仿宋_GB2312" w:eastAsia="仿宋_GB2312" w:cs="仿宋_GB2312"/>
                <w:i w:val="0"/>
                <w:iCs w:val="0"/>
                <w:color w:val="000000"/>
                <w:sz w:val="20"/>
                <w:szCs w:val="20"/>
                <w:u w:val="none"/>
              </w:rPr>
            </w:pPr>
          </w:p>
        </w:tc>
        <w:tc>
          <w:tcPr>
            <w:tcW w:w="50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C480E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通过以奖代补政策引导监护人承担好严重精神障碍患者的监护责任，切实防范严重精神障碍患者肇事肇祸案事件的发生。</w:t>
            </w:r>
          </w:p>
        </w:tc>
        <w:tc>
          <w:tcPr>
            <w:tcW w:w="27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108C5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通过以奖代补政策引导监护人承担好严重精神障碍患者的监护责任，切实防范严重精神障碍患者肇事肇祸案事件的发生</w:t>
            </w:r>
          </w:p>
        </w:tc>
      </w:tr>
      <w:tr w14:paraId="7DC12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8AD25">
            <w:pP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718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7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8DAEA9">
            <w:pPr>
              <w:rPr>
                <w:rFonts w:hint="eastAsia" w:ascii="仿宋_GB2312" w:hAnsi="仿宋_GB2312" w:eastAsia="仿宋_GB2312" w:cs="仿宋_GB2312"/>
                <w:i w:val="0"/>
                <w:iCs w:val="0"/>
                <w:color w:val="000000"/>
                <w:sz w:val="20"/>
                <w:szCs w:val="20"/>
                <w:u w:val="none"/>
              </w:rPr>
            </w:pPr>
          </w:p>
        </w:tc>
      </w:tr>
      <w:tr w14:paraId="4C9B2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E56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866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74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C0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8FE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3F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68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38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F8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14:paraId="7230A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5"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CE259">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0A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6C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37.66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43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52.54</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7C40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52.54</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6A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81E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39A4">
            <w:pPr>
              <w:jc w:val="center"/>
              <w:rPr>
                <w:rFonts w:hint="eastAsia" w:ascii="仿宋_GB2312" w:hAnsi="仿宋_GB2312" w:eastAsia="仿宋_GB2312" w:cs="仿宋_GB2312"/>
                <w:i w:val="0"/>
                <w:iCs w:val="0"/>
                <w:color w:val="000000"/>
                <w:sz w:val="20"/>
                <w:szCs w:val="20"/>
                <w:u w:val="none"/>
              </w:rPr>
            </w:pP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06946">
            <w:pPr>
              <w:rPr>
                <w:rFonts w:hint="eastAsia" w:ascii="仿宋_GB2312" w:hAnsi="仿宋_GB2312" w:eastAsia="仿宋_GB2312" w:cs="仿宋_GB2312"/>
                <w:i w:val="0"/>
                <w:iCs w:val="0"/>
                <w:color w:val="000000"/>
                <w:sz w:val="20"/>
                <w:szCs w:val="20"/>
                <w:u w:val="none"/>
              </w:rPr>
            </w:pPr>
          </w:p>
        </w:tc>
      </w:tr>
      <w:tr w14:paraId="75ACF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26DC2">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F2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4B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37.66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E0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52.54</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7EF3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52.54</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BE5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05E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7C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7464E">
            <w:pPr>
              <w:rPr>
                <w:rFonts w:hint="eastAsia" w:ascii="仿宋_GB2312" w:hAnsi="仿宋_GB2312" w:eastAsia="仿宋_GB2312" w:cs="仿宋_GB2312"/>
                <w:i w:val="0"/>
                <w:iCs w:val="0"/>
                <w:color w:val="000000"/>
                <w:sz w:val="20"/>
                <w:szCs w:val="20"/>
                <w:u w:val="none"/>
              </w:rPr>
            </w:pPr>
          </w:p>
        </w:tc>
      </w:tr>
      <w:tr w14:paraId="291E0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5CF7F">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8D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50B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43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46A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27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E3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96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5B153">
            <w:pPr>
              <w:rPr>
                <w:rFonts w:hint="eastAsia" w:ascii="仿宋_GB2312" w:hAnsi="仿宋_GB2312" w:eastAsia="仿宋_GB2312" w:cs="仿宋_GB2312"/>
                <w:i w:val="0"/>
                <w:iCs w:val="0"/>
                <w:color w:val="000000"/>
                <w:sz w:val="20"/>
                <w:szCs w:val="20"/>
                <w:u w:val="none"/>
              </w:rPr>
            </w:pPr>
          </w:p>
        </w:tc>
      </w:tr>
      <w:tr w14:paraId="06071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20452">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BFE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262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A97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23C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83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56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1A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496BE">
            <w:pPr>
              <w:rPr>
                <w:rFonts w:hint="eastAsia" w:ascii="仿宋_GB2312" w:hAnsi="仿宋_GB2312" w:eastAsia="仿宋_GB2312" w:cs="仿宋_GB2312"/>
                <w:i w:val="0"/>
                <w:iCs w:val="0"/>
                <w:color w:val="000000"/>
                <w:sz w:val="20"/>
                <w:szCs w:val="20"/>
                <w:u w:val="none"/>
              </w:rPr>
            </w:pPr>
          </w:p>
        </w:tc>
      </w:tr>
      <w:tr w14:paraId="5D903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71A0C">
            <w:pPr>
              <w:jc w:val="center"/>
              <w:rPr>
                <w:rFonts w:hint="eastAsia" w:ascii="仿宋_GB2312" w:hAnsi="仿宋_GB2312" w:eastAsia="仿宋_GB2312" w:cs="仿宋_GB2312"/>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FB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452C">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9B04">
            <w:pPr>
              <w:jc w:val="center"/>
              <w:rPr>
                <w:rFonts w:hint="eastAsia" w:ascii="仿宋_GB2312" w:hAnsi="仿宋_GB2312" w:eastAsia="仿宋_GB2312" w:cs="仿宋_GB2312"/>
                <w:i w:val="0"/>
                <w:iCs w:val="0"/>
                <w:color w:val="000000"/>
                <w:sz w:val="20"/>
                <w:szCs w:val="20"/>
                <w:u w:val="none"/>
              </w:rPr>
            </w:pPr>
          </w:p>
        </w:tc>
        <w:tc>
          <w:tcPr>
            <w:tcW w:w="25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B97F50">
            <w:pPr>
              <w:jc w:val="center"/>
              <w:rPr>
                <w:rFonts w:hint="eastAsia" w:ascii="仿宋_GB2312" w:hAnsi="仿宋_GB2312" w:eastAsia="仿宋_GB2312" w:cs="仿宋_GB2312"/>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B365">
            <w:pPr>
              <w:jc w:val="center"/>
              <w:rPr>
                <w:rFonts w:hint="eastAsia" w:ascii="仿宋_GB2312" w:hAnsi="仿宋_GB2312"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97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A29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560DC">
            <w:pPr>
              <w:rPr>
                <w:rFonts w:hint="eastAsia" w:ascii="仿宋_GB2312" w:hAnsi="仿宋_GB2312" w:eastAsia="仿宋_GB2312" w:cs="仿宋_GB2312"/>
                <w:i w:val="0"/>
                <w:iCs w:val="0"/>
                <w:color w:val="000000"/>
                <w:sz w:val="20"/>
                <w:szCs w:val="20"/>
                <w:u w:val="none"/>
              </w:rPr>
            </w:pPr>
          </w:p>
        </w:tc>
      </w:tr>
      <w:tr w14:paraId="608D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A35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7D0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D2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6B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A3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D5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91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16C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54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4C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6C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14:paraId="459D5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7C628">
            <w:pPr>
              <w:jc w:val="center"/>
              <w:rPr>
                <w:rFonts w:hint="eastAsia" w:ascii="仿宋_GB2312" w:hAnsi="仿宋_GB2312" w:eastAsia="仿宋_GB2312" w:cs="仿宋_GB2312"/>
                <w:i w:val="0"/>
                <w:iCs w:val="0"/>
                <w:color w:val="000000"/>
                <w:sz w:val="20"/>
                <w:szCs w:val="20"/>
                <w:u w:val="none"/>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B57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D7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EB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精神病患者监护人人数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CD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E8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269</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94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F4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263人</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65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9A99">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16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人数减少</w:t>
            </w:r>
          </w:p>
        </w:tc>
      </w:tr>
      <w:tr w14:paraId="38254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1EF5E">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37315">
            <w:pPr>
              <w:jc w:val="center"/>
              <w:rPr>
                <w:rFonts w:hint="eastAsia" w:ascii="仿宋_GB2312" w:hAnsi="仿宋_GB2312" w:eastAsia="仿宋_GB2312" w:cs="仿宋_GB2312"/>
                <w:i w:val="0"/>
                <w:iCs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A4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质量指标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54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全额发放补助资金</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54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E0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63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80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B0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6DA9">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43C5">
            <w:pPr>
              <w:jc w:val="center"/>
              <w:rPr>
                <w:rFonts w:hint="eastAsia" w:ascii="仿宋_GB2312" w:hAnsi="仿宋_GB2312" w:eastAsia="仿宋_GB2312" w:cs="仿宋_GB2312"/>
                <w:i w:val="0"/>
                <w:iCs w:val="0"/>
                <w:color w:val="000000"/>
                <w:sz w:val="20"/>
                <w:szCs w:val="20"/>
                <w:u w:val="none"/>
              </w:rPr>
            </w:pPr>
          </w:p>
        </w:tc>
      </w:tr>
      <w:tr w14:paraId="6F4E7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4EE52">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D2B9D">
            <w:pPr>
              <w:jc w:val="center"/>
              <w:rPr>
                <w:rFonts w:hint="eastAsia" w:ascii="仿宋_GB2312" w:hAnsi="仿宋_GB2312" w:eastAsia="仿宋_GB2312" w:cs="仿宋_GB2312"/>
                <w:i w:val="0"/>
                <w:iCs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8C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时效指标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12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完成时限</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A9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C8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42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D92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1年</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5D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FE20">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3FCB8">
            <w:pPr>
              <w:jc w:val="center"/>
              <w:rPr>
                <w:rFonts w:hint="eastAsia" w:ascii="仿宋_GB2312" w:hAnsi="仿宋_GB2312" w:eastAsia="仿宋_GB2312" w:cs="仿宋_GB2312"/>
                <w:i w:val="0"/>
                <w:iCs w:val="0"/>
                <w:color w:val="000000"/>
                <w:sz w:val="20"/>
                <w:szCs w:val="20"/>
                <w:u w:val="none"/>
              </w:rPr>
            </w:pPr>
          </w:p>
        </w:tc>
      </w:tr>
      <w:tr w14:paraId="468C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EBA0A">
            <w:pPr>
              <w:jc w:val="center"/>
              <w:rPr>
                <w:rFonts w:hint="eastAsia" w:ascii="仿宋_GB2312" w:hAnsi="仿宋_GB2312" w:eastAsia="仿宋_GB2312" w:cs="仿宋_GB2312"/>
                <w:i w:val="0"/>
                <w:iCs w:val="0"/>
                <w:color w:val="000000"/>
                <w:sz w:val="20"/>
                <w:szCs w:val="20"/>
                <w:u w:val="none"/>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DD6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7C2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社会效益指标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7C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通过以奖代补政策引导监护人承担好严重精神障碍患者的监护责任，切实防范严重精神障碍患者肇事肇祸案事件的发生。</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7E6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FD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AB09">
            <w:pPr>
              <w:jc w:val="center"/>
              <w:rPr>
                <w:rFonts w:hint="eastAsia" w:ascii="仿宋_GB2312" w:hAnsi="仿宋_GB2312" w:eastAsia="仿宋_GB2312" w:cs="仿宋_GB2312"/>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EE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69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124F">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99B3">
            <w:pPr>
              <w:jc w:val="center"/>
              <w:rPr>
                <w:rFonts w:hint="eastAsia" w:ascii="仿宋_GB2312" w:hAnsi="仿宋_GB2312" w:eastAsia="仿宋_GB2312" w:cs="仿宋_GB2312"/>
                <w:i w:val="0"/>
                <w:iCs w:val="0"/>
                <w:color w:val="000000"/>
                <w:sz w:val="20"/>
                <w:szCs w:val="20"/>
                <w:u w:val="none"/>
              </w:rPr>
            </w:pPr>
          </w:p>
        </w:tc>
      </w:tr>
      <w:tr w14:paraId="190EC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F9824">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C923E">
            <w:pPr>
              <w:jc w:val="center"/>
              <w:rPr>
                <w:rFonts w:hint="eastAsia" w:ascii="仿宋_GB2312" w:hAnsi="仿宋_GB2312"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2EC07">
            <w:pPr>
              <w:jc w:val="center"/>
              <w:rPr>
                <w:rFonts w:hint="eastAsia" w:ascii="仿宋_GB2312" w:hAnsi="仿宋_GB2312" w:eastAsia="仿宋_GB2312" w:cs="仿宋_GB2312"/>
                <w:i w:val="0"/>
                <w:iCs w:val="0"/>
                <w:color w:val="000000"/>
                <w:sz w:val="20"/>
                <w:szCs w:val="20"/>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B2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减少患者肇事维持社会稳定</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62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2A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7409">
            <w:pPr>
              <w:jc w:val="center"/>
              <w:rPr>
                <w:rFonts w:hint="eastAsia" w:ascii="仿宋_GB2312" w:hAnsi="仿宋_GB2312" w:eastAsia="仿宋_GB2312" w:cs="仿宋_GB2312"/>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36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良</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0B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8D81">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3902">
            <w:pPr>
              <w:jc w:val="center"/>
              <w:rPr>
                <w:rFonts w:hint="eastAsia" w:ascii="仿宋_GB2312" w:hAnsi="仿宋_GB2312" w:eastAsia="仿宋_GB2312" w:cs="仿宋_GB2312"/>
                <w:i w:val="0"/>
                <w:iCs w:val="0"/>
                <w:color w:val="000000"/>
                <w:sz w:val="20"/>
                <w:szCs w:val="20"/>
                <w:u w:val="none"/>
              </w:rPr>
            </w:pPr>
          </w:p>
        </w:tc>
      </w:tr>
      <w:tr w14:paraId="0FDD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28ABA">
            <w:pPr>
              <w:jc w:val="center"/>
              <w:rPr>
                <w:rFonts w:hint="eastAsia" w:ascii="仿宋_GB2312" w:hAnsi="仿宋_GB2312" w:eastAsia="仿宋_GB2312" w:cs="仿宋_GB2312"/>
                <w:i w:val="0"/>
                <w:iCs w:val="0"/>
                <w:color w:val="000000"/>
                <w:sz w:val="20"/>
                <w:szCs w:val="20"/>
                <w:u w:val="none"/>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01CA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5A2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80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群众满意度</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66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2B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603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ED0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B6F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8F08">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DE04">
            <w:pPr>
              <w:jc w:val="center"/>
              <w:rPr>
                <w:rFonts w:hint="eastAsia" w:ascii="仿宋_GB2312" w:hAnsi="仿宋_GB2312" w:eastAsia="仿宋_GB2312" w:cs="仿宋_GB2312"/>
                <w:i w:val="0"/>
                <w:iCs w:val="0"/>
                <w:color w:val="000000"/>
                <w:sz w:val="20"/>
                <w:szCs w:val="20"/>
                <w:u w:val="none"/>
              </w:rPr>
            </w:pPr>
          </w:p>
        </w:tc>
      </w:tr>
      <w:tr w14:paraId="66CFE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DD31B">
            <w:pPr>
              <w:jc w:val="center"/>
              <w:rPr>
                <w:rFonts w:hint="eastAsia" w:ascii="仿宋_GB2312" w:hAnsi="仿宋_GB2312" w:eastAsia="仿宋_GB2312" w:cs="仿宋_GB2312"/>
                <w:i w:val="0"/>
                <w:iCs w:val="0"/>
                <w:color w:val="000000"/>
                <w:sz w:val="20"/>
                <w:szCs w:val="20"/>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E28B2">
            <w:pPr>
              <w:jc w:val="center"/>
              <w:rPr>
                <w:rFonts w:hint="eastAsia" w:ascii="仿宋_GB2312" w:hAnsi="仿宋_GB2312" w:eastAsia="仿宋_GB2312" w:cs="仿宋_GB2312"/>
                <w:i w:val="0"/>
                <w:iCs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C3F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EE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受益群众满意度</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E4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5A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6D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FB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0A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32ED9">
            <w:pPr>
              <w:jc w:val="cente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CB68">
            <w:pPr>
              <w:jc w:val="center"/>
              <w:rPr>
                <w:rFonts w:hint="eastAsia" w:ascii="仿宋_GB2312" w:hAnsi="仿宋_GB2312" w:eastAsia="仿宋_GB2312" w:cs="仿宋_GB2312"/>
                <w:i w:val="0"/>
                <w:iCs w:val="0"/>
                <w:color w:val="000000"/>
                <w:sz w:val="20"/>
                <w:szCs w:val="20"/>
                <w:u w:val="none"/>
              </w:rPr>
            </w:pPr>
          </w:p>
        </w:tc>
      </w:tr>
      <w:tr w14:paraId="7C372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77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50F5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31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298B">
            <w:pPr>
              <w:rPr>
                <w:rFonts w:hint="eastAsia" w:ascii="仿宋_GB2312" w:hAnsi="仿宋_GB2312" w:eastAsia="仿宋_GB2312" w:cs="仿宋_GB2312"/>
                <w:i w:val="0"/>
                <w:iCs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8FB97">
            <w:pPr>
              <w:rPr>
                <w:rFonts w:hint="eastAsia" w:ascii="仿宋_GB2312" w:hAnsi="仿宋_GB2312" w:eastAsia="仿宋_GB2312" w:cs="仿宋_GB2312"/>
                <w:i w:val="0"/>
                <w:iCs w:val="0"/>
                <w:color w:val="000000"/>
                <w:sz w:val="20"/>
                <w:szCs w:val="20"/>
                <w:u w:val="none"/>
              </w:rPr>
            </w:pPr>
          </w:p>
        </w:tc>
      </w:tr>
      <w:tr w14:paraId="02B30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8D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AFCA9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通过以奖代补政策引导监护人承担好严重精神障碍患者的监护责任，切实防范严重精神障碍患者肇事肇祸案事件的发生</w:t>
            </w:r>
          </w:p>
        </w:tc>
      </w:tr>
      <w:tr w14:paraId="7B70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6A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28C79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22DE4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24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868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17E57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2F411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496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C2A2B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项目负责人：余华婷</w:t>
            </w:r>
          </w:p>
        </w:tc>
        <w:tc>
          <w:tcPr>
            <w:tcW w:w="441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1DE5F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财务负责人：屈雅欣</w:t>
            </w:r>
          </w:p>
        </w:tc>
      </w:tr>
      <w:tr w14:paraId="11938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8" w:type="dxa"/>
            <w:tcBorders>
              <w:top w:val="nil"/>
              <w:left w:val="nil"/>
              <w:bottom w:val="nil"/>
              <w:right w:val="nil"/>
            </w:tcBorders>
            <w:shd w:val="clear" w:color="auto" w:fill="auto"/>
            <w:vAlign w:val="center"/>
          </w:tcPr>
          <w:p w14:paraId="71BCBAC9">
            <w:pPr>
              <w:rPr>
                <w:rFonts w:hint="eastAsia" w:ascii="仿宋_GB2312" w:hAnsi="仿宋_GB2312" w:eastAsia="仿宋_GB2312" w:cs="仿宋_GB2312"/>
                <w:i w:val="0"/>
                <w:iCs w:val="0"/>
                <w:color w:val="000000"/>
                <w:sz w:val="20"/>
                <w:szCs w:val="20"/>
                <w:u w:val="none"/>
              </w:rPr>
            </w:pPr>
          </w:p>
        </w:tc>
        <w:tc>
          <w:tcPr>
            <w:tcW w:w="950" w:type="dxa"/>
            <w:tcBorders>
              <w:top w:val="nil"/>
              <w:left w:val="nil"/>
              <w:bottom w:val="nil"/>
              <w:right w:val="nil"/>
            </w:tcBorders>
            <w:shd w:val="clear" w:color="auto" w:fill="auto"/>
            <w:vAlign w:val="center"/>
          </w:tcPr>
          <w:p w14:paraId="6C859619">
            <w:pPr>
              <w:rPr>
                <w:rFonts w:hint="eastAsia" w:ascii="仿宋_GB2312" w:hAnsi="仿宋_GB2312" w:eastAsia="仿宋_GB2312" w:cs="仿宋_GB2312"/>
                <w:i w:val="0"/>
                <w:iCs w:val="0"/>
                <w:color w:val="000000"/>
                <w:sz w:val="20"/>
                <w:szCs w:val="20"/>
                <w:u w:val="none"/>
              </w:rPr>
            </w:pPr>
          </w:p>
        </w:tc>
        <w:tc>
          <w:tcPr>
            <w:tcW w:w="916" w:type="dxa"/>
            <w:tcBorders>
              <w:top w:val="nil"/>
              <w:left w:val="nil"/>
              <w:bottom w:val="nil"/>
              <w:right w:val="nil"/>
            </w:tcBorders>
            <w:shd w:val="clear" w:color="auto" w:fill="auto"/>
            <w:vAlign w:val="center"/>
          </w:tcPr>
          <w:p w14:paraId="44B90FB9">
            <w:pPr>
              <w:rPr>
                <w:rFonts w:hint="eastAsia" w:ascii="仿宋_GB2312" w:hAnsi="仿宋_GB2312" w:eastAsia="仿宋_GB2312" w:cs="仿宋_GB2312"/>
                <w:i w:val="0"/>
                <w:iCs w:val="0"/>
                <w:color w:val="000000"/>
                <w:sz w:val="20"/>
                <w:szCs w:val="20"/>
                <w:u w:val="none"/>
              </w:rPr>
            </w:pPr>
          </w:p>
        </w:tc>
        <w:tc>
          <w:tcPr>
            <w:tcW w:w="1568" w:type="dxa"/>
            <w:tcBorders>
              <w:top w:val="nil"/>
              <w:left w:val="nil"/>
              <w:bottom w:val="nil"/>
              <w:right w:val="nil"/>
            </w:tcBorders>
            <w:shd w:val="clear" w:color="auto" w:fill="auto"/>
            <w:vAlign w:val="center"/>
          </w:tcPr>
          <w:p w14:paraId="3182568B">
            <w:pPr>
              <w:rPr>
                <w:rFonts w:hint="eastAsia" w:ascii="仿宋_GB2312" w:hAnsi="仿宋_GB2312" w:eastAsia="仿宋_GB2312" w:cs="仿宋_GB2312"/>
                <w:i w:val="0"/>
                <w:iCs w:val="0"/>
                <w:color w:val="000000"/>
                <w:sz w:val="20"/>
                <w:szCs w:val="20"/>
                <w:u w:val="none"/>
              </w:rPr>
            </w:pPr>
          </w:p>
        </w:tc>
        <w:tc>
          <w:tcPr>
            <w:tcW w:w="842" w:type="dxa"/>
            <w:tcBorders>
              <w:top w:val="nil"/>
              <w:left w:val="nil"/>
              <w:bottom w:val="nil"/>
              <w:right w:val="nil"/>
            </w:tcBorders>
            <w:shd w:val="clear" w:color="auto" w:fill="auto"/>
            <w:vAlign w:val="center"/>
          </w:tcPr>
          <w:p w14:paraId="398E261D">
            <w:pPr>
              <w:rPr>
                <w:rFonts w:hint="eastAsia" w:ascii="仿宋_GB2312" w:hAnsi="仿宋_GB2312" w:eastAsia="仿宋_GB2312" w:cs="仿宋_GB2312"/>
                <w:i w:val="0"/>
                <w:iCs w:val="0"/>
                <w:color w:val="000000"/>
                <w:sz w:val="20"/>
                <w:szCs w:val="20"/>
                <w:u w:val="none"/>
              </w:rPr>
            </w:pPr>
          </w:p>
        </w:tc>
        <w:tc>
          <w:tcPr>
            <w:tcW w:w="947" w:type="dxa"/>
            <w:tcBorders>
              <w:top w:val="nil"/>
              <w:left w:val="nil"/>
              <w:bottom w:val="nil"/>
              <w:right w:val="nil"/>
            </w:tcBorders>
            <w:shd w:val="clear" w:color="auto" w:fill="auto"/>
            <w:vAlign w:val="center"/>
          </w:tcPr>
          <w:p w14:paraId="0CE621DC">
            <w:pPr>
              <w:rPr>
                <w:rFonts w:hint="eastAsia" w:ascii="仿宋_GB2312" w:hAnsi="仿宋_GB2312" w:eastAsia="仿宋_GB2312" w:cs="仿宋_GB2312"/>
                <w:i w:val="0"/>
                <w:iCs w:val="0"/>
                <w:color w:val="000000"/>
                <w:sz w:val="20"/>
                <w:szCs w:val="20"/>
                <w:u w:val="none"/>
              </w:rPr>
            </w:pPr>
          </w:p>
        </w:tc>
        <w:tc>
          <w:tcPr>
            <w:tcW w:w="755" w:type="dxa"/>
            <w:tcBorders>
              <w:top w:val="nil"/>
              <w:left w:val="nil"/>
              <w:bottom w:val="nil"/>
              <w:right w:val="nil"/>
            </w:tcBorders>
            <w:shd w:val="clear" w:color="auto" w:fill="auto"/>
            <w:vAlign w:val="center"/>
          </w:tcPr>
          <w:p w14:paraId="712C1D67">
            <w:pPr>
              <w:rPr>
                <w:rFonts w:hint="eastAsia" w:ascii="仿宋_GB2312" w:hAnsi="仿宋_GB2312" w:eastAsia="仿宋_GB2312" w:cs="仿宋_GB2312"/>
                <w:i w:val="0"/>
                <w:iCs w:val="0"/>
                <w:color w:val="000000"/>
                <w:sz w:val="20"/>
                <w:szCs w:val="20"/>
                <w:u w:val="none"/>
              </w:rPr>
            </w:pPr>
          </w:p>
        </w:tc>
        <w:tc>
          <w:tcPr>
            <w:tcW w:w="1090" w:type="dxa"/>
            <w:tcBorders>
              <w:top w:val="nil"/>
              <w:left w:val="nil"/>
              <w:bottom w:val="nil"/>
              <w:right w:val="nil"/>
            </w:tcBorders>
            <w:shd w:val="clear" w:color="auto" w:fill="auto"/>
            <w:vAlign w:val="center"/>
          </w:tcPr>
          <w:p w14:paraId="3CCAB6BF">
            <w:pPr>
              <w:rPr>
                <w:rFonts w:hint="eastAsia" w:ascii="仿宋_GB2312" w:hAnsi="仿宋_GB2312" w:eastAsia="仿宋_GB2312" w:cs="仿宋_GB2312"/>
                <w:i w:val="0"/>
                <w:iCs w:val="0"/>
                <w:color w:val="000000"/>
                <w:sz w:val="20"/>
                <w:szCs w:val="20"/>
                <w:u w:val="none"/>
              </w:rPr>
            </w:pPr>
          </w:p>
        </w:tc>
        <w:tc>
          <w:tcPr>
            <w:tcW w:w="516" w:type="dxa"/>
            <w:tcBorders>
              <w:top w:val="nil"/>
              <w:left w:val="nil"/>
              <w:bottom w:val="nil"/>
              <w:right w:val="nil"/>
            </w:tcBorders>
            <w:shd w:val="clear" w:color="auto" w:fill="auto"/>
            <w:vAlign w:val="center"/>
          </w:tcPr>
          <w:p w14:paraId="73B3BD32">
            <w:pPr>
              <w:rPr>
                <w:rFonts w:hint="eastAsia" w:ascii="仿宋_GB2312" w:hAnsi="仿宋_GB2312" w:eastAsia="仿宋_GB2312" w:cs="仿宋_GB2312"/>
                <w:i w:val="0"/>
                <w:iCs w:val="0"/>
                <w:color w:val="000000"/>
                <w:sz w:val="20"/>
                <w:szCs w:val="20"/>
                <w:u w:val="none"/>
              </w:rPr>
            </w:pPr>
          </w:p>
        </w:tc>
        <w:tc>
          <w:tcPr>
            <w:tcW w:w="449" w:type="dxa"/>
            <w:tcBorders>
              <w:top w:val="nil"/>
              <w:left w:val="nil"/>
              <w:bottom w:val="nil"/>
              <w:right w:val="nil"/>
            </w:tcBorders>
            <w:shd w:val="clear" w:color="auto" w:fill="auto"/>
            <w:vAlign w:val="center"/>
          </w:tcPr>
          <w:p w14:paraId="7C8FA56F">
            <w:pPr>
              <w:rPr>
                <w:rFonts w:hint="eastAsia" w:ascii="仿宋_GB2312" w:hAnsi="仿宋_GB2312" w:eastAsia="仿宋_GB2312" w:cs="仿宋_GB2312"/>
                <w:i w:val="0"/>
                <w:iCs w:val="0"/>
                <w:color w:val="000000"/>
                <w:sz w:val="20"/>
                <w:szCs w:val="20"/>
                <w:u w:val="none"/>
              </w:rPr>
            </w:pPr>
          </w:p>
        </w:tc>
        <w:tc>
          <w:tcPr>
            <w:tcW w:w="654" w:type="dxa"/>
            <w:tcBorders>
              <w:top w:val="nil"/>
              <w:left w:val="nil"/>
              <w:bottom w:val="nil"/>
              <w:right w:val="nil"/>
            </w:tcBorders>
            <w:shd w:val="clear" w:color="auto" w:fill="auto"/>
            <w:vAlign w:val="center"/>
          </w:tcPr>
          <w:p w14:paraId="3CA22864">
            <w:pPr>
              <w:rPr>
                <w:rFonts w:hint="eastAsia" w:ascii="仿宋_GB2312" w:hAnsi="仿宋_GB2312" w:eastAsia="仿宋_GB2312" w:cs="仿宋_GB2312"/>
                <w:i w:val="0"/>
                <w:iCs w:val="0"/>
                <w:color w:val="000000"/>
                <w:sz w:val="20"/>
                <w:szCs w:val="20"/>
                <w:u w:val="none"/>
              </w:rPr>
            </w:pPr>
          </w:p>
        </w:tc>
      </w:tr>
    </w:tbl>
    <w:p w14:paraId="47FC5250">
      <w:pPr>
        <w:rPr>
          <w:rFonts w:hint="eastAsia"/>
        </w:rPr>
      </w:pPr>
    </w:p>
    <w:p w14:paraId="55849A0C">
      <w:pPr>
        <w:pStyle w:val="12"/>
        <w:jc w:val="both"/>
        <w:rPr>
          <w:rFonts w:hint="eastAsia" w:ascii="仿宋_GB2312" w:hAnsi="仿宋_GB2312" w:eastAsia="仿宋_GB2312" w:cs="仿宋_GB2312"/>
          <w:i w:val="0"/>
          <w:iCs w:val="0"/>
          <w:sz w:val="20"/>
          <w:szCs w:val="20"/>
          <w:lang w:val="en-US" w:eastAsia="zh-CN"/>
        </w:rPr>
      </w:pPr>
    </w:p>
    <w:p w14:paraId="710C3A6A">
      <w:pPr>
        <w:pStyle w:val="12"/>
        <w:jc w:val="both"/>
        <w:rPr>
          <w:rFonts w:hint="eastAsia" w:ascii="仿宋_GB2312" w:hAnsi="仿宋_GB2312" w:eastAsia="仿宋_GB2312" w:cs="仿宋_GB2312"/>
          <w:i w:val="0"/>
          <w:iCs w:val="0"/>
          <w:sz w:val="20"/>
          <w:szCs w:val="20"/>
          <w:lang w:val="en-US" w:eastAsia="zh-CN"/>
        </w:rPr>
      </w:pPr>
    </w:p>
    <w:tbl>
      <w:tblPr>
        <w:tblStyle w:val="18"/>
        <w:tblW w:w="93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0"/>
        <w:gridCol w:w="959"/>
        <w:gridCol w:w="840"/>
        <w:gridCol w:w="1588"/>
        <w:gridCol w:w="854"/>
        <w:gridCol w:w="960"/>
        <w:gridCol w:w="764"/>
        <w:gridCol w:w="1095"/>
        <w:gridCol w:w="516"/>
        <w:gridCol w:w="450"/>
        <w:gridCol w:w="659"/>
      </w:tblGrid>
      <w:tr w14:paraId="6F152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E48F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项目名称</w:t>
            </w:r>
          </w:p>
        </w:tc>
        <w:tc>
          <w:tcPr>
            <w:tcW w:w="77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1B0D0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51322322T000005943974-县级公立医院取消药品加成补助资金（州级）</w:t>
            </w:r>
          </w:p>
        </w:tc>
      </w:tr>
      <w:tr w14:paraId="67DE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A98E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5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8E47F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茂县卫生健康局本级</w:t>
            </w:r>
          </w:p>
        </w:tc>
        <w:tc>
          <w:tcPr>
            <w:tcW w:w="1095" w:type="dxa"/>
            <w:tcBorders>
              <w:top w:val="nil"/>
              <w:left w:val="nil"/>
              <w:bottom w:val="nil"/>
              <w:right w:val="nil"/>
            </w:tcBorders>
            <w:shd w:val="clear" w:color="auto" w:fill="auto"/>
            <w:vAlign w:val="center"/>
          </w:tcPr>
          <w:p w14:paraId="10D2F63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实施单位 （盖章）</w:t>
            </w:r>
          </w:p>
        </w:tc>
        <w:tc>
          <w:tcPr>
            <w:tcW w:w="16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AB7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r>
      <w:tr w14:paraId="40A9F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4C9B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1107D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5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C97F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2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EEDA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14:paraId="086C4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379DF">
            <w:pPr>
              <w:rPr>
                <w:rFonts w:hint="eastAsia" w:ascii="仿宋_GB2312" w:hAnsi="仿宋_GB2312" w:eastAsia="仿宋_GB2312" w:cs="仿宋_GB2312"/>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BD7C6">
            <w:pPr>
              <w:rPr>
                <w:rFonts w:hint="eastAsia" w:ascii="仿宋_GB2312" w:hAnsi="仿宋_GB2312" w:eastAsia="仿宋_GB2312" w:cs="仿宋_GB2312"/>
                <w:i w:val="0"/>
                <w:iCs w:val="0"/>
                <w:color w:val="000000"/>
                <w:sz w:val="20"/>
                <w:szCs w:val="20"/>
                <w:u w:val="none"/>
              </w:rPr>
            </w:pPr>
          </w:p>
        </w:tc>
        <w:tc>
          <w:tcPr>
            <w:tcW w:w="5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0E908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减轻了患者经济负担，推行取消药品加成措施这几年来的实践分析，一定程度上使患者医药费用得到了实惠，对缓解“看病贵”得到了部分解决</w:t>
            </w:r>
          </w:p>
        </w:tc>
        <w:tc>
          <w:tcPr>
            <w:tcW w:w="2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9DCFB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减轻了患者经济负担，推行取消药品加成措施这几年来的实践分析，一定程度上使患者医药费用得到了实惠，对缓解“看病贵”得到了部分解决</w:t>
            </w:r>
          </w:p>
        </w:tc>
      </w:tr>
      <w:tr w14:paraId="7AE4F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F16E7">
            <w:pPr>
              <w:rPr>
                <w:rFonts w:hint="eastAsia" w:ascii="仿宋_GB2312" w:hAnsi="仿宋_GB2312" w:eastAsia="仿宋_GB2312" w:cs="仿宋_GB2312"/>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B78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77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218251">
            <w:pPr>
              <w:rPr>
                <w:rFonts w:hint="eastAsia" w:ascii="仿宋_GB2312" w:hAnsi="仿宋_GB2312" w:eastAsia="仿宋_GB2312" w:cs="仿宋_GB2312"/>
                <w:i w:val="0"/>
                <w:iCs w:val="0"/>
                <w:color w:val="000000"/>
                <w:sz w:val="20"/>
                <w:szCs w:val="20"/>
                <w:u w:val="none"/>
              </w:rPr>
            </w:pPr>
          </w:p>
        </w:tc>
      </w:tr>
      <w:tr w14:paraId="4EB6F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415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1C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15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DE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5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9FE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7F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51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82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3B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14:paraId="0789D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B898C">
            <w:pPr>
              <w:jc w:val="center"/>
              <w:rPr>
                <w:rFonts w:hint="eastAsia" w:ascii="仿宋_GB2312" w:hAnsi="仿宋_GB2312" w:eastAsia="仿宋_GB2312" w:cs="仿宋_GB2312"/>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2E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EE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1E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81.91</w:t>
            </w:r>
          </w:p>
        </w:tc>
        <w:tc>
          <w:tcPr>
            <w:tcW w:w="25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B61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81.91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EE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47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1291">
            <w:pPr>
              <w:jc w:val="center"/>
              <w:rPr>
                <w:rFonts w:hint="eastAsia" w:ascii="仿宋_GB2312" w:hAnsi="仿宋_GB2312" w:eastAsia="仿宋_GB2312" w:cs="仿宋_GB2312"/>
                <w:i w:val="0"/>
                <w:iCs w:val="0"/>
                <w:color w:val="000000"/>
                <w:sz w:val="20"/>
                <w:szCs w:val="20"/>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81513">
            <w:pPr>
              <w:rPr>
                <w:rFonts w:hint="eastAsia" w:ascii="仿宋_GB2312" w:hAnsi="仿宋_GB2312" w:eastAsia="仿宋_GB2312" w:cs="仿宋_GB2312"/>
                <w:i w:val="0"/>
                <w:iCs w:val="0"/>
                <w:color w:val="000000"/>
                <w:sz w:val="20"/>
                <w:szCs w:val="20"/>
                <w:u w:val="none"/>
              </w:rPr>
            </w:pPr>
          </w:p>
        </w:tc>
      </w:tr>
      <w:tr w14:paraId="04001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8BBF7">
            <w:pPr>
              <w:jc w:val="center"/>
              <w:rPr>
                <w:rFonts w:hint="eastAsia" w:ascii="仿宋_GB2312" w:hAnsi="仿宋_GB2312" w:eastAsia="仿宋_GB2312" w:cs="仿宋_GB2312"/>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AA8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A3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77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81.91</w:t>
            </w:r>
          </w:p>
        </w:tc>
        <w:tc>
          <w:tcPr>
            <w:tcW w:w="25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495A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81.91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E4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49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94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ABB0B">
            <w:pPr>
              <w:rPr>
                <w:rFonts w:hint="eastAsia" w:ascii="仿宋_GB2312" w:hAnsi="仿宋_GB2312" w:eastAsia="仿宋_GB2312" w:cs="仿宋_GB2312"/>
                <w:i w:val="0"/>
                <w:iCs w:val="0"/>
                <w:color w:val="000000"/>
                <w:sz w:val="20"/>
                <w:szCs w:val="20"/>
                <w:u w:val="none"/>
              </w:rPr>
            </w:pPr>
          </w:p>
        </w:tc>
      </w:tr>
      <w:tr w14:paraId="76977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2DB80">
            <w:pPr>
              <w:jc w:val="center"/>
              <w:rPr>
                <w:rFonts w:hint="eastAsia" w:ascii="仿宋_GB2312" w:hAnsi="仿宋_GB2312" w:eastAsia="仿宋_GB2312" w:cs="仿宋_GB2312"/>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49D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08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1F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F6C6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83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CA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66D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7E76A">
            <w:pPr>
              <w:rPr>
                <w:rFonts w:hint="eastAsia" w:ascii="仿宋_GB2312" w:hAnsi="仿宋_GB2312" w:eastAsia="仿宋_GB2312" w:cs="仿宋_GB2312"/>
                <w:i w:val="0"/>
                <w:iCs w:val="0"/>
                <w:color w:val="000000"/>
                <w:sz w:val="20"/>
                <w:szCs w:val="20"/>
                <w:u w:val="none"/>
              </w:rPr>
            </w:pPr>
          </w:p>
        </w:tc>
      </w:tr>
      <w:tr w14:paraId="7E6F5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1EE38">
            <w:pPr>
              <w:jc w:val="center"/>
              <w:rPr>
                <w:rFonts w:hint="eastAsia" w:ascii="仿宋_GB2312" w:hAnsi="仿宋_GB2312" w:eastAsia="仿宋_GB2312" w:cs="仿宋_GB2312"/>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64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3F9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0FA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147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B3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D6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9A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6FFBD">
            <w:pPr>
              <w:rPr>
                <w:rFonts w:hint="eastAsia" w:ascii="仿宋_GB2312" w:hAnsi="仿宋_GB2312" w:eastAsia="仿宋_GB2312" w:cs="仿宋_GB2312"/>
                <w:i w:val="0"/>
                <w:iCs w:val="0"/>
                <w:color w:val="000000"/>
                <w:sz w:val="20"/>
                <w:szCs w:val="20"/>
                <w:u w:val="none"/>
              </w:rPr>
            </w:pPr>
          </w:p>
        </w:tc>
      </w:tr>
      <w:tr w14:paraId="03989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18831">
            <w:pPr>
              <w:jc w:val="center"/>
              <w:rPr>
                <w:rFonts w:hint="eastAsia" w:ascii="仿宋_GB2312" w:hAnsi="仿宋_GB2312" w:eastAsia="仿宋_GB2312" w:cs="仿宋_GB2312"/>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38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5A5A">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9D38">
            <w:pPr>
              <w:jc w:val="center"/>
              <w:rPr>
                <w:rFonts w:hint="eastAsia" w:ascii="仿宋_GB2312" w:hAnsi="仿宋_GB2312" w:eastAsia="仿宋_GB2312" w:cs="仿宋_GB2312"/>
                <w:i w:val="0"/>
                <w:iCs w:val="0"/>
                <w:color w:val="000000"/>
                <w:sz w:val="20"/>
                <w:szCs w:val="20"/>
                <w:u w:val="none"/>
              </w:rPr>
            </w:pPr>
          </w:p>
        </w:tc>
        <w:tc>
          <w:tcPr>
            <w:tcW w:w="25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47BD72">
            <w:pPr>
              <w:jc w:val="center"/>
              <w:rPr>
                <w:rFonts w:hint="eastAsia" w:ascii="仿宋_GB2312" w:hAnsi="仿宋_GB2312" w:eastAsia="仿宋_GB2312" w:cs="仿宋_GB2312"/>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2AEF">
            <w:pPr>
              <w:jc w:val="center"/>
              <w:rPr>
                <w:rFonts w:hint="eastAsia" w:ascii="仿宋_GB2312" w:hAnsi="仿宋_GB2312" w:eastAsia="仿宋_GB2312" w:cs="仿宋_GB2312"/>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D4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96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21484">
            <w:pPr>
              <w:rPr>
                <w:rFonts w:hint="eastAsia" w:ascii="仿宋_GB2312" w:hAnsi="仿宋_GB2312" w:eastAsia="仿宋_GB2312" w:cs="仿宋_GB2312"/>
                <w:i w:val="0"/>
                <w:iCs w:val="0"/>
                <w:color w:val="000000"/>
                <w:sz w:val="20"/>
                <w:szCs w:val="20"/>
                <w:u w:val="none"/>
              </w:rPr>
            </w:pPr>
          </w:p>
        </w:tc>
      </w:tr>
      <w:tr w14:paraId="4009C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96B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37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55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3C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E7A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AC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0F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24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172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BD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E6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14:paraId="78C33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945BB">
            <w:pPr>
              <w:jc w:val="center"/>
              <w:rPr>
                <w:rFonts w:hint="eastAsia" w:ascii="仿宋_GB2312" w:hAnsi="仿宋_GB2312" w:eastAsia="仿宋_GB2312" w:cs="仿宋_GB2312"/>
                <w:i w:val="0"/>
                <w:iCs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266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BC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23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公立医院数量</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26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FE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DB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84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E6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FAC3">
            <w:pPr>
              <w:jc w:val="center"/>
              <w:rPr>
                <w:rFonts w:hint="eastAsia" w:ascii="仿宋_GB2312" w:hAnsi="仿宋_GB2312" w:eastAsia="仿宋_GB2312" w:cs="仿宋_GB2312"/>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FF2E">
            <w:pPr>
              <w:jc w:val="center"/>
              <w:rPr>
                <w:rFonts w:hint="eastAsia" w:ascii="仿宋_GB2312" w:hAnsi="仿宋_GB2312" w:eastAsia="仿宋_GB2312" w:cs="仿宋_GB2312"/>
                <w:i w:val="0"/>
                <w:iCs w:val="0"/>
                <w:color w:val="000000"/>
                <w:sz w:val="20"/>
                <w:szCs w:val="20"/>
                <w:u w:val="none"/>
              </w:rPr>
            </w:pPr>
          </w:p>
        </w:tc>
      </w:tr>
      <w:tr w14:paraId="5F7D7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5B038">
            <w:pPr>
              <w:jc w:val="center"/>
              <w:rPr>
                <w:rFonts w:hint="eastAsia" w:ascii="仿宋_GB2312" w:hAnsi="仿宋_GB2312" w:eastAsia="仿宋_GB2312" w:cs="仿宋_GB2312"/>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BCAEB">
            <w:pPr>
              <w:jc w:val="center"/>
              <w:rPr>
                <w:rFonts w:hint="eastAsia" w:ascii="仿宋_GB2312" w:hAnsi="仿宋_GB2312" w:eastAsia="仿宋_GB2312" w:cs="仿宋_GB2312"/>
                <w:i w:val="0"/>
                <w:iCs w:val="0"/>
                <w:color w:val="000000"/>
                <w:sz w:val="20"/>
                <w:szCs w:val="20"/>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F41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质量指标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D51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医疗服务收入(不含药品、耗材、检查、化验收入)占公立医院医疗收 入的比例</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8F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15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较上年提高</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20F7">
            <w:pPr>
              <w:jc w:val="center"/>
              <w:rPr>
                <w:rFonts w:hint="eastAsia" w:ascii="仿宋_GB2312" w:hAnsi="仿宋_GB2312" w:eastAsia="仿宋_GB2312" w:cs="仿宋_GB2312"/>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16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提高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7E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D598">
            <w:pPr>
              <w:jc w:val="center"/>
              <w:rPr>
                <w:rFonts w:hint="eastAsia" w:ascii="仿宋_GB2312" w:hAnsi="仿宋_GB2312" w:eastAsia="仿宋_GB2312" w:cs="仿宋_GB2312"/>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9A35">
            <w:pPr>
              <w:jc w:val="center"/>
              <w:rPr>
                <w:rFonts w:hint="eastAsia" w:ascii="仿宋_GB2312" w:hAnsi="仿宋_GB2312" w:eastAsia="仿宋_GB2312" w:cs="仿宋_GB2312"/>
                <w:i w:val="0"/>
                <w:iCs w:val="0"/>
                <w:color w:val="000000"/>
                <w:sz w:val="20"/>
                <w:szCs w:val="20"/>
                <w:u w:val="none"/>
              </w:rPr>
            </w:pPr>
          </w:p>
        </w:tc>
      </w:tr>
      <w:tr w14:paraId="5EF17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54B09">
            <w:pPr>
              <w:jc w:val="center"/>
              <w:rPr>
                <w:rFonts w:hint="eastAsia" w:ascii="仿宋_GB2312" w:hAnsi="仿宋_GB2312" w:eastAsia="仿宋_GB2312" w:cs="仿宋_GB2312"/>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25733">
            <w:pPr>
              <w:jc w:val="center"/>
              <w:rPr>
                <w:rFonts w:hint="eastAsia" w:ascii="仿宋_GB2312" w:hAnsi="仿宋_GB2312" w:eastAsia="仿宋_GB2312" w:cs="仿宋_GB2312"/>
                <w:i w:val="0"/>
                <w:iCs w:val="0"/>
                <w:color w:val="000000"/>
                <w:sz w:val="20"/>
                <w:szCs w:val="20"/>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16096">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0B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实现收支平衡的公立医院数占公立医院总数的比例</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F3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E8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较上年提高</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1D2F">
            <w:pPr>
              <w:jc w:val="center"/>
              <w:rPr>
                <w:rFonts w:hint="eastAsia" w:ascii="仿宋_GB2312" w:hAnsi="仿宋_GB2312" w:eastAsia="仿宋_GB2312" w:cs="仿宋_GB2312"/>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95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提高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D8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F6DF">
            <w:pPr>
              <w:jc w:val="center"/>
              <w:rPr>
                <w:rFonts w:hint="eastAsia" w:ascii="仿宋_GB2312" w:hAnsi="仿宋_GB2312" w:eastAsia="仿宋_GB2312" w:cs="仿宋_GB2312"/>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93F4">
            <w:pPr>
              <w:jc w:val="center"/>
              <w:rPr>
                <w:rFonts w:hint="eastAsia" w:ascii="仿宋_GB2312" w:hAnsi="仿宋_GB2312" w:eastAsia="仿宋_GB2312" w:cs="仿宋_GB2312"/>
                <w:i w:val="0"/>
                <w:iCs w:val="0"/>
                <w:color w:val="000000"/>
                <w:sz w:val="20"/>
                <w:szCs w:val="20"/>
                <w:u w:val="none"/>
              </w:rPr>
            </w:pPr>
          </w:p>
        </w:tc>
      </w:tr>
      <w:tr w14:paraId="6DBE7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CED2F">
            <w:pPr>
              <w:jc w:val="center"/>
              <w:rPr>
                <w:rFonts w:hint="eastAsia" w:ascii="仿宋_GB2312" w:hAnsi="仿宋_GB2312" w:eastAsia="仿宋_GB2312" w:cs="仿宋_GB2312"/>
                <w:i w:val="0"/>
                <w:iCs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615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B14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社会效益指标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00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公立医院门诊人次数与出院人次数比</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C3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DD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较上年提高</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4C68">
            <w:pPr>
              <w:jc w:val="center"/>
              <w:rPr>
                <w:rFonts w:hint="eastAsia" w:ascii="仿宋_GB2312" w:hAnsi="仿宋_GB2312" w:eastAsia="仿宋_GB2312" w:cs="仿宋_GB2312"/>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0F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提高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DB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2577">
            <w:pPr>
              <w:jc w:val="center"/>
              <w:rPr>
                <w:rFonts w:hint="eastAsia" w:ascii="仿宋_GB2312" w:hAnsi="仿宋_GB2312" w:eastAsia="仿宋_GB2312" w:cs="仿宋_GB2312"/>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DBA1">
            <w:pPr>
              <w:jc w:val="center"/>
              <w:rPr>
                <w:rFonts w:hint="eastAsia" w:ascii="仿宋_GB2312" w:hAnsi="仿宋_GB2312" w:eastAsia="仿宋_GB2312" w:cs="仿宋_GB2312"/>
                <w:i w:val="0"/>
                <w:iCs w:val="0"/>
                <w:color w:val="000000"/>
                <w:sz w:val="20"/>
                <w:szCs w:val="20"/>
                <w:u w:val="none"/>
              </w:rPr>
            </w:pPr>
          </w:p>
        </w:tc>
      </w:tr>
      <w:tr w14:paraId="7DBD7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5F173">
            <w:pPr>
              <w:jc w:val="center"/>
              <w:rPr>
                <w:rFonts w:hint="eastAsia" w:ascii="仿宋_GB2312" w:hAnsi="仿宋_GB2312" w:eastAsia="仿宋_GB2312" w:cs="仿宋_GB2312"/>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63C91">
            <w:pPr>
              <w:jc w:val="center"/>
              <w:rPr>
                <w:rFonts w:hint="eastAsia" w:ascii="仿宋_GB2312" w:hAnsi="仿宋_GB2312" w:eastAsia="仿宋_GB2312" w:cs="仿宋_GB2312"/>
                <w:i w:val="0"/>
                <w:iCs w:val="0"/>
                <w:color w:val="000000"/>
                <w:sz w:val="20"/>
                <w:szCs w:val="20"/>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AC9FF">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D38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基层医疗卫生机构诊疗量占总诊疗量的</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67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E9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较上年提高</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2FB8">
            <w:pPr>
              <w:jc w:val="center"/>
              <w:rPr>
                <w:rFonts w:hint="eastAsia" w:ascii="仿宋_GB2312" w:hAnsi="仿宋_GB2312" w:eastAsia="仿宋_GB2312" w:cs="仿宋_GB2312"/>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B9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提高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1C3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E3470">
            <w:pPr>
              <w:jc w:val="center"/>
              <w:rPr>
                <w:rFonts w:hint="eastAsia" w:ascii="仿宋_GB2312" w:hAnsi="仿宋_GB2312" w:eastAsia="仿宋_GB2312" w:cs="仿宋_GB2312"/>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67E8">
            <w:pPr>
              <w:jc w:val="center"/>
              <w:rPr>
                <w:rFonts w:hint="eastAsia" w:ascii="仿宋_GB2312" w:hAnsi="仿宋_GB2312" w:eastAsia="仿宋_GB2312" w:cs="仿宋_GB2312"/>
                <w:i w:val="0"/>
                <w:iCs w:val="0"/>
                <w:color w:val="000000"/>
                <w:sz w:val="20"/>
                <w:szCs w:val="20"/>
                <w:u w:val="none"/>
              </w:rPr>
            </w:pPr>
          </w:p>
        </w:tc>
      </w:tr>
      <w:tr w14:paraId="52EF1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9D5E9">
            <w:pPr>
              <w:jc w:val="center"/>
              <w:rPr>
                <w:rFonts w:hint="eastAsia" w:ascii="仿宋_GB2312" w:hAnsi="仿宋_GB2312" w:eastAsia="仿宋_GB2312" w:cs="仿宋_GB2312"/>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F7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71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00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群众满意度</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F5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3C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95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7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CD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D1CE">
            <w:pPr>
              <w:jc w:val="center"/>
              <w:rPr>
                <w:rFonts w:hint="eastAsia" w:ascii="仿宋_GB2312" w:hAnsi="仿宋_GB2312" w:eastAsia="仿宋_GB2312" w:cs="仿宋_GB2312"/>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46A7">
            <w:pPr>
              <w:jc w:val="center"/>
              <w:rPr>
                <w:rFonts w:hint="eastAsia" w:ascii="仿宋_GB2312" w:hAnsi="仿宋_GB2312" w:eastAsia="仿宋_GB2312" w:cs="仿宋_GB2312"/>
                <w:i w:val="0"/>
                <w:iCs w:val="0"/>
                <w:color w:val="000000"/>
                <w:sz w:val="20"/>
                <w:szCs w:val="20"/>
                <w:u w:val="none"/>
              </w:rPr>
            </w:pPr>
          </w:p>
        </w:tc>
      </w:tr>
      <w:tr w14:paraId="5A6B7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C9B54">
            <w:pPr>
              <w:jc w:val="center"/>
              <w:rPr>
                <w:rFonts w:hint="eastAsia" w:ascii="仿宋_GB2312" w:hAnsi="仿宋_GB2312" w:eastAsia="仿宋_GB2312" w:cs="仿宋_GB2312"/>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12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成本指标</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AF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经济成本指标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441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预算总金额</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F4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A4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30.0765</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262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73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81.91万元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DB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8DF2">
            <w:pPr>
              <w:jc w:val="center"/>
              <w:rPr>
                <w:rFonts w:hint="eastAsia" w:ascii="仿宋_GB2312" w:hAnsi="仿宋_GB2312" w:eastAsia="仿宋_GB2312" w:cs="仿宋_GB2312"/>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4F96">
            <w:pPr>
              <w:jc w:val="center"/>
              <w:rPr>
                <w:rFonts w:hint="eastAsia" w:ascii="仿宋_GB2312" w:hAnsi="仿宋_GB2312" w:eastAsia="仿宋_GB2312" w:cs="仿宋_GB2312"/>
                <w:i w:val="0"/>
                <w:iCs w:val="0"/>
                <w:color w:val="000000"/>
                <w:sz w:val="20"/>
                <w:szCs w:val="20"/>
                <w:u w:val="none"/>
              </w:rPr>
            </w:pPr>
          </w:p>
        </w:tc>
      </w:tr>
      <w:tr w14:paraId="2475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7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69E7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DCA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6696">
            <w:pPr>
              <w:rPr>
                <w:rFonts w:hint="eastAsia" w:ascii="仿宋_GB2312" w:hAnsi="仿宋_GB2312" w:eastAsia="仿宋_GB2312" w:cs="仿宋_GB2312"/>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AEF9">
            <w:pPr>
              <w:rPr>
                <w:rFonts w:hint="eastAsia" w:ascii="仿宋_GB2312" w:hAnsi="仿宋_GB2312" w:eastAsia="仿宋_GB2312" w:cs="仿宋_GB2312"/>
                <w:i w:val="0"/>
                <w:iCs w:val="0"/>
                <w:color w:val="000000"/>
                <w:sz w:val="20"/>
                <w:szCs w:val="20"/>
                <w:u w:val="none"/>
              </w:rPr>
            </w:pPr>
          </w:p>
        </w:tc>
      </w:tr>
      <w:tr w14:paraId="1CB48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3E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86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94ABC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减轻了患者经济负担，推行取消药品加成措施这几年来的实践分析，一定程度上使患者医药费用得到了实惠，对缓解“看病贵”得到了部分解决</w:t>
            </w:r>
          </w:p>
        </w:tc>
      </w:tr>
      <w:tr w14:paraId="4BD4C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09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86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E9B9A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2B545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C8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86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07532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18E19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4E492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项目负责人：余华婷</w:t>
            </w:r>
          </w:p>
        </w:tc>
        <w:tc>
          <w:tcPr>
            <w:tcW w:w="4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B3515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财务负责人：屈雅欣</w:t>
            </w:r>
          </w:p>
        </w:tc>
      </w:tr>
    </w:tbl>
    <w:p w14:paraId="0A3A19D8">
      <w:pPr>
        <w:pStyle w:val="12"/>
        <w:jc w:val="both"/>
        <w:rPr>
          <w:rFonts w:hint="eastAsia" w:ascii="仿宋_GB2312" w:hAnsi="仿宋_GB2312" w:eastAsia="仿宋_GB2312" w:cs="仿宋_GB2312"/>
          <w:i w:val="0"/>
          <w:iCs w:val="0"/>
          <w:sz w:val="20"/>
          <w:szCs w:val="20"/>
          <w:lang w:val="en-US" w:eastAsia="zh-CN"/>
        </w:rPr>
      </w:pPr>
    </w:p>
    <w:tbl>
      <w:tblPr>
        <w:tblStyle w:val="18"/>
        <w:tblW w:w="93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6"/>
        <w:gridCol w:w="946"/>
        <w:gridCol w:w="916"/>
        <w:gridCol w:w="1584"/>
        <w:gridCol w:w="838"/>
        <w:gridCol w:w="946"/>
        <w:gridCol w:w="751"/>
        <w:gridCol w:w="1092"/>
        <w:gridCol w:w="516"/>
        <w:gridCol w:w="449"/>
        <w:gridCol w:w="651"/>
      </w:tblGrid>
      <w:tr w14:paraId="1E2FF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8BB9E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项目名称</w:t>
            </w:r>
          </w:p>
        </w:tc>
        <w:tc>
          <w:tcPr>
            <w:tcW w:w="772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F3531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基本公共卫生项目补助资金</w:t>
            </w:r>
          </w:p>
        </w:tc>
      </w:tr>
      <w:tr w14:paraId="319E9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F00C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50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F0AAB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茂县卫生健康局本级</w:t>
            </w:r>
          </w:p>
        </w:tc>
        <w:tc>
          <w:tcPr>
            <w:tcW w:w="1095" w:type="dxa"/>
            <w:tcBorders>
              <w:top w:val="nil"/>
              <w:left w:val="nil"/>
              <w:bottom w:val="nil"/>
              <w:right w:val="nil"/>
            </w:tcBorders>
            <w:shd w:val="clear" w:color="auto" w:fill="auto"/>
            <w:vAlign w:val="center"/>
          </w:tcPr>
          <w:p w14:paraId="756BC2D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实施单位 （盖章）</w:t>
            </w:r>
          </w:p>
        </w:tc>
        <w:tc>
          <w:tcPr>
            <w:tcW w:w="16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3A24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r>
      <w:tr w14:paraId="0891D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4DE8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25BB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50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6CBB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27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2404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14:paraId="524F3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BA0F1">
            <w:pP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6775C">
            <w:pPr>
              <w:rPr>
                <w:rFonts w:hint="eastAsia" w:ascii="仿宋_GB2312" w:hAnsi="仿宋_GB2312" w:eastAsia="仿宋_GB2312" w:cs="仿宋_GB2312"/>
                <w:i w:val="0"/>
                <w:iCs w:val="0"/>
                <w:color w:val="000000"/>
                <w:sz w:val="20"/>
                <w:szCs w:val="20"/>
                <w:u w:val="none"/>
              </w:rPr>
            </w:pPr>
          </w:p>
        </w:tc>
        <w:tc>
          <w:tcPr>
            <w:tcW w:w="50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417B5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健全医疗保障体系，实现人人享有基本医疗卫生服务的目标，基本适应广大群众多层次的医疗卫生服务需求，人民群众健康水平进一步提高，边远群众因病致贫、因病返贫的现象得到有效缓解，促进社会和谐。</w:t>
            </w:r>
          </w:p>
        </w:tc>
        <w:tc>
          <w:tcPr>
            <w:tcW w:w="27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B29AC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健全医疗保障体系，实现人人享有基本医疗卫生服务的目标，基本适应广大群众多层次的医疗卫生服务需求，人民群众健康水平进一步提高，边远群众因病致贫、因病返贫的现象得到有效缓解，促进社会和谐。</w:t>
            </w:r>
          </w:p>
        </w:tc>
      </w:tr>
      <w:tr w14:paraId="57C6C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D3417">
            <w:pPr>
              <w:rPr>
                <w:rFonts w:hint="eastAsia" w:ascii="仿宋_GB2312" w:hAnsi="仿宋_GB2312" w:eastAsia="仿宋_GB2312" w:cs="仿宋_GB2312"/>
                <w:i w:val="0"/>
                <w:iCs w:val="0"/>
                <w:color w:val="000000"/>
                <w:sz w:val="20"/>
                <w:szCs w:val="20"/>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7DE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772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B622A5">
            <w:pPr>
              <w:rPr>
                <w:rFonts w:hint="eastAsia" w:ascii="仿宋_GB2312" w:hAnsi="仿宋_GB2312" w:eastAsia="仿宋_GB2312" w:cs="仿宋_GB2312"/>
                <w:i w:val="0"/>
                <w:iCs w:val="0"/>
                <w:color w:val="000000"/>
                <w:sz w:val="20"/>
                <w:szCs w:val="20"/>
                <w:u w:val="none"/>
              </w:rPr>
            </w:pPr>
          </w:p>
        </w:tc>
      </w:tr>
      <w:tr w14:paraId="55CE1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8FD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19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2B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3F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5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288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6C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AE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6E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F9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14:paraId="02518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F3987">
            <w:pPr>
              <w:jc w:val="center"/>
              <w:rPr>
                <w:rFonts w:hint="eastAsia" w:ascii="仿宋_GB2312" w:hAnsi="仿宋_GB2312" w:eastAsia="仿宋_GB2312" w:cs="仿宋_GB2312"/>
                <w:i w:val="0"/>
                <w:iCs w:val="0"/>
                <w:color w:val="000000"/>
                <w:sz w:val="20"/>
                <w:szCs w:val="20"/>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CD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4C2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62.5758</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73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996.2550</w:t>
            </w:r>
          </w:p>
        </w:tc>
        <w:tc>
          <w:tcPr>
            <w:tcW w:w="25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8B0B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923.2223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6C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92.67%</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F4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8E96">
            <w:pPr>
              <w:jc w:val="center"/>
              <w:rPr>
                <w:rFonts w:hint="eastAsia" w:ascii="仿宋_GB2312" w:hAnsi="仿宋_GB2312" w:eastAsia="仿宋_GB2312" w:cs="仿宋_GB2312"/>
                <w:i w:val="0"/>
                <w:iCs w:val="0"/>
                <w:color w:val="000000"/>
                <w:sz w:val="20"/>
                <w:szCs w:val="20"/>
                <w:u w:val="none"/>
              </w:rPr>
            </w:pP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AE311">
            <w:pPr>
              <w:rPr>
                <w:rFonts w:hint="eastAsia" w:ascii="仿宋_GB2312" w:hAnsi="仿宋_GB2312" w:eastAsia="仿宋_GB2312" w:cs="仿宋_GB2312"/>
                <w:i w:val="0"/>
                <w:iCs w:val="0"/>
                <w:color w:val="000000"/>
                <w:sz w:val="20"/>
                <w:szCs w:val="20"/>
                <w:u w:val="none"/>
              </w:rPr>
            </w:pPr>
          </w:p>
        </w:tc>
      </w:tr>
      <w:tr w14:paraId="6999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3547A">
            <w:pPr>
              <w:jc w:val="center"/>
              <w:rPr>
                <w:rFonts w:hint="eastAsia" w:ascii="仿宋_GB2312" w:hAnsi="仿宋_GB2312" w:eastAsia="仿宋_GB2312" w:cs="仿宋_GB2312"/>
                <w:i w:val="0"/>
                <w:iCs w:val="0"/>
                <w:color w:val="000000"/>
                <w:sz w:val="20"/>
                <w:szCs w:val="20"/>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DB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1E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36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p>
        </w:tc>
        <w:tc>
          <w:tcPr>
            <w:tcW w:w="25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EC3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73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9D7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E8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67C8D">
            <w:pPr>
              <w:rPr>
                <w:rFonts w:hint="eastAsia" w:ascii="仿宋_GB2312" w:hAnsi="仿宋_GB2312" w:eastAsia="仿宋_GB2312" w:cs="仿宋_GB2312"/>
                <w:i w:val="0"/>
                <w:iCs w:val="0"/>
                <w:color w:val="000000"/>
                <w:sz w:val="20"/>
                <w:szCs w:val="20"/>
                <w:u w:val="none"/>
              </w:rPr>
            </w:pPr>
          </w:p>
        </w:tc>
      </w:tr>
      <w:tr w14:paraId="7AE85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99C09">
            <w:pPr>
              <w:jc w:val="center"/>
              <w:rPr>
                <w:rFonts w:hint="eastAsia" w:ascii="仿宋_GB2312" w:hAnsi="仿宋_GB2312" w:eastAsia="仿宋_GB2312" w:cs="仿宋_GB2312"/>
                <w:i w:val="0"/>
                <w:iCs w:val="0"/>
                <w:color w:val="000000"/>
                <w:sz w:val="20"/>
                <w:szCs w:val="20"/>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AE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02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D8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A34B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5D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C1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AF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F241D">
            <w:pPr>
              <w:rPr>
                <w:rFonts w:hint="eastAsia" w:ascii="仿宋_GB2312" w:hAnsi="仿宋_GB2312" w:eastAsia="仿宋_GB2312" w:cs="仿宋_GB2312"/>
                <w:i w:val="0"/>
                <w:iCs w:val="0"/>
                <w:color w:val="000000"/>
                <w:sz w:val="20"/>
                <w:szCs w:val="20"/>
                <w:u w:val="none"/>
              </w:rPr>
            </w:pPr>
          </w:p>
        </w:tc>
      </w:tr>
      <w:tr w14:paraId="6135F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943ED">
            <w:pPr>
              <w:jc w:val="center"/>
              <w:rPr>
                <w:rFonts w:hint="eastAsia" w:ascii="仿宋_GB2312" w:hAnsi="仿宋_GB2312" w:eastAsia="仿宋_GB2312" w:cs="仿宋_GB2312"/>
                <w:i w:val="0"/>
                <w:iCs w:val="0"/>
                <w:color w:val="000000"/>
                <w:sz w:val="20"/>
                <w:szCs w:val="20"/>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65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53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D6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5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59E5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20B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AA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76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66BE2">
            <w:pPr>
              <w:rPr>
                <w:rFonts w:hint="eastAsia" w:ascii="仿宋_GB2312" w:hAnsi="仿宋_GB2312" w:eastAsia="仿宋_GB2312" w:cs="仿宋_GB2312"/>
                <w:i w:val="0"/>
                <w:iCs w:val="0"/>
                <w:color w:val="000000"/>
                <w:sz w:val="20"/>
                <w:szCs w:val="20"/>
                <w:u w:val="none"/>
              </w:rPr>
            </w:pPr>
          </w:p>
        </w:tc>
      </w:tr>
      <w:tr w14:paraId="35178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39F2E">
            <w:pPr>
              <w:jc w:val="center"/>
              <w:rPr>
                <w:rFonts w:hint="eastAsia" w:ascii="仿宋_GB2312" w:hAnsi="仿宋_GB2312" w:eastAsia="仿宋_GB2312" w:cs="仿宋_GB2312"/>
                <w:i w:val="0"/>
                <w:iCs w:val="0"/>
                <w:color w:val="000000"/>
                <w:sz w:val="20"/>
                <w:szCs w:val="20"/>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35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A92D">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6B87">
            <w:pPr>
              <w:jc w:val="center"/>
              <w:rPr>
                <w:rFonts w:hint="eastAsia" w:ascii="仿宋_GB2312" w:hAnsi="仿宋_GB2312" w:eastAsia="仿宋_GB2312" w:cs="仿宋_GB2312"/>
                <w:i w:val="0"/>
                <w:iCs w:val="0"/>
                <w:color w:val="000000"/>
                <w:sz w:val="20"/>
                <w:szCs w:val="20"/>
                <w:u w:val="none"/>
              </w:rPr>
            </w:pPr>
          </w:p>
        </w:tc>
        <w:tc>
          <w:tcPr>
            <w:tcW w:w="25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39A99D">
            <w:pPr>
              <w:jc w:val="center"/>
              <w:rPr>
                <w:rFonts w:hint="eastAsia" w:ascii="仿宋_GB2312" w:hAnsi="仿宋_GB2312" w:eastAsia="仿宋_GB2312" w:cs="仿宋_GB2312"/>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9AA4">
            <w:pPr>
              <w:jc w:val="center"/>
              <w:rPr>
                <w:rFonts w:hint="eastAsia" w:ascii="仿宋_GB2312" w:hAnsi="仿宋_GB2312" w:eastAsia="仿宋_GB2312" w:cs="仿宋_GB2312"/>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B7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89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28220">
            <w:pPr>
              <w:rPr>
                <w:rFonts w:hint="eastAsia" w:ascii="仿宋_GB2312" w:hAnsi="仿宋_GB2312" w:eastAsia="仿宋_GB2312" w:cs="仿宋_GB2312"/>
                <w:i w:val="0"/>
                <w:iCs w:val="0"/>
                <w:color w:val="000000"/>
                <w:sz w:val="20"/>
                <w:szCs w:val="20"/>
                <w:u w:val="none"/>
              </w:rPr>
            </w:pPr>
          </w:p>
        </w:tc>
      </w:tr>
      <w:tr w14:paraId="5D1D0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A8E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83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55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DF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F9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7B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74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4A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D3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5D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5E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14:paraId="5817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877A7">
            <w:pPr>
              <w:jc w:val="center"/>
              <w:rPr>
                <w:rFonts w:hint="eastAsia" w:ascii="仿宋_GB2312" w:hAnsi="仿宋_GB2312" w:eastAsia="仿宋_GB2312" w:cs="仿宋_GB2312"/>
                <w:i w:val="0"/>
                <w:iCs w:val="0"/>
                <w:color w:val="000000"/>
                <w:sz w:val="20"/>
                <w:szCs w:val="20"/>
                <w:u w:val="none"/>
              </w:rPr>
            </w:pPr>
          </w:p>
        </w:tc>
        <w:tc>
          <w:tcPr>
            <w:tcW w:w="9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ADD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CD2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F2C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 型糖尿病患者管理人数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F5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AD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1500人</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16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20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1804人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71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ED7F">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AF51">
            <w:pPr>
              <w:jc w:val="center"/>
              <w:rPr>
                <w:rFonts w:hint="eastAsia" w:ascii="仿宋_GB2312" w:hAnsi="仿宋_GB2312" w:eastAsia="仿宋_GB2312" w:cs="仿宋_GB2312"/>
                <w:i w:val="0"/>
                <w:iCs w:val="0"/>
                <w:color w:val="000000"/>
                <w:sz w:val="20"/>
                <w:szCs w:val="20"/>
                <w:u w:val="none"/>
              </w:rPr>
            </w:pPr>
          </w:p>
        </w:tc>
      </w:tr>
      <w:tr w14:paraId="445E0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6D29A">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5AEC7">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4E921">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BB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高血压患者管理人数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41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41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5800人</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13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人数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1A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6113人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6C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8D81">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C229">
            <w:pPr>
              <w:jc w:val="center"/>
              <w:rPr>
                <w:rFonts w:hint="eastAsia" w:ascii="仿宋_GB2312" w:hAnsi="仿宋_GB2312" w:eastAsia="仿宋_GB2312" w:cs="仿宋_GB2312"/>
                <w:i w:val="0"/>
                <w:iCs w:val="0"/>
                <w:color w:val="000000"/>
                <w:sz w:val="20"/>
                <w:szCs w:val="20"/>
                <w:u w:val="none"/>
              </w:rPr>
            </w:pPr>
          </w:p>
        </w:tc>
      </w:tr>
      <w:tr w14:paraId="4A097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1382A">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2FD7B">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3FB77">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C6A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肺结核患者管理率</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957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8F6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72F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D5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06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5049">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EAC5">
            <w:pPr>
              <w:jc w:val="center"/>
              <w:rPr>
                <w:rFonts w:hint="eastAsia" w:ascii="仿宋_GB2312" w:hAnsi="仿宋_GB2312" w:eastAsia="仿宋_GB2312" w:cs="仿宋_GB2312"/>
                <w:i w:val="0"/>
                <w:iCs w:val="0"/>
                <w:color w:val="000000"/>
                <w:sz w:val="20"/>
                <w:szCs w:val="20"/>
                <w:u w:val="none"/>
              </w:rPr>
            </w:pPr>
          </w:p>
        </w:tc>
      </w:tr>
      <w:tr w14:paraId="3400C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98F6D">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9BFAD">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09C85">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ABE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孕产妇系统管理率</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93C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A3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C1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E8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≥95.56%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3F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B394">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13FF">
            <w:pPr>
              <w:jc w:val="center"/>
              <w:rPr>
                <w:rFonts w:hint="eastAsia" w:ascii="仿宋_GB2312" w:hAnsi="仿宋_GB2312" w:eastAsia="仿宋_GB2312" w:cs="仿宋_GB2312"/>
                <w:i w:val="0"/>
                <w:iCs w:val="0"/>
                <w:color w:val="000000"/>
                <w:sz w:val="20"/>
                <w:szCs w:val="20"/>
                <w:u w:val="none"/>
              </w:rPr>
            </w:pPr>
          </w:p>
        </w:tc>
      </w:tr>
      <w:tr w14:paraId="7375D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9811F">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AA0BF">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848D0">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333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社区在册居家严重精神障碍患者健康管理率</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621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02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86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B1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≥96.56%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A79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F70F">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3FEC">
            <w:pPr>
              <w:jc w:val="center"/>
              <w:rPr>
                <w:rFonts w:hint="eastAsia" w:ascii="仿宋_GB2312" w:hAnsi="仿宋_GB2312" w:eastAsia="仿宋_GB2312" w:cs="仿宋_GB2312"/>
                <w:i w:val="0"/>
                <w:iCs w:val="0"/>
                <w:color w:val="000000"/>
                <w:sz w:val="20"/>
                <w:szCs w:val="20"/>
                <w:u w:val="none"/>
              </w:rPr>
            </w:pPr>
          </w:p>
        </w:tc>
      </w:tr>
      <w:tr w14:paraId="73D98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C3C60">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4673">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1EA0B">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85E7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儿童中医药健康管理率</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9276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1E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≥85%</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36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5A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≥97.53%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5E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999A">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A02D">
            <w:pPr>
              <w:jc w:val="center"/>
              <w:rPr>
                <w:rFonts w:hint="eastAsia" w:ascii="仿宋_GB2312" w:hAnsi="仿宋_GB2312" w:eastAsia="仿宋_GB2312" w:cs="仿宋_GB2312"/>
                <w:i w:val="0"/>
                <w:iCs w:val="0"/>
                <w:color w:val="000000"/>
                <w:sz w:val="20"/>
                <w:szCs w:val="20"/>
                <w:u w:val="none"/>
              </w:rPr>
            </w:pPr>
          </w:p>
        </w:tc>
      </w:tr>
      <w:tr w14:paraId="5057A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0C36D">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C5FF9">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9B025">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3C5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老年人中医药健康管理率</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21C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9F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≥75%</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19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90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≥77.59%</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4E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EE4B">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E586">
            <w:pPr>
              <w:jc w:val="center"/>
              <w:rPr>
                <w:rFonts w:hint="eastAsia" w:ascii="仿宋_GB2312" w:hAnsi="仿宋_GB2312" w:eastAsia="仿宋_GB2312" w:cs="仿宋_GB2312"/>
                <w:i w:val="0"/>
                <w:iCs w:val="0"/>
                <w:color w:val="000000"/>
                <w:sz w:val="20"/>
                <w:szCs w:val="20"/>
                <w:u w:val="none"/>
              </w:rPr>
            </w:pPr>
          </w:p>
        </w:tc>
      </w:tr>
      <w:tr w14:paraId="59D79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562CF">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72C51">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75092">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B2F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为65岁及以上提出申请的160名失能老年人健康服务目标任务</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DFF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8B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160人</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AC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BA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160人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79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ECB6">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BFD0">
            <w:pPr>
              <w:jc w:val="center"/>
              <w:rPr>
                <w:rFonts w:hint="eastAsia" w:ascii="仿宋_GB2312" w:hAnsi="仿宋_GB2312" w:eastAsia="仿宋_GB2312" w:cs="仿宋_GB2312"/>
                <w:i w:val="0"/>
                <w:iCs w:val="0"/>
                <w:color w:val="000000"/>
                <w:sz w:val="20"/>
                <w:szCs w:val="20"/>
                <w:u w:val="none"/>
              </w:rPr>
            </w:pPr>
          </w:p>
        </w:tc>
      </w:tr>
      <w:tr w14:paraId="2062F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0E8D9">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284E2">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78305">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438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免费孕前优生健康检查目标对数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DC1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89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18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270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C2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24B1A">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45CA">
            <w:pPr>
              <w:jc w:val="center"/>
              <w:rPr>
                <w:rFonts w:hint="eastAsia" w:ascii="仿宋_GB2312" w:hAnsi="仿宋_GB2312" w:eastAsia="仿宋_GB2312" w:cs="仿宋_GB2312"/>
                <w:i w:val="0"/>
                <w:iCs w:val="0"/>
                <w:color w:val="000000"/>
                <w:sz w:val="20"/>
                <w:szCs w:val="20"/>
                <w:u w:val="none"/>
              </w:rPr>
            </w:pPr>
          </w:p>
        </w:tc>
      </w:tr>
      <w:tr w14:paraId="75F68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40C18">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14CC7">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EDD77">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A11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计划怀孕夫妇健康教育知识知晓率</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F4E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B1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DD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E8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5D9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C77DF">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9259">
            <w:pPr>
              <w:jc w:val="center"/>
              <w:rPr>
                <w:rFonts w:hint="eastAsia" w:ascii="仿宋_GB2312" w:hAnsi="仿宋_GB2312" w:eastAsia="仿宋_GB2312" w:cs="仿宋_GB2312"/>
                <w:i w:val="0"/>
                <w:iCs w:val="0"/>
                <w:color w:val="000000"/>
                <w:sz w:val="20"/>
                <w:szCs w:val="20"/>
                <w:u w:val="none"/>
              </w:rPr>
            </w:pPr>
          </w:p>
        </w:tc>
      </w:tr>
      <w:tr w14:paraId="53E84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B8AF5">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81CBA">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B1670">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098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新生儿听力筛查率</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ED3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7F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BF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9F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99A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BEDA">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5745">
            <w:pPr>
              <w:jc w:val="center"/>
              <w:rPr>
                <w:rFonts w:hint="eastAsia" w:ascii="仿宋_GB2312" w:hAnsi="仿宋_GB2312" w:eastAsia="仿宋_GB2312" w:cs="仿宋_GB2312"/>
                <w:i w:val="0"/>
                <w:iCs w:val="0"/>
                <w:color w:val="000000"/>
                <w:sz w:val="20"/>
                <w:szCs w:val="20"/>
                <w:u w:val="none"/>
              </w:rPr>
            </w:pPr>
          </w:p>
        </w:tc>
      </w:tr>
      <w:tr w14:paraId="7462F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2089F">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61EE7">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287FD">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nil"/>
              <w:right w:val="single" w:color="000000" w:sz="4" w:space="0"/>
            </w:tcBorders>
            <w:shd w:val="clear" w:color="auto" w:fill="auto"/>
            <w:vAlign w:val="center"/>
          </w:tcPr>
          <w:p w14:paraId="1806334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新生儿遗传代谢病筛查率</w:t>
            </w:r>
          </w:p>
        </w:tc>
        <w:tc>
          <w:tcPr>
            <w:tcW w:w="854" w:type="dxa"/>
            <w:tcBorders>
              <w:top w:val="single" w:color="000000" w:sz="4" w:space="0"/>
              <w:left w:val="single" w:color="000000" w:sz="4" w:space="0"/>
              <w:bottom w:val="nil"/>
              <w:right w:val="single" w:color="000000" w:sz="4" w:space="0"/>
            </w:tcBorders>
            <w:shd w:val="clear" w:color="auto" w:fill="auto"/>
            <w:vAlign w:val="center"/>
          </w:tcPr>
          <w:p w14:paraId="4692532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01FCA5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≥98%</w:t>
            </w:r>
          </w:p>
        </w:tc>
        <w:tc>
          <w:tcPr>
            <w:tcW w:w="764" w:type="dxa"/>
            <w:tcBorders>
              <w:top w:val="single" w:color="000000" w:sz="4" w:space="0"/>
              <w:left w:val="single" w:color="000000" w:sz="4" w:space="0"/>
              <w:bottom w:val="nil"/>
              <w:right w:val="single" w:color="000000" w:sz="4" w:space="0"/>
            </w:tcBorders>
            <w:shd w:val="clear" w:color="auto" w:fill="auto"/>
            <w:vAlign w:val="center"/>
          </w:tcPr>
          <w:p w14:paraId="0EA2DF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nil"/>
              <w:right w:val="single" w:color="000000" w:sz="4" w:space="0"/>
            </w:tcBorders>
            <w:shd w:val="clear" w:color="auto" w:fill="auto"/>
            <w:vAlign w:val="center"/>
          </w:tcPr>
          <w:p w14:paraId="4A3956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0" w:type="dxa"/>
            <w:tcBorders>
              <w:top w:val="single" w:color="000000" w:sz="4" w:space="0"/>
              <w:left w:val="single" w:color="000000" w:sz="4" w:space="0"/>
              <w:bottom w:val="nil"/>
              <w:right w:val="single" w:color="000000" w:sz="4" w:space="0"/>
            </w:tcBorders>
            <w:shd w:val="clear" w:color="auto" w:fill="auto"/>
            <w:vAlign w:val="center"/>
          </w:tcPr>
          <w:p w14:paraId="66ADBF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1DA268D0">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CCE3">
            <w:pPr>
              <w:jc w:val="center"/>
              <w:rPr>
                <w:rFonts w:hint="eastAsia" w:ascii="仿宋_GB2312" w:hAnsi="仿宋_GB2312" w:eastAsia="仿宋_GB2312" w:cs="仿宋_GB2312"/>
                <w:i w:val="0"/>
                <w:iCs w:val="0"/>
                <w:color w:val="000000"/>
                <w:sz w:val="20"/>
                <w:szCs w:val="20"/>
                <w:u w:val="none"/>
              </w:rPr>
            </w:pPr>
          </w:p>
        </w:tc>
      </w:tr>
      <w:tr w14:paraId="37F63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62982">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808D7">
            <w:pPr>
              <w:jc w:val="center"/>
              <w:rPr>
                <w:rFonts w:hint="eastAsia" w:ascii="仿宋_GB2312" w:hAnsi="仿宋_GB2312" w:eastAsia="仿宋_GB2312" w:cs="仿宋_GB2312"/>
                <w:i w:val="0"/>
                <w:iCs w:val="0"/>
                <w:color w:val="000000"/>
                <w:sz w:val="20"/>
                <w:szCs w:val="20"/>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5F2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质量指标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03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地方病核心指标监测率</w:t>
            </w:r>
          </w:p>
        </w:tc>
        <w:tc>
          <w:tcPr>
            <w:tcW w:w="854" w:type="dxa"/>
            <w:tcBorders>
              <w:top w:val="single" w:color="000000" w:sz="4" w:space="0"/>
              <w:left w:val="single" w:color="000000" w:sz="4" w:space="0"/>
              <w:bottom w:val="nil"/>
              <w:right w:val="single" w:color="000000" w:sz="4" w:space="0"/>
            </w:tcBorders>
            <w:shd w:val="clear" w:color="auto" w:fill="auto"/>
            <w:vAlign w:val="center"/>
          </w:tcPr>
          <w:p w14:paraId="76CBE22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7E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4F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EFC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510" w:type="dxa"/>
            <w:tcBorders>
              <w:top w:val="single" w:color="000000" w:sz="4" w:space="0"/>
              <w:left w:val="single" w:color="000000" w:sz="4" w:space="0"/>
              <w:bottom w:val="nil"/>
              <w:right w:val="single" w:color="000000" w:sz="4" w:space="0"/>
            </w:tcBorders>
            <w:shd w:val="clear" w:color="auto" w:fill="auto"/>
            <w:vAlign w:val="center"/>
          </w:tcPr>
          <w:p w14:paraId="26091A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2475">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nil"/>
              <w:bottom w:val="single" w:color="000000" w:sz="4" w:space="0"/>
              <w:right w:val="single" w:color="000000" w:sz="4" w:space="0"/>
            </w:tcBorders>
            <w:shd w:val="clear" w:color="auto" w:fill="auto"/>
            <w:vAlign w:val="center"/>
          </w:tcPr>
          <w:p w14:paraId="5FFC3E1D">
            <w:pPr>
              <w:jc w:val="center"/>
              <w:rPr>
                <w:rFonts w:hint="eastAsia" w:ascii="仿宋_GB2312" w:hAnsi="仿宋_GB2312" w:eastAsia="仿宋_GB2312" w:cs="仿宋_GB2312"/>
                <w:i w:val="0"/>
                <w:iCs w:val="0"/>
                <w:color w:val="000000"/>
                <w:sz w:val="20"/>
                <w:szCs w:val="20"/>
                <w:u w:val="none"/>
              </w:rPr>
            </w:pPr>
          </w:p>
        </w:tc>
      </w:tr>
      <w:tr w14:paraId="6BD7C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C94CA">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45566">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6741D">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DD2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改善65岁以上失能老人健康管理服务率</w:t>
            </w:r>
          </w:p>
        </w:tc>
        <w:tc>
          <w:tcPr>
            <w:tcW w:w="854" w:type="dxa"/>
            <w:tcBorders>
              <w:top w:val="single" w:color="000000" w:sz="4" w:space="0"/>
              <w:left w:val="single" w:color="000000" w:sz="4" w:space="0"/>
              <w:bottom w:val="nil"/>
              <w:right w:val="single" w:color="000000" w:sz="4" w:space="0"/>
            </w:tcBorders>
            <w:shd w:val="clear" w:color="auto" w:fill="auto"/>
            <w:vAlign w:val="center"/>
          </w:tcPr>
          <w:p w14:paraId="7011B50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BE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D8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43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510" w:type="dxa"/>
            <w:tcBorders>
              <w:top w:val="single" w:color="000000" w:sz="4" w:space="0"/>
              <w:left w:val="single" w:color="000000" w:sz="4" w:space="0"/>
              <w:bottom w:val="nil"/>
              <w:right w:val="single" w:color="000000" w:sz="4" w:space="0"/>
            </w:tcBorders>
            <w:shd w:val="clear" w:color="auto" w:fill="auto"/>
            <w:vAlign w:val="center"/>
          </w:tcPr>
          <w:p w14:paraId="4260BD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9837">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nil"/>
              <w:bottom w:val="single" w:color="000000" w:sz="4" w:space="0"/>
              <w:right w:val="single" w:color="000000" w:sz="4" w:space="0"/>
            </w:tcBorders>
            <w:shd w:val="clear" w:color="auto" w:fill="auto"/>
            <w:vAlign w:val="center"/>
          </w:tcPr>
          <w:p w14:paraId="4FCA0E28">
            <w:pPr>
              <w:jc w:val="center"/>
              <w:rPr>
                <w:rFonts w:hint="eastAsia" w:ascii="仿宋_GB2312" w:hAnsi="仿宋_GB2312" w:eastAsia="仿宋_GB2312" w:cs="仿宋_GB2312"/>
                <w:i w:val="0"/>
                <w:iCs w:val="0"/>
                <w:color w:val="000000"/>
                <w:sz w:val="20"/>
                <w:szCs w:val="20"/>
                <w:u w:val="none"/>
              </w:rPr>
            </w:pPr>
          </w:p>
        </w:tc>
      </w:tr>
      <w:tr w14:paraId="2DEF7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2D406">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BEC79">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CDC4E">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73A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居民规范化电子健康档案建档率</w:t>
            </w:r>
          </w:p>
        </w:tc>
        <w:tc>
          <w:tcPr>
            <w:tcW w:w="854" w:type="dxa"/>
            <w:tcBorders>
              <w:top w:val="single" w:color="000000" w:sz="4" w:space="0"/>
              <w:left w:val="single" w:color="000000" w:sz="4" w:space="0"/>
              <w:bottom w:val="nil"/>
              <w:right w:val="single" w:color="000000" w:sz="4" w:space="0"/>
            </w:tcBorders>
            <w:shd w:val="clear" w:color="auto" w:fill="auto"/>
            <w:vAlign w:val="center"/>
          </w:tcPr>
          <w:p w14:paraId="7826A66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30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≥93%</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57C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8D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95.04</w:t>
            </w:r>
          </w:p>
        </w:tc>
        <w:tc>
          <w:tcPr>
            <w:tcW w:w="510" w:type="dxa"/>
            <w:tcBorders>
              <w:top w:val="single" w:color="000000" w:sz="4" w:space="0"/>
              <w:left w:val="single" w:color="000000" w:sz="4" w:space="0"/>
              <w:bottom w:val="nil"/>
              <w:right w:val="single" w:color="000000" w:sz="4" w:space="0"/>
            </w:tcBorders>
            <w:shd w:val="clear" w:color="auto" w:fill="auto"/>
            <w:vAlign w:val="center"/>
          </w:tcPr>
          <w:p w14:paraId="69391A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B01B">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nil"/>
              <w:bottom w:val="single" w:color="000000" w:sz="4" w:space="0"/>
              <w:right w:val="single" w:color="000000" w:sz="4" w:space="0"/>
            </w:tcBorders>
            <w:shd w:val="clear" w:color="auto" w:fill="auto"/>
            <w:vAlign w:val="center"/>
          </w:tcPr>
          <w:p w14:paraId="37CFDC39">
            <w:pPr>
              <w:jc w:val="center"/>
              <w:rPr>
                <w:rFonts w:hint="eastAsia" w:ascii="仿宋_GB2312" w:hAnsi="仿宋_GB2312" w:eastAsia="仿宋_GB2312" w:cs="仿宋_GB2312"/>
                <w:i w:val="0"/>
                <w:iCs w:val="0"/>
                <w:color w:val="000000"/>
                <w:sz w:val="20"/>
                <w:szCs w:val="20"/>
                <w:u w:val="none"/>
              </w:rPr>
            </w:pPr>
          </w:p>
        </w:tc>
      </w:tr>
      <w:tr w14:paraId="59AFA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F9675">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4A37E">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B2A29">
            <w:pPr>
              <w:jc w:val="center"/>
              <w:rPr>
                <w:rFonts w:hint="eastAsia" w:ascii="仿宋_GB2312" w:hAnsi="仿宋_GB2312" w:eastAsia="仿宋_GB2312" w:cs="仿宋_GB2312"/>
                <w:i w:val="0"/>
                <w:iCs w:val="0"/>
                <w:color w:val="000000"/>
                <w:sz w:val="20"/>
                <w:szCs w:val="20"/>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3E4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高血压患者基层规范管理服务率</w:t>
            </w:r>
          </w:p>
        </w:tc>
        <w:tc>
          <w:tcPr>
            <w:tcW w:w="854" w:type="dxa"/>
            <w:tcBorders>
              <w:top w:val="single" w:color="000000" w:sz="4" w:space="0"/>
              <w:left w:val="single" w:color="000000" w:sz="4" w:space="0"/>
              <w:bottom w:val="nil"/>
              <w:right w:val="single" w:color="000000" w:sz="4" w:space="0"/>
            </w:tcBorders>
            <w:shd w:val="clear" w:color="auto" w:fill="auto"/>
            <w:vAlign w:val="center"/>
          </w:tcPr>
          <w:p w14:paraId="6B4E06B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8B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≥65%</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C3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4B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68.33%</w:t>
            </w:r>
          </w:p>
        </w:tc>
        <w:tc>
          <w:tcPr>
            <w:tcW w:w="510" w:type="dxa"/>
            <w:tcBorders>
              <w:top w:val="single" w:color="000000" w:sz="4" w:space="0"/>
              <w:left w:val="single" w:color="000000" w:sz="4" w:space="0"/>
              <w:bottom w:val="nil"/>
              <w:right w:val="single" w:color="000000" w:sz="4" w:space="0"/>
            </w:tcBorders>
            <w:shd w:val="clear" w:color="auto" w:fill="auto"/>
            <w:vAlign w:val="center"/>
          </w:tcPr>
          <w:p w14:paraId="11D204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CB6A">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nil"/>
              <w:bottom w:val="single" w:color="000000" w:sz="4" w:space="0"/>
              <w:right w:val="single" w:color="000000" w:sz="4" w:space="0"/>
            </w:tcBorders>
            <w:shd w:val="clear" w:color="auto" w:fill="auto"/>
            <w:vAlign w:val="center"/>
          </w:tcPr>
          <w:p w14:paraId="074924DB">
            <w:pPr>
              <w:jc w:val="center"/>
              <w:rPr>
                <w:rFonts w:hint="eastAsia" w:ascii="仿宋_GB2312" w:hAnsi="仿宋_GB2312" w:eastAsia="仿宋_GB2312" w:cs="仿宋_GB2312"/>
                <w:i w:val="0"/>
                <w:iCs w:val="0"/>
                <w:color w:val="000000"/>
                <w:sz w:val="20"/>
                <w:szCs w:val="20"/>
                <w:u w:val="none"/>
              </w:rPr>
            </w:pPr>
          </w:p>
        </w:tc>
      </w:tr>
      <w:tr w14:paraId="7E179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97750">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AFE02">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FE556">
            <w:pPr>
              <w:jc w:val="center"/>
              <w:rPr>
                <w:rFonts w:hint="eastAsia" w:ascii="仿宋_GB2312" w:hAnsi="仿宋_GB2312" w:eastAsia="仿宋_GB2312" w:cs="仿宋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E7E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宫颈癌早诊率</w:t>
            </w:r>
          </w:p>
        </w:tc>
        <w:tc>
          <w:tcPr>
            <w:tcW w:w="854" w:type="dxa"/>
            <w:tcBorders>
              <w:top w:val="single" w:color="000000" w:sz="4" w:space="0"/>
              <w:left w:val="single" w:color="000000" w:sz="4" w:space="0"/>
              <w:bottom w:val="nil"/>
              <w:right w:val="single" w:color="000000" w:sz="4" w:space="0"/>
            </w:tcBorders>
            <w:shd w:val="clear" w:color="auto" w:fill="auto"/>
            <w:vAlign w:val="center"/>
          </w:tcPr>
          <w:p w14:paraId="7DE3673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16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3D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6AF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510" w:type="dxa"/>
            <w:tcBorders>
              <w:top w:val="single" w:color="000000" w:sz="4" w:space="0"/>
              <w:left w:val="single" w:color="000000" w:sz="4" w:space="0"/>
              <w:bottom w:val="nil"/>
              <w:right w:val="single" w:color="000000" w:sz="4" w:space="0"/>
            </w:tcBorders>
            <w:shd w:val="clear" w:color="auto" w:fill="auto"/>
            <w:vAlign w:val="center"/>
          </w:tcPr>
          <w:p w14:paraId="613E5F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10DC">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nil"/>
              <w:bottom w:val="single" w:color="000000" w:sz="4" w:space="0"/>
              <w:right w:val="single" w:color="000000" w:sz="4" w:space="0"/>
            </w:tcBorders>
            <w:shd w:val="clear" w:color="auto" w:fill="auto"/>
            <w:vAlign w:val="center"/>
          </w:tcPr>
          <w:p w14:paraId="21C42A1F">
            <w:pPr>
              <w:jc w:val="center"/>
              <w:rPr>
                <w:rFonts w:hint="eastAsia" w:ascii="仿宋_GB2312" w:hAnsi="仿宋_GB2312" w:eastAsia="仿宋_GB2312" w:cs="仿宋_GB2312"/>
                <w:i w:val="0"/>
                <w:iCs w:val="0"/>
                <w:color w:val="000000"/>
                <w:sz w:val="20"/>
                <w:szCs w:val="20"/>
                <w:u w:val="none"/>
              </w:rPr>
            </w:pPr>
          </w:p>
        </w:tc>
      </w:tr>
      <w:tr w14:paraId="79D9F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3D6E6">
            <w:pPr>
              <w:jc w:val="center"/>
              <w:rPr>
                <w:rFonts w:hint="eastAsia" w:ascii="仿宋_GB2312" w:hAnsi="仿宋_GB2312" w:eastAsia="仿宋_GB2312" w:cs="仿宋_GB2312"/>
                <w:i w:val="0"/>
                <w:iCs w:val="0"/>
                <w:color w:val="000000"/>
                <w:sz w:val="20"/>
                <w:szCs w:val="20"/>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1C6A2">
            <w:pPr>
              <w:jc w:val="center"/>
              <w:rPr>
                <w:rFonts w:hint="eastAsia" w:ascii="仿宋_GB2312" w:hAnsi="仿宋_GB2312" w:eastAsia="仿宋_GB2312" w:cs="仿宋_GB2312"/>
                <w:i w:val="0"/>
                <w:iCs w:val="0"/>
                <w:color w:val="000000"/>
                <w:sz w:val="20"/>
                <w:szCs w:val="20"/>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A865C">
            <w:pPr>
              <w:jc w:val="center"/>
              <w:rPr>
                <w:rFonts w:hint="eastAsia" w:ascii="仿宋_GB2312" w:hAnsi="仿宋_GB2312" w:eastAsia="仿宋_GB2312" w:cs="仿宋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5863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乳腺癌早诊率</w:t>
            </w:r>
          </w:p>
        </w:tc>
        <w:tc>
          <w:tcPr>
            <w:tcW w:w="854" w:type="dxa"/>
            <w:tcBorders>
              <w:top w:val="single" w:color="000000" w:sz="4" w:space="0"/>
              <w:left w:val="single" w:color="000000" w:sz="4" w:space="0"/>
              <w:bottom w:val="nil"/>
              <w:right w:val="single" w:color="000000" w:sz="4" w:space="0"/>
            </w:tcBorders>
            <w:shd w:val="clear" w:color="auto" w:fill="auto"/>
            <w:vAlign w:val="center"/>
          </w:tcPr>
          <w:p w14:paraId="57DEA4B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3B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99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52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0C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736C">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nil"/>
              <w:bottom w:val="single" w:color="000000" w:sz="4" w:space="0"/>
              <w:right w:val="single" w:color="000000" w:sz="4" w:space="0"/>
            </w:tcBorders>
            <w:shd w:val="clear" w:color="auto" w:fill="auto"/>
            <w:vAlign w:val="center"/>
          </w:tcPr>
          <w:p w14:paraId="2FB88307">
            <w:pPr>
              <w:jc w:val="center"/>
              <w:rPr>
                <w:rFonts w:hint="eastAsia" w:ascii="仿宋_GB2312" w:hAnsi="仿宋_GB2312" w:eastAsia="仿宋_GB2312" w:cs="仿宋_GB2312"/>
                <w:i w:val="0"/>
                <w:iCs w:val="0"/>
                <w:color w:val="000000"/>
                <w:sz w:val="20"/>
                <w:szCs w:val="20"/>
                <w:u w:val="none"/>
              </w:rPr>
            </w:pPr>
          </w:p>
        </w:tc>
      </w:tr>
      <w:tr w14:paraId="37F97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30635">
            <w:pPr>
              <w:jc w:val="center"/>
              <w:rPr>
                <w:rFonts w:hint="eastAsia" w:ascii="仿宋_GB2312" w:hAnsi="仿宋_GB2312" w:eastAsia="仿宋_GB2312" w:cs="仿宋_GB2312"/>
                <w:i w:val="0"/>
                <w:iCs w:val="0"/>
                <w:color w:val="000000"/>
                <w:sz w:val="20"/>
                <w:szCs w:val="20"/>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AD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55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社会效益指标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7A8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居民健康素养水平</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A1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EB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不断提高</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B67A">
            <w:pPr>
              <w:jc w:val="center"/>
              <w:rPr>
                <w:rFonts w:hint="eastAsia" w:ascii="仿宋_GB2312" w:hAnsi="仿宋_GB2312" w:eastAsia="仿宋_GB2312" w:cs="仿宋_GB2312"/>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AA9A">
            <w:pPr>
              <w:jc w:val="center"/>
              <w:rPr>
                <w:rFonts w:hint="eastAsia" w:ascii="仿宋_GB2312" w:hAnsi="仿宋_GB2312" w:eastAsia="仿宋_GB2312" w:cs="仿宋_GB2312"/>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25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AEF5">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nil"/>
              <w:bottom w:val="single" w:color="000000" w:sz="4" w:space="0"/>
              <w:right w:val="single" w:color="000000" w:sz="4" w:space="0"/>
            </w:tcBorders>
            <w:shd w:val="clear" w:color="auto" w:fill="auto"/>
            <w:vAlign w:val="center"/>
          </w:tcPr>
          <w:p w14:paraId="493E6FA2">
            <w:pPr>
              <w:jc w:val="center"/>
              <w:rPr>
                <w:rFonts w:hint="eastAsia" w:ascii="仿宋_GB2312" w:hAnsi="仿宋_GB2312" w:eastAsia="仿宋_GB2312" w:cs="仿宋_GB2312"/>
                <w:i w:val="0"/>
                <w:iCs w:val="0"/>
                <w:color w:val="000000"/>
                <w:sz w:val="20"/>
                <w:szCs w:val="20"/>
                <w:u w:val="none"/>
              </w:rPr>
            </w:pPr>
          </w:p>
        </w:tc>
      </w:tr>
      <w:tr w14:paraId="37EE1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9424D">
            <w:pPr>
              <w:jc w:val="center"/>
              <w:rPr>
                <w:rFonts w:hint="eastAsia" w:ascii="仿宋_GB2312" w:hAnsi="仿宋_GB2312" w:eastAsia="仿宋_GB2312" w:cs="仿宋_GB2312"/>
                <w:i w:val="0"/>
                <w:iCs w:val="0"/>
                <w:color w:val="000000"/>
                <w:sz w:val="20"/>
                <w:szCs w:val="20"/>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2A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79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6D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71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FE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F6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D5F8">
            <w:pPr>
              <w:jc w:val="center"/>
              <w:rPr>
                <w:rFonts w:hint="eastAsia" w:ascii="仿宋_GB2312" w:hAnsi="仿宋_GB2312" w:eastAsia="仿宋_GB2312" w:cs="仿宋_GB2312"/>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ED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3FD8">
            <w:pPr>
              <w:jc w:val="cente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2C27">
            <w:pPr>
              <w:jc w:val="center"/>
              <w:rPr>
                <w:rFonts w:hint="eastAsia" w:ascii="仿宋_GB2312" w:hAnsi="仿宋_GB2312" w:eastAsia="仿宋_GB2312" w:cs="仿宋_GB2312"/>
                <w:i w:val="0"/>
                <w:iCs w:val="0"/>
                <w:color w:val="000000"/>
                <w:sz w:val="20"/>
                <w:szCs w:val="20"/>
                <w:u w:val="none"/>
              </w:rPr>
            </w:pPr>
          </w:p>
        </w:tc>
      </w:tr>
      <w:tr w14:paraId="0A825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7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2DD22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24E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B195">
            <w:pPr>
              <w:rPr>
                <w:rFonts w:hint="eastAsia" w:ascii="仿宋_GB2312" w:hAnsi="仿宋_GB2312" w:eastAsia="仿宋_GB2312" w:cs="仿宋_GB2312"/>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7D1B5">
            <w:pPr>
              <w:rPr>
                <w:rFonts w:hint="eastAsia" w:ascii="仿宋_GB2312" w:hAnsi="仿宋_GB2312" w:eastAsia="仿宋_GB2312" w:cs="仿宋_GB2312"/>
                <w:i w:val="0"/>
                <w:iCs w:val="0"/>
                <w:color w:val="000000"/>
                <w:sz w:val="20"/>
                <w:szCs w:val="20"/>
                <w:u w:val="none"/>
              </w:rPr>
            </w:pPr>
          </w:p>
        </w:tc>
      </w:tr>
      <w:tr w14:paraId="6628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FC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8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14D30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b w:val="0"/>
                <w:bCs w:val="0"/>
                <w:i w:val="0"/>
                <w:iCs w:val="0"/>
                <w:color w:val="000000"/>
                <w:kern w:val="0"/>
                <w:sz w:val="20"/>
                <w:szCs w:val="20"/>
                <w:u w:val="none"/>
                <w:lang w:val="en-US" w:eastAsia="zh-CN" w:bidi="ar"/>
              </w:rPr>
              <w:t>健全医疗保障体系，实现人人享有基本医疗卫生服务的目标，基本适应广大群众多层次的医疗卫生服务需求，人民群众健康水平进一步提高，边远群众因病致贫、因病返贫的现象得到有效缓解，促进社会和谐。</w:t>
            </w:r>
          </w:p>
        </w:tc>
      </w:tr>
      <w:tr w14:paraId="16E60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88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8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F1B3A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58E4C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8D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8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653B0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无</w:t>
            </w:r>
          </w:p>
        </w:tc>
      </w:tr>
      <w:tr w14:paraId="1C86C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0B564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项目负责人：刘永凤</w:t>
            </w:r>
          </w:p>
        </w:tc>
        <w:tc>
          <w:tcPr>
            <w:tcW w:w="4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BD849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财务负责人：屈雅欣</w:t>
            </w:r>
          </w:p>
        </w:tc>
      </w:tr>
    </w:tbl>
    <w:p w14:paraId="7B832EB3">
      <w:pPr>
        <w:pStyle w:val="12"/>
        <w:jc w:val="both"/>
        <w:rPr>
          <w:rFonts w:hint="eastAsia" w:ascii="仿宋_GB2312" w:hAnsi="仿宋_GB2312" w:eastAsia="仿宋_GB2312" w:cs="仿宋_GB2312"/>
          <w:i w:val="0"/>
          <w:iCs w:val="0"/>
          <w:sz w:val="20"/>
          <w:szCs w:val="20"/>
          <w:lang w:val="en-US" w:eastAsia="zh-CN"/>
        </w:rPr>
      </w:pPr>
    </w:p>
    <w:tbl>
      <w:tblPr>
        <w:tblStyle w:val="18"/>
        <w:tblW w:w="96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5"/>
        <w:gridCol w:w="825"/>
        <w:gridCol w:w="1080"/>
        <w:gridCol w:w="1215"/>
        <w:gridCol w:w="615"/>
        <w:gridCol w:w="795"/>
        <w:gridCol w:w="840"/>
        <w:gridCol w:w="945"/>
        <w:gridCol w:w="1080"/>
        <w:gridCol w:w="645"/>
        <w:gridCol w:w="645"/>
      </w:tblGrid>
      <w:tr w14:paraId="6F95D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17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0068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项目名称</w:t>
            </w:r>
          </w:p>
        </w:tc>
        <w:tc>
          <w:tcPr>
            <w:tcW w:w="78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EEF80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基层医疗卫生机构实施基本药物制度</w:t>
            </w:r>
          </w:p>
        </w:tc>
      </w:tr>
      <w:tr w14:paraId="4BD4E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trPr>
        <w:tc>
          <w:tcPr>
            <w:tcW w:w="17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21BF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07378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茂县卫生健康局本级</w:t>
            </w:r>
          </w:p>
        </w:tc>
        <w:tc>
          <w:tcPr>
            <w:tcW w:w="945" w:type="dxa"/>
            <w:tcBorders>
              <w:top w:val="nil"/>
              <w:left w:val="nil"/>
              <w:bottom w:val="nil"/>
              <w:right w:val="nil"/>
            </w:tcBorders>
            <w:shd w:val="clear" w:color="auto" w:fill="auto"/>
            <w:vAlign w:val="center"/>
          </w:tcPr>
          <w:p w14:paraId="2B468C9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实施单位 （盖章）</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2E9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茂县卫生健康局</w:t>
            </w:r>
          </w:p>
        </w:tc>
      </w:tr>
      <w:tr w14:paraId="18BF6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B4E2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项目基本情况</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7F87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4F1F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项目年度目标</w:t>
            </w:r>
          </w:p>
        </w:tc>
        <w:tc>
          <w:tcPr>
            <w:tcW w:w="33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2968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年度目标完成情况</w:t>
            </w:r>
          </w:p>
        </w:tc>
      </w:tr>
      <w:tr w14:paraId="1D407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0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C1772">
            <w:pPr>
              <w:rPr>
                <w:rFonts w:hint="eastAsia" w:ascii="仿宋_GB2312" w:hAnsi="仿宋_GB2312" w:eastAsia="仿宋_GB2312" w:cs="仿宋_GB2312"/>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58475">
            <w:pPr>
              <w:rPr>
                <w:rFonts w:hint="eastAsia" w:ascii="仿宋_GB2312" w:hAnsi="仿宋_GB2312" w:eastAsia="仿宋_GB2312" w:cs="仿宋_GB2312"/>
                <w:i w:val="0"/>
                <w:iCs w:val="0"/>
                <w:color w:val="000000"/>
                <w:sz w:val="20"/>
                <w:szCs w:val="20"/>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7CFF8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基层医疗卫生机构实施基本药物制度，保障群众基本用药的可及性、安全性和有效性，减轻群众基本用药费用负担</w:t>
            </w:r>
          </w:p>
        </w:tc>
        <w:tc>
          <w:tcPr>
            <w:tcW w:w="33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4A7D4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基层医疗卫生机构实施基本药物制度，保障群众基本用药的可及性、安全性和有效性，减轻群众基本用药费用负担</w:t>
            </w:r>
          </w:p>
        </w:tc>
      </w:tr>
      <w:tr w14:paraId="3692A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75"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AF453">
            <w:pPr>
              <w:rPr>
                <w:rFonts w:hint="eastAsia" w:ascii="仿宋_GB2312" w:hAnsi="仿宋_GB2312" w:eastAsia="仿宋_GB2312" w:cs="仿宋_GB2312"/>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767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2.项目实施内容及过程概述</w:t>
            </w:r>
          </w:p>
        </w:tc>
        <w:tc>
          <w:tcPr>
            <w:tcW w:w="78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DF6540">
            <w:pPr>
              <w:rPr>
                <w:rFonts w:hint="eastAsia" w:ascii="仿宋_GB2312" w:hAnsi="仿宋_GB2312" w:eastAsia="仿宋_GB2312" w:cs="仿宋_GB2312"/>
                <w:i w:val="0"/>
                <w:iCs w:val="0"/>
                <w:color w:val="000000"/>
                <w:sz w:val="20"/>
                <w:szCs w:val="20"/>
                <w:u w:val="none"/>
              </w:rPr>
            </w:pPr>
          </w:p>
        </w:tc>
      </w:tr>
      <w:tr w14:paraId="2CC44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trPr>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AB7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预算执行情况（10分）</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B1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年度预算数（万元）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68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年初预算</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F5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503B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82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预算执行率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5B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1E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6E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原因</w:t>
            </w:r>
          </w:p>
        </w:tc>
      </w:tr>
      <w:tr w14:paraId="4AAF8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E7D76">
            <w:pPr>
              <w:jc w:val="center"/>
              <w:rPr>
                <w:rFonts w:hint="eastAsia" w:ascii="仿宋_GB2312" w:hAnsi="仿宋_GB2312" w:eastAsia="仿宋_GB2312" w:cs="仿宋_GB2312"/>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33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67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28.53</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FA1F">
            <w:pPr>
              <w:jc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195.462</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BA9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184.4619</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89BB">
            <w:pPr>
              <w:keepNext w:val="0"/>
              <w:keepLines w:val="0"/>
              <w:widowControl/>
              <w:suppressLineNumbers w:val="0"/>
              <w:jc w:val="both"/>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94.37%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C89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1F43">
            <w:pPr>
              <w:jc w:val="center"/>
              <w:rPr>
                <w:rFonts w:hint="eastAsia" w:ascii="仿宋_GB2312" w:hAnsi="仿宋_GB2312" w:eastAsia="仿宋_GB2312" w:cs="仿宋_GB2312"/>
                <w:i w:val="0"/>
                <w:iCs w:val="0"/>
                <w:color w:val="000000"/>
                <w:sz w:val="20"/>
                <w:szCs w:val="20"/>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C0286">
            <w:pPr>
              <w:rPr>
                <w:rFonts w:hint="eastAsia" w:ascii="仿宋_GB2312" w:hAnsi="仿宋_GB2312" w:eastAsia="仿宋_GB2312" w:cs="仿宋_GB2312"/>
                <w:i w:val="0"/>
                <w:iCs w:val="0"/>
                <w:color w:val="000000"/>
                <w:sz w:val="20"/>
                <w:szCs w:val="20"/>
                <w:u w:val="none"/>
              </w:rPr>
            </w:pPr>
          </w:p>
        </w:tc>
      </w:tr>
      <w:tr w14:paraId="3C484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110A6">
            <w:pPr>
              <w:jc w:val="center"/>
              <w:rPr>
                <w:rFonts w:hint="eastAsia" w:ascii="仿宋_GB2312" w:hAnsi="仿宋_GB2312" w:eastAsia="仿宋_GB2312" w:cs="仿宋_GB2312"/>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06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其中：财政资金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CA13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39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CD5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18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03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2A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46E38">
            <w:pPr>
              <w:rPr>
                <w:rFonts w:hint="eastAsia" w:ascii="仿宋_GB2312" w:hAnsi="仿宋_GB2312" w:eastAsia="仿宋_GB2312" w:cs="仿宋_GB2312"/>
                <w:i w:val="0"/>
                <w:iCs w:val="0"/>
                <w:color w:val="000000"/>
                <w:sz w:val="20"/>
                <w:szCs w:val="20"/>
                <w:u w:val="none"/>
              </w:rPr>
            </w:pPr>
          </w:p>
        </w:tc>
      </w:tr>
      <w:tr w14:paraId="66DCB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F9EE1">
            <w:pPr>
              <w:jc w:val="center"/>
              <w:rPr>
                <w:rFonts w:hint="eastAsia" w:ascii="仿宋_GB2312" w:hAnsi="仿宋_GB2312" w:eastAsia="仿宋_GB2312" w:cs="仿宋_GB2312"/>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26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财政专户管理资金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F8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F0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026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C2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8F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47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AD853">
            <w:pPr>
              <w:rPr>
                <w:rFonts w:hint="eastAsia" w:ascii="仿宋_GB2312" w:hAnsi="仿宋_GB2312" w:eastAsia="仿宋_GB2312" w:cs="仿宋_GB2312"/>
                <w:i w:val="0"/>
                <w:iCs w:val="0"/>
                <w:color w:val="000000"/>
                <w:sz w:val="20"/>
                <w:szCs w:val="20"/>
                <w:u w:val="none"/>
              </w:rPr>
            </w:pPr>
          </w:p>
        </w:tc>
      </w:tr>
      <w:tr w14:paraId="3F1E5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297B9">
            <w:pPr>
              <w:jc w:val="center"/>
              <w:rPr>
                <w:rFonts w:hint="eastAsia" w:ascii="仿宋_GB2312" w:hAnsi="仿宋_GB2312" w:eastAsia="仿宋_GB2312" w:cs="仿宋_GB2312"/>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8B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3EC9">
            <w:pPr>
              <w:jc w:val="center"/>
              <w:rPr>
                <w:rFonts w:hint="eastAsia" w:ascii="仿宋_GB2312" w:hAnsi="仿宋_GB2312" w:eastAsia="仿宋_GB2312" w:cs="仿宋_GB2312"/>
                <w:i w:val="0"/>
                <w:iCs w:val="0"/>
                <w:color w:val="000000"/>
                <w:sz w:val="20"/>
                <w:szCs w:val="20"/>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01B4">
            <w:pPr>
              <w:jc w:val="center"/>
              <w:rPr>
                <w:rFonts w:hint="eastAsia" w:ascii="仿宋_GB2312" w:hAnsi="仿宋_GB2312" w:eastAsia="仿宋_GB2312" w:cs="仿宋_GB2312"/>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1CA82B">
            <w:pPr>
              <w:jc w:val="center"/>
              <w:rPr>
                <w:rFonts w:hint="eastAsia" w:ascii="仿宋_GB2312" w:hAnsi="仿宋_GB2312" w:eastAsia="仿宋_GB2312" w:cs="仿宋_GB2312"/>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8B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203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70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117A8">
            <w:pPr>
              <w:rPr>
                <w:rFonts w:hint="eastAsia" w:ascii="仿宋_GB2312" w:hAnsi="仿宋_GB2312" w:eastAsia="仿宋_GB2312" w:cs="仿宋_GB2312"/>
                <w:i w:val="0"/>
                <w:iCs w:val="0"/>
                <w:color w:val="000000"/>
                <w:sz w:val="20"/>
                <w:szCs w:val="20"/>
                <w:u w:val="none"/>
              </w:rPr>
            </w:pPr>
          </w:p>
        </w:tc>
      </w:tr>
      <w:tr w14:paraId="7A77C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76540">
            <w:pPr>
              <w:jc w:val="center"/>
              <w:rPr>
                <w:rFonts w:hint="eastAsia" w:ascii="仿宋_GB2312" w:hAnsi="仿宋_GB2312" w:eastAsia="仿宋_GB2312" w:cs="仿宋_GB2312"/>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B9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EBD76">
            <w:pPr>
              <w:jc w:val="center"/>
              <w:rPr>
                <w:rFonts w:hint="eastAsia" w:ascii="仿宋_GB2312" w:hAnsi="仿宋_GB2312" w:eastAsia="仿宋_GB2312" w:cs="仿宋_GB2312"/>
                <w:i w:val="0"/>
                <w:iCs w:val="0"/>
                <w:color w:val="000000"/>
                <w:sz w:val="20"/>
                <w:szCs w:val="20"/>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4451">
            <w:pPr>
              <w:jc w:val="center"/>
              <w:rPr>
                <w:rFonts w:hint="eastAsia" w:ascii="仿宋_GB2312" w:hAnsi="仿宋_GB2312" w:eastAsia="仿宋_GB2312" w:cs="仿宋_GB2312"/>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8ADA35">
            <w:pPr>
              <w:jc w:val="center"/>
              <w:rPr>
                <w:rFonts w:hint="eastAsia" w:ascii="仿宋_GB2312" w:hAnsi="仿宋_GB2312" w:eastAsia="仿宋_GB2312" w:cs="仿宋_GB2312"/>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AD90">
            <w:pPr>
              <w:jc w:val="center"/>
              <w:rPr>
                <w:rFonts w:hint="eastAsia" w:ascii="仿宋_GB2312" w:hAnsi="仿宋_GB2312" w:eastAsia="仿宋_GB2312" w:cs="仿宋_GB2312"/>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D8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97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5CD18">
            <w:pPr>
              <w:rPr>
                <w:rFonts w:hint="eastAsia" w:ascii="仿宋_GB2312" w:hAnsi="仿宋_GB2312" w:eastAsia="仿宋_GB2312" w:cs="仿宋_GB2312"/>
                <w:i w:val="0"/>
                <w:iCs w:val="0"/>
                <w:color w:val="000000"/>
                <w:sz w:val="20"/>
                <w:szCs w:val="20"/>
                <w:u w:val="none"/>
              </w:rPr>
            </w:pPr>
          </w:p>
        </w:tc>
      </w:tr>
      <w:tr w14:paraId="1ECC9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trPr>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1DE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绩效指标（90分）</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853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6EA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二级指标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A8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三级指标</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A0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指标性质</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AC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指标值</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99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度量单位</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2D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65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权重</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5A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得分</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0B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未完成原因分析</w:t>
            </w:r>
          </w:p>
        </w:tc>
      </w:tr>
      <w:tr w14:paraId="3A36C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159FA">
            <w:pPr>
              <w:jc w:val="center"/>
              <w:rPr>
                <w:rFonts w:hint="eastAsia" w:ascii="仿宋_GB2312" w:hAnsi="仿宋_GB2312" w:eastAsia="仿宋_GB2312" w:cs="仿宋_GB2312"/>
                <w:i w:val="0"/>
                <w:iCs w:val="0"/>
                <w:color w:val="000000"/>
                <w:sz w:val="20"/>
                <w:szCs w:val="20"/>
                <w:u w:val="none"/>
              </w:rPr>
            </w:pP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009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产出指标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918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数量指标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01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政府办基层医疗卫生机构实施国家基本药物制度覆盖率</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51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82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112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89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A3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BE4E">
            <w:pPr>
              <w:jc w:val="center"/>
              <w:rPr>
                <w:rFonts w:hint="eastAsia" w:ascii="仿宋_GB2312" w:hAnsi="仿宋_GB2312" w:eastAsia="仿宋_GB2312" w:cs="仿宋_GB2312"/>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D30C">
            <w:pPr>
              <w:jc w:val="center"/>
              <w:rPr>
                <w:rFonts w:hint="eastAsia" w:ascii="仿宋_GB2312" w:hAnsi="仿宋_GB2312" w:eastAsia="仿宋_GB2312" w:cs="仿宋_GB2312"/>
                <w:i w:val="0"/>
                <w:iCs w:val="0"/>
                <w:color w:val="000000"/>
                <w:sz w:val="20"/>
                <w:szCs w:val="20"/>
                <w:u w:val="none"/>
              </w:rPr>
            </w:pPr>
          </w:p>
        </w:tc>
      </w:tr>
      <w:tr w14:paraId="77C80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75"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87E77">
            <w:pPr>
              <w:jc w:val="center"/>
              <w:rPr>
                <w:rFonts w:hint="eastAsia" w:ascii="仿宋_GB2312" w:hAnsi="仿宋_GB2312" w:eastAsia="仿宋_GB2312" w:cs="仿宋_GB2312"/>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3F8DC">
            <w:pPr>
              <w:jc w:val="center"/>
              <w:rPr>
                <w:rFonts w:hint="eastAsia" w:ascii="仿宋_GB2312" w:hAnsi="仿宋_GB2312" w:eastAsia="仿宋_GB2312" w:cs="仿宋_GB2312"/>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C772A">
            <w:pPr>
              <w:jc w:val="center"/>
              <w:rPr>
                <w:rFonts w:hint="eastAsia" w:ascii="仿宋_GB2312" w:hAnsi="仿宋_GB2312" w:eastAsia="仿宋_GB2312" w:cs="仿宋_GB2312"/>
                <w:i w:val="0"/>
                <w:iCs w:val="0"/>
                <w:color w:val="000000"/>
                <w:sz w:val="20"/>
                <w:szCs w:val="20"/>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B06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村卫生室实施国家基本药物制度覆盖率</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A4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3AA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11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AB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B3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8A9F7">
            <w:pPr>
              <w:jc w:val="center"/>
              <w:rPr>
                <w:rFonts w:hint="eastAsia" w:ascii="仿宋_GB2312" w:hAnsi="仿宋_GB2312" w:eastAsia="仿宋_GB2312" w:cs="仿宋_GB2312"/>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B07">
            <w:pPr>
              <w:jc w:val="center"/>
              <w:rPr>
                <w:rFonts w:hint="eastAsia" w:ascii="仿宋_GB2312" w:hAnsi="仿宋_GB2312" w:eastAsia="仿宋_GB2312" w:cs="仿宋_GB2312"/>
                <w:i w:val="0"/>
                <w:iCs w:val="0"/>
                <w:color w:val="000000"/>
                <w:sz w:val="20"/>
                <w:szCs w:val="20"/>
                <w:u w:val="none"/>
              </w:rPr>
            </w:pPr>
          </w:p>
        </w:tc>
      </w:tr>
      <w:tr w14:paraId="5AD8A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49C85">
            <w:pPr>
              <w:jc w:val="center"/>
              <w:rPr>
                <w:rFonts w:hint="eastAsia" w:ascii="仿宋_GB2312" w:hAnsi="仿宋_GB2312" w:eastAsia="仿宋_GB2312" w:cs="仿宋_GB2312"/>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9393D">
            <w:pPr>
              <w:jc w:val="center"/>
              <w:rPr>
                <w:rFonts w:hint="eastAsia" w:ascii="仿宋_GB2312" w:hAnsi="仿宋_GB2312" w:eastAsia="仿宋_GB2312" w:cs="仿宋_GB2312"/>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F00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质量指标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23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目录药品质量合格率</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AD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FC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68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09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9D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7779">
            <w:pPr>
              <w:jc w:val="center"/>
              <w:rPr>
                <w:rFonts w:hint="eastAsia" w:ascii="仿宋_GB2312" w:hAnsi="仿宋_GB2312" w:eastAsia="仿宋_GB2312" w:cs="仿宋_GB2312"/>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6126">
            <w:pPr>
              <w:jc w:val="center"/>
              <w:rPr>
                <w:rFonts w:hint="eastAsia" w:ascii="仿宋_GB2312" w:hAnsi="仿宋_GB2312" w:eastAsia="仿宋_GB2312" w:cs="仿宋_GB2312"/>
                <w:i w:val="0"/>
                <w:iCs w:val="0"/>
                <w:color w:val="000000"/>
                <w:sz w:val="20"/>
                <w:szCs w:val="20"/>
                <w:u w:val="none"/>
              </w:rPr>
            </w:pPr>
          </w:p>
        </w:tc>
      </w:tr>
      <w:tr w14:paraId="03533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2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AC86F">
            <w:pPr>
              <w:jc w:val="center"/>
              <w:rPr>
                <w:rFonts w:hint="eastAsia" w:ascii="仿宋_GB2312" w:hAnsi="仿宋_GB2312" w:eastAsia="仿宋_GB2312" w:cs="仿宋_GB2312"/>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2382B">
            <w:pPr>
              <w:jc w:val="center"/>
              <w:rPr>
                <w:rFonts w:hint="eastAsia" w:ascii="仿宋_GB2312" w:hAnsi="仿宋_GB2312" w:eastAsia="仿宋_GB2312" w:cs="仿宋_GB2312"/>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07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时效指标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AC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完成时限</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D5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59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C13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年</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D5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37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C6FA">
            <w:pPr>
              <w:jc w:val="center"/>
              <w:rPr>
                <w:rFonts w:hint="eastAsia" w:ascii="仿宋_GB2312" w:hAnsi="仿宋_GB2312" w:eastAsia="仿宋_GB2312" w:cs="仿宋_GB2312"/>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475C">
            <w:pPr>
              <w:jc w:val="center"/>
              <w:rPr>
                <w:rFonts w:hint="eastAsia" w:ascii="仿宋_GB2312" w:hAnsi="仿宋_GB2312" w:eastAsia="仿宋_GB2312" w:cs="仿宋_GB2312"/>
                <w:i w:val="0"/>
                <w:iCs w:val="0"/>
                <w:color w:val="000000"/>
                <w:sz w:val="20"/>
                <w:szCs w:val="20"/>
                <w:u w:val="none"/>
              </w:rPr>
            </w:pPr>
          </w:p>
        </w:tc>
      </w:tr>
      <w:tr w14:paraId="1C8D5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8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AA463">
            <w:pPr>
              <w:jc w:val="center"/>
              <w:rPr>
                <w:rFonts w:hint="eastAsia" w:ascii="仿宋_GB2312" w:hAnsi="仿宋_GB2312" w:eastAsia="仿宋_GB2312" w:cs="仿宋_GB2312"/>
                <w:i w:val="0"/>
                <w:iCs w:val="0"/>
                <w:color w:val="000000"/>
                <w:sz w:val="20"/>
                <w:szCs w:val="20"/>
                <w:u w:val="none"/>
              </w:rPr>
            </w:pP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EBE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效益指标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3C4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社会效益指标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92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保障了群众基本用药的可及性、安全性和有效性</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54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EF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有效提高</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E4B6">
            <w:pPr>
              <w:jc w:val="center"/>
              <w:rPr>
                <w:rFonts w:hint="eastAsia" w:ascii="仿宋_GB2312" w:hAnsi="仿宋_GB2312" w:eastAsia="仿宋_GB2312" w:cs="仿宋_GB2312"/>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FB1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提高</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FF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1011">
            <w:pPr>
              <w:jc w:val="center"/>
              <w:rPr>
                <w:rFonts w:hint="eastAsia" w:ascii="仿宋_GB2312" w:hAnsi="仿宋_GB2312" w:eastAsia="仿宋_GB2312" w:cs="仿宋_GB2312"/>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3E80">
            <w:pPr>
              <w:jc w:val="center"/>
              <w:rPr>
                <w:rFonts w:hint="eastAsia" w:ascii="仿宋_GB2312" w:hAnsi="仿宋_GB2312" w:eastAsia="仿宋_GB2312" w:cs="仿宋_GB2312"/>
                <w:i w:val="0"/>
                <w:iCs w:val="0"/>
                <w:color w:val="000000"/>
                <w:sz w:val="20"/>
                <w:szCs w:val="20"/>
                <w:u w:val="none"/>
              </w:rPr>
            </w:pPr>
          </w:p>
        </w:tc>
      </w:tr>
      <w:tr w14:paraId="4D00C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721EA">
            <w:pPr>
              <w:jc w:val="center"/>
              <w:rPr>
                <w:rFonts w:hint="eastAsia" w:ascii="仿宋_GB2312" w:hAnsi="仿宋_GB2312" w:eastAsia="仿宋_GB2312" w:cs="仿宋_GB2312"/>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8E99D">
            <w:pPr>
              <w:jc w:val="center"/>
              <w:rPr>
                <w:rFonts w:hint="eastAsia" w:ascii="仿宋_GB2312" w:hAnsi="仿宋_GB2312" w:eastAsia="仿宋_GB2312" w:cs="仿宋_GB2312"/>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808C5">
            <w:pPr>
              <w:jc w:val="center"/>
              <w:rPr>
                <w:rFonts w:hint="eastAsia" w:ascii="仿宋_GB2312" w:hAnsi="仿宋_GB2312" w:eastAsia="仿宋_GB2312" w:cs="仿宋_GB2312"/>
                <w:i w:val="0"/>
                <w:iCs w:val="0"/>
                <w:color w:val="000000"/>
                <w:sz w:val="20"/>
                <w:szCs w:val="20"/>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5F0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乡村医生收入</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225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定性</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FA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保持稳定</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90FC">
            <w:pPr>
              <w:jc w:val="center"/>
              <w:rPr>
                <w:rFonts w:hint="eastAsia" w:ascii="仿宋_GB2312" w:hAnsi="仿宋_GB2312" w:eastAsia="仿宋_GB2312" w:cs="仿宋_GB2312"/>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F8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稳定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AC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9D51">
            <w:pPr>
              <w:jc w:val="center"/>
              <w:rPr>
                <w:rFonts w:hint="eastAsia" w:ascii="仿宋_GB2312" w:hAnsi="仿宋_GB2312" w:eastAsia="仿宋_GB2312" w:cs="仿宋_GB2312"/>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2CAF">
            <w:pPr>
              <w:jc w:val="center"/>
              <w:rPr>
                <w:rFonts w:hint="eastAsia" w:ascii="仿宋_GB2312" w:hAnsi="仿宋_GB2312" w:eastAsia="仿宋_GB2312" w:cs="仿宋_GB2312"/>
                <w:i w:val="0"/>
                <w:iCs w:val="0"/>
                <w:color w:val="000000"/>
                <w:sz w:val="20"/>
                <w:szCs w:val="20"/>
                <w:u w:val="none"/>
              </w:rPr>
            </w:pPr>
          </w:p>
        </w:tc>
      </w:tr>
      <w:tr w14:paraId="1F82E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A7EAB">
            <w:pPr>
              <w:jc w:val="center"/>
              <w:rPr>
                <w:rFonts w:hint="eastAsia" w:ascii="仿宋_GB2312" w:hAnsi="仿宋_GB2312" w:eastAsia="仿宋_GB2312" w:cs="仿宋_GB2312"/>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62B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A1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服务对象满意度指标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89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群众的满意度</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B9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4D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AC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6C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85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22585">
            <w:pPr>
              <w:jc w:val="center"/>
              <w:rPr>
                <w:rFonts w:hint="eastAsia" w:ascii="仿宋_GB2312" w:hAnsi="仿宋_GB2312" w:eastAsia="仿宋_GB2312" w:cs="仿宋_GB2312"/>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7B6C">
            <w:pPr>
              <w:jc w:val="center"/>
              <w:rPr>
                <w:rFonts w:hint="eastAsia" w:ascii="仿宋_GB2312" w:hAnsi="仿宋_GB2312" w:eastAsia="仿宋_GB2312" w:cs="仿宋_GB2312"/>
                <w:i w:val="0"/>
                <w:iCs w:val="0"/>
                <w:color w:val="000000"/>
                <w:sz w:val="20"/>
                <w:szCs w:val="20"/>
                <w:u w:val="none"/>
              </w:rPr>
            </w:pPr>
          </w:p>
        </w:tc>
      </w:tr>
      <w:tr w14:paraId="1D1CC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B8FA3">
            <w:pPr>
              <w:jc w:val="center"/>
              <w:rPr>
                <w:rFonts w:hint="eastAsia" w:ascii="仿宋_GB2312" w:hAnsi="仿宋_GB2312" w:eastAsia="仿宋_GB2312" w:cs="仿宋_GB2312"/>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5BF14">
            <w:pPr>
              <w:jc w:val="center"/>
              <w:rPr>
                <w:rFonts w:hint="eastAsia" w:ascii="仿宋_GB2312" w:hAnsi="仿宋_GB2312" w:eastAsia="仿宋_GB2312" w:cs="仿宋_GB2312"/>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7663">
            <w:pPr>
              <w:jc w:val="center"/>
              <w:rPr>
                <w:rFonts w:hint="eastAsia" w:ascii="仿宋_GB2312" w:hAnsi="仿宋_GB2312" w:eastAsia="仿宋_GB2312" w:cs="仿宋_GB2312"/>
                <w:i w:val="0"/>
                <w:iCs w:val="0"/>
                <w:color w:val="000000"/>
                <w:sz w:val="20"/>
                <w:szCs w:val="20"/>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B2F2">
            <w:pPr>
              <w:jc w:val="center"/>
              <w:rPr>
                <w:rFonts w:hint="eastAsia" w:ascii="仿宋_GB2312" w:hAnsi="仿宋_GB2312" w:eastAsia="仿宋_GB2312" w:cs="仿宋_GB2312"/>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1AD7">
            <w:pPr>
              <w:jc w:val="center"/>
              <w:rPr>
                <w:rFonts w:hint="eastAsia" w:ascii="仿宋_GB2312" w:hAnsi="仿宋_GB2312" w:eastAsia="仿宋_GB2312" w:cs="仿宋_GB2312"/>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95D0">
            <w:pPr>
              <w:jc w:val="center"/>
              <w:rPr>
                <w:rFonts w:hint="eastAsia" w:ascii="仿宋_GB2312" w:hAnsi="仿宋_GB2312" w:eastAsia="仿宋_GB2312" w:cs="仿宋_GB2312"/>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8EB15">
            <w:pPr>
              <w:jc w:val="center"/>
              <w:rPr>
                <w:rFonts w:hint="eastAsia" w:ascii="仿宋_GB2312" w:hAnsi="仿宋_GB2312" w:eastAsia="仿宋_GB2312" w:cs="仿宋_GB2312"/>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CB70">
            <w:pPr>
              <w:jc w:val="center"/>
              <w:rPr>
                <w:rFonts w:hint="eastAsia" w:ascii="仿宋_GB2312" w:hAnsi="仿宋_GB2312" w:eastAsia="仿宋_GB2312" w:cs="仿宋_GB2312"/>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43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DB10">
            <w:pPr>
              <w:jc w:val="center"/>
              <w:rPr>
                <w:rFonts w:hint="eastAsia" w:ascii="仿宋_GB2312" w:hAnsi="仿宋_GB2312" w:eastAsia="仿宋_GB2312" w:cs="仿宋_GB2312"/>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900D">
            <w:pPr>
              <w:jc w:val="center"/>
              <w:rPr>
                <w:rFonts w:hint="eastAsia" w:ascii="仿宋_GB2312" w:hAnsi="仿宋_GB2312" w:eastAsia="仿宋_GB2312" w:cs="仿宋_GB2312"/>
                <w:i w:val="0"/>
                <w:iCs w:val="0"/>
                <w:color w:val="000000"/>
                <w:sz w:val="20"/>
                <w:szCs w:val="20"/>
                <w:u w:val="none"/>
              </w:rPr>
            </w:pPr>
          </w:p>
        </w:tc>
      </w:tr>
      <w:tr w14:paraId="169B7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72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CF50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800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DAAB">
            <w:pPr>
              <w:rPr>
                <w:rFonts w:hint="eastAsia" w:ascii="仿宋_GB2312" w:hAnsi="仿宋_GB2312" w:eastAsia="仿宋_GB2312" w:cs="仿宋_GB2312"/>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0383">
            <w:pPr>
              <w:rPr>
                <w:rFonts w:hint="eastAsia" w:ascii="仿宋_GB2312" w:hAnsi="仿宋_GB2312" w:eastAsia="仿宋_GB2312" w:cs="仿宋_GB2312"/>
                <w:i w:val="0"/>
                <w:iCs w:val="0"/>
                <w:color w:val="000000"/>
                <w:sz w:val="20"/>
                <w:szCs w:val="20"/>
                <w:u w:val="none"/>
              </w:rPr>
            </w:pPr>
          </w:p>
        </w:tc>
      </w:tr>
      <w:tr w14:paraId="2866E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3E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评价结论</w:t>
            </w:r>
          </w:p>
        </w:tc>
        <w:tc>
          <w:tcPr>
            <w:tcW w:w="86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EE5832">
            <w:pP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基层医疗卫生机构实施基本药物制度，保障群众基本用药的可及性、安全性和有效性，减轻群众基本用药费用负担</w:t>
            </w:r>
          </w:p>
        </w:tc>
      </w:tr>
      <w:tr w14:paraId="2B7F8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18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存在问题</w:t>
            </w:r>
          </w:p>
        </w:tc>
        <w:tc>
          <w:tcPr>
            <w:tcW w:w="86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399504">
            <w:pPr>
              <w:rPr>
                <w:rFonts w:hint="eastAsia" w:ascii="仿宋_GB2312" w:hAnsi="仿宋_GB2312" w:eastAsia="仿宋_GB2312" w:cs="仿宋_GB2312"/>
                <w:i w:val="0"/>
                <w:iCs w:val="0"/>
                <w:color w:val="000000"/>
                <w:sz w:val="20"/>
                <w:szCs w:val="20"/>
                <w:u w:val="none"/>
              </w:rPr>
            </w:pPr>
          </w:p>
        </w:tc>
      </w:tr>
      <w:tr w14:paraId="0D2EF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08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改进措施</w:t>
            </w:r>
          </w:p>
        </w:tc>
        <w:tc>
          <w:tcPr>
            <w:tcW w:w="86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6BE2BB">
            <w:pPr>
              <w:rPr>
                <w:rFonts w:hint="eastAsia" w:ascii="仿宋_GB2312" w:hAnsi="仿宋_GB2312" w:eastAsia="仿宋_GB2312" w:cs="仿宋_GB2312"/>
                <w:i w:val="0"/>
                <w:iCs w:val="0"/>
                <w:color w:val="000000"/>
                <w:sz w:val="20"/>
                <w:szCs w:val="20"/>
                <w:u w:val="none"/>
              </w:rPr>
            </w:pPr>
          </w:p>
        </w:tc>
      </w:tr>
      <w:tr w14:paraId="757F4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46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6B9FC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项目负责人：余华婷</w:t>
            </w:r>
          </w:p>
        </w:tc>
        <w:tc>
          <w:tcPr>
            <w:tcW w:w="49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66699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财务负责人：屈雅欣</w:t>
            </w:r>
          </w:p>
        </w:tc>
      </w:tr>
    </w:tbl>
    <w:p w14:paraId="4DBB82F8">
      <w:pPr>
        <w:pStyle w:val="12"/>
        <w:jc w:val="both"/>
        <w:rPr>
          <w:rFonts w:hint="eastAsia" w:ascii="仿宋_GB2312" w:hAnsi="仿宋_GB2312" w:eastAsia="仿宋_GB2312" w:cs="仿宋_GB2312"/>
          <w:i w:val="0"/>
          <w:iCs w:val="0"/>
          <w:lang w:val="en-US" w:eastAsia="zh-CN"/>
        </w:rPr>
      </w:pPr>
    </w:p>
    <w:p w14:paraId="7AD7CC6F">
      <w:pPr>
        <w:pStyle w:val="12"/>
        <w:jc w:val="both"/>
        <w:rPr>
          <w:rFonts w:hint="eastAsia" w:ascii="仿宋_GB2312" w:hAnsi="仿宋_GB2312" w:eastAsia="仿宋_GB2312" w:cs="仿宋_GB2312"/>
          <w:i w:val="0"/>
          <w:iCs w:val="0"/>
          <w:lang w:val="en-US" w:eastAsia="zh-CN"/>
        </w:rPr>
      </w:pPr>
    </w:p>
    <w:p w14:paraId="2CCE006A">
      <w:pPr>
        <w:pStyle w:val="12"/>
        <w:jc w:val="both"/>
        <w:rPr>
          <w:lang w:val="en-US" w:eastAsia="zh-CN"/>
        </w:rPr>
      </w:pPr>
    </w:p>
    <w:p w14:paraId="6F6D3013">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C43CBAB">
      <w:pPr>
        <w:pStyle w:val="32"/>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09879278">
      <w:pPr>
        <w:pStyle w:val="32"/>
        <w:spacing w:line="578" w:lineRule="exact"/>
        <w:jc w:val="center"/>
        <w:rPr>
          <w:rFonts w:ascii="方正小标宋简体" w:eastAsia="方正小标宋简体" w:cs="方正小标宋简体"/>
          <w:color w:val="auto"/>
          <w:kern w:val="2"/>
          <w:sz w:val="44"/>
          <w:szCs w:val="44"/>
          <w:lang w:val="en-US"/>
        </w:rPr>
      </w:pPr>
      <w:r>
        <w:rPr>
          <w:rFonts w:hint="eastAsia" w:ascii="方正小标宋简体" w:eastAsia="方正小标宋简体" w:cs="方正小标宋简体"/>
          <w:color w:val="auto"/>
          <w:kern w:val="2"/>
          <w:sz w:val="44"/>
          <w:szCs w:val="44"/>
          <w:lang w:val="en-US"/>
        </w:rPr>
        <w:t>专项预算项目绩效评价报告</w:t>
      </w:r>
    </w:p>
    <w:p w14:paraId="09465B4A">
      <w:pPr>
        <w:pStyle w:val="2"/>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14:paraId="4CAF9000">
      <w:pPr>
        <w:widowControl/>
        <w:jc w:val="both"/>
        <w:rPr>
          <w:rFonts w:hint="eastAsia" w:ascii="Times New Roman" w:hAnsi="Times New Roman" w:eastAsia="黑体"/>
          <w:color w:val="auto"/>
          <w:sz w:val="44"/>
          <w:szCs w:val="44"/>
          <w:highlight w:val="none"/>
        </w:rPr>
      </w:pPr>
      <w:bookmarkStart w:id="54" w:name="_Toc15396618"/>
    </w:p>
    <w:p w14:paraId="0FB07B4D">
      <w:pPr>
        <w:widowControl/>
        <w:jc w:val="both"/>
        <w:rPr>
          <w:rFonts w:hint="eastAsia" w:ascii="Times New Roman" w:hAnsi="Times New Roman" w:eastAsia="黑体"/>
          <w:color w:val="auto"/>
          <w:sz w:val="44"/>
          <w:szCs w:val="44"/>
          <w:highlight w:val="none"/>
        </w:rPr>
      </w:pPr>
    </w:p>
    <w:p w14:paraId="4BAEA5AD">
      <w:pPr>
        <w:widowControl/>
        <w:jc w:val="both"/>
        <w:rPr>
          <w:rFonts w:hint="eastAsia" w:ascii="Times New Roman" w:hAnsi="Times New Roman" w:eastAsia="黑体"/>
          <w:color w:val="auto"/>
          <w:sz w:val="44"/>
          <w:szCs w:val="44"/>
          <w:highlight w:val="none"/>
        </w:rPr>
      </w:pPr>
    </w:p>
    <w:p w14:paraId="6BFC682E">
      <w:pPr>
        <w:widowControl/>
        <w:jc w:val="both"/>
        <w:rPr>
          <w:rFonts w:hint="eastAsia" w:ascii="Times New Roman" w:hAnsi="Times New Roman" w:eastAsia="黑体"/>
          <w:color w:val="auto"/>
          <w:sz w:val="44"/>
          <w:szCs w:val="44"/>
          <w:highlight w:val="none"/>
        </w:rPr>
      </w:pPr>
    </w:p>
    <w:p w14:paraId="689D9108">
      <w:pPr>
        <w:widowControl/>
        <w:jc w:val="both"/>
        <w:rPr>
          <w:rFonts w:hint="eastAsia" w:ascii="Times New Roman" w:hAnsi="Times New Roman" w:eastAsia="黑体"/>
          <w:color w:val="auto"/>
          <w:sz w:val="44"/>
          <w:szCs w:val="44"/>
          <w:highlight w:val="none"/>
        </w:rPr>
      </w:pPr>
    </w:p>
    <w:p w14:paraId="0375325A">
      <w:pPr>
        <w:widowControl/>
        <w:jc w:val="both"/>
        <w:rPr>
          <w:rFonts w:hint="eastAsia" w:ascii="Times New Roman" w:hAnsi="Times New Roman" w:eastAsia="黑体"/>
          <w:color w:val="auto"/>
          <w:sz w:val="44"/>
          <w:szCs w:val="44"/>
          <w:highlight w:val="none"/>
        </w:rPr>
      </w:pPr>
    </w:p>
    <w:p w14:paraId="60B62D55">
      <w:pPr>
        <w:widowControl/>
        <w:jc w:val="both"/>
        <w:rPr>
          <w:rFonts w:hint="eastAsia" w:ascii="Times New Roman" w:hAnsi="Times New Roman" w:eastAsia="黑体"/>
          <w:color w:val="auto"/>
          <w:sz w:val="44"/>
          <w:szCs w:val="44"/>
          <w:highlight w:val="none"/>
        </w:rPr>
      </w:pPr>
    </w:p>
    <w:p w14:paraId="4F9619A1">
      <w:pPr>
        <w:widowControl/>
        <w:jc w:val="both"/>
        <w:rPr>
          <w:rFonts w:hint="eastAsia" w:ascii="Times New Roman" w:hAnsi="Times New Roman" w:eastAsia="黑体"/>
          <w:color w:val="auto"/>
          <w:sz w:val="44"/>
          <w:szCs w:val="44"/>
          <w:highlight w:val="none"/>
        </w:rPr>
      </w:pPr>
    </w:p>
    <w:p w14:paraId="499450AD">
      <w:pPr>
        <w:pStyle w:val="2"/>
        <w:rPr>
          <w:rFonts w:hint="eastAsia" w:ascii="Times New Roman" w:hAnsi="Times New Roman" w:eastAsia="黑体"/>
          <w:color w:val="auto"/>
          <w:sz w:val="44"/>
          <w:szCs w:val="44"/>
          <w:highlight w:val="none"/>
        </w:rPr>
      </w:pPr>
    </w:p>
    <w:p w14:paraId="39E5A280">
      <w:pPr>
        <w:rPr>
          <w:rFonts w:hint="eastAsia" w:ascii="Times New Roman" w:hAnsi="Times New Roman" w:eastAsia="黑体"/>
          <w:color w:val="auto"/>
          <w:sz w:val="44"/>
          <w:szCs w:val="44"/>
          <w:highlight w:val="none"/>
        </w:rPr>
      </w:pPr>
    </w:p>
    <w:p w14:paraId="0B24AA16">
      <w:pPr>
        <w:pStyle w:val="2"/>
        <w:rPr>
          <w:rFonts w:hint="eastAsia" w:ascii="Times New Roman" w:hAnsi="Times New Roman" w:eastAsia="黑体"/>
          <w:color w:val="auto"/>
          <w:sz w:val="44"/>
          <w:szCs w:val="44"/>
          <w:highlight w:val="none"/>
        </w:rPr>
      </w:pPr>
    </w:p>
    <w:p w14:paraId="63677A7D">
      <w:pPr>
        <w:rPr>
          <w:rFonts w:hint="eastAsia" w:ascii="Times New Roman" w:hAnsi="Times New Roman" w:eastAsia="黑体"/>
          <w:color w:val="auto"/>
          <w:sz w:val="44"/>
          <w:szCs w:val="44"/>
          <w:highlight w:val="none"/>
        </w:rPr>
      </w:pPr>
    </w:p>
    <w:p w14:paraId="6E59240C">
      <w:pPr>
        <w:pStyle w:val="2"/>
        <w:rPr>
          <w:rFonts w:hint="eastAsia" w:ascii="Times New Roman" w:hAnsi="Times New Roman" w:eastAsia="黑体"/>
          <w:color w:val="auto"/>
          <w:sz w:val="44"/>
          <w:szCs w:val="44"/>
          <w:highlight w:val="none"/>
        </w:rPr>
      </w:pPr>
    </w:p>
    <w:p w14:paraId="317324C1">
      <w:pPr>
        <w:pStyle w:val="2"/>
        <w:rPr>
          <w:rFonts w:hint="eastAsia"/>
        </w:rPr>
      </w:pPr>
    </w:p>
    <w:p w14:paraId="0173C399">
      <w:pPr>
        <w:widowControl/>
        <w:jc w:val="both"/>
        <w:rPr>
          <w:rFonts w:hint="eastAsia" w:ascii="Times New Roman" w:hAnsi="Times New Roman" w:eastAsia="黑体"/>
          <w:color w:val="auto"/>
          <w:sz w:val="44"/>
          <w:szCs w:val="44"/>
          <w:highlight w:val="none"/>
        </w:rPr>
      </w:pPr>
    </w:p>
    <w:p w14:paraId="2C881A43">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3"/>
          <w:rFonts w:hint="eastAsia" w:ascii="Times New Roman" w:hAnsi="Times New Roman" w:eastAsia="黑体"/>
          <w:b w:val="0"/>
          <w:color w:val="auto"/>
          <w:highlight w:val="none"/>
        </w:rPr>
        <w:t>五部分 附表</w:t>
      </w:r>
      <w:bookmarkEnd w:id="49"/>
      <w:bookmarkEnd w:id="54"/>
      <w:bookmarkStart w:id="55" w:name="_Toc15396619"/>
    </w:p>
    <w:p w14:paraId="7862594C">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C62A1B5">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37CA5180">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21EB6049">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4FBE6ACF">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15FEF288">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7E97D2AD">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1E2907AE">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0353E407">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189490E6">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09B916FA">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6D2A1A4A">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8678F28">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0B1721D7">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4168454E">
      <w:pPr>
        <w:rPr>
          <w:rFonts w:hint="eastAsia" w:ascii="Times New Roman" w:hAnsi="Times New Roman"/>
          <w:lang w:eastAsia="zh-CN"/>
        </w:rPr>
      </w:pPr>
    </w:p>
    <w:sectPr>
      <w:footerReference r:id="rId2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62C6A">
    <w:pPr>
      <w:pStyle w:val="11"/>
      <w:jc w:val="center"/>
    </w:pPr>
  </w:p>
  <w:p w14:paraId="2E8C63D1">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3CD49">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9525" cy="230505"/>
              <wp:effectExtent l="0" t="0" r="0" b="0"/>
              <wp:wrapNone/>
              <wp:docPr id="1" name="文本框 18"/>
              <wp:cNvGraphicFramePr/>
              <a:graphic xmlns:a="http://schemas.openxmlformats.org/drawingml/2006/main">
                <a:graphicData uri="http://schemas.microsoft.com/office/word/2010/wordprocessingShape">
                  <wps:wsp>
                    <wps:cNvSpPr/>
                    <wps:spPr>
                      <a:xfrm>
                        <a:off x="0" y="0"/>
                        <a:ext cx="9524" cy="230251"/>
                      </a:xfrm>
                      <a:prstGeom prst="rect">
                        <a:avLst/>
                      </a:prstGeom>
                      <a:noFill/>
                      <a:ln w="6350" cap="flat" cmpd="sng">
                        <a:noFill/>
                        <a:prstDash val="solid"/>
                        <a:round/>
                      </a:ln>
                    </wps:spPr>
                    <wps:txbx>
                      <w:txbxContent>
                        <w:p w14:paraId="38FA006C">
                          <w:pPr>
                            <w:pStyle w:val="11"/>
                            <w:rPr>
                              <w:rFonts w:hint="eastAsia" w:ascii="仿宋" w:eastAsia="仿宋" w:cs="仿宋"/>
                              <w:sz w:val="28"/>
                              <w:szCs w:val="28"/>
                            </w:rPr>
                          </w:pPr>
                        </w:p>
                      </w:txbxContent>
                    </wps:txbx>
                    <wps:bodyPr vert="horz" wrap="none" lIns="0" tIns="0" rIns="0" bIns="0" anchor="t" anchorCtr="0" upright="0">
                      <a:spAutoFit/>
                    </wps:bodyPr>
                  </wps:wsp>
                </a:graphicData>
              </a:graphic>
            </wp:anchor>
          </w:drawing>
        </mc:Choice>
        <mc:Fallback>
          <w:pict>
            <v:rect id="文本框 18" o:spid="_x0000_s1026" o:spt="1" style="position:absolute;left:0pt;margin-top:0pt;height:18.15pt;width:0.75pt;mso-position-horizontal:outside;mso-position-horizontal-relative:margin;mso-wrap-style:none;z-index:251659264;mso-width-relative:page;mso-height-relative:page;" filled="f" stroked="f" coordsize="21600,21600" o:gfxdata="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SJ4A9YAAAACAQAADwAAAAAAAAABACAAAAAiAAAAZHJzL2Rv&#10;d25yZXYueG1sUEsBAhQAFAAAAAgAh07iQJLa+rsDAgAA8wMAAA4AAAAAAAAAAQAgAAAAJQEAAGRy&#10;cy9lMm9Eb2MueG1sUEsFBgAAAAAGAAYAWQEAAJoFAAAAAA==&#10;">
              <v:fill on="f" focussize="0,0"/>
              <v:stroke on="f" weight="0.5pt" joinstyle="round"/>
              <v:imagedata o:title=""/>
              <o:lock v:ext="edit" aspectratio="f"/>
              <v:textbox inset="0mm,0mm,0mm,0mm" style="mso-fit-shape-to-text:t;">
                <w:txbxContent>
                  <w:p w14:paraId="38FA006C">
                    <w:pPr>
                      <w:pStyle w:val="11"/>
                      <w:rPr>
                        <w:rFonts w:hint="eastAsia" w:ascii="仿宋" w:eastAsia="仿宋" w:cs="仿宋"/>
                        <w:sz w:val="28"/>
                        <w:szCs w:val="28"/>
                      </w:rPr>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3313">
    <w:pPr>
      <w:pStyle w:val="11"/>
      <w:bidi w:val="0"/>
      <w:rPr>
        <w:rFonts w:hint="eastAsia"/>
      </w:rPr>
    </w:pPr>
    <w:sdt>
      <w:sdtPr>
        <w:rPr>
          <w:rFonts w:hint="eastAsia"/>
        </w:rPr>
        <w:id w:val="744024622"/>
        <w:placeholder>
          <w:docPart w:val="5EADB187284D47BF89C0DD32FD87C5E9"/>
        </w:placeholder>
        <w:temporary/>
        <w:showingPlcHdr/>
        <w15:appearance w15:val="hidden"/>
      </w:sdtPr>
      <w:sdtEndPr>
        <w:rPr>
          <w:rFonts w:hint="eastAsia"/>
        </w:rPr>
      </w:sdtEndPr>
      <w:sdtContent>
        <w:r>
          <w:rPr>
            <w:rFonts w:hint="eastAsia"/>
            <w:lang w:val="zh-CN"/>
          </w:rPr>
          <w:t>[在此处键入]</w:t>
        </w:r>
      </w:sdtContent>
    </w:sdt>
  </w:p>
  <w:p w14:paraId="4695A788">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D0626">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9525" cy="188595"/>
              <wp:effectExtent l="0" t="0" r="0" b="0"/>
              <wp:wrapNone/>
              <wp:docPr id="4" name="文本框 8"/>
              <wp:cNvGraphicFramePr/>
              <a:graphic xmlns:a="http://schemas.openxmlformats.org/drawingml/2006/main">
                <a:graphicData uri="http://schemas.microsoft.com/office/word/2010/wordprocessingShape">
                  <wps:wsp>
                    <wps:cNvSpPr/>
                    <wps:spPr>
                      <a:xfrm>
                        <a:off x="0" y="0"/>
                        <a:ext cx="9524" cy="188595"/>
                      </a:xfrm>
                      <a:prstGeom prst="rect">
                        <a:avLst/>
                      </a:prstGeom>
                      <a:noFill/>
                      <a:ln w="6350" cap="flat" cmpd="sng">
                        <a:noFill/>
                        <a:prstDash val="solid"/>
                        <a:round/>
                      </a:ln>
                    </wps:spPr>
                    <wps:txbx>
                      <w:txbxContent>
                        <w:p w14:paraId="696C4154">
                          <w:pPr>
                            <w:pStyle w:val="11"/>
                          </w:pPr>
                        </w:p>
                      </w:txbxContent>
                    </wps:txbx>
                    <wps:bodyPr vert="horz" wrap="none" lIns="0" tIns="0" rIns="0" bIns="0" anchor="t" anchorCtr="0" upright="0">
                      <a:spAutoFit/>
                    </wps:bodyPr>
                  </wps:wsp>
                </a:graphicData>
              </a:graphic>
            </wp:anchor>
          </w:drawing>
        </mc:Choice>
        <mc:Fallback>
          <w:pict>
            <v:rect id="文本框 8" o:spid="_x0000_s1026" o:spt="1" style="position:absolute;left:0pt;margin-top:0pt;height:14.85pt;width:0.75pt;mso-position-horizontal:outside;mso-position-horizontal-relative:margin;mso-wrap-style:none;z-index:251659264;mso-width-relative:page;mso-height-relative:page;" filled="f" stroked="f" coordsize="21600,21600" o:gfxdata="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U3FUJ1gAAAAIBAAAPAAAAAAAAAAEAIAAAACIAAABkcnMvZG93&#10;bnJldi54bWxQSwECFAAUAAAACACHTuJA0rDjvwICAADyAwAADgAAAAAAAAABACAAAAAlAQAAZHJz&#10;L2Uyb0RvYy54bWxQSwUGAAAAAAYABgBZAQAAmQUAAAAA&#10;">
              <v:fill on="f" focussize="0,0"/>
              <v:stroke on="f" weight="0.5pt" joinstyle="round"/>
              <v:imagedata o:title=""/>
              <o:lock v:ext="edit" aspectratio="f"/>
              <v:textbox inset="0mm,0mm,0mm,0mm" style="mso-fit-shape-to-text:t;">
                <w:txbxContent>
                  <w:p w14:paraId="696C4154">
                    <w:pPr>
                      <w:pStyle w:val="11"/>
                    </w:pP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0C2A8">
    <w:pPr>
      <w:pStyle w:val="11"/>
      <w:bidi w:val="0"/>
      <w:rPr>
        <w:rFonts w:hint="eastAsia"/>
      </w:rPr>
    </w:pPr>
    <w:sdt>
      <w:sdtPr>
        <w:rPr>
          <w:rFonts w:hint="eastAsia"/>
        </w:rPr>
        <w:id w:val="147466651"/>
        <w:placeholder>
          <w:docPart w:val="{36c83dca-134d-464f-9612-a8f20880c55f}"/>
        </w:placeholder>
        <w:temporary/>
        <w:showingPlcHdr/>
        <w15:appearance w15:val="hidden"/>
      </w:sdtPr>
      <w:sdtEndPr>
        <w:rPr>
          <w:rFonts w:hint="eastAsia"/>
        </w:rPr>
      </w:sdtEndPr>
      <w:sdtContent>
        <w:r>
          <w:rPr>
            <w:rFonts w:hint="eastAsia"/>
            <w:lang w:val="zh-CN"/>
          </w:rPr>
          <w:t>[在此处键入]</w:t>
        </w:r>
      </w:sdtContent>
    </w:sdt>
  </w:p>
  <w:p w14:paraId="57290EB0">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2FD56">
    <w:pPr>
      <w:pStyle w:val="11"/>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52128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0F521286">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86912" behindDoc="0" locked="0" layoutInCell="1" allowOverlap="1">
              <wp:simplePos x="0" y="0"/>
              <wp:positionH relativeFrom="margin">
                <wp:align>outside</wp:align>
              </wp:positionH>
              <wp:positionV relativeFrom="paragraph">
                <wp:posOffset>0</wp:posOffset>
              </wp:positionV>
              <wp:extent cx="9525" cy="188595"/>
              <wp:effectExtent l="0" t="0" r="0" b="0"/>
              <wp:wrapNone/>
              <wp:docPr id="54" name="文本框 8"/>
              <wp:cNvGraphicFramePr/>
              <a:graphic xmlns:a="http://schemas.openxmlformats.org/drawingml/2006/main">
                <a:graphicData uri="http://schemas.microsoft.com/office/word/2010/wordprocessingShape">
                  <wps:wsp>
                    <wps:cNvSpPr/>
                    <wps:spPr>
                      <a:xfrm>
                        <a:off x="0" y="0"/>
                        <a:ext cx="9524" cy="188595"/>
                      </a:xfrm>
                      <a:prstGeom prst="rect">
                        <a:avLst/>
                      </a:prstGeom>
                      <a:noFill/>
                      <a:ln w="6350" cap="flat" cmpd="sng">
                        <a:noFill/>
                        <a:prstDash val="solid"/>
                        <a:round/>
                      </a:ln>
                    </wps:spPr>
                    <wps:txbx>
                      <w:txbxContent>
                        <w:p w14:paraId="42608DE7">
                          <w:pPr>
                            <w:pStyle w:val="11"/>
                          </w:pPr>
                        </w:p>
                      </w:txbxContent>
                    </wps:txbx>
                    <wps:bodyPr vert="horz" wrap="none" lIns="0" tIns="0" rIns="0" bIns="0" anchor="t" anchorCtr="0" upright="0">
                      <a:spAutoFit/>
                    </wps:bodyPr>
                  </wps:wsp>
                </a:graphicData>
              </a:graphic>
            </wp:anchor>
          </w:drawing>
        </mc:Choice>
        <mc:Fallback>
          <w:pict>
            <v:rect id="文本框 8" o:spid="_x0000_s1026" o:spt="1" style="position:absolute;left:0pt;margin-top:0pt;height:14.85pt;width:0.75pt;mso-position-horizontal:outside;mso-position-horizontal-relative:margin;mso-wrap-style:none;z-index:251686912;mso-width-relative:page;mso-height-relative:page;" filled="f" stroked="f" coordsize="21600,21600" o:gfxdata="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lNxVCdYAAAACAQAADwAAAAAAAAABACAAAAAiAAAAZHJzL2Rv&#10;d25yZXYueG1sUEsBAhQAFAAAAAgAh07iQNWosFUDAgAA8wMAAA4AAAAAAAAAAQAgAAAAJQEAAGRy&#10;cy9lMm9Eb2MueG1sUEsFBgAAAAAGAAYAWQEAAJoFAAAAAA==&#10;">
              <v:fill on="f" focussize="0,0"/>
              <v:stroke on="f" weight="0.5pt" joinstyle="round"/>
              <v:imagedata o:title=""/>
              <o:lock v:ext="edit" aspectratio="f"/>
              <v:textbox inset="0mm,0mm,0mm,0mm" style="mso-fit-shape-to-text:t;">
                <w:txbxContent>
                  <w:p w14:paraId="42608DE7">
                    <w:pPr>
                      <w:pStyle w:val="11"/>
                    </w:pP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BEDC9">
    <w:pPr>
      <w:pStyle w:val="11"/>
      <w:bidi w:val="0"/>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B8B69">
                          <w:pPr>
                            <w:pStyle w:val="11"/>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A4B8B69">
                    <w:pPr>
                      <w:pStyle w:val="11"/>
                    </w:pPr>
                    <w:r>
                      <w:fldChar w:fldCharType="begin"/>
                    </w:r>
                    <w:r>
                      <w:instrText xml:space="preserve"> PAGE  \* MERGEFORMAT </w:instrText>
                    </w:r>
                    <w:r>
                      <w:fldChar w:fldCharType="separate"/>
                    </w:r>
                    <w:r>
                      <w:t>4</w:t>
                    </w:r>
                    <w:r>
                      <w:fldChar w:fldCharType="end"/>
                    </w:r>
                  </w:p>
                </w:txbxContent>
              </v:textbox>
            </v:shape>
          </w:pict>
        </mc:Fallback>
      </mc:AlternateContent>
    </w:r>
    <w:r>
      <w:rPr>
        <w:sz w:val="18"/>
      </w:rPr>
      <mc:AlternateContent>
        <mc:Choice Requires="wps">
          <w:drawing>
            <wp:anchor distT="0" distB="0" distL="113665" distR="113665" simplePos="0" relativeHeight="251659264" behindDoc="0" locked="0" layoutInCell="1" allowOverlap="1">
              <wp:simplePos x="0" y="0"/>
              <wp:positionH relativeFrom="margin">
                <wp:posOffset>2461895</wp:posOffset>
              </wp:positionH>
              <wp:positionV relativeFrom="paragraph">
                <wp:posOffset>0</wp:posOffset>
              </wp:positionV>
              <wp:extent cx="271780" cy="139065"/>
              <wp:effectExtent l="0" t="0" r="0" b="0"/>
              <wp:wrapNone/>
              <wp:docPr id="59"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2BB2C320">
                          <w:pPr>
                            <w:pStyle w:val="11"/>
                            <w:rPr>
                              <w:rFonts w:hint="eastAsia"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93.85pt;margin-top:0pt;height:10.95pt;width:21.4pt;mso-position-horizontal-relative:margin;z-index:251659264;mso-width-relative:page;mso-height-relative:page;" filled="f" stroked="f" coordsize="21600,21600" o:gfxdata="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BjfAzWAAAABwEAAA8AAAAAAAAAAQAgAAAAIgAAAGRycy9k&#10;b3ducmV2LnhtbFBLAQIUABQAAAAIAIdO4kDEoQ/bBAIAAPgDAAAOAAAAAAAAAAEAIAAAACUBAABk&#10;cnMvZTJvRG9jLnhtbFBLBQYAAAAABgAGAFkBAACbBQAAAAA=&#10;">
              <v:fill on="f" focussize="0,0"/>
              <v:stroke on="f" weight="0.5pt" joinstyle="round"/>
              <v:imagedata o:title=""/>
              <o:lock v:ext="edit" aspectratio="f"/>
              <v:textbox inset="0mm,0mm,0mm,0mm">
                <w:txbxContent>
                  <w:p w14:paraId="2BB2C320">
                    <w:pPr>
                      <w:pStyle w:val="11"/>
                      <w:rPr>
                        <w:rFonts w:hint="eastAsia" w:eastAsia="宋体"/>
                        <w:lang w:val="en-US" w:eastAsia="zh-CN"/>
                      </w:rPr>
                    </w:pPr>
                  </w:p>
                </w:txbxContent>
              </v:textbox>
            </v:rect>
          </w:pict>
        </mc:Fallback>
      </mc:AlternateContent>
    </w: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94945" cy="188595"/>
              <wp:effectExtent l="0" t="0" r="0" b="0"/>
              <wp:wrapNone/>
              <wp:docPr id="56" name="文本框 29"/>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102E3212">
                          <w:pPr>
                            <w:pStyle w:val="11"/>
                            <w:rPr>
                              <w:rFonts w:hint="default" w:eastAsia="宋体"/>
                              <w:lang w:val="en-US" w:eastAsia="zh-CN"/>
                            </w:rPr>
                          </w:pPr>
                          <w:r>
                            <w:rPr>
                              <w:rFonts w:hint="eastAsia"/>
                              <w:lang w:val="en-US" w:eastAsia="zh-CN"/>
                            </w:rPr>
                            <w:t>3</w:t>
                          </w:r>
                        </w:p>
                      </w:txbxContent>
                    </wps:txbx>
                    <wps:bodyPr vert="horz" wrap="none" lIns="0" tIns="0" rIns="0" bIns="0" anchor="t" anchorCtr="0" upright="0">
                      <a:spAutoFit/>
                    </wps:bodyPr>
                  </wps:wsp>
                </a:graphicData>
              </a:graphic>
            </wp:anchor>
          </w:drawing>
        </mc:Choice>
        <mc:Fallback>
          <w:pict>
            <v:rect id="文本框 29" o:spid="_x0000_s1026" o:spt="1" style="position:absolute;left:0pt;margin-top:0pt;height:14.85pt;width:15.35pt;mso-position-horizontal:center;mso-position-horizontal-relative:margin;mso-wrap-style:none;z-index:251659264;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W07CjXAAAAAwEAAA8AAAAAAAAAAQAgAAAAIgAAAGRy&#10;cy9kb3ducmV2LnhtbFBLAQIUABQAAAAIAIdO4kBR24pVBgIAAPYDAAAOAAAAAAAAAAEAIAAAACYB&#10;AABkcnMvZTJvRG9jLnhtbFBLBQYAAAAABgAGAFkBAACeBQAAAAA=&#10;">
              <v:fill on="f" focussize="0,0"/>
              <v:stroke on="f" weight="0.5pt" joinstyle="round"/>
              <v:imagedata o:title=""/>
              <o:lock v:ext="edit" aspectratio="f"/>
              <v:textbox inset="0mm,0mm,0mm,0mm" style="mso-fit-shape-to-text:t;">
                <w:txbxContent>
                  <w:p w14:paraId="102E3212">
                    <w:pPr>
                      <w:pStyle w:val="11"/>
                      <w:rPr>
                        <w:rFonts w:hint="default" w:eastAsia="宋体"/>
                        <w:lang w:val="en-US" w:eastAsia="zh-CN"/>
                      </w:rPr>
                    </w:pPr>
                    <w:r>
                      <w:rPr>
                        <w:rFonts w:hint="eastAsia"/>
                        <w:lang w:val="en-US" w:eastAsia="zh-CN"/>
                      </w:rPr>
                      <w:t>3</w:t>
                    </w:r>
                  </w:p>
                </w:txbxContent>
              </v:textbox>
            </v:rect>
          </w:pict>
        </mc:Fallback>
      </mc:AlternateContent>
    </w:r>
  </w:p>
  <w:p w14:paraId="156E620B">
    <w:pPr>
      <w:pStyle w:val="1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82E64">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91370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491370F">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94945" cy="188595"/>
              <wp:effectExtent l="0" t="0" r="0" b="0"/>
              <wp:wrapNone/>
              <wp:docPr id="62" name="文本框 31"/>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0DBC6F4C">
                          <w:pPr>
                            <w:pStyle w:val="11"/>
                            <w:rPr>
                              <w:rFonts w:hint="eastAsia" w:eastAsia="宋体"/>
                              <w:lang w:val="en-US" w:eastAsia="zh-CN"/>
                            </w:rPr>
                          </w:pPr>
                          <w:r>
                            <w:rPr>
                              <w:rFonts w:hint="eastAsia"/>
                              <w:lang w:val="en-US" w:eastAsia="zh-CN"/>
                            </w:rPr>
                            <w:t>1</w:t>
                          </w:r>
                        </w:p>
                      </w:txbxContent>
                    </wps:txbx>
                    <wps:bodyPr vert="horz" wrap="none" lIns="0" tIns="0" rIns="0" bIns="0" anchor="t" anchorCtr="0" upright="0">
                      <a:spAutoFit/>
                    </wps:bodyPr>
                  </wps:wsp>
                </a:graphicData>
              </a:graphic>
            </wp:anchor>
          </w:drawing>
        </mc:Choice>
        <mc:Fallback>
          <w:pict>
            <v:rect id="文本框 31" o:spid="_x0000_s1026" o:spt="1" style="position:absolute;left:0pt;margin-top:0pt;height:14.85pt;width:15.35pt;mso-position-horizontal:center;mso-position-horizontal-relative:margin;mso-wrap-style:none;z-index:251659264;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W07CjXAAAAAwEAAA8AAAAAAAAAAQAgAAAAIgAAAGRy&#10;cy9kb3ducmV2LnhtbFBLAQIUABQAAAAIAIdO4kAJ+vSEBgIAAPYDAAAOAAAAAAAAAAEAIAAAACYB&#10;AABkcnMvZTJvRG9jLnhtbFBLBQYAAAAABgAGAFkBAACeBQAAAAA=&#10;">
              <v:fill on="f" focussize="0,0"/>
              <v:stroke on="f" weight="0.5pt" joinstyle="round"/>
              <v:imagedata o:title=""/>
              <o:lock v:ext="edit" aspectratio="f"/>
              <v:textbox inset="0mm,0mm,0mm,0mm" style="mso-fit-shape-to-text:t;">
                <w:txbxContent>
                  <w:p w14:paraId="0DBC6F4C">
                    <w:pPr>
                      <w:pStyle w:val="11"/>
                      <w:rPr>
                        <w:rFonts w:hint="eastAsia" w:eastAsia="宋体"/>
                        <w:lang w:val="en-US" w:eastAsia="zh-CN"/>
                      </w:rPr>
                    </w:pPr>
                    <w:r>
                      <w:rPr>
                        <w:rFonts w:hint="eastAsia"/>
                        <w:lang w:val="en-US" w:eastAsia="zh-CN"/>
                      </w:rPr>
                      <w:t>1</w:t>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33611">
    <w:pPr>
      <w:pStyle w:val="11"/>
      <w:bidi w:val="0"/>
      <w:rPr>
        <w:rFonts w:hint="eastAsia"/>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DEF4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4EBDEF4D">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62336" behindDoc="0" locked="0" layoutInCell="1" allowOverlap="1">
              <wp:simplePos x="0" y="0"/>
              <wp:positionH relativeFrom="margin">
                <wp:posOffset>2461895</wp:posOffset>
              </wp:positionH>
              <wp:positionV relativeFrom="paragraph">
                <wp:posOffset>0</wp:posOffset>
              </wp:positionV>
              <wp:extent cx="271780" cy="139065"/>
              <wp:effectExtent l="0" t="0" r="0" b="0"/>
              <wp:wrapNone/>
              <wp:docPr id="3"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53B5A569">
                          <w:pPr>
                            <w:pStyle w:val="11"/>
                            <w:rPr>
                              <w:rFonts w:hint="eastAsia"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93.85pt;margin-top:0pt;height:10.95pt;width:21.4pt;mso-position-horizontal-relative:margin;z-index:251662336;mso-width-relative:page;mso-height-relative:page;" filled="f" stroked="f" coordsize="21600,21600" o:gfxdata="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GN8DNYAAAAHAQAADwAAAAAAAAABACAAAAAiAAAAZHJzL2Rv&#10;d25yZXYueG1sUEsBAhQAFAAAAAgAh07iQIhDn0ADAgAA9wMAAA4AAAAAAAAAAQAgAAAAJQEAAGRy&#10;cy9lMm9Eb2MueG1sUEsFBgAAAAAGAAYAWQEAAJoFAAAAAA==&#10;">
              <v:fill on="f" focussize="0,0"/>
              <v:stroke on="f" weight="0.5pt" joinstyle="round"/>
              <v:imagedata o:title=""/>
              <o:lock v:ext="edit" aspectratio="f"/>
              <v:textbox inset="0mm,0mm,0mm,0mm">
                <w:txbxContent>
                  <w:p w14:paraId="53B5A569">
                    <w:pPr>
                      <w:pStyle w:val="11"/>
                      <w:rPr>
                        <w:rFonts w:hint="eastAsia" w:eastAsia="宋体"/>
                        <w:lang w:val="en-US" w:eastAsia="zh-CN"/>
                      </w:rPr>
                    </w:pPr>
                  </w:p>
                </w:txbxContent>
              </v:textbox>
            </v:rect>
          </w:pict>
        </mc:Fallback>
      </mc:AlternateContent>
    </w:r>
    <w:r>
      <w:rPr>
        <w:sz w:val="18"/>
      </w:rPr>
      <mc:AlternateContent>
        <mc:Choice Requires="wps">
          <w:drawing>
            <wp:anchor distT="0" distB="0" distL="113665" distR="113665" simplePos="0" relativeHeight="251662336" behindDoc="0" locked="0" layoutInCell="1" allowOverlap="1">
              <wp:simplePos x="0" y="0"/>
              <wp:positionH relativeFrom="margin">
                <wp:align>center</wp:align>
              </wp:positionH>
              <wp:positionV relativeFrom="paragraph">
                <wp:posOffset>0</wp:posOffset>
              </wp:positionV>
              <wp:extent cx="194945" cy="188595"/>
              <wp:effectExtent l="0" t="0" r="0" b="0"/>
              <wp:wrapNone/>
              <wp:docPr id="5" name="文本框 29"/>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47596D29">
                          <w:pPr>
                            <w:pStyle w:val="11"/>
                            <w:rPr>
                              <w:rFonts w:hint="default" w:eastAsia="宋体"/>
                              <w:lang w:val="en-US" w:eastAsia="zh-CN"/>
                            </w:rPr>
                          </w:pPr>
                          <w:r>
                            <w:rPr>
                              <w:rFonts w:hint="eastAsia"/>
                              <w:lang w:val="en-US" w:eastAsia="zh-CN"/>
                            </w:rPr>
                            <w:t>3</w:t>
                          </w:r>
                        </w:p>
                      </w:txbxContent>
                    </wps:txbx>
                    <wps:bodyPr vert="horz" wrap="none" lIns="0" tIns="0" rIns="0" bIns="0" anchor="t" anchorCtr="0" upright="0">
                      <a:spAutoFit/>
                    </wps:bodyPr>
                  </wps:wsp>
                </a:graphicData>
              </a:graphic>
            </wp:anchor>
          </w:drawing>
        </mc:Choice>
        <mc:Fallback>
          <w:pict>
            <v:rect id="文本框 29" o:spid="_x0000_s1026" o:spt="1" style="position:absolute;left:0pt;margin-top:0pt;height:14.85pt;width:15.35pt;mso-position-horizontal:center;mso-position-horizontal-relative:margin;mso-wrap-style:none;z-index:251662336;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W07CjXAAAAAwEAAA8AAAAAAAAAAQAgAAAAIgAAAGRy&#10;cy9kb3ducmV2LnhtbFBLAQIUABQAAAAIAIdO4kB70vmpBgIAAPUDAAAOAAAAAAAAAAEAIAAAACYB&#10;AABkcnMvZTJvRG9jLnhtbFBLBQYAAAAABgAGAFkBAACeBQAAAAA=&#10;">
              <v:fill on="f" focussize="0,0"/>
              <v:stroke on="f" weight="0.5pt" joinstyle="round"/>
              <v:imagedata o:title=""/>
              <o:lock v:ext="edit" aspectratio="f"/>
              <v:textbox inset="0mm,0mm,0mm,0mm" style="mso-fit-shape-to-text:t;">
                <w:txbxContent>
                  <w:p w14:paraId="47596D29">
                    <w:pPr>
                      <w:pStyle w:val="11"/>
                      <w:rPr>
                        <w:rFonts w:hint="default" w:eastAsia="宋体"/>
                        <w:lang w:val="en-US" w:eastAsia="zh-CN"/>
                      </w:rPr>
                    </w:pPr>
                    <w:r>
                      <w:rPr>
                        <w:rFonts w:hint="eastAsia"/>
                        <w:lang w:val="en-US" w:eastAsia="zh-CN"/>
                      </w:rPr>
                      <w:t>3</w:t>
                    </w:r>
                  </w:p>
                </w:txbxContent>
              </v:textbox>
            </v:rect>
          </w:pict>
        </mc:Fallback>
      </mc:AlternateContent>
    </w:r>
  </w:p>
  <w:p w14:paraId="60410232">
    <w:pPr>
      <w:pStyle w:val="1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FFBE2">
    <w:pPr>
      <w:pStyle w:val="11"/>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BB708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47BB708B">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63360" behindDoc="0" locked="0" layoutInCell="1" allowOverlap="1">
              <wp:simplePos x="0" y="0"/>
              <wp:positionH relativeFrom="margin">
                <wp:align>center</wp:align>
              </wp:positionH>
              <wp:positionV relativeFrom="paragraph">
                <wp:posOffset>0</wp:posOffset>
              </wp:positionV>
              <wp:extent cx="194945" cy="188595"/>
              <wp:effectExtent l="0" t="0" r="0" b="0"/>
              <wp:wrapNone/>
              <wp:docPr id="7" name="文本框 31"/>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066CB859">
                          <w:pPr>
                            <w:pStyle w:val="11"/>
                            <w:rPr>
                              <w:rFonts w:hint="default" w:eastAsia="宋体"/>
                              <w:lang w:val="en-US" w:eastAsia="zh-CN"/>
                            </w:rPr>
                          </w:pPr>
                          <w:r>
                            <w:rPr>
                              <w:rFonts w:hint="eastAsia"/>
                              <w:lang w:val="en-US" w:eastAsia="zh-CN"/>
                            </w:rPr>
                            <w:t>2</w:t>
                          </w:r>
                        </w:p>
                      </w:txbxContent>
                    </wps:txbx>
                    <wps:bodyPr vert="horz" wrap="none" lIns="0" tIns="0" rIns="0" bIns="0" anchor="t" anchorCtr="0" upright="0">
                      <a:spAutoFit/>
                    </wps:bodyPr>
                  </wps:wsp>
                </a:graphicData>
              </a:graphic>
            </wp:anchor>
          </w:drawing>
        </mc:Choice>
        <mc:Fallback>
          <w:pict>
            <v:rect id="文本框 31" o:spid="_x0000_s1026" o:spt="1" style="position:absolute;left:0pt;margin-top:0pt;height:14.85pt;width:15.35pt;mso-position-horizontal:center;mso-position-horizontal-relative:margin;mso-wrap-style:none;z-index:251663360;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&#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bTsKNcAAAADAQAADwAAAAAAAAABACAAAAAiAAAAZHJz&#10;L2Rvd25yZXYueG1sUEsBAhQAFAAAAAgAh07iQJmOkTQFAgAA9QMAAA4AAAAAAAAAAQAgAAAAJgEA&#10;AGRycy9lMm9Eb2MueG1sUEsFBgAAAAAGAAYAWQEAAJ0FAAAAAA==&#10;">
              <v:fill on="f" focussize="0,0"/>
              <v:stroke on="f" weight="0.5pt" joinstyle="round"/>
              <v:imagedata o:title=""/>
              <o:lock v:ext="edit" aspectratio="f"/>
              <v:textbox inset="0mm,0mm,0mm,0mm" style="mso-fit-shape-to-text:t;">
                <w:txbxContent>
                  <w:p w14:paraId="066CB859">
                    <w:pPr>
                      <w:pStyle w:val="11"/>
                      <w:rPr>
                        <w:rFonts w:hint="default" w:eastAsia="宋体"/>
                        <w:lang w:val="en-US" w:eastAsia="zh-CN"/>
                      </w:rPr>
                    </w:pPr>
                    <w:r>
                      <w:rPr>
                        <w:rFonts w:hint="eastAsia"/>
                        <w:lang w:val="en-US" w:eastAsia="zh-CN"/>
                      </w:rPr>
                      <w:t>2</w:t>
                    </w:r>
                  </w:p>
                </w:txbxContent>
              </v:textbox>
            </v:rect>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34CF5">
    <w:pPr>
      <w:pStyle w:val="11"/>
      <w:bidi w:val="0"/>
      <w:rPr>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22EE9">
                          <w:pPr>
                            <w:pStyle w:val="11"/>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0C22EE9">
                    <w:pPr>
                      <w:pStyle w:val="11"/>
                    </w:pPr>
                    <w:r>
                      <w:fldChar w:fldCharType="begin"/>
                    </w:r>
                    <w:r>
                      <w:instrText xml:space="preserve"> PAGE  \* MERGEFORMAT </w:instrText>
                    </w:r>
                    <w:r>
                      <w:fldChar w:fldCharType="separate"/>
                    </w:r>
                    <w:r>
                      <w:t>4</w:t>
                    </w:r>
                    <w:r>
                      <w:fldChar w:fldCharType="end"/>
                    </w:r>
                  </w:p>
                </w:txbxContent>
              </v:textbox>
            </v:shape>
          </w:pict>
        </mc:Fallback>
      </mc:AlternateContent>
    </w:r>
    <w:r>
      <w:rPr>
        <w:sz w:val="18"/>
      </w:rPr>
      <mc:AlternateContent>
        <mc:Choice Requires="wps">
          <w:drawing>
            <wp:anchor distT="0" distB="0" distL="113665" distR="113665" simplePos="0" relativeHeight="251664384" behindDoc="0" locked="0" layoutInCell="1" allowOverlap="1">
              <wp:simplePos x="0" y="0"/>
              <wp:positionH relativeFrom="margin">
                <wp:posOffset>2461895</wp:posOffset>
              </wp:positionH>
              <wp:positionV relativeFrom="paragraph">
                <wp:posOffset>0</wp:posOffset>
              </wp:positionV>
              <wp:extent cx="271780" cy="139065"/>
              <wp:effectExtent l="0" t="0" r="0" b="0"/>
              <wp:wrapNone/>
              <wp:docPr id="11"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7D2F2315">
                          <w:pPr>
                            <w:pStyle w:val="11"/>
                            <w:rPr>
                              <w:rFonts w:hint="eastAsia"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93.85pt;margin-top:0pt;height:10.95pt;width:21.4pt;mso-position-horizontal-relative:margin;z-index:251664384;mso-width-relative:page;mso-height-relative:page;" filled="f" stroked="f" coordsize="21600,21600" o:gfxdata="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GN8DNYAAAAHAQAADwAAAAAAAAABACAAAAAiAAAAZHJzL2Rv&#10;d25yZXYueG1sUEsBAhQAFAAAAAgAh07iQEhU2JoDAgAA+AMAAA4AAAAAAAAAAQAgAAAAJQEAAGRy&#10;cy9lMm9Eb2MueG1sUEsFBgAAAAAGAAYAWQEAAJoFAAAAAA==&#10;">
              <v:fill on="f" focussize="0,0"/>
              <v:stroke on="f" weight="0.5pt" joinstyle="round"/>
              <v:imagedata o:title=""/>
              <o:lock v:ext="edit" aspectratio="f"/>
              <v:textbox inset="0mm,0mm,0mm,0mm">
                <w:txbxContent>
                  <w:p w14:paraId="7D2F2315">
                    <w:pPr>
                      <w:pStyle w:val="11"/>
                      <w:rPr>
                        <w:rFonts w:hint="eastAsia" w:eastAsia="宋体"/>
                        <w:lang w:val="en-US" w:eastAsia="zh-CN"/>
                      </w:rPr>
                    </w:pPr>
                  </w:p>
                </w:txbxContent>
              </v:textbox>
            </v:rect>
          </w:pict>
        </mc:Fallback>
      </mc:AlternateContent>
    </w:r>
    <w:r>
      <w:rPr>
        <w:sz w:val="18"/>
      </w:rPr>
      <mc:AlternateContent>
        <mc:Choice Requires="wps">
          <w:drawing>
            <wp:anchor distT="0" distB="0" distL="113665" distR="113665" simplePos="0" relativeHeight="251664384" behindDoc="0" locked="0" layoutInCell="1" allowOverlap="1">
              <wp:simplePos x="0" y="0"/>
              <wp:positionH relativeFrom="margin">
                <wp:align>center</wp:align>
              </wp:positionH>
              <wp:positionV relativeFrom="paragraph">
                <wp:posOffset>0</wp:posOffset>
              </wp:positionV>
              <wp:extent cx="194945" cy="188595"/>
              <wp:effectExtent l="0" t="0" r="0" b="0"/>
              <wp:wrapNone/>
              <wp:docPr id="12" name="文本框 29"/>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2F65F1A4">
                          <w:pPr>
                            <w:pStyle w:val="11"/>
                            <w:rPr>
                              <w:rFonts w:hint="default" w:eastAsia="宋体"/>
                              <w:lang w:val="en-US" w:eastAsia="zh-CN"/>
                            </w:rPr>
                          </w:pPr>
                          <w:r>
                            <w:rPr>
                              <w:rFonts w:hint="eastAsia"/>
                              <w:lang w:val="en-US" w:eastAsia="zh-CN"/>
                            </w:rPr>
                            <w:t>3</w:t>
                          </w:r>
                        </w:p>
                      </w:txbxContent>
                    </wps:txbx>
                    <wps:bodyPr vert="horz" wrap="none" lIns="0" tIns="0" rIns="0" bIns="0" anchor="t" anchorCtr="0" upright="0">
                      <a:spAutoFit/>
                    </wps:bodyPr>
                  </wps:wsp>
                </a:graphicData>
              </a:graphic>
            </wp:anchor>
          </w:drawing>
        </mc:Choice>
        <mc:Fallback>
          <w:pict>
            <v:rect id="文本框 29" o:spid="_x0000_s1026" o:spt="1" style="position:absolute;left:0pt;margin-top:0pt;height:14.85pt;width:15.35pt;mso-position-horizontal:center;mso-position-horizontal-relative:margin;mso-wrap-style:none;z-index:251664384;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bTsKNcAAAADAQAADwAAAAAAAAABACAAAAAiAAAAZHJz&#10;L2Rvd25yZXYueG1sUEsBAhQAFAAAAAgAh07iQL2cF0QFAgAA9gMAAA4AAAAAAAAAAQAgAAAAJgEA&#10;AGRycy9lMm9Eb2MueG1sUEsFBgAAAAAGAAYAWQEAAJ0FAAAAAA==&#10;">
              <v:fill on="f" focussize="0,0"/>
              <v:stroke on="f" weight="0.5pt" joinstyle="round"/>
              <v:imagedata o:title=""/>
              <o:lock v:ext="edit" aspectratio="f"/>
              <v:textbox inset="0mm,0mm,0mm,0mm" style="mso-fit-shape-to-text:t;">
                <w:txbxContent>
                  <w:p w14:paraId="2F65F1A4">
                    <w:pPr>
                      <w:pStyle w:val="11"/>
                      <w:rPr>
                        <w:rFonts w:hint="default" w:eastAsia="宋体"/>
                        <w:lang w:val="en-US" w:eastAsia="zh-CN"/>
                      </w:rPr>
                    </w:pPr>
                    <w:r>
                      <w:rPr>
                        <w:rFonts w:hint="eastAsia"/>
                        <w:lang w:val="en-US" w:eastAsia="zh-CN"/>
                      </w:rPr>
                      <w:t>3</w:t>
                    </w:r>
                  </w:p>
                </w:txbxContent>
              </v:textbox>
            </v:rect>
          </w:pict>
        </mc:Fallback>
      </mc:AlternateContent>
    </w:r>
  </w:p>
  <w:p w14:paraId="12460ED6">
    <w:pPr>
      <w:pStyle w:val="11"/>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DCD3D">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B0A2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6CB0A26">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66432" behindDoc="0" locked="0" layoutInCell="1" allowOverlap="1">
              <wp:simplePos x="0" y="0"/>
              <wp:positionH relativeFrom="margin">
                <wp:align>center</wp:align>
              </wp:positionH>
              <wp:positionV relativeFrom="paragraph">
                <wp:posOffset>0</wp:posOffset>
              </wp:positionV>
              <wp:extent cx="194945" cy="188595"/>
              <wp:effectExtent l="0" t="0" r="0" b="0"/>
              <wp:wrapNone/>
              <wp:docPr id="14" name="文本框 31"/>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2A485F3C">
                          <w:pPr>
                            <w:pStyle w:val="11"/>
                            <w:rPr>
                              <w:rFonts w:hint="eastAsia" w:eastAsia="宋体"/>
                              <w:lang w:val="en-US" w:eastAsia="zh-CN"/>
                            </w:rPr>
                          </w:pPr>
                          <w:r>
                            <w:rPr>
                              <w:rFonts w:hint="eastAsia"/>
                              <w:lang w:val="en-US" w:eastAsia="zh-CN"/>
                            </w:rPr>
                            <w:t>1</w:t>
                          </w:r>
                        </w:p>
                      </w:txbxContent>
                    </wps:txbx>
                    <wps:bodyPr vert="horz" wrap="none" lIns="0" tIns="0" rIns="0" bIns="0" anchor="t" anchorCtr="0" upright="0">
                      <a:spAutoFit/>
                    </wps:bodyPr>
                  </wps:wsp>
                </a:graphicData>
              </a:graphic>
            </wp:anchor>
          </w:drawing>
        </mc:Choice>
        <mc:Fallback>
          <w:pict>
            <v:rect id="文本框 31" o:spid="_x0000_s1026" o:spt="1" style="position:absolute;left:0pt;margin-top:0pt;height:14.85pt;width:15.35pt;mso-position-horizontal:center;mso-position-horizontal-relative:margin;mso-wrap-style:none;z-index:251666432;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&#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W07CjXAAAAAwEAAA8AAAAAAAAAAQAgAAAAIgAAAGRy&#10;cy9kb3ducmV2LnhtbFBLAQIUABQAAAAIAIdO4kAZz9NXBgIAAPYDAAAOAAAAAAAAAAEAIAAAACYB&#10;AABkcnMvZTJvRG9jLnhtbFBLBQYAAAAABgAGAFkBAACeBQAAAAA=&#10;">
              <v:fill on="f" focussize="0,0"/>
              <v:stroke on="f" weight="0.5pt" joinstyle="round"/>
              <v:imagedata o:title=""/>
              <o:lock v:ext="edit" aspectratio="f"/>
              <v:textbox inset="0mm,0mm,0mm,0mm" style="mso-fit-shape-to-text:t;">
                <w:txbxContent>
                  <w:p w14:paraId="2A485F3C">
                    <w:pPr>
                      <w:pStyle w:val="11"/>
                      <w:rPr>
                        <w:rFonts w:hint="eastAsia" w:eastAsia="宋体"/>
                        <w:lang w:val="en-US" w:eastAsia="zh-CN"/>
                      </w:rPr>
                    </w:pPr>
                    <w:r>
                      <w:rPr>
                        <w:rFonts w:hint="eastAsia"/>
                        <w:lang w:val="en-US" w:eastAsia="zh-CN"/>
                      </w:rPr>
                      <w:t>1</w:t>
                    </w:r>
                  </w:p>
                </w:txbxContent>
              </v:textbox>
            </v:rect>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316C1">
    <w:pPr>
      <w:pStyle w:val="11"/>
      <w:bidi w:val="0"/>
      <w:rPr>
        <w:rFonts w:hint="eastAsia"/>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48314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07483148">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68480" behindDoc="0" locked="0" layoutInCell="1" allowOverlap="1">
              <wp:simplePos x="0" y="0"/>
              <wp:positionH relativeFrom="margin">
                <wp:posOffset>2461895</wp:posOffset>
              </wp:positionH>
              <wp:positionV relativeFrom="paragraph">
                <wp:posOffset>0</wp:posOffset>
              </wp:positionV>
              <wp:extent cx="271780" cy="139065"/>
              <wp:effectExtent l="0" t="0" r="0" b="0"/>
              <wp:wrapNone/>
              <wp:docPr id="16"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0B57FEDB">
                          <w:pPr>
                            <w:pStyle w:val="11"/>
                            <w:rPr>
                              <w:rFonts w:hint="eastAsia"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93.85pt;margin-top:0pt;height:10.95pt;width:21.4pt;mso-position-horizontal-relative:margin;z-index:251668480;mso-width-relative:page;mso-height-relative:page;" filled="f" stroked="f" coordsize="21600,21600" o:gfxdata="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GN8DNYAAAAHAQAADwAAAAAAAAABACAAAAAiAAAAZHJzL2Rv&#10;d25yZXYueG1sUEsBAhQAFAAAAAgAh07iQOaPFVcDAgAA+AMAAA4AAAAAAAAAAQAgAAAAJQEAAGRy&#10;cy9lMm9Eb2MueG1sUEsFBgAAAAAGAAYAWQEAAJoFAAAAAA==&#10;">
              <v:fill on="f" focussize="0,0"/>
              <v:stroke on="f" weight="0.5pt" joinstyle="round"/>
              <v:imagedata o:title=""/>
              <o:lock v:ext="edit" aspectratio="f"/>
              <v:textbox inset="0mm,0mm,0mm,0mm">
                <w:txbxContent>
                  <w:p w14:paraId="0B57FEDB">
                    <w:pPr>
                      <w:pStyle w:val="11"/>
                      <w:rPr>
                        <w:rFonts w:hint="eastAsia" w:eastAsia="宋体"/>
                        <w:lang w:val="en-US" w:eastAsia="zh-CN"/>
                      </w:rPr>
                    </w:pPr>
                  </w:p>
                </w:txbxContent>
              </v:textbox>
            </v:rect>
          </w:pict>
        </mc:Fallback>
      </mc:AlternateContent>
    </w:r>
    <w:r>
      <w:rPr>
        <w:sz w:val="18"/>
      </w:rPr>
      <mc:AlternateContent>
        <mc:Choice Requires="wps">
          <w:drawing>
            <wp:anchor distT="0" distB="0" distL="113665" distR="113665" simplePos="0" relativeHeight="251668480" behindDoc="0" locked="0" layoutInCell="1" allowOverlap="1">
              <wp:simplePos x="0" y="0"/>
              <wp:positionH relativeFrom="margin">
                <wp:align>center</wp:align>
              </wp:positionH>
              <wp:positionV relativeFrom="paragraph">
                <wp:posOffset>0</wp:posOffset>
              </wp:positionV>
              <wp:extent cx="194945" cy="188595"/>
              <wp:effectExtent l="0" t="0" r="0" b="0"/>
              <wp:wrapNone/>
              <wp:docPr id="17" name="文本框 29"/>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4F11B75C">
                          <w:pPr>
                            <w:pStyle w:val="11"/>
                            <w:rPr>
                              <w:rFonts w:hint="default" w:eastAsia="宋体"/>
                              <w:lang w:val="en-US" w:eastAsia="zh-CN"/>
                            </w:rPr>
                          </w:pPr>
                          <w:r>
                            <w:rPr>
                              <w:rFonts w:hint="eastAsia"/>
                              <w:lang w:val="en-US" w:eastAsia="zh-CN"/>
                            </w:rPr>
                            <w:t>4</w:t>
                          </w:r>
                        </w:p>
                      </w:txbxContent>
                    </wps:txbx>
                    <wps:bodyPr vert="horz" wrap="none" lIns="0" tIns="0" rIns="0" bIns="0" anchor="t" anchorCtr="0" upright="0">
                      <a:spAutoFit/>
                    </wps:bodyPr>
                  </wps:wsp>
                </a:graphicData>
              </a:graphic>
            </wp:anchor>
          </w:drawing>
        </mc:Choice>
        <mc:Fallback>
          <w:pict>
            <v:rect id="文本框 29" o:spid="_x0000_s1026" o:spt="1" style="position:absolute;left:0pt;margin-top:0pt;height:14.85pt;width:15.35pt;mso-position-horizontal:center;mso-position-horizontal-relative:margin;mso-wrap-style:none;z-index:251668480;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bTsKNcAAAADAQAADwAAAAAAAAABACAAAAAiAAAAZHJz&#10;L2Rvd25yZXYueG1sUEsBAhQAFAAAAAgAh07iQAoTqAQFAgAA9gMAAA4AAAAAAAAAAQAgAAAAJgEA&#10;AGRycy9lMm9Eb2MueG1sUEsFBgAAAAAGAAYAWQEAAJ0FAAAAAA==&#10;">
              <v:fill on="f" focussize="0,0"/>
              <v:stroke on="f" weight="0.5pt" joinstyle="round"/>
              <v:imagedata o:title=""/>
              <o:lock v:ext="edit" aspectratio="f"/>
              <v:textbox inset="0mm,0mm,0mm,0mm" style="mso-fit-shape-to-text:t;">
                <w:txbxContent>
                  <w:p w14:paraId="4F11B75C">
                    <w:pPr>
                      <w:pStyle w:val="11"/>
                      <w:rPr>
                        <w:rFonts w:hint="default" w:eastAsia="宋体"/>
                        <w:lang w:val="en-US" w:eastAsia="zh-CN"/>
                      </w:rPr>
                    </w:pPr>
                    <w:r>
                      <w:rPr>
                        <w:rFonts w:hint="eastAsia"/>
                        <w:lang w:val="en-US" w:eastAsia="zh-CN"/>
                      </w:rPr>
                      <w:t>4</w:t>
                    </w:r>
                  </w:p>
                </w:txbxContent>
              </v:textbox>
            </v:rect>
          </w:pict>
        </mc:Fallback>
      </mc:AlternateContent>
    </w:r>
  </w:p>
  <w:p w14:paraId="76EC4D34">
    <w:pPr>
      <w:pStyle w:val="11"/>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81071">
    <w:pPr>
      <w:pStyle w:val="11"/>
      <w:bidi w:val="0"/>
      <w:rPr>
        <w:rFonts w:hint="eastAsia"/>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42A08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0342A083">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69504" behindDoc="0" locked="0" layoutInCell="1" allowOverlap="1">
              <wp:simplePos x="0" y="0"/>
              <wp:positionH relativeFrom="margin">
                <wp:posOffset>2461895</wp:posOffset>
              </wp:positionH>
              <wp:positionV relativeFrom="paragraph">
                <wp:posOffset>0</wp:posOffset>
              </wp:positionV>
              <wp:extent cx="271780" cy="139065"/>
              <wp:effectExtent l="0" t="0" r="0" b="0"/>
              <wp:wrapNone/>
              <wp:docPr id="19"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2790F71C">
                          <w:pPr>
                            <w:pStyle w:val="11"/>
                            <w:rPr>
                              <w:rFonts w:hint="eastAsia"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93.85pt;margin-top:0pt;height:10.95pt;width:21.4pt;mso-position-horizontal-relative:margin;z-index:251669504;mso-width-relative:page;mso-height-relative:page;" filled="f" stroked="f" coordsize="21600,21600" o:gfxdata="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BjfAzWAAAABwEAAA8AAAAAAAAAAQAgAAAAIgAAAGRycy9k&#10;b3ducmV2LnhtbFBLAQIUABQAAAAIAIdO4kA0o+D3BAIAAPgDAAAOAAAAAAAAAAEAIAAAACUBAABk&#10;cnMvZTJvRG9jLnhtbFBLBQYAAAAABgAGAFkBAACbBQAAAAA=&#10;">
              <v:fill on="f" focussize="0,0"/>
              <v:stroke on="f" weight="0.5pt" joinstyle="round"/>
              <v:imagedata o:title=""/>
              <o:lock v:ext="edit" aspectratio="f"/>
              <v:textbox inset="0mm,0mm,0mm,0mm">
                <w:txbxContent>
                  <w:p w14:paraId="2790F71C">
                    <w:pPr>
                      <w:pStyle w:val="11"/>
                      <w:rPr>
                        <w:rFonts w:hint="eastAsia" w:eastAsia="宋体"/>
                        <w:lang w:val="en-US" w:eastAsia="zh-CN"/>
                      </w:rPr>
                    </w:pPr>
                  </w:p>
                </w:txbxContent>
              </v:textbox>
            </v:rect>
          </w:pict>
        </mc:Fallback>
      </mc:AlternateContent>
    </w:r>
    <w:r>
      <w:rPr>
        <w:sz w:val="18"/>
      </w:rPr>
      <mc:AlternateContent>
        <mc:Choice Requires="wps">
          <w:drawing>
            <wp:anchor distT="0" distB="0" distL="113665" distR="113665" simplePos="0" relativeHeight="251669504" behindDoc="0" locked="0" layoutInCell="1" allowOverlap="1">
              <wp:simplePos x="0" y="0"/>
              <wp:positionH relativeFrom="margin">
                <wp:align>center</wp:align>
              </wp:positionH>
              <wp:positionV relativeFrom="paragraph">
                <wp:posOffset>0</wp:posOffset>
              </wp:positionV>
              <wp:extent cx="194945" cy="188595"/>
              <wp:effectExtent l="0" t="0" r="0" b="0"/>
              <wp:wrapNone/>
              <wp:docPr id="20" name="文本框 29"/>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2A5B31EA">
                          <w:pPr>
                            <w:pStyle w:val="11"/>
                            <w:rPr>
                              <w:rFonts w:hint="default" w:eastAsia="宋体"/>
                              <w:lang w:val="en-US" w:eastAsia="zh-CN"/>
                            </w:rPr>
                          </w:pPr>
                          <w:r>
                            <w:rPr>
                              <w:rFonts w:hint="eastAsia"/>
                              <w:lang w:val="en-US" w:eastAsia="zh-CN"/>
                            </w:rPr>
                            <w:t>5</w:t>
                          </w:r>
                        </w:p>
                      </w:txbxContent>
                    </wps:txbx>
                    <wps:bodyPr vert="horz" wrap="none" lIns="0" tIns="0" rIns="0" bIns="0" anchor="t" anchorCtr="0" upright="0">
                      <a:spAutoFit/>
                    </wps:bodyPr>
                  </wps:wsp>
                </a:graphicData>
              </a:graphic>
            </wp:anchor>
          </w:drawing>
        </mc:Choice>
        <mc:Fallback>
          <w:pict>
            <v:rect id="文本框 29" o:spid="_x0000_s1026" o:spt="1" style="position:absolute;left:0pt;margin-top:0pt;height:14.85pt;width:15.35pt;mso-position-horizontal:center;mso-position-horizontal-relative:margin;mso-wrap-style:none;z-index:251669504;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bTsKNcAAAADAQAADwAAAAAAAAABACAAAAAiAAAAZHJz&#10;L2Rvd25yZXYueG1sUEsBAhQAFAAAAAgAh07iQEHurYYFAgAA9gMAAA4AAAAAAAAAAQAgAAAAJgEA&#10;AGRycy9lMm9Eb2MueG1sUEsFBgAAAAAGAAYAWQEAAJ0FAAAAAA==&#10;">
              <v:fill on="f" focussize="0,0"/>
              <v:stroke on="f" weight="0.5pt" joinstyle="round"/>
              <v:imagedata o:title=""/>
              <o:lock v:ext="edit" aspectratio="f"/>
              <v:textbox inset="0mm,0mm,0mm,0mm" style="mso-fit-shape-to-text:t;">
                <w:txbxContent>
                  <w:p w14:paraId="2A5B31EA">
                    <w:pPr>
                      <w:pStyle w:val="11"/>
                      <w:rPr>
                        <w:rFonts w:hint="default" w:eastAsia="宋体"/>
                        <w:lang w:val="en-US" w:eastAsia="zh-CN"/>
                      </w:rPr>
                    </w:pPr>
                    <w:r>
                      <w:rPr>
                        <w:rFonts w:hint="eastAsia"/>
                        <w:lang w:val="en-US" w:eastAsia="zh-CN"/>
                      </w:rPr>
                      <w:t>5</w:t>
                    </w:r>
                  </w:p>
                </w:txbxContent>
              </v:textbox>
            </v:rect>
          </w:pict>
        </mc:Fallback>
      </mc:AlternateContent>
    </w:r>
  </w:p>
  <w:p w14:paraId="49EDBEBD">
    <w:pPr>
      <w:pStyle w:val="11"/>
      <w:tabs>
        <w:tab w:val="clear" w:pos="4153"/>
      </w:tabs>
      <w:jc w:val="cen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B6E8">
    <w:pPr>
      <w:pStyle w:val="11"/>
      <w:bidi w:val="0"/>
      <w:rPr>
        <w:rFonts w:hint="eastAsia"/>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85C5A">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07585C5A">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70528" behindDoc="0" locked="0" layoutInCell="1" allowOverlap="1">
              <wp:simplePos x="0" y="0"/>
              <wp:positionH relativeFrom="margin">
                <wp:posOffset>2461895</wp:posOffset>
              </wp:positionH>
              <wp:positionV relativeFrom="paragraph">
                <wp:posOffset>0</wp:posOffset>
              </wp:positionV>
              <wp:extent cx="271780" cy="139065"/>
              <wp:effectExtent l="0" t="0" r="0" b="0"/>
              <wp:wrapNone/>
              <wp:docPr id="22"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739BEF58">
                          <w:pPr>
                            <w:pStyle w:val="11"/>
                            <w:rPr>
                              <w:rFonts w:hint="eastAsia"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93.85pt;margin-top:0pt;height:10.95pt;width:21.4pt;mso-position-horizontal-relative:margin;z-index:251670528;mso-width-relative:page;mso-height-relative:page;" filled="f" stroked="f" coordsize="21600,21600" o:gfxdata="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GN8DNYAAAAHAQAADwAAAAAAAAABACAAAAAiAAAAZHJzL2Rv&#10;d25yZXYueG1sUEsBAhQAFAAAAAgAh07iQJy1xXwDAgAA+AMAAA4AAAAAAAAAAQAgAAAAJQEAAGRy&#10;cy9lMm9Eb2MueG1sUEsFBgAAAAAGAAYAWQEAAJoFAAAAAA==&#10;">
              <v:fill on="f" focussize="0,0"/>
              <v:stroke on="f" weight="0.5pt" joinstyle="round"/>
              <v:imagedata o:title=""/>
              <o:lock v:ext="edit" aspectratio="f"/>
              <v:textbox inset="0mm,0mm,0mm,0mm">
                <w:txbxContent>
                  <w:p w14:paraId="739BEF58">
                    <w:pPr>
                      <w:pStyle w:val="11"/>
                      <w:rPr>
                        <w:rFonts w:hint="eastAsia" w:eastAsia="宋体"/>
                        <w:lang w:val="en-US" w:eastAsia="zh-CN"/>
                      </w:rPr>
                    </w:pPr>
                  </w:p>
                </w:txbxContent>
              </v:textbox>
            </v:rect>
          </w:pict>
        </mc:Fallback>
      </mc:AlternateContent>
    </w:r>
    <w:r>
      <w:rPr>
        <w:sz w:val="18"/>
      </w:rPr>
      <mc:AlternateContent>
        <mc:Choice Requires="wps">
          <w:drawing>
            <wp:anchor distT="0" distB="0" distL="113665" distR="113665" simplePos="0" relativeHeight="251670528" behindDoc="0" locked="0" layoutInCell="1" allowOverlap="1">
              <wp:simplePos x="0" y="0"/>
              <wp:positionH relativeFrom="margin">
                <wp:align>center</wp:align>
              </wp:positionH>
              <wp:positionV relativeFrom="paragraph">
                <wp:posOffset>0</wp:posOffset>
              </wp:positionV>
              <wp:extent cx="194945" cy="188595"/>
              <wp:effectExtent l="0" t="0" r="0" b="0"/>
              <wp:wrapNone/>
              <wp:docPr id="23" name="文本框 29"/>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1755C443">
                          <w:pPr>
                            <w:pStyle w:val="11"/>
                            <w:rPr>
                              <w:rFonts w:hint="default" w:eastAsia="宋体"/>
                              <w:lang w:val="en-US" w:eastAsia="zh-CN"/>
                            </w:rPr>
                          </w:pPr>
                          <w:r>
                            <w:rPr>
                              <w:rFonts w:hint="eastAsia"/>
                              <w:lang w:val="en-US" w:eastAsia="zh-CN"/>
                            </w:rPr>
                            <w:t>6</w:t>
                          </w:r>
                        </w:p>
                      </w:txbxContent>
                    </wps:txbx>
                    <wps:bodyPr vert="horz" wrap="none" lIns="0" tIns="0" rIns="0" bIns="0" anchor="t" anchorCtr="0" upright="0">
                      <a:spAutoFit/>
                    </wps:bodyPr>
                  </wps:wsp>
                </a:graphicData>
              </a:graphic>
            </wp:anchor>
          </w:drawing>
        </mc:Choice>
        <mc:Fallback>
          <w:pict>
            <v:rect id="文本框 29" o:spid="_x0000_s1026" o:spt="1" style="position:absolute;left:0pt;margin-top:0pt;height:14.85pt;width:15.35pt;mso-position-horizontal:center;mso-position-horizontal-relative:margin;mso-wrap-style:none;z-index:251670528;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&#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W07CjXAAAAAwEAAA8AAAAAAAAAAQAgAAAAIgAAAGRy&#10;cy9kb3ducmV2LnhtbFBLAQIUABQAAAAIAIdO4kATaegPBgIAAPYDAAAOAAAAAAAAAAEAIAAAACYB&#10;AABkcnMvZTJvRG9jLnhtbFBLBQYAAAAABgAGAFkBAACeBQAAAAA=&#10;">
              <v:fill on="f" focussize="0,0"/>
              <v:stroke on="f" weight="0.5pt" joinstyle="round"/>
              <v:imagedata o:title=""/>
              <o:lock v:ext="edit" aspectratio="f"/>
              <v:textbox inset="0mm,0mm,0mm,0mm" style="mso-fit-shape-to-text:t;">
                <w:txbxContent>
                  <w:p w14:paraId="1755C443">
                    <w:pPr>
                      <w:pStyle w:val="11"/>
                      <w:rPr>
                        <w:rFonts w:hint="default" w:eastAsia="宋体"/>
                        <w:lang w:val="en-US" w:eastAsia="zh-CN"/>
                      </w:rPr>
                    </w:pPr>
                    <w:r>
                      <w:rPr>
                        <w:rFonts w:hint="eastAsia"/>
                        <w:lang w:val="en-US" w:eastAsia="zh-CN"/>
                      </w:rPr>
                      <w:t>6</w:t>
                    </w:r>
                  </w:p>
                </w:txbxContent>
              </v:textbox>
            </v:rect>
          </w:pict>
        </mc:Fallback>
      </mc:AlternateContent>
    </w:r>
  </w:p>
  <w:p w14:paraId="58A81B0A">
    <w:pPr>
      <w:pStyle w:val="11"/>
      <w:tabs>
        <w:tab w:val="clear" w:pos="4153"/>
      </w:tabs>
      <w:jc w:val="cen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3460">
    <w:pPr>
      <w:pStyle w:val="11"/>
      <w:bidi w:val="0"/>
      <w:rPr>
        <w:rFonts w:hint="eastAsia"/>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03949">
                          <w:pPr>
                            <w:pStyle w:val="1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4C303949">
                    <w:pPr>
                      <w:pStyle w:val="11"/>
                    </w:pPr>
                    <w:r>
                      <w:fldChar w:fldCharType="begin"/>
                    </w:r>
                    <w:r>
                      <w:instrText xml:space="preserve"> PAGE  \* MERGEFORMAT </w:instrText>
                    </w:r>
                    <w:r>
                      <w:fldChar w:fldCharType="separate"/>
                    </w:r>
                    <w:r>
                      <w:t>7</w:t>
                    </w:r>
                    <w:r>
                      <w:fldChar w:fldCharType="end"/>
                    </w:r>
                  </w:p>
                </w:txbxContent>
              </v:textbox>
            </v:shape>
          </w:pict>
        </mc:Fallback>
      </mc:AlternateContent>
    </w:r>
    <w:r>
      <w:rPr>
        <w:sz w:val="18"/>
      </w:rPr>
      <mc:AlternateContent>
        <mc:Choice Requires="wps">
          <w:drawing>
            <wp:anchor distT="0" distB="0" distL="113665" distR="113665" simplePos="0" relativeHeight="251671552" behindDoc="0" locked="0" layoutInCell="1" allowOverlap="1">
              <wp:simplePos x="0" y="0"/>
              <wp:positionH relativeFrom="margin">
                <wp:posOffset>2461895</wp:posOffset>
              </wp:positionH>
              <wp:positionV relativeFrom="paragraph">
                <wp:posOffset>0</wp:posOffset>
              </wp:positionV>
              <wp:extent cx="271780" cy="139065"/>
              <wp:effectExtent l="0" t="0" r="0" b="0"/>
              <wp:wrapNone/>
              <wp:docPr id="25"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70CF6575">
                          <w:pPr>
                            <w:pStyle w:val="11"/>
                            <w:rPr>
                              <w:rFonts w:hint="eastAsia"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93.85pt;margin-top:0pt;height:10.95pt;width:21.4pt;mso-position-horizontal-relative:margin;z-index:251671552;mso-width-relative:page;mso-height-relative:page;" filled="f" stroked="f" coordsize="21600,21600" o:gfxdata="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BjfAzWAAAABwEAAA8AAAAAAAAAAQAgAAAAIgAAAGRycy9k&#10;b3ducmV2LnhtbFBLAQIUABQAAAAIAIdO4kAybgixBAIAAPgDAAAOAAAAAAAAAAEAIAAAACUBAABk&#10;cnMvZTJvRG9jLnhtbFBLBQYAAAAABgAGAFkBAACbBQAAAAA=&#10;">
              <v:fill on="f" focussize="0,0"/>
              <v:stroke on="f" weight="0.5pt" joinstyle="round"/>
              <v:imagedata o:title=""/>
              <o:lock v:ext="edit" aspectratio="f"/>
              <v:textbox inset="0mm,0mm,0mm,0mm">
                <w:txbxContent>
                  <w:p w14:paraId="70CF6575">
                    <w:pPr>
                      <w:pStyle w:val="11"/>
                      <w:rPr>
                        <w:rFonts w:hint="eastAsia" w:eastAsia="宋体"/>
                        <w:lang w:val="en-US" w:eastAsia="zh-CN"/>
                      </w:rPr>
                    </w:pPr>
                  </w:p>
                </w:txbxContent>
              </v:textbox>
            </v:rect>
          </w:pict>
        </mc:Fallback>
      </mc:AlternateContent>
    </w:r>
    <w:r>
      <w:rPr>
        <w:sz w:val="18"/>
      </w:rPr>
      <mc:AlternateContent>
        <mc:Choice Requires="wps">
          <w:drawing>
            <wp:anchor distT="0" distB="0" distL="113665" distR="113665" simplePos="0" relativeHeight="251671552" behindDoc="0" locked="0" layoutInCell="1" allowOverlap="1">
              <wp:simplePos x="0" y="0"/>
              <wp:positionH relativeFrom="margin">
                <wp:align>center</wp:align>
              </wp:positionH>
              <wp:positionV relativeFrom="paragraph">
                <wp:posOffset>0</wp:posOffset>
              </wp:positionV>
              <wp:extent cx="194945" cy="188595"/>
              <wp:effectExtent l="0" t="0" r="0" b="0"/>
              <wp:wrapNone/>
              <wp:docPr id="26" name="文本框 29"/>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2C8D53B5">
                          <w:pPr>
                            <w:pStyle w:val="11"/>
                            <w:rPr>
                              <w:rFonts w:hint="default" w:eastAsia="宋体"/>
                              <w:lang w:val="en-US" w:eastAsia="zh-CN"/>
                            </w:rPr>
                          </w:pPr>
                          <w:r>
                            <w:rPr>
                              <w:rFonts w:hint="eastAsia"/>
                              <w:lang w:val="en-US" w:eastAsia="zh-CN"/>
                            </w:rPr>
                            <w:t>7</w:t>
                          </w:r>
                        </w:p>
                      </w:txbxContent>
                    </wps:txbx>
                    <wps:bodyPr vert="horz" wrap="none" lIns="0" tIns="0" rIns="0" bIns="0" anchor="t" anchorCtr="0" upright="0">
                      <a:spAutoFit/>
                    </wps:bodyPr>
                  </wps:wsp>
                </a:graphicData>
              </a:graphic>
            </wp:anchor>
          </w:drawing>
        </mc:Choice>
        <mc:Fallback>
          <w:pict>
            <v:rect id="文本框 29" o:spid="_x0000_s1026" o:spt="1" style="position:absolute;left:0pt;margin-top:0pt;height:14.85pt;width:15.35pt;mso-position-horizontal:center;mso-position-horizontal-relative:margin;mso-wrap-style:none;z-index:251671552;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W07CjXAAAAAwEAAA8AAAAAAAAAAQAgAAAAIgAAAGRy&#10;cy9kb3ducmV2LnhtbFBLAQIUABQAAAAIAIdO4kCk5ldPBgIAAPYDAAAOAAAAAAAAAAEAIAAAACYB&#10;AABkcnMvZTJvRG9jLnhtbFBLBQYAAAAABgAGAFkBAACeBQAAAAA=&#10;">
              <v:fill on="f" focussize="0,0"/>
              <v:stroke on="f" weight="0.5pt" joinstyle="round"/>
              <v:imagedata o:title=""/>
              <o:lock v:ext="edit" aspectratio="f"/>
              <v:textbox inset="0mm,0mm,0mm,0mm" style="mso-fit-shape-to-text:t;">
                <w:txbxContent>
                  <w:p w14:paraId="2C8D53B5">
                    <w:pPr>
                      <w:pStyle w:val="11"/>
                      <w:rPr>
                        <w:rFonts w:hint="default" w:eastAsia="宋体"/>
                        <w:lang w:val="en-US" w:eastAsia="zh-CN"/>
                      </w:rPr>
                    </w:pPr>
                    <w:r>
                      <w:rPr>
                        <w:rFonts w:hint="eastAsia"/>
                        <w:lang w:val="en-US" w:eastAsia="zh-CN"/>
                      </w:rPr>
                      <w:t>7</w:t>
                    </w:r>
                  </w:p>
                </w:txbxContent>
              </v:textbox>
            </v:rect>
          </w:pict>
        </mc:Fallback>
      </mc:AlternateContent>
    </w:r>
  </w:p>
  <w:p w14:paraId="4697DF7A">
    <w:pPr>
      <w:pStyle w:val="11"/>
      <w:tabs>
        <w:tab w:val="clear" w:pos="4153"/>
      </w:tabs>
      <w:jc w:val="cen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ADFD1">
    <w:pPr>
      <w:pStyle w:val="11"/>
      <w:bidi w:val="0"/>
      <w:rPr>
        <w:rFonts w:hint="eastAsia"/>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0EFCB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6B0EFCB9">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72576" behindDoc="0" locked="0" layoutInCell="1" allowOverlap="1">
              <wp:simplePos x="0" y="0"/>
              <wp:positionH relativeFrom="margin">
                <wp:posOffset>2343785</wp:posOffset>
              </wp:positionH>
              <wp:positionV relativeFrom="paragraph">
                <wp:posOffset>0</wp:posOffset>
              </wp:positionV>
              <wp:extent cx="601980" cy="185420"/>
              <wp:effectExtent l="0" t="0" r="0" b="0"/>
              <wp:wrapNone/>
              <wp:docPr id="29" name="文本框 29"/>
              <wp:cNvGraphicFramePr/>
              <a:graphic xmlns:a="http://schemas.openxmlformats.org/drawingml/2006/main">
                <a:graphicData uri="http://schemas.microsoft.com/office/word/2010/wordprocessingShape">
                  <wps:wsp>
                    <wps:cNvSpPr/>
                    <wps:spPr>
                      <a:xfrm>
                        <a:off x="0" y="0"/>
                        <a:ext cx="601980" cy="185420"/>
                      </a:xfrm>
                      <a:prstGeom prst="rect">
                        <a:avLst/>
                      </a:prstGeom>
                      <a:noFill/>
                      <a:ln w="6350" cap="flat" cmpd="sng">
                        <a:noFill/>
                        <a:prstDash val="solid"/>
                        <a:round/>
                      </a:ln>
                    </wps:spPr>
                    <wps:txbx>
                      <w:txbxContent>
                        <w:p w14:paraId="586BE372">
                          <w:pPr>
                            <w:pStyle w:val="11"/>
                            <w:rPr>
                              <w:rFonts w:hint="default" w:eastAsia="宋体"/>
                              <w:lang w:val="en-US" w:eastAsia="zh-CN"/>
                            </w:rPr>
                          </w:pPr>
                        </w:p>
                      </w:txbxContent>
                    </wps:txbx>
                    <wps:bodyPr vert="horz" wrap="square" lIns="0" tIns="0" rIns="0" bIns="0" anchor="t" anchorCtr="0" upright="0">
                      <a:noAutofit/>
                    </wps:bodyPr>
                  </wps:wsp>
                </a:graphicData>
              </a:graphic>
            </wp:anchor>
          </w:drawing>
        </mc:Choice>
        <mc:Fallback>
          <w:pict>
            <v:rect id="文本框 29" o:spid="_x0000_s1026" o:spt="1" style="position:absolute;left:0pt;margin-left:184.55pt;margin-top:0pt;height:14.6pt;width:47.4pt;mso-position-horizontal-relative:margin;z-index:251672576;mso-width-relative:page;mso-height-relative:page;" filled="f" stroked="f" coordsize="21600,21600" o:gfxdata="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Y4Ia01gAAAAcBAAAPAAAAAAAAAAEAIAAAACIAAABkcnMv&#10;ZG93bnJldi54bWxQSwECFAAUAAAACACHTuJAo7w5JAUCAAD4AwAADgAAAAAAAAABACAAAAAlAQAA&#10;ZHJzL2Uyb0RvYy54bWxQSwUGAAAAAAYABgBZAQAAnAUAAAAA&#10;">
              <v:fill on="f" focussize="0,0"/>
              <v:stroke on="f" weight="0.5pt" joinstyle="round"/>
              <v:imagedata o:title=""/>
              <o:lock v:ext="edit" aspectratio="f"/>
              <v:textbox inset="0mm,0mm,0mm,0mm">
                <w:txbxContent>
                  <w:p w14:paraId="586BE372">
                    <w:pPr>
                      <w:pStyle w:val="11"/>
                      <w:rPr>
                        <w:rFonts w:hint="default" w:eastAsia="宋体"/>
                        <w:lang w:val="en-US" w:eastAsia="zh-CN"/>
                      </w:rPr>
                    </w:pPr>
                  </w:p>
                </w:txbxContent>
              </v:textbox>
            </v:rect>
          </w:pict>
        </mc:Fallback>
      </mc:AlternateContent>
    </w:r>
    <w:r>
      <w:rPr>
        <w:sz w:val="18"/>
      </w:rPr>
      <mc:AlternateContent>
        <mc:Choice Requires="wps">
          <w:drawing>
            <wp:anchor distT="0" distB="0" distL="113665" distR="113665" simplePos="0" relativeHeight="251672576" behindDoc="0" locked="0" layoutInCell="1" allowOverlap="1">
              <wp:simplePos x="0" y="0"/>
              <wp:positionH relativeFrom="margin">
                <wp:posOffset>2461895</wp:posOffset>
              </wp:positionH>
              <wp:positionV relativeFrom="paragraph">
                <wp:posOffset>0</wp:posOffset>
              </wp:positionV>
              <wp:extent cx="271780" cy="139065"/>
              <wp:effectExtent l="0" t="0" r="0" b="0"/>
              <wp:wrapNone/>
              <wp:docPr id="28"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259D947E">
                          <w:pPr>
                            <w:pStyle w:val="11"/>
                            <w:rPr>
                              <w:rFonts w:hint="eastAsia"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93.85pt;margin-top:0pt;height:10.95pt;width:21.4pt;mso-position-horizontal-relative:margin;z-index:251672576;mso-width-relative:page;mso-height-relative:page;" filled="f" stroked="f" coordsize="21600,21600" o:gfxdata="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GN8DNYAAAAHAQAADwAAAAAAAAABACAAAAAiAAAAZHJzL2Rv&#10;d25yZXYueG1sUEsBAhQAFAAAAAgAh07iQD9/swoDAgAA+AMAAA4AAAAAAAAAAQAgAAAAJQEAAGRy&#10;cy9lMm9Eb2MueG1sUEsFBgAAAAAGAAYAWQEAAJoFAAAAAA==&#10;">
              <v:fill on="f" focussize="0,0"/>
              <v:stroke on="f" weight="0.5pt" joinstyle="round"/>
              <v:imagedata o:title=""/>
              <o:lock v:ext="edit" aspectratio="f"/>
              <v:textbox inset="0mm,0mm,0mm,0mm">
                <w:txbxContent>
                  <w:p w14:paraId="259D947E">
                    <w:pPr>
                      <w:pStyle w:val="11"/>
                      <w:rPr>
                        <w:rFonts w:hint="eastAsia" w:eastAsia="宋体"/>
                        <w:lang w:val="en-US" w:eastAsia="zh-CN"/>
                      </w:rPr>
                    </w:pPr>
                  </w:p>
                </w:txbxContent>
              </v:textbox>
            </v:rect>
          </w:pict>
        </mc:Fallback>
      </mc:AlternateContent>
    </w:r>
  </w:p>
  <w:p w14:paraId="798DD21C">
    <w:pPr>
      <w:pStyle w:val="11"/>
      <w:tabs>
        <w:tab w:val="clear" w:pos="4153"/>
      </w:tabs>
      <w:jc w:val="cen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4F3FF">
    <w:pPr>
      <w:pStyle w:val="11"/>
      <w:bidi w:val="0"/>
      <w:rPr>
        <w:rFonts w:hint="eastAsia"/>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A2F2F2">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53A2F2F2">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73600" behindDoc="0" locked="0" layoutInCell="1" allowOverlap="1">
              <wp:simplePos x="0" y="0"/>
              <wp:positionH relativeFrom="margin">
                <wp:posOffset>2343785</wp:posOffset>
              </wp:positionH>
              <wp:positionV relativeFrom="paragraph">
                <wp:posOffset>0</wp:posOffset>
              </wp:positionV>
              <wp:extent cx="601980" cy="185420"/>
              <wp:effectExtent l="0" t="0" r="0" b="0"/>
              <wp:wrapNone/>
              <wp:docPr id="30" name="文本框 29"/>
              <wp:cNvGraphicFramePr/>
              <a:graphic xmlns:a="http://schemas.openxmlformats.org/drawingml/2006/main">
                <a:graphicData uri="http://schemas.microsoft.com/office/word/2010/wordprocessingShape">
                  <wps:wsp>
                    <wps:cNvSpPr/>
                    <wps:spPr>
                      <a:xfrm>
                        <a:off x="0" y="0"/>
                        <a:ext cx="601980" cy="185420"/>
                      </a:xfrm>
                      <a:prstGeom prst="rect">
                        <a:avLst/>
                      </a:prstGeom>
                      <a:noFill/>
                      <a:ln w="6350" cap="flat" cmpd="sng">
                        <a:noFill/>
                        <a:prstDash val="solid"/>
                        <a:round/>
                      </a:ln>
                    </wps:spPr>
                    <wps:txbx>
                      <w:txbxContent>
                        <w:p w14:paraId="656F4179">
                          <w:pPr>
                            <w:pStyle w:val="11"/>
                            <w:rPr>
                              <w:rFonts w:hint="default" w:eastAsia="宋体"/>
                              <w:lang w:val="en-US" w:eastAsia="zh-CN"/>
                            </w:rPr>
                          </w:pPr>
                        </w:p>
                      </w:txbxContent>
                    </wps:txbx>
                    <wps:bodyPr vert="horz" wrap="square" lIns="0" tIns="0" rIns="0" bIns="0" anchor="t" anchorCtr="0" upright="0">
                      <a:noAutofit/>
                    </wps:bodyPr>
                  </wps:wsp>
                </a:graphicData>
              </a:graphic>
            </wp:anchor>
          </w:drawing>
        </mc:Choice>
        <mc:Fallback>
          <w:pict>
            <v:rect id="文本框 29" o:spid="_x0000_s1026" o:spt="1" style="position:absolute;left:0pt;margin-left:184.55pt;margin-top:0pt;height:14.6pt;width:47.4pt;mso-position-horizontal-relative:margin;z-index:251673600;mso-width-relative:page;mso-height-relative:page;" filled="f" stroked="f" coordsize="21600,21600" o:gfxdata="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Y4Ia01gAAAAcBAAAPAAAAAAAAAAEAIAAAACIAAABkcnMv&#10;ZG93bnJldi54bWxQSwECFAAUAAAACACHTuJArBYlogUCAAD4AwAADgAAAAAAAAABACAAAAAlAQAA&#10;ZHJzL2Uyb0RvYy54bWxQSwUGAAAAAAYABgBZAQAAnAUAAAAA&#10;">
              <v:fill on="f" focussize="0,0"/>
              <v:stroke on="f" weight="0.5pt" joinstyle="round"/>
              <v:imagedata o:title=""/>
              <o:lock v:ext="edit" aspectratio="f"/>
              <v:textbox inset="0mm,0mm,0mm,0mm">
                <w:txbxContent>
                  <w:p w14:paraId="656F4179">
                    <w:pPr>
                      <w:pStyle w:val="11"/>
                      <w:rPr>
                        <w:rFonts w:hint="default" w:eastAsia="宋体"/>
                        <w:lang w:val="en-US" w:eastAsia="zh-CN"/>
                      </w:rPr>
                    </w:pPr>
                  </w:p>
                </w:txbxContent>
              </v:textbox>
            </v:rect>
          </w:pict>
        </mc:Fallback>
      </mc:AlternateContent>
    </w:r>
    <w:r>
      <w:rPr>
        <w:sz w:val="18"/>
      </w:rPr>
      <mc:AlternateContent>
        <mc:Choice Requires="wps">
          <w:drawing>
            <wp:anchor distT="0" distB="0" distL="113665" distR="113665" simplePos="0" relativeHeight="251673600" behindDoc="0" locked="0" layoutInCell="1" allowOverlap="1">
              <wp:simplePos x="0" y="0"/>
              <wp:positionH relativeFrom="margin">
                <wp:posOffset>2461895</wp:posOffset>
              </wp:positionH>
              <wp:positionV relativeFrom="paragraph">
                <wp:posOffset>0</wp:posOffset>
              </wp:positionV>
              <wp:extent cx="271780" cy="139065"/>
              <wp:effectExtent l="0" t="0" r="0" b="0"/>
              <wp:wrapNone/>
              <wp:docPr id="32"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5E2943B5">
                          <w:pPr>
                            <w:pStyle w:val="11"/>
                            <w:rPr>
                              <w:rFonts w:hint="eastAsia"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93.85pt;margin-top:0pt;height:10.95pt;width:21.4pt;mso-position-horizontal-relative:margin;z-index:251673600;mso-width-relative:page;mso-height-relative:page;" filled="f" stroked="f" coordsize="21600,21600" o:gfxdata="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GN8DNYAAAAHAQAADwAAAAAAAAABACAAAAAiAAAAZHJzL2Rv&#10;d25yZXYueG1sUEsBAhQAFAAAAAgAh07iQCB1/ncDAgAA+AMAAA4AAAAAAAAAAQAgAAAAJQEAAGRy&#10;cy9lMm9Eb2MueG1sUEsFBgAAAAAGAAYAWQEAAJoFAAAAAA==&#10;">
              <v:fill on="f" focussize="0,0"/>
              <v:stroke on="f" weight="0.5pt" joinstyle="round"/>
              <v:imagedata o:title=""/>
              <o:lock v:ext="edit" aspectratio="f"/>
              <v:textbox inset="0mm,0mm,0mm,0mm">
                <w:txbxContent>
                  <w:p w14:paraId="5E2943B5">
                    <w:pPr>
                      <w:pStyle w:val="11"/>
                      <w:rPr>
                        <w:rFonts w:hint="eastAsia" w:eastAsia="宋体"/>
                        <w:lang w:val="en-US" w:eastAsia="zh-CN"/>
                      </w:rPr>
                    </w:pPr>
                  </w:p>
                </w:txbxContent>
              </v:textbox>
            </v:rect>
          </w:pict>
        </mc:Fallback>
      </mc:AlternateContent>
    </w:r>
  </w:p>
  <w:p w14:paraId="0E7E4245">
    <w:pPr>
      <w:pStyle w:val="11"/>
      <w:tabs>
        <w:tab w:val="clear" w:pos="4153"/>
      </w:tabs>
      <w:jc w:val="cen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107D1">
    <w:pPr>
      <w:pStyle w:val="11"/>
      <w:bidi w:val="0"/>
      <w:rPr>
        <w:rFonts w:hint="eastAsia"/>
      </w:rPr>
    </w:pPr>
    <w:r>
      <w:rPr>
        <w:sz w:val="18"/>
      </w:rPr>
      <mc:AlternateContent>
        <mc:Choice Requires="wps">
          <w:drawing>
            <wp:anchor distT="0" distB="0" distL="113665" distR="113665" simplePos="0" relativeHeight="251674624" behindDoc="0" locked="0" layoutInCell="1" allowOverlap="1">
              <wp:simplePos x="0" y="0"/>
              <wp:positionH relativeFrom="margin">
                <wp:posOffset>2200910</wp:posOffset>
              </wp:positionH>
              <wp:positionV relativeFrom="paragraph">
                <wp:posOffset>0</wp:posOffset>
              </wp:positionV>
              <wp:extent cx="744855" cy="185420"/>
              <wp:effectExtent l="0" t="0" r="0" b="0"/>
              <wp:wrapNone/>
              <wp:docPr id="33" name="文本框 29"/>
              <wp:cNvGraphicFramePr/>
              <a:graphic xmlns:a="http://schemas.openxmlformats.org/drawingml/2006/main">
                <a:graphicData uri="http://schemas.microsoft.com/office/word/2010/wordprocessingShape">
                  <wps:wsp>
                    <wps:cNvSpPr/>
                    <wps:spPr>
                      <a:xfrm>
                        <a:off x="0" y="0"/>
                        <a:ext cx="744855" cy="185420"/>
                      </a:xfrm>
                      <a:prstGeom prst="rect">
                        <a:avLst/>
                      </a:prstGeom>
                      <a:noFill/>
                      <a:ln w="6350" cap="flat" cmpd="sng">
                        <a:noFill/>
                        <a:prstDash val="solid"/>
                        <a:round/>
                      </a:ln>
                    </wps:spPr>
                    <wps:txbx>
                      <w:txbxContent>
                        <w:p w14:paraId="7427130B">
                          <w:pPr>
                            <w:rPr>
                              <w:rFonts w:hint="default"/>
                              <w:lang w:val="en-US" w:eastAsia="zh-CN"/>
                            </w:rPr>
                          </w:pPr>
                        </w:p>
                      </w:txbxContent>
                    </wps:txbx>
                    <wps:bodyPr vert="horz" wrap="square" lIns="0" tIns="0" rIns="0" bIns="0" anchor="t" anchorCtr="0" upright="0">
                      <a:noAutofit/>
                    </wps:bodyPr>
                  </wps:wsp>
                </a:graphicData>
              </a:graphic>
            </wp:anchor>
          </w:drawing>
        </mc:Choice>
        <mc:Fallback>
          <w:pict>
            <v:rect id="文本框 29" o:spid="_x0000_s1026" o:spt="1" style="position:absolute;left:0pt;margin-left:173.3pt;margin-top:0pt;height:14.6pt;width:58.65pt;mso-position-horizontal-relative:margin;z-index:251674624;mso-width-relative:page;mso-height-relative:page;" filled="f" stroked="f" coordsize="21600,21600" o:gfxdata="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veZ5q1wAAAAcBAAAPAAAAAAAAAAEAIAAAACIAAABk&#10;cnMvZG93bnJldi54bWxQSwECFAAUAAAACACHTuJABMkaTQcCAAD4AwAADgAAAAAAAAABACAAAAAm&#10;AQAAZHJzL2Uyb0RvYy54bWxQSwUGAAAAAAYABgBZAQAAnwUAAAAA&#10;">
              <v:fill on="f" focussize="0,0"/>
              <v:stroke on="f" weight="0.5pt" joinstyle="round"/>
              <v:imagedata o:title=""/>
              <o:lock v:ext="edit" aspectratio="f"/>
              <v:textbox inset="0mm,0mm,0mm,0mm">
                <w:txbxContent>
                  <w:p w14:paraId="7427130B">
                    <w:pPr>
                      <w:rPr>
                        <w:rFonts w:hint="default"/>
                        <w:lang w:val="en-US" w:eastAsia="zh-CN"/>
                      </w:rPr>
                    </w:pPr>
                  </w:p>
                </w:txbxContent>
              </v:textbox>
            </v:rect>
          </w:pict>
        </mc:Fallback>
      </mc:AlternateContent>
    </w: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4738A7">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5D4738A7">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3665" distR="113665" simplePos="0" relativeHeight="251674624" behindDoc="0" locked="0" layoutInCell="1" allowOverlap="1">
              <wp:simplePos x="0" y="0"/>
              <wp:positionH relativeFrom="margin">
                <wp:posOffset>2271395</wp:posOffset>
              </wp:positionH>
              <wp:positionV relativeFrom="paragraph">
                <wp:posOffset>0</wp:posOffset>
              </wp:positionV>
              <wp:extent cx="271780" cy="139065"/>
              <wp:effectExtent l="0" t="0" r="0" b="0"/>
              <wp:wrapNone/>
              <wp:docPr id="35"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35D3618C">
                          <w:pPr>
                            <w:pStyle w:val="11"/>
                            <w:rPr>
                              <w:rFonts w:hint="default"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78.85pt;margin-top:0pt;height:10.95pt;width:21.4pt;mso-position-horizontal-relative:margin;z-index:251674624;mso-width-relative:page;mso-height-relative:page;" filled="f" stroked="f" coordsize="21600,21600" o:gfxdata="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cUzKHWAAAABwEAAA8AAAAAAAAAAQAgAAAAIgAAAGRycy9k&#10;b3ducmV2LnhtbFBLAQIUABQAAAAIAIdO4kCOrjO6BAIAAPgDAAAOAAAAAAAAAAEAIAAAACUBAABk&#10;cnMvZTJvRG9jLnhtbFBLBQYAAAAABgAGAFkBAACbBQAAAAA=&#10;">
              <v:fill on="f" focussize="0,0"/>
              <v:stroke on="f" weight="0.5pt" joinstyle="round"/>
              <v:imagedata o:title=""/>
              <o:lock v:ext="edit" aspectratio="f"/>
              <v:textbox inset="0mm,0mm,0mm,0mm">
                <w:txbxContent>
                  <w:p w14:paraId="35D3618C">
                    <w:pPr>
                      <w:pStyle w:val="11"/>
                      <w:rPr>
                        <w:rFonts w:hint="default" w:eastAsia="宋体"/>
                        <w:lang w:val="en-US" w:eastAsia="zh-CN"/>
                      </w:rPr>
                    </w:pPr>
                  </w:p>
                </w:txbxContent>
              </v:textbox>
            </v:rect>
          </w:pict>
        </mc:Fallback>
      </mc:AlternateContent>
    </w:r>
  </w:p>
  <w:p w14:paraId="68CD472F">
    <w:pPr>
      <w:pStyle w:val="11"/>
      <w:tabs>
        <w:tab w:val="clear" w:pos="4153"/>
      </w:tabs>
      <w:jc w:val="cen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113FB">
    <w:pPr>
      <w:pStyle w:val="11"/>
      <w:bidi w:val="0"/>
      <w:rPr>
        <w:rFonts w:hint="eastAsia"/>
      </w:rPr>
    </w:pPr>
    <w:r>
      <w:rPr>
        <w:sz w:val="18"/>
      </w:rPr>
      <mc:AlternateContent>
        <mc:Choice Requires="wps">
          <w:drawing>
            <wp:anchor distT="0" distB="0" distL="113665" distR="113665" simplePos="0" relativeHeight="251675648" behindDoc="0" locked="0" layoutInCell="1" allowOverlap="1">
              <wp:simplePos x="0" y="0"/>
              <wp:positionH relativeFrom="margin">
                <wp:posOffset>2343785</wp:posOffset>
              </wp:positionH>
              <wp:positionV relativeFrom="paragraph">
                <wp:posOffset>0</wp:posOffset>
              </wp:positionV>
              <wp:extent cx="601980" cy="185420"/>
              <wp:effectExtent l="0" t="0" r="0" b="0"/>
              <wp:wrapNone/>
              <wp:docPr id="36" name="文本框 29"/>
              <wp:cNvGraphicFramePr/>
              <a:graphic xmlns:a="http://schemas.openxmlformats.org/drawingml/2006/main">
                <a:graphicData uri="http://schemas.microsoft.com/office/word/2010/wordprocessingShape">
                  <wps:wsp>
                    <wps:cNvSpPr/>
                    <wps:spPr>
                      <a:xfrm>
                        <a:off x="0" y="0"/>
                        <a:ext cx="601980" cy="185420"/>
                      </a:xfrm>
                      <a:prstGeom prst="rect">
                        <a:avLst/>
                      </a:prstGeom>
                      <a:noFill/>
                      <a:ln w="6350" cap="flat" cmpd="sng">
                        <a:noFill/>
                        <a:prstDash val="solid"/>
                        <a:round/>
                      </a:ln>
                    </wps:spPr>
                    <wps:txbx>
                      <w:txbxContent>
                        <w:p w14:paraId="7189E1B1">
                          <w:pPr>
                            <w:pStyle w:val="11"/>
                            <w:rPr>
                              <w:rFonts w:hint="default" w:eastAsia="宋体"/>
                              <w:lang w:val="en-US" w:eastAsia="zh-CN"/>
                            </w:rPr>
                          </w:pPr>
                        </w:p>
                      </w:txbxContent>
                    </wps:txbx>
                    <wps:bodyPr vert="horz" wrap="square" lIns="0" tIns="0" rIns="0" bIns="0" anchor="t" anchorCtr="0" upright="0">
                      <a:noAutofit/>
                    </wps:bodyPr>
                  </wps:wsp>
                </a:graphicData>
              </a:graphic>
            </wp:anchor>
          </w:drawing>
        </mc:Choice>
        <mc:Fallback>
          <w:pict>
            <v:rect id="文本框 29" o:spid="_x0000_s1026" o:spt="1" style="position:absolute;left:0pt;margin-left:184.55pt;margin-top:0pt;height:14.6pt;width:47.4pt;mso-position-horizontal-relative:margin;z-index:251675648;mso-width-relative:page;mso-height-relative:page;" filled="f" stroked="f" coordsize="21600,21600" o:gfxdata="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Y4Ia01gAAAAcBAAAPAAAAAAAAAAEAIAAAACIAAABkcnMv&#10;ZG93bnJldi54bWxQSwECFAAUAAAACACHTuJAzVD3jwUCAAD4AwAADgAAAAAAAAABACAAAAAlAQAA&#10;ZHJzL2Uyb0RvYy54bWxQSwUGAAAAAAYABgBZAQAAnAUAAAAA&#10;">
              <v:fill on="f" focussize="0,0"/>
              <v:stroke on="f" weight="0.5pt" joinstyle="round"/>
              <v:imagedata o:title=""/>
              <o:lock v:ext="edit" aspectratio="f"/>
              <v:textbox inset="0mm,0mm,0mm,0mm">
                <w:txbxContent>
                  <w:p w14:paraId="7189E1B1">
                    <w:pPr>
                      <w:pStyle w:val="11"/>
                      <w:rPr>
                        <w:rFonts w:hint="default" w:eastAsia="宋体"/>
                        <w:lang w:val="en-US" w:eastAsia="zh-CN"/>
                      </w:rPr>
                    </w:pPr>
                  </w:p>
                </w:txbxContent>
              </v:textbox>
            </v:rect>
          </w:pict>
        </mc:Fallback>
      </mc:AlternateContent>
    </w: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3EF95B">
                          <w:pPr>
                            <w:pStyle w:val="11"/>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083EF95B">
                    <w:pPr>
                      <w:pStyle w:val="11"/>
                    </w:pPr>
                    <w:r>
                      <w:fldChar w:fldCharType="begin"/>
                    </w:r>
                    <w:r>
                      <w:instrText xml:space="preserve"> PAGE  \* MERGEFORMAT </w:instrText>
                    </w:r>
                    <w:r>
                      <w:fldChar w:fldCharType="separate"/>
                    </w:r>
                    <w:r>
                      <w:t>4</w:t>
                    </w:r>
                    <w:r>
                      <w:fldChar w:fldCharType="end"/>
                    </w:r>
                  </w:p>
                </w:txbxContent>
              </v:textbox>
            </v:shape>
          </w:pict>
        </mc:Fallback>
      </mc:AlternateContent>
    </w:r>
    <w:r>
      <w:rPr>
        <w:sz w:val="18"/>
      </w:rPr>
      <mc:AlternateContent>
        <mc:Choice Requires="wps">
          <w:drawing>
            <wp:anchor distT="0" distB="0" distL="113665" distR="113665" simplePos="0" relativeHeight="251675648" behindDoc="0" locked="0" layoutInCell="1" allowOverlap="1">
              <wp:simplePos x="0" y="0"/>
              <wp:positionH relativeFrom="margin">
                <wp:posOffset>2461895</wp:posOffset>
              </wp:positionH>
              <wp:positionV relativeFrom="paragraph">
                <wp:posOffset>0</wp:posOffset>
              </wp:positionV>
              <wp:extent cx="271780" cy="139065"/>
              <wp:effectExtent l="0" t="0" r="0" b="0"/>
              <wp:wrapNone/>
              <wp:docPr id="38" name="文本框 30"/>
              <wp:cNvGraphicFramePr/>
              <a:graphic xmlns:a="http://schemas.openxmlformats.org/drawingml/2006/main">
                <a:graphicData uri="http://schemas.microsoft.com/office/word/2010/wordprocessingShape">
                  <wps:wsp>
                    <wps:cNvSpPr/>
                    <wps:spPr>
                      <a:xfrm>
                        <a:off x="0" y="0"/>
                        <a:ext cx="271780" cy="139065"/>
                      </a:xfrm>
                      <a:prstGeom prst="rect">
                        <a:avLst/>
                      </a:prstGeom>
                      <a:noFill/>
                      <a:ln w="6350" cap="flat" cmpd="sng">
                        <a:noFill/>
                        <a:prstDash val="solid"/>
                        <a:round/>
                      </a:ln>
                    </wps:spPr>
                    <wps:txbx>
                      <w:txbxContent>
                        <w:p w14:paraId="741F5F6E">
                          <w:pPr>
                            <w:pStyle w:val="11"/>
                            <w:rPr>
                              <w:rFonts w:hint="eastAsia" w:eastAsia="宋体"/>
                              <w:lang w:val="en-US" w:eastAsia="zh-CN"/>
                            </w:rPr>
                          </w:pPr>
                        </w:p>
                      </w:txbxContent>
                    </wps:txbx>
                    <wps:bodyPr vert="horz" wrap="square" lIns="0" tIns="0" rIns="0" bIns="0" anchor="t" anchorCtr="0" upright="0">
                      <a:noAutofit/>
                    </wps:bodyPr>
                  </wps:wsp>
                </a:graphicData>
              </a:graphic>
            </wp:anchor>
          </w:drawing>
        </mc:Choice>
        <mc:Fallback>
          <w:pict>
            <v:rect id="文本框 30" o:spid="_x0000_s1026" o:spt="1" style="position:absolute;left:0pt;margin-left:193.85pt;margin-top:0pt;height:10.95pt;width:21.4pt;mso-position-horizontal-relative:margin;z-index:251675648;mso-width-relative:page;mso-height-relative:page;" filled="f" stroked="f" coordsize="21600,21600" o:gfxdata="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GN8DNYAAAAHAQAADwAAAAAAAAABACAAAAAiAAAAZHJzL2Rv&#10;d25yZXYueG1sUEsBAhQAFAAAAAgAh07iQIO/iAEDAgAA+AMAAA4AAAAAAAAAAQAgAAAAJQEAAGRy&#10;cy9lMm9Eb2MueG1sUEsFBgAAAAAGAAYAWQEAAJoFAAAAAA==&#10;">
              <v:fill on="f" focussize="0,0"/>
              <v:stroke on="f" weight="0.5pt" joinstyle="round"/>
              <v:imagedata o:title=""/>
              <o:lock v:ext="edit" aspectratio="f"/>
              <v:textbox inset="0mm,0mm,0mm,0mm">
                <w:txbxContent>
                  <w:p w14:paraId="741F5F6E">
                    <w:pPr>
                      <w:pStyle w:val="11"/>
                      <w:rPr>
                        <w:rFonts w:hint="eastAsia" w:eastAsia="宋体"/>
                        <w:lang w:val="en-US" w:eastAsia="zh-CN"/>
                      </w:rPr>
                    </w:pPr>
                  </w:p>
                </w:txbxContent>
              </v:textbox>
            </v:rect>
          </w:pict>
        </mc:Fallback>
      </mc:AlternateContent>
    </w:r>
  </w:p>
  <w:p w14:paraId="291AB035">
    <w:pPr>
      <w:pStyle w:val="11"/>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BE5DA">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DDF86">
    <w:pPr>
      <w:pStyle w:val="12"/>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06B9E">
    <w:pPr>
      <w:pStyle w:val="1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BBE65">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51D3AB"/>
    <w:multiLevelType w:val="singleLevel"/>
    <w:tmpl w:val="8A51D3AB"/>
    <w:lvl w:ilvl="0" w:tentative="0">
      <w:start w:val="1"/>
      <w:numFmt w:val="chineseCounting"/>
      <w:suff w:val="nothing"/>
      <w:lvlText w:val="（%1）"/>
      <w:lvlJc w:val="left"/>
      <w:pPr>
        <w:ind w:left="0" w:firstLine="0"/>
      </w:pPr>
      <w:rPr>
        <w:rFonts w:hint="eastAsia"/>
      </w:rPr>
    </w:lvl>
  </w:abstractNum>
  <w:abstractNum w:abstractNumId="1">
    <w:nsid w:val="E2FA047D"/>
    <w:multiLevelType w:val="singleLevel"/>
    <w:tmpl w:val="E2FA047D"/>
    <w:lvl w:ilvl="0" w:tentative="0">
      <w:start w:val="3"/>
      <w:numFmt w:val="chineseCounting"/>
      <w:suff w:val="space"/>
      <w:lvlText w:val="第%1部分"/>
      <w:lvlJc w:val="left"/>
      <w:pPr>
        <w:ind w:left="0" w:firstLine="0"/>
      </w:pPr>
      <w:rPr>
        <w:rFonts w:hint="eastAsia" w:cs="Times New Roman"/>
      </w:rPr>
    </w:lvl>
  </w:abstractNum>
  <w:abstractNum w:abstractNumId="2">
    <w:nsid w:val="F40DE9FC"/>
    <w:multiLevelType w:val="singleLevel"/>
    <w:tmpl w:val="F40DE9FC"/>
    <w:lvl w:ilvl="0" w:tentative="0">
      <w:start w:val="4"/>
      <w:numFmt w:val="chineseCounting"/>
      <w:suff w:val="nothing"/>
      <w:lvlText w:val="%1、"/>
      <w:lvlJc w:val="left"/>
      <w:rPr>
        <w:rFonts w:hint="eastAsia"/>
      </w:rPr>
    </w:lvl>
  </w:abstractNum>
  <w:abstractNum w:abstractNumId="3">
    <w:nsid w:val="160D32DE"/>
    <w:multiLevelType w:val="singleLevel"/>
    <w:tmpl w:val="160D32DE"/>
    <w:lvl w:ilvl="0" w:tentative="0">
      <w:start w:val="7"/>
      <w:numFmt w:val="chineseCounting"/>
      <w:suff w:val="nothing"/>
      <w:lvlText w:val="%1、"/>
      <w:lvlJc w:val="left"/>
      <w:pPr>
        <w:ind w:left="0" w:firstLine="0"/>
      </w:pPr>
      <w:rPr>
        <w:rFonts w:hint="eastAsia"/>
      </w:rPr>
    </w:lvl>
  </w:abstractNum>
  <w:abstractNum w:abstractNumId="4">
    <w:nsid w:val="37CC49F7"/>
    <w:multiLevelType w:val="singleLevel"/>
    <w:tmpl w:val="37CC49F7"/>
    <w:lvl w:ilvl="0" w:tentative="0">
      <w:start w:val="1"/>
      <w:numFmt w:val="chineseCounting"/>
      <w:suff w:val="nothing"/>
      <w:lvlText w:val="（%1）"/>
      <w:lvlJc w:val="left"/>
      <w:rPr>
        <w:rFonts w:hint="eastAsia"/>
      </w:rPr>
    </w:lvl>
  </w:abstractNum>
  <w:abstractNum w:abstractNumId="5">
    <w:nsid w:val="3F8AB991"/>
    <w:multiLevelType w:val="singleLevel"/>
    <w:tmpl w:val="3F8AB991"/>
    <w:lvl w:ilvl="0" w:tentative="0">
      <w:start w:val="1"/>
      <w:numFmt w:val="chineseCounting"/>
      <w:suff w:val="nothing"/>
      <w:lvlText w:val="（%1）"/>
      <w:lvlJc w:val="left"/>
      <w:pPr>
        <w:ind w:left="0" w:firstLine="0"/>
      </w:pPr>
      <w:rPr>
        <w:rFonts w:hint="eastAsia"/>
      </w:r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04D6899"/>
    <w:rsid w:val="015754F6"/>
    <w:rsid w:val="02317AF5"/>
    <w:rsid w:val="026B74AB"/>
    <w:rsid w:val="036363D4"/>
    <w:rsid w:val="07830DF3"/>
    <w:rsid w:val="07852DBD"/>
    <w:rsid w:val="07AD40C1"/>
    <w:rsid w:val="091D0DD3"/>
    <w:rsid w:val="0A894972"/>
    <w:rsid w:val="0AA7310F"/>
    <w:rsid w:val="0C7E427E"/>
    <w:rsid w:val="0D5E73D2"/>
    <w:rsid w:val="0E4A266A"/>
    <w:rsid w:val="12F2702F"/>
    <w:rsid w:val="148443FC"/>
    <w:rsid w:val="166E0EC0"/>
    <w:rsid w:val="16B40FC8"/>
    <w:rsid w:val="17101F77"/>
    <w:rsid w:val="1BFB1448"/>
    <w:rsid w:val="1E636E30"/>
    <w:rsid w:val="1E8A6AB3"/>
    <w:rsid w:val="1EC975DB"/>
    <w:rsid w:val="1F66307C"/>
    <w:rsid w:val="1F975C62"/>
    <w:rsid w:val="226F2247"/>
    <w:rsid w:val="23241284"/>
    <w:rsid w:val="23D42CAA"/>
    <w:rsid w:val="249B5576"/>
    <w:rsid w:val="24C83E91"/>
    <w:rsid w:val="28C8445F"/>
    <w:rsid w:val="2AC05D36"/>
    <w:rsid w:val="2B34402E"/>
    <w:rsid w:val="2D7503AA"/>
    <w:rsid w:val="2DF33D2D"/>
    <w:rsid w:val="2F631386"/>
    <w:rsid w:val="2FF11301"/>
    <w:rsid w:val="317F1D7B"/>
    <w:rsid w:val="31B163D9"/>
    <w:rsid w:val="31C205E6"/>
    <w:rsid w:val="32236BAB"/>
    <w:rsid w:val="327411B4"/>
    <w:rsid w:val="32786CD9"/>
    <w:rsid w:val="32D16607"/>
    <w:rsid w:val="3454129D"/>
    <w:rsid w:val="34CF6B76"/>
    <w:rsid w:val="34FB796B"/>
    <w:rsid w:val="386121DB"/>
    <w:rsid w:val="39553AED"/>
    <w:rsid w:val="3A8A5A19"/>
    <w:rsid w:val="3FF658FE"/>
    <w:rsid w:val="41D91034"/>
    <w:rsid w:val="45E5444B"/>
    <w:rsid w:val="460743C1"/>
    <w:rsid w:val="46E91D19"/>
    <w:rsid w:val="488241D3"/>
    <w:rsid w:val="48B85E47"/>
    <w:rsid w:val="49303C2F"/>
    <w:rsid w:val="4D956757"/>
    <w:rsid w:val="4E0F6A9D"/>
    <w:rsid w:val="4FEAE0C3"/>
    <w:rsid w:val="50680152"/>
    <w:rsid w:val="511D0F3D"/>
    <w:rsid w:val="52A35472"/>
    <w:rsid w:val="542D76E9"/>
    <w:rsid w:val="54684BC5"/>
    <w:rsid w:val="54A4596D"/>
    <w:rsid w:val="55B654BC"/>
    <w:rsid w:val="55CF47D0"/>
    <w:rsid w:val="5A427C66"/>
    <w:rsid w:val="5CBD0359"/>
    <w:rsid w:val="5D0C00B7"/>
    <w:rsid w:val="5D5C2DED"/>
    <w:rsid w:val="5E5B4E53"/>
    <w:rsid w:val="5ED08420"/>
    <w:rsid w:val="612E4AA0"/>
    <w:rsid w:val="619E1C26"/>
    <w:rsid w:val="61DE2219"/>
    <w:rsid w:val="633D721D"/>
    <w:rsid w:val="63F31435"/>
    <w:rsid w:val="67D87514"/>
    <w:rsid w:val="688E447B"/>
    <w:rsid w:val="68CF0917"/>
    <w:rsid w:val="69E403F2"/>
    <w:rsid w:val="6C77284B"/>
    <w:rsid w:val="6E57342A"/>
    <w:rsid w:val="6FAF0DAB"/>
    <w:rsid w:val="708B7819"/>
    <w:rsid w:val="70974410"/>
    <w:rsid w:val="725325B9"/>
    <w:rsid w:val="75045DEC"/>
    <w:rsid w:val="75640639"/>
    <w:rsid w:val="75B3511C"/>
    <w:rsid w:val="77E45A7F"/>
    <w:rsid w:val="77F02658"/>
    <w:rsid w:val="79C124FE"/>
    <w:rsid w:val="7A4B0019"/>
    <w:rsid w:val="7C817D22"/>
    <w:rsid w:val="7CD10CAA"/>
    <w:rsid w:val="7E9A50CB"/>
    <w:rsid w:val="7EBE700C"/>
    <w:rsid w:val="7F7F2444"/>
    <w:rsid w:val="D52DC2A3"/>
    <w:rsid w:val="EFCB5363"/>
    <w:rsid w:val="F78D3B4D"/>
    <w:rsid w:val="F7F7F5D1"/>
    <w:rsid w:val="FF7EE8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24"/>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qFormat/>
    <w:uiPriority w:val="0"/>
    <w:pPr>
      <w:spacing w:before="30"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hAnsi="仿宋_GB2312"/>
      <w:szCs w:val="32"/>
    </w:rPr>
  </w:style>
  <w:style w:type="paragraph" w:styleId="8">
    <w:name w:val="Body Text First Indent 2"/>
    <w:basedOn w:val="7"/>
    <w:next w:val="1"/>
    <w:qFormat/>
    <w:uiPriority w:val="0"/>
    <w:pPr>
      <w:ind w:firstLine="200" w:firstLineChars="200"/>
    </w:p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footnote text"/>
    <w:basedOn w:val="1"/>
    <w:next w:val="8"/>
    <w:qFormat/>
    <w:uiPriority w:val="0"/>
    <w:pPr>
      <w:snapToGrid w:val="0"/>
      <w:jc w:val="left"/>
    </w:pPr>
    <w:rPr>
      <w:sz w:val="18"/>
      <w:szCs w:val="18"/>
    </w:rPr>
  </w:style>
  <w:style w:type="paragraph" w:styleId="15">
    <w:name w:val="table of figures"/>
    <w:basedOn w:val="1"/>
    <w:next w:val="1"/>
    <w:qFormat/>
    <w:uiPriority w:val="0"/>
    <w:pPr>
      <w:ind w:left="400" w:leftChars="200" w:hanging="200" w:hangingChars="200"/>
    </w:pPr>
  </w:style>
  <w:style w:type="paragraph" w:styleId="16">
    <w:name w:val="toc 2"/>
    <w:basedOn w:val="1"/>
    <w:next w:val="1"/>
    <w:qFormat/>
    <w:uiPriority w:val="0"/>
    <w:pPr>
      <w:tabs>
        <w:tab w:val="right" w:leader="dot" w:pos="8296"/>
      </w:tabs>
      <w:ind w:left="200" w:leftChars="200"/>
    </w:pPr>
  </w:style>
  <w:style w:type="paragraph" w:styleId="17">
    <w:name w:val="Normal (Web)"/>
    <w:basedOn w:val="1"/>
    <w:qFormat/>
    <w:uiPriority w:val="0"/>
    <w:pPr>
      <w:spacing w:before="100" w:beforeAutospacing="1" w:after="100" w:afterAutospacing="1"/>
      <w:ind w:left="0" w:right="0"/>
      <w:jc w:val="left"/>
    </w:pPr>
    <w:rPr>
      <w:kern w:val="0"/>
      <w:sz w:val="24"/>
      <w:lang w:val="en-US" w:eastAsia="zh-CN"/>
    </w:rPr>
  </w:style>
  <w:style w:type="character" w:styleId="20">
    <w:name w:val="Strong"/>
    <w:basedOn w:val="19"/>
    <w:qFormat/>
    <w:uiPriority w:val="0"/>
    <w:rPr>
      <w:b/>
    </w:rPr>
  </w:style>
  <w:style w:type="character" w:styleId="21">
    <w:name w:val="Emphasis"/>
    <w:basedOn w:val="19"/>
    <w:qFormat/>
    <w:uiPriority w:val="0"/>
    <w:rPr>
      <w:i/>
    </w:rPr>
  </w:style>
  <w:style w:type="character" w:styleId="22">
    <w:name w:val="Hyperlink"/>
    <w:basedOn w:val="19"/>
    <w:qFormat/>
    <w:uiPriority w:val="0"/>
    <w:rPr>
      <w:color w:val="0000FF"/>
      <w:u w:val="single"/>
    </w:rPr>
  </w:style>
  <w:style w:type="character" w:customStyle="1" w:styleId="23">
    <w:name w:val="heading 1 Char"/>
    <w:basedOn w:val="19"/>
    <w:link w:val="3"/>
    <w:qFormat/>
    <w:uiPriority w:val="0"/>
    <w:rPr>
      <w:rFonts w:ascii="Times New Roman" w:hAnsi="Times New Roman" w:eastAsia="宋体" w:cs="Times New Roman"/>
      <w:b/>
      <w:bCs/>
      <w:kern w:val="44"/>
      <w:sz w:val="44"/>
      <w:szCs w:val="44"/>
      <w:lang w:val="en-US" w:eastAsia="zh-CN" w:bidi="ar-SA"/>
    </w:rPr>
  </w:style>
  <w:style w:type="character" w:customStyle="1" w:styleId="24">
    <w:name w:val="heading 2 Char"/>
    <w:basedOn w:val="19"/>
    <w:link w:val="4"/>
    <w:qFormat/>
    <w:uiPriority w:val="0"/>
    <w:rPr>
      <w:rFonts w:ascii="Cambria" w:hAnsi="Cambria" w:eastAsia="宋体" w:cs="Times New Roman"/>
      <w:b/>
      <w:bCs/>
      <w:kern w:val="2"/>
      <w:sz w:val="32"/>
      <w:szCs w:val="32"/>
      <w:lang w:val="en-US" w:eastAsia="zh-CN" w:bidi="ar-SA"/>
    </w:rPr>
  </w:style>
  <w:style w:type="character" w:customStyle="1" w:styleId="25">
    <w:name w:val="Header Char"/>
    <w:basedOn w:val="19"/>
    <w:qFormat/>
    <w:uiPriority w:val="0"/>
    <w:rPr>
      <w:rFonts w:ascii="Times New Roman" w:hAnsi="Times New Roman"/>
      <w:sz w:val="18"/>
      <w:szCs w:val="18"/>
    </w:rPr>
  </w:style>
  <w:style w:type="character" w:customStyle="1" w:styleId="26">
    <w:name w:val="Footer Char"/>
    <w:basedOn w:val="19"/>
    <w:qFormat/>
    <w:uiPriority w:val="0"/>
    <w:rPr>
      <w:rFonts w:ascii="Times New Roman" w:hAnsi="Times New Roman"/>
      <w:sz w:val="18"/>
      <w:szCs w:val="18"/>
    </w:rPr>
  </w:style>
  <w:style w:type="character" w:customStyle="1" w:styleId="27">
    <w:name w:val="Body Text Char"/>
    <w:basedOn w:val="19"/>
    <w:qFormat/>
    <w:uiPriority w:val="0"/>
    <w:rPr>
      <w:rFonts w:ascii="Times New Roman" w:hAnsi="Times New Roman"/>
      <w:szCs w:val="24"/>
    </w:rPr>
  </w:style>
  <w:style w:type="paragraph" w:customStyle="1" w:styleId="28">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9">
    <w:name w:val="List Paragraph"/>
    <w:basedOn w:val="1"/>
    <w:qFormat/>
    <w:uiPriority w:val="0"/>
    <w:pPr>
      <w:ind w:firstLine="200" w:firstLineChars="200"/>
    </w:pPr>
  </w:style>
  <w:style w:type="paragraph" w:customStyle="1" w:styleId="30">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1">
    <w:name w:val="TOC Heading"/>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2">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3">
    <w:name w:val="WPSOffice手动目录 1"/>
    <w:qFormat/>
    <w:uiPriority w:val="0"/>
    <w:rPr>
      <w:rFonts w:ascii="Times New Roman" w:hAnsi="Times New Roman" w:eastAsia="宋体" w:cs="Times New Roman"/>
      <w:sz w:val="20"/>
      <w:szCs w:val="20"/>
      <w:lang w:val="en-US" w:eastAsia="zh-CN" w:bidi="ar-SA"/>
    </w:rPr>
  </w:style>
  <w:style w:type="paragraph" w:customStyle="1" w:styleId="34">
    <w:name w:val="WPSOffice手动目录 2"/>
    <w:qFormat/>
    <w:uiPriority w:val="0"/>
    <w:pPr>
      <w:ind w:left="200" w:leftChars="200"/>
    </w:pPr>
    <w:rPr>
      <w:rFonts w:ascii="Times New Roman" w:hAnsi="Times New Roman" w:eastAsia="宋体" w:cs="Times New Roman"/>
      <w:sz w:val="20"/>
      <w:szCs w:val="20"/>
      <w:lang w:val="en-US" w:eastAsia="zh-CN" w:bidi="ar-SA"/>
    </w:rPr>
  </w:style>
  <w:style w:type="paragraph" w:customStyle="1" w:styleId="35">
    <w:name w:val="Normal (Web)"/>
    <w:basedOn w:val="1"/>
    <w:qFormat/>
    <w:uiPriority w:val="0"/>
    <w:pPr>
      <w:spacing w:before="100" w:beforeAutospacing="1" w:after="100" w:afterAutospacing="1"/>
      <w:ind w:left="0" w:right="0"/>
      <w:jc w:val="left"/>
    </w:pPr>
    <w:rPr>
      <w:kern w:val="0"/>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8" Type="http://schemas.openxmlformats.org/officeDocument/2006/relationships/glossaryDocument" Target="glossary/document.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chart" Target="charts/chart7.xml"/><Relationship Id="rId33" Type="http://schemas.openxmlformats.org/officeDocument/2006/relationships/chart" Target="charts/chart6.xml"/><Relationship Id="rId32" Type="http://schemas.openxmlformats.org/officeDocument/2006/relationships/chart" Target="charts/chart5.xml"/><Relationship Id="rId31" Type="http://schemas.openxmlformats.org/officeDocument/2006/relationships/chart" Target="charts/chart4.xml"/><Relationship Id="rId30" Type="http://schemas.openxmlformats.org/officeDocument/2006/relationships/chart" Target="charts/chart3.xml"/><Relationship Id="rId3" Type="http://schemas.openxmlformats.org/officeDocument/2006/relationships/header" Target="header1.xml"/><Relationship Id="rId29" Type="http://schemas.openxmlformats.org/officeDocument/2006/relationships/chart" Target="charts/chart2.xml"/><Relationship Id="rId28" Type="http://schemas.openxmlformats.org/officeDocument/2006/relationships/chart" Target="charts/chart1.xml"/><Relationship Id="rId27" Type="http://schemas.openxmlformats.org/officeDocument/2006/relationships/theme" Target="theme/theme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25&#24180;&#20915;&#31639;&#20844;&#31034;\&#22270;&#26631;%20-%201(1)&#21355;&#20581;&#23616;&#26412;&#32423;%20&#27719;&#24635;.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25&#24180;&#20915;&#31639;&#20844;&#31034;\&#22270;&#26631;%20-%201(1)&#21355;&#20581;&#23616;&#26412;&#32423;%20&#27719;&#24635;.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25&#24180;&#20915;&#31639;&#20844;&#31034;\&#22270;&#26631;%20-%201(1)&#21355;&#20581;&#23616;&#26412;&#32423;%20&#27719;&#24635;.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25&#24180;&#20915;&#31639;&#20844;&#31034;\&#22270;&#26631;%20-%201(1)&#21355;&#20581;&#23616;&#26412;&#32423;%20&#27719;&#24635;.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25&#24180;&#20915;&#31639;&#20844;&#31034;\&#22270;&#26631;%20-%201(1)&#21355;&#20581;&#23616;&#26412;&#32423;%20&#27719;&#24635;.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25&#24180;&#20915;&#31639;&#20844;&#31034;\&#22270;&#26631;%20-%201(1)&#21355;&#20581;&#23616;&#26412;&#32423;%20&#27719;&#24635;.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25&#24180;&#20915;&#31639;&#20844;&#31034;\&#22270;&#26631;%20-%201(1)&#21355;&#20581;&#23616;&#26412;&#32423;%20&#27719;&#2463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- 1(1)卫健局本级 汇总.xls]图1'!$A$3:$A$4</c:f>
              <c:strCache>
                <c:ptCount val="2"/>
                <c:pt idx="0">
                  <c:v>2024年收、支总计</c:v>
                </c:pt>
                <c:pt idx="1">
                  <c:v>2025年收、支总计</c:v>
                </c:pt>
              </c:strCache>
            </c:strRef>
          </c:cat>
          <c:val>
            <c:numRef>
              <c:f>'[图标 - 1(1)卫健局本级 汇总.xls]图1'!$B$3:$B$4</c:f>
              <c:numCache>
                <c:formatCode>General</c:formatCode>
                <c:ptCount val="2"/>
                <c:pt idx="0">
                  <c:v>24103.45</c:v>
                </c:pt>
                <c:pt idx="1">
                  <c:v>40354.97</c:v>
                </c:pt>
              </c:numCache>
            </c:numRef>
          </c:val>
        </c:ser>
        <c:dLbls>
          <c:showLegendKey val="0"/>
          <c:showVal val="0"/>
          <c:showCatName val="0"/>
          <c:showSerName val="0"/>
          <c:showPercent val="0"/>
          <c:showBubbleSize val="0"/>
        </c:dLbls>
        <c:gapWidth val="219"/>
        <c:overlap val="-27"/>
        <c:axId val="209362589"/>
        <c:axId val="145250621"/>
      </c:barChart>
      <c:catAx>
        <c:axId val="20936258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5250621"/>
        <c:crosses val="autoZero"/>
        <c:auto val="1"/>
        <c:lblAlgn val="ctr"/>
        <c:lblOffset val="100"/>
        <c:noMultiLvlLbl val="0"/>
      </c:catAx>
      <c:valAx>
        <c:axId val="14525062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362589"/>
        <c:crosses val="autoZero"/>
        <c:crossBetween val="between"/>
      </c:valAx>
      <c:spPr>
        <a:noFill/>
        <a:ln>
          <a:noFill/>
        </a:ln>
        <a:effectLst/>
      </c:spPr>
    </c:plotArea>
    <c:plotVisOnly val="1"/>
    <c:dispBlanksAs val="gap"/>
    <c:showDLblsOverMax val="0"/>
    <c:extLst>
      <c:ext uri="{0b15fc19-7d7d-44ad-8c2d-2c3a37ce22c3}">
        <chartProps xmlns="https://web.wps.cn/et/2018/main" chartId="{ef9a6afc-61d4-4f5f-bfe7-108ff9c7dd3a}"/>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200">
                <a:solidFill>
                  <a:schemeClr val="tx1">
                    <a:lumMod val="75000"/>
                    <a:lumOff val="25000"/>
                  </a:schemeClr>
                </a:solidFill>
                <a:uFillTx/>
                <a:ea typeface="仿宋" panose="02010609060101010101" pitchFamily="3" charset="-122"/>
              </a:rPr>
              <a:t>收入决算结构图（单位：万元）</a:t>
            </a:r>
            <a:endParaRPr sz="1200" b="1" i="0" u="none" strike="noStrike" baseline="0">
              <a:solidFill>
                <a:schemeClr val="tx1">
                  <a:lumMod val="75000"/>
                  <a:lumOff val="25000"/>
                </a:schemeClr>
              </a:solidFill>
              <a:uFillTx/>
              <a:latin typeface="宋体" panose="02010600030101010101" charset="-122"/>
              <a:ea typeface="仿宋" panose="02010609060101010101" pitchFamily="3" charset="-122"/>
              <a:cs typeface="宋体" panose="02010600030101010101" charset="-122"/>
            </a:endParaRPr>
          </a:p>
        </c:rich>
      </c:tx>
      <c:layout>
        <c:manualLayout>
          <c:xMode val="edge"/>
          <c:yMode val="edge"/>
          <c:x val="0.308512037889751"/>
          <c:y val="0.0168387965873372"/>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explosion val="0"/>
          </c:dPt>
          <c:dPt>
            <c:idx val="3"/>
            <c:bubble3D val="0"/>
          </c:dPt>
          <c:dLbls>
            <c:dLbl>
              <c:idx val="0"/>
              <c:layout>
                <c:manualLayout>
                  <c:x val="-0.0407925884506903"/>
                  <c:y val="0.0974956395881823"/>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595294850391058"/>
                  <c:y val="0.0327164143736271"/>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288083619560359"/>
                  <c:y val="0.16485378186131"/>
                </c:manualLayout>
              </c:layout>
              <c:tx>
                <c:rich>
                  <a:bodyPr rot="0" spcFirstLastPara="0" vertOverflow="ellipsis" vert="horz" wrap="square" lIns="38100" tIns="19050" rIns="38100" bIns="19050" anchor="ctr" anchorCtr="1"/>
                  <a:lstStyle/>
                  <a:p>
                    <a:pPr defTabSz="914400">
                      <a:defRPr lang="zh-CN" sz="1000" b="1"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r>
                      <a:rPr lang="en-US" altLang="zh-CN" sz="1000" b="1" i="0" u="none" strike="noStrike" baseline="0">
                        <a:solidFill>
                          <a:srgbClr val="333333"/>
                        </a:solidFill>
                        <a:latin typeface="宋体" panose="02010600030101010101" charset="-122"/>
                        <a:ea typeface="宋体" panose="02010600030101010101" charset="-122"/>
                        <a:cs typeface="宋体" panose="02010600030101010101" charset="-122"/>
                      </a:rPr>
                      <a:t>9862.64</a:t>
                    </a:r>
                    <a:r>
                      <a:rPr sz="1000" b="1" i="0" u="none" strike="noStrike" baseline="0">
                        <a:solidFill>
                          <a:srgbClr val="333333"/>
                        </a:solidFill>
                        <a:latin typeface="宋体" panose="02010600030101010101" charset="-122"/>
                        <a:ea typeface="宋体" panose="02010600030101010101" charset="-122"/>
                        <a:cs typeface="宋体" panose="02010600030101010101" charset="-122"/>
                      </a:rPr>
                      <a:t>, </a:t>
                    </a:r>
                    <a:r>
                      <a:rPr lang="en-US" altLang="zh-CN" sz="1000" b="1" i="0" u="none" strike="noStrike" baseline="0">
                        <a:solidFill>
                          <a:srgbClr val="333333"/>
                        </a:solidFill>
                        <a:latin typeface="宋体" panose="02010600030101010101" charset="-122"/>
                        <a:ea typeface="宋体" panose="02010600030101010101" charset="-122"/>
                        <a:cs typeface="宋体" panose="02010600030101010101" charset="-122"/>
                      </a:rPr>
                      <a:t>24.4</a:t>
                    </a:r>
                    <a:r>
                      <a:rPr lang="en-US" altLang="zh-CN" sz="1000" b="1"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4</a:t>
                    </a:r>
                    <a:r>
                      <a:rPr sz="1000" b="1" i="0" u="none" strike="noStrike" baseline="0">
                        <a:solidFill>
                          <a:srgbClr val="333333"/>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1"/>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manualLayout>
                      <c:w val="0.196224877783813"/>
                      <c:h val="0.205325281361515"/>
                    </c:manualLayout>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 - 1(1)卫健局本级 汇总.xls]图2'!$A$1:$A$4</c:f>
              <c:strCache>
                <c:ptCount val="4"/>
                <c:pt idx="0">
                  <c:v>一般公共预算财政拨款收入</c:v>
                </c:pt>
                <c:pt idx="1">
                  <c:v>政府性基金预算财政拨款收入</c:v>
                </c:pt>
                <c:pt idx="2">
                  <c:v>事业收入</c:v>
                </c:pt>
                <c:pt idx="3">
                  <c:v>其他收入</c:v>
                </c:pt>
              </c:strCache>
            </c:strRef>
          </c:cat>
          <c:val>
            <c:numRef>
              <c:f>'[图标 - 1(1)卫健局本级 汇总.xls]图2'!$B$1:$B$4</c:f>
              <c:numCache>
                <c:formatCode>General</c:formatCode>
                <c:ptCount val="4"/>
                <c:pt idx="0">
                  <c:v>15486.81</c:v>
                </c:pt>
                <c:pt idx="1">
                  <c:v>14682</c:v>
                </c:pt>
                <c:pt idx="2">
                  <c:v>9862.64</c:v>
                </c:pt>
                <c:pt idx="3">
                  <c:v>323.52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4ea693-8bc7-463e-b4f7-807e43560d29}"/>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dLbl>
              <c:idx val="0"/>
              <c:layout>
                <c:manualLayout>
                  <c:x val="-0.192741958911433"/>
                  <c:y val="-0.086785466327239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20111.87,</a:t>
                    </a:r>
                    <a:r>
                      <a:rPr lang="en-US" altLang="zh-CN" sz="10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      </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 </a:t>
                    </a: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50.97</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manualLayout>
                      <c:w val="0.169977634521773"/>
                      <c:h val="0.27053922703078"/>
                    </c:manualLayout>
                  </c15:layout>
                </c:ext>
              </c:extLst>
            </c:dLbl>
            <c:dLbl>
              <c:idx val="1"/>
              <c:layout>
                <c:manualLayout>
                  <c:x val="0.223093527619055"/>
                  <c:y val="-0.17009951400138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19343.39</a:t>
                    </a:r>
                    <a:r>
                      <a:rPr altLang="en-US" sz="1000" b="0" i="0" u="none" strike="noStrike" baseline="0">
                        <a:solidFill>
                          <a:srgbClr val="333333"/>
                        </a:solidFill>
                        <a:latin typeface="宋体" panose="02010600030101010101" charset="-122"/>
                        <a:ea typeface="宋体" panose="02010600030101010101" charset="-122"/>
                        <a:cs typeface="宋体" panose="02010600030101010101" charset="-122"/>
                      </a:rPr>
                      <a:t>，</a:t>
                    </a: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49.03</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manualLayout>
                      <c:w val="0.183791606367583"/>
                      <c:h val="0.198333719046517"/>
                    </c:manualLayout>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'[图标 - 1(1)卫健局本级 汇总.xls]图3'!$A$1:$A$2</c:f>
              <c:strCache>
                <c:ptCount val="2"/>
                <c:pt idx="0">
                  <c:v>基本支出</c:v>
                </c:pt>
                <c:pt idx="1">
                  <c:v>项目支出</c:v>
                </c:pt>
              </c:strCache>
            </c:strRef>
          </c:cat>
          <c:val>
            <c:numRef>
              <c:f>'[图标 - 1(1)卫健局本级 汇总.xls]图3'!$B$1:$B$2</c:f>
              <c:numCache>
                <c:formatCode>General</c:formatCode>
                <c:ptCount val="2"/>
                <c:pt idx="0">
                  <c:v>20111.87</c:v>
                </c:pt>
                <c:pt idx="1">
                  <c:v>19343.39</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f56097d-fd3c-4868-9fc9-562d112ab21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- 1(1)卫健局本级 汇总.xls]图4'!$A$2:$A$3</c:f>
              <c:strCache>
                <c:ptCount val="2"/>
                <c:pt idx="0">
                  <c:v>2024财政拨款收、支总计</c:v>
                </c:pt>
                <c:pt idx="1">
                  <c:v>2025财政拨款收、支总计</c:v>
                </c:pt>
              </c:strCache>
            </c:strRef>
          </c:cat>
          <c:val>
            <c:numRef>
              <c:f>'[图标 - 1(1)卫健局本级 汇总.xls]图4'!$B$2:$B$3</c:f>
              <c:numCache>
                <c:formatCode>General</c:formatCode>
                <c:ptCount val="2"/>
                <c:pt idx="0">
                  <c:v>14130.29</c:v>
                </c:pt>
                <c:pt idx="1">
                  <c:v>30168.81</c:v>
                </c:pt>
              </c:numCache>
            </c:numRef>
          </c:val>
        </c:ser>
        <c:dLbls>
          <c:showLegendKey val="0"/>
          <c:showVal val="0"/>
          <c:showCatName val="0"/>
          <c:showSerName val="0"/>
          <c:showPercent val="0"/>
          <c:showBubbleSize val="0"/>
        </c:dLbls>
        <c:gapWidth val="246"/>
        <c:overlap val="-28"/>
        <c:axId val="736002361"/>
        <c:axId val="973764555"/>
      </c:barChart>
      <c:catAx>
        <c:axId val="736002361"/>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3764555"/>
        <c:crosses val="autoZero"/>
        <c:auto val="1"/>
        <c:lblAlgn val="ctr"/>
        <c:lblOffset val="100"/>
        <c:noMultiLvlLbl val="0"/>
      </c:catAx>
      <c:valAx>
        <c:axId val="973764555"/>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6002361"/>
        <c:crosses val="autoZero"/>
        <c:crossBetween val="between"/>
      </c:valAx>
      <c:spPr>
        <a:noFill/>
        <a:ln>
          <a:noFill/>
        </a:ln>
        <a:effectLst/>
      </c:spPr>
    </c:plotArea>
    <c:plotVisOnly val="1"/>
    <c:dispBlanksAs val="gap"/>
    <c:showDLblsOverMax val="0"/>
    <c:extLst>
      <c:ext uri="{0b15fc19-7d7d-44ad-8c2d-2c3a37ce22c3}">
        <chartProps xmlns="https://web.wps.cn/et/2018/main" chartId="{99c8cd81-303a-4d58-871d-8a1f8866737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- 1(1)卫健局本级 汇总.xls]图5'!$A$2:$A$3</c:f>
              <c:strCache>
                <c:ptCount val="2"/>
                <c:pt idx="0">
                  <c:v>2024年一般公共预算财政拨款支出</c:v>
                </c:pt>
                <c:pt idx="1">
                  <c:v>2025年一般公共预算财政拨款支出</c:v>
                </c:pt>
              </c:strCache>
            </c:strRef>
          </c:cat>
          <c:val>
            <c:numRef>
              <c:f>'[图标 - 1(1)卫健局本级 汇总.xls]图5'!$B$2:$B$3</c:f>
              <c:numCache>
                <c:formatCode>General</c:formatCode>
                <c:ptCount val="2"/>
                <c:pt idx="0">
                  <c:v>14130.29</c:v>
                </c:pt>
                <c:pt idx="1">
                  <c:v>15486.81</c:v>
                </c:pt>
              </c:numCache>
            </c:numRef>
          </c:val>
        </c:ser>
        <c:dLbls>
          <c:showLegendKey val="0"/>
          <c:showVal val="0"/>
          <c:showCatName val="0"/>
          <c:showSerName val="0"/>
          <c:showPercent val="0"/>
          <c:showBubbleSize val="0"/>
        </c:dLbls>
        <c:gapWidth val="246"/>
        <c:overlap val="-28"/>
        <c:axId val="10983775"/>
        <c:axId val="754622276"/>
      </c:barChart>
      <c:catAx>
        <c:axId val="1098377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622276"/>
        <c:crosses val="autoZero"/>
        <c:auto val="1"/>
        <c:lblAlgn val="ctr"/>
        <c:lblOffset val="100"/>
        <c:noMultiLvlLbl val="0"/>
      </c:catAx>
      <c:valAx>
        <c:axId val="754622276"/>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83775"/>
        <c:crosses val="autoZero"/>
        <c:crossBetween val="between"/>
      </c:valAx>
      <c:spPr>
        <a:noFill/>
        <a:ln>
          <a:noFill/>
        </a:ln>
        <a:effectLst/>
      </c:spPr>
    </c:plotArea>
    <c:plotVisOnly val="1"/>
    <c:dispBlanksAs val="gap"/>
    <c:showDLblsOverMax val="0"/>
    <c:extLst>
      <c:ext uri="{0b15fc19-7d7d-44ad-8c2d-2c3a37ce22c3}">
        <chartProps xmlns="https://web.wps.cn/et/2018/main" chartId="{b12f98e8-da7d-4177-adf8-3d22f4008e31}"/>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explosion val="0"/>
            <c:spPr>
              <a:solidFill>
                <a:schemeClr val="accent3"/>
              </a:solidFill>
              <a:ln>
                <a:solidFill>
                  <a:schemeClr val="bg1"/>
                </a:solidFill>
              </a:ln>
              <a:effectLst/>
            </c:spPr>
          </c:dPt>
          <c:dPt>
            <c:idx val="3"/>
            <c:bubble3D val="0"/>
            <c:explosion val="0"/>
          </c:dPt>
          <c:dPt>
            <c:idx val="4"/>
            <c:bubble3D val="0"/>
          </c:dPt>
          <c:dLbls>
            <c:dLbl>
              <c:idx val="0"/>
              <c:layout>
                <c:manualLayout>
                  <c:x val="0.0678612466273443"/>
                  <c:y val="0.011319321935691"/>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manualLayout>
                      <c:w val="0.141052631578947"/>
                      <c:h val="0.109027777777778"/>
                    </c:manualLayout>
                  </c15:layout>
                </c:ext>
              </c:extLst>
            </c:dLbl>
            <c:dLbl>
              <c:idx val="1"/>
              <c:layout>
                <c:manualLayout>
                  <c:x val="-0.0621155960352393"/>
                  <c:y val="0.22627309275514"/>
                </c:manualLayout>
              </c:layout>
              <c:dLblPos val="bestFit"/>
              <c:showLegendKey val="0"/>
              <c:showVal val="1"/>
              <c:showCatName val="0"/>
              <c:showSerName val="0"/>
              <c:showPercent val="1"/>
              <c:showBubbleSize val="0"/>
              <c:extLst>
                <c:ext xmlns:c15="http://schemas.microsoft.com/office/drawing/2012/chart" uri="{CE6537A1-D6FC-4f65-9D91-7224C49458BB}">
                  <c15:layout>
                    <c:manualLayout>
                      <c:w val="0.193157894736842"/>
                      <c:h val="0.119907407407407"/>
                    </c:manualLayout>
                  </c15:layout>
                </c:ext>
              </c:extLst>
            </c:dLbl>
            <c:dLbl>
              <c:idx val="2"/>
              <c:layout>
                <c:manualLayout>
                  <c:x val="-0.0375963458624087"/>
                  <c:y val="-0.15625"/>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0319643325009125"/>
                  <c:y val="0.0910239166029661"/>
                </c:manualLayout>
              </c:layout>
              <c:dLblPos val="bestFit"/>
              <c:showLegendKey val="0"/>
              <c:showVal val="1"/>
              <c:showCatName val="0"/>
              <c:showSerName val="0"/>
              <c:showPercent val="1"/>
              <c:showBubbleSize val="0"/>
              <c:extLst>
                <c:ext xmlns:c15="http://schemas.microsoft.com/office/drawing/2012/chart" uri="{CE6537A1-D6FC-4f65-9D91-7224C49458BB}">
                  <c15:layout>
                    <c:manualLayout>
                      <c:w val="0.195789473684211"/>
                      <c:h val="0.15787037037037"/>
                    </c:manualLayout>
                  </c15:layout>
                </c:ext>
              </c:extLst>
            </c:dLbl>
            <c:dLbl>
              <c:idx val="4"/>
              <c:layout>
                <c:manualLayout>
                  <c:x val="-0.0642943300299338"/>
                  <c:y val="0.000894536286070799"/>
                </c:manualLayout>
              </c:layout>
              <c:dLblPos val="bestFit"/>
              <c:showLegendKey val="0"/>
              <c:showVal val="1"/>
              <c:showCatName val="0"/>
              <c:showSerName val="0"/>
              <c:showPercent val="1"/>
              <c:showBubbleSize val="0"/>
              <c:extLst>
                <c:ext xmlns:c15="http://schemas.microsoft.com/office/drawing/2012/chart" uri="{CE6537A1-D6FC-4f65-9D91-7224C49458BB}">
                  <c15:layout>
                    <c:manualLayout>
                      <c:w val="0.235"/>
                      <c:h val="0.102083333333333"/>
                    </c:manualLayout>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'[图标 - 1(1)卫健局本级 汇总.xls]图6'!$A$2:$A$6</c:f>
              <c:strCache>
                <c:ptCount val="5"/>
                <c:pt idx="0">
                  <c:v>一般公共服务支出</c:v>
                </c:pt>
                <c:pt idx="1">
                  <c:v>社会保障和就业支出</c:v>
                </c:pt>
                <c:pt idx="2">
                  <c:v>卫生健康支出</c:v>
                </c:pt>
                <c:pt idx="3">
                  <c:v>住房保障支出</c:v>
                </c:pt>
                <c:pt idx="4">
                  <c:v>农林水支出</c:v>
                </c:pt>
              </c:strCache>
            </c:strRef>
          </c:cat>
          <c:val>
            <c:numRef>
              <c:f>'[图标 - 1(1)卫健局本级 汇总.xls]图6'!$B$2:$B$6</c:f>
              <c:numCache>
                <c:formatCode>General</c:formatCode>
                <c:ptCount val="5"/>
                <c:pt idx="0">
                  <c:v>2.5</c:v>
                </c:pt>
                <c:pt idx="1">
                  <c:v>1771.24</c:v>
                </c:pt>
                <c:pt idx="2">
                  <c:v>11961.95</c:v>
                </c:pt>
                <c:pt idx="3">
                  <c:v>973.21</c:v>
                </c:pt>
                <c:pt idx="4">
                  <c:v>777.91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763a414-1865-4aa2-9403-6f8e9d4c9f8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dPt>
          <c:dLbls>
            <c:dLbl>
              <c:idx val="0"/>
              <c:layout>
                <c:manualLayout>
                  <c:x val="0.00197291484349986"/>
                  <c:y val="-0.27124074074224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29.39</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 </a:t>
                    </a: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99.66</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manualLayout>
                      <c:w val="0.167214840152612"/>
                      <c:h val="0.14212962962963"/>
                    </c:manualLayout>
                  </c15:layout>
                </c:ext>
              </c:extLst>
            </c:dLbl>
            <c:dLbl>
              <c:idx val="1"/>
              <c:layout>
                <c:manualLayout>
                  <c:x val="0.00421306971763207"/>
                  <c:y val="0.0029870127805422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sz="1000" b="0" i="0" u="none" strike="noStrike" baseline="0">
                        <a:solidFill>
                          <a:srgbClr val="333333"/>
                        </a:solidFill>
                        <a:latin typeface="宋体" panose="02010600030101010101" charset="-122"/>
                        <a:ea typeface="宋体" panose="02010600030101010101" charset="-122"/>
                        <a:cs typeface="宋体" panose="02010600030101010101" charset="-122"/>
                      </a:rPr>
                      <a:t>0.1, </a:t>
                    </a:r>
                    <a:r>
                      <a:rPr lang="en-US" altLang="zh-CN" sz="10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0.34</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'[图标 - 1(1)卫健局本级 汇总.xls]图7'!$A$1:$A$2</c:f>
              <c:strCache>
                <c:ptCount val="2"/>
                <c:pt idx="0">
                  <c:v>公务用车运行维护费支出</c:v>
                </c:pt>
                <c:pt idx="1">
                  <c:v>公务接待费支出</c:v>
                </c:pt>
              </c:strCache>
            </c:strRef>
          </c:cat>
          <c:val>
            <c:numRef>
              <c:f>'[图标 - 1(1)卫健局本级 汇总.xls]图7'!$B$1:$B$2</c:f>
              <c:numCache>
                <c:formatCode>General</c:formatCode>
                <c:ptCount val="2"/>
                <c:pt idx="0">
                  <c:v>29.39</c:v>
                </c:pt>
                <c:pt idx="1">
                  <c:v>0.1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66478094987502"/>
          <c:y val="0.356481481481481"/>
          <c:w val="0.2175"/>
          <c:h val="0.227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4a41bf2-5ed0-48b5-b421-f37f7373f9ae}"/>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EADB187284D47BF89C0DD32FD87C5E9"/>
        <w:style w:val=""/>
        <w:category>
          <w:name w:val="常规"/>
          <w:gallery w:val="placeholder"/>
        </w:category>
        <w:types>
          <w:type w:val="bbPlcHdr"/>
        </w:types>
        <w:behaviors>
          <w:behavior w:val="content"/>
        </w:behaviors>
        <w:description w:val=""/>
        <w:guid w:val="{CD38DE15-5A7B-4B5B-881D-181E9F8AC55B}"/>
      </w:docPartPr>
      <w:docPartBody>
        <w:p w14:paraId="3892250F">
          <w:r>
            <w:rPr>
              <w:rStyle w:val="3"/>
              <w:rFonts w:hint="eastAsia"/>
            </w:rPr>
            <w:t>[在此处键入]</w:t>
          </w:r>
        </w:p>
      </w:docPartBody>
    </w:docPart>
    <w:docPart>
      <w:docPartPr>
        <w:name w:val="{36c83dca-134d-464f-9612-a8f20880c55f}"/>
        <w:style w:val=""/>
        <w:category>
          <w:name w:val="常规"/>
          <w:gallery w:val="placeholder"/>
        </w:category>
        <w:types>
          <w:type w:val="bbPlcHdr"/>
        </w:types>
        <w:behaviors>
          <w:behavior w:val="content"/>
        </w:behaviors>
        <w:description w:val=""/>
        <w:guid w:val="{36c83dca-134d-464f-9612-a8f20880c55f}"/>
      </w:docPartPr>
      <w:docPartBody>
        <w:p w14:paraId="6DF43DBD">
          <w:r>
            <w:rPr>
              <w:rStyle w:val="3"/>
              <w:rFonts w:hint="eastAsia"/>
            </w:rPr>
            <w:t>[在此处键入]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Default Paragraph Font"/>
    <w:lsdException w:qFormat="1" w:unhideWhenUsed="0" w:uiPriority="0" w:semiHidden="0" w:name="Placeholder Text"/>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qFormat/>
    <w:uiPriority w:val="0"/>
  </w:style>
  <w:style w:type="character" w:styleId="3">
    <w:name w:val="Placeholder Text"/>
    <w:basedOn w:val="2"/>
    <w:qFormat/>
    <w:uiPriority w:val="0"/>
    <w:rPr>
      <w:color w:val="808080"/>
    </w:rPr>
  </w:style>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42</Pages>
  <Words>10067</Words>
  <Characters>11551</Characters>
  <Lines>2781</Lines>
  <Paragraphs>1270</Paragraphs>
  <TotalTime>39</TotalTime>
  <ScaleCrop>false</ScaleCrop>
  <LinksUpToDate>false</LinksUpToDate>
  <CharactersWithSpaces>11615</CharactersWithSpaces>
  <Application>WPS Office_12.1.2.24722_F1E327BC-269C-435d-A152-05C5408002CA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kylin</cp:lastModifiedBy>
  <cp:lastPrinted>2025-08-07T17:34:00Z</cp:lastPrinted>
  <dcterms:modified xsi:type="dcterms:W3CDTF">2026-09-02T09:33:46Z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D9D85AC67FE86D851DA0966AE3AE32BB_43</vt:lpwstr>
  </property>
  <property fmtid="{D5CDD505-2E9C-101B-9397-08002B2CF9AE}" pid="4" name="KSOTemplateDocerSaveRecord">
    <vt:lpwstr>eyJoZGlkIjoiMWJjNDRhOWM2N2RmZTgwZTEyZWM5NjY2NDE4NWU4YmQiLCJ1c2VySWQiOiI1NTQ5NjE3NjUifQ==</vt:lpwstr>
  </property>
</Properties>
</file>