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9"/>
        <w:rPr>
          <w:rFonts w:ascii="方正小标宋简体" w:hAnsi="宋体" w:eastAsia="方正小标宋简体"/>
          <w:szCs w:val="21"/>
        </w:rPr>
      </w:pPr>
      <w:bookmarkStart w:id="0" w:name="_Toc15306267"/>
    </w:p>
    <w:p>
      <w:pPr>
        <w:pStyle w:val="7"/>
        <w:spacing w:before="93"/>
      </w:pPr>
    </w:p>
    <w:p>
      <w:pPr>
        <w:spacing w:line="600" w:lineRule="exact"/>
        <w:jc w:val="center"/>
        <w:outlineLvl w:val="9"/>
        <w:rPr>
          <w:rFonts w:ascii="方正小标宋简体" w:hAnsi="宋体" w:eastAsia="方正小标宋简体"/>
          <w:sz w:val="72"/>
          <w:szCs w:val="72"/>
        </w:rPr>
      </w:pPr>
    </w:p>
    <w:p>
      <w:pPr>
        <w:spacing w:line="600" w:lineRule="exact"/>
        <w:jc w:val="center"/>
        <w:outlineLvl w:val="9"/>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44"/>
          <w:szCs w:val="44"/>
        </w:rPr>
      </w:pPr>
      <w:bookmarkStart w:id="1" w:name="_Toc24936"/>
      <w:bookmarkStart w:id="2" w:name="_Toc15377425"/>
      <w:bookmarkStart w:id="3" w:name="_Toc15396597"/>
      <w:bookmarkStart w:id="4" w:name="_Toc15377193"/>
      <w:bookmarkStart w:id="5" w:name="_Toc15396475"/>
      <w:bookmarkStart w:id="6" w:name="_Toc15378441"/>
      <w:r>
        <w:rPr>
          <w:rFonts w:hint="eastAsia" w:ascii="方正小标宋简体" w:hAnsi="方正小标宋简体" w:eastAsia="方正小标宋简体" w:cs="方正小标宋简体"/>
          <w:sz w:val="44"/>
          <w:szCs w:val="44"/>
          <w:lang w:eastAsia="zh-CN"/>
        </w:rPr>
        <w:t>2025</w:t>
      </w:r>
      <w:r>
        <w:rPr>
          <w:rFonts w:hint="eastAsia" w:ascii="方正小标宋简体" w:hAnsi="方正小标宋简体" w:eastAsia="方正小标宋简体" w:cs="方正小标宋简体"/>
          <w:sz w:val="44"/>
          <w:szCs w:val="44"/>
        </w:rPr>
        <w:t>年度</w:t>
      </w:r>
      <w:bookmarkEnd w:id="1"/>
      <w:bookmarkEnd w:id="2"/>
      <w:bookmarkEnd w:id="3"/>
      <w:bookmarkEnd w:id="4"/>
      <w:bookmarkEnd w:id="5"/>
      <w:bookmarkEnd w:id="6"/>
    </w:p>
    <w:p>
      <w:pPr>
        <w:adjustRightInd w:val="0"/>
        <w:snapToGrid w:val="0"/>
        <w:spacing w:line="360" w:lineRule="auto"/>
        <w:jc w:val="center"/>
        <w:outlineLvl w:val="0"/>
        <w:rPr>
          <w:rFonts w:hint="eastAsia" w:ascii="方正小标宋简体" w:hAnsi="方正小标宋简体" w:eastAsia="方正小标宋简体" w:cs="方正小标宋简体"/>
          <w:sz w:val="44"/>
          <w:szCs w:val="44"/>
        </w:rPr>
      </w:pPr>
      <w:bookmarkStart w:id="7" w:name="_Toc15396476"/>
      <w:bookmarkStart w:id="8" w:name="_Toc15396598"/>
      <w:bookmarkStart w:id="9" w:name="_Toc8950"/>
      <w:bookmarkStart w:id="10" w:name="_Toc15377426"/>
      <w:bookmarkStart w:id="11" w:name="_Toc15377194"/>
      <w:bookmarkStart w:id="12" w:name="_Toc15378442"/>
      <w:r>
        <w:rPr>
          <w:rFonts w:hint="eastAsia" w:ascii="方正小标宋简体" w:hAnsi="方正小标宋简体" w:eastAsia="方正小标宋简体" w:cs="方正小标宋简体"/>
          <w:sz w:val="44"/>
          <w:szCs w:val="44"/>
        </w:rPr>
        <w:t>四川省</w:t>
      </w:r>
      <w:bookmarkEnd w:id="0"/>
      <w:bookmarkStart w:id="13" w:name="_Toc15306268"/>
      <w:r>
        <w:rPr>
          <w:rFonts w:hint="eastAsia" w:ascii="方正小标宋简体" w:hAnsi="方正小标宋简体" w:eastAsia="方正小标宋简体" w:cs="方正小标宋简体"/>
          <w:sz w:val="44"/>
          <w:szCs w:val="44"/>
          <w:lang w:eastAsia="zh-CN"/>
        </w:rPr>
        <w:t>阿坝州茂县沟口镇卫生院</w:t>
      </w:r>
      <w:r>
        <w:rPr>
          <w:rFonts w:hint="eastAsia" w:ascii="方正小标宋简体" w:hAnsi="方正小标宋简体" w:eastAsia="方正小标宋简体" w:cs="方正小标宋简体"/>
          <w:sz w:val="44"/>
          <w:szCs w:val="44"/>
        </w:rPr>
        <w:t>单位决算</w:t>
      </w:r>
      <w:bookmarkEnd w:id="7"/>
      <w:bookmarkEnd w:id="8"/>
      <w:bookmarkEnd w:id="9"/>
      <w:bookmarkEnd w:id="10"/>
      <w:bookmarkEnd w:id="11"/>
      <w:bookmarkEnd w:id="12"/>
      <w:bookmarkEnd w:id="13"/>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pPr>
        <w:adjustRightInd w:val="0"/>
        <w:snapToGrid w:val="0"/>
        <w:spacing w:line="360" w:lineRule="auto"/>
        <w:jc w:val="both"/>
        <w:outlineLvl w:val="0"/>
        <w:rPr>
          <w:rFonts w:hint="eastAsia" w:ascii="方正小标宋简体" w:hAnsi="方正小标宋简体" w:eastAsia="方正小标宋简体" w:cs="方正小标宋简体"/>
          <w:sz w:val="72"/>
          <w:szCs w:val="72"/>
        </w:rPr>
      </w:pPr>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pPr>
        <w:autoSpaceDE w:val="0"/>
        <w:autoSpaceDN w:val="0"/>
        <w:adjustRightInd w:val="0"/>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pPr>
        <w:autoSpaceDE w:val="0"/>
        <w:autoSpaceDN w:val="0"/>
        <w:adjustRightInd w:val="0"/>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主要负责人审签情况：已审签，同意对外公开</w:t>
      </w:r>
    </w:p>
    <w:p>
      <w:pPr>
        <w:widowControl/>
        <w:jc w:val="center"/>
        <w:rPr>
          <w:rFonts w:ascii="黑体" w:hAnsi="黑体" w:eastAsia="黑体" w:cstheme="minorBidi"/>
          <w:sz w:val="28"/>
          <w:szCs w:val="28"/>
        </w:rPr>
      </w:pPr>
      <w:r>
        <w:rPr>
          <w:rFonts w:ascii="方正小标宋简体" w:hAnsi="宋体" w:eastAsia="方正小标宋简体"/>
          <w:sz w:val="36"/>
          <w:szCs w:val="36"/>
        </w:rPr>
        <w:br w:type="page"/>
      </w:r>
      <w:r>
        <w:rPr>
          <w:rFonts w:hint="eastAsia" w:ascii="黑体" w:hAnsi="黑体" w:eastAsia="黑体"/>
          <w:sz w:val="48"/>
          <w:szCs w:val="48"/>
        </w:rPr>
        <w:t>目录</w:t>
      </w:r>
    </w:p>
    <w:p>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sdt>
      <w:sdtPr>
        <w:rPr>
          <w:rFonts w:hint="eastAsia" w:ascii="仿宋_GB2312" w:hAnsi="仿宋_GB2312" w:eastAsia="仿宋_GB2312" w:cs="仿宋_GB2312"/>
          <w:kern w:val="2"/>
          <w:sz w:val="32"/>
          <w:szCs w:val="32"/>
          <w:lang w:val="en-US" w:eastAsia="zh-CN" w:bidi="ar-SA"/>
        </w:rPr>
        <w:id w:val="147465730"/>
        <w15:color w:val="DBDBDB"/>
        <w:docPartObj>
          <w:docPartGallery w:val="Table of Contents"/>
          <w:docPartUnique/>
        </w:docPartObj>
      </w:sdtPr>
      <w:sdtEndPr>
        <w:rPr>
          <w:rFonts w:hint="eastAsia" w:ascii="宋体" w:hAnsi="宋体" w:eastAsia="宋体" w:cs="Times New Roman"/>
          <w:b w:val="0"/>
          <w:bCs w:val="0"/>
          <w:kern w:val="2"/>
          <w:sz w:val="24"/>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仿宋_GB2312" w:hAnsi="仿宋_GB2312" w:eastAsia="仿宋_GB2312" w:cs="仿宋_GB2312"/>
              <w:sz w:val="32"/>
              <w:szCs w:val="32"/>
            </w:rPr>
          </w:pPr>
          <w:bookmarkStart w:id="14" w:name="_Toc15377196"/>
          <w:bookmarkStart w:id="15" w:name="_Toc15396599"/>
        </w:p>
        <w:p>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TOC \o "1-2" \h \u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_Toc10611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第一部分 单位概况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_Toc10611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_Toc11347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一、主要职责</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_Toc9020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二、机构设置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_Toc9020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_Toc23894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 xml:space="preserve">第二部分 </w:t>
          </w:r>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年度单位决算情况说明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_Toc23894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_Toc14903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_Toc14903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_Toc2812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二、收入决算情况说明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_Toc2812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_Toc5421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三、支出决算情况说明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_Toc5421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_Toc26007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_Toc26007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_Toc29861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五、一般公共预算财政拨款支出决算情况说明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_Toc29861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_Toc8240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六、一般公共预算财政拨款基本支出决算情况说明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_Toc8240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_Toc29146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七、财政拨款“三公”经费支出决算情况说明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_Toc29146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_Toc15146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八、政府性基金预算支出决算情况说明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_Toc15146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_Toc10941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九、国有资本经营预算支出决算情况说明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_Toc10941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_Toc9771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十、其他重要事项的情况说明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_Toc9771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_Toc3935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第三部分 名词解释</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_Toc3935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_Toc23568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第四部分 附件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_Toc23568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_Toc17226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第五部分 附表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_Toc17226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_Toc3724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_Toc8236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二、收入决算表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三、支出决算表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_Toc23576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_Toc11880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_Toc14260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_Toc5515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七、一般公共预算财政拨款支出决算明细表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_Toc24449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八、一般公共预算财政拨款基本支出决算表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_Toc9502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九、一般公共预算财政拨款项目支出决算表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_Toc16377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十、政府性基金预算财政拨款收入支出决算表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_Toc27078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十一、国有资本经营预算财政拨款收入支出决算表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_Toc1267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十二、国有资本经营预算财政拨款支出决算表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_Toc4766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十三、财政拨款“三公”经费支出决算表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pPr>
            <w:rPr>
              <w:b w:val="0"/>
              <w:bCs w:val="0"/>
              <w:sz w:val="24"/>
              <w:szCs w:val="24"/>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仿宋_GB2312" w:hAnsi="仿宋_GB2312" w:eastAsia="仿宋_GB2312" w:cs="仿宋_GB2312"/>
              <w:b w:val="0"/>
              <w:bCs w:val="0"/>
              <w:sz w:val="32"/>
              <w:szCs w:val="32"/>
            </w:rPr>
            <w:fldChar w:fldCharType="end"/>
          </w:r>
        </w:p>
      </w:sdtContent>
    </w:sdt>
    <w:p>
      <w:pPr>
        <w:pStyle w:val="3"/>
        <w:pageBreakBefore w:val="0"/>
        <w:kinsoku/>
        <w:wordWrap/>
        <w:overflowPunct/>
        <w:topLinePunct w:val="0"/>
        <w:bidi w:val="0"/>
        <w:spacing w:before="0" w:line="576" w:lineRule="exact"/>
        <w:jc w:val="center"/>
        <w:textAlignment w:val="auto"/>
        <w:rPr>
          <w:rFonts w:hint="eastAsia" w:ascii="Times New Roman" w:hAnsi="Times New Roman" w:eastAsia="方正小标宋简体" w:cs="Times New Roman"/>
          <w:b w:val="0"/>
          <w:color w:val="auto"/>
          <w:highlight w:val="none"/>
        </w:rPr>
      </w:pPr>
      <w:bookmarkStart w:id="16" w:name="_Toc10611"/>
      <w:r>
        <w:rPr>
          <w:rFonts w:hint="eastAsia" w:ascii="Times New Roman" w:hAnsi="Times New Roman" w:eastAsia="方正小标宋简体" w:cs="Times New Roman"/>
          <w:b w:val="0"/>
          <w:color w:val="auto"/>
          <w:highlight w:val="none"/>
        </w:rPr>
        <w:t>第一部分 单位概况</w:t>
      </w:r>
      <w:bookmarkEnd w:id="14"/>
      <w:bookmarkEnd w:id="15"/>
      <w:bookmarkEnd w:id="16"/>
    </w:p>
    <w:p>
      <w:pPr>
        <w:spacing w:line="600" w:lineRule="exact"/>
        <w:ind w:firstLine="640" w:firstLineChars="200"/>
        <w:outlineLvl w:val="1"/>
        <w:rPr>
          <w:rFonts w:hint="eastAsia" w:ascii="Times New Roman" w:hAnsi="Times New Roman" w:eastAsia="黑体" w:cs="Times New Roman"/>
          <w:b w:val="0"/>
          <w:bCs/>
          <w:color w:val="auto"/>
          <w:kern w:val="2"/>
          <w:sz w:val="32"/>
          <w:szCs w:val="32"/>
          <w:highlight w:val="none"/>
          <w:lang w:val="en-US" w:eastAsia="zh-CN" w:bidi="ar-SA"/>
        </w:rPr>
      </w:pPr>
      <w:bookmarkStart w:id="17" w:name="_Toc22981"/>
      <w:bookmarkStart w:id="18" w:name="_Toc9020"/>
      <w:bookmarkStart w:id="19" w:name="_Toc15377197"/>
      <w:bookmarkStart w:id="20" w:name="_Toc15396600"/>
      <w:r>
        <w:rPr>
          <w:rFonts w:hint="eastAsia" w:ascii="Times New Roman" w:hAnsi="Times New Roman" w:eastAsia="黑体" w:cs="Times New Roman"/>
          <w:b w:val="0"/>
          <w:bCs/>
          <w:color w:val="auto"/>
          <w:kern w:val="2"/>
          <w:sz w:val="32"/>
          <w:szCs w:val="32"/>
          <w:highlight w:val="none"/>
          <w:lang w:val="en-US" w:eastAsia="zh-CN" w:bidi="ar-SA"/>
        </w:rPr>
        <w:t>一、主要职责</w:t>
      </w:r>
      <w:bookmarkEnd w:id="17"/>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1.贯彻落实国家药物政策和国家基本药物制度。</w:t>
      </w:r>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2.负责职责范围内的职业卫生、放射卫生、环境卫生、学校卫生、公共场所卫生、饮用水卫生等公共卫生的监督管理，做好基本公共卫生服务工作。</w:t>
      </w:r>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3.负责辖区内计划生育管理和服务工作。</w:t>
      </w:r>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4.负责辖区内卫生健康工作。</w:t>
      </w:r>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5.依法依规履行卫生健康行业安全生产监管职责。</w:t>
      </w:r>
    </w:p>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6.完成茂县卫健局交办的其他任务。</w:t>
      </w:r>
    </w:p>
    <w:p>
      <w:pPr>
        <w:spacing w:line="600" w:lineRule="exact"/>
        <w:ind w:firstLine="640" w:firstLineChars="200"/>
        <w:outlineLvl w:val="1"/>
        <w:rPr>
          <w:rFonts w:hint="eastAsia" w:ascii="Times New Roman" w:hAnsi="Times New Roman" w:eastAsia="黑体" w:cs="Times New Roman"/>
          <w:b w:val="0"/>
          <w:bCs/>
          <w:color w:val="auto"/>
          <w:kern w:val="2"/>
          <w:sz w:val="32"/>
          <w:szCs w:val="32"/>
          <w:highlight w:val="none"/>
          <w:lang w:val="en-US" w:eastAsia="zh-CN" w:bidi="ar-SA"/>
        </w:rPr>
      </w:pPr>
      <w:r>
        <w:rPr>
          <w:rFonts w:hint="eastAsia" w:ascii="Times New Roman" w:hAnsi="Times New Roman" w:eastAsia="黑体" w:cs="Times New Roman"/>
          <w:b w:val="0"/>
          <w:bCs/>
          <w:color w:val="auto"/>
          <w:kern w:val="2"/>
          <w:sz w:val="32"/>
          <w:szCs w:val="32"/>
          <w:highlight w:val="none"/>
          <w:lang w:val="en-US" w:eastAsia="zh-CN" w:bidi="ar-SA"/>
        </w:rPr>
        <w:t>二、机构设置</w:t>
      </w:r>
      <w:bookmarkEnd w:id="18"/>
    </w:p>
    <w:bookmarkEnd w:id="19"/>
    <w:bookmarkEnd w:id="20"/>
    <w:p>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 w:eastAsia="仿宋" w:cs="Times New Roman"/>
          <w:color w:val="000000"/>
          <w:kern w:val="2"/>
          <w:sz w:val="32"/>
          <w:szCs w:val="32"/>
          <w:lang w:val="en-US" w:eastAsia="zh-CN" w:bidi="ar-SA"/>
        </w:rPr>
      </w:pPr>
      <w:r>
        <w:rPr>
          <w:rFonts w:hint="eastAsia" w:ascii="仿宋_GB2312" w:hAnsi="仿宋_GB2312" w:eastAsia="仿宋_GB2312" w:cs="仿宋_GB2312"/>
          <w:color w:val="000000"/>
          <w:sz w:val="32"/>
          <w:szCs w:val="32"/>
          <w:lang w:val="en-US" w:eastAsia="zh-CN"/>
        </w:rPr>
        <w:t>茂县沟口镇卫生院为县卫健局的二级预算单位，编制人数12人，实有人数9人。</w:t>
      </w:r>
    </w:p>
    <w:p>
      <w:pPr>
        <w:pStyle w:val="6"/>
        <w:ind w:left="0" w:leftChars="0" w:firstLine="0" w:firstLineChars="0"/>
        <w:rPr>
          <w:rFonts w:hint="eastAsia" w:ascii="仿宋" w:eastAsia="仿宋" w:cs="Times New Roman"/>
          <w:color w:val="000000"/>
          <w:kern w:val="2"/>
          <w:sz w:val="32"/>
          <w:szCs w:val="32"/>
          <w:lang w:val="en-US" w:eastAsia="zh-CN" w:bidi="ar-SA"/>
        </w:rPr>
      </w:pPr>
    </w:p>
    <w:p>
      <w:pPr>
        <w:pStyle w:val="6"/>
        <w:ind w:left="0" w:leftChars="0" w:firstLine="640" w:firstLineChars="200"/>
        <w:rPr>
          <w:rFonts w:hint="eastAsia" w:ascii="仿宋" w:eastAsia="仿宋" w:cs="Times New Roman"/>
          <w:color w:val="000000"/>
          <w:kern w:val="2"/>
          <w:sz w:val="32"/>
          <w:szCs w:val="32"/>
          <w:lang w:val="en-US" w:eastAsia="zh-CN" w:bidi="ar-SA"/>
        </w:rPr>
      </w:pPr>
    </w:p>
    <w:p>
      <w:pPr>
        <w:pStyle w:val="6"/>
        <w:ind w:left="0" w:leftChars="0" w:firstLine="640" w:firstLineChars="200"/>
        <w:rPr>
          <w:rFonts w:hint="eastAsia" w:ascii="仿宋" w:eastAsia="仿宋" w:cs="Times New Roman"/>
          <w:color w:val="000000"/>
          <w:kern w:val="2"/>
          <w:sz w:val="32"/>
          <w:szCs w:val="32"/>
          <w:lang w:val="en-US" w:eastAsia="zh-CN" w:bidi="ar-SA"/>
        </w:rPr>
      </w:pPr>
    </w:p>
    <w:p>
      <w:pPr>
        <w:pStyle w:val="6"/>
        <w:ind w:left="0" w:leftChars="0" w:firstLine="0" w:firstLineChars="0"/>
        <w:rPr>
          <w:rFonts w:hint="eastAsia" w:ascii="仿宋" w:eastAsia="仿宋" w:cs="Times New Roman"/>
          <w:color w:val="000000"/>
          <w:kern w:val="2"/>
          <w:sz w:val="32"/>
          <w:szCs w:val="32"/>
          <w:lang w:val="en-US" w:eastAsia="zh-CN" w:bidi="ar-SA"/>
        </w:rPr>
      </w:pPr>
    </w:p>
    <w:p>
      <w:pPr>
        <w:pStyle w:val="6"/>
        <w:ind w:left="0" w:leftChars="0" w:firstLine="0" w:firstLineChars="0"/>
        <w:rPr>
          <w:rFonts w:hint="eastAsia" w:ascii="仿宋" w:eastAsia="仿宋" w:cs="Times New Roman"/>
          <w:color w:val="000000"/>
          <w:kern w:val="2"/>
          <w:sz w:val="32"/>
          <w:szCs w:val="32"/>
          <w:lang w:val="en-US" w:eastAsia="zh-CN" w:bidi="ar-SA"/>
        </w:rPr>
      </w:pPr>
    </w:p>
    <w:p>
      <w:pPr>
        <w:pStyle w:val="6"/>
        <w:ind w:left="0" w:leftChars="0" w:firstLine="640" w:firstLineChars="200"/>
        <w:rPr>
          <w:rFonts w:hint="eastAsia" w:ascii="仿宋" w:eastAsia="仿宋" w:cs="Times New Roman"/>
          <w:color w:val="000000"/>
          <w:kern w:val="2"/>
          <w:sz w:val="32"/>
          <w:szCs w:val="32"/>
          <w:lang w:val="en-US" w:eastAsia="zh-CN" w:bidi="ar-SA"/>
        </w:rPr>
      </w:pPr>
    </w:p>
    <w:p>
      <w:pPr>
        <w:pStyle w:val="6"/>
        <w:ind w:left="0" w:leftChars="0" w:firstLine="640" w:firstLineChars="200"/>
        <w:rPr>
          <w:rFonts w:hint="eastAsia" w:ascii="仿宋" w:eastAsia="仿宋" w:cs="Times New Roman"/>
          <w:color w:val="000000"/>
          <w:kern w:val="2"/>
          <w:sz w:val="32"/>
          <w:szCs w:val="32"/>
          <w:lang w:val="en-US" w:eastAsia="zh-CN" w:bidi="ar-SA"/>
        </w:rPr>
      </w:pPr>
    </w:p>
    <w:p>
      <w:pPr>
        <w:pStyle w:val="6"/>
        <w:ind w:left="0" w:leftChars="0" w:firstLine="640" w:firstLineChars="200"/>
        <w:rPr>
          <w:rFonts w:hint="eastAsia" w:ascii="仿宋" w:eastAsia="仿宋" w:cs="Times New Roman"/>
          <w:color w:val="000000"/>
          <w:kern w:val="2"/>
          <w:sz w:val="32"/>
          <w:szCs w:val="32"/>
          <w:lang w:val="en-US" w:eastAsia="zh-CN" w:bidi="ar-SA"/>
        </w:rPr>
      </w:pPr>
    </w:p>
    <w:p>
      <w:pPr>
        <w:pStyle w:val="3"/>
        <w:keepNext/>
        <w:keepLines/>
        <w:pageBreakBefore w:val="0"/>
        <w:widowControl w:val="0"/>
        <w:kinsoku/>
        <w:wordWrap/>
        <w:overflowPunct/>
        <w:topLinePunct w:val="0"/>
        <w:autoSpaceDE/>
        <w:autoSpaceDN/>
        <w:bidi w:val="0"/>
        <w:adjustRightInd/>
        <w:snapToGrid/>
        <w:spacing w:before="0" w:after="0" w:line="240" w:lineRule="atLeast"/>
        <w:ind w:right="442"/>
        <w:jc w:val="center"/>
        <w:textAlignment w:val="auto"/>
      </w:pPr>
      <w:bookmarkStart w:id="21" w:name="_Toc15377204"/>
      <w:bookmarkStart w:id="22" w:name="_Toc23894"/>
      <w:bookmarkStart w:id="23" w:name="_Toc15396602"/>
      <w:r>
        <w:rPr>
          <w:rFonts w:hint="eastAsia" w:ascii="黑体" w:hAnsi="黑体" w:eastAsia="黑体"/>
          <w:b w:val="0"/>
          <w:lang w:val="en-US" w:eastAsia="zh-CN"/>
        </w:rPr>
        <w:t xml:space="preserve"> </w:t>
      </w:r>
      <w:r>
        <w:rPr>
          <w:rFonts w:hint="eastAsia" w:ascii="Times New Roman" w:hAnsi="Times New Roman" w:eastAsia="方正小标宋简体" w:cs="Times New Roman"/>
          <w:b w:val="0"/>
          <w:color w:val="auto"/>
          <w:highlight w:val="none"/>
          <w:lang w:val="en-US" w:eastAsia="zh-CN"/>
        </w:rPr>
        <w:t xml:space="preserve"> </w:t>
      </w:r>
      <w:r>
        <w:rPr>
          <w:rFonts w:hint="eastAsia" w:ascii="方正小标宋简体" w:hAnsi="方正小标宋简体" w:eastAsia="方正小标宋简体" w:cs="方正小标宋简体"/>
          <w:b w:val="0"/>
          <w:color w:val="auto"/>
          <w:highlight w:val="none"/>
          <w:lang w:val="en-US" w:eastAsia="zh-CN"/>
        </w:rPr>
        <w:t>第二部分 2025年度单位决算情况说明</w:t>
      </w:r>
      <w:bookmarkEnd w:id="21"/>
      <w:bookmarkEnd w:id="22"/>
      <w:bookmarkEnd w:id="23"/>
    </w:p>
    <w:p>
      <w:pPr>
        <w:pStyle w:val="28"/>
        <w:pageBreakBefore w:val="0"/>
        <w:widowControl w:val="0"/>
        <w:numPr>
          <w:ilvl w:val="0"/>
          <w:numId w:val="1"/>
        </w:numPr>
        <w:kinsoku/>
        <w:wordWrap/>
        <w:overflowPunct/>
        <w:topLinePunct w:val="0"/>
        <w:autoSpaceDE/>
        <w:autoSpaceDN/>
        <w:bidi w:val="0"/>
        <w:adjustRightInd/>
        <w:snapToGrid/>
        <w:spacing w:line="240" w:lineRule="atLeast"/>
        <w:ind w:left="1350" w:leftChars="0" w:firstLineChars="0"/>
        <w:textAlignment w:val="auto"/>
        <w:outlineLvl w:val="1"/>
        <w:rPr>
          <w:rStyle w:val="30"/>
          <w:rFonts w:ascii="黑体" w:hAnsi="黑体" w:eastAsia="黑体"/>
          <w:b w:val="0"/>
        </w:rPr>
      </w:pPr>
      <w:bookmarkStart w:id="24" w:name="_Toc15396603"/>
      <w:bookmarkStart w:id="25" w:name="_Toc14903"/>
      <w:bookmarkStart w:id="26" w:name="_Toc15377205"/>
      <w:r>
        <w:rPr>
          <w:rFonts w:hint="eastAsia" w:ascii="黑体" w:hAnsi="黑体" w:eastAsia="黑体"/>
          <w:sz w:val="32"/>
          <w:szCs w:val="32"/>
        </w:rPr>
        <w:t>收</w:t>
      </w:r>
      <w:r>
        <w:rPr>
          <w:rStyle w:val="30"/>
          <w:rFonts w:hint="eastAsia" w:ascii="黑体" w:hAnsi="黑体" w:eastAsia="黑体"/>
          <w:b w:val="0"/>
        </w:rPr>
        <w:t>入支出决算总体情况说明</w:t>
      </w:r>
      <w:bookmarkEnd w:id="24"/>
      <w:bookmarkEnd w:id="25"/>
      <w:bookmarkEnd w:id="26"/>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391795</wp:posOffset>
            </wp:positionH>
            <wp:positionV relativeFrom="paragraph">
              <wp:posOffset>1252220</wp:posOffset>
            </wp:positionV>
            <wp:extent cx="4608830" cy="2626360"/>
            <wp:effectExtent l="4445" t="5080" r="15875" b="1651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年度收、支总计均为</w:t>
      </w:r>
      <w:r>
        <w:rPr>
          <w:rFonts w:hint="eastAsia" w:ascii="仿宋_GB2312" w:hAnsi="仿宋_GB2312" w:eastAsia="仿宋_GB2312" w:cs="仿宋_GB2312"/>
          <w:b w:val="0"/>
          <w:bCs/>
          <w:sz w:val="32"/>
          <w:szCs w:val="32"/>
          <w:lang w:eastAsia="zh-CN"/>
        </w:rPr>
        <w:t>286.28</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度相比，收、支总计各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7.16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：在编人员减少，人员经费收入、支出减少</w:t>
      </w:r>
      <w:r>
        <w:rPr>
          <w:rFonts w:hint="eastAsia" w:ascii="仿宋_GB2312" w:hAnsi="仿宋_GB2312" w:eastAsia="仿宋_GB2312" w:cs="仿宋_GB2312"/>
          <w:sz w:val="32"/>
          <w:szCs w:val="32"/>
        </w:rPr>
        <w:t>。</w:t>
      </w:r>
    </w:p>
    <w:p>
      <w:pPr>
        <w:pStyle w:val="28"/>
        <w:numPr>
          <w:ilvl w:val="0"/>
          <w:numId w:val="1"/>
        </w:numPr>
        <w:spacing w:line="600" w:lineRule="exact"/>
        <w:ind w:left="1350" w:leftChars="0" w:firstLineChars="0"/>
        <w:outlineLvl w:val="1"/>
        <w:rPr>
          <w:rStyle w:val="30"/>
          <w:rFonts w:ascii="黑体" w:hAnsi="黑体" w:eastAsia="黑体"/>
          <w:b w:val="0"/>
        </w:rPr>
      </w:pPr>
      <w:bookmarkStart w:id="27" w:name="_Toc15396604"/>
      <w:bookmarkStart w:id="28" w:name="_Toc2812"/>
      <w:bookmarkStart w:id="29" w:name="_Toc15377206"/>
      <w:r>
        <w:rPr>
          <w:rFonts w:hint="eastAsia" w:ascii="黑体" w:hAnsi="黑体" w:eastAsia="黑体"/>
          <w:sz w:val="32"/>
          <w:szCs w:val="32"/>
        </w:rPr>
        <w:t>收</w:t>
      </w:r>
      <w:r>
        <w:rPr>
          <w:rStyle w:val="30"/>
          <w:rFonts w:hint="eastAsia" w:ascii="黑体" w:hAnsi="黑体" w:eastAsia="黑体"/>
          <w:b w:val="0"/>
        </w:rPr>
        <w:t>入决算情况说明</w:t>
      </w:r>
      <w:bookmarkEnd w:id="27"/>
      <w:bookmarkEnd w:id="28"/>
      <w:bookmarkEnd w:id="29"/>
    </w:p>
    <w:p>
      <w:pPr>
        <w:spacing w:line="600" w:lineRule="exact"/>
        <w:ind w:firstLine="640" w:firstLineChars="200"/>
        <w:outlineLvl w:val="1"/>
        <w:rPr>
          <w:rFonts w:ascii="仿宋_GB2312" w:eastAsia="仿宋_GB2312"/>
          <w:sz w:val="32"/>
          <w:szCs w:val="32"/>
        </w:rPr>
      </w:pPr>
      <w:bookmarkStart w:id="30" w:name="_Toc1957"/>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年度本年收入合计</w:t>
      </w:r>
      <w:r>
        <w:rPr>
          <w:rFonts w:hint="eastAsia" w:ascii="仿宋_GB2312" w:hAnsi="仿宋_GB2312" w:eastAsia="仿宋_GB2312" w:cs="仿宋_GB2312"/>
          <w:b w:val="0"/>
          <w:bCs w:val="0"/>
          <w:sz w:val="32"/>
          <w:szCs w:val="32"/>
          <w:lang w:eastAsia="zh-CN"/>
        </w:rPr>
        <w:t>286.28</w:t>
      </w:r>
      <w:r>
        <w:rPr>
          <w:rFonts w:hint="eastAsia" w:ascii="仿宋_GB2312" w:hAnsi="仿宋_GB2312" w:eastAsia="仿宋_GB2312" w:cs="仿宋_GB2312"/>
          <w:b w:val="0"/>
          <w:bCs w:val="0"/>
          <w:sz w:val="32"/>
          <w:szCs w:val="32"/>
        </w:rPr>
        <w:t>万元，其中：一般公共预算财政拨款收入</w:t>
      </w:r>
      <w:r>
        <w:rPr>
          <w:rFonts w:hint="eastAsia" w:ascii="仿宋_GB2312" w:hAnsi="仿宋_GB2312" w:eastAsia="仿宋_GB2312" w:cs="仿宋_GB2312"/>
          <w:b w:val="0"/>
          <w:bCs w:val="0"/>
          <w:sz w:val="32"/>
          <w:szCs w:val="32"/>
          <w:lang w:eastAsia="zh-CN"/>
        </w:rPr>
        <w:t>262.97</w:t>
      </w:r>
      <w:r>
        <w:rPr>
          <w:rFonts w:hint="eastAsia" w:ascii="仿宋_GB2312" w:hAnsi="仿宋_GB2312" w:eastAsia="仿宋_GB2312" w:cs="仿宋_GB2312"/>
          <w:b w:val="0"/>
          <w:bCs w:val="0"/>
          <w:sz w:val="32"/>
          <w:szCs w:val="32"/>
        </w:rPr>
        <w:t>万元，占</w:t>
      </w:r>
      <w:r>
        <w:rPr>
          <w:rFonts w:hint="eastAsia" w:ascii="仿宋_GB2312" w:hAnsi="仿宋_GB2312" w:eastAsia="仿宋_GB2312" w:cs="仿宋_GB2312"/>
          <w:b w:val="0"/>
          <w:bCs w:val="0"/>
          <w:sz w:val="32"/>
          <w:szCs w:val="32"/>
          <w:lang w:val="en-US" w:eastAsia="zh-CN"/>
        </w:rPr>
        <w:t>91.9</w:t>
      </w:r>
      <w:r>
        <w:rPr>
          <w:rFonts w:hint="eastAsia" w:ascii="仿宋_GB2312" w:hAnsi="仿宋_GB2312" w:eastAsia="仿宋_GB2312" w:cs="仿宋_GB2312"/>
          <w:b w:val="0"/>
          <w:bCs w:val="0"/>
          <w:sz w:val="32"/>
          <w:szCs w:val="32"/>
        </w:rPr>
        <w:t>%；事业收入23.31万元，占</w:t>
      </w:r>
      <w:r>
        <w:rPr>
          <w:rFonts w:hint="eastAsia" w:ascii="仿宋_GB2312" w:hAnsi="仿宋_GB2312" w:eastAsia="仿宋_GB2312" w:cs="仿宋_GB2312"/>
          <w:b w:val="0"/>
          <w:bCs w:val="0"/>
          <w:sz w:val="32"/>
          <w:szCs w:val="32"/>
          <w:lang w:val="en-US" w:eastAsia="zh-CN"/>
        </w:rPr>
        <w:t>8.1</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bookmarkEnd w:id="30"/>
    </w:p>
    <w:p>
      <w:pPr>
        <w:pStyle w:val="28"/>
        <w:numPr>
          <w:ilvl w:val="0"/>
          <w:numId w:val="1"/>
        </w:numPr>
        <w:spacing w:line="600" w:lineRule="exact"/>
        <w:ind w:left="1350" w:leftChars="0" w:firstLineChars="0"/>
        <w:outlineLvl w:val="1"/>
        <w:rPr>
          <w:rStyle w:val="30"/>
          <w:rFonts w:ascii="黑体" w:hAnsi="黑体" w:eastAsia="黑体"/>
          <w:b w:val="0"/>
        </w:rPr>
      </w:pPr>
      <w:bookmarkStart w:id="31" w:name="_Toc15377207"/>
      <w:bookmarkStart w:id="32" w:name="_Toc5421"/>
      <w:bookmarkStart w:id="33" w:name="_Toc15396605"/>
      <w:r>
        <w:rPr>
          <w:rFonts w:hint="eastAsia" w:ascii="仿宋" w:hAnsi="仿宋" w:eastAsia="仿宋"/>
          <w:sz w:val="32"/>
          <w:szCs w:val="32"/>
          <w:lang w:eastAsia="zh-CN"/>
        </w:rPr>
        <w:drawing>
          <wp:anchor distT="0" distB="0" distL="114300" distR="114300" simplePos="0" relativeHeight="251660288" behindDoc="0" locked="0" layoutInCell="1" allowOverlap="1">
            <wp:simplePos x="0" y="0"/>
            <wp:positionH relativeFrom="column">
              <wp:posOffset>417195</wp:posOffset>
            </wp:positionH>
            <wp:positionV relativeFrom="paragraph">
              <wp:posOffset>92710</wp:posOffset>
            </wp:positionV>
            <wp:extent cx="3548380" cy="2131060"/>
            <wp:effectExtent l="4445" t="5080" r="13335" b="43180"/>
            <wp:wrapTopAndBottom/>
            <wp:docPr id="2" name="图表 2"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黑体" w:hAnsi="黑体" w:eastAsia="黑体"/>
          <w:sz w:val="32"/>
          <w:szCs w:val="32"/>
        </w:rPr>
        <w:t>支</w:t>
      </w:r>
      <w:r>
        <w:rPr>
          <w:rStyle w:val="30"/>
          <w:rFonts w:hint="eastAsia" w:ascii="黑体" w:hAnsi="黑体" w:eastAsia="黑体"/>
          <w:b w:val="0"/>
        </w:rPr>
        <w:t>出决算情况说明</w:t>
      </w:r>
      <w:bookmarkEnd w:id="31"/>
      <w:bookmarkEnd w:id="32"/>
      <w:bookmarkEnd w:id="33"/>
    </w:p>
    <w:p>
      <w:pPr>
        <w:spacing w:line="600" w:lineRule="exact"/>
        <w:ind w:firstLine="640" w:firstLineChars="200"/>
        <w:outlineLvl w:val="1"/>
        <w:rPr>
          <w:rFonts w:hint="eastAsia" w:ascii="仿宋_GB2312" w:hAnsi="仿宋_GB2312" w:eastAsia="仿宋_GB2312" w:cs="仿宋_GB2312"/>
          <w:b w:val="0"/>
          <w:bCs w:val="0"/>
          <w:sz w:val="32"/>
          <w:szCs w:val="32"/>
        </w:rPr>
      </w:pPr>
      <w:bookmarkStart w:id="34" w:name="_Toc12474"/>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年度本年支出合计</w:t>
      </w:r>
      <w:r>
        <w:rPr>
          <w:rFonts w:hint="eastAsia" w:ascii="仿宋_GB2312" w:hAnsi="仿宋_GB2312" w:eastAsia="仿宋_GB2312" w:cs="仿宋_GB2312"/>
          <w:b w:val="0"/>
          <w:bCs w:val="0"/>
          <w:sz w:val="32"/>
          <w:szCs w:val="32"/>
          <w:lang w:eastAsia="zh-CN"/>
        </w:rPr>
        <w:t>264.56</w:t>
      </w:r>
      <w:r>
        <w:rPr>
          <w:rFonts w:hint="eastAsia" w:ascii="仿宋_GB2312" w:hAnsi="仿宋_GB2312" w:eastAsia="仿宋_GB2312" w:cs="仿宋_GB2312"/>
          <w:b w:val="0"/>
          <w:bCs w:val="0"/>
          <w:sz w:val="32"/>
          <w:szCs w:val="32"/>
        </w:rPr>
        <w:t>万元，其中：基本支出</w:t>
      </w:r>
      <w:r>
        <w:rPr>
          <w:rFonts w:hint="eastAsia" w:ascii="仿宋_GB2312" w:hAnsi="仿宋_GB2312" w:eastAsia="仿宋_GB2312" w:cs="仿宋_GB2312"/>
          <w:b w:val="0"/>
          <w:bCs w:val="0"/>
          <w:sz w:val="32"/>
          <w:szCs w:val="32"/>
          <w:lang w:eastAsia="zh-CN"/>
        </w:rPr>
        <w:t>219.11</w:t>
      </w:r>
      <w:r>
        <w:rPr>
          <w:rFonts w:hint="eastAsia" w:ascii="仿宋_GB2312" w:hAnsi="仿宋_GB2312" w:eastAsia="仿宋_GB2312" w:cs="仿宋_GB2312"/>
          <w:b w:val="0"/>
          <w:bCs w:val="0"/>
          <w:sz w:val="32"/>
          <w:szCs w:val="32"/>
        </w:rPr>
        <w:t>万元，占</w:t>
      </w:r>
      <w:r>
        <w:rPr>
          <w:rFonts w:hint="eastAsia" w:ascii="仿宋_GB2312" w:hAnsi="仿宋_GB2312" w:eastAsia="仿宋_GB2312" w:cs="仿宋_GB2312"/>
          <w:b w:val="0"/>
          <w:bCs w:val="0"/>
          <w:sz w:val="32"/>
          <w:szCs w:val="32"/>
          <w:lang w:val="en-US" w:eastAsia="zh-CN"/>
        </w:rPr>
        <w:t>82.8</w:t>
      </w:r>
      <w:r>
        <w:rPr>
          <w:rFonts w:hint="eastAsia" w:ascii="仿宋_GB2312" w:hAnsi="仿宋_GB2312" w:eastAsia="仿宋_GB2312" w:cs="仿宋_GB2312"/>
          <w:b w:val="0"/>
          <w:bCs w:val="0"/>
          <w:sz w:val="32"/>
          <w:szCs w:val="32"/>
        </w:rPr>
        <w:t>%；项目支出</w:t>
      </w:r>
      <w:r>
        <w:rPr>
          <w:rFonts w:hint="eastAsia" w:ascii="仿宋_GB2312" w:hAnsi="仿宋_GB2312" w:eastAsia="仿宋_GB2312" w:cs="仿宋_GB2312"/>
          <w:b w:val="0"/>
          <w:bCs w:val="0"/>
          <w:sz w:val="32"/>
          <w:szCs w:val="32"/>
          <w:lang w:eastAsia="zh-CN"/>
        </w:rPr>
        <w:t>45.45</w:t>
      </w:r>
      <w:r>
        <w:rPr>
          <w:rFonts w:hint="eastAsia" w:ascii="仿宋_GB2312" w:hAnsi="仿宋_GB2312" w:eastAsia="仿宋_GB2312" w:cs="仿宋_GB2312"/>
          <w:b w:val="0"/>
          <w:bCs w:val="0"/>
          <w:sz w:val="32"/>
          <w:szCs w:val="32"/>
        </w:rPr>
        <w:t>万元，占</w:t>
      </w:r>
      <w:r>
        <w:rPr>
          <w:rFonts w:hint="eastAsia" w:ascii="仿宋_GB2312" w:hAnsi="仿宋_GB2312" w:eastAsia="仿宋_GB2312" w:cs="仿宋_GB2312"/>
          <w:b w:val="0"/>
          <w:bCs w:val="0"/>
          <w:sz w:val="32"/>
          <w:szCs w:val="32"/>
          <w:lang w:val="en-US" w:eastAsia="zh-CN"/>
        </w:rPr>
        <w:t>17.2</w:t>
      </w:r>
      <w:r>
        <w:rPr>
          <w:rFonts w:hint="eastAsia" w:ascii="仿宋_GB2312" w:hAnsi="仿宋_GB2312" w:eastAsia="仿宋_GB2312" w:cs="仿宋_GB2312"/>
          <w:b w:val="0"/>
          <w:bCs w:val="0"/>
          <w:sz w:val="32"/>
          <w:szCs w:val="32"/>
        </w:rPr>
        <w:t>%</w:t>
      </w:r>
      <w:bookmarkEnd w:id="34"/>
      <w:r>
        <w:rPr>
          <w:rFonts w:hint="eastAsia" w:ascii="仿宋_GB2312" w:hAnsi="仿宋_GB2312" w:eastAsia="仿宋_GB2312" w:cs="仿宋_GB2312"/>
          <w:b w:val="0"/>
          <w:bCs w:val="0"/>
          <w:sz w:val="32"/>
          <w:szCs w:val="32"/>
          <w:lang w:eastAsia="zh-CN"/>
        </w:rPr>
        <w:t>。</w:t>
      </w:r>
    </w:p>
    <w:p>
      <w:pPr>
        <w:spacing w:line="600" w:lineRule="exact"/>
        <w:ind w:firstLine="640" w:firstLineChars="200"/>
        <w:outlineLvl w:val="1"/>
        <w:rPr>
          <w:rStyle w:val="30"/>
          <w:rFonts w:ascii="黑体" w:hAnsi="黑体" w:eastAsia="黑体"/>
          <w:b w:val="0"/>
        </w:rPr>
      </w:pPr>
      <w:bookmarkStart w:id="35" w:name="_Toc15396606"/>
      <w:bookmarkStart w:id="36" w:name="_Toc26007"/>
      <w:bookmarkStart w:id="37" w:name="_Toc15377208"/>
      <w:r>
        <w:rPr>
          <w:rFonts w:hint="eastAsia" w:ascii="仿宋" w:hAnsi="仿宋" w:eastAsia="仿宋"/>
          <w:sz w:val="32"/>
          <w:szCs w:val="32"/>
          <w:shd w:val="pct10" w:color="auto" w:fill="FFFFFF"/>
          <w:lang w:eastAsia="zh-CN"/>
        </w:rPr>
        <w:drawing>
          <wp:anchor distT="0" distB="0" distL="114300" distR="114300" simplePos="0" relativeHeight="251661312" behindDoc="0" locked="0" layoutInCell="1" allowOverlap="1">
            <wp:simplePos x="0" y="0"/>
            <wp:positionH relativeFrom="column">
              <wp:posOffset>333375</wp:posOffset>
            </wp:positionH>
            <wp:positionV relativeFrom="paragraph">
              <wp:posOffset>13970</wp:posOffset>
            </wp:positionV>
            <wp:extent cx="3958590" cy="1967865"/>
            <wp:effectExtent l="4445" t="4445" r="14605" b="39370"/>
            <wp:wrapTopAndBottom/>
            <wp:docPr id="3" name="图表 3"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35"/>
      <w:bookmarkEnd w:id="36"/>
      <w:bookmarkEnd w:id="37"/>
    </w:p>
    <w:p>
      <w:pPr>
        <w:spacing w:line="600" w:lineRule="exact"/>
        <w:ind w:firstLine="640" w:firstLineChars="200"/>
        <w:outlineLvl w:val="1"/>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2025年度财政拨款收、支总计均为262.97万元。与2024年度相比，财政拨款收、支总计各减少</w:t>
      </w:r>
      <w:r>
        <w:rPr>
          <w:rFonts w:hint="eastAsia" w:ascii="仿宋_GB2312" w:hAnsi="仿宋_GB2312" w:eastAsia="仿宋_GB2312" w:cs="仿宋_GB2312"/>
          <w:b w:val="0"/>
          <w:bCs w:val="0"/>
          <w:sz w:val="32"/>
          <w:szCs w:val="32"/>
          <w:lang w:val="en-US" w:eastAsia="zh-CN"/>
        </w:rPr>
        <w:t>19.49</w:t>
      </w:r>
      <w:r>
        <w:rPr>
          <w:rFonts w:hint="eastAsia" w:ascii="仿宋_GB2312" w:hAnsi="仿宋_GB2312" w:eastAsia="仿宋_GB2312" w:cs="仿宋_GB2312"/>
          <w:b w:val="0"/>
          <w:bCs w:val="0"/>
          <w:sz w:val="32"/>
          <w:szCs w:val="32"/>
          <w:lang w:eastAsia="zh-CN"/>
        </w:rPr>
        <w:t>万元，下降</w:t>
      </w:r>
      <w:r>
        <w:rPr>
          <w:rFonts w:hint="eastAsia" w:ascii="仿宋_GB2312" w:hAnsi="仿宋_GB2312" w:eastAsia="仿宋_GB2312" w:cs="仿宋_GB2312"/>
          <w:b w:val="0"/>
          <w:bCs w:val="0"/>
          <w:sz w:val="32"/>
          <w:szCs w:val="32"/>
          <w:lang w:val="en-US" w:eastAsia="zh-CN"/>
        </w:rPr>
        <w:t>6.9</w:t>
      </w:r>
      <w:r>
        <w:rPr>
          <w:rFonts w:hint="eastAsia" w:ascii="仿宋_GB2312" w:hAnsi="仿宋_GB2312" w:eastAsia="仿宋_GB2312" w:cs="仿宋_GB2312"/>
          <w:b w:val="0"/>
          <w:bCs w:val="0"/>
          <w:sz w:val="32"/>
          <w:szCs w:val="32"/>
          <w:lang w:eastAsia="zh-CN"/>
        </w:rPr>
        <w:t>%。主要变动原因是：在编人员减少，人员经费收入、支出减少。</w:t>
      </w:r>
    </w:p>
    <w:p>
      <w:pPr>
        <w:spacing w:line="600" w:lineRule="exact"/>
        <w:ind w:firstLine="640" w:firstLineChars="200"/>
        <w:outlineLvl w:val="1"/>
        <w:rPr>
          <w:rStyle w:val="30"/>
          <w:rFonts w:ascii="黑体" w:hAnsi="黑体" w:eastAsia="黑体"/>
          <w:b w:val="0"/>
        </w:rPr>
      </w:pPr>
      <w:bookmarkStart w:id="38" w:name="_Toc15396607"/>
      <w:bookmarkStart w:id="39" w:name="_Toc15377209"/>
      <w:bookmarkStart w:id="40" w:name="_Toc29861"/>
      <w:r>
        <w:rPr>
          <w:rFonts w:hint="eastAsia" w:ascii="仿宋" w:hAnsi="仿宋" w:eastAsia="仿宋"/>
          <w:sz w:val="32"/>
          <w:szCs w:val="32"/>
          <w:lang w:eastAsia="zh-CN"/>
        </w:rPr>
        <w:drawing>
          <wp:anchor distT="0" distB="0" distL="114300" distR="114300" simplePos="0" relativeHeight="251662336" behindDoc="0" locked="0" layoutInCell="1" allowOverlap="1">
            <wp:simplePos x="0" y="0"/>
            <wp:positionH relativeFrom="column">
              <wp:posOffset>429895</wp:posOffset>
            </wp:positionH>
            <wp:positionV relativeFrom="paragraph">
              <wp:posOffset>105410</wp:posOffset>
            </wp:positionV>
            <wp:extent cx="4135755" cy="2063750"/>
            <wp:effectExtent l="5080" t="4445" r="4445" b="1968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8"/>
      <w:bookmarkEnd w:id="39"/>
      <w:bookmarkEnd w:id="40"/>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lang w:eastAsia="zh-CN"/>
        </w:rPr>
      </w:pPr>
      <w:bookmarkStart w:id="41" w:name="_Toc15377210"/>
      <w:r>
        <w:rPr>
          <w:rFonts w:hint="eastAsia" w:ascii="Times New Roman" w:hAnsi="Times New Roman" w:eastAsia="楷体_GB2312" w:cs="Times New Roman"/>
          <w:b/>
          <w:color w:val="auto"/>
          <w:sz w:val="32"/>
          <w:szCs w:val="32"/>
          <w:highlight w:val="none"/>
          <w:lang w:eastAsia="zh-CN"/>
        </w:rPr>
        <w:t>（一）一般公共预算财政拨款支出决算总体情况</w:t>
      </w:r>
      <w:bookmarkEnd w:id="41"/>
    </w:p>
    <w:p>
      <w:pPr>
        <w:spacing w:line="600" w:lineRule="exact"/>
        <w:ind w:firstLine="640" w:firstLineChars="200"/>
        <w:outlineLvl w:val="1"/>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drawing>
          <wp:anchor distT="0" distB="0" distL="114300" distR="114300" simplePos="0" relativeHeight="251663360" behindDoc="0" locked="0" layoutInCell="1" allowOverlap="1">
            <wp:simplePos x="0" y="0"/>
            <wp:positionH relativeFrom="column">
              <wp:posOffset>583565</wp:posOffset>
            </wp:positionH>
            <wp:positionV relativeFrom="paragraph">
              <wp:posOffset>1614805</wp:posOffset>
            </wp:positionV>
            <wp:extent cx="4590415" cy="2084070"/>
            <wp:effectExtent l="4445" t="4445" r="7620" b="146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b w:val="0"/>
          <w:bCs w:val="0"/>
          <w:sz w:val="32"/>
          <w:szCs w:val="32"/>
          <w:lang w:eastAsia="zh-CN"/>
        </w:rPr>
        <w:t>2025年度一般公共预算财政拨款支出262.97万元，占本年支出合计的</w:t>
      </w:r>
      <w:r>
        <w:rPr>
          <w:rFonts w:hint="eastAsia" w:ascii="仿宋_GB2312" w:hAnsi="仿宋_GB2312" w:eastAsia="仿宋_GB2312" w:cs="仿宋_GB2312"/>
          <w:b w:val="0"/>
          <w:bCs w:val="0"/>
          <w:sz w:val="32"/>
          <w:szCs w:val="32"/>
          <w:lang w:val="en-US" w:eastAsia="zh-CN"/>
        </w:rPr>
        <w:t>99.4</w:t>
      </w:r>
      <w:r>
        <w:rPr>
          <w:rFonts w:hint="eastAsia" w:ascii="仿宋_GB2312" w:hAnsi="仿宋_GB2312" w:eastAsia="仿宋_GB2312" w:cs="仿宋_GB2312"/>
          <w:b w:val="0"/>
          <w:bCs w:val="0"/>
          <w:sz w:val="32"/>
          <w:szCs w:val="32"/>
          <w:lang w:eastAsia="zh-CN"/>
        </w:rPr>
        <w:t>%。与2024年度相比，一般公共预算财政拨款支出减少</w:t>
      </w:r>
      <w:r>
        <w:rPr>
          <w:rFonts w:hint="eastAsia" w:ascii="仿宋_GB2312" w:hAnsi="仿宋_GB2312" w:eastAsia="仿宋_GB2312" w:cs="仿宋_GB2312"/>
          <w:b w:val="0"/>
          <w:bCs w:val="0"/>
          <w:sz w:val="32"/>
          <w:szCs w:val="32"/>
          <w:lang w:val="en-US" w:eastAsia="zh-CN"/>
        </w:rPr>
        <w:t>19.49</w:t>
      </w:r>
      <w:r>
        <w:rPr>
          <w:rFonts w:hint="eastAsia" w:ascii="仿宋_GB2312" w:hAnsi="仿宋_GB2312" w:eastAsia="仿宋_GB2312" w:cs="仿宋_GB2312"/>
          <w:b w:val="0"/>
          <w:bCs w:val="0"/>
          <w:sz w:val="32"/>
          <w:szCs w:val="32"/>
          <w:lang w:eastAsia="zh-CN"/>
        </w:rPr>
        <w:t>万元，下降</w:t>
      </w:r>
      <w:r>
        <w:rPr>
          <w:rFonts w:hint="eastAsia" w:ascii="仿宋_GB2312" w:hAnsi="仿宋_GB2312" w:eastAsia="仿宋_GB2312" w:cs="仿宋_GB2312"/>
          <w:b w:val="0"/>
          <w:bCs w:val="0"/>
          <w:sz w:val="32"/>
          <w:szCs w:val="32"/>
          <w:lang w:val="en-US" w:eastAsia="zh-CN"/>
        </w:rPr>
        <w:t>6.9</w:t>
      </w:r>
      <w:r>
        <w:rPr>
          <w:rFonts w:hint="eastAsia" w:ascii="仿宋_GB2312" w:hAnsi="仿宋_GB2312" w:eastAsia="仿宋_GB2312" w:cs="仿宋_GB2312"/>
          <w:b w:val="0"/>
          <w:bCs w:val="0"/>
          <w:sz w:val="32"/>
          <w:szCs w:val="32"/>
          <w:lang w:eastAsia="zh-CN"/>
        </w:rPr>
        <w:t>%。主要变动原因是：在编人员减少，人员经费支出减少。</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42" w:name="_Toc15377211"/>
      <w:r>
        <w:rPr>
          <w:rFonts w:hint="eastAsia" w:ascii="Times New Roman" w:hAnsi="Times New Roman" w:eastAsia="楷体_GB2312" w:cs="Times New Roman"/>
          <w:b/>
          <w:color w:val="auto"/>
          <w:sz w:val="32"/>
          <w:szCs w:val="32"/>
          <w:highlight w:val="none"/>
          <w:lang w:eastAsia="zh-CN"/>
        </w:rPr>
        <w:t>（二）一般公共预算财政拨款支出决算</w:t>
      </w:r>
      <w:r>
        <w:rPr>
          <w:rFonts w:hint="eastAsia" w:ascii="Times New Roman" w:hAnsi="Times New Roman" w:eastAsia="楷体_GB2312" w:cs="Times New Roman"/>
          <w:b/>
          <w:color w:val="auto"/>
          <w:sz w:val="32"/>
          <w:szCs w:val="32"/>
          <w:highlight w:val="none"/>
        </w:rPr>
        <w:t>结构情况</w:t>
      </w:r>
      <w:bookmarkEnd w:id="42"/>
    </w:p>
    <w:p>
      <w:pPr>
        <w:spacing w:line="600" w:lineRule="exact"/>
        <w:ind w:firstLine="640"/>
        <w:rPr>
          <w:rFonts w:ascii="仿宋" w:hAnsi="仿宋" w:eastAsia="仿宋"/>
          <w:sz w:val="32"/>
          <w:szCs w:val="32"/>
        </w:rPr>
      </w:pPr>
      <w:r>
        <w:rPr>
          <w:rFonts w:hint="eastAsia" w:ascii="仿宋_GB2312" w:hAnsi="仿宋_GB2312" w:eastAsia="仿宋_GB2312" w:cs="仿宋_GB2312"/>
          <w:b w:val="0"/>
          <w:bCs w:val="0"/>
          <w:sz w:val="32"/>
          <w:szCs w:val="32"/>
          <w:lang w:eastAsia="zh-CN"/>
        </w:rPr>
        <w:drawing>
          <wp:anchor distT="0" distB="0" distL="114300" distR="114300" simplePos="0" relativeHeight="251664384" behindDoc="0" locked="0" layoutInCell="1" allowOverlap="1">
            <wp:simplePos x="0" y="0"/>
            <wp:positionH relativeFrom="column">
              <wp:posOffset>378460</wp:posOffset>
            </wp:positionH>
            <wp:positionV relativeFrom="paragraph">
              <wp:posOffset>1530985</wp:posOffset>
            </wp:positionV>
            <wp:extent cx="4509770" cy="2653030"/>
            <wp:effectExtent l="4445" t="4445" r="12065" b="40005"/>
            <wp:wrapTopAndBottom/>
            <wp:docPr id="6" name="图表 6"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hAnsi="仿宋_GB2312" w:eastAsia="仿宋_GB2312" w:cs="仿宋_GB2312"/>
          <w:b w:val="0"/>
          <w:bCs w:val="0"/>
          <w:sz w:val="32"/>
          <w:szCs w:val="32"/>
          <w:lang w:eastAsia="zh-CN"/>
        </w:rPr>
        <w:t>2025年度一般公共预算财政拨款支出262.97万元，主要用于以下方面:社会保障和就业支出</w:t>
      </w:r>
      <w:r>
        <w:rPr>
          <w:rFonts w:hint="eastAsia" w:ascii="仿宋_GB2312" w:hAnsi="仿宋_GB2312" w:eastAsia="仿宋_GB2312" w:cs="仿宋_GB2312"/>
          <w:b w:val="0"/>
          <w:bCs w:val="0"/>
          <w:sz w:val="32"/>
          <w:szCs w:val="32"/>
          <w:lang w:val="en-US" w:eastAsia="zh-CN"/>
        </w:rPr>
        <w:t>28.8</w:t>
      </w:r>
      <w:r>
        <w:rPr>
          <w:rFonts w:hint="eastAsia" w:ascii="仿宋_GB2312" w:hAnsi="仿宋_GB2312" w:eastAsia="仿宋_GB2312" w:cs="仿宋_GB2312"/>
          <w:b w:val="0"/>
          <w:bCs w:val="0"/>
          <w:sz w:val="32"/>
          <w:szCs w:val="32"/>
          <w:lang w:eastAsia="zh-CN"/>
        </w:rPr>
        <w:t>万元，占</w:t>
      </w:r>
      <w:r>
        <w:rPr>
          <w:rFonts w:hint="eastAsia" w:ascii="仿宋_GB2312" w:hAnsi="仿宋_GB2312" w:eastAsia="仿宋_GB2312" w:cs="仿宋_GB2312"/>
          <w:b w:val="0"/>
          <w:bCs w:val="0"/>
          <w:sz w:val="32"/>
          <w:szCs w:val="32"/>
          <w:lang w:val="en-US" w:eastAsia="zh-CN"/>
        </w:rPr>
        <w:t>10.9</w:t>
      </w:r>
      <w:r>
        <w:rPr>
          <w:rFonts w:hint="eastAsia" w:ascii="仿宋_GB2312" w:hAnsi="仿宋_GB2312" w:eastAsia="仿宋_GB2312" w:cs="仿宋_GB2312"/>
          <w:b w:val="0"/>
          <w:bCs w:val="0"/>
          <w:sz w:val="32"/>
          <w:szCs w:val="32"/>
          <w:lang w:eastAsia="zh-CN"/>
        </w:rPr>
        <w:t>%；卫生健康支出</w:t>
      </w:r>
      <w:r>
        <w:rPr>
          <w:rFonts w:hint="eastAsia" w:ascii="仿宋_GB2312" w:hAnsi="仿宋_GB2312" w:eastAsia="仿宋_GB2312" w:cs="仿宋_GB2312"/>
          <w:b w:val="0"/>
          <w:bCs w:val="0"/>
          <w:sz w:val="32"/>
          <w:szCs w:val="32"/>
          <w:lang w:val="en-US" w:eastAsia="zh-CN"/>
        </w:rPr>
        <w:t>217.41</w:t>
      </w:r>
      <w:r>
        <w:rPr>
          <w:rFonts w:hint="eastAsia" w:ascii="仿宋_GB2312" w:hAnsi="仿宋_GB2312" w:eastAsia="仿宋_GB2312" w:cs="仿宋_GB2312"/>
          <w:b w:val="0"/>
          <w:bCs w:val="0"/>
          <w:sz w:val="32"/>
          <w:szCs w:val="32"/>
          <w:lang w:eastAsia="zh-CN"/>
        </w:rPr>
        <w:t>万元，占</w:t>
      </w:r>
      <w:r>
        <w:rPr>
          <w:rFonts w:hint="eastAsia" w:ascii="仿宋_GB2312" w:hAnsi="仿宋_GB2312" w:eastAsia="仿宋_GB2312" w:cs="仿宋_GB2312"/>
          <w:b w:val="0"/>
          <w:bCs w:val="0"/>
          <w:sz w:val="32"/>
          <w:szCs w:val="32"/>
          <w:lang w:val="en-US" w:eastAsia="zh-CN"/>
        </w:rPr>
        <w:t>82.7</w:t>
      </w:r>
      <w:r>
        <w:rPr>
          <w:rFonts w:hint="eastAsia" w:ascii="仿宋_GB2312" w:hAnsi="仿宋_GB2312" w:eastAsia="仿宋_GB2312" w:cs="仿宋_GB2312"/>
          <w:b w:val="0"/>
          <w:bCs w:val="0"/>
          <w:sz w:val="32"/>
          <w:szCs w:val="32"/>
          <w:lang w:eastAsia="zh-CN"/>
        </w:rPr>
        <w:t>%；住房保障支出</w:t>
      </w:r>
      <w:r>
        <w:rPr>
          <w:rFonts w:hint="eastAsia" w:ascii="仿宋_GB2312" w:hAnsi="仿宋_GB2312" w:eastAsia="仿宋_GB2312" w:cs="仿宋_GB2312"/>
          <w:b w:val="0"/>
          <w:bCs w:val="0"/>
          <w:sz w:val="32"/>
          <w:szCs w:val="32"/>
          <w:lang w:val="en-US" w:eastAsia="zh-CN"/>
        </w:rPr>
        <w:t>16.76</w:t>
      </w:r>
      <w:r>
        <w:rPr>
          <w:rFonts w:hint="eastAsia" w:ascii="仿宋_GB2312" w:hAnsi="仿宋_GB2312" w:eastAsia="仿宋_GB2312" w:cs="仿宋_GB2312"/>
          <w:b w:val="0"/>
          <w:bCs w:val="0"/>
          <w:sz w:val="32"/>
          <w:szCs w:val="32"/>
          <w:lang w:eastAsia="zh-CN"/>
        </w:rPr>
        <w:t>万元，占</w:t>
      </w:r>
      <w:r>
        <w:rPr>
          <w:rFonts w:hint="eastAsia" w:ascii="仿宋_GB2312" w:hAnsi="仿宋_GB2312" w:eastAsia="仿宋_GB2312" w:cs="仿宋_GB2312"/>
          <w:b w:val="0"/>
          <w:bCs w:val="0"/>
          <w:sz w:val="32"/>
          <w:szCs w:val="32"/>
          <w:lang w:val="en-US" w:eastAsia="zh-CN"/>
        </w:rPr>
        <w:t>6.4</w:t>
      </w:r>
      <w:r>
        <w:rPr>
          <w:rFonts w:hint="eastAsia" w:ascii="仿宋_GB2312" w:hAnsi="仿宋_GB2312" w:eastAsia="仿宋_GB2312" w:cs="仿宋_GB2312"/>
          <w:b w:val="0"/>
          <w:bCs w:val="0"/>
          <w:sz w:val="32"/>
          <w:szCs w:val="32"/>
          <w:lang w:eastAsia="zh-CN"/>
        </w:rPr>
        <w:t>%。</w:t>
      </w:r>
    </w:p>
    <w:p>
      <w:pPr>
        <w:pageBreakBefore w:val="0"/>
        <w:kinsoku/>
        <w:wordWrap/>
        <w:overflowPunct/>
        <w:topLinePunct w:val="0"/>
        <w:bidi w:val="0"/>
        <w:spacing w:line="576" w:lineRule="exact"/>
        <w:ind w:firstLine="642" w:firstLineChars="200"/>
        <w:textAlignment w:val="auto"/>
        <w:outlineLvl w:val="2"/>
        <w:rPr>
          <w:rFonts w:hint="default" w:ascii="Times New Roman" w:hAnsi="Times New Roman" w:eastAsia="楷体_GB2312" w:cs="Times New Roman"/>
          <w:b/>
          <w:color w:val="auto"/>
          <w:sz w:val="32"/>
          <w:szCs w:val="32"/>
          <w:highlight w:val="none"/>
        </w:rPr>
      </w:pPr>
      <w:bookmarkStart w:id="43" w:name="_Toc15377212"/>
      <w:r>
        <w:rPr>
          <w:rFonts w:hint="eastAsia" w:ascii="Times New Roman" w:hAnsi="Times New Roman" w:eastAsia="楷体_GB2312" w:cs="Times New Roman"/>
          <w:b/>
          <w:color w:val="auto"/>
          <w:sz w:val="32"/>
          <w:szCs w:val="32"/>
          <w:highlight w:val="none"/>
        </w:rPr>
        <w:t>（三）一般公共预算财政拨款支出决算具体情况</w:t>
      </w:r>
      <w:bookmarkEnd w:id="43"/>
    </w:p>
    <w:p>
      <w:pPr>
        <w:spacing w:line="600" w:lineRule="exact"/>
        <w:ind w:firstLine="640"/>
        <w:rPr>
          <w:rFonts w:hint="eastAsia" w:ascii="仿宋_GB2312" w:hAnsi="仿宋_GB2312" w:eastAsia="仿宋_GB2312" w:cs="仿宋_GB2312"/>
          <w:b w:val="0"/>
          <w:bCs w:val="0"/>
          <w:sz w:val="32"/>
          <w:szCs w:val="32"/>
          <w:lang w:eastAsia="zh-CN"/>
        </w:rPr>
      </w:pPr>
      <w:bookmarkStart w:id="44" w:name="_Toc12794"/>
      <w:bookmarkStart w:id="45" w:name="_Toc15377444"/>
      <w:bookmarkStart w:id="46" w:name="_Toc15378460"/>
      <w:bookmarkStart w:id="47" w:name="_Toc15377213"/>
      <w:r>
        <w:rPr>
          <w:rFonts w:hint="eastAsia" w:ascii="仿宋_GB2312" w:hAnsi="仿宋_GB2312" w:eastAsia="仿宋_GB2312" w:cs="仿宋_GB2312"/>
          <w:b w:val="0"/>
          <w:bCs w:val="0"/>
          <w:sz w:val="32"/>
          <w:szCs w:val="32"/>
          <w:lang w:eastAsia="zh-CN"/>
        </w:rPr>
        <w:t>2025年度一般公共预算支出决算数为262.97万元，完成预算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lang w:eastAsia="zh-CN"/>
        </w:rPr>
        <w:t>%。其中：</w:t>
      </w:r>
      <w:bookmarkEnd w:id="44"/>
      <w:bookmarkEnd w:id="45"/>
      <w:bookmarkEnd w:id="46"/>
      <w:bookmarkEnd w:id="47"/>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1.社会保障和就业支出（类）行政事业单位养老支出（款）机关事业单位基本养老保险缴费支出（项）支出决算</w:t>
      </w:r>
      <w:r>
        <w:rPr>
          <w:rFonts w:hint="eastAsia" w:ascii="仿宋_GB2312" w:hAnsi="仿宋_GB2312" w:eastAsia="仿宋_GB2312" w:cs="仿宋_GB2312"/>
          <w:b w:val="0"/>
          <w:bCs w:val="0"/>
          <w:sz w:val="32"/>
          <w:szCs w:val="32"/>
          <w:lang w:val="en-US" w:eastAsia="zh-CN"/>
        </w:rPr>
        <w:t>19.2</w:t>
      </w:r>
      <w:r>
        <w:rPr>
          <w:rFonts w:hint="eastAsia" w:ascii="仿宋_GB2312" w:hAnsi="仿宋_GB2312" w:eastAsia="仿宋_GB2312" w:cs="仿宋_GB2312"/>
          <w:b w:val="0"/>
          <w:bCs w:val="0"/>
          <w:sz w:val="32"/>
          <w:szCs w:val="32"/>
          <w:lang w:eastAsia="zh-CN"/>
        </w:rPr>
        <w:t>万元</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eastAsia="zh-CN"/>
        </w:rPr>
        <w:t>完成预算100%</w:t>
      </w:r>
      <w:r>
        <w:rPr>
          <w:rFonts w:hint="eastAsia" w:ascii="仿宋_GB2312" w:hAnsi="仿宋_GB2312" w:eastAsia="仿宋_GB2312" w:cs="仿宋_GB2312"/>
          <w:b w:val="0"/>
          <w:bCs w:val="0"/>
          <w:sz w:val="32"/>
          <w:szCs w:val="32"/>
          <w:lang w:val="en-US" w:eastAsia="zh-CN"/>
        </w:rPr>
        <w:t>，决算数与预算数持平。</w:t>
      </w:r>
      <w:r>
        <w:rPr>
          <w:rFonts w:hint="eastAsia" w:ascii="仿宋_GB2312" w:hAnsi="仿宋_GB2312" w:eastAsia="仿宋_GB2312" w:cs="仿宋_GB2312"/>
          <w:b w:val="0"/>
          <w:bCs w:val="0"/>
          <w:sz w:val="32"/>
          <w:szCs w:val="32"/>
          <w:lang w:eastAsia="zh-CN"/>
        </w:rPr>
        <w:cr/>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2.社会保障和就业支出（类）行政事业单位养老支出（款）机关事业单位职业年金缴费支出（项）支出决算</w:t>
      </w:r>
      <w:r>
        <w:rPr>
          <w:rFonts w:hint="eastAsia" w:ascii="仿宋_GB2312" w:hAnsi="仿宋_GB2312" w:eastAsia="仿宋_GB2312" w:cs="仿宋_GB2312"/>
          <w:b w:val="0"/>
          <w:bCs w:val="0"/>
          <w:sz w:val="32"/>
          <w:szCs w:val="32"/>
          <w:lang w:val="en-US" w:eastAsia="zh-CN"/>
        </w:rPr>
        <w:t>9.6</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3.卫生健康支出（类）基层医疗卫生机构（款）乡镇卫生院（项）支出决算</w:t>
      </w:r>
      <w:r>
        <w:rPr>
          <w:rFonts w:hint="eastAsia" w:ascii="仿宋_GB2312" w:hAnsi="仿宋_GB2312" w:eastAsia="仿宋_GB2312" w:cs="仿宋_GB2312"/>
          <w:b w:val="0"/>
          <w:bCs w:val="0"/>
          <w:sz w:val="32"/>
          <w:szCs w:val="32"/>
          <w:lang w:val="en-US" w:eastAsia="zh-CN"/>
        </w:rPr>
        <w:t>160.13</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4.卫生健康支出（类）基层医疗卫生机构（款）其他基层医疗卫生机构支出（项）支出决算</w:t>
      </w:r>
      <w:r>
        <w:rPr>
          <w:rFonts w:hint="eastAsia" w:ascii="仿宋_GB2312" w:hAnsi="仿宋_GB2312" w:eastAsia="仿宋_GB2312" w:cs="仿宋_GB2312"/>
          <w:b w:val="0"/>
          <w:bCs w:val="0"/>
          <w:sz w:val="32"/>
          <w:szCs w:val="32"/>
          <w:lang w:val="en-US" w:eastAsia="zh-CN"/>
        </w:rPr>
        <w:t>8.07</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5.卫生健康支出（类）公共卫生（款）基本公共卫生服务（项）支出决算</w:t>
      </w:r>
      <w:r>
        <w:rPr>
          <w:rFonts w:hint="eastAsia" w:ascii="仿宋_GB2312" w:hAnsi="仿宋_GB2312" w:eastAsia="仿宋_GB2312" w:cs="仿宋_GB2312"/>
          <w:b w:val="0"/>
          <w:bCs w:val="0"/>
          <w:sz w:val="32"/>
          <w:szCs w:val="32"/>
          <w:lang w:val="en-US" w:eastAsia="zh-CN"/>
        </w:rPr>
        <w:t>33.8</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lang w:eastAsia="zh-CN"/>
        </w:rPr>
        <w:t>.卫生健康（类）公共卫生（款）重大公共卫生服务（项）:支出决算为</w:t>
      </w:r>
      <w:r>
        <w:rPr>
          <w:rFonts w:hint="eastAsia" w:ascii="仿宋_GB2312" w:hAnsi="仿宋_GB2312" w:eastAsia="仿宋_GB2312" w:cs="仿宋_GB2312"/>
          <w:b w:val="0"/>
          <w:bCs w:val="0"/>
          <w:sz w:val="32"/>
          <w:szCs w:val="32"/>
          <w:lang w:val="en-US" w:eastAsia="zh-CN"/>
        </w:rPr>
        <w:t>0.8</w:t>
      </w:r>
      <w:r>
        <w:rPr>
          <w:rFonts w:hint="eastAsia" w:ascii="仿宋_GB2312" w:hAnsi="仿宋_GB2312" w:eastAsia="仿宋_GB2312" w:cs="仿宋_GB2312"/>
          <w:b w:val="0"/>
          <w:bCs w:val="0"/>
          <w:sz w:val="32"/>
          <w:szCs w:val="32"/>
          <w:lang w:eastAsia="zh-CN"/>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lang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lang w:eastAsia="zh-CN"/>
        </w:rPr>
        <w:t>卫生健康支出（类）公共卫生（款）其他公共卫生支出（项）支出决算</w:t>
      </w:r>
      <w:r>
        <w:rPr>
          <w:rFonts w:hint="eastAsia" w:ascii="仿宋_GB2312" w:hAnsi="仿宋_GB2312" w:eastAsia="仿宋_GB2312" w:cs="仿宋_GB2312"/>
          <w:b w:val="0"/>
          <w:bCs w:val="0"/>
          <w:sz w:val="32"/>
          <w:szCs w:val="32"/>
          <w:lang w:val="en-US" w:eastAsia="zh-CN"/>
        </w:rPr>
        <w:t>1.99</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lang w:eastAsia="zh-CN"/>
        </w:rPr>
        <w:t>.卫生健康支出（类）行政事业单位医疗（款）事业单位医疗（项）支出决算</w:t>
      </w:r>
      <w:r>
        <w:rPr>
          <w:rFonts w:hint="eastAsia" w:ascii="仿宋_GB2312" w:hAnsi="仿宋_GB2312" w:eastAsia="仿宋_GB2312" w:cs="仿宋_GB2312"/>
          <w:b w:val="0"/>
          <w:bCs w:val="0"/>
          <w:sz w:val="32"/>
          <w:szCs w:val="32"/>
          <w:lang w:val="en-US" w:eastAsia="zh-CN"/>
        </w:rPr>
        <w:t>11.83</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lang w:eastAsia="zh-CN"/>
        </w:rPr>
        <w:t>卫生健康（类）其他卫生健康支出（款）其他卫生健康支出（项）:支出决算为</w:t>
      </w:r>
      <w:r>
        <w:rPr>
          <w:rFonts w:hint="eastAsia" w:ascii="仿宋_GB2312" w:hAnsi="仿宋_GB2312" w:eastAsia="仿宋_GB2312" w:cs="仿宋_GB2312"/>
          <w:b w:val="0"/>
          <w:bCs w:val="0"/>
          <w:sz w:val="32"/>
          <w:szCs w:val="32"/>
          <w:lang w:val="en-US" w:eastAsia="zh-CN"/>
        </w:rPr>
        <w:t>0.79</w:t>
      </w:r>
      <w:r>
        <w:rPr>
          <w:rFonts w:hint="eastAsia" w:ascii="仿宋_GB2312" w:hAnsi="仿宋_GB2312" w:eastAsia="仿宋_GB2312" w:cs="仿宋_GB2312"/>
          <w:b w:val="0"/>
          <w:bCs w:val="0"/>
          <w:sz w:val="32"/>
          <w:szCs w:val="32"/>
          <w:lang w:eastAsia="zh-CN"/>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lang w:eastAsia="zh-CN"/>
        </w:rPr>
        <w:t>%，决算数与预算数持平。</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eastAsia="zh-CN"/>
        </w:rPr>
        <w:t>.住房保障支出（类）住房改革支出（款）住房公积金（项）支出决算</w:t>
      </w:r>
      <w:r>
        <w:rPr>
          <w:rFonts w:hint="eastAsia" w:ascii="仿宋_GB2312" w:hAnsi="仿宋_GB2312" w:eastAsia="仿宋_GB2312" w:cs="仿宋_GB2312"/>
          <w:b w:val="0"/>
          <w:bCs w:val="0"/>
          <w:sz w:val="32"/>
          <w:szCs w:val="32"/>
          <w:lang w:val="en-US" w:eastAsia="zh-CN"/>
        </w:rPr>
        <w:t>16.76</w:t>
      </w:r>
      <w:r>
        <w:rPr>
          <w:rFonts w:hint="eastAsia" w:ascii="仿宋_GB2312" w:hAnsi="仿宋_GB2312" w:eastAsia="仿宋_GB2312" w:cs="仿宋_GB2312"/>
          <w:b w:val="0"/>
          <w:bCs w:val="0"/>
          <w:sz w:val="32"/>
          <w:szCs w:val="32"/>
          <w:lang w:eastAsia="zh-CN"/>
        </w:rPr>
        <w:t>万元，完成预算100%</w:t>
      </w:r>
      <w:r>
        <w:rPr>
          <w:rFonts w:hint="eastAsia" w:ascii="仿宋_GB2312" w:hAnsi="仿宋_GB2312" w:eastAsia="仿宋_GB2312" w:cs="仿宋_GB2312"/>
          <w:b w:val="0"/>
          <w:bCs w:val="0"/>
          <w:sz w:val="32"/>
          <w:szCs w:val="32"/>
          <w:lang w:val="en-US" w:eastAsia="zh-CN"/>
        </w:rPr>
        <w:t>，决算数与预算数持平。</w:t>
      </w:r>
    </w:p>
    <w:p>
      <w:pPr>
        <w:tabs>
          <w:tab w:val="right" w:pos="8306"/>
        </w:tabs>
        <w:spacing w:line="600" w:lineRule="exact"/>
        <w:ind w:firstLine="640"/>
        <w:outlineLvl w:val="1"/>
        <w:rPr>
          <w:rStyle w:val="30"/>
        </w:rPr>
      </w:pPr>
      <w:bookmarkStart w:id="48" w:name="_Toc8240"/>
      <w:bookmarkStart w:id="49" w:name="_Toc15396608"/>
      <w:bookmarkStart w:id="50"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48"/>
      <w:bookmarkEnd w:id="49"/>
      <w:bookmarkEnd w:id="50"/>
      <w:r>
        <w:rPr>
          <w:rStyle w:val="30"/>
          <w:rFonts w:ascii="黑体" w:hAnsi="黑体" w:eastAsia="黑体"/>
          <w:b w:val="0"/>
        </w:rPr>
        <w:tab/>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2025年度一般公共预算财政拨款基本支出217.52万元，其中：</w:t>
      </w:r>
    </w:p>
    <w:p>
      <w:pPr>
        <w:spacing w:line="600" w:lineRule="exact"/>
        <w:ind w:firstLine="640"/>
        <w:rPr>
          <w:rFonts w:ascii="仿宋" w:hAnsi="仿宋" w:eastAsia="仿宋"/>
          <w:sz w:val="32"/>
          <w:szCs w:val="32"/>
        </w:rPr>
      </w:pPr>
      <w:r>
        <w:rPr>
          <w:rFonts w:hint="eastAsia" w:ascii="仿宋_GB2312" w:hAnsi="仿宋_GB2312" w:eastAsia="仿宋_GB2312" w:cs="仿宋_GB2312"/>
          <w:b w:val="0"/>
          <w:bCs w:val="0"/>
          <w:sz w:val="32"/>
          <w:szCs w:val="32"/>
          <w:lang w:eastAsia="zh-CN"/>
        </w:rPr>
        <w:t>人员经费217.52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b w:val="0"/>
          <w:bCs w:val="0"/>
          <w:sz w:val="32"/>
          <w:szCs w:val="32"/>
          <w:lang w:eastAsia="zh-CN"/>
        </w:rPr>
        <w:br w:type="textWrapping"/>
      </w:r>
      <w:r>
        <w:rPr>
          <w:rFonts w:hint="eastAsia" w:ascii="仿宋_GB2312" w:hAnsi="仿宋_GB2312" w:eastAsia="仿宋_GB2312" w:cs="仿宋_GB2312"/>
          <w:b w:val="0"/>
          <w:bCs w:val="0"/>
          <w:sz w:val="32"/>
          <w:szCs w:val="32"/>
          <w:lang w:eastAsia="zh-CN"/>
        </w:rPr>
        <w:t>　　公用经费0万元。</w:t>
      </w:r>
    </w:p>
    <w:p>
      <w:pPr>
        <w:spacing w:line="600" w:lineRule="exact"/>
        <w:ind w:firstLine="640"/>
        <w:outlineLvl w:val="1"/>
        <w:rPr>
          <w:rStyle w:val="30"/>
          <w:rFonts w:ascii="黑体" w:hAnsi="黑体" w:eastAsia="黑体"/>
          <w:b w:val="0"/>
        </w:rPr>
      </w:pPr>
      <w:bookmarkStart w:id="51" w:name="_Toc29146"/>
      <w:bookmarkStart w:id="52" w:name="_Toc15377215"/>
      <w:bookmarkStart w:id="53" w:name="_Toc15396609"/>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b w:val="0"/>
          <w:bCs w:val="0"/>
        </w:rPr>
        <w:t>“</w:t>
      </w:r>
      <w:r>
        <w:rPr>
          <w:rStyle w:val="30"/>
          <w:rFonts w:hint="eastAsia" w:ascii="黑体" w:hAnsi="黑体" w:eastAsia="黑体"/>
          <w:b w:val="0"/>
        </w:rPr>
        <w:t>三公</w:t>
      </w:r>
      <w:r>
        <w:rPr>
          <w:rStyle w:val="30"/>
          <w:rFonts w:hint="eastAsia" w:ascii="黑体" w:hAnsi="黑体" w:eastAsia="黑体"/>
          <w:b w:val="0"/>
          <w:bCs/>
        </w:rPr>
        <w:t>”</w:t>
      </w:r>
      <w:r>
        <w:rPr>
          <w:rStyle w:val="30"/>
          <w:rFonts w:hint="eastAsia" w:ascii="黑体" w:hAnsi="黑体" w:eastAsia="黑体"/>
          <w:b w:val="0"/>
        </w:rPr>
        <w:t>经费支出决算情况说明</w:t>
      </w:r>
      <w:bookmarkEnd w:id="51"/>
      <w:bookmarkEnd w:id="52"/>
      <w:bookmarkEnd w:id="53"/>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54" w:name="_Toc15377216"/>
      <w:r>
        <w:rPr>
          <w:rFonts w:hint="eastAsia" w:ascii="Times New Roman" w:hAnsi="Times New Roman" w:eastAsia="楷体_GB2312" w:cs="Times New Roman"/>
          <w:b/>
          <w:color w:val="auto"/>
          <w:sz w:val="32"/>
          <w:szCs w:val="32"/>
          <w:highlight w:val="none"/>
        </w:rPr>
        <w:t>（一）</w:t>
      </w:r>
      <w:r>
        <w:rPr>
          <w:rFonts w:hint="eastAsia" w:ascii="Times New Roman" w:hAnsi="Times New Roman" w:eastAsia="楷体_GB2312" w:cs="Times New Roman"/>
          <w:b/>
          <w:bCs w:val="0"/>
          <w:color w:val="auto"/>
          <w:sz w:val="32"/>
          <w:szCs w:val="32"/>
          <w:highlight w:val="none"/>
        </w:rPr>
        <w:t>“三公”</w:t>
      </w:r>
      <w:r>
        <w:rPr>
          <w:rFonts w:hint="eastAsia" w:ascii="Times New Roman" w:hAnsi="Times New Roman" w:eastAsia="楷体_GB2312" w:cs="Times New Roman"/>
          <w:b/>
          <w:color w:val="auto"/>
          <w:sz w:val="32"/>
          <w:szCs w:val="32"/>
          <w:highlight w:val="none"/>
        </w:rPr>
        <w:t>经费财政拨款支出决算总体情况说明</w:t>
      </w:r>
      <w:bookmarkEnd w:id="54"/>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2025年度“三公”经费财政拨款支出决算为0万元。与</w:t>
      </w:r>
      <w:r>
        <w:rPr>
          <w:rFonts w:hint="eastAsia" w:ascii="仿宋_GB2312" w:hAnsi="仿宋_GB2312" w:eastAsia="仿宋_GB2312" w:cs="仿宋_GB2312"/>
          <w:b w:val="0"/>
          <w:bCs w:val="0"/>
          <w:sz w:val="32"/>
          <w:szCs w:val="32"/>
          <w:lang w:val="en-US" w:eastAsia="zh-CN"/>
        </w:rPr>
        <w:t>2024年度相比</w:t>
      </w:r>
      <w:r>
        <w:rPr>
          <w:rFonts w:hint="eastAsia" w:ascii="仿宋_GB2312" w:hAnsi="仿宋_GB2312" w:eastAsia="仿宋_GB2312" w:cs="仿宋_GB2312"/>
          <w:b w:val="0"/>
          <w:bCs w:val="0"/>
          <w:sz w:val="32"/>
          <w:szCs w:val="32"/>
          <w:lang w:eastAsia="zh-CN"/>
        </w:rPr>
        <w:t>无变化。</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55" w:name="_Toc15377217"/>
      <w:r>
        <w:rPr>
          <w:rFonts w:hint="eastAsia" w:ascii="Times New Roman" w:hAnsi="Times New Roman" w:eastAsia="楷体_GB2312" w:cs="Times New Roman"/>
          <w:b/>
          <w:color w:val="auto"/>
          <w:sz w:val="32"/>
          <w:szCs w:val="32"/>
          <w:highlight w:val="none"/>
        </w:rPr>
        <w:t>（二）</w:t>
      </w:r>
      <w:r>
        <w:rPr>
          <w:rFonts w:hint="eastAsia" w:ascii="Times New Roman" w:hAnsi="Times New Roman" w:eastAsia="楷体_GB2312" w:cs="Times New Roman"/>
          <w:b/>
          <w:bCs w:val="0"/>
          <w:color w:val="auto"/>
          <w:sz w:val="32"/>
          <w:szCs w:val="32"/>
          <w:highlight w:val="none"/>
        </w:rPr>
        <w:t>“三公”</w:t>
      </w:r>
      <w:r>
        <w:rPr>
          <w:rFonts w:hint="eastAsia" w:ascii="Times New Roman" w:hAnsi="Times New Roman" w:eastAsia="楷体_GB2312" w:cs="Times New Roman"/>
          <w:b/>
          <w:color w:val="auto"/>
          <w:sz w:val="32"/>
          <w:szCs w:val="32"/>
          <w:highlight w:val="none"/>
        </w:rPr>
        <w:t>经费财政拨款支出决算具体情况说明</w:t>
      </w:r>
      <w:bookmarkEnd w:id="55"/>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2025年度“三公”经费财政拨款支出决算中，因公出国（境）费支出决算0万元；公务用车购置及运行维护费支出决算0万元；公务接待费支出决算0万元。与2024年度相比无变化，未涉及</w:t>
      </w:r>
      <w:r>
        <w:rPr>
          <w:rFonts w:hint="default" w:ascii="仿宋_GB2312" w:hAnsi="仿宋_GB2312" w:eastAsia="仿宋_GB2312" w:cs="仿宋_GB2312"/>
          <w:b w:val="0"/>
          <w:bCs w:val="0"/>
          <w:sz w:val="32"/>
          <w:szCs w:val="32"/>
          <w:lang w:eastAsia="zh-CN"/>
        </w:rPr>
        <w:t>“</w:t>
      </w:r>
      <w:bookmarkStart w:id="104" w:name="_GoBack"/>
      <w:bookmarkEnd w:id="104"/>
      <w:r>
        <w:rPr>
          <w:rFonts w:hint="eastAsia" w:ascii="仿宋_GB2312" w:hAnsi="仿宋_GB2312" w:eastAsia="仿宋_GB2312" w:cs="仿宋_GB2312"/>
          <w:b w:val="0"/>
          <w:bCs w:val="0"/>
          <w:sz w:val="32"/>
          <w:szCs w:val="32"/>
          <w:lang w:eastAsia="zh-CN"/>
        </w:rPr>
        <w:t>三公”经费财政拨款支出。具体情况如下：</w:t>
      </w:r>
    </w:p>
    <w:p>
      <w:pPr>
        <w:spacing w:line="600" w:lineRule="exact"/>
        <w:ind w:firstLine="640"/>
        <w:rPr>
          <w:rFonts w:hint="eastAsia" w:ascii="仿宋_GB2312" w:hAnsi="仿宋_GB2312" w:eastAsia="仿宋_GB2312" w:cs="仿宋_GB2312"/>
          <w:b w:val="0"/>
          <w:bCs w:val="0"/>
          <w:sz w:val="32"/>
          <w:szCs w:val="32"/>
          <w:lang w:eastAsia="zh-CN"/>
        </w:rPr>
      </w:pPr>
      <w:bookmarkStart w:id="56" w:name="_Toc15396610"/>
      <w:bookmarkStart w:id="57" w:name="_Toc15377218"/>
      <w:r>
        <w:rPr>
          <w:rFonts w:hint="eastAsia" w:ascii="仿宋_GB2312" w:hAnsi="仿宋_GB2312" w:eastAsia="仿宋_GB2312" w:cs="仿宋_GB2312"/>
          <w:b w:val="0"/>
          <w:bCs w:val="0"/>
          <w:sz w:val="32"/>
          <w:szCs w:val="32"/>
          <w:lang w:eastAsia="zh-CN"/>
        </w:rPr>
        <w:t>1.因公出国（境）经费支出0万元。全年安排因公出国（境）团组0次，出国（境）0人。</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2.公务用车购置及运行维护费支出0万元。</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截至2025年12月底，单位共有公务用车0辆，其中：轿车0辆、越野车0辆、载客汽车0辆。</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 xml:space="preserve">公务用车运行维护费支出0万元。 </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 xml:space="preserve">3.公务接待费支出0万元。 </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国内公务接待支出0万元。国内公务接待0批次，0人次（不包括陪同人员）。</w:t>
      </w:r>
    </w:p>
    <w:p>
      <w:pPr>
        <w:spacing w:line="600" w:lineRule="exact"/>
        <w:ind w:firstLine="640"/>
        <w:rPr>
          <w:rFonts w:ascii="仿宋_GB2312" w:eastAsia="仿宋_GB2312"/>
          <w:sz w:val="32"/>
          <w:szCs w:val="32"/>
        </w:rPr>
      </w:pPr>
      <w:r>
        <w:rPr>
          <w:rFonts w:hint="eastAsia" w:ascii="仿宋_GB2312" w:hAnsi="仿宋_GB2312" w:eastAsia="仿宋_GB2312" w:cs="仿宋_GB2312"/>
          <w:b w:val="0"/>
          <w:bCs w:val="0"/>
          <w:sz w:val="32"/>
          <w:szCs w:val="32"/>
          <w:lang w:eastAsia="zh-CN"/>
        </w:rPr>
        <w:t>外事接待支出0万元，外事接待0批次，0人。</w:t>
      </w:r>
    </w:p>
    <w:p>
      <w:pPr>
        <w:spacing w:line="600" w:lineRule="exact"/>
        <w:ind w:firstLine="640"/>
        <w:outlineLvl w:val="1"/>
        <w:rPr>
          <w:rStyle w:val="30"/>
          <w:rFonts w:ascii="黑体" w:hAnsi="黑体" w:eastAsia="黑体"/>
        </w:rPr>
      </w:pPr>
      <w:bookmarkStart w:id="58" w:name="_Toc15146"/>
      <w:r>
        <w:rPr>
          <w:rFonts w:hint="eastAsia" w:ascii="黑体" w:eastAsia="黑体"/>
          <w:sz w:val="32"/>
          <w:szCs w:val="32"/>
        </w:rPr>
        <w:t>八、</w:t>
      </w:r>
      <w:r>
        <w:rPr>
          <w:rStyle w:val="30"/>
          <w:rFonts w:hint="eastAsia" w:ascii="黑体" w:hAnsi="黑体" w:eastAsia="黑体"/>
          <w:b w:val="0"/>
        </w:rPr>
        <w:t>政府性基金预算支出决算情况说明</w:t>
      </w:r>
      <w:bookmarkEnd w:id="56"/>
      <w:bookmarkEnd w:id="57"/>
      <w:bookmarkEnd w:id="58"/>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2025年度政府性基金预算财政拨款支出0万元。</w:t>
      </w:r>
    </w:p>
    <w:p>
      <w:pPr>
        <w:numPr>
          <w:ilvl w:val="0"/>
          <w:numId w:val="2"/>
        </w:numPr>
        <w:spacing w:line="600" w:lineRule="exact"/>
        <w:ind w:firstLine="640"/>
        <w:outlineLvl w:val="1"/>
        <w:rPr>
          <w:rStyle w:val="30"/>
          <w:rFonts w:ascii="黑体" w:hAnsi="黑体" w:eastAsia="黑体"/>
          <w:b w:val="0"/>
        </w:rPr>
      </w:pPr>
      <w:bookmarkStart w:id="59" w:name="_Toc15377219"/>
      <w:bookmarkStart w:id="60" w:name="_Toc10941"/>
      <w:bookmarkStart w:id="61" w:name="_Toc15396611"/>
      <w:r>
        <w:rPr>
          <w:rStyle w:val="30"/>
          <w:rFonts w:hint="eastAsia" w:ascii="黑体" w:hAnsi="黑体" w:eastAsia="黑体"/>
          <w:b w:val="0"/>
        </w:rPr>
        <w:t>国有资本经营预算支出决算情况说明</w:t>
      </w:r>
      <w:bookmarkEnd w:id="59"/>
      <w:bookmarkEnd w:id="60"/>
      <w:bookmarkEnd w:id="61"/>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2025年度国有资本经营预算财政拨款支出0万元。</w:t>
      </w:r>
    </w:p>
    <w:p>
      <w:pPr>
        <w:numPr>
          <w:ilvl w:val="0"/>
          <w:numId w:val="2"/>
        </w:numPr>
        <w:spacing w:line="600" w:lineRule="exact"/>
        <w:ind w:firstLine="640"/>
        <w:outlineLvl w:val="1"/>
        <w:rPr>
          <w:rStyle w:val="30"/>
          <w:rFonts w:ascii="黑体" w:hAnsi="黑体" w:eastAsia="黑体"/>
          <w:b w:val="0"/>
        </w:rPr>
      </w:pPr>
      <w:bookmarkStart w:id="62" w:name="_Toc9771"/>
      <w:bookmarkStart w:id="63" w:name="_Toc15377221"/>
      <w:bookmarkStart w:id="64" w:name="_Toc15396612"/>
      <w:r>
        <w:rPr>
          <w:rStyle w:val="30"/>
          <w:rFonts w:hint="eastAsia" w:ascii="黑体" w:hAnsi="黑体" w:eastAsia="黑体"/>
          <w:b w:val="0"/>
        </w:rPr>
        <w:t>其他重要事项的情况说明</w:t>
      </w:r>
      <w:bookmarkEnd w:id="62"/>
      <w:bookmarkEnd w:id="63"/>
      <w:bookmarkEnd w:id="64"/>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65" w:name="_Toc15377222"/>
      <w:r>
        <w:rPr>
          <w:rFonts w:hint="eastAsia" w:ascii="Times New Roman" w:hAnsi="Times New Roman" w:eastAsia="楷体_GB2312" w:cs="Times New Roman"/>
          <w:b/>
          <w:color w:val="auto"/>
          <w:sz w:val="32"/>
          <w:szCs w:val="32"/>
          <w:highlight w:val="none"/>
        </w:rPr>
        <w:t>（一）机关运行经费支出情况</w:t>
      </w:r>
      <w:bookmarkEnd w:id="65"/>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2025年度，四川省阿坝藏族羌族自治州茂县沟口镇卫生院机关运行经费支出0万元，与</w:t>
      </w:r>
      <w:r>
        <w:rPr>
          <w:rFonts w:hint="eastAsia" w:ascii="仿宋_GB2312" w:hAnsi="仿宋_GB2312" w:eastAsia="仿宋_GB2312" w:cs="仿宋_GB2312"/>
          <w:b w:val="0"/>
          <w:bCs w:val="0"/>
          <w:sz w:val="32"/>
          <w:szCs w:val="32"/>
          <w:lang w:val="en-US" w:eastAsia="zh-CN"/>
        </w:rPr>
        <w:t>2024年度相比</w:t>
      </w:r>
      <w:r>
        <w:rPr>
          <w:rFonts w:hint="eastAsia" w:ascii="仿宋_GB2312" w:hAnsi="仿宋_GB2312" w:eastAsia="仿宋_GB2312" w:cs="仿宋_GB2312"/>
          <w:b w:val="0"/>
          <w:bCs w:val="0"/>
          <w:sz w:val="32"/>
          <w:szCs w:val="32"/>
          <w:lang w:eastAsia="zh-CN"/>
        </w:rPr>
        <w:t>无变化。</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66" w:name="_Toc15377223"/>
      <w:r>
        <w:rPr>
          <w:rFonts w:hint="eastAsia" w:ascii="Times New Roman" w:hAnsi="Times New Roman" w:eastAsia="楷体_GB2312" w:cs="Times New Roman"/>
          <w:b/>
          <w:color w:val="auto"/>
          <w:sz w:val="32"/>
          <w:szCs w:val="32"/>
          <w:highlight w:val="none"/>
        </w:rPr>
        <w:t>（二）政府采购支出情况</w:t>
      </w:r>
      <w:bookmarkEnd w:id="66"/>
    </w:p>
    <w:p>
      <w:pPr>
        <w:spacing w:line="600" w:lineRule="exact"/>
        <w:ind w:firstLine="640"/>
        <w:rPr>
          <w:rFonts w:ascii="仿宋_GB2312" w:eastAsia="仿宋_GB2312"/>
          <w:b w:val="0"/>
          <w:bCs w:val="0"/>
          <w:sz w:val="32"/>
          <w:szCs w:val="32"/>
        </w:rPr>
      </w:pPr>
      <w:r>
        <w:rPr>
          <w:rFonts w:hint="eastAsia" w:ascii="仿宋_GB2312" w:hAnsi="仿宋_GB2312" w:eastAsia="仿宋_GB2312" w:cs="仿宋_GB2312"/>
          <w:b w:val="0"/>
          <w:bCs w:val="0"/>
          <w:sz w:val="32"/>
          <w:szCs w:val="32"/>
          <w:lang w:eastAsia="zh-CN"/>
        </w:rPr>
        <w:t>2025年度，四川省阿坝藏族羌族自治州茂县沟口镇卫生院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Times New Roman"/>
          <w:b/>
          <w:color w:val="auto"/>
          <w:sz w:val="32"/>
          <w:szCs w:val="32"/>
          <w:highlight w:val="none"/>
        </w:rPr>
      </w:pPr>
      <w:bookmarkStart w:id="67" w:name="_Toc15377224"/>
      <w:r>
        <w:rPr>
          <w:rFonts w:hint="eastAsia" w:ascii="Times New Roman" w:hAnsi="Times New Roman" w:eastAsia="楷体_GB2312" w:cs="Times New Roman"/>
          <w:b/>
          <w:color w:val="auto"/>
          <w:sz w:val="32"/>
          <w:szCs w:val="32"/>
          <w:highlight w:val="none"/>
        </w:rPr>
        <w:t>（三）国有资产占有使用情况</w:t>
      </w:r>
      <w:bookmarkEnd w:id="67"/>
    </w:p>
    <w:p>
      <w:pPr>
        <w:spacing w:line="600" w:lineRule="exact"/>
        <w:ind w:firstLine="640"/>
        <w:rPr>
          <w:rFonts w:ascii="仿宋_GB2312" w:eastAsia="仿宋_GB2312"/>
          <w:sz w:val="32"/>
          <w:szCs w:val="32"/>
        </w:rPr>
      </w:pPr>
      <w:r>
        <w:rPr>
          <w:rFonts w:hint="eastAsia" w:ascii="仿宋_GB2312" w:hAnsi="仿宋_GB2312" w:eastAsia="仿宋_GB2312" w:cs="仿宋_GB2312"/>
          <w:b w:val="0"/>
          <w:bCs w:val="0"/>
          <w:sz w:val="32"/>
          <w:szCs w:val="32"/>
          <w:lang w:eastAsia="zh-CN"/>
        </w:rPr>
        <w:t>截至2025年12月31日，四川省阿坝藏族羌族自治州茂县沟口镇卫生院共有车辆0辆，其中：主要领导干部用车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lang w:eastAsia="zh-CN"/>
        </w:rPr>
        <w:t>辆、机要通信用车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lang w:eastAsia="zh-CN"/>
        </w:rPr>
        <w:t>辆、应急保障用车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lang w:eastAsia="zh-CN"/>
        </w:rPr>
        <w:t>辆、其他用车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lang w:eastAsia="zh-CN"/>
        </w:rPr>
        <w:t>辆。单价100万元以上设备（不含车辆）0台（套）。</w:t>
      </w:r>
    </w:p>
    <w:p>
      <w:pPr>
        <w:pageBreakBefore w:val="0"/>
        <w:kinsoku/>
        <w:wordWrap/>
        <w:overflowPunct/>
        <w:topLinePunct w:val="0"/>
        <w:bidi w:val="0"/>
        <w:spacing w:line="576" w:lineRule="exact"/>
        <w:ind w:firstLine="642" w:firstLineChars="200"/>
        <w:textAlignment w:val="auto"/>
        <w:outlineLvl w:val="2"/>
        <w:rPr>
          <w:rFonts w:hint="default"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（四）预算绩效管理情况</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根据预算绩效管理要求，本单位在2025年度预算编制阶段，组织对基本公共卫生服务项目等</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个项目开展了预算事前绩效评估，对</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个项目编制了绩效目标，预算执行过程中，选取</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个项目开展绩效监控，组织对</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个项目开展绩效自评，绩效自评表详见第四部分附件。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pPr>
        <w:numPr>
          <w:ilvl w:val="0"/>
          <w:numId w:val="3"/>
        </w:numPr>
        <w:spacing w:line="600" w:lineRule="exact"/>
        <w:ind w:firstLine="660" w:firstLineChars="150"/>
        <w:jc w:val="center"/>
        <w:outlineLvl w:val="0"/>
        <w:rPr>
          <w:rFonts w:hint="eastAsia" w:ascii="方正小标宋简体" w:hAnsi="方正小标宋简体" w:eastAsia="方正小标宋简体" w:cs="方正小标宋简体"/>
          <w:b/>
          <w:sz w:val="44"/>
          <w:szCs w:val="44"/>
        </w:rPr>
      </w:pPr>
      <w:bookmarkStart w:id="68" w:name="_Toc15396613"/>
      <w:bookmarkStart w:id="69" w:name="_Toc3935"/>
      <w:bookmarkStart w:id="70" w:name="_Toc15377225"/>
      <w:r>
        <w:rPr>
          <w:rFonts w:hint="eastAsia" w:ascii="方正小标宋简体" w:hAnsi="方正小标宋简体" w:eastAsia="方正小标宋简体" w:cs="方正小标宋简体"/>
          <w:sz w:val="44"/>
          <w:szCs w:val="44"/>
        </w:rPr>
        <w:t>名</w:t>
      </w:r>
      <w:r>
        <w:rPr>
          <w:rStyle w:val="29"/>
          <w:rFonts w:hint="eastAsia" w:ascii="方正小标宋简体" w:hAnsi="方正小标宋简体" w:eastAsia="方正小标宋简体" w:cs="方正小标宋简体"/>
          <w:b w:val="0"/>
        </w:rPr>
        <w:t>词解释</w:t>
      </w:r>
      <w:bookmarkEnd w:id="68"/>
      <w:bookmarkEnd w:id="69"/>
      <w:bookmarkEnd w:id="70"/>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_GB2312"/>
          <w:b w:val="0"/>
          <w:i w:val="0"/>
          <w:color w:val="000000"/>
          <w:sz w:val="32"/>
          <w:szCs w:val="32"/>
        </w:rPr>
      </w:pPr>
      <w:bookmarkStart w:id="71" w:name="_Toc12380"/>
      <w:bookmarkStart w:id="72" w:name="_Toc15396614"/>
      <w:bookmarkStart w:id="73" w:name="_Toc15377226"/>
      <w:r>
        <w:rPr>
          <w:rFonts w:hint="eastAsia" w:ascii="仿宋" w:eastAsia="仿宋_GB2312"/>
          <w:b w:val="0"/>
          <w:i w:val="0"/>
          <w:color w:val="000000"/>
          <w:sz w:val="32"/>
          <w:szCs w:val="32"/>
        </w:rPr>
        <w:t>财政拨款收入：指单位从同级财政</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取得的财政预算资金。</w:t>
      </w:r>
      <w:bookmarkEnd w:id="71"/>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事业收入：指事业单位开展专业业务活动及辅助活动取得的收入。</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经营收入：指事业单位在专业业务活动及其辅助活动之外开展非独立核算经营活动取得的收入</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_GB2312"/>
          <w:b w:val="0"/>
          <w:i w:val="0"/>
          <w:color w:val="000000"/>
          <w:sz w:val="32"/>
          <w:szCs w:val="32"/>
        </w:rPr>
      </w:pPr>
      <w:bookmarkStart w:id="74" w:name="_Toc11831"/>
      <w:r>
        <w:rPr>
          <w:rFonts w:hint="eastAsia" w:ascii="仿宋" w:eastAsia="仿宋_GB2312"/>
          <w:b w:val="0"/>
          <w:i w:val="0"/>
          <w:color w:val="000000"/>
          <w:sz w:val="32"/>
          <w:szCs w:val="32"/>
        </w:rPr>
        <w:t>其他收入：指单位取得的除上述收入以外的各项收入。</w:t>
      </w:r>
      <w:bookmarkEnd w:id="74"/>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eastAsia="仿宋_GB2312"/>
          <w:b w:val="0"/>
          <w:i w:val="0"/>
          <w:color w:val="000000"/>
          <w:sz w:val="32"/>
          <w:szCs w:val="32"/>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年初结转和结余：指以前年度尚未完成、结转到本年按有关规定继续使用的资金。</w:t>
      </w:r>
      <w:r>
        <w:rPr>
          <w:rFonts w:ascii="仿宋" w:eastAsia="仿宋_GB2312"/>
          <w:b w:val="0"/>
          <w:i w:val="0"/>
          <w:color w:val="000000"/>
          <w:sz w:val="32"/>
          <w:szCs w:val="32"/>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结余分配：指事业单位按照事业单位会计制度的规定从非财政补助结余中分配的事业基金和职工福利基金等。</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年末结转和结余：指单位按有关规定结转到下年或以后年度继续使用的资金。</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社会保障和就业支出（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）行政事业单位养老支出（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）机关事业单位基本养老保险缴费支出（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）：反映机关事业单位实施养老保险制度由单位缴纳的基本养老保险费支出。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社会保障和就业支出（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）行政事业单位养老支出（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）机关事业单位职业年金缴费支出（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）：反映机关事业单位实施养老保险制度由单位实际缴纳的职业年金支出。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）基层医疗卫生机构（</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）乡镇卫生院（</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）：反映用于乡镇卫生院的支出。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）基层医疗卫生机构（</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）其他基层医疗卫生机构支出（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）：反映除上述项目以外的其他用于基层医疗卫生机构的支出。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）公共卫生（</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）基本公共卫生服务（</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）：反映基本公共卫生服务支出。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）行政事业单位医疗（</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）事业单位医疗（</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）：反映财政</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安排的事业单位基本医疗保险缴费经费，未参加医疗保险的事业单位的公费医疗经费，按国家规定享受离休人员待遇的医疗经费。</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）其他卫生健康支出（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）其他卫生健康支出（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）：反映除上述项以外其他用于卫生健康方面的支出。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住房保障支出（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）住房改革支出（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）住房公积金（</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）：反映行政事业单位按人力资源和社会保障部、财政部规定的基本工资和津贴补贴以及规定比例为职工缴纳的住房公积金。</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基本支出：指为保障机构正常运转、完成日常工作任务而发生的人员支出和公用支出。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 xml:space="preserve">项目支出：指在基本支出之外为完成特定行政任务和事业发展目标所发生的支出。 </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经营支出：指事业单位在专业业务活动及其辅助活动之外开展非独立核算经营活动发生的支出。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“三公”经费：指</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_GB2312" w:eastAsia="仿宋_GB2312" w:cs="黑体"/>
          <w:sz w:val="32"/>
          <w:szCs w:val="32"/>
        </w:rPr>
      </w:pPr>
      <w:r>
        <w:rPr>
          <w:rFonts w:hint="eastAsia" w:ascii="仿宋" w:eastAsia="仿宋_GB2312"/>
          <w:b w:val="0"/>
          <w:i w:val="0"/>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lang w:eastAsia="zh-CN"/>
        </w:rPr>
      </w:pPr>
      <w:r>
        <w:rPr>
          <w:rFonts w:hint="eastAsia" w:ascii="仿宋" w:eastAsia="仿宋_GB2312"/>
          <w:b w:val="0"/>
          <w:i w:val="0"/>
          <w:color w:val="000000"/>
          <w:sz w:val="32"/>
          <w:szCs w:val="32"/>
        </w:rPr>
        <w:t>财政应返还额度：为行政事业单位会计核算科目，用于核算实行国库集中支付的行政事业单位应收财政返还的资金额度</w:t>
      </w:r>
      <w:r>
        <w:rPr>
          <w:rFonts w:hint="eastAsia" w:ascii="仿宋" w:eastAsia="仿宋_GB2312"/>
          <w:b w:val="0"/>
          <w:i w:val="0"/>
          <w:color w:val="000000"/>
          <w:sz w:val="32"/>
          <w:szCs w:val="32"/>
          <w:lang w:eastAsia="zh-CN"/>
        </w:rPr>
        <w:t>。</w:t>
      </w:r>
    </w:p>
    <w:p>
      <w:pPr>
        <w:spacing w:line="600" w:lineRule="exact"/>
        <w:jc w:val="both"/>
        <w:outlineLvl w:val="9"/>
        <w:rPr>
          <w:rFonts w:hint="eastAsia" w:ascii="黑体" w:hAnsi="黑体" w:eastAsia="黑体"/>
          <w:sz w:val="44"/>
          <w:szCs w:val="44"/>
        </w:rPr>
      </w:pPr>
    </w:p>
    <w:p>
      <w:pPr>
        <w:spacing w:line="600" w:lineRule="exact"/>
        <w:jc w:val="center"/>
        <w:outlineLvl w:val="0"/>
        <w:rPr>
          <w:rStyle w:val="29"/>
          <w:rFonts w:hint="eastAsia" w:ascii="方正小标宋简体" w:hAnsi="方正小标宋简体" w:eastAsia="方正小标宋简体" w:cs="方正小标宋简体"/>
          <w:b w:val="0"/>
        </w:rPr>
      </w:pPr>
      <w:bookmarkStart w:id="75" w:name="_Toc23568"/>
      <w:r>
        <w:rPr>
          <w:rFonts w:hint="eastAsia" w:ascii="方正小标宋简体" w:hAnsi="方正小标宋简体" w:eastAsia="方正小标宋简体" w:cs="方正小标宋简体"/>
          <w:sz w:val="44"/>
          <w:szCs w:val="44"/>
        </w:rPr>
        <w:t>第</w:t>
      </w:r>
      <w:r>
        <w:rPr>
          <w:rStyle w:val="29"/>
          <w:rFonts w:hint="eastAsia" w:ascii="方正小标宋简体" w:hAnsi="方正小标宋简体" w:eastAsia="方正小标宋简体" w:cs="方正小标宋简体"/>
          <w:b w:val="0"/>
        </w:rPr>
        <w:t>四部分 附件</w:t>
      </w:r>
      <w:bookmarkEnd w:id="72"/>
      <w:bookmarkEnd w:id="75"/>
    </w:p>
    <w:tbl>
      <w:tblPr>
        <w:tblStyle w:val="17"/>
        <w:tblpPr w:leftFromText="180" w:rightFromText="180" w:vertAnchor="text" w:horzAnchor="page" w:tblpX="802" w:tblpY="252"/>
        <w:tblOverlap w:val="never"/>
        <w:tblW w:w="109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1286"/>
        <w:gridCol w:w="1258"/>
        <w:gridCol w:w="1635"/>
        <w:gridCol w:w="512"/>
        <w:gridCol w:w="1167"/>
        <w:gridCol w:w="460"/>
        <w:gridCol w:w="1081"/>
        <w:gridCol w:w="816"/>
        <w:gridCol w:w="816"/>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109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bookmarkStart w:id="76" w:name="_Toc15396618"/>
            <w:r>
              <w:rPr>
                <w:rFonts w:hint="eastAsia" w:ascii="仿宋_GB2312" w:hAnsi="仿宋_GB2312" w:eastAsia="仿宋_GB2312" w:cs="仿宋_GB2312"/>
                <w:b/>
                <w:bCs/>
                <w:i w:val="0"/>
                <w:iCs w:val="0"/>
                <w:color w:val="000000"/>
                <w:kern w:val="0"/>
                <w:sz w:val="20"/>
                <w:szCs w:val="2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c>
          <w:tcPr>
            <w:tcW w:w="1083"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2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茂县沟口镇卫生院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建立健全基层医疗卫生机构基本药物制度和落实多渠道基药补偿,让广大农牧民群众因病致贫、因病返贫、看病难、看病贵的问题得到有效缓解。</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通过该项目的实施，切实缓解了广大农牧民群众“因病致贫”“因病返贫”看病难、看病贵问题，减轻了广大农牧民就医经济负担，得到了实实在在的好处。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取消药品加成项目,有效缓解了全县农民群众因病致贫、因病返贫、看病难、看病贵的问题，全面提升了广大农民的健康水平，缩小城乡之间的差距。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实施基本药物制度的村卫生室占比</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实施基本药物制度的政府办基层医疗卫生机构占比</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基层医疗卫生机构“优质服务基层行”活动开展评价机构数比例</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乡村医生收入</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保持稳定</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保持稳定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可持续影响指标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基本药物制度在基层持续实施</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中长期</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中长期</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对基本药物制度补助满意度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医院医务人员满意度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1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iCs/>
                <w:color w:val="000000"/>
                <w:sz w:val="20"/>
                <w:szCs w:val="20"/>
                <w:u w:val="none"/>
              </w:rPr>
            </w:pPr>
            <w:r>
              <w:rPr>
                <w:rFonts w:hint="eastAsia" w:ascii="仿宋_GB2312" w:hAnsi="仿宋_GB2312" w:eastAsia="仿宋_GB2312" w:cs="仿宋_GB2312"/>
                <w:i/>
                <w:iCs/>
                <w:color w:val="000000"/>
                <w:kern w:val="0"/>
                <w:sz w:val="20"/>
                <w:szCs w:val="20"/>
                <w:u w:val="none"/>
                <w:lang w:val="en-US" w:eastAsia="zh-CN" w:bidi="ar"/>
              </w:rPr>
              <w:t>切实缓解广大农牧民群众“因病致贫”、“因病返贫”问题的重要途径，就医经济负担有所减轻，农民得到了实实在在的好处，全面提升了广大农民的健康水平缩小城乡之间的差距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项目负责人：陈太亮</w:t>
            </w:r>
          </w:p>
        </w:tc>
        <w:tc>
          <w:tcPr>
            <w:tcW w:w="5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财务负责人：苏忠琼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309"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280"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669"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515"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p>
            <w:pPr>
              <w:rPr>
                <w:rFonts w:hint="eastAsia" w:ascii="仿宋_GB2312" w:hAnsi="仿宋_GB2312" w:eastAsia="仿宋_GB2312" w:cs="仿宋_GB2312"/>
                <w:i w:val="0"/>
                <w:iCs w:val="0"/>
                <w:color w:val="000000"/>
                <w:sz w:val="20"/>
                <w:szCs w:val="20"/>
                <w:u w:val="none"/>
              </w:rPr>
            </w:pPr>
          </w:p>
          <w:p>
            <w:pPr>
              <w:rPr>
                <w:rFonts w:hint="eastAsia" w:ascii="仿宋_GB2312" w:hAnsi="仿宋_GB2312" w:eastAsia="仿宋_GB2312" w:cs="仿宋_GB2312"/>
                <w:i w:val="0"/>
                <w:iCs w:val="0"/>
                <w:color w:val="000000"/>
                <w:sz w:val="20"/>
                <w:szCs w:val="20"/>
                <w:u w:val="none"/>
              </w:rPr>
            </w:pPr>
          </w:p>
          <w:p>
            <w:pPr>
              <w:rPr>
                <w:rFonts w:hint="eastAsia" w:ascii="仿宋_GB2312" w:hAnsi="仿宋_GB2312" w:eastAsia="仿宋_GB2312" w:cs="仿宋_GB2312"/>
                <w:i w:val="0"/>
                <w:iCs w:val="0"/>
                <w:color w:val="000000"/>
                <w:sz w:val="20"/>
                <w:szCs w:val="20"/>
                <w:u w:val="none"/>
              </w:rPr>
            </w:pPr>
          </w:p>
          <w:p>
            <w:pPr>
              <w:rPr>
                <w:rFonts w:hint="eastAsia" w:ascii="仿宋_GB2312" w:hAnsi="仿宋_GB2312" w:eastAsia="仿宋_GB2312" w:cs="仿宋_GB2312"/>
                <w:i w:val="0"/>
                <w:iCs w:val="0"/>
                <w:color w:val="000000"/>
                <w:sz w:val="20"/>
                <w:szCs w:val="20"/>
                <w:u w:val="none"/>
              </w:rPr>
            </w:pPr>
          </w:p>
        </w:tc>
        <w:tc>
          <w:tcPr>
            <w:tcW w:w="1172"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p>
            <w:pPr>
              <w:rPr>
                <w:rFonts w:hint="eastAsia" w:ascii="仿宋_GB2312" w:hAnsi="仿宋_GB2312" w:eastAsia="仿宋_GB2312" w:cs="仿宋_GB2312"/>
                <w:i w:val="0"/>
                <w:iCs w:val="0"/>
                <w:color w:val="000000"/>
                <w:sz w:val="20"/>
                <w:szCs w:val="20"/>
                <w:u w:val="none"/>
              </w:rPr>
            </w:pPr>
          </w:p>
        </w:tc>
        <w:tc>
          <w:tcPr>
            <w:tcW w:w="461"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083"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756"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756"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257" w:type="dxa"/>
            <w:tcBorders>
              <w:top w:val="nil"/>
              <w:left w:val="nil"/>
              <w:bottom w:val="nil"/>
              <w:right w:val="nil"/>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9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基本公共卫生服务项目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c>
          <w:tcPr>
            <w:tcW w:w="1083"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2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茂县沟口镇卫生院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该项目实施，保障了部分慢性病（如高血压、糖尿病）、65岁以上老年人、0-6岁儿童、孕产妇、结核病、重性精神疾病患者等重点人群得到了规范化、系统化的管理和治疗，有效防控相关疾病，大幅度提高了广大人群平均期望寿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项目实施，保障部分慢性病（如高血压、糖尿病）、65岁以上老年人、0-6岁儿童、孕产妇、结核病、重性精神疾病患者等重点人群能得到规范化、系统化的管理、治疗，有效防控了相关疾病，从而大幅度提高了广大人群平均期望寿命，继实施新农合政策后的又一项医疗卫生民生工程，它改变了病人的求医理念，从过去传统的被动就医到现在的主动就诊、求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2.66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iCs/>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服务基本公共卫生服务人数</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4,007.00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4,007.00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居民健康档案建档人数</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4,007.00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4,007.00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2型糖尿病患者基层规范管理服务率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高血压患者基层规范管理服务率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居民规范化电子健康档案覆盖率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社会效益指标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居民健康素养水平</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不断提高</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不断提高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5"/>
                <w:rFonts w:hint="eastAsia" w:ascii="仿宋_GB2312" w:hAnsi="仿宋_GB2312" w:eastAsia="仿宋_GB2312" w:cs="仿宋_GB2312"/>
                <w:sz w:val="20"/>
                <w:szCs w:val="20"/>
                <w:lang w:val="en-US" w:eastAsia="zh-CN" w:bidi="ar"/>
              </w:rPr>
              <w:t>服务对象满意度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iCs/>
                <w:color w:val="000000"/>
                <w:sz w:val="20"/>
                <w:szCs w:val="20"/>
                <w:u w:val="none"/>
              </w:rPr>
            </w:pPr>
            <w:r>
              <w:rPr>
                <w:rFonts w:hint="eastAsia" w:ascii="仿宋_GB2312" w:hAnsi="仿宋_GB2312" w:eastAsia="仿宋_GB2312" w:cs="仿宋_GB2312"/>
                <w:i/>
                <w:iCs/>
                <w:color w:val="000000"/>
                <w:kern w:val="0"/>
                <w:sz w:val="20"/>
                <w:szCs w:val="20"/>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iCs/>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项目负责人：陈太亮</w:t>
            </w:r>
          </w:p>
        </w:tc>
        <w:tc>
          <w:tcPr>
            <w:tcW w:w="5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财务负责人：苏忠琼</w:t>
            </w:r>
          </w:p>
        </w:tc>
      </w:tr>
    </w:tbl>
    <w:p>
      <w:pPr>
        <w:pStyle w:val="7"/>
        <w:spacing w:before="93"/>
        <w:rPr>
          <w:rFonts w:hAnsi="Calibri" w:cs="仿宋"/>
          <w:sz w:val="32"/>
          <w:szCs w:val="32"/>
        </w:rPr>
      </w:pPr>
    </w:p>
    <w:p>
      <w:pPr>
        <w:pStyle w:val="7"/>
        <w:spacing w:before="93"/>
        <w:rPr>
          <w:rFonts w:hAnsi="Calibri" w:cs="仿宋"/>
          <w:sz w:val="32"/>
          <w:szCs w:val="32"/>
        </w:rPr>
      </w:pPr>
    </w:p>
    <w:p>
      <w:pPr>
        <w:pStyle w:val="7"/>
        <w:spacing w:before="93"/>
        <w:rPr>
          <w:rFonts w:hAnsi="Calibri" w:cs="仿宋"/>
          <w:sz w:val="32"/>
          <w:szCs w:val="32"/>
        </w:rPr>
      </w:pPr>
    </w:p>
    <w:p>
      <w:pPr>
        <w:pStyle w:val="7"/>
        <w:spacing w:before="93"/>
        <w:rPr>
          <w:rFonts w:hAnsi="Calibri" w:cs="仿宋"/>
          <w:sz w:val="32"/>
          <w:szCs w:val="32"/>
        </w:rPr>
      </w:pPr>
    </w:p>
    <w:p>
      <w:pPr>
        <w:pStyle w:val="7"/>
        <w:spacing w:before="93"/>
        <w:rPr>
          <w:rFonts w:hAnsi="Calibri" w:cs="仿宋"/>
          <w:sz w:val="32"/>
          <w:szCs w:val="32"/>
        </w:rPr>
      </w:pPr>
    </w:p>
    <w:p>
      <w:pPr>
        <w:pStyle w:val="7"/>
        <w:spacing w:before="93"/>
        <w:rPr>
          <w:rFonts w:hAnsi="Calibri" w:cs="仿宋"/>
          <w:sz w:val="32"/>
          <w:szCs w:val="32"/>
        </w:rPr>
      </w:pPr>
    </w:p>
    <w:p>
      <w:pPr>
        <w:spacing w:line="600" w:lineRule="exact"/>
        <w:jc w:val="center"/>
        <w:outlineLvl w:val="0"/>
        <w:rPr>
          <w:rFonts w:hint="eastAsia" w:ascii="仿宋" w:hAnsi="仿宋" w:eastAsia="黑体"/>
          <w:lang w:val="en-US" w:eastAsia="zh-CN"/>
        </w:rPr>
      </w:pPr>
      <w:bookmarkStart w:id="77" w:name="_Toc17226"/>
      <w:r>
        <w:rPr>
          <w:rFonts w:hint="eastAsia" w:ascii="方正小标宋简体" w:hAnsi="方正小标宋简体" w:eastAsia="方正小标宋简体" w:cs="方正小标宋简体"/>
          <w:sz w:val="44"/>
          <w:szCs w:val="44"/>
        </w:rPr>
        <w:t>第</w:t>
      </w:r>
      <w:r>
        <w:rPr>
          <w:rStyle w:val="29"/>
          <w:rFonts w:hint="eastAsia" w:ascii="方正小标宋简体" w:hAnsi="方正小标宋简体" w:eastAsia="方正小标宋简体" w:cs="方正小标宋简体"/>
          <w:b w:val="0"/>
          <w:sz w:val="44"/>
          <w:szCs w:val="44"/>
        </w:rPr>
        <w:t>五部分 附表</w:t>
      </w:r>
      <w:bookmarkEnd w:id="73"/>
      <w:bookmarkEnd w:id="76"/>
      <w:bookmarkEnd w:id="77"/>
      <w:bookmarkStart w:id="78" w:name="_Toc15396619"/>
      <w:r>
        <w:rPr>
          <w:rStyle w:val="29"/>
          <w:rFonts w:hint="eastAsia" w:ascii="黑体" w:hAnsi="黑体" w:eastAsia="黑体"/>
          <w:b w:val="0"/>
          <w:lang w:val="en-US" w:eastAsia="zh-CN"/>
        </w:rPr>
        <w:t xml:space="preserve"> </w:t>
      </w:r>
    </w:p>
    <w:p>
      <w:pPr>
        <w:pStyle w:val="4"/>
        <w:rPr>
          <w:rFonts w:hint="eastAsia" w:ascii="仿宋_GB2312" w:hAnsi="仿宋_GB2312" w:eastAsia="仿宋_GB2312" w:cs="仿宋_GB2312"/>
        </w:rPr>
      </w:pPr>
      <w:bookmarkStart w:id="79" w:name="_Toc31280"/>
      <w:r>
        <w:rPr>
          <w:rFonts w:hint="eastAsia" w:ascii="仿宋_GB2312" w:hAnsi="仿宋_GB2312" w:eastAsia="仿宋_GB2312" w:cs="仿宋_GB2312"/>
          <w:b w:val="0"/>
        </w:rPr>
        <w:t>一、收</w:t>
      </w:r>
      <w:r>
        <w:rPr>
          <w:rStyle w:val="30"/>
          <w:rFonts w:hint="eastAsia" w:ascii="仿宋_GB2312" w:hAnsi="仿宋_GB2312" w:eastAsia="仿宋_GB2312" w:cs="仿宋_GB2312"/>
          <w:b w:val="0"/>
          <w:bCs w:val="0"/>
        </w:rPr>
        <w:t>入支出决算总表</w:t>
      </w:r>
      <w:bookmarkEnd w:id="78"/>
      <w:bookmarkEnd w:id="79"/>
    </w:p>
    <w:p>
      <w:pPr>
        <w:pStyle w:val="4"/>
        <w:rPr>
          <w:rFonts w:hint="eastAsia" w:ascii="仿宋_GB2312" w:hAnsi="仿宋_GB2312" w:eastAsia="仿宋_GB2312" w:cs="仿宋_GB2312"/>
        </w:rPr>
      </w:pPr>
      <w:bookmarkStart w:id="80" w:name="_Toc15396620"/>
      <w:bookmarkStart w:id="81" w:name="_Toc3120"/>
      <w:r>
        <w:rPr>
          <w:rFonts w:hint="eastAsia" w:ascii="仿宋_GB2312" w:hAnsi="仿宋_GB2312" w:eastAsia="仿宋_GB2312" w:cs="仿宋_GB2312"/>
          <w:b w:val="0"/>
        </w:rPr>
        <w:t>二、收</w:t>
      </w:r>
      <w:r>
        <w:rPr>
          <w:rStyle w:val="30"/>
          <w:rFonts w:hint="eastAsia" w:ascii="仿宋_GB2312" w:hAnsi="仿宋_GB2312" w:eastAsia="仿宋_GB2312" w:cs="仿宋_GB2312"/>
          <w:b w:val="0"/>
          <w:bCs w:val="0"/>
        </w:rPr>
        <w:t>入决算表</w:t>
      </w:r>
      <w:bookmarkEnd w:id="80"/>
      <w:bookmarkEnd w:id="81"/>
    </w:p>
    <w:p>
      <w:pPr>
        <w:pStyle w:val="4"/>
        <w:rPr>
          <w:rFonts w:hint="eastAsia" w:ascii="仿宋_GB2312" w:hAnsi="仿宋_GB2312" w:eastAsia="仿宋_GB2312" w:cs="仿宋_GB2312"/>
        </w:rPr>
      </w:pPr>
      <w:bookmarkStart w:id="82" w:name="_Toc31943"/>
      <w:bookmarkStart w:id="83" w:name="_Toc15396621"/>
      <w:r>
        <w:rPr>
          <w:rStyle w:val="30"/>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30"/>
          <w:rFonts w:hint="eastAsia" w:ascii="仿宋_GB2312" w:hAnsi="仿宋_GB2312" w:eastAsia="仿宋_GB2312" w:cs="仿宋_GB2312"/>
          <w:b w:val="0"/>
          <w:bCs w:val="0"/>
        </w:rPr>
        <w:t>出决算表</w:t>
      </w:r>
      <w:bookmarkEnd w:id="82"/>
      <w:bookmarkEnd w:id="83"/>
    </w:p>
    <w:p>
      <w:pPr>
        <w:pStyle w:val="4"/>
        <w:rPr>
          <w:rFonts w:hint="eastAsia" w:ascii="仿宋_GB2312" w:hAnsi="仿宋_GB2312" w:eastAsia="仿宋_GB2312" w:cs="仿宋_GB2312"/>
          <w:b w:val="0"/>
        </w:rPr>
      </w:pPr>
      <w:bookmarkStart w:id="84" w:name="_Toc5931"/>
      <w:bookmarkStart w:id="85" w:name="_Toc15396622"/>
      <w:r>
        <w:rPr>
          <w:rStyle w:val="30"/>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30"/>
          <w:rFonts w:hint="eastAsia" w:ascii="仿宋_GB2312" w:hAnsi="仿宋_GB2312" w:eastAsia="仿宋_GB2312" w:cs="仿宋_GB2312"/>
          <w:b w:val="0"/>
          <w:bCs w:val="0"/>
        </w:rPr>
        <w:t>政拨款收入支出决算总表</w:t>
      </w:r>
      <w:bookmarkEnd w:id="84"/>
      <w:bookmarkEnd w:id="85"/>
    </w:p>
    <w:p>
      <w:pPr>
        <w:pStyle w:val="4"/>
        <w:rPr>
          <w:rStyle w:val="30"/>
          <w:rFonts w:hint="eastAsia" w:ascii="仿宋_GB2312" w:hAnsi="仿宋_GB2312" w:eastAsia="仿宋_GB2312" w:cs="仿宋_GB2312"/>
          <w:b w:val="0"/>
          <w:bCs w:val="0"/>
        </w:rPr>
      </w:pPr>
      <w:bookmarkStart w:id="86" w:name="_Toc9137"/>
      <w:bookmarkStart w:id="87" w:name="_Toc15396623"/>
      <w:r>
        <w:rPr>
          <w:rStyle w:val="30"/>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30"/>
          <w:rFonts w:hint="eastAsia" w:ascii="仿宋_GB2312" w:hAnsi="仿宋_GB2312" w:eastAsia="仿宋_GB2312" w:cs="仿宋_GB2312"/>
          <w:b w:val="0"/>
          <w:bCs w:val="0"/>
        </w:rPr>
        <w:t>政拨款支出决算明细表</w:t>
      </w:r>
      <w:bookmarkEnd w:id="86"/>
      <w:bookmarkEnd w:id="87"/>
      <w:bookmarkStart w:id="88" w:name="_Toc15396624"/>
    </w:p>
    <w:p>
      <w:pPr>
        <w:pStyle w:val="4"/>
        <w:rPr>
          <w:rFonts w:hint="eastAsia" w:ascii="仿宋_GB2312" w:hAnsi="仿宋_GB2312" w:eastAsia="仿宋_GB2312" w:cs="仿宋_GB2312"/>
        </w:rPr>
      </w:pPr>
      <w:bookmarkStart w:id="89" w:name="_Toc19067"/>
      <w:r>
        <w:rPr>
          <w:rStyle w:val="30"/>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30"/>
          <w:rFonts w:hint="eastAsia" w:ascii="仿宋_GB2312" w:hAnsi="仿宋_GB2312" w:eastAsia="仿宋_GB2312" w:cs="仿宋_GB2312"/>
          <w:b w:val="0"/>
          <w:bCs w:val="0"/>
        </w:rPr>
        <w:t>般公共预算财政拨款支出决算表</w:t>
      </w:r>
      <w:bookmarkEnd w:id="88"/>
      <w:bookmarkEnd w:id="89"/>
    </w:p>
    <w:p>
      <w:pPr>
        <w:pStyle w:val="4"/>
        <w:rPr>
          <w:rFonts w:hint="eastAsia" w:ascii="仿宋_GB2312" w:hAnsi="仿宋_GB2312" w:eastAsia="仿宋_GB2312" w:cs="仿宋_GB2312"/>
        </w:rPr>
      </w:pPr>
      <w:bookmarkStart w:id="90" w:name="_Toc15396625"/>
      <w:bookmarkStart w:id="91" w:name="_Toc4791"/>
      <w:r>
        <w:rPr>
          <w:rStyle w:val="30"/>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30"/>
          <w:rFonts w:hint="eastAsia" w:ascii="仿宋_GB2312" w:hAnsi="仿宋_GB2312" w:eastAsia="仿宋_GB2312" w:cs="仿宋_GB2312"/>
          <w:b w:val="0"/>
          <w:bCs w:val="0"/>
        </w:rPr>
        <w:t>般公共预算财政拨款支出决算明细表</w:t>
      </w:r>
      <w:bookmarkEnd w:id="90"/>
      <w:bookmarkEnd w:id="91"/>
    </w:p>
    <w:p>
      <w:pPr>
        <w:pStyle w:val="4"/>
        <w:rPr>
          <w:rFonts w:hint="eastAsia" w:ascii="仿宋_GB2312" w:hAnsi="仿宋_GB2312" w:eastAsia="仿宋_GB2312" w:cs="仿宋_GB2312"/>
        </w:rPr>
      </w:pPr>
      <w:bookmarkStart w:id="92" w:name="_Toc24358"/>
      <w:bookmarkStart w:id="93" w:name="_Toc15396626"/>
      <w:r>
        <w:rPr>
          <w:rStyle w:val="30"/>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30"/>
          <w:rFonts w:hint="eastAsia" w:ascii="仿宋_GB2312" w:hAnsi="仿宋_GB2312" w:eastAsia="仿宋_GB2312" w:cs="仿宋_GB2312"/>
          <w:b w:val="0"/>
          <w:bCs w:val="0"/>
        </w:rPr>
        <w:t>般公共预算财政拨款基本支出决算表</w:t>
      </w:r>
      <w:bookmarkEnd w:id="92"/>
      <w:bookmarkEnd w:id="93"/>
    </w:p>
    <w:p>
      <w:pPr>
        <w:pStyle w:val="4"/>
        <w:rPr>
          <w:rFonts w:hint="eastAsia" w:ascii="仿宋_GB2312" w:hAnsi="仿宋_GB2312" w:eastAsia="仿宋_GB2312" w:cs="仿宋_GB2312"/>
        </w:rPr>
      </w:pPr>
      <w:bookmarkStart w:id="94" w:name="_Toc15396627"/>
      <w:bookmarkStart w:id="95" w:name="_Toc14756"/>
      <w:r>
        <w:rPr>
          <w:rStyle w:val="30"/>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30"/>
          <w:rFonts w:hint="eastAsia" w:ascii="仿宋_GB2312" w:hAnsi="仿宋_GB2312" w:eastAsia="仿宋_GB2312" w:cs="仿宋_GB2312"/>
          <w:b w:val="0"/>
          <w:bCs w:val="0"/>
        </w:rPr>
        <w:t>般公共预算财政拨款项目支出决算表</w:t>
      </w:r>
      <w:bookmarkEnd w:id="94"/>
      <w:bookmarkEnd w:id="95"/>
    </w:p>
    <w:p>
      <w:pPr>
        <w:pStyle w:val="4"/>
        <w:rPr>
          <w:rFonts w:hint="eastAsia" w:ascii="仿宋_GB2312" w:hAnsi="仿宋_GB2312" w:eastAsia="仿宋_GB2312" w:cs="仿宋_GB2312"/>
        </w:rPr>
      </w:pPr>
      <w:bookmarkStart w:id="96" w:name="_Toc15396628"/>
      <w:bookmarkStart w:id="97" w:name="_Toc7482"/>
      <w:r>
        <w:rPr>
          <w:rStyle w:val="30"/>
          <w:rFonts w:hint="eastAsia" w:ascii="仿宋_GB2312" w:hAnsi="仿宋_GB2312" w:eastAsia="仿宋_GB2312" w:cs="仿宋_GB2312"/>
          <w:b w:val="0"/>
          <w:bCs w:val="0"/>
        </w:rPr>
        <w:t>十、</w:t>
      </w:r>
      <w:bookmarkEnd w:id="96"/>
      <w:r>
        <w:rPr>
          <w:rFonts w:hint="eastAsia" w:ascii="仿宋_GB2312" w:hAnsi="仿宋_GB2312" w:eastAsia="仿宋_GB2312" w:cs="仿宋_GB2312"/>
          <w:b w:val="0"/>
        </w:rPr>
        <w:t>政</w:t>
      </w:r>
      <w:r>
        <w:rPr>
          <w:rStyle w:val="30"/>
          <w:rFonts w:hint="eastAsia" w:ascii="仿宋_GB2312" w:hAnsi="仿宋_GB2312" w:eastAsia="仿宋_GB2312" w:cs="仿宋_GB2312"/>
          <w:b w:val="0"/>
          <w:bCs w:val="0"/>
        </w:rPr>
        <w:t>府性基金预算财政拨款收入支出决算表</w:t>
      </w:r>
      <w:bookmarkEnd w:id="97"/>
    </w:p>
    <w:p>
      <w:pPr>
        <w:pStyle w:val="4"/>
        <w:rPr>
          <w:rFonts w:hint="eastAsia" w:ascii="仿宋_GB2312" w:hAnsi="仿宋_GB2312" w:eastAsia="仿宋_GB2312" w:cs="仿宋_GB2312"/>
        </w:rPr>
      </w:pPr>
      <w:bookmarkStart w:id="98" w:name="_Toc15396629"/>
      <w:bookmarkStart w:id="99" w:name="_Toc16882"/>
      <w:r>
        <w:rPr>
          <w:rStyle w:val="30"/>
          <w:rFonts w:hint="eastAsia" w:ascii="仿宋_GB2312" w:hAnsi="仿宋_GB2312" w:eastAsia="仿宋_GB2312" w:cs="仿宋_GB2312"/>
          <w:b w:val="0"/>
          <w:bCs w:val="0"/>
        </w:rPr>
        <w:t>十一、</w:t>
      </w:r>
      <w:bookmarkEnd w:id="98"/>
      <w:r>
        <w:rPr>
          <w:rFonts w:hint="eastAsia" w:ascii="仿宋_GB2312" w:hAnsi="仿宋_GB2312" w:eastAsia="仿宋_GB2312" w:cs="仿宋_GB2312"/>
          <w:b w:val="0"/>
        </w:rPr>
        <w:t>国</w:t>
      </w:r>
      <w:r>
        <w:rPr>
          <w:rStyle w:val="30"/>
          <w:rFonts w:hint="eastAsia" w:ascii="仿宋_GB2312" w:hAnsi="仿宋_GB2312" w:eastAsia="仿宋_GB2312" w:cs="仿宋_GB2312"/>
          <w:b w:val="0"/>
          <w:bCs w:val="0"/>
        </w:rPr>
        <w:t>有资本经营预算财政拨款收入支出决算表</w:t>
      </w:r>
      <w:bookmarkEnd w:id="99"/>
    </w:p>
    <w:p>
      <w:pPr>
        <w:pStyle w:val="4"/>
        <w:rPr>
          <w:rFonts w:hint="eastAsia" w:ascii="仿宋_GB2312" w:hAnsi="仿宋_GB2312" w:eastAsia="仿宋_GB2312" w:cs="仿宋_GB2312"/>
        </w:rPr>
      </w:pPr>
      <w:bookmarkStart w:id="100" w:name="_Toc15396630"/>
      <w:bookmarkStart w:id="101" w:name="_Toc11089"/>
      <w:r>
        <w:rPr>
          <w:rStyle w:val="30"/>
          <w:rFonts w:hint="eastAsia" w:ascii="仿宋_GB2312" w:hAnsi="仿宋_GB2312" w:eastAsia="仿宋_GB2312" w:cs="仿宋_GB2312"/>
          <w:b w:val="0"/>
          <w:bCs w:val="0"/>
        </w:rPr>
        <w:t>十二、</w:t>
      </w:r>
      <w:bookmarkEnd w:id="100"/>
      <w:r>
        <w:rPr>
          <w:rStyle w:val="30"/>
          <w:rFonts w:hint="eastAsia" w:ascii="仿宋_GB2312" w:hAnsi="仿宋_GB2312" w:eastAsia="仿宋_GB2312" w:cs="仿宋_GB2312"/>
          <w:b w:val="0"/>
          <w:bCs w:val="0"/>
        </w:rPr>
        <w:t>国有资本经营预算财政拨款支出决算表</w:t>
      </w:r>
      <w:bookmarkEnd w:id="101"/>
    </w:p>
    <w:p>
      <w:pPr>
        <w:pStyle w:val="4"/>
        <w:rPr>
          <w:rFonts w:hint="eastAsia" w:ascii="仿宋_GB2312" w:hAnsi="仿宋_GB2312" w:eastAsia="仿宋_GB2312" w:cs="仿宋_GB2312"/>
        </w:rPr>
      </w:pPr>
      <w:bookmarkStart w:id="102" w:name="_Toc15396631"/>
      <w:bookmarkStart w:id="103" w:name="_Toc22227"/>
      <w:r>
        <w:rPr>
          <w:rStyle w:val="30"/>
          <w:rFonts w:hint="eastAsia" w:ascii="仿宋_GB2312" w:hAnsi="仿宋_GB2312" w:eastAsia="仿宋_GB2312" w:cs="仿宋_GB2312"/>
          <w:b w:val="0"/>
          <w:bCs w:val="0"/>
        </w:rPr>
        <w:t>十三、</w:t>
      </w:r>
      <w:bookmarkEnd w:id="102"/>
      <w:r>
        <w:rPr>
          <w:rStyle w:val="30"/>
          <w:rFonts w:hint="eastAsia" w:ascii="仿宋_GB2312" w:hAnsi="仿宋_GB2312" w:eastAsia="仿宋_GB2312" w:cs="仿宋_GB2312"/>
          <w:b w:val="0"/>
          <w:bCs w:val="0"/>
        </w:rPr>
        <w:t>财政拨款“三公”经费支出决算表</w:t>
      </w:r>
      <w:bookmarkEnd w:id="103"/>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Helvetica">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11"/>
          <w:jc w:val="center"/>
        </w:pPr>
      </w:p>
    </w:sdtContent>
  </w:sdt>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334"/>
                          </w:sdtPr>
                          <w:sdtContent>
                            <w:p>
                              <w:pPr>
                                <w:pStyle w:val="11"/>
                                <w:jc w:val="center"/>
                              </w:pPr>
                              <w:r>
                                <w:fldChar w:fldCharType="begin"/>
                              </w:r>
                              <w:r>
                                <w:instrText xml:space="preserve">PAGE   \* MERGEFORMAT</w:instrText>
                              </w:r>
                              <w:r>
                                <w:fldChar w:fldCharType="separate"/>
                              </w:r>
                              <w:r>
                                <w:rPr>
                                  <w:lang w:val="zh-CN"/>
                                </w:rPr>
                                <w:t>15</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sdt>
                    <w:sdtPr>
                      <w:id w:val="147471334"/>
                    </w:sdtPr>
                    <w:sdtContent>
                      <w:p>
                        <w:pPr>
                          <w:pStyle w:val="11"/>
                          <w:jc w:val="center"/>
                        </w:pPr>
                        <w:r>
                          <w:fldChar w:fldCharType="begin"/>
                        </w:r>
                        <w:r>
                          <w:instrText xml:space="preserve">PAGE   \* MERGEFORMAT</w:instrText>
                        </w:r>
                        <w:r>
                          <w:fldChar w:fldCharType="separate"/>
                        </w:r>
                        <w:r>
                          <w:rPr>
                            <w:lang w:val="zh-CN"/>
                          </w:rPr>
                          <w:t>15</w:t>
                        </w:r>
                        <w:r>
                          <w:fldChar w:fldCharType="end"/>
                        </w:r>
                      </w:p>
                    </w:sdtContent>
                  </w:sdt>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5BB54"/>
    <w:multiLevelType w:val="singleLevel"/>
    <w:tmpl w:val="A775BB54"/>
    <w:lvl w:ilvl="0" w:tentative="0">
      <w:start w:val="1"/>
      <w:numFmt w:val="decimal"/>
      <w:suff w:val="space"/>
      <w:lvlText w:val="%1."/>
      <w:lvlJc w:val="left"/>
      <w:pPr>
        <w:ind w:left="0" w:firstLine="0"/>
      </w:pPr>
      <w:rPr>
        <w:rFonts w:hint="default"/>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方正小标宋简体" w:hAnsi="方正小标宋简体" w:eastAsia="方正小标宋简体" w:cs="方正小标宋简体"/>
        <w:sz w:val="44"/>
        <w:szCs w:val="44"/>
      </w:rPr>
    </w:lvl>
  </w:abstractNum>
  <w:abstractNum w:abstractNumId="3">
    <w:nsid w:val="1272550B"/>
    <w:multiLevelType w:val="multilevel"/>
    <w:tmpl w:val="1272550B"/>
    <w:lvl w:ilvl="0" w:tentative="0">
      <w:start w:val="1"/>
      <w:numFmt w:val="japaneseCounting"/>
      <w:lvlText w:val="%1、"/>
      <w:lvlJc w:val="left"/>
      <w:pPr>
        <w:ind w:left="135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2U2NThhMDg2ZGRlYTQyNzdlM2UzMGY3ZjEwN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8E7C76"/>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630D0"/>
    <w:rsid w:val="011D6260"/>
    <w:rsid w:val="012810B4"/>
    <w:rsid w:val="01422674"/>
    <w:rsid w:val="01D54D98"/>
    <w:rsid w:val="024C0DD3"/>
    <w:rsid w:val="025905B8"/>
    <w:rsid w:val="02B01361"/>
    <w:rsid w:val="035166A0"/>
    <w:rsid w:val="036860A2"/>
    <w:rsid w:val="03DC2831"/>
    <w:rsid w:val="04294F27"/>
    <w:rsid w:val="04FF3EDA"/>
    <w:rsid w:val="068A3C77"/>
    <w:rsid w:val="073C7E19"/>
    <w:rsid w:val="076020AA"/>
    <w:rsid w:val="081B5E94"/>
    <w:rsid w:val="08223565"/>
    <w:rsid w:val="08DC593C"/>
    <w:rsid w:val="08F25C89"/>
    <w:rsid w:val="099E1F14"/>
    <w:rsid w:val="0A2032A3"/>
    <w:rsid w:val="0B8A37D8"/>
    <w:rsid w:val="0BE67494"/>
    <w:rsid w:val="0C2634B8"/>
    <w:rsid w:val="0CB33F28"/>
    <w:rsid w:val="0D026C5D"/>
    <w:rsid w:val="0D943797"/>
    <w:rsid w:val="0EF77D1B"/>
    <w:rsid w:val="0F5FFB2F"/>
    <w:rsid w:val="0FFFCF60"/>
    <w:rsid w:val="106D2640"/>
    <w:rsid w:val="10C055FF"/>
    <w:rsid w:val="10F51BB7"/>
    <w:rsid w:val="118107EC"/>
    <w:rsid w:val="11DD6519"/>
    <w:rsid w:val="120A5DA9"/>
    <w:rsid w:val="13274D28"/>
    <w:rsid w:val="14164D9C"/>
    <w:rsid w:val="14E05B4D"/>
    <w:rsid w:val="14EF780E"/>
    <w:rsid w:val="1602382A"/>
    <w:rsid w:val="16710696"/>
    <w:rsid w:val="16BB723D"/>
    <w:rsid w:val="17EC6540"/>
    <w:rsid w:val="18015F3F"/>
    <w:rsid w:val="180B10BC"/>
    <w:rsid w:val="187C78C4"/>
    <w:rsid w:val="18B17B57"/>
    <w:rsid w:val="18E72CEE"/>
    <w:rsid w:val="194523AC"/>
    <w:rsid w:val="199649B5"/>
    <w:rsid w:val="19B412DF"/>
    <w:rsid w:val="1B4328CA"/>
    <w:rsid w:val="1BB67591"/>
    <w:rsid w:val="1BE8440E"/>
    <w:rsid w:val="1CA7512B"/>
    <w:rsid w:val="1CC45CDD"/>
    <w:rsid w:val="1D155CEE"/>
    <w:rsid w:val="1DF75C3F"/>
    <w:rsid w:val="1E3429EF"/>
    <w:rsid w:val="1E6366E9"/>
    <w:rsid w:val="1EC16A83"/>
    <w:rsid w:val="1FA11974"/>
    <w:rsid w:val="1FAD4807"/>
    <w:rsid w:val="1FC41B50"/>
    <w:rsid w:val="1FDBBF84"/>
    <w:rsid w:val="20B15F2E"/>
    <w:rsid w:val="20F57F95"/>
    <w:rsid w:val="21A110B9"/>
    <w:rsid w:val="21E169EA"/>
    <w:rsid w:val="228C104B"/>
    <w:rsid w:val="230E6B0F"/>
    <w:rsid w:val="240371BF"/>
    <w:rsid w:val="247369F2"/>
    <w:rsid w:val="24D456F9"/>
    <w:rsid w:val="25513DC9"/>
    <w:rsid w:val="25711CC6"/>
    <w:rsid w:val="25B95B7E"/>
    <w:rsid w:val="25C741E6"/>
    <w:rsid w:val="27127645"/>
    <w:rsid w:val="276F80C0"/>
    <w:rsid w:val="27842671"/>
    <w:rsid w:val="27AE3812"/>
    <w:rsid w:val="282E6701"/>
    <w:rsid w:val="29FD04D3"/>
    <w:rsid w:val="2ABE7A3E"/>
    <w:rsid w:val="2AFF09B6"/>
    <w:rsid w:val="2CA234A8"/>
    <w:rsid w:val="2EFA178C"/>
    <w:rsid w:val="2EFDF86C"/>
    <w:rsid w:val="2F9D17E1"/>
    <w:rsid w:val="301601A6"/>
    <w:rsid w:val="30476957"/>
    <w:rsid w:val="30B46D73"/>
    <w:rsid w:val="319F7F4E"/>
    <w:rsid w:val="335A484E"/>
    <w:rsid w:val="34935457"/>
    <w:rsid w:val="349B02BB"/>
    <w:rsid w:val="356A28F1"/>
    <w:rsid w:val="357065AB"/>
    <w:rsid w:val="357C035A"/>
    <w:rsid w:val="358E17EA"/>
    <w:rsid w:val="363870C8"/>
    <w:rsid w:val="368E000D"/>
    <w:rsid w:val="375B2943"/>
    <w:rsid w:val="382117A3"/>
    <w:rsid w:val="383D272C"/>
    <w:rsid w:val="39047736"/>
    <w:rsid w:val="398B5761"/>
    <w:rsid w:val="39AE70AB"/>
    <w:rsid w:val="3A190FBF"/>
    <w:rsid w:val="3A4DCE41"/>
    <w:rsid w:val="3A563FC1"/>
    <w:rsid w:val="3B1D063B"/>
    <w:rsid w:val="3B841D62"/>
    <w:rsid w:val="3BCB56FA"/>
    <w:rsid w:val="3BD258C9"/>
    <w:rsid w:val="3C0C0783"/>
    <w:rsid w:val="3C3F0A85"/>
    <w:rsid w:val="3D2250D9"/>
    <w:rsid w:val="3EE7C2F4"/>
    <w:rsid w:val="3EF5367D"/>
    <w:rsid w:val="3F371B56"/>
    <w:rsid w:val="3F792ED8"/>
    <w:rsid w:val="3F867DC6"/>
    <w:rsid w:val="3F9F3A96"/>
    <w:rsid w:val="3FD31C10"/>
    <w:rsid w:val="3FD61700"/>
    <w:rsid w:val="3FECA4B2"/>
    <w:rsid w:val="3FF58C48"/>
    <w:rsid w:val="401A783F"/>
    <w:rsid w:val="4242307D"/>
    <w:rsid w:val="42703746"/>
    <w:rsid w:val="42B31885"/>
    <w:rsid w:val="42FF6694"/>
    <w:rsid w:val="45603F46"/>
    <w:rsid w:val="45BE2A1A"/>
    <w:rsid w:val="46BB7E19"/>
    <w:rsid w:val="472F2356"/>
    <w:rsid w:val="48BF60AB"/>
    <w:rsid w:val="493C27E9"/>
    <w:rsid w:val="496F39ED"/>
    <w:rsid w:val="49FF41D3"/>
    <w:rsid w:val="4BE068DB"/>
    <w:rsid w:val="4BF6002B"/>
    <w:rsid w:val="4BFFC6BE"/>
    <w:rsid w:val="4D1A110D"/>
    <w:rsid w:val="4ECE2238"/>
    <w:rsid w:val="4EE23C1E"/>
    <w:rsid w:val="4F3D70A6"/>
    <w:rsid w:val="5015157B"/>
    <w:rsid w:val="51563ABB"/>
    <w:rsid w:val="51DB4B86"/>
    <w:rsid w:val="51F429D5"/>
    <w:rsid w:val="51F64DB0"/>
    <w:rsid w:val="520C5608"/>
    <w:rsid w:val="531B2676"/>
    <w:rsid w:val="54223861"/>
    <w:rsid w:val="5454797F"/>
    <w:rsid w:val="545A02A5"/>
    <w:rsid w:val="55333C3E"/>
    <w:rsid w:val="562D06F0"/>
    <w:rsid w:val="56CA5C11"/>
    <w:rsid w:val="57346FE0"/>
    <w:rsid w:val="57A4401F"/>
    <w:rsid w:val="58ED46D8"/>
    <w:rsid w:val="596C5D9D"/>
    <w:rsid w:val="5AA03848"/>
    <w:rsid w:val="5C245875"/>
    <w:rsid w:val="5C7B5EC6"/>
    <w:rsid w:val="5F67802D"/>
    <w:rsid w:val="5F7DC4F2"/>
    <w:rsid w:val="5F980362"/>
    <w:rsid w:val="5FB36814"/>
    <w:rsid w:val="5FBB8E56"/>
    <w:rsid w:val="5FFB5535"/>
    <w:rsid w:val="611539DF"/>
    <w:rsid w:val="617701F5"/>
    <w:rsid w:val="62E36944"/>
    <w:rsid w:val="632919C3"/>
    <w:rsid w:val="63440DE8"/>
    <w:rsid w:val="636C452A"/>
    <w:rsid w:val="64CA39A1"/>
    <w:rsid w:val="656C3E87"/>
    <w:rsid w:val="65817895"/>
    <w:rsid w:val="658D7A28"/>
    <w:rsid w:val="69630ADE"/>
    <w:rsid w:val="69BD5F13"/>
    <w:rsid w:val="69FB0B4B"/>
    <w:rsid w:val="6A1C750D"/>
    <w:rsid w:val="6BFFE1FB"/>
    <w:rsid w:val="6C102E67"/>
    <w:rsid w:val="6C4A05C8"/>
    <w:rsid w:val="6D3B1A89"/>
    <w:rsid w:val="6D5B09CB"/>
    <w:rsid w:val="6DB7D8A3"/>
    <w:rsid w:val="6E0C43BB"/>
    <w:rsid w:val="6EC78701"/>
    <w:rsid w:val="6F141779"/>
    <w:rsid w:val="6F7A5481"/>
    <w:rsid w:val="6FFE07A9"/>
    <w:rsid w:val="715F110D"/>
    <w:rsid w:val="71653017"/>
    <w:rsid w:val="71BF4EC2"/>
    <w:rsid w:val="72671BC0"/>
    <w:rsid w:val="72734D90"/>
    <w:rsid w:val="73E75B71"/>
    <w:rsid w:val="7412278C"/>
    <w:rsid w:val="75822AD7"/>
    <w:rsid w:val="75DDCDA9"/>
    <w:rsid w:val="75FF44B1"/>
    <w:rsid w:val="769B452E"/>
    <w:rsid w:val="77147E3D"/>
    <w:rsid w:val="77670518"/>
    <w:rsid w:val="777FA627"/>
    <w:rsid w:val="77DF1B5F"/>
    <w:rsid w:val="77EF2D9D"/>
    <w:rsid w:val="78D43D28"/>
    <w:rsid w:val="79E7B28D"/>
    <w:rsid w:val="7A74C3B6"/>
    <w:rsid w:val="7ACFF0C2"/>
    <w:rsid w:val="7AFB9108"/>
    <w:rsid w:val="7BD5340C"/>
    <w:rsid w:val="7BFB19D2"/>
    <w:rsid w:val="7BFD1750"/>
    <w:rsid w:val="7BFDAA1B"/>
    <w:rsid w:val="7CDF9A82"/>
    <w:rsid w:val="7CFFA1BD"/>
    <w:rsid w:val="7D2863F0"/>
    <w:rsid w:val="7D2E3F7A"/>
    <w:rsid w:val="7DED9490"/>
    <w:rsid w:val="7DFF4872"/>
    <w:rsid w:val="7E1F3FB4"/>
    <w:rsid w:val="7E2454BA"/>
    <w:rsid w:val="7E7487E6"/>
    <w:rsid w:val="7E7C2A54"/>
    <w:rsid w:val="7EEEFD72"/>
    <w:rsid w:val="7F1D517C"/>
    <w:rsid w:val="7F272E03"/>
    <w:rsid w:val="7F5DA057"/>
    <w:rsid w:val="7F6C2237"/>
    <w:rsid w:val="7F7F319B"/>
    <w:rsid w:val="7F9F20EE"/>
    <w:rsid w:val="7FBBE890"/>
    <w:rsid w:val="7FBC2ABD"/>
    <w:rsid w:val="7FBF5BC9"/>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AF65D8"/>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字符"/>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8"/>
    <w:link w:val="3"/>
    <w:qFormat/>
    <w:uiPriority w:val="9"/>
    <w:rPr>
      <w:rFonts w:ascii="Times New Roman" w:hAnsi="Times New Roman"/>
      <w:b/>
      <w:bCs/>
      <w:kern w:val="44"/>
      <w:sz w:val="44"/>
      <w:szCs w:val="44"/>
    </w:rPr>
  </w:style>
  <w:style w:type="character" w:customStyle="1" w:styleId="30">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8"/>
    <w:link w:val="10"/>
    <w:semiHidden/>
    <w:qFormat/>
    <w:uiPriority w:val="99"/>
    <w:rPr>
      <w:rFonts w:ascii="Times New Roman" w:hAnsi="Times New Roman"/>
      <w:kern w:val="2"/>
      <w:sz w:val="18"/>
      <w:szCs w:val="18"/>
    </w:rPr>
  </w:style>
  <w:style w:type="character" w:customStyle="1" w:styleId="33">
    <w:name w:val="标题 3 字符"/>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font81"/>
    <w:basedOn w:val="18"/>
    <w:qFormat/>
    <w:uiPriority w:val="0"/>
    <w:rPr>
      <w:rFonts w:ascii="Helvetica" w:hAnsi="Helvetica" w:eastAsia="Helvetica" w:cs="Helvetica"/>
      <w:color w:val="000000"/>
      <w:sz w:val="19"/>
      <w:szCs w:val="19"/>
      <w:u w:val="none"/>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 w:type="paragraph" w:customStyle="1" w:styleId="38">
    <w:name w:val="样式1"/>
    <w:basedOn w:val="1"/>
    <w:qFormat/>
    <w:uiPriority w:val="0"/>
    <w:pPr>
      <w:spacing w:line="600" w:lineRule="exact"/>
      <w:ind w:firstLine="640" w:firstLineChars="200"/>
    </w:pPr>
    <w:rPr>
      <w:rFonts w:hint="eastAsia" w:ascii="仿宋" w:hAnsi="仿宋"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293.44</c:v>
                </c:pt>
                <c:pt idx="1">
                  <c:v>286.28</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293.44</c:v>
                </c:pt>
                <c:pt idx="1">
                  <c:v>286.28</c:v>
                </c:pt>
              </c:numCache>
            </c:numRef>
          </c:val>
        </c:ser>
        <c:dLbls>
          <c:showLegendKey val="0"/>
          <c:showVal val="1"/>
          <c:showCatName val="0"/>
          <c:showSerName val="0"/>
          <c:showPercent val="0"/>
          <c:showBubbleSize val="0"/>
        </c:dLbls>
        <c:gapWidth val="246"/>
        <c:overlap val="-28"/>
        <c:axId val="372706038"/>
        <c:axId val="66206684"/>
      </c:barChart>
      <c:catAx>
        <c:axId val="3727060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06684"/>
        <c:crosses val="autoZero"/>
        <c:auto val="1"/>
        <c:lblAlgn val="ctr"/>
        <c:lblOffset val="100"/>
        <c:noMultiLvlLbl val="0"/>
      </c:catAx>
      <c:valAx>
        <c:axId val="6620668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27060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rgbClr val="0000FF"/>
                </a:solidFill>
                <a:latin typeface="+mn-lt"/>
                <a:ea typeface="+mn-ea"/>
                <a:cs typeface="+mn-cs"/>
              </a:defRPr>
            </a:pPr>
            <a:r>
              <a:rPr>
                <a:solidFill>
                  <a:srgbClr val="0000FF"/>
                </a:solidFill>
              </a:rPr>
              <a:t>收入决算结构图</a:t>
            </a:r>
            <a:endParaRPr>
              <a:solidFill>
                <a:srgbClr val="0000FF"/>
              </a:solidFill>
            </a:endParaRPr>
          </a:p>
        </c:rich>
      </c:tx>
      <c:layout>
        <c:manualLayout>
          <c:xMode val="edge"/>
          <c:yMode val="edge"/>
          <c:x val="0.529617558342375"/>
          <c:y val="0.230808577085255"/>
        </c:manualLayout>
      </c:layout>
      <c:overlay val="0"/>
      <c:spPr>
        <a:noFill/>
        <a:ln>
          <a:noFill/>
        </a:ln>
        <a:effectLst/>
      </c:spPr>
    </c:title>
    <c:autoTitleDeleted val="0"/>
    <c:plotArea>
      <c:layout>
        <c:manualLayout>
          <c:layoutTarget val="inner"/>
          <c:xMode val="edge"/>
          <c:yMode val="edge"/>
          <c:x val="0.0376412349034116"/>
          <c:y val="0.212699092831543"/>
          <c:w val="0.550354173082846"/>
          <c:h val="0.784460052677788"/>
        </c:manualLayout>
      </c:layout>
      <c:pieChart>
        <c:varyColors val="1"/>
        <c:ser>
          <c:idx val="0"/>
          <c:order val="0"/>
          <c:tx>
            <c:strRef>
              <c:f>Sheet1!$B$1</c:f>
              <c:strCache>
                <c:ptCount val="1"/>
                <c:pt idx="0">
                  <c:v>本年收入</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9"/>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2">
                      <a:lumMod val="60000"/>
                      <a:lumOff val="40000"/>
                    </a:schemeClr>
                  </a:gs>
                  <a:gs pos="83000">
                    <a:schemeClr val="accent2"/>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Lbls>
            <c:dLbl>
              <c:idx val="0"/>
              <c:layout>
                <c:manualLayout>
                  <c:x val="0.16320206746391"/>
                  <c:y val="-0.14123481972549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0000FF"/>
                    </a:solidFill>
                    <a:effectLst/>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事业收入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262.97</c:v>
                </c:pt>
                <c:pt idx="1">
                  <c:v>23.31</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rgbClr val="0000FF"/>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rgbClr val="0000FF"/>
                </a:solidFill>
                <a:latin typeface="+mn-lt"/>
                <a:ea typeface="+mn-ea"/>
                <a:cs typeface="+mn-cs"/>
              </a:defRPr>
            </a:pPr>
          </a:p>
        </c:txPr>
      </c:legendEntry>
      <c:layout>
        <c:manualLayout>
          <c:xMode val="edge"/>
          <c:yMode val="edge"/>
          <c:x val="0.592263792010146"/>
          <c:y val="0.421078311783362"/>
          <c:w val="0.388712745719721"/>
          <c:h val="0.2537204196145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0000FF"/>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solidFill>
            <a:srgbClr val="0000FF"/>
          </a:solidFill>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9"/>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2">
                      <a:lumMod val="60000"/>
                      <a:lumOff val="40000"/>
                    </a:schemeClr>
                  </a:gs>
                  <a:gs pos="83000">
                    <a:schemeClr val="accent2"/>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Lbls>
            <c:dLbl>
              <c:idx val="0"/>
              <c:layout>
                <c:manualLayout>
                  <c:x val="-0.00943214231277134"/>
                  <c:y val="-0.12940644477743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0889212765308352"/>
                  <c:y val="0.15979813797184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219.11</c:v>
                </c:pt>
                <c:pt idx="1">
                  <c:v>45.45</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282.46</c:v>
                </c:pt>
                <c:pt idx="1">
                  <c:v>262.97</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282.46</c:v>
                </c:pt>
                <c:pt idx="1">
                  <c:v>262.97</c:v>
                </c:pt>
              </c:numCache>
            </c:numRef>
          </c:val>
        </c:ser>
        <c:dLbls>
          <c:showLegendKey val="0"/>
          <c:showVal val="1"/>
          <c:showCatName val="0"/>
          <c:showSerName val="0"/>
          <c:showPercent val="0"/>
          <c:showBubbleSize val="0"/>
        </c:dLbls>
        <c:gapWidth val="246"/>
        <c:overlap val="-28"/>
        <c:axId val="249920601"/>
        <c:axId val="800237379"/>
      </c:barChart>
      <c:catAx>
        <c:axId val="2499206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237379"/>
        <c:crosses val="autoZero"/>
        <c:auto val="1"/>
        <c:lblAlgn val="ctr"/>
        <c:lblOffset val="100"/>
        <c:noMultiLvlLbl val="0"/>
      </c:catAx>
      <c:valAx>
        <c:axId val="80023737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9206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manualLayout>
          <c:xMode val="edge"/>
          <c:yMode val="edge"/>
          <c:x val="0.0908741742203105"/>
          <c:y val="0.026508226691042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282.46</c:v>
                </c:pt>
                <c:pt idx="1">
                  <c:v>262.97</c:v>
                </c:pt>
              </c:numCache>
            </c:numRef>
          </c:val>
        </c:ser>
        <c:dLbls>
          <c:showLegendKey val="0"/>
          <c:showVal val="1"/>
          <c:showCatName val="0"/>
          <c:showSerName val="0"/>
          <c:showPercent val="0"/>
          <c:showBubbleSize val="0"/>
        </c:dLbls>
        <c:gapWidth val="246"/>
        <c:overlap val="-28"/>
        <c:axId val="249920601"/>
        <c:axId val="800237379"/>
      </c:barChart>
      <c:catAx>
        <c:axId val="2499206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237379"/>
        <c:crosses val="autoZero"/>
        <c:auto val="1"/>
        <c:lblAlgn val="ctr"/>
        <c:lblOffset val="100"/>
        <c:noMultiLvlLbl val="0"/>
      </c:catAx>
      <c:valAx>
        <c:axId val="80023737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9206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一般公共预算财政拨款支出决算结构图</a:t>
            </a:r>
          </a:p>
        </c:rich>
      </c:tx>
      <c:layout>
        <c:manualLayout>
          <c:xMode val="edge"/>
          <c:yMode val="edge"/>
          <c:x val="0.13165305547733"/>
          <c:y val="0.025849688846338"/>
        </c:manualLayout>
      </c:layout>
      <c:overlay val="0"/>
      <c:spPr>
        <a:noFill/>
        <a:ln>
          <a:noFill/>
        </a:ln>
        <a:effectLst/>
      </c:spPr>
    </c:title>
    <c:autoTitleDeleted val="0"/>
    <c:plotArea>
      <c:layout>
        <c:manualLayout>
          <c:layoutTarget val="inner"/>
          <c:xMode val="edge"/>
          <c:yMode val="edge"/>
          <c:x val="0.158828499014362"/>
          <c:y val="0.227860220201053"/>
          <c:w val="0.450014080540693"/>
          <c:h val="0.764959310674964"/>
        </c:manualLayout>
      </c:layout>
      <c:pieChart>
        <c:varyColors val="1"/>
        <c:ser>
          <c:idx val="0"/>
          <c:order val="0"/>
          <c:tx>
            <c:strRef>
              <c:f>Sheet1!$B$1</c:f>
              <c:strCache>
                <c:ptCount val="1"/>
                <c:pt idx="0">
                  <c:v>一般公共预算财政拨款支出</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9"/>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2">
                      <a:lumMod val="60000"/>
                      <a:lumOff val="40000"/>
                    </a:schemeClr>
                  </a:gs>
                  <a:gs pos="83000">
                    <a:schemeClr val="accent2"/>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Lbls>
            <c:dLbl>
              <c:idx val="0"/>
              <c:layout>
                <c:manualLayout>
                  <c:x val="-0.12549636564671"/>
                  <c:y val="0.13978456007818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0000FF"/>
                    </a:solidFill>
                    <a:effectLst/>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28.8</c:v>
                </c:pt>
                <c:pt idx="1">
                  <c:v>217.41</c:v>
                </c:pt>
                <c:pt idx="2">
                  <c:v>16.76</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824</Words>
  <Characters>876</Characters>
  <Lines>54</Lines>
  <Paragraphs>15</Paragraphs>
  <TotalTime>4</TotalTime>
  <ScaleCrop>false</ScaleCrop>
  <LinksUpToDate>false</LinksUpToDate>
  <CharactersWithSpaces>975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user</cp:lastModifiedBy>
  <cp:lastPrinted>2026-09-01T16:25:00Z</cp:lastPrinted>
  <dcterms:modified xsi:type="dcterms:W3CDTF">2026-09-02T11:33:53Z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35DC4ECA2603496DBC49BD438874024C_13</vt:lpwstr>
  </property>
  <property fmtid="{D5CDD505-2E9C-101B-9397-08002B2CF9AE}" pid="4" name="KSOTemplateDocerSaveRecord">
    <vt:lpwstr>eyJoZGlkIjoiMzhlY2U5OGM5MmI0MDFmODcxODQxOWZmOWNhMmI2OTciLCJ1c2VySWQiOiIyODI5NzI1MjQifQ==</vt:lpwstr>
  </property>
</Properties>
</file>