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6B424">
      <w:pPr>
        <w:pStyle w:val="10"/>
        <w:keepNext w:val="0"/>
        <w:keepLines w:val="0"/>
        <w:pageBreakBefore w:val="0"/>
        <w:widowControl/>
        <w:suppressLineNumbers w:val="0"/>
        <w:kinsoku/>
        <w:wordWrap/>
        <w:overflowPunct/>
        <w:topLinePunct w:val="0"/>
        <w:bidi w:val="0"/>
        <w:spacing w:line="576" w:lineRule="exact"/>
        <w:jc w:val="center"/>
        <w:textAlignment w:val="auto"/>
        <w:rPr>
          <w:i/>
          <w:iCs/>
        </w:rPr>
      </w:pPr>
      <w:bookmarkStart w:id="126" w:name="_GoBack"/>
      <w:bookmarkEnd w:id="126"/>
    </w:p>
    <w:p w14:paraId="6F27FBFD">
      <w:pPr>
        <w:pStyle w:val="10"/>
        <w:keepNext w:val="0"/>
        <w:keepLines w:val="0"/>
        <w:pageBreakBefore w:val="0"/>
        <w:widowControl/>
        <w:suppressLineNumbers w:val="0"/>
        <w:kinsoku/>
        <w:wordWrap/>
        <w:overflowPunct/>
        <w:topLinePunct w:val="0"/>
        <w:bidi w:val="0"/>
        <w:spacing w:line="576" w:lineRule="exact"/>
        <w:jc w:val="center"/>
        <w:textAlignment w:val="auto"/>
      </w:pPr>
    </w:p>
    <w:p w14:paraId="708E8364">
      <w:pPr>
        <w:adjustRightInd w:val="0"/>
        <w:snapToGrid w:val="0"/>
        <w:spacing w:line="360" w:lineRule="auto"/>
        <w:jc w:val="center"/>
        <w:outlineLvl w:val="0"/>
        <w:rPr>
          <w:rFonts w:hint="eastAsia" w:ascii="方正小标宋简体" w:hAnsi="方正小标宋简体" w:eastAsia="方正小标宋简体" w:cs="方正小标宋简体"/>
          <w:b/>
          <w:bCs/>
          <w:sz w:val="72"/>
          <w:szCs w:val="72"/>
        </w:rPr>
      </w:pPr>
    </w:p>
    <w:p w14:paraId="3AA02C31">
      <w:pPr>
        <w:adjustRightInd w:val="0"/>
        <w:snapToGrid w:val="0"/>
        <w:spacing w:line="360" w:lineRule="auto"/>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w:t>
      </w:r>
      <w:r>
        <w:rPr>
          <w:rFonts w:hint="eastAsia" w:ascii="方正小标宋简体" w:hAnsi="方正小标宋简体" w:eastAsia="方正小标宋简体" w:cs="方正小标宋简体"/>
          <w:sz w:val="36"/>
          <w:szCs w:val="36"/>
          <w:lang w:val="en-US" w:eastAsia="zh-CN"/>
        </w:rPr>
        <w:t>5</w:t>
      </w:r>
      <w:r>
        <w:rPr>
          <w:rFonts w:hint="eastAsia" w:ascii="方正小标宋简体" w:hAnsi="方正小标宋简体" w:eastAsia="方正小标宋简体" w:cs="方正小标宋简体"/>
          <w:sz w:val="36"/>
          <w:szCs w:val="36"/>
        </w:rPr>
        <w:t>年度</w:t>
      </w:r>
    </w:p>
    <w:p w14:paraId="29ECE14A">
      <w:pPr>
        <w:adjustRightInd w:val="0"/>
        <w:snapToGrid w:val="0"/>
        <w:spacing w:line="360" w:lineRule="auto"/>
        <w:jc w:val="center"/>
        <w:outlineLvl w:val="0"/>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rPr>
        <w:t>茂县</w:t>
      </w:r>
      <w:r>
        <w:rPr>
          <w:rFonts w:hint="eastAsia" w:ascii="方正小标宋简体" w:hAnsi="方正小标宋简体" w:eastAsia="方正小标宋简体" w:cs="方正小标宋简体"/>
          <w:sz w:val="36"/>
          <w:szCs w:val="36"/>
          <w:lang w:eastAsia="zh-CN"/>
        </w:rPr>
        <w:t>卫生进修学校</w:t>
      </w:r>
    </w:p>
    <w:p w14:paraId="41E97974">
      <w:pPr>
        <w:adjustRightInd w:val="0"/>
        <w:snapToGrid w:val="0"/>
        <w:spacing w:line="360" w:lineRule="auto"/>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单位</w:t>
      </w:r>
      <w:r>
        <w:rPr>
          <w:rFonts w:hint="eastAsia" w:ascii="方正小标宋简体" w:hAnsi="方正小标宋简体" w:eastAsia="方正小标宋简体" w:cs="方正小标宋简体"/>
          <w:sz w:val="36"/>
          <w:szCs w:val="36"/>
        </w:rPr>
        <w:t>决算</w:t>
      </w:r>
    </w:p>
    <w:p w14:paraId="6477C21F">
      <w:pPr>
        <w:pStyle w:val="10"/>
        <w:keepNext w:val="0"/>
        <w:keepLines w:val="0"/>
        <w:pageBreakBefore w:val="0"/>
        <w:widowControl/>
        <w:suppressLineNumbers w:val="0"/>
        <w:kinsoku/>
        <w:wordWrap/>
        <w:overflowPunct/>
        <w:topLinePunct w:val="0"/>
        <w:bidi w:val="0"/>
        <w:spacing w:line="576" w:lineRule="exact"/>
        <w:jc w:val="center"/>
        <w:textAlignment w:val="auto"/>
      </w:pPr>
    </w:p>
    <w:p w14:paraId="5E599EED">
      <w:pPr>
        <w:pStyle w:val="10"/>
        <w:keepNext w:val="0"/>
        <w:keepLines w:val="0"/>
        <w:pageBreakBefore w:val="0"/>
        <w:widowControl/>
        <w:suppressLineNumbers w:val="0"/>
        <w:kinsoku/>
        <w:wordWrap/>
        <w:overflowPunct/>
        <w:topLinePunct w:val="0"/>
        <w:bidi w:val="0"/>
        <w:spacing w:line="576" w:lineRule="exact"/>
        <w:jc w:val="center"/>
        <w:textAlignment w:val="auto"/>
      </w:pPr>
    </w:p>
    <w:p w14:paraId="54B21946">
      <w:pPr>
        <w:pStyle w:val="10"/>
        <w:keepNext w:val="0"/>
        <w:keepLines w:val="0"/>
        <w:pageBreakBefore w:val="0"/>
        <w:widowControl/>
        <w:suppressLineNumbers w:val="0"/>
        <w:kinsoku/>
        <w:wordWrap/>
        <w:overflowPunct/>
        <w:topLinePunct w:val="0"/>
        <w:bidi w:val="0"/>
        <w:spacing w:line="576" w:lineRule="exact"/>
        <w:jc w:val="center"/>
        <w:textAlignment w:val="auto"/>
      </w:pPr>
    </w:p>
    <w:p w14:paraId="02381192">
      <w:pPr>
        <w:pStyle w:val="10"/>
        <w:keepNext w:val="0"/>
        <w:keepLines w:val="0"/>
        <w:pageBreakBefore w:val="0"/>
        <w:widowControl/>
        <w:suppressLineNumbers w:val="0"/>
        <w:kinsoku/>
        <w:wordWrap/>
        <w:overflowPunct/>
        <w:topLinePunct w:val="0"/>
        <w:bidi w:val="0"/>
        <w:spacing w:line="576" w:lineRule="exact"/>
        <w:jc w:val="center"/>
        <w:textAlignment w:val="auto"/>
      </w:pPr>
    </w:p>
    <w:p w14:paraId="74438926">
      <w:pPr>
        <w:pStyle w:val="10"/>
        <w:keepNext w:val="0"/>
        <w:keepLines w:val="0"/>
        <w:pageBreakBefore w:val="0"/>
        <w:widowControl/>
        <w:suppressLineNumbers w:val="0"/>
        <w:kinsoku/>
        <w:wordWrap/>
        <w:overflowPunct/>
        <w:topLinePunct w:val="0"/>
        <w:bidi w:val="0"/>
        <w:spacing w:line="576" w:lineRule="exact"/>
        <w:jc w:val="center"/>
        <w:textAlignment w:val="auto"/>
      </w:pPr>
    </w:p>
    <w:p w14:paraId="731A7140">
      <w:pPr>
        <w:pStyle w:val="10"/>
        <w:keepNext w:val="0"/>
        <w:keepLines w:val="0"/>
        <w:pageBreakBefore w:val="0"/>
        <w:widowControl/>
        <w:suppressLineNumbers w:val="0"/>
        <w:kinsoku/>
        <w:wordWrap/>
        <w:overflowPunct/>
        <w:topLinePunct w:val="0"/>
        <w:bidi w:val="0"/>
        <w:spacing w:line="576" w:lineRule="exact"/>
        <w:jc w:val="center"/>
        <w:textAlignment w:val="auto"/>
      </w:pPr>
    </w:p>
    <w:p w14:paraId="292459C6">
      <w:pPr>
        <w:pageBreakBefore w:val="0"/>
        <w:widowControl/>
        <w:kinsoku/>
        <w:wordWrap/>
        <w:overflowPunct/>
        <w:topLinePunct w:val="0"/>
        <w:bidi w:val="0"/>
        <w:spacing w:line="576" w:lineRule="exact"/>
        <w:jc w:val="center"/>
        <w:textAlignment w:val="auto"/>
        <w:rPr>
          <w:rFonts w:hint="eastAsia" w:ascii="黑体" w:eastAsia="黑体" w:cs="Times New Roman"/>
          <w:color w:val="000000"/>
          <w:sz w:val="48"/>
          <w:szCs w:val="48"/>
        </w:rPr>
      </w:pPr>
    </w:p>
    <w:p w14:paraId="2CE5223D">
      <w:pPr>
        <w:pageBreakBefore w:val="0"/>
        <w:widowControl/>
        <w:kinsoku/>
        <w:wordWrap/>
        <w:overflowPunct/>
        <w:topLinePunct w:val="0"/>
        <w:bidi w:val="0"/>
        <w:spacing w:line="576" w:lineRule="exact"/>
        <w:jc w:val="center"/>
        <w:textAlignment w:val="auto"/>
        <w:rPr>
          <w:rFonts w:hint="eastAsia" w:ascii="黑体" w:eastAsia="黑体" w:cs="Times New Roman"/>
          <w:color w:val="000000"/>
          <w:sz w:val="48"/>
          <w:szCs w:val="48"/>
        </w:rPr>
      </w:pPr>
    </w:p>
    <w:p w14:paraId="055E6D25">
      <w:pPr>
        <w:pageBreakBefore w:val="0"/>
        <w:widowControl/>
        <w:kinsoku/>
        <w:wordWrap/>
        <w:overflowPunct/>
        <w:topLinePunct w:val="0"/>
        <w:bidi w:val="0"/>
        <w:spacing w:line="576" w:lineRule="exact"/>
        <w:jc w:val="center"/>
        <w:textAlignment w:val="auto"/>
        <w:rPr>
          <w:rFonts w:hint="eastAsia" w:ascii="黑体" w:eastAsia="黑体" w:cs="Times New Roman"/>
          <w:color w:val="000000"/>
          <w:sz w:val="48"/>
          <w:szCs w:val="48"/>
        </w:rPr>
      </w:pPr>
    </w:p>
    <w:p w14:paraId="230D744C">
      <w:pPr>
        <w:pageBreakBefore w:val="0"/>
        <w:widowControl/>
        <w:kinsoku/>
        <w:wordWrap/>
        <w:overflowPunct/>
        <w:topLinePunct w:val="0"/>
        <w:bidi w:val="0"/>
        <w:spacing w:line="576" w:lineRule="exact"/>
        <w:jc w:val="center"/>
        <w:textAlignment w:val="auto"/>
        <w:rPr>
          <w:rFonts w:hint="eastAsia" w:ascii="黑体" w:eastAsia="黑体" w:cs="Times New Roman"/>
          <w:color w:val="000000"/>
          <w:sz w:val="48"/>
          <w:szCs w:val="48"/>
        </w:rPr>
      </w:pPr>
    </w:p>
    <w:p w14:paraId="205F2901">
      <w:pPr>
        <w:pageBreakBefore w:val="0"/>
        <w:widowControl/>
        <w:kinsoku/>
        <w:wordWrap/>
        <w:overflowPunct/>
        <w:topLinePunct w:val="0"/>
        <w:bidi w:val="0"/>
        <w:spacing w:line="576" w:lineRule="exact"/>
        <w:jc w:val="center"/>
        <w:textAlignment w:val="auto"/>
        <w:rPr>
          <w:rFonts w:hint="eastAsia" w:ascii="黑体" w:eastAsia="黑体" w:cs="Times New Roman"/>
          <w:color w:val="000000"/>
          <w:sz w:val="48"/>
          <w:szCs w:val="48"/>
        </w:rPr>
      </w:pPr>
      <w:r>
        <w:rPr>
          <w:rFonts w:hint="eastAsia" w:ascii="黑体" w:eastAsia="黑体" w:cs="Times New Roman"/>
          <w:color w:val="000000"/>
          <w:sz w:val="48"/>
          <w:szCs w:val="48"/>
        </w:rPr>
        <w:t>目录</w:t>
      </w:r>
    </w:p>
    <w:p w14:paraId="50598D51">
      <w:pPr>
        <w:pStyle w:val="9"/>
        <w:pageBreakBefore w:val="0"/>
        <w:kinsoku/>
        <w:wordWrap/>
        <w:overflowPunct/>
        <w:topLinePunct w:val="0"/>
        <w:bidi w:val="0"/>
        <w:spacing w:line="576" w:lineRule="exact"/>
        <w:jc w:val="center"/>
        <w:textAlignment w:val="auto"/>
        <w:rPr>
          <w:rFonts w:hint="eastAsia" w:ascii="Times New Roman" w:hAnsi="Times New Roman" w:eastAsia="仿宋_GB2312" w:cs="仿宋_GB2312"/>
          <w:b w:val="0"/>
          <w:bCs w:val="0"/>
          <w:caps w:val="0"/>
          <w:color w:val="auto"/>
          <w:sz w:val="32"/>
          <w:szCs w:val="32"/>
          <w:highlight w:val="none"/>
        </w:rPr>
      </w:pPr>
      <w:r>
        <w:rPr>
          <w:rFonts w:hint="eastAsia" w:ascii="Times New Roman" w:hAnsi="Times New Roman" w:eastAsia="仿宋_GB2312" w:cs="仿宋_GB2312"/>
          <w:b w:val="0"/>
          <w:bCs w:val="0"/>
          <w:caps w:val="0"/>
          <w:color w:val="auto"/>
          <w:sz w:val="32"/>
          <w:szCs w:val="32"/>
          <w:highlight w:val="none"/>
        </w:rPr>
        <w:t>公开时间：202</w:t>
      </w:r>
      <w:r>
        <w:rPr>
          <w:rFonts w:hint="eastAsia" w:ascii="Times New Roman" w:hAnsi="Times New Roman" w:eastAsia="仿宋_GB2312" w:cs="仿宋_GB2312"/>
          <w:b w:val="0"/>
          <w:bCs w:val="0"/>
          <w:caps w:val="0"/>
          <w:color w:val="auto"/>
          <w:sz w:val="32"/>
          <w:szCs w:val="32"/>
          <w:highlight w:val="none"/>
          <w:lang w:val="en-US" w:eastAsia="zh-CN"/>
        </w:rPr>
        <w:t>6</w:t>
      </w:r>
      <w:r>
        <w:rPr>
          <w:rFonts w:hint="eastAsia" w:ascii="Times New Roman" w:hAnsi="Times New Roman" w:eastAsia="仿宋_GB2312" w:cs="仿宋_GB2312"/>
          <w:b w:val="0"/>
          <w:bCs w:val="0"/>
          <w:caps w:val="0"/>
          <w:color w:val="auto"/>
          <w:sz w:val="32"/>
          <w:szCs w:val="32"/>
          <w:highlight w:val="none"/>
        </w:rPr>
        <w:t>年</w:t>
      </w:r>
      <w:r>
        <w:rPr>
          <w:rFonts w:hint="eastAsia" w:ascii="Times New Roman" w:hAnsi="Times New Roman" w:eastAsia="仿宋_GB2312" w:cs="仿宋_GB2312"/>
          <w:b w:val="0"/>
          <w:bCs w:val="0"/>
          <w:caps w:val="0"/>
          <w:color w:val="auto"/>
          <w:sz w:val="32"/>
          <w:szCs w:val="32"/>
          <w:highlight w:val="none"/>
          <w:lang w:val="en-US" w:eastAsia="zh-CN"/>
        </w:rPr>
        <w:t>9</w:t>
      </w:r>
      <w:r>
        <w:rPr>
          <w:rFonts w:hint="eastAsia" w:ascii="Times New Roman" w:hAnsi="Times New Roman" w:eastAsia="仿宋_GB2312" w:cs="仿宋_GB2312"/>
          <w:b w:val="0"/>
          <w:bCs w:val="0"/>
          <w:caps w:val="0"/>
          <w:color w:val="auto"/>
          <w:sz w:val="32"/>
          <w:szCs w:val="32"/>
          <w:highlight w:val="none"/>
        </w:rPr>
        <w:t xml:space="preserve"> 月</w:t>
      </w:r>
      <w:r>
        <w:rPr>
          <w:rFonts w:hint="eastAsia" w:ascii="Times New Roman" w:hAnsi="Times New Roman" w:eastAsia="仿宋_GB2312" w:cs="仿宋_GB2312"/>
          <w:b w:val="0"/>
          <w:bCs w:val="0"/>
          <w:caps w:val="0"/>
          <w:color w:val="auto"/>
          <w:sz w:val="32"/>
          <w:szCs w:val="32"/>
          <w:highlight w:val="none"/>
          <w:lang w:val="en-US" w:eastAsia="zh-CN"/>
        </w:rPr>
        <w:t>04</w:t>
      </w:r>
      <w:r>
        <w:rPr>
          <w:rFonts w:hint="eastAsia" w:ascii="Times New Roman" w:hAnsi="Times New Roman" w:eastAsia="仿宋_GB2312" w:cs="仿宋_GB2312"/>
          <w:b w:val="0"/>
          <w:bCs w:val="0"/>
          <w:caps w:val="0"/>
          <w:color w:val="auto"/>
          <w:sz w:val="32"/>
          <w:szCs w:val="32"/>
          <w:highlight w:val="none"/>
        </w:rPr>
        <w:t>日</w:t>
      </w:r>
    </w:p>
    <w:p w14:paraId="1534ACF4">
      <w:pPr>
        <w:pStyle w:val="14"/>
        <w:tabs>
          <w:tab w:val="right" w:leader="dot" w:pos="8306"/>
        </w:tabs>
        <w:rPr>
          <w:rFonts w:hint="eastAsia" w:ascii="Times New Roman" w:hAnsi="Times New Roman" w:eastAsia="黑体" w:cs="黑体"/>
          <w:b w:val="0"/>
          <w:bCs w:val="0"/>
          <w:caps w:val="0"/>
          <w:color w:val="auto"/>
          <w:kern w:val="2"/>
          <w:sz w:val="32"/>
          <w:szCs w:val="32"/>
          <w:highlight w:val="none"/>
          <w:lang w:val="en-US" w:eastAsia="zh-CN" w:bidi="ar-SA"/>
        </w:rPr>
      </w:pPr>
      <w:r>
        <w:rPr>
          <w:rFonts w:hint="eastAsia" w:ascii="Times New Roman" w:hAnsi="Times New Roman" w:eastAsia="黑体" w:cs="黑体"/>
          <w:b w:val="0"/>
          <w:bCs w:val="0"/>
          <w:caps w:val="0"/>
          <w:color w:val="auto"/>
          <w:kern w:val="2"/>
          <w:sz w:val="32"/>
          <w:szCs w:val="32"/>
          <w:highlight w:val="none"/>
          <w:lang w:val="en-US" w:eastAsia="zh-CN" w:bidi="ar-SA"/>
        </w:rPr>
        <w:fldChar w:fldCharType="begin" w:fldLock="1"/>
      </w:r>
      <w:r>
        <w:rPr>
          <w:rFonts w:hint="eastAsia" w:ascii="Times New Roman" w:hAnsi="Times New Roman" w:eastAsia="黑体" w:cs="黑体"/>
          <w:b w:val="0"/>
          <w:bCs w:val="0"/>
          <w:caps w:val="0"/>
          <w:color w:val="auto"/>
          <w:kern w:val="2"/>
          <w:sz w:val="32"/>
          <w:szCs w:val="32"/>
          <w:highlight w:val="none"/>
          <w:lang w:val="en-US" w:eastAsia="zh-CN" w:bidi="ar-SA"/>
        </w:rPr>
        <w:instrText xml:space="preserve"> HYPERLINK \l _Toc3613 </w:instrText>
      </w:r>
      <w:r>
        <w:rPr>
          <w:rFonts w:hint="eastAsia" w:ascii="Times New Roman" w:hAnsi="Times New Roman" w:eastAsia="黑体" w:cs="黑体"/>
          <w:b w:val="0"/>
          <w:bCs w:val="0"/>
          <w:caps w:val="0"/>
          <w:color w:val="auto"/>
          <w:kern w:val="2"/>
          <w:sz w:val="32"/>
          <w:szCs w:val="32"/>
          <w:highlight w:val="none"/>
          <w:lang w:val="en-US" w:eastAsia="zh-CN" w:bidi="ar-SA"/>
        </w:rPr>
        <w:fldChar w:fldCharType="separate"/>
      </w:r>
      <w:r>
        <w:rPr>
          <w:rFonts w:hint="eastAsia" w:ascii="Times New Roman" w:hAnsi="Times New Roman" w:eastAsia="黑体" w:cs="黑体"/>
          <w:b w:val="0"/>
          <w:bCs w:val="0"/>
          <w:caps w:val="0"/>
          <w:color w:val="auto"/>
          <w:kern w:val="2"/>
          <w:sz w:val="32"/>
          <w:szCs w:val="32"/>
          <w:highlight w:val="none"/>
          <w:lang w:val="en-US" w:eastAsia="zh-CN" w:bidi="ar-SA"/>
        </w:rPr>
        <w:t>第一部分 单位概况</w:t>
      </w:r>
      <w:r>
        <w:rPr>
          <w:rFonts w:hint="eastAsia" w:ascii="Times New Roman" w:hAnsi="Times New Roman" w:eastAsia="黑体" w:cs="黑体"/>
          <w:b w:val="0"/>
          <w:bCs w:val="0"/>
          <w:caps w:val="0"/>
          <w:color w:val="auto"/>
          <w:kern w:val="2"/>
          <w:sz w:val="32"/>
          <w:szCs w:val="32"/>
          <w:highlight w:val="none"/>
          <w:lang w:val="en-US" w:eastAsia="zh-CN" w:bidi="ar-SA"/>
        </w:rPr>
        <w:tab/>
      </w:r>
      <w:r>
        <w:rPr>
          <w:rFonts w:hint="eastAsia" w:ascii="Times New Roman" w:hAnsi="Times New Roman" w:eastAsia="黑体" w:cs="黑体"/>
          <w:b w:val="0"/>
          <w:bCs w:val="0"/>
          <w:caps w:val="0"/>
          <w:color w:val="auto"/>
          <w:kern w:val="2"/>
          <w:sz w:val="32"/>
          <w:szCs w:val="32"/>
          <w:highlight w:val="none"/>
          <w:lang w:val="en-US" w:eastAsia="zh-CN" w:bidi="ar-SA"/>
        </w:rPr>
        <w:t>4</w:t>
      </w:r>
      <w:r>
        <w:rPr>
          <w:rFonts w:hint="eastAsia" w:ascii="Times New Roman" w:hAnsi="Times New Roman" w:eastAsia="黑体" w:cs="黑体"/>
          <w:b w:val="0"/>
          <w:bCs w:val="0"/>
          <w:caps w:val="0"/>
          <w:color w:val="auto"/>
          <w:kern w:val="2"/>
          <w:sz w:val="32"/>
          <w:szCs w:val="32"/>
          <w:highlight w:val="none"/>
          <w:lang w:val="en-US" w:eastAsia="zh-CN" w:bidi="ar-SA"/>
        </w:rPr>
        <w:fldChar w:fldCharType="end"/>
      </w:r>
    </w:p>
    <w:p w14:paraId="78495D00">
      <w:pPr>
        <w:pStyle w:val="15"/>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_Toc25643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一、主要职责</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fldChar w:fldCharType="end"/>
      </w:r>
    </w:p>
    <w:p w14:paraId="7D7F1EBF">
      <w:pPr>
        <w:pStyle w:val="15"/>
        <w:tabs>
          <w:tab w:val="right" w:leader="dot" w:pos="8306"/>
        </w:tabs>
        <w:ind w:left="0" w:leftChars="0" w:firstLine="0" w:firstLineChars="0"/>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_Toc24801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二、机构设置</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fldChar w:fldCharType="end"/>
      </w:r>
    </w:p>
    <w:p w14:paraId="055662C0">
      <w:pPr>
        <w:pStyle w:val="14"/>
        <w:tabs>
          <w:tab w:val="right" w:leader="dot" w:pos="8306"/>
        </w:tabs>
        <w:rPr>
          <w:rFonts w:hint="eastAsia" w:ascii="Times New Roman" w:hAnsi="Times New Roman" w:eastAsia="黑体" w:cs="黑体"/>
          <w:b w:val="0"/>
          <w:bCs w:val="0"/>
          <w:caps w:val="0"/>
          <w:color w:val="auto"/>
          <w:kern w:val="2"/>
          <w:sz w:val="32"/>
          <w:szCs w:val="32"/>
          <w:highlight w:val="none"/>
          <w:lang w:val="en-US" w:eastAsia="zh-CN" w:bidi="ar-SA"/>
        </w:rPr>
      </w:pPr>
      <w:r>
        <w:rPr>
          <w:rFonts w:hint="eastAsia" w:ascii="Times New Roman" w:hAnsi="Times New Roman" w:eastAsia="黑体" w:cs="黑体"/>
          <w:b w:val="0"/>
          <w:bCs w:val="0"/>
          <w:caps w:val="0"/>
          <w:color w:val="auto"/>
          <w:kern w:val="2"/>
          <w:sz w:val="32"/>
          <w:szCs w:val="32"/>
          <w:highlight w:val="none"/>
          <w:lang w:val="en-US" w:eastAsia="zh-CN" w:bidi="ar-SA"/>
        </w:rPr>
        <w:fldChar w:fldCharType="begin" w:fldLock="1"/>
      </w:r>
      <w:r>
        <w:rPr>
          <w:rFonts w:hint="eastAsia" w:ascii="Times New Roman" w:hAnsi="Times New Roman" w:eastAsia="黑体" w:cs="黑体"/>
          <w:b w:val="0"/>
          <w:bCs w:val="0"/>
          <w:caps w:val="0"/>
          <w:color w:val="auto"/>
          <w:kern w:val="2"/>
          <w:sz w:val="32"/>
          <w:szCs w:val="32"/>
          <w:highlight w:val="none"/>
          <w:lang w:val="en-US" w:eastAsia="zh-CN" w:bidi="ar-SA"/>
        </w:rPr>
        <w:instrText xml:space="preserve"> HYPERLINK \l _Toc28878 </w:instrText>
      </w:r>
      <w:r>
        <w:rPr>
          <w:rFonts w:hint="eastAsia" w:ascii="Times New Roman" w:hAnsi="Times New Roman" w:eastAsia="黑体" w:cs="黑体"/>
          <w:b w:val="0"/>
          <w:bCs w:val="0"/>
          <w:caps w:val="0"/>
          <w:color w:val="auto"/>
          <w:kern w:val="2"/>
          <w:sz w:val="32"/>
          <w:szCs w:val="32"/>
          <w:highlight w:val="none"/>
          <w:lang w:val="en-US" w:eastAsia="zh-CN" w:bidi="ar-SA"/>
        </w:rPr>
        <w:fldChar w:fldCharType="separate"/>
      </w:r>
      <w:r>
        <w:rPr>
          <w:rFonts w:hint="eastAsia" w:ascii="Times New Roman" w:hAnsi="Times New Roman" w:eastAsia="黑体" w:cs="黑体"/>
          <w:b w:val="0"/>
          <w:bCs w:val="0"/>
          <w:caps w:val="0"/>
          <w:color w:val="auto"/>
          <w:kern w:val="2"/>
          <w:sz w:val="32"/>
          <w:szCs w:val="32"/>
          <w:highlight w:val="none"/>
          <w:lang w:val="en-US" w:eastAsia="zh-CN" w:bidi="ar-SA"/>
        </w:rPr>
        <w:t>第二部分 202</w:t>
      </w:r>
      <w:r>
        <w:rPr>
          <w:rFonts w:hint="eastAsia" w:eastAsia="黑体" w:cs="黑体"/>
          <w:b w:val="0"/>
          <w:bCs w:val="0"/>
          <w:caps w:val="0"/>
          <w:color w:val="auto"/>
          <w:kern w:val="2"/>
          <w:sz w:val="32"/>
          <w:szCs w:val="32"/>
          <w:highlight w:val="none"/>
          <w:lang w:val="en-US" w:eastAsia="zh-CN" w:bidi="ar-SA"/>
        </w:rPr>
        <w:t>5</w:t>
      </w:r>
      <w:r>
        <w:rPr>
          <w:rFonts w:hint="eastAsia" w:ascii="Times New Roman" w:hAnsi="Times New Roman" w:eastAsia="黑体" w:cs="黑体"/>
          <w:b w:val="0"/>
          <w:bCs w:val="0"/>
          <w:caps w:val="0"/>
          <w:color w:val="auto"/>
          <w:kern w:val="2"/>
          <w:sz w:val="32"/>
          <w:szCs w:val="32"/>
          <w:highlight w:val="none"/>
          <w:lang w:val="en-US" w:eastAsia="zh-CN" w:bidi="ar-SA"/>
        </w:rPr>
        <w:t>年度单位决算情况说明</w:t>
      </w:r>
      <w:r>
        <w:rPr>
          <w:rFonts w:hint="eastAsia" w:ascii="Times New Roman" w:hAnsi="Times New Roman" w:eastAsia="黑体" w:cs="黑体"/>
          <w:b w:val="0"/>
          <w:bCs w:val="0"/>
          <w:caps w:val="0"/>
          <w:color w:val="auto"/>
          <w:kern w:val="2"/>
          <w:sz w:val="32"/>
          <w:szCs w:val="32"/>
          <w:highlight w:val="none"/>
          <w:lang w:val="en-US" w:eastAsia="zh-CN" w:bidi="ar-SA"/>
        </w:rPr>
        <w:tab/>
      </w:r>
      <w:r>
        <w:rPr>
          <w:rFonts w:hint="eastAsia" w:ascii="Times New Roman" w:hAnsi="Times New Roman" w:eastAsia="黑体" w:cs="黑体"/>
          <w:b w:val="0"/>
          <w:bCs w:val="0"/>
          <w:caps w:val="0"/>
          <w:color w:val="auto"/>
          <w:kern w:val="2"/>
          <w:sz w:val="32"/>
          <w:szCs w:val="32"/>
          <w:highlight w:val="none"/>
          <w:lang w:val="en-US" w:eastAsia="zh-CN" w:bidi="ar-SA"/>
        </w:rPr>
        <w:t>5</w:t>
      </w:r>
      <w:r>
        <w:rPr>
          <w:rFonts w:hint="eastAsia" w:ascii="Times New Roman" w:hAnsi="Times New Roman" w:eastAsia="黑体" w:cs="黑体"/>
          <w:b w:val="0"/>
          <w:bCs w:val="0"/>
          <w:caps w:val="0"/>
          <w:color w:val="auto"/>
          <w:kern w:val="2"/>
          <w:sz w:val="32"/>
          <w:szCs w:val="32"/>
          <w:highlight w:val="none"/>
          <w:lang w:val="en-US" w:eastAsia="zh-CN" w:bidi="ar-SA"/>
        </w:rPr>
        <w:fldChar w:fldCharType="end"/>
      </w:r>
    </w:p>
    <w:p w14:paraId="26AF5A9D">
      <w:pPr>
        <w:pStyle w:val="15"/>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_Toc26318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一、收入支出决算总体情况说明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fldChar w:fldCharType="end"/>
      </w:r>
    </w:p>
    <w:p w14:paraId="3F4C5677">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_Toc11173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二、收入决算情况说明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5</w:t>
      </w:r>
    </w:p>
    <w:p w14:paraId="37000A00">
      <w:pPr>
        <w:pStyle w:val="15"/>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_Toc24588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三、支出决算情况说明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fldChar w:fldCharType="end"/>
      </w:r>
    </w:p>
    <w:p w14:paraId="4464A5E4">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_Toc5062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四、财政拨款收入支出决算总体情况说明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6</w:t>
      </w:r>
    </w:p>
    <w:p w14:paraId="3F1D0CC7">
      <w:pPr>
        <w:pStyle w:val="15"/>
        <w:tabs>
          <w:tab w:val="right" w:leader="dot" w:pos="8306"/>
        </w:tabs>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_Toc14519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五、一般公共预算财政拨款支出决算情况说明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fldChar w:fldCharType="end"/>
      </w:r>
    </w:p>
    <w:p w14:paraId="37A8F450">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_Toc12470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六、一般公共预算财政拨款基本支出决算情况说明   </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9</w:t>
      </w:r>
    </w:p>
    <w:p w14:paraId="7E6D2253">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_Toc24250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七、财政拨款“三公”经费支出决算情况说明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9</w:t>
      </w:r>
    </w:p>
    <w:p w14:paraId="69D5FB59">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_Toc29532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八、政府性基金预算支出决算情况说明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0</w:t>
      </w:r>
    </w:p>
    <w:p w14:paraId="28DE41A4">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_Toc30552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九、国有资本经营预算支出决算情况说明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0</w:t>
      </w:r>
    </w:p>
    <w:p w14:paraId="283B351F">
      <w:pPr>
        <w:pStyle w:val="15"/>
        <w:tabs>
          <w:tab w:val="right" w:leader="dot" w:pos="8306"/>
        </w:tabs>
        <w:ind w:left="0" w:leftChars="0" w:firstLine="0" w:firstLineChars="0"/>
        <w:rPr>
          <w:rFonts w:hint="default"/>
          <w:lang w:val="en-US"/>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_Toc3049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 其他重要事项的情况说明</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0</w:t>
      </w:r>
    </w:p>
    <w:p w14:paraId="602F1FE9">
      <w:pPr>
        <w:pStyle w:val="14"/>
        <w:tabs>
          <w:tab w:val="right" w:leader="dot" w:pos="8306"/>
        </w:tabs>
        <w:rPr>
          <w:rFonts w:hint="eastAsia" w:ascii="Times New Roman" w:hAnsi="Times New Roman" w:eastAsia="黑体" w:cs="黑体"/>
          <w:b w:val="0"/>
          <w:bCs w:val="0"/>
          <w:caps w:val="0"/>
          <w:color w:val="auto"/>
          <w:kern w:val="2"/>
          <w:sz w:val="32"/>
          <w:szCs w:val="32"/>
          <w:highlight w:val="none"/>
          <w:lang w:val="en-US" w:eastAsia="zh-CN" w:bidi="ar-SA"/>
        </w:rPr>
      </w:pPr>
      <w:r>
        <w:rPr>
          <w:rFonts w:hint="eastAsia" w:ascii="Times New Roman" w:hAnsi="Times New Roman" w:eastAsia="黑体" w:cs="黑体"/>
          <w:b w:val="0"/>
          <w:bCs w:val="0"/>
          <w:caps w:val="0"/>
          <w:color w:val="auto"/>
          <w:kern w:val="2"/>
          <w:sz w:val="32"/>
          <w:szCs w:val="32"/>
          <w:highlight w:val="none"/>
          <w:lang w:val="en-US" w:eastAsia="zh-CN" w:bidi="ar-SA"/>
        </w:rPr>
        <w:fldChar w:fldCharType="begin" w:fldLock="1"/>
      </w:r>
      <w:r>
        <w:rPr>
          <w:rFonts w:hint="eastAsia" w:ascii="Times New Roman" w:hAnsi="Times New Roman" w:eastAsia="黑体" w:cs="黑体"/>
          <w:b w:val="0"/>
          <w:bCs w:val="0"/>
          <w:caps w:val="0"/>
          <w:color w:val="auto"/>
          <w:kern w:val="2"/>
          <w:sz w:val="32"/>
          <w:szCs w:val="32"/>
          <w:highlight w:val="none"/>
          <w:lang w:val="en-US" w:eastAsia="zh-CN" w:bidi="ar-SA"/>
        </w:rPr>
        <w:instrText xml:space="preserve"> HYPERLINK \l _Toc31255 </w:instrText>
      </w:r>
      <w:r>
        <w:rPr>
          <w:rFonts w:hint="eastAsia" w:ascii="Times New Roman" w:hAnsi="Times New Roman" w:eastAsia="黑体" w:cs="黑体"/>
          <w:b w:val="0"/>
          <w:bCs w:val="0"/>
          <w:caps w:val="0"/>
          <w:color w:val="auto"/>
          <w:kern w:val="2"/>
          <w:sz w:val="32"/>
          <w:szCs w:val="32"/>
          <w:highlight w:val="none"/>
          <w:lang w:val="en-US" w:eastAsia="zh-CN" w:bidi="ar-SA"/>
        </w:rPr>
        <w:fldChar w:fldCharType="separate"/>
      </w:r>
      <w:r>
        <w:rPr>
          <w:rFonts w:hint="eastAsia" w:ascii="Times New Roman" w:hAnsi="Times New Roman" w:eastAsia="黑体" w:cs="黑体"/>
          <w:b w:val="0"/>
          <w:bCs w:val="0"/>
          <w:caps w:val="0"/>
          <w:color w:val="auto"/>
          <w:kern w:val="2"/>
          <w:sz w:val="32"/>
          <w:szCs w:val="32"/>
          <w:highlight w:val="none"/>
          <w:lang w:val="en-US" w:eastAsia="zh-CN" w:bidi="ar-SA"/>
        </w:rPr>
        <w:t>第三部分 名词解释</w:t>
      </w:r>
      <w:r>
        <w:rPr>
          <w:rFonts w:hint="eastAsia" w:ascii="Times New Roman" w:hAnsi="Times New Roman" w:eastAsia="黑体" w:cs="黑体"/>
          <w:b w:val="0"/>
          <w:bCs w:val="0"/>
          <w:caps w:val="0"/>
          <w:color w:val="auto"/>
          <w:kern w:val="2"/>
          <w:sz w:val="32"/>
          <w:szCs w:val="32"/>
          <w:highlight w:val="none"/>
          <w:lang w:val="en-US" w:eastAsia="zh-CN" w:bidi="ar-SA"/>
        </w:rPr>
        <w:tab/>
      </w:r>
      <w:r>
        <w:rPr>
          <w:rFonts w:hint="eastAsia" w:ascii="Times New Roman" w:hAnsi="Times New Roman" w:eastAsia="黑体" w:cs="黑体"/>
          <w:b w:val="0"/>
          <w:bCs w:val="0"/>
          <w:caps w:val="0"/>
          <w:color w:val="auto"/>
          <w:kern w:val="2"/>
          <w:sz w:val="32"/>
          <w:szCs w:val="32"/>
          <w:highlight w:val="none"/>
          <w:lang w:val="en-US" w:eastAsia="zh-CN" w:bidi="ar-SA"/>
        </w:rPr>
        <w:fldChar w:fldCharType="end"/>
      </w:r>
      <w:r>
        <w:rPr>
          <w:rFonts w:hint="eastAsia" w:ascii="Times New Roman" w:hAnsi="Times New Roman" w:eastAsia="黑体" w:cs="黑体"/>
          <w:b w:val="0"/>
          <w:bCs w:val="0"/>
          <w:caps w:val="0"/>
          <w:color w:val="auto"/>
          <w:kern w:val="2"/>
          <w:sz w:val="32"/>
          <w:szCs w:val="32"/>
          <w:highlight w:val="none"/>
          <w:lang w:val="en-US" w:eastAsia="zh-CN" w:bidi="ar-SA"/>
        </w:rPr>
        <w:t>12</w:t>
      </w:r>
    </w:p>
    <w:p w14:paraId="50EDBDCD">
      <w:pPr>
        <w:pStyle w:val="14"/>
        <w:tabs>
          <w:tab w:val="right" w:leader="dot" w:pos="8306"/>
        </w:tabs>
        <w:rPr>
          <w:rFonts w:hint="default" w:ascii="Times New Roman" w:hAnsi="Times New Roman" w:eastAsia="黑体" w:cs="黑体"/>
          <w:b w:val="0"/>
          <w:bCs w:val="0"/>
          <w:caps w:val="0"/>
          <w:color w:val="auto"/>
          <w:kern w:val="2"/>
          <w:sz w:val="32"/>
          <w:szCs w:val="32"/>
          <w:highlight w:val="none"/>
          <w:lang w:val="en-US" w:eastAsia="zh-CN" w:bidi="ar-SA"/>
        </w:rPr>
      </w:pPr>
      <w:r>
        <w:rPr>
          <w:rFonts w:hint="eastAsia" w:ascii="Times New Roman" w:hAnsi="Times New Roman" w:eastAsia="黑体" w:cs="黑体"/>
          <w:b w:val="0"/>
          <w:bCs w:val="0"/>
          <w:caps w:val="0"/>
          <w:color w:val="auto"/>
          <w:kern w:val="2"/>
          <w:sz w:val="32"/>
          <w:szCs w:val="32"/>
          <w:highlight w:val="none"/>
          <w:lang w:val="en-US" w:eastAsia="zh-CN" w:bidi="ar-SA"/>
        </w:rPr>
        <w:fldChar w:fldCharType="begin" w:fldLock="1"/>
      </w:r>
      <w:r>
        <w:rPr>
          <w:rFonts w:hint="eastAsia" w:ascii="Times New Roman" w:hAnsi="Times New Roman" w:eastAsia="黑体" w:cs="黑体"/>
          <w:b w:val="0"/>
          <w:bCs w:val="0"/>
          <w:caps w:val="0"/>
          <w:color w:val="auto"/>
          <w:kern w:val="2"/>
          <w:sz w:val="32"/>
          <w:szCs w:val="32"/>
          <w:highlight w:val="none"/>
          <w:lang w:val="en-US" w:eastAsia="zh-CN" w:bidi="ar-SA"/>
        </w:rPr>
        <w:instrText xml:space="preserve"> HYPERLINK \l _Toc17303 </w:instrText>
      </w:r>
      <w:r>
        <w:rPr>
          <w:rFonts w:hint="eastAsia" w:ascii="Times New Roman" w:hAnsi="Times New Roman" w:eastAsia="黑体" w:cs="黑体"/>
          <w:b w:val="0"/>
          <w:bCs w:val="0"/>
          <w:caps w:val="0"/>
          <w:color w:val="auto"/>
          <w:kern w:val="2"/>
          <w:sz w:val="32"/>
          <w:szCs w:val="32"/>
          <w:highlight w:val="none"/>
          <w:lang w:val="en-US" w:eastAsia="zh-CN" w:bidi="ar-SA"/>
        </w:rPr>
        <w:fldChar w:fldCharType="separate"/>
      </w:r>
      <w:r>
        <w:rPr>
          <w:rFonts w:hint="eastAsia" w:ascii="Times New Roman" w:hAnsi="Times New Roman" w:eastAsia="黑体" w:cs="黑体"/>
          <w:b w:val="0"/>
          <w:bCs w:val="0"/>
          <w:caps w:val="0"/>
          <w:color w:val="auto"/>
          <w:kern w:val="2"/>
          <w:sz w:val="32"/>
          <w:szCs w:val="32"/>
          <w:highlight w:val="none"/>
          <w:lang w:val="en-US" w:eastAsia="zh-CN" w:bidi="ar-SA"/>
        </w:rPr>
        <w:t>第四部分 附表</w:t>
      </w:r>
      <w:r>
        <w:rPr>
          <w:rFonts w:hint="eastAsia" w:ascii="Times New Roman" w:hAnsi="Times New Roman" w:eastAsia="黑体" w:cs="黑体"/>
          <w:b w:val="0"/>
          <w:bCs w:val="0"/>
          <w:caps w:val="0"/>
          <w:color w:val="auto"/>
          <w:kern w:val="2"/>
          <w:sz w:val="32"/>
          <w:szCs w:val="32"/>
          <w:highlight w:val="none"/>
          <w:lang w:val="en-US" w:eastAsia="zh-CN" w:bidi="ar-SA"/>
        </w:rPr>
        <w:tab/>
      </w:r>
      <w:r>
        <w:rPr>
          <w:rFonts w:hint="eastAsia" w:ascii="Times New Roman" w:hAnsi="Times New Roman" w:eastAsia="黑体" w:cs="黑体"/>
          <w:b w:val="0"/>
          <w:bCs w:val="0"/>
          <w:caps w:val="0"/>
          <w:color w:val="auto"/>
          <w:kern w:val="2"/>
          <w:sz w:val="32"/>
          <w:szCs w:val="32"/>
          <w:highlight w:val="none"/>
          <w:lang w:val="en-US" w:eastAsia="zh-CN" w:bidi="ar-SA"/>
        </w:rPr>
        <w:fldChar w:fldCharType="end"/>
      </w:r>
      <w:r>
        <w:rPr>
          <w:rFonts w:hint="eastAsia" w:ascii="Times New Roman" w:hAnsi="Times New Roman" w:eastAsia="黑体" w:cs="黑体"/>
          <w:b w:val="0"/>
          <w:bCs w:val="0"/>
          <w:caps w:val="0"/>
          <w:color w:val="auto"/>
          <w:kern w:val="2"/>
          <w:sz w:val="32"/>
          <w:szCs w:val="32"/>
          <w:highlight w:val="none"/>
          <w:lang w:val="en-US" w:eastAsia="zh-CN" w:bidi="ar-SA"/>
        </w:rPr>
        <w:t>14</w:t>
      </w:r>
    </w:p>
    <w:p w14:paraId="37CD7199">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_Toc9197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一、收入支出决算总表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4722F0C4">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_Toc8608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二、收入决算表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45251CA8">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_Toc3286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三、支出决算表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06E7C69C">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_Toc7411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四、财政拨款收入支出决算总表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64FF178C">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_Toc15181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五、财政拨款支出决算明细表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2A8E7C67">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_Toc26721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六、一般公共预算财政拨款支出决算表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6DE83BA7">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_Toc11311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七、一般公共预算财政拨款支出决算明细表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5F9EC1FC">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_Toc5464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八、一般公共预算财政拨款基本支出决算表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38A6FD61">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_Toc15122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九、一般公共预算财政拨款项目支出决算表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0C80D6E1">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_Toc26993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十、政府性基金预算财政拨款收入支出决算表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63089A37">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_Toc30243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十一、国有资本经营预算财政拨款收入支出决算表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312B5E67">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_Toc25933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十二、国有资本经营预算财政拨款支出决算表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511D42AA">
      <w:pPr>
        <w:pStyle w:val="15"/>
        <w:tabs>
          <w:tab w:val="right" w:leader="dot" w:pos="8306"/>
        </w:tabs>
        <w:ind w:left="0" w:leftChars="0" w:firstLine="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fldLock="1"/>
      </w:r>
      <w:r>
        <w:rPr>
          <w:rFonts w:hint="eastAsia" w:ascii="Times New Roman" w:hAnsi="Times New Roman" w:eastAsia="仿宋_GB2312" w:cs="仿宋_GB2312"/>
          <w:color w:val="auto"/>
          <w:kern w:val="2"/>
          <w:sz w:val="32"/>
          <w:szCs w:val="32"/>
          <w:highlight w:val="none"/>
          <w:lang w:val="en-US" w:eastAsia="zh-CN" w:bidi="ar-SA"/>
        </w:rPr>
        <w:instrText xml:space="preserve"> HYPERLINK \l _Toc506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十三、财政拨款“三公”经费支出决算表</w:t>
      </w:r>
      <w:r>
        <w:rPr>
          <w:rFonts w:hint="eastAsia" w:ascii="Times New Roman" w:hAnsi="Times New Roman" w:eastAsia="仿宋_GB2312" w:cs="仿宋_GB2312"/>
          <w:color w:val="auto"/>
          <w:kern w:val="2"/>
          <w:sz w:val="32"/>
          <w:szCs w:val="32"/>
          <w:highlight w:val="none"/>
          <w:lang w:val="en-US" w:eastAsia="zh-CN" w:bidi="ar-SA"/>
        </w:rPr>
        <w:tab/>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14</w:t>
      </w:r>
    </w:p>
    <w:p w14:paraId="37FE4C8B">
      <w:pPr>
        <w:pageBreakBefore w:val="0"/>
        <w:widowControl/>
        <w:kinsoku/>
        <w:wordWrap/>
        <w:overflowPunct/>
        <w:topLinePunct w:val="0"/>
        <w:bidi w:val="0"/>
        <w:adjustRightInd w:val="0"/>
        <w:snapToGrid w:val="0"/>
        <w:spacing w:line="576" w:lineRule="exact"/>
        <w:ind w:firstLine="1155" w:firstLineChars="550"/>
        <w:jc w:val="left"/>
        <w:textAlignment w:val="auto"/>
      </w:pPr>
      <w:r>
        <w:t> </w:t>
      </w:r>
    </w:p>
    <w:p w14:paraId="2CA553E6">
      <w:pPr>
        <w:pStyle w:val="5"/>
        <w:keepNext/>
        <w:keepLines/>
        <w:pageBreakBefore w:val="0"/>
        <w:kinsoku/>
        <w:wordWrap/>
        <w:overflowPunct/>
        <w:topLinePunct w:val="0"/>
        <w:bidi w:val="0"/>
        <w:spacing w:before="340" w:beforeAutospacing="0" w:after="330" w:afterAutospacing="0" w:line="576" w:lineRule="exact"/>
        <w:jc w:val="center"/>
        <w:textAlignment w:val="auto"/>
        <w:outlineLvl w:val="0"/>
        <w:rPr>
          <w:rFonts w:hint="eastAsia" w:ascii="黑体" w:hAnsi="Times New Roman" w:eastAsia="黑体" w:cs="Times New Roman"/>
          <w:b w:val="0"/>
          <w:sz w:val="44"/>
          <w:szCs w:val="44"/>
          <w:lang w:bidi="ar-SA"/>
        </w:rPr>
      </w:pPr>
      <w:bookmarkStart w:id="0" w:name="_Toc31835"/>
      <w:bookmarkStart w:id="1" w:name="_Toc2419"/>
      <w:bookmarkStart w:id="2" w:name="_Toc23324"/>
      <w:bookmarkStart w:id="3" w:name="_Toc24404"/>
    </w:p>
    <w:p w14:paraId="64E0DD4B">
      <w:pPr>
        <w:pStyle w:val="5"/>
        <w:keepNext/>
        <w:keepLines/>
        <w:pageBreakBefore w:val="0"/>
        <w:kinsoku/>
        <w:wordWrap/>
        <w:overflowPunct/>
        <w:topLinePunct w:val="0"/>
        <w:bidi w:val="0"/>
        <w:spacing w:before="340" w:beforeAutospacing="0" w:after="330" w:afterAutospacing="0" w:line="576" w:lineRule="exact"/>
        <w:jc w:val="center"/>
        <w:textAlignment w:val="auto"/>
        <w:outlineLvl w:val="0"/>
        <w:rPr>
          <w:rFonts w:hint="eastAsia" w:ascii="黑体" w:hAnsi="Times New Roman" w:eastAsia="黑体" w:cs="Times New Roman"/>
          <w:b w:val="0"/>
          <w:sz w:val="44"/>
          <w:szCs w:val="44"/>
          <w:lang w:bidi="ar-SA"/>
        </w:rPr>
      </w:pPr>
    </w:p>
    <w:p w14:paraId="4C8382B0">
      <w:pPr>
        <w:pStyle w:val="5"/>
        <w:keepNext/>
        <w:keepLines/>
        <w:pageBreakBefore w:val="0"/>
        <w:kinsoku/>
        <w:wordWrap/>
        <w:overflowPunct/>
        <w:topLinePunct w:val="0"/>
        <w:bidi w:val="0"/>
        <w:spacing w:before="340" w:beforeAutospacing="0" w:after="330" w:afterAutospacing="0" w:line="576" w:lineRule="exact"/>
        <w:jc w:val="center"/>
        <w:textAlignment w:val="auto"/>
        <w:outlineLvl w:val="0"/>
        <w:rPr>
          <w:rFonts w:hint="eastAsia" w:ascii="黑体" w:hAnsi="Times New Roman" w:eastAsia="黑体" w:cs="Times New Roman"/>
          <w:b w:val="0"/>
          <w:sz w:val="44"/>
          <w:szCs w:val="44"/>
          <w:lang w:bidi="ar-SA"/>
        </w:rPr>
      </w:pPr>
    </w:p>
    <w:p w14:paraId="6A616D84">
      <w:pPr>
        <w:pStyle w:val="5"/>
        <w:keepNext/>
        <w:keepLines/>
        <w:pageBreakBefore w:val="0"/>
        <w:kinsoku/>
        <w:wordWrap/>
        <w:overflowPunct/>
        <w:topLinePunct w:val="0"/>
        <w:bidi w:val="0"/>
        <w:spacing w:before="340" w:beforeAutospacing="0" w:after="330" w:afterAutospacing="0" w:line="576" w:lineRule="exact"/>
        <w:jc w:val="center"/>
        <w:textAlignment w:val="auto"/>
        <w:outlineLvl w:val="0"/>
        <w:rPr>
          <w:rFonts w:hint="eastAsia" w:ascii="黑体" w:hAnsi="Times New Roman" w:eastAsia="黑体" w:cs="Times New Roman"/>
          <w:b w:val="0"/>
          <w:sz w:val="44"/>
          <w:szCs w:val="44"/>
          <w:lang w:bidi="ar-SA"/>
        </w:rPr>
      </w:pPr>
    </w:p>
    <w:p w14:paraId="71552861">
      <w:pPr>
        <w:pStyle w:val="5"/>
        <w:keepNext/>
        <w:keepLines/>
        <w:pageBreakBefore w:val="0"/>
        <w:kinsoku/>
        <w:wordWrap/>
        <w:overflowPunct/>
        <w:topLinePunct w:val="0"/>
        <w:bidi w:val="0"/>
        <w:spacing w:before="340" w:beforeAutospacing="0" w:after="330" w:afterAutospacing="0" w:line="576" w:lineRule="exact"/>
        <w:jc w:val="center"/>
        <w:textAlignment w:val="auto"/>
        <w:outlineLvl w:val="0"/>
        <w:rPr>
          <w:rFonts w:hint="eastAsia" w:ascii="黑体" w:hAnsi="Times New Roman" w:eastAsia="黑体" w:cs="Times New Roman"/>
          <w:b w:val="0"/>
          <w:sz w:val="44"/>
          <w:szCs w:val="44"/>
          <w:lang w:bidi="ar-SA"/>
        </w:rPr>
      </w:pPr>
    </w:p>
    <w:p w14:paraId="66197BEF">
      <w:pPr>
        <w:pStyle w:val="5"/>
        <w:keepNext/>
        <w:keepLines/>
        <w:pageBreakBefore w:val="0"/>
        <w:widowControl w:val="0"/>
        <w:kinsoku/>
        <w:wordWrap/>
        <w:overflowPunct/>
        <w:topLinePunct w:val="0"/>
        <w:autoSpaceDE/>
        <w:autoSpaceDN/>
        <w:bidi w:val="0"/>
        <w:adjustRightInd/>
        <w:snapToGrid w:val="0"/>
        <w:spacing w:before="340" w:beforeAutospacing="0" w:after="330" w:afterAutospacing="0" w:line="240" w:lineRule="auto"/>
        <w:jc w:val="both"/>
        <w:textAlignment w:val="auto"/>
        <w:rPr>
          <w:rFonts w:hint="eastAsia" w:ascii="Times New Roman" w:hAnsi="Times New Roman" w:eastAsia="方正小标宋简体" w:cs="方正小标宋简体"/>
          <w:b w:val="0"/>
          <w:color w:val="auto"/>
          <w:sz w:val="44"/>
          <w:szCs w:val="44"/>
          <w:highlight w:val="none"/>
          <w:lang w:eastAsia="zh-CN" w:bidi="ar-SA"/>
        </w:rPr>
      </w:pPr>
    </w:p>
    <w:p w14:paraId="31909C73">
      <w:pPr>
        <w:bidi w:val="0"/>
        <w:rPr>
          <w:rFonts w:hint="eastAsia"/>
          <w:lang w:eastAsia="zh-CN"/>
        </w:rPr>
      </w:pPr>
    </w:p>
    <w:p w14:paraId="1FEF6070">
      <w:pPr>
        <w:bidi w:val="0"/>
        <w:rPr>
          <w:rFonts w:hint="eastAsia"/>
          <w:lang w:eastAsia="zh-CN"/>
        </w:rPr>
      </w:pPr>
    </w:p>
    <w:p w14:paraId="1A8D685C">
      <w:pPr>
        <w:bidi w:val="0"/>
        <w:rPr>
          <w:rFonts w:hint="eastAsia"/>
          <w:lang w:eastAsia="zh-CN"/>
        </w:rPr>
      </w:pPr>
    </w:p>
    <w:p w14:paraId="539006A5">
      <w:pPr>
        <w:bidi w:val="0"/>
        <w:rPr>
          <w:rFonts w:hint="eastAsia"/>
          <w:lang w:eastAsia="zh-CN"/>
        </w:rPr>
      </w:pPr>
    </w:p>
    <w:p w14:paraId="2FE4340A">
      <w:pPr>
        <w:bidi w:val="0"/>
        <w:rPr>
          <w:rFonts w:hint="eastAsia"/>
          <w:lang w:eastAsia="zh-CN"/>
        </w:rPr>
      </w:pPr>
    </w:p>
    <w:p w14:paraId="1B992165">
      <w:pPr>
        <w:bidi w:val="0"/>
        <w:rPr>
          <w:rFonts w:hint="eastAsia"/>
          <w:lang w:eastAsia="zh-CN"/>
        </w:rPr>
      </w:pPr>
    </w:p>
    <w:p w14:paraId="5C9C474B">
      <w:pPr>
        <w:pStyle w:val="5"/>
        <w:keepNext/>
        <w:keepLines/>
        <w:spacing w:before="340" w:beforeAutospacing="0" w:after="330" w:afterAutospacing="0" w:line="578" w:lineRule="auto"/>
        <w:jc w:val="center"/>
        <w:rPr>
          <w:rFonts w:hint="eastAsia" w:ascii="Times New Roman" w:hAnsi="Times New Roman" w:eastAsia="方正小标宋简体" w:cs="方正小标宋简体"/>
          <w:b w:val="0"/>
          <w:bCs/>
          <w:color w:val="auto"/>
          <w:sz w:val="44"/>
          <w:szCs w:val="44"/>
          <w:highlight w:val="none"/>
          <w:lang w:eastAsia="zh-CN" w:bidi="ar-SA"/>
        </w:rPr>
      </w:pPr>
      <w:r>
        <w:rPr>
          <w:rFonts w:hint="eastAsia" w:ascii="Times New Roman" w:hAnsi="Times New Roman" w:eastAsia="方正小标宋简体" w:cs="方正小标宋简体"/>
          <w:b w:val="0"/>
          <w:bCs/>
          <w:color w:val="auto"/>
          <w:sz w:val="44"/>
          <w:szCs w:val="44"/>
          <w:highlight w:val="none"/>
          <w:lang w:eastAsia="zh-CN" w:bidi="ar-SA"/>
        </w:rPr>
        <w:t>第一部分 单位概况</w:t>
      </w:r>
      <w:bookmarkEnd w:id="0"/>
      <w:bookmarkEnd w:id="1"/>
      <w:bookmarkEnd w:id="2"/>
      <w:bookmarkEnd w:id="3"/>
    </w:p>
    <w:p w14:paraId="5A7B820B">
      <w:pPr>
        <w:pStyle w:val="6"/>
        <w:keepNext/>
        <w:keepLines/>
        <w:pageBreakBefore w:val="0"/>
        <w:widowControl w:val="0"/>
        <w:kinsoku/>
        <w:wordWrap/>
        <w:overflowPunct/>
        <w:topLinePunct w:val="0"/>
        <w:autoSpaceDE/>
        <w:autoSpaceDN/>
        <w:bidi w:val="0"/>
        <w:adjustRightInd w:val="0"/>
        <w:snapToGrid w:val="0"/>
        <w:spacing w:before="260" w:beforeAutospacing="0" w:after="260" w:afterAutospacing="0" w:line="240" w:lineRule="auto"/>
        <w:jc w:val="both"/>
        <w:textAlignment w:val="auto"/>
        <w:rPr>
          <w:rFonts w:hint="eastAsia" w:ascii="Times New Roman" w:hAnsi="Times New Roman" w:eastAsia="黑体" w:cs="Times New Roman"/>
          <w:b w:val="0"/>
          <w:color w:val="auto"/>
          <w:kern w:val="2"/>
          <w:sz w:val="32"/>
          <w:szCs w:val="32"/>
          <w:highlight w:val="none"/>
          <w:lang w:bidi="ar-SA"/>
        </w:rPr>
      </w:pPr>
      <w:bookmarkStart w:id="4" w:name="_Toc20488"/>
      <w:bookmarkStart w:id="5" w:name="_Toc4959"/>
      <w:bookmarkStart w:id="6" w:name="_Toc15510"/>
      <w:bookmarkStart w:id="7" w:name="_Toc14656"/>
      <w:r>
        <w:rPr>
          <w:rFonts w:hint="eastAsia" w:ascii="Times New Roman" w:hAnsi="Times New Roman" w:eastAsia="黑体" w:cs="Times New Roman"/>
          <w:b w:val="0"/>
          <w:color w:val="auto"/>
          <w:kern w:val="2"/>
          <w:sz w:val="32"/>
          <w:szCs w:val="32"/>
          <w:highlight w:val="none"/>
          <w:lang w:bidi="ar-SA"/>
        </w:rPr>
        <w:t>一、主要职责</w:t>
      </w:r>
      <w:bookmarkEnd w:id="4"/>
      <w:bookmarkEnd w:id="5"/>
      <w:bookmarkEnd w:id="6"/>
      <w:bookmarkEnd w:id="7"/>
    </w:p>
    <w:p w14:paraId="3A80D2AC">
      <w:pPr>
        <w:pageBreakBefore w:val="0"/>
        <w:widowControl w:val="0"/>
        <w:kinsoku/>
        <w:wordWrap/>
        <w:overflowPunct/>
        <w:topLinePunct w:val="0"/>
        <w:autoSpaceDE/>
        <w:autoSpaceDN/>
        <w:bidi w:val="0"/>
        <w:adjustRightInd w:val="0"/>
        <w:snapToGrid w:val="0"/>
        <w:spacing w:line="240" w:lineRule="auto"/>
        <w:ind w:firstLine="800" w:firstLineChars="25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1.负责全县卫生人员的培训和继续教育工作。</w:t>
      </w:r>
    </w:p>
    <w:p w14:paraId="373D6CBF">
      <w:pPr>
        <w:pageBreakBefore w:val="0"/>
        <w:widowControl w:val="0"/>
        <w:kinsoku/>
        <w:wordWrap/>
        <w:overflowPunct/>
        <w:topLinePunct w:val="0"/>
        <w:autoSpaceDE/>
        <w:autoSpaceDN/>
        <w:bidi w:val="0"/>
        <w:adjustRightInd w:val="0"/>
        <w:snapToGrid w:val="0"/>
        <w:spacing w:line="240" w:lineRule="auto"/>
        <w:ind w:firstLine="800" w:firstLineChars="25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2.协助配合主管局指导教育工作。</w:t>
      </w:r>
    </w:p>
    <w:p w14:paraId="0E194642">
      <w:pPr>
        <w:pageBreakBefore w:val="0"/>
        <w:widowControl w:val="0"/>
        <w:kinsoku/>
        <w:wordWrap/>
        <w:overflowPunct/>
        <w:topLinePunct w:val="0"/>
        <w:autoSpaceDE/>
        <w:autoSpaceDN/>
        <w:bidi w:val="0"/>
        <w:adjustRightInd w:val="0"/>
        <w:snapToGrid w:val="0"/>
        <w:spacing w:line="240" w:lineRule="auto"/>
        <w:ind w:firstLine="800" w:firstLineChars="25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3.负责组织拟订并实施基层卫生和妇幼卫生、计划生育服务发展规划和政策措施，指导全县基层卫生和妇幼卫生、计划生育服务体系建设。</w:t>
      </w:r>
    </w:p>
    <w:p w14:paraId="241A4501">
      <w:pPr>
        <w:pageBreakBefore w:val="0"/>
        <w:widowControl w:val="0"/>
        <w:kinsoku/>
        <w:wordWrap/>
        <w:overflowPunct/>
        <w:topLinePunct w:val="0"/>
        <w:autoSpaceDE/>
        <w:autoSpaceDN/>
        <w:bidi w:val="0"/>
        <w:adjustRightInd w:val="0"/>
        <w:snapToGrid w:val="0"/>
        <w:spacing w:line="240" w:lineRule="auto"/>
        <w:ind w:firstLine="800" w:firstLineChars="25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4.组织实施促进全县出生人口性别平衡的政策措施。</w:t>
      </w:r>
    </w:p>
    <w:p w14:paraId="5A9D6392">
      <w:pPr>
        <w:pageBreakBefore w:val="0"/>
        <w:widowControl w:val="0"/>
        <w:kinsoku/>
        <w:wordWrap/>
        <w:overflowPunct/>
        <w:topLinePunct w:val="0"/>
        <w:autoSpaceDE/>
        <w:autoSpaceDN/>
        <w:bidi w:val="0"/>
        <w:adjustRightInd w:val="0"/>
        <w:snapToGrid w:val="0"/>
        <w:spacing w:line="240" w:lineRule="auto"/>
        <w:ind w:firstLine="800" w:firstLineChars="25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5.组织拟订全县卫生计生人才发展规划。</w:t>
      </w:r>
      <w:bookmarkStart w:id="8" w:name="_Toc2091"/>
    </w:p>
    <w:bookmarkEnd w:id="8"/>
    <w:p w14:paraId="5265DE01">
      <w:pPr>
        <w:pStyle w:val="6"/>
        <w:keepNext/>
        <w:keepLines/>
        <w:pageBreakBefore w:val="0"/>
        <w:widowControl w:val="0"/>
        <w:kinsoku/>
        <w:wordWrap/>
        <w:overflowPunct/>
        <w:topLinePunct w:val="0"/>
        <w:autoSpaceDE/>
        <w:autoSpaceDN/>
        <w:bidi w:val="0"/>
        <w:adjustRightInd w:val="0"/>
        <w:snapToGrid w:val="0"/>
        <w:spacing w:before="260" w:beforeAutospacing="0" w:after="260" w:afterAutospacing="0" w:line="240" w:lineRule="auto"/>
        <w:jc w:val="both"/>
        <w:textAlignment w:val="auto"/>
        <w:rPr>
          <w:rFonts w:hint="eastAsia" w:ascii="Times New Roman" w:hAnsi="Times New Roman" w:eastAsia="黑体" w:cs="Times New Roman"/>
          <w:b w:val="0"/>
          <w:color w:val="auto"/>
          <w:kern w:val="2"/>
          <w:sz w:val="32"/>
          <w:szCs w:val="32"/>
          <w:highlight w:val="none"/>
          <w:lang w:bidi="ar-SA"/>
        </w:rPr>
      </w:pPr>
      <w:bookmarkStart w:id="9" w:name="_Toc19820"/>
      <w:bookmarkStart w:id="10" w:name="_Toc19708"/>
      <w:bookmarkStart w:id="11" w:name="_Toc10669"/>
      <w:bookmarkStart w:id="12" w:name="_Toc192"/>
      <w:r>
        <w:rPr>
          <w:rFonts w:hint="eastAsia" w:ascii="Times New Roman" w:hAnsi="Times New Roman" w:eastAsia="黑体" w:cs="Times New Roman"/>
          <w:b w:val="0"/>
          <w:color w:val="auto"/>
          <w:kern w:val="2"/>
          <w:sz w:val="32"/>
          <w:szCs w:val="32"/>
          <w:highlight w:val="none"/>
          <w:lang w:bidi="ar-SA"/>
        </w:rPr>
        <w:t>二、机构设置</w:t>
      </w:r>
      <w:bookmarkEnd w:id="9"/>
      <w:bookmarkEnd w:id="10"/>
      <w:bookmarkEnd w:id="11"/>
      <w:bookmarkEnd w:id="12"/>
    </w:p>
    <w:p w14:paraId="5C4B36AB">
      <w:pPr>
        <w:ind w:firstLine="800" w:firstLineChars="250"/>
        <w:rPr>
          <w:rFonts w:eastAsia="仿宋_GB2312" w:cs="仿宋_GB2312"/>
          <w:sz w:val="32"/>
          <w:szCs w:val="32"/>
        </w:rPr>
      </w:pPr>
      <w:r>
        <w:rPr>
          <w:rFonts w:hint="eastAsia" w:ascii="仿宋_GB2312" w:hAnsi="仿宋_GB2312" w:eastAsia="仿宋_GB2312" w:cs="仿宋_GB2312"/>
          <w:color w:val="auto"/>
          <w:kern w:val="2"/>
          <w:sz w:val="32"/>
          <w:szCs w:val="32"/>
          <w:highlight w:val="none"/>
          <w:lang w:val="en-US" w:eastAsia="zh-CN" w:bidi="ar-SA"/>
        </w:rPr>
        <w:t>茂县卫生进修学校</w:t>
      </w:r>
      <w:bookmarkStart w:id="13" w:name="_Toc20110"/>
      <w:bookmarkStart w:id="14" w:name="_Toc26951"/>
      <w:r>
        <w:rPr>
          <w:rFonts w:hint="eastAsia" w:eastAsia="仿宋_GB2312" w:cs="仿宋_GB2312"/>
          <w:sz w:val="32"/>
          <w:szCs w:val="32"/>
        </w:rPr>
        <w:t>下属二级预算单位</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eastAsia="仿宋_GB2312" w:cs="仿宋_GB2312"/>
          <w:sz w:val="32"/>
          <w:szCs w:val="32"/>
        </w:rPr>
        <w:t>个，其中行政单位</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eastAsia="仿宋_GB2312" w:cs="仿宋_GB2312"/>
          <w:sz w:val="32"/>
          <w:szCs w:val="32"/>
        </w:rPr>
        <w:t>个，参照公务员法管理的事业单位</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eastAsia="仿宋_GB2312" w:cs="仿宋_GB2312"/>
          <w:sz w:val="32"/>
          <w:szCs w:val="32"/>
        </w:rPr>
        <w:t>个，其他事业单位</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eastAsia="仿宋_GB2312" w:cs="仿宋_GB2312"/>
          <w:sz w:val="32"/>
          <w:szCs w:val="32"/>
        </w:rPr>
        <w:t>个。</w:t>
      </w:r>
    </w:p>
    <w:p w14:paraId="5AAB9518">
      <w:pPr>
        <w:pStyle w:val="3"/>
        <w:keepNext w:val="0"/>
        <w:keepLines w:val="0"/>
        <w:pageBreakBefore w:val="0"/>
        <w:widowControl w:val="0"/>
        <w:pBdr>
          <w:bottom w:val="single" w:color="FFFFFF" w:sz="4" w:space="29"/>
        </w:pBdr>
        <w:tabs>
          <w:tab w:val="left" w:pos="1440"/>
        </w:tabs>
        <w:kinsoku/>
        <w:wordWrap/>
        <w:overflowPunct/>
        <w:topLinePunct w:val="0"/>
        <w:autoSpaceDE/>
        <w:autoSpaceDN/>
        <w:bidi w:val="0"/>
        <w:adjustRightInd w:val="0"/>
        <w:snapToGrid w:val="0"/>
        <w:spacing w:after="0" w:line="240" w:lineRule="auto"/>
        <w:ind w:left="0" w:leftChars="0"/>
        <w:textAlignment w:val="auto"/>
        <w:rPr>
          <w:rFonts w:hint="eastAsia" w:ascii="仿宋_GB2312" w:hAnsi="仿宋_GB2312" w:eastAsia="仿宋_GB2312" w:cs="仿宋_GB2312"/>
          <w:color w:val="auto"/>
          <w:kern w:val="2"/>
          <w:sz w:val="32"/>
          <w:szCs w:val="32"/>
          <w:highlight w:val="none"/>
          <w:lang w:val="en-US" w:eastAsia="zh-CN" w:bidi="ar-SA"/>
        </w:rPr>
      </w:pPr>
    </w:p>
    <w:p w14:paraId="5C88002B">
      <w:pPr>
        <w:pStyle w:val="3"/>
        <w:keepNext w:val="0"/>
        <w:keepLines w:val="0"/>
        <w:pageBreakBefore w:val="0"/>
        <w:widowControl w:val="0"/>
        <w:pBdr>
          <w:bottom w:val="single" w:color="FFFFFF" w:sz="4" w:space="29"/>
        </w:pBdr>
        <w:tabs>
          <w:tab w:val="left" w:pos="1440"/>
        </w:tabs>
        <w:kinsoku/>
        <w:wordWrap/>
        <w:overflowPunct/>
        <w:topLinePunct w:val="0"/>
        <w:autoSpaceDE/>
        <w:autoSpaceDN/>
        <w:bidi w:val="0"/>
        <w:adjustRightInd w:val="0"/>
        <w:snapToGrid w:val="0"/>
        <w:spacing w:after="0" w:line="240" w:lineRule="auto"/>
        <w:ind w:left="0" w:leftChars="0"/>
        <w:textAlignment w:val="auto"/>
        <w:rPr>
          <w:rFonts w:hint="eastAsia" w:ascii="仿宋" w:hAnsi="仿宋" w:eastAsia="仿宋" w:cs="仿宋"/>
          <w:bCs/>
          <w:color w:val="000000"/>
          <w:sz w:val="32"/>
          <w:szCs w:val="32"/>
          <w:lang w:eastAsia="zh-CN"/>
        </w:rPr>
      </w:pPr>
    </w:p>
    <w:p w14:paraId="5432CFF7">
      <w:pPr>
        <w:pStyle w:val="3"/>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after="0" w:line="560" w:lineRule="exact"/>
        <w:ind w:left="0" w:leftChars="0"/>
        <w:textAlignment w:val="auto"/>
        <w:rPr>
          <w:rFonts w:hint="eastAsia" w:ascii="仿宋" w:hAnsi="仿宋" w:eastAsia="仿宋" w:cs="仿宋"/>
          <w:bCs/>
          <w:color w:val="000000"/>
          <w:sz w:val="32"/>
          <w:szCs w:val="32"/>
          <w:lang w:eastAsia="zh-CN"/>
        </w:rPr>
      </w:pPr>
    </w:p>
    <w:p w14:paraId="0FABDBE1">
      <w:pPr>
        <w:pStyle w:val="3"/>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after="0" w:line="560" w:lineRule="exact"/>
        <w:ind w:left="0" w:leftChars="0"/>
        <w:textAlignment w:val="auto"/>
        <w:rPr>
          <w:rFonts w:hint="eastAsia" w:ascii="仿宋" w:hAnsi="仿宋" w:eastAsia="仿宋" w:cs="仿宋"/>
          <w:bCs/>
          <w:color w:val="000000"/>
          <w:sz w:val="32"/>
          <w:szCs w:val="32"/>
          <w:lang w:eastAsia="zh-CN"/>
        </w:rPr>
      </w:pPr>
    </w:p>
    <w:p w14:paraId="6760C1AC">
      <w:pPr>
        <w:pStyle w:val="3"/>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after="0" w:line="560" w:lineRule="exact"/>
        <w:ind w:left="0" w:leftChars="0"/>
        <w:textAlignment w:val="auto"/>
        <w:rPr>
          <w:rFonts w:hint="eastAsia" w:ascii="仿宋" w:hAnsi="仿宋" w:eastAsia="仿宋" w:cs="仿宋"/>
          <w:bCs/>
          <w:color w:val="000000"/>
          <w:sz w:val="32"/>
          <w:szCs w:val="32"/>
          <w:lang w:eastAsia="zh-CN"/>
        </w:rPr>
      </w:pPr>
    </w:p>
    <w:p w14:paraId="663EA07A">
      <w:pPr>
        <w:pStyle w:val="3"/>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after="0" w:line="560" w:lineRule="exact"/>
        <w:ind w:left="0" w:leftChars="0"/>
        <w:textAlignment w:val="auto"/>
        <w:rPr>
          <w:rFonts w:hint="eastAsia" w:ascii="仿宋" w:hAnsi="仿宋" w:eastAsia="仿宋" w:cs="仿宋"/>
          <w:bCs/>
          <w:color w:val="000000"/>
          <w:sz w:val="32"/>
          <w:szCs w:val="32"/>
          <w:lang w:eastAsia="zh-CN"/>
        </w:rPr>
      </w:pPr>
    </w:p>
    <w:p w14:paraId="7BC48D3E">
      <w:pPr>
        <w:pStyle w:val="3"/>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after="0" w:line="560" w:lineRule="exact"/>
        <w:ind w:left="0" w:leftChars="0"/>
        <w:textAlignment w:val="auto"/>
        <w:rPr>
          <w:rFonts w:hint="eastAsia" w:ascii="仿宋" w:hAnsi="仿宋" w:eastAsia="仿宋" w:cs="仿宋"/>
          <w:bCs/>
          <w:color w:val="000000"/>
          <w:sz w:val="32"/>
          <w:szCs w:val="32"/>
          <w:lang w:eastAsia="zh-CN"/>
        </w:rPr>
      </w:pPr>
    </w:p>
    <w:p w14:paraId="2E0749BC">
      <w:pPr>
        <w:pStyle w:val="3"/>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after="0" w:line="560" w:lineRule="exact"/>
        <w:ind w:left="0" w:leftChars="0"/>
        <w:textAlignment w:val="auto"/>
        <w:rPr>
          <w:rFonts w:hint="eastAsia" w:ascii="仿宋" w:hAnsi="仿宋" w:eastAsia="仿宋" w:cs="仿宋"/>
          <w:bCs/>
          <w:color w:val="000000"/>
          <w:sz w:val="32"/>
          <w:szCs w:val="32"/>
          <w:lang w:eastAsia="zh-CN"/>
        </w:rPr>
      </w:pPr>
    </w:p>
    <w:p w14:paraId="606D9997">
      <w:pPr>
        <w:pStyle w:val="3"/>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after="0" w:line="560" w:lineRule="exact"/>
        <w:ind w:left="0" w:leftChars="0"/>
        <w:textAlignment w:val="auto"/>
        <w:rPr>
          <w:rFonts w:hint="eastAsia" w:ascii="仿宋" w:hAnsi="仿宋" w:eastAsia="仿宋" w:cs="仿宋"/>
          <w:bCs/>
          <w:color w:val="000000"/>
          <w:sz w:val="32"/>
          <w:szCs w:val="32"/>
          <w:lang w:eastAsia="zh-CN"/>
        </w:rPr>
      </w:pPr>
    </w:p>
    <w:p w14:paraId="01A008EA">
      <w:pPr>
        <w:pStyle w:val="3"/>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after="0" w:line="560" w:lineRule="exact"/>
        <w:ind w:left="0" w:leftChars="0"/>
        <w:textAlignment w:val="auto"/>
        <w:rPr>
          <w:rFonts w:hint="eastAsia" w:ascii="仿宋" w:hAnsi="仿宋" w:eastAsia="仿宋" w:cs="仿宋"/>
          <w:bCs/>
          <w:color w:val="000000"/>
          <w:sz w:val="32"/>
          <w:szCs w:val="32"/>
          <w:lang w:eastAsia="zh-CN"/>
        </w:rPr>
      </w:pPr>
    </w:p>
    <w:p w14:paraId="7CF12FBD">
      <w:pPr>
        <w:pStyle w:val="3"/>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after="0" w:line="560" w:lineRule="exact"/>
        <w:textAlignment w:val="auto"/>
        <w:outlineLvl w:val="0"/>
        <w:rPr>
          <w:rFonts w:hint="eastAsia" w:ascii="黑体" w:hAnsi="Times New Roman" w:eastAsia="黑体" w:cs="Times New Roman"/>
          <w:b w:val="0"/>
          <w:color w:val="000000"/>
          <w:sz w:val="44"/>
          <w:szCs w:val="44"/>
          <w:lang w:bidi="ar-SA"/>
        </w:rPr>
      </w:pPr>
      <w:bookmarkStart w:id="15" w:name="_Toc21677"/>
      <w:bookmarkStart w:id="16" w:name="_Toc20751"/>
    </w:p>
    <w:p w14:paraId="19422812">
      <w:pPr>
        <w:pStyle w:val="3"/>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after="0" w:line="560" w:lineRule="exact"/>
        <w:textAlignment w:val="auto"/>
        <w:outlineLvl w:val="0"/>
        <w:rPr>
          <w:rFonts w:hint="eastAsia" w:ascii="黑体" w:hAnsi="Times New Roman" w:eastAsia="黑体" w:cs="Times New Roman"/>
          <w:b w:val="0"/>
          <w:color w:val="000000"/>
          <w:sz w:val="44"/>
          <w:szCs w:val="44"/>
          <w:lang w:bidi="ar-SA"/>
        </w:rPr>
      </w:pPr>
    </w:p>
    <w:p w14:paraId="6836FFE8">
      <w:pPr>
        <w:pStyle w:val="3"/>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after="0" w:line="560" w:lineRule="exact"/>
        <w:textAlignment w:val="auto"/>
        <w:outlineLvl w:val="0"/>
        <w:rPr>
          <w:rFonts w:hint="eastAsia" w:ascii="黑体" w:hAnsi="Times New Roman" w:eastAsia="黑体" w:cs="Times New Roman"/>
          <w:b w:val="0"/>
          <w:color w:val="000000"/>
          <w:sz w:val="44"/>
          <w:szCs w:val="44"/>
          <w:lang w:bidi="ar-SA"/>
        </w:rPr>
      </w:pPr>
    </w:p>
    <w:p w14:paraId="73BEA84B">
      <w:pPr>
        <w:pStyle w:val="3"/>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after="0" w:line="560" w:lineRule="exact"/>
        <w:textAlignment w:val="auto"/>
        <w:outlineLvl w:val="0"/>
        <w:rPr>
          <w:rFonts w:hint="eastAsia" w:ascii="黑体" w:hAnsi="Times New Roman" w:eastAsia="黑体" w:cs="Times New Roman"/>
          <w:b w:val="0"/>
          <w:color w:val="000000"/>
          <w:sz w:val="44"/>
          <w:szCs w:val="44"/>
          <w:lang w:bidi="ar-SA"/>
        </w:rPr>
      </w:pPr>
    </w:p>
    <w:p w14:paraId="5AB32F35">
      <w:pPr>
        <w:pStyle w:val="5"/>
        <w:keepNext/>
        <w:keepLines/>
        <w:pageBreakBefore w:val="0"/>
        <w:widowControl w:val="0"/>
        <w:kinsoku/>
        <w:wordWrap/>
        <w:overflowPunct/>
        <w:topLinePunct w:val="0"/>
        <w:autoSpaceDE/>
        <w:autoSpaceDN/>
        <w:bidi w:val="0"/>
        <w:adjustRightInd w:val="0"/>
        <w:snapToGrid w:val="0"/>
        <w:spacing w:before="340" w:beforeAutospacing="0" w:after="330" w:afterAutospacing="0" w:line="240" w:lineRule="auto"/>
        <w:jc w:val="center"/>
        <w:textAlignment w:val="auto"/>
        <w:rPr>
          <w:rFonts w:hint="eastAsia" w:ascii="Times New Roman" w:hAnsi="Times New Roman" w:eastAsia="方正小标宋简体" w:cs="方正小标宋简体"/>
          <w:b w:val="0"/>
          <w:bCs/>
          <w:color w:val="auto"/>
          <w:sz w:val="44"/>
          <w:szCs w:val="44"/>
          <w:highlight w:val="none"/>
          <w:lang w:eastAsia="zh-CN" w:bidi="ar-SA"/>
        </w:rPr>
      </w:pPr>
      <w:bookmarkStart w:id="17" w:name="_Toc28878"/>
      <w:r>
        <w:rPr>
          <w:rFonts w:hint="eastAsia" w:ascii="Times New Roman" w:hAnsi="Times New Roman" w:eastAsia="方正小标宋简体" w:cs="方正小标宋简体"/>
          <w:b w:val="0"/>
          <w:bCs/>
          <w:color w:val="auto"/>
          <w:sz w:val="44"/>
          <w:szCs w:val="44"/>
          <w:highlight w:val="none"/>
          <w:lang w:eastAsia="zh-CN" w:bidi="ar-SA"/>
        </w:rPr>
        <w:t>第二部分</w:t>
      </w:r>
      <w:r>
        <w:rPr>
          <w:rFonts w:hint="eastAsia" w:ascii="Times New Roman" w:hAnsi="Times New Roman" w:eastAsia="方正小标宋简体" w:cs="方正小标宋简体"/>
          <w:b w:val="0"/>
          <w:color w:val="auto"/>
          <w:sz w:val="44"/>
          <w:szCs w:val="44"/>
          <w:highlight w:val="none"/>
          <w:lang w:bidi="ar-SA"/>
        </w:rPr>
        <w:t>202</w:t>
      </w:r>
      <w:r>
        <w:rPr>
          <w:rFonts w:hint="eastAsia" w:ascii="Times New Roman" w:hAnsi="Times New Roman" w:eastAsia="方正小标宋简体" w:cs="方正小标宋简体"/>
          <w:b w:val="0"/>
          <w:color w:val="auto"/>
          <w:sz w:val="44"/>
          <w:szCs w:val="44"/>
          <w:highlight w:val="none"/>
          <w:lang w:val="en-US" w:eastAsia="zh-CN" w:bidi="ar-SA"/>
        </w:rPr>
        <w:t>5</w:t>
      </w:r>
      <w:r>
        <w:rPr>
          <w:rFonts w:hint="eastAsia" w:ascii="Times New Roman" w:hAnsi="Times New Roman" w:eastAsia="方正小标宋简体" w:cs="方正小标宋简体"/>
          <w:b w:val="0"/>
          <w:bCs/>
          <w:color w:val="auto"/>
          <w:sz w:val="44"/>
          <w:szCs w:val="44"/>
          <w:highlight w:val="none"/>
          <w:lang w:eastAsia="zh-CN" w:bidi="ar-SA"/>
        </w:rPr>
        <w:t>年度单位决算情况说明</w:t>
      </w:r>
      <w:bookmarkEnd w:id="13"/>
      <w:bookmarkEnd w:id="14"/>
      <w:bookmarkEnd w:id="15"/>
      <w:bookmarkEnd w:id="16"/>
      <w:bookmarkEnd w:id="17"/>
      <w:bookmarkStart w:id="18" w:name="_Toc14047"/>
      <w:bookmarkStart w:id="19" w:name="_Toc12554"/>
      <w:bookmarkStart w:id="20" w:name="_Toc24824"/>
      <w:bookmarkStart w:id="21" w:name="_Toc18348"/>
    </w:p>
    <w:p w14:paraId="738B878B">
      <w:pPr>
        <w:pStyle w:val="5"/>
        <w:keepNext/>
        <w:keepLines/>
        <w:pageBreakBefore w:val="0"/>
        <w:widowControl w:val="0"/>
        <w:kinsoku/>
        <w:wordWrap/>
        <w:overflowPunct/>
        <w:topLinePunct w:val="0"/>
        <w:autoSpaceDE/>
        <w:autoSpaceDN/>
        <w:bidi w:val="0"/>
        <w:adjustRightInd w:val="0"/>
        <w:snapToGrid w:val="0"/>
        <w:spacing w:before="340" w:beforeAutospacing="0" w:after="330" w:afterAutospacing="0" w:line="240" w:lineRule="auto"/>
        <w:ind w:firstLine="640" w:firstLineChars="200"/>
        <w:jc w:val="left"/>
        <w:textAlignment w:val="auto"/>
        <w:rPr>
          <w:rFonts w:hint="eastAsia" w:ascii="Times New Roman" w:hAnsi="Times New Roman" w:eastAsia="黑体" w:cs="Times New Roman"/>
          <w:b w:val="0"/>
          <w:color w:val="auto"/>
          <w:kern w:val="2"/>
          <w:sz w:val="32"/>
          <w:szCs w:val="32"/>
          <w:highlight w:val="none"/>
          <w:lang w:eastAsia="zh-CN" w:bidi="ar-SA"/>
        </w:rPr>
      </w:pPr>
      <w:r>
        <w:rPr>
          <w:rFonts w:hint="eastAsia" w:ascii="Times New Roman" w:hAnsi="Times New Roman" w:eastAsia="黑体" w:cs="Times New Roman"/>
          <w:b w:val="0"/>
          <w:color w:val="auto"/>
          <w:kern w:val="2"/>
          <w:sz w:val="32"/>
          <w:szCs w:val="32"/>
          <w:highlight w:val="none"/>
          <w:lang w:eastAsia="zh-CN" w:bidi="ar-SA"/>
        </w:rPr>
        <w:t>一、收入支出决算总体情况说明</w:t>
      </w:r>
      <w:bookmarkEnd w:id="18"/>
      <w:bookmarkEnd w:id="19"/>
      <w:bookmarkEnd w:id="20"/>
      <w:bookmarkEnd w:id="21"/>
    </w:p>
    <w:p w14:paraId="64B764B7">
      <w:pPr>
        <w:pStyle w:val="5"/>
        <w:keepNext/>
        <w:keepLines/>
        <w:pageBreakBefore w:val="0"/>
        <w:widowControl w:val="0"/>
        <w:kinsoku/>
        <w:wordWrap/>
        <w:overflowPunct/>
        <w:topLinePunct w:val="0"/>
        <w:autoSpaceDE/>
        <w:autoSpaceDN/>
        <w:bidi w:val="0"/>
        <w:adjustRightInd w:val="0"/>
        <w:snapToGrid w:val="0"/>
        <w:spacing w:before="340" w:beforeAutospacing="0" w:after="330" w:afterAutospacing="0" w:line="240" w:lineRule="auto"/>
        <w:ind w:firstLine="640"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b w:val="0"/>
          <w:bCs w:val="0"/>
          <w:color w:val="auto"/>
          <w:kern w:val="2"/>
          <w:sz w:val="32"/>
          <w:szCs w:val="32"/>
          <w:highlight w:val="none"/>
          <w:lang w:val="en-US" w:eastAsia="zh-CN" w:bidi="ar-SA"/>
        </w:rPr>
        <w:t>年度收、支总计</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hAnsi="仿宋_GB2312" w:eastAsia="仿宋_GB2312" w:cs="仿宋_GB2312"/>
          <w:b w:val="0"/>
          <w:bCs w:val="0"/>
          <w:color w:val="auto"/>
          <w:kern w:val="2"/>
          <w:sz w:val="32"/>
          <w:szCs w:val="32"/>
          <w:highlight w:val="none"/>
          <w:lang w:val="en-US" w:eastAsia="zh-CN" w:bidi="ar-SA"/>
        </w:rPr>
        <w:t>万元。与</w:t>
      </w:r>
      <w:r>
        <w:rPr>
          <w:rFonts w:hint="eastAsia" w:ascii="Times New Roman" w:hAnsi="Times New Roman" w:eastAsia="仿宋_GB2312" w:cs="仿宋_GB2312"/>
          <w:b w:val="0"/>
          <w:bCs w:val="0"/>
          <w:caps w:val="0"/>
          <w:color w:val="auto"/>
          <w:kern w:val="2"/>
          <w:sz w:val="32"/>
          <w:szCs w:val="32"/>
          <w:highlight w:val="none"/>
          <w:lang w:val="en-US" w:eastAsia="zh-CN" w:bidi="ar-SA"/>
        </w:rPr>
        <w:t>2024</w:t>
      </w:r>
      <w:r>
        <w:rPr>
          <w:rFonts w:hint="eastAsia" w:ascii="仿宋_GB2312" w:hAnsi="仿宋_GB2312" w:eastAsia="仿宋_GB2312" w:cs="仿宋_GB2312"/>
          <w:b w:val="0"/>
          <w:bCs w:val="0"/>
          <w:color w:val="auto"/>
          <w:kern w:val="2"/>
          <w:sz w:val="32"/>
          <w:szCs w:val="32"/>
          <w:highlight w:val="none"/>
          <w:lang w:val="en-US" w:eastAsia="zh-CN" w:bidi="ar-SA"/>
        </w:rPr>
        <w:t>年相比，收、支总计各增加</w:t>
      </w:r>
      <w:r>
        <w:rPr>
          <w:rFonts w:hint="eastAsia" w:ascii="Times New Roman" w:hAnsi="Times New Roman" w:eastAsia="仿宋_GB2312" w:cs="仿宋_GB2312"/>
          <w:b w:val="0"/>
          <w:bCs w:val="0"/>
          <w:caps w:val="0"/>
          <w:color w:val="auto"/>
          <w:kern w:val="2"/>
          <w:sz w:val="32"/>
          <w:szCs w:val="32"/>
          <w:highlight w:val="none"/>
          <w:lang w:val="en-US" w:eastAsia="zh-CN" w:bidi="ar-SA"/>
        </w:rPr>
        <w:t>18.97</w:t>
      </w:r>
      <w:r>
        <w:rPr>
          <w:rFonts w:hint="eastAsia" w:ascii="仿宋_GB2312" w:hAnsi="仿宋_GB2312" w:eastAsia="仿宋_GB2312" w:cs="仿宋_GB2312"/>
          <w:b w:val="0"/>
          <w:bCs w:val="0"/>
          <w:color w:val="auto"/>
          <w:kern w:val="2"/>
          <w:sz w:val="32"/>
          <w:szCs w:val="32"/>
          <w:highlight w:val="none"/>
          <w:lang w:val="en-US" w:eastAsia="zh-CN" w:bidi="ar-SA"/>
        </w:rPr>
        <w:t>万元，增长</w:t>
      </w:r>
      <w:r>
        <w:rPr>
          <w:rFonts w:hint="eastAsia" w:ascii="Times New Roman" w:hAnsi="Times New Roman" w:eastAsia="仿宋_GB2312" w:cs="仿宋_GB2312"/>
          <w:b w:val="0"/>
          <w:bCs w:val="0"/>
          <w:caps w:val="0"/>
          <w:color w:val="auto"/>
          <w:kern w:val="2"/>
          <w:sz w:val="32"/>
          <w:szCs w:val="32"/>
          <w:highlight w:val="none"/>
          <w:lang w:val="en-US" w:eastAsia="zh-CN" w:bidi="ar-SA"/>
        </w:rPr>
        <w:t>57.57</w:t>
      </w:r>
      <w:r>
        <w:rPr>
          <w:rFonts w:hint="eastAsia" w:ascii="仿宋_GB2312" w:hAnsi="仿宋_GB2312" w:eastAsia="仿宋_GB2312" w:cs="仿宋_GB2312"/>
          <w:b w:val="0"/>
          <w:bCs w:val="0"/>
          <w:color w:val="auto"/>
          <w:kern w:val="2"/>
          <w:sz w:val="32"/>
          <w:szCs w:val="32"/>
          <w:highlight w:val="none"/>
          <w:lang w:val="en-US" w:eastAsia="zh-CN" w:bidi="ar-SA"/>
        </w:rPr>
        <w:t>%。主要变动原因是：人员调进。</w:t>
      </w:r>
    </w:p>
    <w:p w14:paraId="4CA809B3">
      <w:pPr>
        <w:rPr>
          <w:rFonts w:hint="eastAsia"/>
          <w:lang w:val="en-US" w:eastAsia="zh-CN"/>
        </w:rPr>
      </w:pPr>
      <w:r>
        <w:drawing>
          <wp:inline distT="0" distB="0" distL="114300" distR="114300">
            <wp:extent cx="4819650" cy="2743200"/>
            <wp:effectExtent l="4445" t="4445" r="1460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3DE75C6">
      <w:pPr>
        <w:pageBreakBefore w:val="0"/>
        <w:kinsoku/>
        <w:wordWrap/>
        <w:overflowPunct/>
        <w:topLinePunct w:val="0"/>
        <w:bidi w:val="0"/>
        <w:spacing w:line="240" w:lineRule="auto"/>
        <w:ind w:firstLine="0" w:firstLineChars="0"/>
        <w:textAlignment w:val="auto"/>
      </w:pPr>
      <w:bookmarkStart w:id="22" w:name="_Toc5639"/>
      <w:bookmarkStart w:id="23" w:name="_Toc8150"/>
      <w:bookmarkStart w:id="24" w:name="_Toc16485"/>
      <w:bookmarkStart w:id="25" w:name="_Toc11583"/>
    </w:p>
    <w:p w14:paraId="57114738">
      <w:pPr>
        <w:pageBreakBefore w:val="0"/>
        <w:kinsoku/>
        <w:wordWrap/>
        <w:overflowPunct/>
        <w:topLinePunct w:val="0"/>
        <w:bidi w:val="0"/>
        <w:spacing w:line="240" w:lineRule="auto"/>
        <w:ind w:firstLine="640" w:firstLineChars="200"/>
        <w:textAlignment w:val="auto"/>
        <w:rPr>
          <w:rFonts w:hint="eastAsia" w:ascii="Times New Roman" w:hAnsi="Times New Roman" w:eastAsia="黑体" w:cs="Times New Roman"/>
          <w:b w:val="0"/>
          <w:color w:val="auto"/>
          <w:kern w:val="2"/>
          <w:sz w:val="32"/>
          <w:szCs w:val="32"/>
          <w:highlight w:val="none"/>
          <w:lang w:eastAsia="zh-CN" w:bidi="ar-SA"/>
        </w:rPr>
      </w:pPr>
      <w:r>
        <w:rPr>
          <w:rFonts w:hint="eastAsia" w:ascii="Times New Roman" w:hAnsi="Times New Roman" w:eastAsia="黑体" w:cs="Times New Roman"/>
          <w:b w:val="0"/>
          <w:color w:val="auto"/>
          <w:kern w:val="2"/>
          <w:sz w:val="32"/>
          <w:szCs w:val="32"/>
          <w:highlight w:val="none"/>
          <w:lang w:eastAsia="zh-CN" w:bidi="ar-SA"/>
        </w:rPr>
        <w:t>二、收入决算情况说明</w:t>
      </w:r>
      <w:bookmarkEnd w:id="22"/>
      <w:bookmarkEnd w:id="23"/>
      <w:bookmarkEnd w:id="24"/>
      <w:bookmarkEnd w:id="25"/>
    </w:p>
    <w:p w14:paraId="7F1A00F7">
      <w:pPr>
        <w:pageBreakBefore w:val="0"/>
        <w:widowControl w:val="0"/>
        <w:kinsoku/>
        <w:wordWrap/>
        <w:overflowPunct/>
        <w:topLinePunct w:val="0"/>
        <w:autoSpaceDE/>
        <w:autoSpaceDN/>
        <w:bidi w:val="0"/>
        <w:adjustRightInd w:val="0"/>
        <w:snapToGrid w:val="0"/>
        <w:spacing w:line="240" w:lineRule="auto"/>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b w:val="0"/>
          <w:bCs w:val="0"/>
          <w:color w:val="auto"/>
          <w:kern w:val="2"/>
          <w:sz w:val="32"/>
          <w:szCs w:val="32"/>
          <w:highlight w:val="none"/>
          <w:lang w:val="en-US" w:eastAsia="zh-CN" w:bidi="ar-SA"/>
        </w:rPr>
        <w:t>年度本年收入合计</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hAnsi="仿宋_GB2312" w:eastAsia="仿宋_GB2312" w:cs="仿宋_GB2312"/>
          <w:b w:val="0"/>
          <w:bCs w:val="0"/>
          <w:color w:val="auto"/>
          <w:kern w:val="2"/>
          <w:sz w:val="32"/>
          <w:szCs w:val="32"/>
          <w:highlight w:val="none"/>
          <w:lang w:val="en-US" w:eastAsia="zh-CN" w:bidi="ar-SA"/>
        </w:rPr>
        <w:t>万元，其中：一般公共预算财政拨款收入</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hAnsi="仿宋_GB2312" w:eastAsia="仿宋_GB2312" w:cs="仿宋_GB2312"/>
          <w:b w:val="0"/>
          <w:bCs w:val="0"/>
          <w:color w:val="auto"/>
          <w:kern w:val="2"/>
          <w:sz w:val="32"/>
          <w:szCs w:val="32"/>
          <w:highlight w:val="none"/>
          <w:lang w:val="en-US" w:eastAsia="zh-CN" w:bidi="ar-SA"/>
        </w:rPr>
        <w:t>万元，占</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b w:val="0"/>
          <w:bCs w:val="0"/>
          <w:color w:val="auto"/>
          <w:kern w:val="2"/>
          <w:sz w:val="32"/>
          <w:szCs w:val="32"/>
          <w:highlight w:val="none"/>
          <w:lang w:val="en-US" w:eastAsia="zh-CN" w:bidi="ar-SA"/>
        </w:rPr>
        <w:t>%。</w:t>
      </w:r>
    </w:p>
    <w:p w14:paraId="76FA1017">
      <w:pPr>
        <w:pageBreakBefore w:val="0"/>
        <w:kinsoku/>
        <w:wordWrap/>
        <w:overflowPunct/>
        <w:topLinePunct w:val="0"/>
        <w:bidi w:val="0"/>
        <w:spacing w:line="240" w:lineRule="auto"/>
        <w:ind w:firstLine="0" w:firstLineChars="0"/>
        <w:textAlignment w:val="auto"/>
      </w:pPr>
      <w:bookmarkStart w:id="26" w:name="_Toc18578"/>
      <w:bookmarkStart w:id="27" w:name="_Toc23777"/>
      <w:bookmarkStart w:id="28" w:name="_Toc4096"/>
      <w:bookmarkStart w:id="29" w:name="_Toc18174"/>
      <w:r>
        <w:drawing>
          <wp:inline distT="0" distB="0" distL="114300" distR="114300">
            <wp:extent cx="4572000" cy="2743200"/>
            <wp:effectExtent l="4445" t="4445" r="1460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225E2D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黑体" w:cs="Times New Roman"/>
          <w:b w:val="0"/>
          <w:color w:val="auto"/>
          <w:kern w:val="2"/>
          <w:sz w:val="32"/>
          <w:szCs w:val="32"/>
          <w:highlight w:val="none"/>
          <w:lang w:eastAsia="zh-CN" w:bidi="ar-SA"/>
        </w:rPr>
      </w:pPr>
      <w:r>
        <w:rPr>
          <w:rFonts w:hint="eastAsia" w:ascii="Times New Roman" w:hAnsi="Times New Roman" w:eastAsia="黑体" w:cs="Times New Roman"/>
          <w:b w:val="0"/>
          <w:color w:val="auto"/>
          <w:kern w:val="2"/>
          <w:sz w:val="32"/>
          <w:szCs w:val="32"/>
          <w:highlight w:val="none"/>
          <w:lang w:eastAsia="zh-CN" w:bidi="ar-SA"/>
        </w:rPr>
        <w:t>三、支出决算情况说明</w:t>
      </w:r>
      <w:bookmarkEnd w:id="26"/>
      <w:bookmarkEnd w:id="27"/>
      <w:bookmarkEnd w:id="28"/>
      <w:bookmarkEnd w:id="29"/>
    </w:p>
    <w:p w14:paraId="1F06B88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b w:val="0"/>
          <w:bCs w:val="0"/>
          <w:color w:val="auto"/>
          <w:kern w:val="2"/>
          <w:sz w:val="32"/>
          <w:szCs w:val="32"/>
          <w:highlight w:val="none"/>
          <w:lang w:val="en-US" w:eastAsia="zh-CN" w:bidi="ar-SA"/>
        </w:rPr>
        <w:t>年度本年支出合计</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hAnsi="仿宋_GB2312" w:eastAsia="仿宋_GB2312" w:cs="仿宋_GB2312"/>
          <w:b w:val="0"/>
          <w:bCs w:val="0"/>
          <w:color w:val="auto"/>
          <w:kern w:val="2"/>
          <w:sz w:val="32"/>
          <w:szCs w:val="32"/>
          <w:highlight w:val="none"/>
          <w:lang w:val="en-US" w:eastAsia="zh-CN" w:bidi="ar-SA"/>
        </w:rPr>
        <w:t>万元，其中：基本支出</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hAnsi="仿宋_GB2312" w:eastAsia="仿宋_GB2312" w:cs="仿宋_GB2312"/>
          <w:b w:val="0"/>
          <w:bCs w:val="0"/>
          <w:color w:val="auto"/>
          <w:kern w:val="2"/>
          <w:sz w:val="32"/>
          <w:szCs w:val="32"/>
          <w:highlight w:val="none"/>
          <w:lang w:val="en-US" w:eastAsia="zh-CN" w:bidi="ar-SA"/>
        </w:rPr>
        <w:t>万元，占</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b w:val="0"/>
          <w:bCs w:val="0"/>
          <w:color w:val="auto"/>
          <w:kern w:val="2"/>
          <w:sz w:val="32"/>
          <w:szCs w:val="32"/>
          <w:highlight w:val="none"/>
          <w:lang w:val="en-US" w:eastAsia="zh-CN" w:bidi="ar-SA"/>
        </w:rPr>
        <w:t>%。</w:t>
      </w:r>
    </w:p>
    <w:p w14:paraId="575813F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0" w:firstLineChars="0"/>
        <w:textAlignment w:val="auto"/>
      </w:pPr>
      <w:bookmarkStart w:id="30" w:name="_Toc5490"/>
      <w:bookmarkStart w:id="31" w:name="_Toc26488"/>
      <w:bookmarkStart w:id="32" w:name="_Toc3479"/>
      <w:bookmarkStart w:id="33" w:name="_Toc28993"/>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E2C669B">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Times New Roman" w:hAnsi="Times New Roman" w:eastAsia="黑体" w:cs="Times New Roman"/>
          <w:b w:val="0"/>
          <w:color w:val="auto"/>
          <w:kern w:val="2"/>
          <w:sz w:val="32"/>
          <w:szCs w:val="32"/>
          <w:highlight w:val="none"/>
          <w:lang w:eastAsia="zh-CN" w:bidi="ar-SA"/>
        </w:rPr>
      </w:pPr>
      <w:r>
        <w:rPr>
          <w:rFonts w:hint="eastAsia" w:ascii="Times New Roman" w:hAnsi="Times New Roman" w:eastAsia="黑体" w:cs="Times New Roman"/>
          <w:b w:val="0"/>
          <w:color w:val="auto"/>
          <w:kern w:val="2"/>
          <w:sz w:val="32"/>
          <w:szCs w:val="32"/>
          <w:highlight w:val="none"/>
          <w:lang w:eastAsia="zh-CN" w:bidi="ar-SA"/>
        </w:rPr>
        <w:t>四、财政拨款收入支出决算总体情况说明</w:t>
      </w:r>
      <w:bookmarkEnd w:id="30"/>
      <w:bookmarkEnd w:id="31"/>
      <w:bookmarkEnd w:id="32"/>
      <w:bookmarkEnd w:id="33"/>
    </w:p>
    <w:p w14:paraId="4E58F070">
      <w:pPr>
        <w:pageBreakBefore w:val="0"/>
        <w:widowControl w:val="0"/>
        <w:kinsoku/>
        <w:wordWrap/>
        <w:overflowPunct/>
        <w:topLinePunct w:val="0"/>
        <w:autoSpaceDE/>
        <w:autoSpaceDN/>
        <w:bidi w:val="0"/>
        <w:adjustRightInd w:val="0"/>
        <w:snapToGrid w:val="0"/>
        <w:spacing w:line="240" w:lineRule="auto"/>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b w:val="0"/>
          <w:bCs w:val="0"/>
          <w:color w:val="auto"/>
          <w:kern w:val="2"/>
          <w:sz w:val="32"/>
          <w:szCs w:val="32"/>
          <w:highlight w:val="none"/>
          <w:lang w:val="en-US" w:eastAsia="zh-CN" w:bidi="ar-SA"/>
        </w:rPr>
        <w:t>年度财政拨款收、支总计</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hAnsi="仿宋_GB2312" w:eastAsia="仿宋_GB2312" w:cs="仿宋_GB2312"/>
          <w:b w:val="0"/>
          <w:bCs w:val="0"/>
          <w:color w:val="auto"/>
          <w:kern w:val="2"/>
          <w:sz w:val="32"/>
          <w:szCs w:val="32"/>
          <w:highlight w:val="none"/>
          <w:lang w:val="en-US" w:eastAsia="zh-CN" w:bidi="ar-SA"/>
        </w:rPr>
        <w:t>万元。与</w:t>
      </w:r>
      <w:r>
        <w:rPr>
          <w:rFonts w:hint="eastAsia" w:ascii="Times New Roman" w:hAnsi="Times New Roman" w:eastAsia="仿宋_GB2312" w:cs="仿宋_GB2312"/>
          <w:b w:val="0"/>
          <w:bCs w:val="0"/>
          <w:caps w:val="0"/>
          <w:color w:val="auto"/>
          <w:kern w:val="2"/>
          <w:sz w:val="32"/>
          <w:szCs w:val="32"/>
          <w:highlight w:val="none"/>
          <w:lang w:val="en-US" w:eastAsia="zh-CN" w:bidi="ar-SA"/>
        </w:rPr>
        <w:t>2024</w:t>
      </w:r>
      <w:r>
        <w:rPr>
          <w:rFonts w:hint="eastAsia" w:ascii="仿宋_GB2312" w:hAnsi="仿宋_GB2312" w:eastAsia="仿宋_GB2312" w:cs="仿宋_GB2312"/>
          <w:b w:val="0"/>
          <w:bCs w:val="0"/>
          <w:color w:val="auto"/>
          <w:kern w:val="2"/>
          <w:sz w:val="32"/>
          <w:szCs w:val="32"/>
          <w:highlight w:val="none"/>
          <w:lang w:val="en-US" w:eastAsia="zh-CN" w:bidi="ar-SA"/>
        </w:rPr>
        <w:t>年相比，财政拨款收、支总计各增加</w:t>
      </w:r>
      <w:r>
        <w:rPr>
          <w:rFonts w:hint="eastAsia" w:ascii="Times New Roman" w:hAnsi="Times New Roman" w:eastAsia="仿宋_GB2312" w:cs="仿宋_GB2312"/>
          <w:b w:val="0"/>
          <w:bCs w:val="0"/>
          <w:caps w:val="0"/>
          <w:color w:val="auto"/>
          <w:kern w:val="2"/>
          <w:sz w:val="32"/>
          <w:szCs w:val="32"/>
          <w:highlight w:val="none"/>
          <w:lang w:val="en-US" w:eastAsia="zh-CN" w:bidi="ar-SA"/>
        </w:rPr>
        <w:t>18.97</w:t>
      </w:r>
      <w:r>
        <w:rPr>
          <w:rFonts w:hint="eastAsia" w:ascii="仿宋_GB2312" w:hAnsi="仿宋_GB2312" w:eastAsia="仿宋_GB2312" w:cs="仿宋_GB2312"/>
          <w:b w:val="0"/>
          <w:bCs w:val="0"/>
          <w:color w:val="auto"/>
          <w:kern w:val="2"/>
          <w:sz w:val="32"/>
          <w:szCs w:val="32"/>
          <w:highlight w:val="none"/>
          <w:lang w:val="en-US" w:eastAsia="zh-CN" w:bidi="ar-SA"/>
        </w:rPr>
        <w:t>万元，增长</w:t>
      </w:r>
      <w:r>
        <w:rPr>
          <w:rFonts w:hint="eastAsia" w:ascii="Times New Roman" w:hAnsi="Times New Roman" w:eastAsia="仿宋_GB2312" w:cs="仿宋_GB2312"/>
          <w:b w:val="0"/>
          <w:bCs w:val="0"/>
          <w:caps w:val="0"/>
          <w:color w:val="auto"/>
          <w:kern w:val="2"/>
          <w:sz w:val="32"/>
          <w:szCs w:val="32"/>
          <w:highlight w:val="none"/>
          <w:lang w:val="en-US" w:eastAsia="zh-CN" w:bidi="ar-SA"/>
        </w:rPr>
        <w:t>57.57</w:t>
      </w:r>
      <w:r>
        <w:rPr>
          <w:rFonts w:hint="eastAsia" w:ascii="仿宋_GB2312" w:hAnsi="仿宋_GB2312" w:eastAsia="仿宋_GB2312" w:cs="仿宋_GB2312"/>
          <w:b w:val="0"/>
          <w:bCs w:val="0"/>
          <w:color w:val="auto"/>
          <w:kern w:val="2"/>
          <w:sz w:val="32"/>
          <w:szCs w:val="32"/>
          <w:highlight w:val="none"/>
          <w:lang w:val="en-US" w:eastAsia="zh-CN" w:bidi="ar-SA"/>
        </w:rPr>
        <w:t>%。主要变动原因是：人员调进。</w:t>
      </w:r>
    </w:p>
    <w:p w14:paraId="0159E7F2">
      <w:pPr>
        <w:pageBreakBefore w:val="0"/>
        <w:kinsoku/>
        <w:wordWrap/>
        <w:overflowPunct/>
        <w:topLinePunct w:val="0"/>
        <w:bidi w:val="0"/>
        <w:spacing w:line="240" w:lineRule="auto"/>
        <w:ind w:firstLine="0" w:firstLineChars="0"/>
        <w:textAlignment w:val="auto"/>
      </w:pPr>
      <w:r>
        <w:drawing>
          <wp:inline distT="0" distB="0" distL="114300" distR="114300">
            <wp:extent cx="4819650" cy="2743200"/>
            <wp:effectExtent l="4445" t="4445" r="14605" b="14605"/>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B87C57B">
      <w:pPr>
        <w:pStyle w:val="5"/>
        <w:keepNext/>
        <w:keepLines/>
        <w:pageBreakBefore w:val="0"/>
        <w:widowControl w:val="0"/>
        <w:kinsoku/>
        <w:wordWrap/>
        <w:overflowPunct/>
        <w:topLinePunct w:val="0"/>
        <w:autoSpaceDE/>
        <w:autoSpaceDN/>
        <w:bidi w:val="0"/>
        <w:adjustRightInd w:val="0"/>
        <w:snapToGrid w:val="0"/>
        <w:spacing w:before="340" w:beforeAutospacing="0" w:after="330" w:afterAutospacing="0" w:line="240" w:lineRule="auto"/>
        <w:ind w:firstLine="640" w:firstLineChars="200"/>
        <w:jc w:val="both"/>
        <w:textAlignment w:val="auto"/>
        <w:rPr>
          <w:rFonts w:hint="eastAsia" w:ascii="Times New Roman" w:hAnsi="Times New Roman" w:eastAsia="黑体" w:cs="Times New Roman"/>
          <w:b w:val="0"/>
          <w:color w:val="auto"/>
          <w:kern w:val="2"/>
          <w:sz w:val="32"/>
          <w:szCs w:val="32"/>
          <w:highlight w:val="none"/>
          <w:lang w:eastAsia="zh-CN" w:bidi="ar-SA"/>
        </w:rPr>
      </w:pPr>
      <w:bookmarkStart w:id="34" w:name="_Toc5657"/>
      <w:bookmarkStart w:id="35" w:name="_Toc24431"/>
      <w:bookmarkStart w:id="36" w:name="_Toc25739"/>
      <w:bookmarkStart w:id="37" w:name="_Toc18133"/>
      <w:r>
        <w:rPr>
          <w:rFonts w:hint="eastAsia" w:ascii="Times New Roman" w:hAnsi="Times New Roman" w:eastAsia="黑体" w:cs="Times New Roman"/>
          <w:b w:val="0"/>
          <w:color w:val="auto"/>
          <w:kern w:val="2"/>
          <w:sz w:val="32"/>
          <w:szCs w:val="32"/>
          <w:highlight w:val="none"/>
          <w:lang w:eastAsia="zh-CN" w:bidi="ar-SA"/>
        </w:rPr>
        <w:t>五、一般公共预算财政拨款支出决算情况说明</w:t>
      </w:r>
      <w:bookmarkEnd w:id="34"/>
      <w:bookmarkEnd w:id="35"/>
      <w:bookmarkEnd w:id="36"/>
      <w:bookmarkEnd w:id="37"/>
      <w:bookmarkStart w:id="38" w:name="_Toc3691"/>
      <w:bookmarkStart w:id="39" w:name="_Toc23064"/>
    </w:p>
    <w:p w14:paraId="2A4B7487">
      <w:pPr>
        <w:pStyle w:val="5"/>
        <w:keepNext/>
        <w:keepLines/>
        <w:pageBreakBefore w:val="0"/>
        <w:widowControl w:val="0"/>
        <w:kinsoku/>
        <w:wordWrap/>
        <w:overflowPunct/>
        <w:topLinePunct w:val="0"/>
        <w:autoSpaceDE/>
        <w:autoSpaceDN/>
        <w:bidi w:val="0"/>
        <w:adjustRightInd w:val="0"/>
        <w:snapToGrid w:val="0"/>
        <w:spacing w:before="340" w:beforeAutospacing="0" w:after="330" w:afterAutospacing="0" w:line="240" w:lineRule="auto"/>
        <w:ind w:firstLine="643" w:firstLineChars="200"/>
        <w:jc w:val="both"/>
        <w:textAlignment w:val="auto"/>
        <w:rPr>
          <w:rFonts w:hint="eastAsia" w:ascii="楷体_GB2312" w:hAnsi="楷体_GB2312" w:eastAsia="楷体_GB2312" w:cs="楷体_GB2312"/>
          <w:b/>
          <w:color w:val="000000"/>
          <w:sz w:val="32"/>
          <w:szCs w:val="32"/>
        </w:rPr>
      </w:pPr>
      <w:r>
        <w:rPr>
          <w:rFonts w:hint="eastAsia" w:ascii="楷体_GB2312" w:hAnsi="楷体_GB2312" w:eastAsia="楷体_GB2312" w:cs="楷体_GB2312"/>
          <w:b/>
          <w:color w:val="000000"/>
          <w:sz w:val="32"/>
          <w:szCs w:val="32"/>
        </w:rPr>
        <w:t>（一）一般公共预算财政拨款支出决算总体情况</w:t>
      </w:r>
      <w:bookmarkEnd w:id="38"/>
      <w:bookmarkEnd w:id="39"/>
    </w:p>
    <w:p w14:paraId="5B4C7E7D">
      <w:pPr>
        <w:pStyle w:val="5"/>
        <w:keepNext/>
        <w:keepLines/>
        <w:pageBreakBefore w:val="0"/>
        <w:widowControl w:val="0"/>
        <w:kinsoku/>
        <w:wordWrap/>
        <w:overflowPunct/>
        <w:topLinePunct w:val="0"/>
        <w:autoSpaceDE/>
        <w:autoSpaceDN/>
        <w:bidi w:val="0"/>
        <w:adjustRightInd w:val="0"/>
        <w:snapToGrid w:val="0"/>
        <w:spacing w:before="340" w:beforeAutospacing="0" w:after="330" w:afterAutospacing="0" w:line="240" w:lineRule="auto"/>
        <w:ind w:firstLine="640"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b w:val="0"/>
          <w:bCs w:val="0"/>
          <w:color w:val="auto"/>
          <w:kern w:val="2"/>
          <w:sz w:val="32"/>
          <w:szCs w:val="32"/>
          <w:highlight w:val="none"/>
          <w:lang w:val="en-US" w:eastAsia="zh-CN" w:bidi="ar-SA"/>
        </w:rPr>
        <w:t>年度一般公共预算财政拨款支出</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hAnsi="仿宋_GB2312" w:eastAsia="仿宋_GB2312" w:cs="仿宋_GB2312"/>
          <w:b w:val="0"/>
          <w:bCs w:val="0"/>
          <w:color w:val="auto"/>
          <w:kern w:val="2"/>
          <w:sz w:val="32"/>
          <w:szCs w:val="32"/>
          <w:highlight w:val="none"/>
          <w:lang w:val="en-US" w:eastAsia="zh-CN" w:bidi="ar-SA"/>
        </w:rPr>
        <w:t>万元，占本年支出合计的</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仿宋_GB2312" w:eastAsia="仿宋_GB2312" w:cs="仿宋_GB2312"/>
          <w:b w:val="0"/>
          <w:bCs w:val="0"/>
          <w:color w:val="auto"/>
          <w:kern w:val="2"/>
          <w:sz w:val="32"/>
          <w:szCs w:val="32"/>
          <w:highlight w:val="none"/>
          <w:lang w:val="en-US" w:eastAsia="zh-CN" w:bidi="ar-SA"/>
        </w:rPr>
        <w:t>%。与</w:t>
      </w:r>
      <w:r>
        <w:rPr>
          <w:rFonts w:hint="eastAsia" w:ascii="Times New Roman" w:hAnsi="Times New Roman" w:eastAsia="仿宋_GB2312" w:cs="仿宋_GB2312"/>
          <w:b w:val="0"/>
          <w:bCs w:val="0"/>
          <w:caps w:val="0"/>
          <w:color w:val="auto"/>
          <w:kern w:val="2"/>
          <w:sz w:val="32"/>
          <w:szCs w:val="32"/>
          <w:highlight w:val="none"/>
          <w:lang w:val="en-US" w:eastAsia="zh-CN" w:bidi="ar-SA"/>
        </w:rPr>
        <w:t>2024</w:t>
      </w:r>
      <w:r>
        <w:rPr>
          <w:rFonts w:hint="eastAsia" w:ascii="仿宋_GB2312" w:hAnsi="仿宋_GB2312" w:eastAsia="仿宋_GB2312" w:cs="仿宋_GB2312"/>
          <w:b w:val="0"/>
          <w:bCs w:val="0"/>
          <w:color w:val="auto"/>
          <w:kern w:val="2"/>
          <w:sz w:val="32"/>
          <w:szCs w:val="32"/>
          <w:highlight w:val="none"/>
          <w:lang w:val="en-US" w:eastAsia="zh-CN" w:bidi="ar-SA"/>
        </w:rPr>
        <w:t>年相比，一般公共预算财政拨款支出增加</w:t>
      </w:r>
      <w:r>
        <w:rPr>
          <w:rFonts w:hint="eastAsia" w:ascii="Times New Roman" w:hAnsi="Times New Roman" w:eastAsia="仿宋_GB2312" w:cs="仿宋_GB2312"/>
          <w:b w:val="0"/>
          <w:bCs w:val="0"/>
          <w:caps w:val="0"/>
          <w:color w:val="auto"/>
          <w:kern w:val="2"/>
          <w:sz w:val="32"/>
          <w:szCs w:val="32"/>
          <w:highlight w:val="none"/>
          <w:lang w:val="en-US" w:eastAsia="zh-CN" w:bidi="ar-SA"/>
        </w:rPr>
        <w:t>18.97</w:t>
      </w:r>
      <w:r>
        <w:rPr>
          <w:rFonts w:hint="eastAsia" w:ascii="仿宋_GB2312" w:hAnsi="仿宋_GB2312" w:eastAsia="仿宋_GB2312" w:cs="仿宋_GB2312"/>
          <w:b w:val="0"/>
          <w:bCs w:val="0"/>
          <w:color w:val="auto"/>
          <w:kern w:val="2"/>
          <w:sz w:val="32"/>
          <w:szCs w:val="32"/>
          <w:highlight w:val="none"/>
          <w:lang w:val="en-US" w:eastAsia="zh-CN" w:bidi="ar-SA"/>
        </w:rPr>
        <w:t>万元，增长</w:t>
      </w:r>
      <w:r>
        <w:rPr>
          <w:rFonts w:hint="eastAsia" w:ascii="Times New Roman" w:hAnsi="Times New Roman" w:eastAsia="仿宋_GB2312" w:cs="仿宋_GB2312"/>
          <w:b w:val="0"/>
          <w:bCs w:val="0"/>
          <w:caps w:val="0"/>
          <w:color w:val="auto"/>
          <w:kern w:val="2"/>
          <w:sz w:val="32"/>
          <w:szCs w:val="32"/>
          <w:highlight w:val="none"/>
          <w:lang w:val="en-US" w:eastAsia="zh-CN" w:bidi="ar-SA"/>
        </w:rPr>
        <w:t>57.57</w:t>
      </w:r>
      <w:r>
        <w:rPr>
          <w:rFonts w:hint="eastAsia" w:ascii="仿宋_GB2312" w:hAnsi="仿宋_GB2312" w:eastAsia="仿宋_GB2312" w:cs="仿宋_GB2312"/>
          <w:b w:val="0"/>
          <w:bCs w:val="0"/>
          <w:color w:val="auto"/>
          <w:kern w:val="2"/>
          <w:sz w:val="32"/>
          <w:szCs w:val="32"/>
          <w:highlight w:val="none"/>
          <w:lang w:val="en-US" w:eastAsia="zh-CN" w:bidi="ar-SA"/>
        </w:rPr>
        <w:t>%。主要变动原因是：人员调进。</w:t>
      </w:r>
    </w:p>
    <w:p w14:paraId="13667DF0">
      <w:pPr>
        <w:pageBreakBefore w:val="0"/>
        <w:kinsoku/>
        <w:wordWrap/>
        <w:overflowPunct/>
        <w:topLinePunct w:val="0"/>
        <w:bidi w:val="0"/>
        <w:spacing w:line="240" w:lineRule="auto"/>
        <w:ind w:firstLine="0" w:firstLineChars="0"/>
        <w:textAlignment w:val="auto"/>
        <w:rPr>
          <w:rFonts w:ascii="仿宋" w:hAnsi="Times New Roman" w:eastAsia="仿宋" w:cs="Times New Roman"/>
          <w:color w:val="000000"/>
          <w:sz w:val="32"/>
          <w:szCs w:val="32"/>
          <w:lang w:val="en-US" w:eastAsia="zh-CN"/>
        </w:rPr>
      </w:pPr>
      <w:r>
        <w:drawing>
          <wp:inline distT="0" distB="0" distL="114300" distR="114300">
            <wp:extent cx="4819650" cy="2743200"/>
            <wp:effectExtent l="4445" t="4445" r="14605" b="1460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6309C53">
      <w:pPr>
        <w:pageBreakBefore w:val="0"/>
        <w:numPr>
          <w:ilvl w:val="0"/>
          <w:numId w:val="1"/>
        </w:numPr>
        <w:kinsoku/>
        <w:wordWrap/>
        <w:overflowPunct/>
        <w:topLinePunct w:val="0"/>
        <w:bidi w:val="0"/>
        <w:spacing w:line="576" w:lineRule="exact"/>
        <w:ind w:firstLine="643" w:firstLineChars="200"/>
        <w:textAlignment w:val="auto"/>
        <w:outlineLvl w:val="2"/>
        <w:rPr>
          <w:rFonts w:hint="eastAsia" w:ascii="楷体_GB2312" w:hAnsi="楷体_GB2312" w:eastAsia="楷体_GB2312" w:cs="楷体_GB2312"/>
          <w:b/>
          <w:color w:val="000000"/>
          <w:sz w:val="32"/>
          <w:szCs w:val="32"/>
        </w:rPr>
      </w:pPr>
      <w:bookmarkStart w:id="40" w:name="_Toc26183"/>
      <w:bookmarkStart w:id="41" w:name="_Toc16376"/>
      <w:r>
        <w:rPr>
          <w:rFonts w:hint="eastAsia" w:ascii="楷体_GB2312" w:hAnsi="楷体_GB2312" w:eastAsia="楷体_GB2312" w:cs="楷体_GB2312"/>
          <w:b/>
          <w:color w:val="000000"/>
          <w:sz w:val="32"/>
          <w:szCs w:val="32"/>
        </w:rPr>
        <w:t>一般公共预算财政拨款支出决算结构情况</w:t>
      </w:r>
      <w:bookmarkEnd w:id="40"/>
      <w:bookmarkEnd w:id="41"/>
    </w:p>
    <w:p w14:paraId="4B5B7D08">
      <w:pPr>
        <w:pageBreakBefore w:val="0"/>
        <w:kinsoku/>
        <w:wordWrap/>
        <w:overflowPunct/>
        <w:topLinePunct w:val="0"/>
        <w:bidi w:val="0"/>
        <w:spacing w:line="576" w:lineRule="exact"/>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仿宋_GB2312" w:eastAsia="仿宋_GB2312" w:cs="仿宋_GB2312"/>
          <w:b w:val="0"/>
          <w:bCs w:val="0"/>
          <w:color w:val="auto"/>
          <w:kern w:val="2"/>
          <w:sz w:val="32"/>
          <w:szCs w:val="32"/>
          <w:highlight w:val="none"/>
          <w:lang w:val="en-US" w:eastAsia="zh-CN" w:bidi="ar-SA"/>
        </w:rPr>
        <w:t>年度一般公共预算财政拨款支出</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hAnsi="仿宋_GB2312" w:eastAsia="仿宋_GB2312" w:cs="仿宋_GB2312"/>
          <w:b w:val="0"/>
          <w:bCs w:val="0"/>
          <w:color w:val="auto"/>
          <w:kern w:val="2"/>
          <w:sz w:val="32"/>
          <w:szCs w:val="32"/>
          <w:highlight w:val="none"/>
          <w:lang w:val="en-US" w:eastAsia="zh-CN" w:bidi="ar-SA"/>
        </w:rPr>
        <w:t>万元，主要用于以下方面:社会保障和就业支出</w:t>
      </w:r>
      <w:r>
        <w:rPr>
          <w:rFonts w:hint="eastAsia" w:ascii="Times New Roman" w:hAnsi="Times New Roman" w:eastAsia="仿宋_GB2312" w:cs="仿宋_GB2312"/>
          <w:b w:val="0"/>
          <w:bCs w:val="0"/>
          <w:caps w:val="0"/>
          <w:color w:val="auto"/>
          <w:kern w:val="2"/>
          <w:sz w:val="32"/>
          <w:szCs w:val="32"/>
          <w:highlight w:val="none"/>
          <w:lang w:val="en-US" w:eastAsia="zh-CN" w:bidi="ar-SA"/>
        </w:rPr>
        <w:t>12.27</w:t>
      </w:r>
      <w:r>
        <w:rPr>
          <w:rFonts w:hint="eastAsia" w:ascii="仿宋_GB2312" w:hAnsi="仿宋_GB2312" w:eastAsia="仿宋_GB2312" w:cs="仿宋_GB2312"/>
          <w:b w:val="0"/>
          <w:bCs w:val="0"/>
          <w:color w:val="auto"/>
          <w:kern w:val="2"/>
          <w:sz w:val="32"/>
          <w:szCs w:val="32"/>
          <w:highlight w:val="none"/>
          <w:lang w:val="en-US" w:eastAsia="zh-CN" w:bidi="ar-SA"/>
        </w:rPr>
        <w:t>万元，占</w:t>
      </w:r>
      <w:r>
        <w:rPr>
          <w:rFonts w:hint="eastAsia" w:ascii="Times New Roman" w:hAnsi="Times New Roman" w:eastAsia="仿宋_GB2312" w:cs="仿宋_GB2312"/>
          <w:b w:val="0"/>
          <w:bCs w:val="0"/>
          <w:caps w:val="0"/>
          <w:color w:val="auto"/>
          <w:kern w:val="2"/>
          <w:sz w:val="32"/>
          <w:szCs w:val="32"/>
          <w:highlight w:val="none"/>
          <w:lang w:val="en-US" w:eastAsia="zh-CN" w:bidi="ar-SA"/>
        </w:rPr>
        <w:t>23.63</w:t>
      </w:r>
      <w:r>
        <w:rPr>
          <w:rFonts w:hint="eastAsia" w:ascii="仿宋_GB2312" w:hAnsi="仿宋_GB2312" w:eastAsia="仿宋_GB2312" w:cs="仿宋_GB2312"/>
          <w:b w:val="0"/>
          <w:bCs w:val="0"/>
          <w:color w:val="auto"/>
          <w:kern w:val="2"/>
          <w:sz w:val="32"/>
          <w:szCs w:val="32"/>
          <w:highlight w:val="none"/>
          <w:lang w:val="en-US" w:eastAsia="zh-CN" w:bidi="ar-SA"/>
        </w:rPr>
        <w:t>%；卫生健康支出</w:t>
      </w:r>
      <w:r>
        <w:rPr>
          <w:rFonts w:hint="eastAsia" w:ascii="Times New Roman" w:hAnsi="Times New Roman" w:eastAsia="仿宋_GB2312" w:cs="仿宋_GB2312"/>
          <w:b w:val="0"/>
          <w:bCs w:val="0"/>
          <w:caps w:val="0"/>
          <w:color w:val="auto"/>
          <w:kern w:val="2"/>
          <w:sz w:val="32"/>
          <w:szCs w:val="32"/>
          <w:highlight w:val="none"/>
          <w:lang w:val="en-US" w:eastAsia="zh-CN" w:bidi="ar-SA"/>
        </w:rPr>
        <w:t>36.57</w:t>
      </w:r>
      <w:r>
        <w:rPr>
          <w:rFonts w:hint="eastAsia" w:ascii="仿宋_GB2312" w:hAnsi="仿宋_GB2312" w:eastAsia="仿宋_GB2312" w:cs="仿宋_GB2312"/>
          <w:b w:val="0"/>
          <w:bCs w:val="0"/>
          <w:color w:val="auto"/>
          <w:kern w:val="2"/>
          <w:sz w:val="32"/>
          <w:szCs w:val="32"/>
          <w:highlight w:val="none"/>
          <w:lang w:val="en-US" w:eastAsia="zh-CN" w:bidi="ar-SA"/>
        </w:rPr>
        <w:t>万元，占</w:t>
      </w:r>
      <w:r>
        <w:rPr>
          <w:rFonts w:hint="eastAsia" w:ascii="Times New Roman" w:hAnsi="Times New Roman" w:eastAsia="仿宋_GB2312" w:cs="仿宋_GB2312"/>
          <w:b w:val="0"/>
          <w:bCs w:val="0"/>
          <w:caps w:val="0"/>
          <w:color w:val="auto"/>
          <w:kern w:val="2"/>
          <w:sz w:val="32"/>
          <w:szCs w:val="32"/>
          <w:highlight w:val="none"/>
          <w:lang w:val="en-US" w:eastAsia="zh-CN" w:bidi="ar-SA"/>
        </w:rPr>
        <w:t>70.44</w:t>
      </w:r>
      <w:r>
        <w:rPr>
          <w:rFonts w:hint="eastAsia" w:ascii="仿宋_GB2312" w:hAnsi="仿宋_GB2312" w:eastAsia="仿宋_GB2312" w:cs="仿宋_GB2312"/>
          <w:b w:val="0"/>
          <w:bCs w:val="0"/>
          <w:color w:val="auto"/>
          <w:kern w:val="2"/>
          <w:sz w:val="32"/>
          <w:szCs w:val="32"/>
          <w:highlight w:val="none"/>
          <w:lang w:val="en-US" w:eastAsia="zh-CN" w:bidi="ar-SA"/>
        </w:rPr>
        <w:t>%；住房保障支出</w:t>
      </w:r>
      <w:r>
        <w:rPr>
          <w:rFonts w:hint="eastAsia" w:ascii="Times New Roman" w:hAnsi="Times New Roman" w:eastAsia="仿宋_GB2312" w:cs="仿宋_GB2312"/>
          <w:b w:val="0"/>
          <w:bCs w:val="0"/>
          <w:caps w:val="0"/>
          <w:color w:val="auto"/>
          <w:kern w:val="2"/>
          <w:sz w:val="32"/>
          <w:szCs w:val="32"/>
          <w:highlight w:val="none"/>
          <w:lang w:val="en-US" w:eastAsia="zh-CN" w:bidi="ar-SA"/>
        </w:rPr>
        <w:t>3.08</w:t>
      </w:r>
      <w:r>
        <w:rPr>
          <w:rFonts w:hint="eastAsia" w:ascii="仿宋_GB2312" w:hAnsi="仿宋_GB2312" w:eastAsia="仿宋_GB2312" w:cs="仿宋_GB2312"/>
          <w:b w:val="0"/>
          <w:bCs w:val="0"/>
          <w:color w:val="auto"/>
          <w:kern w:val="2"/>
          <w:sz w:val="32"/>
          <w:szCs w:val="32"/>
          <w:highlight w:val="none"/>
          <w:lang w:val="en-US" w:eastAsia="zh-CN" w:bidi="ar-SA"/>
        </w:rPr>
        <w:t>万元，占</w:t>
      </w:r>
      <w:r>
        <w:rPr>
          <w:rFonts w:hint="eastAsia" w:ascii="Times New Roman" w:hAnsi="Times New Roman" w:eastAsia="仿宋_GB2312" w:cs="仿宋_GB2312"/>
          <w:b w:val="0"/>
          <w:bCs w:val="0"/>
          <w:caps w:val="0"/>
          <w:color w:val="auto"/>
          <w:kern w:val="2"/>
          <w:sz w:val="32"/>
          <w:szCs w:val="32"/>
          <w:highlight w:val="none"/>
          <w:lang w:val="en-US" w:eastAsia="zh-CN" w:bidi="ar-SA"/>
        </w:rPr>
        <w:t>5.93</w:t>
      </w:r>
      <w:r>
        <w:rPr>
          <w:rFonts w:hint="eastAsia" w:ascii="仿宋_GB2312" w:hAnsi="仿宋_GB2312" w:eastAsia="仿宋_GB2312" w:cs="仿宋_GB2312"/>
          <w:b w:val="0"/>
          <w:bCs w:val="0"/>
          <w:color w:val="auto"/>
          <w:kern w:val="2"/>
          <w:sz w:val="32"/>
          <w:szCs w:val="32"/>
          <w:highlight w:val="none"/>
          <w:lang w:val="en-US" w:eastAsia="zh-CN" w:bidi="ar-SA"/>
        </w:rPr>
        <w:t>%。</w:t>
      </w:r>
    </w:p>
    <w:p w14:paraId="3062624E">
      <w:pPr>
        <w:pStyle w:val="10"/>
        <w:keepNext w:val="0"/>
        <w:keepLines w:val="0"/>
        <w:pageBreakBefore w:val="0"/>
        <w:widowControl/>
        <w:suppressLineNumbers w:val="0"/>
        <w:kinsoku/>
        <w:wordWrap/>
        <w:overflowPunct/>
        <w:topLinePunct w:val="0"/>
        <w:bidi w:val="0"/>
        <w:spacing w:before="0" w:beforeAutospacing="0" w:after="0" w:afterAutospacing="0" w:line="240" w:lineRule="auto"/>
        <w:jc w:val="left"/>
        <w:textAlignment w:val="auto"/>
        <w:rPr>
          <w:rFonts w:ascii="仿宋" w:hAnsi="Times New Roman" w:eastAsia="仿宋" w:cs="Times New Roman"/>
          <w:color w:val="000000"/>
          <w:kern w:val="2"/>
          <w:sz w:val="32"/>
          <w:szCs w:val="32"/>
          <w:lang w:val="en-US" w:eastAsia="zh-CN" w:bidi="ar-SA"/>
        </w:rPr>
      </w:pPr>
      <w:r>
        <w:drawing>
          <wp:inline distT="0" distB="0" distL="114300" distR="114300">
            <wp:extent cx="4572000" cy="2743200"/>
            <wp:effectExtent l="4445" t="4445" r="14605" b="14605"/>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90D2F9B">
      <w:pPr>
        <w:pageBreakBefore w:val="0"/>
        <w:numPr>
          <w:ilvl w:val="0"/>
          <w:numId w:val="2"/>
        </w:numPr>
        <w:kinsoku/>
        <w:wordWrap/>
        <w:overflowPunct/>
        <w:topLinePunct w:val="0"/>
        <w:bidi w:val="0"/>
        <w:spacing w:line="576" w:lineRule="exact"/>
        <w:ind w:firstLine="643" w:firstLineChars="200"/>
        <w:textAlignment w:val="auto"/>
        <w:outlineLvl w:val="2"/>
        <w:rPr>
          <w:rFonts w:hint="eastAsia" w:ascii="楷体_GB2312" w:hAnsi="楷体_GB2312" w:eastAsia="楷体_GB2312" w:cs="楷体_GB2312"/>
          <w:b/>
          <w:color w:val="000000"/>
          <w:sz w:val="32"/>
          <w:szCs w:val="32"/>
          <w:lang w:eastAsia="zh-CN"/>
        </w:rPr>
      </w:pPr>
      <w:bookmarkStart w:id="42" w:name="_Toc11660"/>
      <w:bookmarkStart w:id="43" w:name="_Toc29675"/>
      <w:r>
        <w:rPr>
          <w:rFonts w:hint="eastAsia" w:ascii="楷体_GB2312" w:hAnsi="楷体_GB2312" w:eastAsia="楷体_GB2312" w:cs="楷体_GB2312"/>
          <w:b/>
          <w:color w:val="000000"/>
          <w:sz w:val="32"/>
          <w:szCs w:val="32"/>
        </w:rPr>
        <w:t>一般公共预算财政拨款支出决算具体情况</w:t>
      </w:r>
      <w:bookmarkEnd w:id="42"/>
      <w:bookmarkEnd w:id="43"/>
    </w:p>
    <w:p w14:paraId="731F6037">
      <w:pPr>
        <w:pageBreakBefore w:val="0"/>
        <w:numPr>
          <w:ilvl w:val="0"/>
          <w:numId w:val="0"/>
        </w:numPr>
        <w:kinsoku/>
        <w:wordWrap/>
        <w:overflowPunct/>
        <w:topLinePunct w:val="0"/>
        <w:bidi w:val="0"/>
        <w:spacing w:line="576" w:lineRule="exact"/>
        <w:ind w:firstLine="640" w:firstLineChars="200"/>
        <w:textAlignment w:val="auto"/>
        <w:outlineLvl w:val="2"/>
        <w:rPr>
          <w:rFonts w:ascii="仿宋_GB2312" w:hAnsi="Times New Roman" w:eastAsia="仿宋_GB2312" w:cs="Times New Roman"/>
          <w:b/>
          <w:bCs/>
          <w:sz w:val="32"/>
          <w:szCs w:val="32"/>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ascii="仿宋_GB2312" w:hAnsi="Times New Roman" w:eastAsia="仿宋_GB2312" w:cs="Times New Roman"/>
          <w:b w:val="0"/>
          <w:bCs w:val="0"/>
          <w:sz w:val="32"/>
          <w:szCs w:val="32"/>
        </w:rPr>
        <w:t>年</w:t>
      </w:r>
      <w:r>
        <w:rPr>
          <w:rFonts w:hint="eastAsia" w:ascii="仿宋_GB2312" w:hAnsi="Times New Roman" w:eastAsia="仿宋_GB2312" w:cs="Times New Roman"/>
          <w:b w:val="0"/>
          <w:bCs w:val="0"/>
          <w:sz w:val="32"/>
          <w:szCs w:val="32"/>
          <w:lang w:eastAsia="zh-CN"/>
        </w:rPr>
        <w:t>度</w:t>
      </w:r>
      <w:r>
        <w:rPr>
          <w:rFonts w:ascii="仿宋_GB2312" w:hAnsi="Times New Roman" w:eastAsia="仿宋_GB2312" w:cs="Times New Roman"/>
          <w:b w:val="0"/>
          <w:bCs w:val="0"/>
          <w:sz w:val="32"/>
          <w:szCs w:val="32"/>
        </w:rPr>
        <w:t>一般公共预算支出决算数为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 w:eastAsia="仿宋"/>
          <w:sz w:val="32"/>
          <w:szCs w:val="32"/>
          <w:lang w:eastAsia="zh-CN"/>
        </w:rPr>
        <w:t>万元</w:t>
      </w:r>
      <w:r>
        <w:rPr>
          <w:rFonts w:hint="eastAsia" w:ascii="仿宋_GB2312" w:hAnsi="Times New Roman" w:eastAsia="仿宋_GB2312" w:cs="Times New Roman"/>
          <w:b w:val="0"/>
          <w:bCs w:val="0"/>
          <w:sz w:val="32"/>
          <w:szCs w:val="32"/>
          <w:lang w:eastAsia="zh-CN"/>
        </w:rPr>
        <w:t>，</w:t>
      </w:r>
      <w:r>
        <w:rPr>
          <w:rFonts w:ascii="仿宋_GB2312" w:hAnsi="Times New Roman" w:eastAsia="仿宋_GB2312" w:cs="Times New Roman"/>
          <w:b w:val="0"/>
          <w:bCs w:val="0"/>
          <w:sz w:val="32"/>
          <w:szCs w:val="32"/>
        </w:rPr>
        <w:t>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ascii="仿宋_GB2312" w:hAnsi="Times New Roman" w:eastAsia="仿宋_GB2312" w:cs="Times New Roman"/>
          <w:b w:val="0"/>
          <w:bCs w:val="0"/>
          <w:sz w:val="32"/>
          <w:szCs w:val="32"/>
        </w:rPr>
        <w:t>%</w:t>
      </w:r>
      <w:r>
        <w:rPr>
          <w:rFonts w:hint="eastAsia" w:ascii="仿宋_GB2312" w:hAnsi="Times New Roman" w:eastAsia="仿宋_GB2312" w:cs="Times New Roman"/>
          <w:b w:val="0"/>
          <w:bCs w:val="0"/>
          <w:sz w:val="32"/>
          <w:szCs w:val="32"/>
          <w:lang w:eastAsia="zh-CN"/>
        </w:rPr>
        <w:t>。</w:t>
      </w:r>
      <w:r>
        <w:rPr>
          <w:rFonts w:ascii="仿宋_GB2312" w:hAnsi="Times New Roman" w:eastAsia="仿宋_GB2312" w:cs="Times New Roman"/>
          <w:b w:val="0"/>
          <w:bCs w:val="0"/>
          <w:sz w:val="32"/>
          <w:szCs w:val="32"/>
        </w:rPr>
        <w:t>其中：</w:t>
      </w:r>
    </w:p>
    <w:p w14:paraId="023CD705">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Times New Roman" w:eastAsia="仿宋_GB2312" w:cs="Times New Roman"/>
          <w:b w:val="0"/>
          <w:bCs w:val="0"/>
          <w:sz w:val="32"/>
          <w:szCs w:val="32"/>
          <w:lang w:val="en-US" w:eastAsia="zh-CN"/>
        </w:rPr>
      </w:pPr>
      <w:r>
        <w:rPr>
          <w:rFonts w:hint="eastAsia" w:ascii="仿宋" w:eastAsia="仿宋" w:cs="仿宋"/>
          <w:b w:val="0"/>
          <w:bCs w:val="0"/>
          <w:color w:val="auto"/>
          <w:sz w:val="32"/>
          <w:szCs w:val="32"/>
          <w:lang w:val="en-US" w:eastAsia="zh-CN"/>
        </w:rPr>
        <w:t>1.</w:t>
      </w:r>
      <w:r>
        <w:rPr>
          <w:rFonts w:hint="eastAsia" w:ascii="仿宋_GB2312" w:hAnsi="Times New Roman" w:eastAsia="仿宋_GB2312" w:cs="Times New Roman"/>
          <w:b w:val="0"/>
          <w:bCs w:val="0"/>
          <w:sz w:val="32"/>
          <w:szCs w:val="32"/>
          <w:lang w:eastAsia="zh-CN"/>
        </w:rPr>
        <w:t>社会保障和就业支出（</w:t>
      </w:r>
      <w:r>
        <w:rPr>
          <w:rFonts w:hint="eastAsia" w:ascii="仿宋_GB2312" w:hAnsi="Times New Roman" w:eastAsia="仿宋_GB2312" w:cs="Times New Roman"/>
          <w:b w:val="0"/>
          <w:bCs w:val="0"/>
          <w:sz w:val="32"/>
          <w:szCs w:val="32"/>
          <w:lang w:val="en-US" w:eastAsia="zh-CN"/>
        </w:rPr>
        <w:t>类）</w:t>
      </w:r>
      <w:r>
        <w:rPr>
          <w:rFonts w:hint="eastAsia" w:ascii="仿宋_GB2312" w:hAnsi="Times New Roman" w:eastAsia="仿宋_GB2312" w:cs="Times New Roman"/>
          <w:b w:val="0"/>
          <w:bCs w:val="0"/>
          <w:sz w:val="32"/>
          <w:szCs w:val="32"/>
          <w:lang w:eastAsia="zh-CN"/>
        </w:rPr>
        <w:t>行政事业单位养老支出（</w:t>
      </w:r>
      <w:r>
        <w:rPr>
          <w:rFonts w:hint="eastAsia" w:ascii="仿宋_GB2312" w:hAnsi="Times New Roman" w:eastAsia="仿宋_GB2312" w:cs="Times New Roman"/>
          <w:b w:val="0"/>
          <w:bCs w:val="0"/>
          <w:sz w:val="32"/>
          <w:szCs w:val="32"/>
          <w:lang w:val="en-US" w:eastAsia="zh-CN"/>
        </w:rPr>
        <w:t>款）</w:t>
      </w:r>
      <w:r>
        <w:rPr>
          <w:rFonts w:hint="eastAsia" w:ascii="仿宋_GB2312" w:hAnsi="Times New Roman" w:eastAsia="仿宋_GB2312" w:cs="Times New Roman"/>
          <w:b w:val="0"/>
          <w:bCs w:val="0"/>
          <w:sz w:val="32"/>
          <w:szCs w:val="32"/>
          <w:lang w:eastAsia="zh-CN"/>
        </w:rPr>
        <w:t>机关事业单位基本养老保险缴费支出（项）</w:t>
      </w:r>
      <w:r>
        <w:rPr>
          <w:rFonts w:hint="eastAsia" w:ascii="仿宋_GB2312" w:hAnsi="Times New Roman" w:eastAsia="仿宋_GB2312" w:cs="Times New Roman"/>
          <w:b w:val="0"/>
          <w:bCs w:val="0"/>
          <w:sz w:val="32"/>
          <w:szCs w:val="32"/>
          <w:lang w:val="en-US" w:eastAsia="zh-CN"/>
        </w:rPr>
        <w:t>:</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Times New Roman" w:eastAsia="仿宋_GB2312" w:cs="Times New Roman"/>
          <w:b w:val="0"/>
          <w:bCs w:val="0"/>
          <w:sz w:val="32"/>
          <w:szCs w:val="32"/>
          <w:lang w:eastAsia="zh-CN"/>
        </w:rPr>
        <w:t>年度支出</w:t>
      </w:r>
      <w:r>
        <w:rPr>
          <w:rFonts w:hint="eastAsia" w:ascii="仿宋_GB2312" w:hAnsi="Times New Roman" w:eastAsia="仿宋_GB2312" w:cs="Times New Roman"/>
          <w:b w:val="0"/>
          <w:bCs w:val="0"/>
          <w:sz w:val="32"/>
          <w:szCs w:val="32"/>
          <w:lang w:val="en-US" w:eastAsia="zh-CN"/>
        </w:rPr>
        <w:t>决</w:t>
      </w:r>
      <w:r>
        <w:rPr>
          <w:rFonts w:hint="eastAsia" w:ascii="仿宋_GB2312" w:hAnsi="Times New Roman" w:eastAsia="仿宋_GB2312" w:cs="Times New Roman"/>
          <w:b w:val="0"/>
          <w:bCs w:val="0"/>
          <w:sz w:val="32"/>
          <w:szCs w:val="32"/>
          <w:lang w:eastAsia="zh-CN"/>
        </w:rPr>
        <w:t>算数为</w:t>
      </w:r>
      <w:r>
        <w:rPr>
          <w:rFonts w:hint="eastAsia" w:ascii="Times New Roman" w:hAnsi="Times New Roman" w:eastAsia="仿宋_GB2312" w:cs="仿宋_GB2312"/>
          <w:b w:val="0"/>
          <w:bCs w:val="0"/>
          <w:caps w:val="0"/>
          <w:color w:val="auto"/>
          <w:kern w:val="2"/>
          <w:sz w:val="32"/>
          <w:szCs w:val="32"/>
          <w:highlight w:val="none"/>
          <w:lang w:val="en-US" w:eastAsia="zh-CN" w:bidi="ar-SA"/>
        </w:rPr>
        <w:t>8.18</w:t>
      </w:r>
      <w:r>
        <w:rPr>
          <w:rFonts w:hint="eastAsia" w:ascii="仿宋_GB2312" w:hAnsi="Times New Roman" w:eastAsia="仿宋_GB2312" w:cs="Times New Roman"/>
          <w:b w:val="0"/>
          <w:bCs w:val="0"/>
          <w:sz w:val="32"/>
          <w:szCs w:val="32"/>
          <w:lang w:val="en-US" w:eastAsia="zh-CN"/>
        </w:rPr>
        <w:t>万</w:t>
      </w:r>
      <w:r>
        <w:rPr>
          <w:rFonts w:hint="eastAsia" w:ascii="仿宋_GB2312" w:hAnsi="Times New Roman" w:eastAsia="仿宋_GB2312" w:cs="Times New Roman"/>
          <w:b w:val="0"/>
          <w:bCs w:val="0"/>
          <w:sz w:val="32"/>
          <w:szCs w:val="32"/>
          <w:lang w:eastAsia="zh-CN"/>
        </w:rPr>
        <w:t>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Times New Roman" w:eastAsia="仿宋_GB2312" w:cs="Times New Roman"/>
          <w:b w:val="0"/>
          <w:bCs w:val="0"/>
          <w:sz w:val="32"/>
          <w:szCs w:val="32"/>
          <w:lang w:val="en-US" w:eastAsia="zh-CN"/>
        </w:rPr>
        <w:t>%，决算数与预算数持平。</w:t>
      </w:r>
    </w:p>
    <w:p w14:paraId="37546F7B">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Times New Roman" w:eastAsia="仿宋_GB2312" w:cs="Times New Roman"/>
          <w:b w:val="0"/>
          <w:bCs w:val="0"/>
          <w:kern w:val="2"/>
          <w:sz w:val="32"/>
          <w:szCs w:val="32"/>
          <w:lang w:val="en-US" w:eastAsia="zh-CN" w:bidi="ar-SA"/>
        </w:rPr>
      </w:pPr>
      <w:r>
        <w:rPr>
          <w:rFonts w:hint="eastAsia" w:ascii="仿宋_GB2312" w:hAnsi="Times New Roman" w:eastAsia="仿宋_GB2312" w:cs="Times New Roman"/>
          <w:b w:val="0"/>
          <w:bCs w:val="0"/>
          <w:kern w:val="2"/>
          <w:sz w:val="32"/>
          <w:szCs w:val="32"/>
          <w:lang w:val="en-US" w:eastAsia="zh-CN" w:bidi="ar-SA"/>
        </w:rPr>
        <w:t>2.社会保障和就业支出（</w:t>
      </w:r>
      <w:r>
        <w:rPr>
          <w:rFonts w:hint="eastAsia" w:ascii="仿宋_GB2312" w:hAnsi="Times New Roman" w:eastAsia="仿宋_GB2312" w:cs="Times New Roman"/>
          <w:b w:val="0"/>
          <w:bCs w:val="0"/>
          <w:sz w:val="32"/>
          <w:szCs w:val="32"/>
          <w:lang w:val="en-US" w:eastAsia="zh-CN"/>
        </w:rPr>
        <w:t>类</w:t>
      </w:r>
      <w:r>
        <w:rPr>
          <w:rFonts w:hint="eastAsia" w:ascii="仿宋_GB2312" w:hAnsi="Times New Roman" w:eastAsia="仿宋_GB2312" w:cs="Times New Roman"/>
          <w:b w:val="0"/>
          <w:bCs w:val="0"/>
          <w:kern w:val="2"/>
          <w:sz w:val="32"/>
          <w:szCs w:val="32"/>
          <w:lang w:val="en-US" w:eastAsia="zh-CN" w:bidi="ar-SA"/>
        </w:rPr>
        <w:t>）行政事业单位养老支出（</w:t>
      </w:r>
      <w:r>
        <w:rPr>
          <w:rFonts w:hint="eastAsia" w:ascii="仿宋_GB2312" w:hAnsi="Times New Roman" w:eastAsia="仿宋_GB2312" w:cs="Times New Roman"/>
          <w:b w:val="0"/>
          <w:bCs w:val="0"/>
          <w:sz w:val="32"/>
          <w:szCs w:val="32"/>
          <w:lang w:val="en-US" w:eastAsia="zh-CN"/>
        </w:rPr>
        <w:t>款</w:t>
      </w:r>
      <w:r>
        <w:rPr>
          <w:rFonts w:hint="eastAsia" w:ascii="仿宋_GB2312" w:hAnsi="Times New Roman" w:eastAsia="仿宋_GB2312" w:cs="Times New Roman"/>
          <w:b w:val="0"/>
          <w:bCs w:val="0"/>
          <w:kern w:val="2"/>
          <w:sz w:val="32"/>
          <w:szCs w:val="32"/>
          <w:lang w:val="en-US" w:eastAsia="zh-CN" w:bidi="ar-SA"/>
        </w:rPr>
        <w:t>）机关事业单位职业年金缴费支出（</w:t>
      </w:r>
      <w:r>
        <w:rPr>
          <w:rFonts w:hint="eastAsia" w:ascii="仿宋_GB2312" w:hAnsi="Times New Roman" w:eastAsia="仿宋_GB2312" w:cs="Times New Roman"/>
          <w:b w:val="0"/>
          <w:bCs w:val="0"/>
          <w:sz w:val="32"/>
          <w:szCs w:val="32"/>
          <w:lang w:eastAsia="zh-CN"/>
        </w:rPr>
        <w:t>项</w:t>
      </w:r>
      <w:r>
        <w:rPr>
          <w:rFonts w:hint="eastAsia" w:ascii="仿宋_GB2312" w:hAnsi="Times New Roman" w:eastAsia="仿宋_GB2312" w:cs="Times New Roman"/>
          <w:b w:val="0"/>
          <w:bCs w:val="0"/>
          <w:kern w:val="2"/>
          <w:sz w:val="32"/>
          <w:szCs w:val="32"/>
          <w:lang w:val="en-US" w:eastAsia="zh-CN" w:bidi="ar-SA"/>
        </w:rPr>
        <w:t>）：</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Times New Roman" w:eastAsia="仿宋_GB2312" w:cs="Times New Roman"/>
          <w:b w:val="0"/>
          <w:bCs w:val="0"/>
          <w:sz w:val="32"/>
          <w:szCs w:val="32"/>
          <w:lang w:eastAsia="zh-CN"/>
        </w:rPr>
        <w:t>年度</w:t>
      </w:r>
      <w:r>
        <w:rPr>
          <w:rFonts w:hint="eastAsia" w:ascii="仿宋_GB2312" w:hAnsi="Times New Roman" w:eastAsia="仿宋_GB2312" w:cs="Times New Roman"/>
          <w:b w:val="0"/>
          <w:bCs w:val="0"/>
          <w:kern w:val="2"/>
          <w:sz w:val="32"/>
          <w:szCs w:val="32"/>
          <w:lang w:val="en-US" w:eastAsia="zh-CN" w:bidi="ar-SA"/>
        </w:rPr>
        <w:t>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4.09</w:t>
      </w:r>
      <w:r>
        <w:rPr>
          <w:rFonts w:hint="eastAsia" w:ascii="仿宋_GB2312" w:hAnsi="Times New Roman" w:eastAsia="仿宋_GB2312" w:cs="Times New Roman"/>
          <w:b w:val="0"/>
          <w:bCs w:val="0"/>
          <w:kern w:val="2"/>
          <w:sz w:val="32"/>
          <w:szCs w:val="32"/>
          <w:lang w:val="en-US" w:eastAsia="zh-CN" w:bidi="ar-SA"/>
        </w:rPr>
        <w:t>万元，完成预算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Times New Roman" w:eastAsia="仿宋_GB2312" w:cs="Times New Roman"/>
          <w:b w:val="0"/>
          <w:bCs w:val="0"/>
          <w:kern w:val="2"/>
          <w:sz w:val="32"/>
          <w:szCs w:val="32"/>
          <w:lang w:val="en-US" w:eastAsia="zh-CN" w:bidi="ar-SA"/>
        </w:rPr>
        <w:t>%，决算数与预算数持平。</w:t>
      </w:r>
    </w:p>
    <w:p w14:paraId="745A2AB7">
      <w:pPr>
        <w:pStyle w:val="19"/>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beforeAutospacing="0" w:afterAutospacing="0" w:line="560" w:lineRule="exact"/>
        <w:ind w:left="0" w:leftChars="0" w:firstLine="320" w:firstLineChars="100"/>
        <w:textAlignment w:val="auto"/>
        <w:rPr>
          <w:rFonts w:hint="eastAsia" w:ascii="仿宋_GB2312" w:hAnsi="Times New Roman" w:eastAsia="仿宋_GB2312" w:cs="Times New Roman"/>
          <w:b w:val="0"/>
          <w:bCs w:val="0"/>
          <w:kern w:val="2"/>
          <w:sz w:val="32"/>
          <w:szCs w:val="32"/>
          <w:lang w:val="en-US" w:eastAsia="zh-CN" w:bidi="ar-SA"/>
        </w:rPr>
      </w:pPr>
      <w:r>
        <w:rPr>
          <w:rFonts w:hint="eastAsia" w:ascii="仿宋_GB2312" w:hAnsi="Times New Roman" w:eastAsia="仿宋_GB2312" w:cs="Times New Roman"/>
          <w:b w:val="0"/>
          <w:bCs w:val="0"/>
          <w:kern w:val="2"/>
          <w:sz w:val="32"/>
          <w:szCs w:val="32"/>
          <w:lang w:val="en-US" w:eastAsia="zh-CN" w:bidi="ar-SA"/>
        </w:rPr>
        <w:t>3.卫生健康支出（</w:t>
      </w:r>
      <w:r>
        <w:rPr>
          <w:rFonts w:hint="eastAsia" w:ascii="仿宋_GB2312" w:hAnsi="Times New Roman" w:eastAsia="仿宋_GB2312" w:cs="Times New Roman"/>
          <w:b w:val="0"/>
          <w:bCs w:val="0"/>
          <w:sz w:val="32"/>
          <w:szCs w:val="32"/>
          <w:lang w:val="en-US" w:eastAsia="zh-CN"/>
        </w:rPr>
        <w:t>类</w:t>
      </w:r>
      <w:r>
        <w:rPr>
          <w:rFonts w:hint="eastAsia" w:ascii="仿宋_GB2312" w:hAnsi="Times New Roman" w:eastAsia="仿宋_GB2312" w:cs="Times New Roman"/>
          <w:b w:val="0"/>
          <w:bCs w:val="0"/>
          <w:kern w:val="2"/>
          <w:sz w:val="32"/>
          <w:szCs w:val="32"/>
          <w:lang w:val="en-US" w:eastAsia="zh-CN" w:bidi="ar-SA"/>
        </w:rPr>
        <w:t>）行政事业单位医疗（</w:t>
      </w:r>
      <w:r>
        <w:rPr>
          <w:rFonts w:hint="eastAsia" w:ascii="仿宋_GB2312" w:hAnsi="Times New Roman" w:eastAsia="仿宋_GB2312" w:cs="Times New Roman"/>
          <w:b w:val="0"/>
          <w:bCs w:val="0"/>
          <w:sz w:val="32"/>
          <w:szCs w:val="32"/>
          <w:lang w:val="en-US" w:eastAsia="zh-CN"/>
        </w:rPr>
        <w:t>款</w:t>
      </w:r>
      <w:r>
        <w:rPr>
          <w:rFonts w:hint="eastAsia" w:ascii="仿宋_GB2312" w:hAnsi="Times New Roman" w:eastAsia="仿宋_GB2312" w:cs="Times New Roman"/>
          <w:b w:val="0"/>
          <w:bCs w:val="0"/>
          <w:kern w:val="2"/>
          <w:sz w:val="32"/>
          <w:szCs w:val="32"/>
          <w:lang w:val="en-US" w:eastAsia="zh-CN" w:bidi="ar-SA"/>
        </w:rPr>
        <w:t>）行政事业单位医疗（</w:t>
      </w:r>
      <w:r>
        <w:rPr>
          <w:rFonts w:hint="eastAsia" w:ascii="仿宋_GB2312" w:hAnsi="Times New Roman" w:eastAsia="仿宋_GB2312" w:cs="Times New Roman"/>
          <w:b w:val="0"/>
          <w:bCs w:val="0"/>
          <w:sz w:val="32"/>
          <w:szCs w:val="32"/>
          <w:lang w:eastAsia="zh-CN"/>
        </w:rPr>
        <w:t>项</w:t>
      </w:r>
      <w:r>
        <w:rPr>
          <w:rFonts w:hint="eastAsia" w:ascii="仿宋_GB2312" w:hAnsi="Times New Roman" w:eastAsia="仿宋_GB2312" w:cs="Times New Roman"/>
          <w:b w:val="0"/>
          <w:bCs w:val="0"/>
          <w:kern w:val="2"/>
          <w:sz w:val="32"/>
          <w:szCs w:val="32"/>
          <w:lang w:val="en-US" w:eastAsia="zh-CN" w:bidi="ar-SA"/>
        </w:rPr>
        <w:t>）：</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Times New Roman" w:eastAsia="仿宋_GB2312" w:cs="Times New Roman"/>
          <w:b w:val="0"/>
          <w:bCs w:val="0"/>
          <w:sz w:val="32"/>
          <w:szCs w:val="32"/>
          <w:lang w:eastAsia="zh-CN"/>
        </w:rPr>
        <w:t>年度</w:t>
      </w:r>
      <w:r>
        <w:rPr>
          <w:rFonts w:hint="eastAsia" w:ascii="仿宋_GB2312" w:hAnsi="Times New Roman" w:eastAsia="仿宋_GB2312" w:cs="Times New Roman"/>
          <w:b w:val="0"/>
          <w:bCs w:val="0"/>
          <w:kern w:val="2"/>
          <w:sz w:val="32"/>
          <w:szCs w:val="32"/>
          <w:lang w:val="en-US" w:eastAsia="zh-CN" w:bidi="ar-SA"/>
        </w:rPr>
        <w:t>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5.10</w:t>
      </w:r>
      <w:r>
        <w:rPr>
          <w:rFonts w:hint="eastAsia" w:ascii="仿宋_GB2312" w:hAnsi="Times New Roman" w:eastAsia="仿宋_GB2312" w:cs="Times New Roman"/>
          <w:b w:val="0"/>
          <w:bCs w:val="0"/>
          <w:kern w:val="2"/>
          <w:sz w:val="32"/>
          <w:szCs w:val="32"/>
          <w:lang w:val="en-US" w:eastAsia="zh-CN" w:bidi="ar-SA"/>
        </w:rPr>
        <w:t>万元，完成预算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Times New Roman" w:eastAsia="仿宋_GB2312" w:cs="Times New Roman"/>
          <w:b w:val="0"/>
          <w:bCs w:val="0"/>
          <w:kern w:val="2"/>
          <w:sz w:val="32"/>
          <w:szCs w:val="32"/>
          <w:lang w:val="en-US" w:eastAsia="zh-CN" w:bidi="ar-SA"/>
        </w:rPr>
        <w:t>%，决算数与预算数持平。</w:t>
      </w:r>
    </w:p>
    <w:p w14:paraId="1DFA8E8D">
      <w:pPr>
        <w:pStyle w:val="19"/>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beforeAutospacing="0" w:afterAutospacing="0" w:line="560" w:lineRule="exact"/>
        <w:ind w:left="0" w:leftChars="0" w:firstLine="320" w:firstLineChars="100"/>
        <w:textAlignment w:val="auto"/>
        <w:rPr>
          <w:rFonts w:hint="eastAsia" w:ascii="仿宋_GB2312" w:hAnsi="Times New Roman" w:eastAsia="仿宋_GB2312" w:cs="Times New Roman"/>
          <w:b w:val="0"/>
          <w:bCs w:val="0"/>
          <w:kern w:val="2"/>
          <w:sz w:val="32"/>
          <w:szCs w:val="32"/>
          <w:lang w:val="en-US" w:eastAsia="zh-CN" w:bidi="ar-SA"/>
        </w:rPr>
      </w:pPr>
      <w:r>
        <w:rPr>
          <w:rFonts w:hint="eastAsia" w:ascii="仿宋_GB2312" w:hAnsi="Times New Roman" w:eastAsia="仿宋_GB2312" w:cs="Times New Roman"/>
          <w:b w:val="0"/>
          <w:bCs w:val="0"/>
          <w:kern w:val="2"/>
          <w:sz w:val="32"/>
          <w:szCs w:val="32"/>
          <w:lang w:val="en-US" w:eastAsia="zh-CN" w:bidi="ar-SA"/>
        </w:rPr>
        <w:t>4.卫生健康支出（</w:t>
      </w:r>
      <w:r>
        <w:rPr>
          <w:rFonts w:hint="eastAsia" w:ascii="仿宋_GB2312" w:hAnsi="Times New Roman" w:eastAsia="仿宋_GB2312" w:cs="Times New Roman"/>
          <w:b w:val="0"/>
          <w:bCs w:val="0"/>
          <w:sz w:val="32"/>
          <w:szCs w:val="32"/>
          <w:lang w:val="en-US" w:eastAsia="zh-CN"/>
        </w:rPr>
        <w:t>类</w:t>
      </w:r>
      <w:r>
        <w:rPr>
          <w:rFonts w:hint="eastAsia" w:ascii="仿宋_GB2312" w:hAnsi="Times New Roman" w:eastAsia="仿宋_GB2312" w:cs="Times New Roman"/>
          <w:b w:val="0"/>
          <w:bCs w:val="0"/>
          <w:kern w:val="2"/>
          <w:sz w:val="32"/>
          <w:szCs w:val="32"/>
          <w:lang w:val="en-US" w:eastAsia="zh-CN" w:bidi="ar-SA"/>
        </w:rPr>
        <w:t>）卫生健康管理事务（</w:t>
      </w:r>
      <w:r>
        <w:rPr>
          <w:rFonts w:hint="eastAsia" w:ascii="仿宋_GB2312" w:hAnsi="Times New Roman" w:eastAsia="仿宋_GB2312" w:cs="Times New Roman"/>
          <w:b w:val="0"/>
          <w:bCs w:val="0"/>
          <w:sz w:val="32"/>
          <w:szCs w:val="32"/>
          <w:lang w:val="en-US" w:eastAsia="zh-CN"/>
        </w:rPr>
        <w:t>款</w:t>
      </w:r>
      <w:r>
        <w:rPr>
          <w:rFonts w:hint="eastAsia" w:ascii="仿宋_GB2312" w:hAnsi="Times New Roman" w:eastAsia="仿宋_GB2312" w:cs="Times New Roman"/>
          <w:b w:val="0"/>
          <w:bCs w:val="0"/>
          <w:kern w:val="2"/>
          <w:sz w:val="32"/>
          <w:szCs w:val="32"/>
          <w:lang w:val="en-US" w:eastAsia="zh-CN" w:bidi="ar-SA"/>
        </w:rPr>
        <w:t>）其他卫生健康管理事务支出（</w:t>
      </w:r>
      <w:r>
        <w:rPr>
          <w:rFonts w:hint="eastAsia" w:ascii="仿宋_GB2312" w:hAnsi="Times New Roman" w:eastAsia="仿宋_GB2312" w:cs="Times New Roman"/>
          <w:b w:val="0"/>
          <w:bCs w:val="0"/>
          <w:sz w:val="32"/>
          <w:szCs w:val="32"/>
          <w:lang w:eastAsia="zh-CN"/>
        </w:rPr>
        <w:t>项</w:t>
      </w:r>
      <w:r>
        <w:rPr>
          <w:rFonts w:hint="eastAsia" w:ascii="仿宋_GB2312" w:hAnsi="Times New Roman" w:eastAsia="仿宋_GB2312" w:cs="Times New Roman"/>
          <w:b w:val="0"/>
          <w:bCs w:val="0"/>
          <w:kern w:val="2"/>
          <w:sz w:val="32"/>
          <w:szCs w:val="32"/>
          <w:lang w:val="en-US" w:eastAsia="zh-CN" w:bidi="ar-SA"/>
        </w:rPr>
        <w:t>）：</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Times New Roman" w:eastAsia="仿宋_GB2312" w:cs="Times New Roman"/>
          <w:b w:val="0"/>
          <w:bCs w:val="0"/>
          <w:sz w:val="32"/>
          <w:szCs w:val="32"/>
          <w:lang w:eastAsia="zh-CN"/>
        </w:rPr>
        <w:t>年度</w:t>
      </w:r>
      <w:r>
        <w:rPr>
          <w:rFonts w:hint="eastAsia" w:ascii="仿宋_GB2312" w:hAnsi="Times New Roman" w:eastAsia="仿宋_GB2312" w:cs="Times New Roman"/>
          <w:b w:val="0"/>
          <w:bCs w:val="0"/>
          <w:kern w:val="2"/>
          <w:sz w:val="32"/>
          <w:szCs w:val="32"/>
          <w:lang w:val="en-US" w:eastAsia="zh-CN" w:bidi="ar-SA"/>
        </w:rPr>
        <w:t>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31.47</w:t>
      </w:r>
      <w:r>
        <w:rPr>
          <w:rFonts w:hint="eastAsia" w:ascii="仿宋_GB2312" w:hAnsi="Times New Roman" w:eastAsia="仿宋_GB2312" w:cs="Times New Roman"/>
          <w:b w:val="0"/>
          <w:bCs w:val="0"/>
          <w:kern w:val="2"/>
          <w:sz w:val="32"/>
          <w:szCs w:val="32"/>
          <w:lang w:val="en-US" w:eastAsia="zh-CN" w:bidi="ar-SA"/>
        </w:rPr>
        <w:t>万元，完成预算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Times New Roman" w:eastAsia="仿宋_GB2312" w:cs="Times New Roman"/>
          <w:b w:val="0"/>
          <w:bCs w:val="0"/>
          <w:kern w:val="2"/>
          <w:sz w:val="32"/>
          <w:szCs w:val="32"/>
          <w:lang w:val="en-US" w:eastAsia="zh-CN" w:bidi="ar-SA"/>
        </w:rPr>
        <w:t>%，决算数与预算数持平。</w:t>
      </w:r>
    </w:p>
    <w:p w14:paraId="20CCF088">
      <w:pPr>
        <w:pStyle w:val="19"/>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beforeAutospacing="0" w:afterAutospacing="0" w:line="560" w:lineRule="exact"/>
        <w:ind w:left="0" w:leftChars="0" w:firstLine="320" w:firstLineChars="100"/>
        <w:textAlignment w:val="auto"/>
        <w:rPr>
          <w:rFonts w:hint="eastAsia" w:ascii="仿宋_GB2312" w:hAnsi="Times New Roman" w:eastAsia="仿宋_GB2312" w:cs="Times New Roman"/>
          <w:b w:val="0"/>
          <w:bCs w:val="0"/>
          <w:kern w:val="2"/>
          <w:sz w:val="32"/>
          <w:szCs w:val="32"/>
          <w:lang w:val="en-US" w:eastAsia="zh-CN" w:bidi="ar-SA"/>
        </w:rPr>
      </w:pPr>
      <w:r>
        <w:rPr>
          <w:rFonts w:hint="eastAsia" w:ascii="仿宋_GB2312" w:hAnsi="Times New Roman" w:eastAsia="仿宋_GB2312" w:cs="Times New Roman"/>
          <w:b w:val="0"/>
          <w:bCs w:val="0"/>
          <w:kern w:val="2"/>
          <w:sz w:val="32"/>
          <w:szCs w:val="32"/>
          <w:lang w:val="en-US" w:eastAsia="zh-CN" w:bidi="ar-SA"/>
        </w:rPr>
        <w:t>5.住房保障支出（</w:t>
      </w:r>
      <w:r>
        <w:rPr>
          <w:rFonts w:hint="eastAsia" w:ascii="仿宋_GB2312" w:hAnsi="Times New Roman" w:eastAsia="仿宋_GB2312" w:cs="Times New Roman"/>
          <w:b w:val="0"/>
          <w:bCs w:val="0"/>
          <w:sz w:val="32"/>
          <w:szCs w:val="32"/>
          <w:lang w:val="en-US" w:eastAsia="zh-CN"/>
        </w:rPr>
        <w:t>类</w:t>
      </w:r>
      <w:r>
        <w:rPr>
          <w:rFonts w:hint="eastAsia" w:ascii="仿宋_GB2312" w:hAnsi="Times New Roman" w:eastAsia="仿宋_GB2312" w:cs="Times New Roman"/>
          <w:b w:val="0"/>
          <w:bCs w:val="0"/>
          <w:kern w:val="2"/>
          <w:sz w:val="32"/>
          <w:szCs w:val="32"/>
          <w:lang w:val="en-US" w:eastAsia="zh-CN" w:bidi="ar-SA"/>
        </w:rPr>
        <w:t>）住房改革支出（</w:t>
      </w:r>
      <w:r>
        <w:rPr>
          <w:rFonts w:hint="eastAsia" w:ascii="仿宋_GB2312" w:hAnsi="Times New Roman" w:eastAsia="仿宋_GB2312" w:cs="Times New Roman"/>
          <w:b w:val="0"/>
          <w:bCs w:val="0"/>
          <w:sz w:val="32"/>
          <w:szCs w:val="32"/>
          <w:lang w:val="en-US" w:eastAsia="zh-CN"/>
        </w:rPr>
        <w:t>款</w:t>
      </w:r>
      <w:r>
        <w:rPr>
          <w:rFonts w:hint="eastAsia" w:ascii="仿宋_GB2312" w:hAnsi="Times New Roman" w:eastAsia="仿宋_GB2312" w:cs="Times New Roman"/>
          <w:b w:val="0"/>
          <w:bCs w:val="0"/>
          <w:kern w:val="2"/>
          <w:sz w:val="32"/>
          <w:szCs w:val="32"/>
          <w:lang w:val="en-US" w:eastAsia="zh-CN" w:bidi="ar-SA"/>
        </w:rPr>
        <w:t>）住房公积金（</w:t>
      </w:r>
      <w:r>
        <w:rPr>
          <w:rFonts w:hint="eastAsia" w:ascii="仿宋_GB2312" w:hAnsi="Times New Roman" w:eastAsia="仿宋_GB2312" w:cs="Times New Roman"/>
          <w:b w:val="0"/>
          <w:bCs w:val="0"/>
          <w:sz w:val="32"/>
          <w:szCs w:val="32"/>
          <w:lang w:eastAsia="zh-CN"/>
        </w:rPr>
        <w:t>项</w:t>
      </w:r>
      <w:r>
        <w:rPr>
          <w:rFonts w:hint="eastAsia" w:ascii="仿宋_GB2312" w:hAnsi="Times New Roman" w:eastAsia="仿宋_GB2312" w:cs="Times New Roman"/>
          <w:b w:val="0"/>
          <w:bCs w:val="0"/>
          <w:kern w:val="2"/>
          <w:sz w:val="32"/>
          <w:szCs w:val="32"/>
          <w:lang w:val="en-US" w:eastAsia="zh-CN" w:bidi="ar-SA"/>
        </w:rPr>
        <w:t>）：</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Times New Roman" w:eastAsia="仿宋_GB2312" w:cs="Times New Roman"/>
          <w:b w:val="0"/>
          <w:bCs w:val="0"/>
          <w:sz w:val="32"/>
          <w:szCs w:val="32"/>
          <w:lang w:eastAsia="zh-CN"/>
        </w:rPr>
        <w:t>年度</w:t>
      </w:r>
      <w:r>
        <w:rPr>
          <w:rFonts w:hint="eastAsia" w:ascii="仿宋_GB2312" w:hAnsi="Times New Roman" w:eastAsia="仿宋_GB2312" w:cs="Times New Roman"/>
          <w:b w:val="0"/>
          <w:bCs w:val="0"/>
          <w:kern w:val="2"/>
          <w:sz w:val="32"/>
          <w:szCs w:val="32"/>
          <w:lang w:val="en-US" w:eastAsia="zh-CN" w:bidi="ar-SA"/>
        </w:rPr>
        <w:t>支出决算数为</w:t>
      </w:r>
      <w:r>
        <w:rPr>
          <w:rFonts w:hint="eastAsia" w:ascii="Times New Roman" w:hAnsi="Times New Roman" w:eastAsia="仿宋_GB2312" w:cs="仿宋_GB2312"/>
          <w:b w:val="0"/>
          <w:bCs w:val="0"/>
          <w:caps w:val="0"/>
          <w:color w:val="auto"/>
          <w:kern w:val="2"/>
          <w:sz w:val="32"/>
          <w:szCs w:val="32"/>
          <w:highlight w:val="none"/>
          <w:lang w:val="en-US" w:eastAsia="zh-CN" w:bidi="ar-SA"/>
        </w:rPr>
        <w:t>3.08</w:t>
      </w:r>
      <w:r>
        <w:rPr>
          <w:rFonts w:hint="eastAsia" w:ascii="仿宋_GB2312" w:hAnsi="Times New Roman" w:eastAsia="仿宋_GB2312" w:cs="Times New Roman"/>
          <w:b w:val="0"/>
          <w:bCs w:val="0"/>
          <w:kern w:val="2"/>
          <w:sz w:val="32"/>
          <w:szCs w:val="32"/>
          <w:lang w:val="en-US" w:eastAsia="zh-CN" w:bidi="ar-SA"/>
        </w:rPr>
        <w:t>万元，完成预算</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Times New Roman" w:eastAsia="仿宋_GB2312" w:cs="Times New Roman"/>
          <w:b w:val="0"/>
          <w:bCs w:val="0"/>
          <w:kern w:val="2"/>
          <w:sz w:val="32"/>
          <w:szCs w:val="32"/>
          <w:lang w:val="en-US" w:eastAsia="zh-CN" w:bidi="ar-SA"/>
        </w:rPr>
        <w:t>%，决算数与预算数持平</w:t>
      </w:r>
      <w:bookmarkStart w:id="44" w:name="_Toc19624"/>
      <w:bookmarkStart w:id="45" w:name="_Toc17476"/>
      <w:r>
        <w:rPr>
          <w:rFonts w:hint="eastAsia" w:ascii="仿宋_GB2312" w:hAnsi="Times New Roman" w:eastAsia="仿宋_GB2312" w:cs="Times New Roman"/>
          <w:b w:val="0"/>
          <w:bCs w:val="0"/>
          <w:kern w:val="2"/>
          <w:sz w:val="32"/>
          <w:szCs w:val="32"/>
          <w:lang w:val="en-US" w:eastAsia="zh-CN" w:bidi="ar-SA"/>
        </w:rPr>
        <w:t>。</w:t>
      </w:r>
    </w:p>
    <w:p w14:paraId="794C3ADC">
      <w:pPr>
        <w:pStyle w:val="19"/>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eastAsia" w:ascii="黑体" w:hAnsi="Times New Roman" w:eastAsia="黑体" w:cs="Times New Roman"/>
          <w:color w:val="000000"/>
          <w:sz w:val="32"/>
          <w:szCs w:val="32"/>
        </w:rPr>
      </w:pPr>
      <w:r>
        <w:rPr>
          <w:rFonts w:hint="eastAsia" w:ascii="Times New Roman" w:hAnsi="Times New Roman" w:eastAsia="黑体" w:cs="Times New Roman"/>
          <w:b w:val="0"/>
          <w:color w:val="auto"/>
          <w:kern w:val="2"/>
          <w:sz w:val="32"/>
          <w:szCs w:val="32"/>
          <w:highlight w:val="none"/>
          <w:lang w:eastAsia="zh-CN" w:bidi="ar-SA"/>
        </w:rPr>
        <w:t>六、一般公共预算财政拨款基本支出决算情况说明   </w:t>
      </w:r>
      <w:bookmarkEnd w:id="44"/>
      <w:bookmarkEnd w:id="45"/>
    </w:p>
    <w:p w14:paraId="187EDE20">
      <w:pPr>
        <w:pStyle w:val="19"/>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Times New Roman" w:eastAsia="仿宋_GB2312" w:cs="Times New Roman"/>
          <w:b w:val="0"/>
          <w:bCs w:val="0"/>
          <w:kern w:val="2"/>
          <w:sz w:val="32"/>
          <w:szCs w:val="32"/>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hAnsi="Times New Roman" w:eastAsia="仿宋_GB2312" w:cs="Times New Roman"/>
          <w:b w:val="0"/>
          <w:bCs w:val="0"/>
          <w:kern w:val="2"/>
          <w:sz w:val="32"/>
          <w:szCs w:val="32"/>
          <w:lang w:val="en-US" w:eastAsia="zh-CN" w:bidi="ar-SA"/>
        </w:rPr>
        <w:t>年度一般公共预算财政拨款基本支出</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hAnsi="Times New Roman" w:eastAsia="仿宋_GB2312" w:cs="Times New Roman"/>
          <w:b w:val="0"/>
          <w:bCs w:val="0"/>
          <w:kern w:val="2"/>
          <w:sz w:val="32"/>
          <w:szCs w:val="32"/>
          <w:lang w:val="en-US" w:eastAsia="zh-CN" w:bidi="ar-SA"/>
        </w:rPr>
        <w:t>万元，其中：</w:t>
      </w:r>
    </w:p>
    <w:p w14:paraId="1E54035B">
      <w:pPr>
        <w:pStyle w:val="19"/>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Times New Roman" w:eastAsia="仿宋_GB2312" w:cs="Times New Roman"/>
          <w:b w:val="0"/>
          <w:bCs w:val="0"/>
          <w:kern w:val="2"/>
          <w:sz w:val="32"/>
          <w:szCs w:val="32"/>
          <w:lang w:val="en-US" w:eastAsia="zh-CN" w:bidi="ar-SA"/>
        </w:rPr>
      </w:pPr>
      <w:r>
        <w:rPr>
          <w:rFonts w:hint="eastAsia" w:ascii="仿宋_GB2312" w:hAnsi="Times New Roman" w:eastAsia="仿宋_GB2312" w:cs="Times New Roman"/>
          <w:b w:val="0"/>
          <w:bCs w:val="0"/>
          <w:kern w:val="2"/>
          <w:sz w:val="32"/>
          <w:szCs w:val="32"/>
          <w:lang w:val="en-US" w:eastAsia="zh-CN" w:bidi="ar-SA"/>
        </w:rPr>
        <w:t>人员经费</w:t>
      </w:r>
      <w:r>
        <w:rPr>
          <w:rFonts w:hint="eastAsia" w:ascii="Times New Roman" w:hAnsi="Times New Roman" w:eastAsia="仿宋_GB2312" w:cs="仿宋_GB2312"/>
          <w:b w:val="0"/>
          <w:bCs w:val="0"/>
          <w:caps w:val="0"/>
          <w:color w:val="auto"/>
          <w:kern w:val="2"/>
          <w:sz w:val="32"/>
          <w:szCs w:val="32"/>
          <w:highlight w:val="none"/>
          <w:lang w:val="en-US" w:eastAsia="zh-CN" w:bidi="ar-SA"/>
        </w:rPr>
        <w:t>50.08</w:t>
      </w:r>
      <w:r>
        <w:rPr>
          <w:rFonts w:hint="eastAsia" w:ascii="仿宋_GB2312" w:hAnsi="Times New Roman" w:eastAsia="仿宋_GB2312" w:cs="Times New Roman"/>
          <w:b w:val="0"/>
          <w:bCs w:val="0"/>
          <w:kern w:val="2"/>
          <w:sz w:val="32"/>
          <w:szCs w:val="32"/>
          <w:lang w:val="en-US" w:eastAsia="zh-CN" w:bidi="ar-SA"/>
        </w:rPr>
        <w:t>万元，主要包括：基本工资、津贴补贴、绩效工资、机关事业单位基本养老保险缴费、职业年金缴费、职工基本医疗保险缴费、其他社会保障缴费、住房公积金、医疗费</w:t>
      </w:r>
      <w:bookmarkStart w:id="46" w:name="_Toc10106"/>
      <w:bookmarkStart w:id="47" w:name="_Toc31902"/>
      <w:r>
        <w:rPr>
          <w:rFonts w:hint="eastAsia" w:ascii="仿宋_GB2312" w:hAnsi="Times New Roman" w:eastAsia="仿宋_GB2312" w:cs="Times New Roman"/>
          <w:b w:val="0"/>
          <w:bCs w:val="0"/>
          <w:kern w:val="2"/>
          <w:sz w:val="32"/>
          <w:szCs w:val="32"/>
          <w:lang w:val="en-US" w:eastAsia="zh-CN" w:bidi="ar-SA"/>
        </w:rPr>
        <w:t>。</w:t>
      </w:r>
    </w:p>
    <w:p w14:paraId="40E6FC17">
      <w:pPr>
        <w:pStyle w:val="19"/>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Times New Roman" w:eastAsia="仿宋_GB2312" w:cs="Times New Roman"/>
          <w:b w:val="0"/>
          <w:bCs w:val="0"/>
          <w:kern w:val="2"/>
          <w:sz w:val="32"/>
          <w:szCs w:val="32"/>
          <w:lang w:val="en-US" w:eastAsia="zh-CN" w:bidi="ar-SA"/>
        </w:rPr>
      </w:pPr>
      <w:r>
        <w:rPr>
          <w:rFonts w:hint="eastAsia" w:ascii="仿宋_GB2312" w:hAnsi="Times New Roman" w:eastAsia="仿宋_GB2312" w:cs="Times New Roman"/>
          <w:b w:val="0"/>
          <w:bCs w:val="0"/>
          <w:kern w:val="2"/>
          <w:sz w:val="32"/>
          <w:szCs w:val="32"/>
          <w:lang w:val="en-US" w:eastAsia="zh-CN" w:bidi="ar-SA"/>
        </w:rPr>
        <w:t>公用经费</w:t>
      </w:r>
      <w:r>
        <w:rPr>
          <w:rFonts w:hint="eastAsia" w:ascii="Times New Roman" w:hAnsi="Times New Roman" w:eastAsia="仿宋_GB2312" w:cs="仿宋_GB2312"/>
          <w:b w:val="0"/>
          <w:bCs w:val="0"/>
          <w:caps w:val="0"/>
          <w:color w:val="auto"/>
          <w:kern w:val="2"/>
          <w:sz w:val="32"/>
          <w:szCs w:val="32"/>
          <w:highlight w:val="none"/>
          <w:lang w:val="en-US" w:eastAsia="zh-CN" w:bidi="ar-SA"/>
        </w:rPr>
        <w:t>1.84</w:t>
      </w:r>
      <w:r>
        <w:rPr>
          <w:rFonts w:hint="eastAsia" w:ascii="仿宋_GB2312" w:hAnsi="Times New Roman" w:eastAsia="仿宋_GB2312" w:cs="Times New Roman"/>
          <w:b w:val="0"/>
          <w:bCs w:val="0"/>
          <w:kern w:val="2"/>
          <w:sz w:val="32"/>
          <w:szCs w:val="32"/>
          <w:lang w:val="en-US" w:eastAsia="zh-CN" w:bidi="ar-SA"/>
        </w:rPr>
        <w:t>万元，主要包括：办公费、其他商品和服务支出、差旅费。</w:t>
      </w:r>
    </w:p>
    <w:p w14:paraId="6BE3D9B7">
      <w:pPr>
        <w:pStyle w:val="19"/>
        <w:keepNext w:val="0"/>
        <w:keepLines w:val="0"/>
        <w:pageBreakBefore w:val="0"/>
        <w:widowControl w:val="0"/>
        <w:pBdr>
          <w:bottom w:val="single" w:color="FFFFFF" w:sz="4" w:space="29"/>
        </w:pBdr>
        <w:tabs>
          <w:tab w:val="left" w:pos="1440"/>
        </w:tabs>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黑体" w:cs="Times New Roman"/>
          <w:b w:val="0"/>
          <w:color w:val="auto"/>
          <w:kern w:val="2"/>
          <w:sz w:val="32"/>
          <w:szCs w:val="32"/>
          <w:highlight w:val="none"/>
          <w:lang w:eastAsia="zh-CN" w:bidi="ar-SA"/>
        </w:rPr>
      </w:pPr>
      <w:r>
        <w:rPr>
          <w:rFonts w:hint="eastAsia" w:ascii="Times New Roman" w:hAnsi="Times New Roman" w:eastAsia="黑体" w:cs="Times New Roman"/>
          <w:b w:val="0"/>
          <w:color w:val="auto"/>
          <w:kern w:val="2"/>
          <w:sz w:val="32"/>
          <w:szCs w:val="32"/>
          <w:highlight w:val="none"/>
          <w:lang w:val="en-US" w:eastAsia="zh-CN" w:bidi="ar-SA"/>
        </w:rPr>
        <w:t>七、</w:t>
      </w:r>
      <w:r>
        <w:rPr>
          <w:rFonts w:hint="eastAsia" w:ascii="Times New Roman" w:hAnsi="Times New Roman" w:eastAsia="黑体" w:cs="Times New Roman"/>
          <w:b w:val="0"/>
          <w:color w:val="auto"/>
          <w:kern w:val="2"/>
          <w:sz w:val="32"/>
          <w:szCs w:val="32"/>
          <w:highlight w:val="none"/>
          <w:lang w:eastAsia="zh-CN" w:bidi="ar-SA"/>
        </w:rPr>
        <w:t>财政拨款</w:t>
      </w:r>
      <w:r>
        <w:rPr>
          <w:rFonts w:hint="default" w:ascii="Times New Roman" w:hAnsi="Times New Roman" w:eastAsia="黑体" w:cs="Times New Roman"/>
          <w:b/>
          <w:bCs/>
          <w:color w:val="auto"/>
          <w:kern w:val="2"/>
          <w:sz w:val="32"/>
          <w:szCs w:val="32"/>
          <w:highlight w:val="none"/>
          <w:lang w:eastAsia="zh-CN" w:bidi="ar-SA"/>
        </w:rPr>
        <w:t>“</w:t>
      </w:r>
      <w:r>
        <w:rPr>
          <w:rFonts w:hint="eastAsia" w:ascii="Times New Roman" w:hAnsi="Times New Roman" w:eastAsia="黑体" w:cs="Times New Roman"/>
          <w:b w:val="0"/>
          <w:color w:val="auto"/>
          <w:kern w:val="2"/>
          <w:sz w:val="32"/>
          <w:szCs w:val="32"/>
          <w:highlight w:val="none"/>
          <w:lang w:eastAsia="zh-CN" w:bidi="ar-SA"/>
        </w:rPr>
        <w:t>三公</w:t>
      </w:r>
      <w:r>
        <w:rPr>
          <w:rFonts w:hint="default" w:ascii="Times New Roman" w:hAnsi="Times New Roman" w:eastAsia="黑体" w:cs="Times New Roman"/>
          <w:b/>
          <w:bCs/>
          <w:color w:val="auto"/>
          <w:kern w:val="2"/>
          <w:sz w:val="32"/>
          <w:szCs w:val="32"/>
          <w:highlight w:val="none"/>
          <w:lang w:eastAsia="zh-CN" w:bidi="ar-SA"/>
        </w:rPr>
        <w:t>”</w:t>
      </w:r>
      <w:r>
        <w:rPr>
          <w:rFonts w:hint="eastAsia" w:ascii="Times New Roman" w:hAnsi="Times New Roman" w:eastAsia="黑体" w:cs="Times New Roman"/>
          <w:b w:val="0"/>
          <w:color w:val="auto"/>
          <w:kern w:val="2"/>
          <w:sz w:val="32"/>
          <w:szCs w:val="32"/>
          <w:highlight w:val="none"/>
          <w:lang w:eastAsia="zh-CN" w:bidi="ar-SA"/>
        </w:rPr>
        <w:t>经费支出决算情况说明</w:t>
      </w:r>
      <w:bookmarkEnd w:id="46"/>
      <w:bookmarkEnd w:id="47"/>
      <w:bookmarkStart w:id="48" w:name="_Toc22479"/>
      <w:bookmarkStart w:id="49" w:name="_Toc24446"/>
    </w:p>
    <w:bookmarkEnd w:id="48"/>
    <w:bookmarkEnd w:id="49"/>
    <w:p w14:paraId="29237BAE">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color w:val="000000"/>
          <w:sz w:val="32"/>
          <w:szCs w:val="32"/>
        </w:rPr>
      </w:pPr>
      <w:bookmarkStart w:id="50" w:name="_Toc1331"/>
      <w:bookmarkStart w:id="51" w:name="_Toc17717"/>
      <w:r>
        <w:rPr>
          <w:rFonts w:hint="eastAsia" w:ascii="楷体_GB2312" w:hAnsi="楷体_GB2312" w:eastAsia="楷体_GB2312" w:cs="楷体_GB2312"/>
          <w:b/>
          <w:color w:val="000000"/>
          <w:sz w:val="32"/>
          <w:szCs w:val="32"/>
          <w:lang w:eastAsia="zh-CN"/>
        </w:rPr>
        <w:t>（一）</w:t>
      </w:r>
      <w:r>
        <w:rPr>
          <w:rFonts w:hint="eastAsia" w:ascii="楷体_GB2312" w:hAnsi="楷体_GB2312" w:eastAsia="楷体_GB2312" w:cs="楷体_GB2312"/>
          <w:b/>
          <w:color w:val="000000"/>
          <w:sz w:val="32"/>
          <w:szCs w:val="32"/>
        </w:rPr>
        <w:t>财政拨款</w:t>
      </w:r>
      <w:r>
        <w:rPr>
          <w:rFonts w:hint="default" w:ascii="Times New Roman" w:hAnsi="Times New Roman" w:eastAsia="楷体_GB2312" w:cs="Times New Roman"/>
          <w:b/>
          <w:color w:val="000000"/>
          <w:sz w:val="32"/>
          <w:szCs w:val="32"/>
        </w:rPr>
        <w:t>“</w:t>
      </w:r>
      <w:r>
        <w:rPr>
          <w:rFonts w:hint="eastAsia" w:ascii="楷体_GB2312" w:hAnsi="楷体_GB2312" w:eastAsia="楷体_GB2312" w:cs="楷体_GB2312"/>
          <w:b/>
          <w:color w:val="000000"/>
          <w:sz w:val="32"/>
          <w:szCs w:val="32"/>
        </w:rPr>
        <w:t>三公</w:t>
      </w:r>
      <w:r>
        <w:rPr>
          <w:rFonts w:hint="default" w:ascii="Times New Roman" w:hAnsi="Times New Roman" w:eastAsia="楷体_GB2312" w:cs="Times New Roman"/>
          <w:b/>
          <w:color w:val="000000"/>
          <w:sz w:val="32"/>
          <w:szCs w:val="32"/>
        </w:rPr>
        <w:t>”</w:t>
      </w:r>
      <w:r>
        <w:rPr>
          <w:rFonts w:hint="eastAsia" w:ascii="楷体_GB2312" w:hAnsi="楷体_GB2312" w:eastAsia="楷体_GB2312" w:cs="楷体_GB2312"/>
          <w:b/>
          <w:color w:val="000000"/>
          <w:sz w:val="32"/>
          <w:szCs w:val="32"/>
        </w:rPr>
        <w:t>经费支出决算总体情况说明</w:t>
      </w:r>
    </w:p>
    <w:p w14:paraId="66E36F2C">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val="0"/>
        <w:spacing w:line="560" w:lineRule="exact"/>
        <w:ind w:firstLine="640" w:firstLineChars="200"/>
        <w:textAlignment w:val="auto"/>
        <w:rPr>
          <w:rFonts w:hint="default" w:ascii="仿宋" w:hAnsi="Times New Roman" w:eastAsia="仿宋" w:cs="Times New Roman"/>
          <w:color w:val="000000"/>
          <w:sz w:val="32"/>
          <w:szCs w:val="32"/>
          <w:lang w:val="en-US" w:eastAsia="zh-CN"/>
        </w:rPr>
      </w:pPr>
      <w:bookmarkStart w:id="52" w:name="_Toc19254"/>
      <w:bookmarkStart w:id="53" w:name="_Toc30765"/>
      <w:r>
        <w:rPr>
          <w:rFonts w:hint="eastAsia" w:ascii="Times New Roman" w:hAnsi="Times New Roman"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三公</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经费财政拨款支出决算为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万元，与</w:t>
      </w:r>
      <w:r>
        <w:rPr>
          <w:rFonts w:hint="eastAsia" w:ascii="Times New Roman" w:hAnsi="Times New Roman"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年度相比无变化</w:t>
      </w:r>
      <w:r>
        <w:rPr>
          <w:rFonts w:hint="eastAsia" w:ascii="仿宋" w:hAnsi="Times New Roman" w:eastAsia="仿宋" w:cs="Times New Roman"/>
          <w:color w:val="000000"/>
          <w:sz w:val="32"/>
          <w:szCs w:val="32"/>
          <w:lang w:eastAsia="zh-CN"/>
        </w:rPr>
        <w:t>。</w:t>
      </w:r>
    </w:p>
    <w:p w14:paraId="10A0B143">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color w:val="000000"/>
          <w:sz w:val="32"/>
          <w:szCs w:val="32"/>
          <w:highlight w:val="none"/>
          <w:lang w:val="en-US" w:eastAsia="zh-CN"/>
        </w:rPr>
      </w:pPr>
      <w:r>
        <w:rPr>
          <w:rFonts w:hint="eastAsia" w:ascii="楷体_GB2312" w:hAnsi="楷体_GB2312" w:eastAsia="楷体_GB2312" w:cs="楷体_GB2312"/>
          <w:b/>
          <w:color w:val="000000"/>
          <w:sz w:val="32"/>
          <w:szCs w:val="32"/>
          <w:highlight w:val="none"/>
          <w:lang w:eastAsia="zh-CN"/>
        </w:rPr>
        <w:t>（二）</w:t>
      </w:r>
      <w:r>
        <w:rPr>
          <w:rFonts w:hint="eastAsia" w:ascii="楷体_GB2312" w:hAnsi="楷体_GB2312" w:eastAsia="楷体_GB2312" w:cs="楷体_GB2312"/>
          <w:b/>
          <w:color w:val="000000"/>
          <w:sz w:val="32"/>
          <w:szCs w:val="32"/>
          <w:highlight w:val="none"/>
        </w:rPr>
        <w:t>财政拨款</w:t>
      </w:r>
      <w:r>
        <w:rPr>
          <w:rFonts w:hint="default" w:ascii="Times New Roman" w:hAnsi="Times New Roman" w:eastAsia="楷体_GB2312" w:cs="Times New Roman"/>
          <w:b/>
          <w:color w:val="000000"/>
          <w:sz w:val="32"/>
          <w:szCs w:val="32"/>
          <w:highlight w:val="none"/>
        </w:rPr>
        <w:t>“</w:t>
      </w:r>
      <w:r>
        <w:rPr>
          <w:rFonts w:hint="eastAsia" w:ascii="楷体_GB2312" w:hAnsi="楷体_GB2312" w:eastAsia="楷体_GB2312" w:cs="楷体_GB2312"/>
          <w:b/>
          <w:color w:val="000000"/>
          <w:sz w:val="32"/>
          <w:szCs w:val="32"/>
          <w:highlight w:val="none"/>
        </w:rPr>
        <w:t>三公</w:t>
      </w:r>
      <w:r>
        <w:rPr>
          <w:rFonts w:hint="default" w:ascii="Times New Roman" w:hAnsi="Times New Roman" w:eastAsia="楷体_GB2312" w:cs="Times New Roman"/>
          <w:b/>
          <w:color w:val="000000"/>
          <w:sz w:val="32"/>
          <w:szCs w:val="32"/>
          <w:highlight w:val="none"/>
        </w:rPr>
        <w:t>”</w:t>
      </w:r>
      <w:r>
        <w:rPr>
          <w:rFonts w:hint="eastAsia" w:ascii="楷体_GB2312" w:hAnsi="楷体_GB2312" w:eastAsia="楷体_GB2312" w:cs="楷体_GB2312"/>
          <w:b/>
          <w:color w:val="000000"/>
          <w:sz w:val="32"/>
          <w:szCs w:val="32"/>
          <w:highlight w:val="none"/>
        </w:rPr>
        <w:t>经费支出决算具体情况说明</w:t>
      </w:r>
      <w:bookmarkEnd w:id="52"/>
      <w:bookmarkEnd w:id="53"/>
      <w:r>
        <w:rPr>
          <w:rFonts w:hint="eastAsia" w:ascii="楷体_GB2312" w:hAnsi="楷体_GB2312" w:eastAsia="楷体_GB2312" w:cs="楷体_GB2312"/>
          <w:b/>
          <w:color w:val="000000"/>
          <w:sz w:val="32"/>
          <w:szCs w:val="32"/>
          <w:highlight w:val="none"/>
          <w:lang w:val="en-US" w:eastAsia="zh-CN"/>
        </w:rPr>
        <w:t xml:space="preserve"> </w:t>
      </w:r>
    </w:p>
    <w:p w14:paraId="6ABDA34F">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auto"/>
          <w:kern w:val="2"/>
          <w:sz w:val="32"/>
          <w:szCs w:val="32"/>
          <w:highlight w:val="none"/>
          <w:lang w:val="en-US" w:eastAsia="zh-CN" w:bidi="ar-SA"/>
        </w:rPr>
        <w:t>年度“三公”经费财政拨款支出决算中，因公出国（境）费支出决算</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万元；公务用车购置及运行维护费支出决算</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万元；公务接待费支出决算</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万元。具体情况如下：</w:t>
      </w:r>
    </w:p>
    <w:p w14:paraId="573447AB">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3" w:firstLineChars="200"/>
        <w:textAlignment w:val="auto"/>
        <w:rPr>
          <w:rFonts w:hint="default" w:ascii="仿宋" w:hAnsi="Times New Roman" w:eastAsia="仿宋" w:cs="Times New Roman"/>
          <w:color w:val="000000"/>
          <w:sz w:val="32"/>
          <w:szCs w:val="32"/>
          <w:lang w:val="en-US" w:eastAsia="zh-CN"/>
        </w:rPr>
      </w:pPr>
      <w:r>
        <w:rPr>
          <w:rFonts w:hint="eastAsia" w:ascii="仿宋_GB2312" w:hAnsi="仿宋_GB2312" w:eastAsia="仿宋_GB2312" w:cs="仿宋_GB2312"/>
          <w:b/>
          <w:bCs/>
          <w:color w:val="auto"/>
          <w:kern w:val="2"/>
          <w:sz w:val="32"/>
          <w:szCs w:val="32"/>
          <w:highlight w:val="none"/>
          <w:lang w:val="en-US" w:eastAsia="zh-CN" w:bidi="ar-SA"/>
        </w:rPr>
        <w:t>1.因公出国（境）经费支出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万元，与</w:t>
      </w:r>
      <w:r>
        <w:rPr>
          <w:rFonts w:hint="eastAsia" w:ascii="Times New Roman" w:hAnsi="Times New Roman"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年度相比无变化</w:t>
      </w:r>
      <w:r>
        <w:rPr>
          <w:rFonts w:hint="eastAsia" w:ascii="仿宋" w:hAnsi="Times New Roman" w:eastAsia="仿宋" w:cs="Times New Roman"/>
          <w:color w:val="000000"/>
          <w:sz w:val="32"/>
          <w:szCs w:val="32"/>
          <w:lang w:eastAsia="zh-CN"/>
        </w:rPr>
        <w:t>。</w:t>
      </w:r>
    </w:p>
    <w:p w14:paraId="550D7A9F">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3" w:firstLineChars="200"/>
        <w:textAlignment w:val="auto"/>
        <w:rPr>
          <w:rFonts w:hint="default" w:ascii="仿宋" w:hAnsi="Times New Roman" w:eastAsia="仿宋" w:cs="Times New Roman"/>
          <w:color w:val="000000"/>
          <w:sz w:val="32"/>
          <w:szCs w:val="32"/>
          <w:lang w:val="en-US" w:eastAsia="zh-CN"/>
        </w:rPr>
      </w:pPr>
      <w:r>
        <w:rPr>
          <w:rFonts w:hint="eastAsia" w:ascii="仿宋_GB2312" w:hAnsi="仿宋_GB2312" w:eastAsia="仿宋_GB2312" w:cs="仿宋_GB2312"/>
          <w:b/>
          <w:bCs/>
          <w:color w:val="auto"/>
          <w:kern w:val="2"/>
          <w:sz w:val="32"/>
          <w:szCs w:val="32"/>
          <w:highlight w:val="none"/>
          <w:lang w:val="en-US" w:eastAsia="zh-CN" w:bidi="ar-SA"/>
        </w:rPr>
        <w:t>2.公务用车购置费及公车运行维护费支出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en-US" w:eastAsia="zh-CN" w:bidi="ar-SA"/>
        </w:rPr>
        <w:t>万元，与</w:t>
      </w:r>
      <w:r>
        <w:rPr>
          <w:rFonts w:hint="eastAsia" w:ascii="Times New Roman" w:hAnsi="Times New Roman"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年度相比无变化</w:t>
      </w:r>
      <w:r>
        <w:rPr>
          <w:rFonts w:hint="eastAsia" w:ascii="仿宋" w:hAnsi="Times New Roman" w:eastAsia="仿宋" w:cs="Times New Roman"/>
          <w:color w:val="000000"/>
          <w:sz w:val="32"/>
          <w:szCs w:val="32"/>
          <w:lang w:eastAsia="zh-CN"/>
        </w:rPr>
        <w:t>。</w:t>
      </w:r>
    </w:p>
    <w:p w14:paraId="4484D78A">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截至2025年12月31日，单位共有公务用车0辆，其中：轿车0辆、越野车0辆、载客汽车0辆。</w:t>
      </w:r>
    </w:p>
    <w:p w14:paraId="48EDD35A">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3.无公务接待费支出</w:t>
      </w:r>
      <w:r>
        <w:rPr>
          <w:rFonts w:hint="eastAsia" w:ascii="仿宋_GB2312" w:hAnsi="仿宋_GB2312" w:eastAsia="仿宋_GB2312" w:cs="仿宋_GB2312"/>
          <w:b w:val="0"/>
          <w:bCs w:val="0"/>
          <w:color w:val="auto"/>
          <w:kern w:val="2"/>
          <w:sz w:val="32"/>
          <w:szCs w:val="32"/>
          <w:highlight w:val="none"/>
          <w:lang w:val="en-US" w:eastAsia="zh-CN" w:bidi="ar-SA"/>
        </w:rPr>
        <w:t>0万元</w:t>
      </w:r>
      <w:r>
        <w:rPr>
          <w:rFonts w:hint="eastAsia" w:ascii="仿宋_GB2312" w:hAnsi="仿宋_GB2312" w:eastAsia="仿宋_GB2312" w:cs="仿宋_GB2312"/>
          <w:color w:val="auto"/>
          <w:kern w:val="2"/>
          <w:sz w:val="32"/>
          <w:szCs w:val="32"/>
          <w:highlight w:val="none"/>
          <w:lang w:val="en-US" w:eastAsia="zh-CN" w:bidi="ar-SA"/>
        </w:rPr>
        <w:t>。</w:t>
      </w:r>
    </w:p>
    <w:p w14:paraId="60A638E4">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r>
        <w:rPr>
          <w:rFonts w:hint="eastAsia" w:ascii="Times New Roman" w:hAnsi="Times New Roman" w:eastAsia="黑体" w:cs="Times New Roman"/>
          <w:b w:val="0"/>
          <w:color w:val="auto"/>
          <w:kern w:val="2"/>
          <w:sz w:val="32"/>
          <w:szCs w:val="32"/>
          <w:highlight w:val="none"/>
          <w:lang w:val="en-US" w:eastAsia="zh-CN" w:bidi="ar-SA"/>
        </w:rPr>
        <w:t>八、政府性基金预算支出决算情况说明</w:t>
      </w:r>
      <w:bookmarkEnd w:id="50"/>
      <w:bookmarkEnd w:id="51"/>
    </w:p>
    <w:p w14:paraId="382CC796">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firstLine="640" w:firstLineChars="200"/>
        <w:textAlignment w:val="auto"/>
        <w:rPr>
          <w:rFonts w:ascii="仿宋_GB2312" w:hAnsi="Times New Roman" w:eastAsia="仿宋_GB2312" w:cs="Times New Roman"/>
          <w:color w:val="000000"/>
          <w:sz w:val="32"/>
          <w:szCs w:val="32"/>
          <w:highlight w:val="none"/>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ascii="仿宋_GB2312" w:hAnsi="Times New Roman" w:eastAsia="仿宋_GB2312" w:cs="Times New Roman"/>
          <w:color w:val="000000"/>
          <w:sz w:val="32"/>
          <w:szCs w:val="32"/>
          <w:highlight w:val="none"/>
        </w:rPr>
        <w:t>年</w:t>
      </w:r>
      <w:r>
        <w:rPr>
          <w:rFonts w:hint="eastAsia" w:ascii="仿宋_GB2312" w:hAnsi="Times New Roman" w:eastAsia="仿宋_GB2312" w:cs="Times New Roman"/>
          <w:color w:val="000000"/>
          <w:sz w:val="32"/>
          <w:szCs w:val="32"/>
          <w:highlight w:val="none"/>
          <w:lang w:eastAsia="zh-CN"/>
        </w:rPr>
        <w:t>度无</w:t>
      </w:r>
      <w:r>
        <w:rPr>
          <w:rFonts w:ascii="仿宋_GB2312" w:hAnsi="Times New Roman" w:eastAsia="仿宋_GB2312" w:cs="Times New Roman"/>
          <w:color w:val="000000"/>
          <w:sz w:val="32"/>
          <w:szCs w:val="32"/>
          <w:highlight w:val="none"/>
        </w:rPr>
        <w:t>政府性基金预算财政拨款支出。</w:t>
      </w:r>
      <w:bookmarkStart w:id="54" w:name="_Toc18417"/>
      <w:bookmarkStart w:id="55" w:name="_Toc30324"/>
    </w:p>
    <w:p w14:paraId="65D94287">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r>
        <w:rPr>
          <w:rFonts w:hint="eastAsia" w:ascii="Times New Roman" w:hAnsi="Times New Roman" w:eastAsia="黑体" w:cs="Times New Roman"/>
          <w:b w:val="0"/>
          <w:color w:val="auto"/>
          <w:kern w:val="2"/>
          <w:sz w:val="32"/>
          <w:szCs w:val="32"/>
          <w:highlight w:val="none"/>
          <w:lang w:val="en-US" w:eastAsia="zh-CN" w:bidi="ar-SA"/>
        </w:rPr>
        <w:t>九、国有资本经营预算支出决算情况说明</w:t>
      </w:r>
      <w:bookmarkEnd w:id="54"/>
      <w:bookmarkEnd w:id="55"/>
    </w:p>
    <w:p w14:paraId="669EB41E">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firstLine="640" w:firstLineChars="200"/>
        <w:textAlignment w:val="auto"/>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ascii="仿宋_GB2312" w:hAnsi="Times New Roman" w:eastAsia="仿宋_GB2312" w:cs="Times New Roman"/>
          <w:color w:val="000000"/>
          <w:kern w:val="2"/>
          <w:sz w:val="32"/>
          <w:szCs w:val="32"/>
          <w:highlight w:val="none"/>
          <w:lang w:val="en-US" w:eastAsia="zh-CN" w:bidi="ar-SA"/>
        </w:rPr>
        <w:t>年</w:t>
      </w:r>
      <w:r>
        <w:rPr>
          <w:rFonts w:hint="eastAsia" w:ascii="仿宋_GB2312" w:hAnsi="Times New Roman" w:eastAsia="仿宋_GB2312" w:cs="Times New Roman"/>
          <w:color w:val="000000"/>
          <w:kern w:val="2"/>
          <w:sz w:val="32"/>
          <w:szCs w:val="32"/>
          <w:highlight w:val="none"/>
          <w:lang w:val="en-US" w:eastAsia="zh-CN" w:bidi="ar-SA"/>
        </w:rPr>
        <w:t>度无</w:t>
      </w:r>
      <w:r>
        <w:rPr>
          <w:rFonts w:ascii="仿宋_GB2312" w:hAnsi="Times New Roman" w:eastAsia="仿宋_GB2312" w:cs="Times New Roman"/>
          <w:color w:val="000000"/>
          <w:kern w:val="2"/>
          <w:sz w:val="32"/>
          <w:szCs w:val="32"/>
          <w:highlight w:val="none"/>
          <w:lang w:val="en-US" w:eastAsia="zh-CN" w:bidi="ar-SA"/>
        </w:rPr>
        <w:t>国有资本经营预算财政拨款支出。</w:t>
      </w:r>
      <w:r>
        <w:t> </w:t>
      </w:r>
      <w:bookmarkStart w:id="56" w:name="_Toc26033"/>
      <w:bookmarkStart w:id="57" w:name="_Toc16622"/>
    </w:p>
    <w:p w14:paraId="0B1EB44A">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firstLine="640" w:firstLineChars="200"/>
        <w:textAlignment w:val="auto"/>
        <w:rPr>
          <w:rFonts w:hint="eastAsia" w:ascii="Times New Roman" w:hAnsi="Times New Roman" w:eastAsia="黑体" w:cs="Times New Roman"/>
          <w:b w:val="0"/>
          <w:color w:val="auto"/>
          <w:kern w:val="2"/>
          <w:sz w:val="32"/>
          <w:szCs w:val="32"/>
          <w:highlight w:val="none"/>
          <w:lang w:val="en-US" w:eastAsia="zh-CN" w:bidi="ar-SA"/>
        </w:rPr>
      </w:pPr>
      <w:r>
        <w:rPr>
          <w:rFonts w:hint="eastAsia" w:ascii="Times New Roman" w:hAnsi="Times New Roman" w:eastAsia="黑体" w:cs="Times New Roman"/>
          <w:b w:val="0"/>
          <w:color w:val="auto"/>
          <w:kern w:val="2"/>
          <w:sz w:val="32"/>
          <w:szCs w:val="32"/>
          <w:highlight w:val="none"/>
          <w:lang w:val="en-US" w:eastAsia="zh-CN" w:bidi="ar-SA"/>
        </w:rPr>
        <w:t>十、其他重要事项的情况说明</w:t>
      </w:r>
      <w:bookmarkEnd w:id="56"/>
      <w:bookmarkEnd w:id="57"/>
      <w:bookmarkStart w:id="58" w:name="_Toc12341"/>
      <w:bookmarkStart w:id="59" w:name="_Toc21265"/>
    </w:p>
    <w:p w14:paraId="1DC06DBB">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firstLine="643" w:firstLineChars="200"/>
        <w:textAlignment w:val="auto"/>
        <w:rPr>
          <w:rFonts w:hint="eastAsia" w:ascii="楷体_GB2312" w:hAnsi="楷体_GB2312" w:eastAsia="楷体_GB2312" w:cs="楷体_GB2312"/>
          <w:b/>
          <w:color w:val="000000"/>
          <w:sz w:val="32"/>
          <w:szCs w:val="32"/>
          <w:lang w:eastAsia="zh-CN"/>
        </w:rPr>
      </w:pPr>
      <w:r>
        <w:rPr>
          <w:rFonts w:hint="eastAsia" w:ascii="楷体_GB2312" w:hAnsi="楷体_GB2312" w:eastAsia="楷体_GB2312" w:cs="楷体_GB2312"/>
          <w:b/>
          <w:color w:val="000000"/>
          <w:sz w:val="32"/>
          <w:szCs w:val="32"/>
        </w:rPr>
        <w:t>（一）机关运行经费支出情况</w:t>
      </w:r>
      <w:bookmarkEnd w:id="58"/>
      <w:bookmarkEnd w:id="59"/>
    </w:p>
    <w:p w14:paraId="1DA7DD0C">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firstLine="640" w:firstLineChars="200"/>
        <w:textAlignment w:val="auto"/>
        <w:rPr>
          <w:rFonts w:ascii="仿宋_GB2312"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ascii="仿宋_GB2312" w:hAnsi="Times New Roman" w:eastAsia="仿宋_GB2312" w:cs="Times New Roman"/>
          <w:color w:val="000000"/>
          <w:kern w:val="2"/>
          <w:sz w:val="32"/>
          <w:szCs w:val="32"/>
          <w:highlight w:val="none"/>
          <w:lang w:val="en-US" w:eastAsia="zh-CN" w:bidi="ar-SA"/>
        </w:rPr>
        <w:t>年</w:t>
      </w:r>
      <w:r>
        <w:rPr>
          <w:rFonts w:hint="eastAsia" w:ascii="仿宋_GB2312" w:hAnsi="Times New Roman" w:eastAsia="仿宋_GB2312" w:cs="Times New Roman"/>
          <w:color w:val="000000"/>
          <w:kern w:val="2"/>
          <w:sz w:val="32"/>
          <w:szCs w:val="32"/>
          <w:highlight w:val="none"/>
          <w:lang w:val="en-US" w:eastAsia="zh-CN" w:bidi="ar-SA"/>
        </w:rPr>
        <w:t>度</w:t>
      </w:r>
      <w:r>
        <w:rPr>
          <w:rFonts w:ascii="仿宋_GB2312" w:hAnsi="Times New Roman" w:eastAsia="仿宋_GB2312" w:cs="Times New Roman"/>
          <w:color w:val="000000"/>
          <w:kern w:val="2"/>
          <w:sz w:val="32"/>
          <w:szCs w:val="32"/>
          <w:highlight w:val="none"/>
          <w:lang w:val="en-US" w:eastAsia="zh-CN" w:bidi="ar-SA"/>
        </w:rPr>
        <w:t>，茂县</w:t>
      </w:r>
      <w:r>
        <w:rPr>
          <w:rFonts w:hint="eastAsia" w:ascii="仿宋_GB2312" w:hAnsi="Times New Roman" w:eastAsia="仿宋_GB2312" w:cs="Times New Roman"/>
          <w:color w:val="000000"/>
          <w:kern w:val="2"/>
          <w:sz w:val="32"/>
          <w:szCs w:val="32"/>
          <w:highlight w:val="none"/>
          <w:lang w:val="en-US" w:eastAsia="zh-CN" w:bidi="ar-SA"/>
        </w:rPr>
        <w:t>卫生进修校</w:t>
      </w:r>
      <w:r>
        <w:rPr>
          <w:rFonts w:ascii="仿宋_GB2312" w:hAnsi="Times New Roman" w:eastAsia="仿宋_GB2312" w:cs="Times New Roman"/>
          <w:color w:val="000000"/>
          <w:kern w:val="2"/>
          <w:sz w:val="32"/>
          <w:szCs w:val="32"/>
          <w:highlight w:val="none"/>
          <w:lang w:val="en-US" w:eastAsia="zh-CN" w:bidi="ar-SA"/>
        </w:rPr>
        <w:t>部门决算汇总机关运行经费支出</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hint="eastAsia" w:ascii="仿宋_GB2312" w:hAnsi="Times New Roman" w:eastAsia="仿宋_GB2312" w:cs="Times New Roman"/>
          <w:color w:val="000000"/>
          <w:kern w:val="2"/>
          <w:sz w:val="32"/>
          <w:szCs w:val="32"/>
          <w:highlight w:val="none"/>
          <w:lang w:val="en-US" w:eastAsia="zh-CN" w:bidi="ar-SA"/>
        </w:rPr>
        <w:t>万元</w:t>
      </w:r>
      <w:r>
        <w:rPr>
          <w:rFonts w:ascii="仿宋_GB2312" w:hAnsi="Times New Roman" w:eastAsia="仿宋_GB2312" w:cs="Times New Roman"/>
          <w:color w:val="000000"/>
          <w:kern w:val="2"/>
          <w:sz w:val="32"/>
          <w:szCs w:val="32"/>
          <w:highlight w:val="none"/>
          <w:lang w:val="en-US" w:eastAsia="zh-CN" w:bidi="ar-SA"/>
        </w:rPr>
        <w:t>。</w:t>
      </w:r>
      <w:bookmarkStart w:id="60" w:name="_Toc9297"/>
      <w:bookmarkStart w:id="61" w:name="_Toc25446"/>
    </w:p>
    <w:p w14:paraId="0F8D5DF2">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left="0" w:leftChars="0" w:firstLine="643" w:firstLineChars="200"/>
        <w:textAlignment w:val="auto"/>
        <w:rPr>
          <w:rFonts w:hint="eastAsia" w:ascii="楷体_GB2312" w:hAnsi="楷体_GB2312" w:eastAsia="楷体_GB2312" w:cs="楷体_GB2312"/>
          <w:b/>
          <w:color w:val="000000"/>
          <w:sz w:val="32"/>
          <w:szCs w:val="32"/>
          <w:lang w:eastAsia="zh-CN"/>
        </w:rPr>
      </w:pPr>
      <w:r>
        <w:rPr>
          <w:rFonts w:hint="eastAsia" w:ascii="楷体_GB2312" w:hAnsi="楷体_GB2312" w:eastAsia="楷体_GB2312" w:cs="楷体_GB2312"/>
          <w:b/>
          <w:color w:val="000000"/>
          <w:kern w:val="2"/>
          <w:sz w:val="32"/>
          <w:szCs w:val="32"/>
          <w:lang w:val="en-US" w:eastAsia="zh-CN" w:bidi="ar-SA"/>
        </w:rPr>
        <w:t>（二）</w:t>
      </w:r>
      <w:r>
        <w:rPr>
          <w:rFonts w:hint="eastAsia" w:ascii="楷体_GB2312" w:hAnsi="楷体_GB2312" w:eastAsia="楷体_GB2312" w:cs="楷体_GB2312"/>
          <w:b/>
          <w:color w:val="000000"/>
          <w:sz w:val="32"/>
          <w:szCs w:val="32"/>
        </w:rPr>
        <w:t>政府采购支出情况</w:t>
      </w:r>
      <w:bookmarkEnd w:id="60"/>
      <w:bookmarkEnd w:id="61"/>
    </w:p>
    <w:p w14:paraId="62DE4613">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firstLine="640" w:firstLineChars="200"/>
        <w:textAlignment w:val="auto"/>
        <w:rPr>
          <w:rFonts w:hint="eastAsia" w:ascii="仿宋_GB2312" w:hAnsi="Times New Roman" w:eastAsia="仿宋_GB2312" w:cs="Times New Roman"/>
          <w:color w:val="000000"/>
          <w:sz w:val="32"/>
          <w:szCs w:val="32"/>
          <w:lang w:eastAsia="zh-CN"/>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ascii="仿宋_GB2312" w:hAnsi="Times New Roman" w:eastAsia="仿宋_GB2312" w:cs="Times New Roman"/>
          <w:color w:val="000000"/>
          <w:kern w:val="2"/>
          <w:sz w:val="32"/>
          <w:szCs w:val="32"/>
          <w:highlight w:val="none"/>
          <w:lang w:val="en-US" w:eastAsia="zh-CN" w:bidi="ar-SA"/>
        </w:rPr>
        <w:t>年</w:t>
      </w:r>
      <w:r>
        <w:rPr>
          <w:rFonts w:hint="eastAsia" w:ascii="仿宋_GB2312" w:hAnsi="Times New Roman" w:eastAsia="仿宋_GB2312" w:cs="Times New Roman"/>
          <w:color w:val="000000"/>
          <w:kern w:val="2"/>
          <w:sz w:val="32"/>
          <w:szCs w:val="32"/>
          <w:highlight w:val="none"/>
          <w:lang w:val="en-US" w:eastAsia="zh-CN" w:bidi="ar-SA"/>
        </w:rPr>
        <w:t>度</w:t>
      </w:r>
      <w:r>
        <w:rPr>
          <w:rFonts w:ascii="仿宋_GB2312" w:hAnsi="Times New Roman" w:eastAsia="仿宋_GB2312" w:cs="Times New Roman"/>
          <w:color w:val="000000"/>
          <w:kern w:val="2"/>
          <w:sz w:val="32"/>
          <w:szCs w:val="32"/>
          <w:highlight w:val="none"/>
          <w:lang w:val="en-US" w:eastAsia="zh-CN" w:bidi="ar-SA"/>
        </w:rPr>
        <w:t>，茂县</w:t>
      </w:r>
      <w:r>
        <w:rPr>
          <w:rFonts w:hint="eastAsia" w:ascii="仿宋_GB2312" w:hAnsi="Times New Roman" w:eastAsia="仿宋_GB2312" w:cs="Times New Roman"/>
          <w:color w:val="000000"/>
          <w:kern w:val="2"/>
          <w:sz w:val="32"/>
          <w:szCs w:val="32"/>
          <w:highlight w:val="none"/>
          <w:lang w:val="en-US" w:eastAsia="zh-CN" w:bidi="ar-SA"/>
        </w:rPr>
        <w:t>卫生进修校</w:t>
      </w:r>
      <w:r>
        <w:rPr>
          <w:rFonts w:ascii="仿宋_GB2312" w:hAnsi="Times New Roman" w:eastAsia="仿宋_GB2312" w:cs="Times New Roman"/>
          <w:color w:val="000000"/>
          <w:kern w:val="2"/>
          <w:sz w:val="32"/>
          <w:szCs w:val="32"/>
          <w:highlight w:val="none"/>
          <w:lang w:val="en-US" w:eastAsia="zh-CN" w:bidi="ar-SA"/>
        </w:rPr>
        <w:t>部门决算汇总政府采购支出总额</w:t>
      </w:r>
      <w:r>
        <w:rPr>
          <w:rFonts w:hint="eastAsia" w:ascii="Times New Roman" w:hAnsi="Times New Roman" w:eastAsia="仿宋_GB2312" w:cs="仿宋_GB2312"/>
          <w:b w:val="0"/>
          <w:bCs w:val="0"/>
          <w:caps w:val="0"/>
          <w:color w:val="auto"/>
          <w:kern w:val="2"/>
          <w:sz w:val="32"/>
          <w:szCs w:val="32"/>
          <w:highlight w:val="none"/>
          <w:lang w:val="en-US" w:eastAsia="zh-CN" w:bidi="ar-SA"/>
        </w:rPr>
        <w:t>0</w:t>
      </w:r>
      <w:r>
        <w:rPr>
          <w:rFonts w:ascii="仿宋_GB2312" w:hAnsi="Times New Roman" w:eastAsia="仿宋_GB2312" w:cs="Times New Roman"/>
          <w:color w:val="000000"/>
          <w:kern w:val="2"/>
          <w:sz w:val="32"/>
          <w:szCs w:val="32"/>
          <w:highlight w:val="none"/>
          <w:lang w:val="en-US" w:eastAsia="zh-CN" w:bidi="ar-SA"/>
        </w:rPr>
        <w:t>万元</w:t>
      </w:r>
      <w:r>
        <w:rPr>
          <w:rFonts w:hint="eastAsia" w:ascii="仿宋_GB2312" w:hAnsi="Times New Roman" w:eastAsia="仿宋_GB2312" w:cs="Times New Roman"/>
          <w:color w:val="000000"/>
          <w:kern w:val="2"/>
          <w:sz w:val="32"/>
          <w:szCs w:val="32"/>
          <w:highlight w:val="none"/>
          <w:lang w:val="en-US" w:eastAsia="zh-CN" w:bidi="ar-SA"/>
        </w:rPr>
        <w:t>。</w:t>
      </w:r>
      <w:bookmarkStart w:id="62" w:name="_Toc20536"/>
      <w:bookmarkStart w:id="63" w:name="_Toc19415"/>
    </w:p>
    <w:p w14:paraId="30FC225D">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left="0" w:leftChars="0" w:firstLine="643" w:firstLineChars="200"/>
        <w:textAlignment w:val="auto"/>
        <w:rPr>
          <w:rFonts w:hint="eastAsia" w:ascii="楷体_GB2312" w:hAnsi="楷体_GB2312" w:eastAsia="楷体_GB2312" w:cs="楷体_GB2312"/>
          <w:b/>
          <w:color w:val="000000"/>
          <w:sz w:val="32"/>
          <w:szCs w:val="32"/>
          <w:lang w:eastAsia="zh-CN"/>
        </w:rPr>
      </w:pPr>
      <w:r>
        <w:rPr>
          <w:rFonts w:hint="eastAsia" w:ascii="楷体_GB2312" w:hAnsi="楷体_GB2312" w:eastAsia="楷体_GB2312" w:cs="楷体_GB2312"/>
          <w:b/>
          <w:color w:val="000000"/>
          <w:kern w:val="2"/>
          <w:sz w:val="32"/>
          <w:szCs w:val="32"/>
          <w:lang w:val="en-US" w:eastAsia="zh-CN" w:bidi="ar-SA"/>
        </w:rPr>
        <w:t>（三）</w:t>
      </w:r>
      <w:r>
        <w:rPr>
          <w:rFonts w:hint="eastAsia" w:ascii="楷体_GB2312" w:hAnsi="楷体_GB2312" w:eastAsia="楷体_GB2312" w:cs="楷体_GB2312"/>
          <w:b/>
          <w:color w:val="000000"/>
          <w:sz w:val="32"/>
          <w:szCs w:val="32"/>
        </w:rPr>
        <w:t>国有资产占有使用情况</w:t>
      </w:r>
      <w:bookmarkEnd w:id="62"/>
      <w:bookmarkEnd w:id="63"/>
    </w:p>
    <w:p w14:paraId="1349213C">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firstLine="640" w:firstLineChars="200"/>
        <w:textAlignment w:val="auto"/>
        <w:rPr>
          <w:rFonts w:ascii="仿宋_GB2312" w:hAnsi="Times New Roman" w:eastAsia="仿宋_GB2312" w:cs="Times New Roman"/>
          <w:color w:val="000000"/>
          <w:sz w:val="32"/>
          <w:szCs w:val="32"/>
        </w:rPr>
      </w:pPr>
      <w:r>
        <w:rPr>
          <w:rFonts w:ascii="仿宋_GB2312" w:hAnsi="Times New Roman" w:eastAsia="仿宋_GB2312" w:cs="Times New Roman"/>
          <w:color w:val="000000"/>
          <w:sz w:val="32"/>
          <w:szCs w:val="32"/>
        </w:rPr>
        <w:t>截至</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ascii="仿宋_GB2312" w:hAnsi="Times New Roman" w:eastAsia="仿宋_GB2312" w:cs="Times New Roman"/>
          <w:color w:val="000000"/>
          <w:sz w:val="32"/>
          <w:szCs w:val="32"/>
        </w:rPr>
        <w:t>年</w:t>
      </w:r>
      <w:r>
        <w:rPr>
          <w:rFonts w:hint="eastAsia" w:ascii="Times New Roman" w:hAnsi="Times New Roman" w:eastAsia="仿宋_GB2312" w:cs="仿宋_GB2312"/>
          <w:b w:val="0"/>
          <w:bCs w:val="0"/>
          <w:caps w:val="0"/>
          <w:color w:val="auto"/>
          <w:kern w:val="2"/>
          <w:sz w:val="32"/>
          <w:szCs w:val="32"/>
          <w:highlight w:val="none"/>
          <w:lang w:val="en-US" w:eastAsia="zh-CN" w:bidi="ar-SA"/>
        </w:rPr>
        <w:t>12</w:t>
      </w:r>
      <w:r>
        <w:rPr>
          <w:rFonts w:ascii="仿宋_GB2312" w:hAnsi="Times New Roman" w:eastAsia="仿宋_GB2312" w:cs="Times New Roman"/>
          <w:color w:val="000000"/>
          <w:sz w:val="32"/>
          <w:szCs w:val="32"/>
        </w:rPr>
        <w:t>月</w:t>
      </w:r>
      <w:r>
        <w:rPr>
          <w:rFonts w:hint="eastAsia" w:ascii="Times New Roman" w:hAnsi="Times New Roman" w:eastAsia="仿宋_GB2312" w:cs="仿宋_GB2312"/>
          <w:b w:val="0"/>
          <w:bCs w:val="0"/>
          <w:caps w:val="0"/>
          <w:color w:val="auto"/>
          <w:kern w:val="2"/>
          <w:sz w:val="32"/>
          <w:szCs w:val="32"/>
          <w:highlight w:val="none"/>
          <w:lang w:val="en-US" w:eastAsia="zh-CN" w:bidi="ar-SA"/>
        </w:rPr>
        <w:t>31</w:t>
      </w:r>
      <w:r>
        <w:rPr>
          <w:rFonts w:ascii="仿宋_GB2312" w:hAnsi="Times New Roman" w:eastAsia="仿宋_GB2312" w:cs="Times New Roman"/>
          <w:color w:val="000000"/>
          <w:sz w:val="32"/>
          <w:szCs w:val="32"/>
        </w:rPr>
        <w:t>日，茂县</w:t>
      </w:r>
      <w:r>
        <w:rPr>
          <w:rFonts w:hint="eastAsia" w:ascii="仿宋_GB2312" w:hAnsi="Times New Roman" w:eastAsia="仿宋_GB2312" w:cs="Times New Roman"/>
          <w:color w:val="000000"/>
          <w:sz w:val="32"/>
          <w:szCs w:val="32"/>
          <w:lang w:eastAsia="zh-CN"/>
        </w:rPr>
        <w:t>卫生进修校无</w:t>
      </w:r>
      <w:r>
        <w:rPr>
          <w:rFonts w:ascii="仿宋_GB2312" w:hAnsi="Times New Roman" w:eastAsia="仿宋_GB2312" w:cs="Times New Roman"/>
          <w:color w:val="000000"/>
          <w:sz w:val="32"/>
          <w:szCs w:val="32"/>
        </w:rPr>
        <w:t>车辆。</w:t>
      </w:r>
      <w:bookmarkStart w:id="64" w:name="_Toc15649"/>
      <w:bookmarkStart w:id="65" w:name="_Toc27201"/>
      <w:r>
        <w:rPr>
          <w:rFonts w:hint="eastAsia" w:ascii="仿宋_GB2312" w:hAnsi="Times New Roman" w:eastAsia="仿宋_GB2312" w:cs="Times New Roman"/>
          <w:color w:val="000000"/>
          <w:sz w:val="32"/>
          <w:szCs w:val="32"/>
          <w:lang w:eastAsia="zh-CN"/>
        </w:rPr>
        <w:t>无</w:t>
      </w:r>
      <w:r>
        <w:rPr>
          <w:rFonts w:ascii="仿宋_GB2312" w:hAnsi="Times New Roman" w:eastAsia="仿宋_GB2312" w:cs="Times New Roman"/>
          <w:color w:val="000000"/>
          <w:sz w:val="32"/>
          <w:szCs w:val="32"/>
        </w:rPr>
        <w:t>单价</w:t>
      </w:r>
      <w:r>
        <w:rPr>
          <w:rFonts w:hint="eastAsia" w:ascii="Times New Roman" w:hAnsi="Times New Roman" w:eastAsia="仿宋_GB2312" w:cs="仿宋_GB2312"/>
          <w:b w:val="0"/>
          <w:bCs w:val="0"/>
          <w:caps w:val="0"/>
          <w:color w:val="auto"/>
          <w:kern w:val="2"/>
          <w:sz w:val="32"/>
          <w:szCs w:val="32"/>
          <w:highlight w:val="none"/>
          <w:lang w:val="en-US" w:eastAsia="zh-CN" w:bidi="ar-SA"/>
        </w:rPr>
        <w:t>50</w:t>
      </w:r>
      <w:r>
        <w:rPr>
          <w:rFonts w:hint="eastAsia" w:ascii="仿宋_GB2312" w:hAnsi="Times New Roman" w:eastAsia="仿宋_GB2312" w:cs="Times New Roman"/>
          <w:color w:val="000000"/>
          <w:sz w:val="32"/>
          <w:szCs w:val="32"/>
          <w:lang w:eastAsia="zh-CN"/>
        </w:rPr>
        <w:t>万元</w:t>
      </w:r>
      <w:r>
        <w:rPr>
          <w:rFonts w:ascii="仿宋_GB2312" w:hAnsi="Times New Roman" w:eastAsia="仿宋_GB2312" w:cs="Times New Roman"/>
          <w:color w:val="000000"/>
          <w:sz w:val="32"/>
          <w:szCs w:val="32"/>
        </w:rPr>
        <w:t>以上</w:t>
      </w:r>
      <w:r>
        <w:rPr>
          <w:rFonts w:hint="eastAsia" w:ascii="仿宋_GB2312" w:hAnsi="Times New Roman" w:eastAsia="仿宋_GB2312" w:cs="Times New Roman"/>
          <w:color w:val="000000"/>
          <w:sz w:val="32"/>
          <w:szCs w:val="32"/>
          <w:lang w:eastAsia="zh-CN"/>
        </w:rPr>
        <w:t>通用</w:t>
      </w:r>
      <w:r>
        <w:rPr>
          <w:rFonts w:ascii="仿宋_GB2312" w:hAnsi="Times New Roman" w:eastAsia="仿宋_GB2312" w:cs="Times New Roman"/>
          <w:color w:val="000000"/>
          <w:sz w:val="32"/>
          <w:szCs w:val="32"/>
        </w:rPr>
        <w:t>设备</w:t>
      </w:r>
      <w:r>
        <w:rPr>
          <w:rFonts w:hint="eastAsia" w:ascii="仿宋_GB2312" w:hAnsi="Times New Roman" w:eastAsia="仿宋_GB2312" w:cs="Times New Roman"/>
          <w:color w:val="000000"/>
          <w:sz w:val="32"/>
          <w:szCs w:val="32"/>
          <w:lang w:eastAsia="zh-CN"/>
        </w:rPr>
        <w:t>，无</w:t>
      </w:r>
      <w:r>
        <w:rPr>
          <w:rFonts w:ascii="仿宋_GB2312" w:hAnsi="Times New Roman" w:eastAsia="仿宋_GB2312" w:cs="Times New Roman"/>
          <w:color w:val="000000"/>
          <w:sz w:val="32"/>
          <w:szCs w:val="32"/>
        </w:rPr>
        <w:t>单价</w:t>
      </w:r>
      <w:r>
        <w:rPr>
          <w:rFonts w:hint="eastAsia" w:ascii="Times New Roman" w:hAnsi="Times New Roman" w:eastAsia="仿宋_GB2312" w:cs="仿宋_GB2312"/>
          <w:b w:val="0"/>
          <w:bCs w:val="0"/>
          <w:caps w:val="0"/>
          <w:color w:val="auto"/>
          <w:kern w:val="2"/>
          <w:sz w:val="32"/>
          <w:szCs w:val="32"/>
          <w:highlight w:val="none"/>
          <w:lang w:val="en-US" w:eastAsia="zh-CN" w:bidi="ar-SA"/>
        </w:rPr>
        <w:t>100</w:t>
      </w:r>
      <w:r>
        <w:rPr>
          <w:rFonts w:hint="eastAsia" w:ascii="仿宋_GB2312" w:hAnsi="Times New Roman" w:eastAsia="仿宋_GB2312" w:cs="Times New Roman"/>
          <w:color w:val="000000"/>
          <w:sz w:val="32"/>
          <w:szCs w:val="32"/>
          <w:lang w:eastAsia="zh-CN"/>
        </w:rPr>
        <w:t>万元</w:t>
      </w:r>
      <w:r>
        <w:rPr>
          <w:rFonts w:ascii="仿宋_GB2312" w:hAnsi="Times New Roman" w:eastAsia="仿宋_GB2312" w:cs="Times New Roman"/>
          <w:color w:val="000000"/>
          <w:sz w:val="32"/>
          <w:szCs w:val="32"/>
        </w:rPr>
        <w:t>以上</w:t>
      </w:r>
      <w:r>
        <w:rPr>
          <w:rFonts w:hint="eastAsia" w:ascii="仿宋_GB2312" w:hAnsi="Times New Roman" w:eastAsia="仿宋_GB2312" w:cs="Times New Roman"/>
          <w:color w:val="000000"/>
          <w:sz w:val="32"/>
          <w:szCs w:val="32"/>
          <w:lang w:eastAsia="zh-CN"/>
        </w:rPr>
        <w:t>专用</w:t>
      </w:r>
      <w:r>
        <w:rPr>
          <w:rFonts w:ascii="仿宋_GB2312" w:hAnsi="Times New Roman" w:eastAsia="仿宋_GB2312" w:cs="Times New Roman"/>
          <w:color w:val="000000"/>
          <w:sz w:val="32"/>
          <w:szCs w:val="32"/>
        </w:rPr>
        <w:t>设备（不含车辆）。</w:t>
      </w:r>
    </w:p>
    <w:p w14:paraId="408A74C7">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left="0" w:leftChars="0" w:firstLine="643" w:firstLineChars="200"/>
        <w:textAlignment w:val="auto"/>
        <w:rPr>
          <w:rFonts w:hint="eastAsia" w:ascii="楷体_GB2312" w:hAnsi="楷体_GB2312" w:eastAsia="楷体_GB2312" w:cs="楷体_GB2312"/>
          <w:b/>
          <w:color w:val="000000"/>
          <w:sz w:val="32"/>
          <w:szCs w:val="32"/>
          <w:lang w:eastAsia="zh-CN"/>
        </w:rPr>
      </w:pPr>
      <w:r>
        <w:rPr>
          <w:rFonts w:hint="eastAsia" w:ascii="楷体_GB2312" w:hAnsi="楷体_GB2312" w:eastAsia="楷体_GB2312" w:cs="楷体_GB2312"/>
          <w:b/>
          <w:color w:val="000000"/>
          <w:kern w:val="2"/>
          <w:sz w:val="32"/>
          <w:szCs w:val="32"/>
          <w:lang w:val="en-US" w:eastAsia="zh-CN" w:bidi="ar-SA"/>
        </w:rPr>
        <w:t>（四）</w:t>
      </w:r>
      <w:r>
        <w:rPr>
          <w:rFonts w:hint="eastAsia" w:ascii="楷体_GB2312" w:hAnsi="楷体_GB2312" w:eastAsia="楷体_GB2312" w:cs="楷体_GB2312"/>
          <w:b/>
          <w:color w:val="000000"/>
          <w:sz w:val="32"/>
          <w:szCs w:val="32"/>
        </w:rPr>
        <w:t>预算绩效管理情况</w:t>
      </w:r>
      <w:bookmarkEnd w:id="64"/>
      <w:bookmarkEnd w:id="65"/>
    </w:p>
    <w:p w14:paraId="42F997E0">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atLeast"/>
        <w:ind w:firstLine="640" w:firstLineChars="200"/>
        <w:textAlignment w:val="auto"/>
        <w:rPr>
          <w:rFonts w:hint="eastAsia" w:ascii="仿宋_GB2312" w:eastAsia="仿宋_GB2312"/>
          <w:sz w:val="32"/>
          <w:szCs w:val="32"/>
          <w:lang w:eastAsia="zh-CN"/>
        </w:rPr>
      </w:pP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eastAsia="仿宋_GB2312"/>
          <w:sz w:val="32"/>
          <w:szCs w:val="32"/>
        </w:rPr>
        <w:t>年</w:t>
      </w:r>
      <w:r>
        <w:rPr>
          <w:rFonts w:hint="eastAsia" w:ascii="仿宋_GB2312" w:eastAsia="仿宋_GB2312"/>
          <w:sz w:val="32"/>
          <w:szCs w:val="32"/>
          <w:lang w:eastAsia="zh-CN"/>
        </w:rPr>
        <w:t>度</w:t>
      </w:r>
      <w:r>
        <w:rPr>
          <w:rFonts w:hint="eastAsia" w:ascii="仿宋_GB2312" w:eastAsia="仿宋_GB2312"/>
          <w:sz w:val="32"/>
          <w:szCs w:val="32"/>
        </w:rPr>
        <w:t>支出均按要求实行绩效目标管理，一般公共预算当年拨款</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eastAsia="仿宋_GB2312"/>
          <w:color w:val="auto"/>
          <w:sz w:val="32"/>
          <w:szCs w:val="32"/>
          <w:lang w:eastAsia="zh-CN"/>
        </w:rPr>
        <w:t>万</w:t>
      </w:r>
      <w:r>
        <w:rPr>
          <w:rFonts w:hint="eastAsia" w:ascii="仿宋_GB2312" w:eastAsia="仿宋_GB2312"/>
          <w:sz w:val="32"/>
          <w:szCs w:val="32"/>
        </w:rPr>
        <w:t>元。</w:t>
      </w:r>
      <w:r>
        <w:rPr>
          <w:rFonts w:hint="eastAsia" w:ascii="仿宋_GB2312" w:eastAsia="仿宋_GB2312"/>
          <w:sz w:val="32"/>
          <w:szCs w:val="32"/>
          <w:lang w:eastAsia="zh-CN"/>
        </w:rPr>
        <w:t>其中：基本支出</w:t>
      </w:r>
      <w:r>
        <w:rPr>
          <w:rFonts w:hint="eastAsia" w:ascii="Times New Roman" w:hAnsi="Times New Roman" w:eastAsia="仿宋_GB2312" w:cs="仿宋_GB2312"/>
          <w:b w:val="0"/>
          <w:bCs w:val="0"/>
          <w:caps w:val="0"/>
          <w:color w:val="auto"/>
          <w:kern w:val="2"/>
          <w:sz w:val="32"/>
          <w:szCs w:val="32"/>
          <w:highlight w:val="none"/>
          <w:lang w:val="en-US" w:eastAsia="zh-CN" w:bidi="ar-SA"/>
        </w:rPr>
        <w:t>51.92</w:t>
      </w:r>
      <w:r>
        <w:rPr>
          <w:rFonts w:hint="eastAsia" w:ascii="仿宋_GB2312" w:eastAsia="仿宋_GB2312"/>
          <w:color w:val="auto"/>
          <w:sz w:val="32"/>
          <w:szCs w:val="32"/>
          <w:lang w:eastAsia="zh-CN"/>
        </w:rPr>
        <w:t>万</w:t>
      </w:r>
      <w:r>
        <w:rPr>
          <w:rFonts w:hint="eastAsia" w:ascii="仿宋_GB2312" w:eastAsia="仿宋_GB2312"/>
          <w:sz w:val="32"/>
          <w:szCs w:val="32"/>
          <w:lang w:eastAsia="zh-CN"/>
        </w:rPr>
        <w:t>元。</w:t>
      </w:r>
    </w:p>
    <w:p w14:paraId="7F73FB9A">
      <w:pPr>
        <w:pStyle w:val="19"/>
        <w:keepNext w:val="0"/>
        <w:keepLines w:val="0"/>
        <w:pageBreakBefore w:val="0"/>
        <w:widowControl w:val="0"/>
        <w:numPr>
          <w:ilvl w:val="0"/>
          <w:numId w:val="0"/>
        </w:numPr>
        <w:pBdr>
          <w:bottom w:val="single" w:color="FFFFFF" w:sz="4" w:space="29"/>
        </w:pBdr>
        <w:tabs>
          <w:tab w:val="left" w:pos="1440"/>
        </w:tabs>
        <w:kinsoku/>
        <w:wordWrap/>
        <w:overflowPunct/>
        <w:topLinePunct w:val="0"/>
        <w:autoSpaceDE/>
        <w:autoSpaceDN/>
        <w:bidi w:val="0"/>
        <w:adjustRightInd/>
        <w:snapToGrid/>
        <w:spacing w:line="560" w:lineRule="exact"/>
        <w:ind w:firstLine="640" w:firstLineChars="200"/>
        <w:textAlignment w:val="auto"/>
        <w:rPr>
          <w:rFonts w:ascii="仿宋_GB2312" w:hAnsi="Times New Roman" w:eastAsia="仿宋_GB2312" w:cs="Times New Roman"/>
          <w:color w:val="auto"/>
          <w:sz w:val="32"/>
          <w:szCs w:val="32"/>
        </w:rPr>
      </w:pPr>
      <w:r>
        <w:rPr>
          <w:rFonts w:hint="eastAsia" w:ascii="仿宋_GB2312" w:eastAsia="仿宋_GB2312"/>
          <w:color w:val="auto"/>
          <w:sz w:val="32"/>
          <w:szCs w:val="32"/>
          <w:lang w:eastAsia="zh-CN"/>
        </w:rPr>
        <w:t>根据预算绩效管理要求，本单位在</w:t>
      </w:r>
      <w:r>
        <w:rPr>
          <w:rFonts w:hint="eastAsia" w:ascii="Times New Roman" w:hAnsi="Times New Roman" w:eastAsia="仿宋_GB2312" w:cs="仿宋_GB2312"/>
          <w:b w:val="0"/>
          <w:bCs w:val="0"/>
          <w:caps w:val="0"/>
          <w:color w:val="auto"/>
          <w:kern w:val="2"/>
          <w:sz w:val="32"/>
          <w:szCs w:val="32"/>
          <w:highlight w:val="none"/>
          <w:lang w:val="en-US" w:eastAsia="zh-CN" w:bidi="ar-SA"/>
        </w:rPr>
        <w:t>2025</w:t>
      </w:r>
      <w:r>
        <w:rPr>
          <w:rFonts w:hint="eastAsia" w:ascii="仿宋_GB2312" w:eastAsia="仿宋_GB2312"/>
          <w:color w:val="auto"/>
          <w:sz w:val="32"/>
          <w:szCs w:val="32"/>
          <w:lang w:eastAsia="zh-CN"/>
        </w:rPr>
        <w:t>年度预算编制阶段，因未有预算项目编制，所以未有预算项目开展绩效自评，无绩效自评表。</w:t>
      </w:r>
    </w:p>
    <w:p w14:paraId="67D98E31">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bookmarkStart w:id="66" w:name="_Toc17564"/>
      <w:bookmarkStart w:id="67" w:name="_Toc24473"/>
      <w:bookmarkStart w:id="68" w:name="_Toc10629"/>
      <w:bookmarkStart w:id="69" w:name="_Toc29092"/>
    </w:p>
    <w:p w14:paraId="2766A532">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5F3BDB03">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29DBC106">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071289E3">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2A5C72C8">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6953FB58">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405B7FAB">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57181570">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1309B51B">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04280D28">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2C6CCCE8">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32919342">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27EC8483">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054A2F1B">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74E643BD">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5465B7CF">
      <w:pPr>
        <w:keepNext w:val="0"/>
        <w:keepLines w:val="0"/>
        <w:pageBreakBefore w:val="0"/>
        <w:numPr>
          <w:ilvl w:val="0"/>
          <w:numId w:val="0"/>
        </w:numPr>
        <w:kinsoku/>
        <w:wordWrap/>
        <w:overflowPunct/>
        <w:topLinePunct w:val="0"/>
        <w:bidi w:val="0"/>
        <w:snapToGrid/>
        <w:spacing w:beforeAutospacing="0" w:afterAutospacing="0" w:line="560" w:lineRule="exact"/>
        <w:ind w:left="0" w:leftChars="0"/>
        <w:jc w:val="both"/>
        <w:textAlignment w:val="auto"/>
        <w:outlineLvl w:val="0"/>
        <w:rPr>
          <w:rFonts w:hint="eastAsia" w:ascii="黑体" w:hAnsi="Times New Roman" w:eastAsia="黑体" w:cs="Times New Roman"/>
          <w:color w:val="000000"/>
          <w:sz w:val="44"/>
          <w:szCs w:val="44"/>
          <w:lang w:eastAsia="zh-CN"/>
        </w:rPr>
      </w:pPr>
    </w:p>
    <w:p w14:paraId="60725EBA">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14:paraId="3925FA81">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r>
        <w:rPr>
          <w:rFonts w:hint="eastAsia" w:ascii="黑体" w:hAnsi="Times New Roman" w:eastAsia="黑体" w:cs="Times New Roman"/>
          <w:color w:val="000000"/>
          <w:sz w:val="44"/>
          <w:szCs w:val="44"/>
          <w:lang w:val="en-US" w:eastAsia="zh-CN"/>
        </w:rPr>
        <w:t>第三部分 名词解释</w:t>
      </w:r>
      <w:bookmarkEnd w:id="66"/>
      <w:bookmarkEnd w:id="67"/>
      <w:bookmarkEnd w:id="68"/>
      <w:bookmarkEnd w:id="69"/>
    </w:p>
    <w:p w14:paraId="30B94239">
      <w:pPr>
        <w:pStyle w:val="3"/>
        <w:keepNext w:val="0"/>
        <w:keepLines w:val="0"/>
        <w:pageBreakBefore w:val="0"/>
        <w:kinsoku/>
        <w:wordWrap/>
        <w:overflowPunct/>
        <w:topLinePunct w:val="0"/>
        <w:bidi w:val="0"/>
        <w:snapToGrid/>
        <w:spacing w:beforeAutospacing="0" w:after="0" w:afterAutospacing="0" w:line="560" w:lineRule="exact"/>
        <w:ind w:left="0" w:leftChars="0"/>
        <w:textAlignment w:val="auto"/>
      </w:pPr>
    </w:p>
    <w:p w14:paraId="134E137D">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1.财政拨款收入：指单位从同级财政部门取得的财政预算资金。</w:t>
      </w:r>
    </w:p>
    <w:p w14:paraId="1F26EBC4">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2.事业收入：指事业单位开展专业业务活动及辅助活动取得的收入。</w:t>
      </w:r>
    </w:p>
    <w:p w14:paraId="7F039235">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3.其他收入：指单位取得的除上述收入以外的各项收入。</w:t>
      </w:r>
    </w:p>
    <w:p w14:paraId="31C1FCC2">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4.使用非财政拨款结余：指事业单位使用以前年度积累的非财政拨款结余弥补当年收支差额的金额。</w:t>
      </w:r>
    </w:p>
    <w:p w14:paraId="13D692DA">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5.年初结转和结余：指以前年度尚未完成、结转到本年按有关规定继续使用的资金。</w:t>
      </w:r>
    </w:p>
    <w:p w14:paraId="152CCB82">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6.结余分配：指事业单位按照会计制度规定缴纳的所得税、提取的专用结余以及转入非财政拨款结余的金额等。</w:t>
      </w:r>
    </w:p>
    <w:p w14:paraId="0238F6C7">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7.年末结转和结余：指单位按有关规定结转到下年或以后年度继续使用的资金。</w:t>
      </w:r>
    </w:p>
    <w:p w14:paraId="14C0C19C">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8.基本支出：指为保障机构正常运转、完成日常工作任务而发生的人员支出和公用支出。</w:t>
      </w:r>
    </w:p>
    <w:p w14:paraId="5D61CF01">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9.项目支出：指在基本支出之外为完成特定行政任务和事业发展目标所发生的支出。</w:t>
      </w:r>
    </w:p>
    <w:p w14:paraId="146CBE1B">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10.经营支出：指事业单位在专业业务活动及其辅助活动之外开展非独立核算经营活动发生的支出。</w:t>
      </w:r>
    </w:p>
    <w:p w14:paraId="0B8D2F79">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11.“三公”经费：指部门用财政拨款安排的因公出国（境）费、公务用车购置及运行费和公务接待费。其中，因公出国（境）费反映单位公务出国（境） 的国际旅费、国外城市间交通费、住宿费、伙食费、培训费、公杂费等支出；公务用车购置及运行费反映单位公务用车车辆购置支出（含车辆购置税）及租用费、燃 料费、维修费、过路过桥费、保险费等支出；公务接待费反映单位按规定开支的各类公务接待（含外宾接待）支出。</w:t>
      </w:r>
    </w:p>
    <w:p w14:paraId="199C5B4D">
      <w:pPr>
        <w:pStyle w:val="18"/>
        <w:keepNext w:val="0"/>
        <w:keepLines w:val="0"/>
        <w:pageBreakBefore w:val="0"/>
        <w:kinsoku/>
        <w:wordWrap/>
        <w:overflowPunct/>
        <w:topLinePunct w:val="0"/>
        <w:bidi w:val="0"/>
        <w:snapToGrid/>
        <w:spacing w:beforeAutospacing="0" w:afterAutospacing="0" w:line="560" w:lineRule="exact"/>
        <w:ind w:left="0" w:leftChars="0" w:firstLine="640" w:firstLineChars="200"/>
        <w:textAlignment w:val="auto"/>
        <w:rPr>
          <w:rFonts w:ascii="仿宋_GB2312" w:hAnsi="Times New Roman" w:eastAsia="仿宋_GB2312"/>
          <w:sz w:val="32"/>
          <w:szCs w:val="32"/>
        </w:rPr>
      </w:pPr>
      <w:r>
        <w:rPr>
          <w:rFonts w:hint="eastAsia" w:ascii="仿宋_GB2312" w:hAnsi="Times New Roman" w:eastAsia="仿宋_GB2312"/>
          <w:sz w:val="32"/>
          <w:szCs w:val="32"/>
          <w:lang w:val="en-US" w:eastAsia="zh-CN"/>
        </w:rPr>
        <w:t>12</w:t>
      </w:r>
      <w:r>
        <w:rPr>
          <w:rFonts w:ascii="仿宋_GB2312" w:hAnsi="Times New Roman" w:eastAsia="仿宋_GB2312"/>
          <w:sz w:val="32"/>
          <w:szCs w:val="32"/>
        </w:rPr>
        <w:t>.机关运行经费：为保障行政单位（含参照公务员法管理的事业单位）运行用于购买货物和服务的各项资金，包括办公及印刷费、邮电费、差旅费、会议 费、福利费、日常维修费、专用材料及一般设备购置费、办公用房水电费、办公用房取暖费、办公用房物业管理费、公务用车运行维护费以及其他费用。</w:t>
      </w:r>
    </w:p>
    <w:p w14:paraId="44B1AA4E">
      <w:pPr>
        <w:keepNext w:val="0"/>
        <w:keepLines w:val="0"/>
        <w:pageBreakBefore w:val="0"/>
        <w:kinsoku/>
        <w:wordWrap/>
        <w:overflowPunct/>
        <w:topLinePunct w:val="0"/>
        <w:bidi w:val="0"/>
        <w:snapToGrid/>
        <w:spacing w:beforeAutospacing="0" w:afterAutospacing="0" w:line="560" w:lineRule="exact"/>
        <w:ind w:left="0" w:leftChars="0" w:firstLine="420" w:firstLineChars="200"/>
        <w:textAlignment w:val="auto"/>
        <w:rPr>
          <w:rFonts w:hint="eastAsia" w:ascii="仿宋" w:hAnsi="Times New Roman" w:eastAsia="仿宋" w:cs="Times New Roman"/>
          <w:b/>
          <w:color w:val="000000"/>
          <w:sz w:val="32"/>
          <w:szCs w:val="32"/>
        </w:rPr>
      </w:pPr>
      <w:r>
        <w:t> </w:t>
      </w:r>
    </w:p>
    <w:p w14:paraId="302D8C1C">
      <w:pPr>
        <w:pStyle w:val="10"/>
        <w:keepNext w:val="0"/>
        <w:keepLines w:val="0"/>
        <w:pageBreakBefore w:val="0"/>
        <w:widowControl/>
        <w:suppressLineNumbers w:val="0"/>
        <w:kinsoku/>
        <w:wordWrap/>
        <w:overflowPunct/>
        <w:topLinePunct w:val="0"/>
        <w:bidi w:val="0"/>
        <w:snapToGrid/>
        <w:spacing w:before="0" w:beforeAutospacing="0" w:after="0" w:afterAutospacing="0" w:line="560" w:lineRule="exact"/>
        <w:ind w:left="0" w:leftChars="0"/>
        <w:textAlignment w:val="auto"/>
      </w:pPr>
      <w:r>
        <w:t> </w:t>
      </w:r>
    </w:p>
    <w:p w14:paraId="05F34CA3">
      <w:pPr>
        <w:pStyle w:val="10"/>
        <w:keepNext w:val="0"/>
        <w:keepLines w:val="0"/>
        <w:pageBreakBefore w:val="0"/>
        <w:widowControl/>
        <w:suppressLineNumbers w:val="0"/>
        <w:kinsoku/>
        <w:wordWrap/>
        <w:overflowPunct/>
        <w:topLinePunct w:val="0"/>
        <w:bidi w:val="0"/>
        <w:spacing w:line="576" w:lineRule="exact"/>
        <w:textAlignment w:val="auto"/>
      </w:pPr>
    </w:p>
    <w:p w14:paraId="47605196">
      <w:pPr>
        <w:pStyle w:val="10"/>
        <w:keepNext w:val="0"/>
        <w:keepLines w:val="0"/>
        <w:pageBreakBefore w:val="0"/>
        <w:widowControl/>
        <w:suppressLineNumbers w:val="0"/>
        <w:kinsoku/>
        <w:wordWrap/>
        <w:overflowPunct/>
        <w:topLinePunct w:val="0"/>
        <w:bidi w:val="0"/>
        <w:spacing w:line="576" w:lineRule="exact"/>
        <w:textAlignment w:val="auto"/>
      </w:pPr>
      <w:r>
        <w:t> </w:t>
      </w:r>
    </w:p>
    <w:p w14:paraId="123C1A6D">
      <w:pPr>
        <w:pStyle w:val="10"/>
        <w:keepNext w:val="0"/>
        <w:keepLines w:val="0"/>
        <w:pageBreakBefore w:val="0"/>
        <w:widowControl/>
        <w:suppressLineNumbers w:val="0"/>
        <w:kinsoku/>
        <w:wordWrap/>
        <w:overflowPunct/>
        <w:topLinePunct w:val="0"/>
        <w:bidi w:val="0"/>
        <w:spacing w:line="576" w:lineRule="exact"/>
        <w:jc w:val="left"/>
        <w:textAlignment w:val="auto"/>
      </w:pPr>
      <w:r>
        <w:t> </w:t>
      </w:r>
    </w:p>
    <w:p w14:paraId="22C3E3CE">
      <w:pPr>
        <w:pStyle w:val="10"/>
        <w:keepNext w:val="0"/>
        <w:keepLines w:val="0"/>
        <w:pageBreakBefore w:val="0"/>
        <w:widowControl/>
        <w:suppressLineNumbers w:val="0"/>
        <w:kinsoku/>
        <w:wordWrap/>
        <w:overflowPunct/>
        <w:topLinePunct w:val="0"/>
        <w:bidi w:val="0"/>
        <w:spacing w:line="576" w:lineRule="exact"/>
        <w:jc w:val="left"/>
        <w:textAlignment w:val="auto"/>
      </w:pPr>
    </w:p>
    <w:p w14:paraId="5FF868EE">
      <w:pPr>
        <w:pStyle w:val="10"/>
        <w:keepNext w:val="0"/>
        <w:keepLines w:val="0"/>
        <w:pageBreakBefore w:val="0"/>
        <w:widowControl/>
        <w:suppressLineNumbers w:val="0"/>
        <w:kinsoku/>
        <w:wordWrap/>
        <w:overflowPunct/>
        <w:topLinePunct w:val="0"/>
        <w:bidi w:val="0"/>
        <w:spacing w:line="576" w:lineRule="exact"/>
        <w:jc w:val="left"/>
        <w:textAlignment w:val="auto"/>
      </w:pPr>
    </w:p>
    <w:p w14:paraId="573E5E8C">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bookmarkStart w:id="70" w:name="_Toc28177"/>
      <w:bookmarkStart w:id="71" w:name="_Toc7661"/>
      <w:bookmarkStart w:id="72" w:name="_Toc6196"/>
      <w:bookmarkStart w:id="73" w:name="_Toc9504"/>
    </w:p>
    <w:p w14:paraId="2E343100">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p>
    <w:p w14:paraId="624826CF">
      <w:pPr>
        <w:pStyle w:val="10"/>
        <w:keepNext w:val="0"/>
        <w:keepLines w:val="0"/>
        <w:pageBreakBefore w:val="0"/>
        <w:widowControl/>
        <w:suppressLineNumbers w:val="0"/>
        <w:kinsoku/>
        <w:wordWrap/>
        <w:overflowPunct/>
        <w:topLinePunct w:val="0"/>
        <w:bidi w:val="0"/>
        <w:spacing w:line="576" w:lineRule="exact"/>
        <w:jc w:val="center"/>
        <w:textAlignment w:val="auto"/>
        <w:rPr>
          <w:rFonts w:hint="eastAsia" w:ascii="黑体" w:hAnsi="Times New Roman" w:eastAsia="黑体" w:cs="Times New Roman"/>
          <w:color w:val="000000"/>
          <w:sz w:val="44"/>
          <w:szCs w:val="44"/>
          <w:lang w:val="en-US" w:eastAsia="zh-CN"/>
        </w:rPr>
      </w:pPr>
      <w:r>
        <w:rPr>
          <w:rFonts w:hint="eastAsia" w:ascii="黑体" w:hAnsi="Times New Roman" w:eastAsia="黑体" w:cs="Times New Roman"/>
          <w:color w:val="000000"/>
          <w:sz w:val="44"/>
          <w:szCs w:val="44"/>
          <w:lang w:val="en-US" w:eastAsia="zh-CN"/>
        </w:rPr>
        <w:t>第四部分 附表</w:t>
      </w:r>
      <w:bookmarkEnd w:id="70"/>
      <w:bookmarkEnd w:id="71"/>
      <w:bookmarkEnd w:id="72"/>
      <w:bookmarkEnd w:id="73"/>
    </w:p>
    <w:p w14:paraId="6D748184">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74" w:name="_Toc16901"/>
      <w:bookmarkStart w:id="75" w:name="_Toc26370"/>
      <w:bookmarkStart w:id="76" w:name="_Toc22003"/>
      <w:bookmarkStart w:id="77" w:name="_Toc12986"/>
      <w:r>
        <w:rPr>
          <w:rFonts w:hint="eastAsia" w:ascii="仿宋_GB2312" w:hAnsi="Times New Roman" w:eastAsia="仿宋_GB2312" w:cs="仿宋"/>
          <w:b w:val="0"/>
          <w:bCs w:val="0"/>
          <w:color w:val="000000"/>
          <w:kern w:val="0"/>
          <w:sz w:val="32"/>
          <w:szCs w:val="32"/>
          <w:lang w:val="en-US" w:eastAsia="zh-CN" w:bidi="ar-SA"/>
        </w:rPr>
        <w:t>一、收入支出决算总表</w:t>
      </w:r>
      <w:bookmarkEnd w:id="74"/>
      <w:bookmarkEnd w:id="75"/>
      <w:bookmarkEnd w:id="76"/>
      <w:bookmarkEnd w:id="77"/>
    </w:p>
    <w:p w14:paraId="2CF16D1C">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78" w:name="_Toc13591"/>
      <w:bookmarkStart w:id="79" w:name="_Toc13062"/>
      <w:bookmarkStart w:id="80" w:name="_Toc25584"/>
      <w:bookmarkStart w:id="81" w:name="_Toc12251"/>
      <w:r>
        <w:rPr>
          <w:rFonts w:hint="eastAsia" w:ascii="仿宋_GB2312" w:hAnsi="Times New Roman" w:eastAsia="仿宋_GB2312" w:cs="仿宋"/>
          <w:b w:val="0"/>
          <w:bCs w:val="0"/>
          <w:color w:val="000000"/>
          <w:kern w:val="0"/>
          <w:sz w:val="32"/>
          <w:szCs w:val="32"/>
          <w:lang w:val="en-US" w:eastAsia="zh-CN" w:bidi="ar-SA"/>
        </w:rPr>
        <w:t>二、收入决算表</w:t>
      </w:r>
      <w:bookmarkEnd w:id="78"/>
      <w:bookmarkEnd w:id="79"/>
      <w:bookmarkEnd w:id="80"/>
      <w:bookmarkEnd w:id="81"/>
    </w:p>
    <w:p w14:paraId="3778704E">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82" w:name="_Toc6444"/>
      <w:bookmarkStart w:id="83" w:name="_Toc29688"/>
      <w:bookmarkStart w:id="84" w:name="_Toc16600"/>
      <w:bookmarkStart w:id="85" w:name="_Toc30331"/>
      <w:r>
        <w:rPr>
          <w:rFonts w:hint="eastAsia" w:ascii="仿宋_GB2312" w:hAnsi="Times New Roman" w:eastAsia="仿宋_GB2312" w:cs="仿宋"/>
          <w:b w:val="0"/>
          <w:bCs w:val="0"/>
          <w:color w:val="000000"/>
          <w:kern w:val="0"/>
          <w:sz w:val="32"/>
          <w:szCs w:val="32"/>
          <w:lang w:val="en-US" w:eastAsia="zh-CN" w:bidi="ar-SA"/>
        </w:rPr>
        <w:t>三、支出决算表</w:t>
      </w:r>
      <w:bookmarkEnd w:id="82"/>
      <w:bookmarkEnd w:id="83"/>
      <w:bookmarkEnd w:id="84"/>
      <w:bookmarkEnd w:id="85"/>
    </w:p>
    <w:p w14:paraId="3DAA0FE8">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86" w:name="_Toc26630"/>
      <w:bookmarkStart w:id="87" w:name="_Toc5964"/>
      <w:bookmarkStart w:id="88" w:name="_Toc16685"/>
      <w:bookmarkStart w:id="89" w:name="_Toc8451"/>
      <w:r>
        <w:rPr>
          <w:rFonts w:hint="eastAsia" w:ascii="仿宋_GB2312" w:hAnsi="Times New Roman" w:eastAsia="仿宋_GB2312" w:cs="仿宋"/>
          <w:b w:val="0"/>
          <w:bCs w:val="0"/>
          <w:color w:val="000000"/>
          <w:kern w:val="0"/>
          <w:sz w:val="32"/>
          <w:szCs w:val="32"/>
          <w:lang w:val="en-US" w:eastAsia="zh-CN" w:bidi="ar-SA"/>
        </w:rPr>
        <w:t>四、财政拨款收入支出决算总表</w:t>
      </w:r>
      <w:bookmarkEnd w:id="86"/>
      <w:bookmarkEnd w:id="87"/>
      <w:bookmarkEnd w:id="88"/>
      <w:bookmarkEnd w:id="89"/>
    </w:p>
    <w:p w14:paraId="40FC03DA">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90" w:name="_Toc26625"/>
      <w:bookmarkStart w:id="91" w:name="_Toc14273"/>
      <w:bookmarkStart w:id="92" w:name="_Toc29663"/>
      <w:bookmarkStart w:id="93" w:name="_Toc19934"/>
      <w:r>
        <w:rPr>
          <w:rFonts w:hint="eastAsia" w:ascii="仿宋_GB2312" w:hAnsi="Times New Roman" w:eastAsia="仿宋_GB2312" w:cs="仿宋"/>
          <w:b w:val="0"/>
          <w:bCs w:val="0"/>
          <w:color w:val="000000"/>
          <w:kern w:val="0"/>
          <w:sz w:val="32"/>
          <w:szCs w:val="32"/>
          <w:lang w:val="en-US" w:eastAsia="zh-CN" w:bidi="ar-SA"/>
        </w:rPr>
        <w:t>五、财政拨款支出决算明细表</w:t>
      </w:r>
      <w:bookmarkEnd w:id="90"/>
      <w:bookmarkEnd w:id="91"/>
      <w:bookmarkEnd w:id="92"/>
      <w:bookmarkEnd w:id="93"/>
    </w:p>
    <w:p w14:paraId="2950FCD0">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94" w:name="_Toc22818"/>
      <w:bookmarkStart w:id="95" w:name="_Toc6686"/>
      <w:bookmarkStart w:id="96" w:name="_Toc30446"/>
      <w:bookmarkStart w:id="97" w:name="_Toc16449"/>
      <w:r>
        <w:rPr>
          <w:rFonts w:hint="eastAsia" w:ascii="仿宋_GB2312" w:hAnsi="Times New Roman" w:eastAsia="仿宋_GB2312" w:cs="仿宋"/>
          <w:b w:val="0"/>
          <w:bCs w:val="0"/>
          <w:color w:val="000000"/>
          <w:kern w:val="0"/>
          <w:sz w:val="32"/>
          <w:szCs w:val="32"/>
          <w:lang w:val="en-US" w:eastAsia="zh-CN" w:bidi="ar-SA"/>
        </w:rPr>
        <w:t>六、一般公共预算财政拨款支出决算表</w:t>
      </w:r>
      <w:bookmarkEnd w:id="94"/>
      <w:bookmarkEnd w:id="95"/>
      <w:bookmarkEnd w:id="96"/>
      <w:bookmarkEnd w:id="97"/>
    </w:p>
    <w:p w14:paraId="5A31B91A">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98" w:name="_Toc24600"/>
      <w:bookmarkStart w:id="99" w:name="_Toc20552"/>
      <w:bookmarkStart w:id="100" w:name="_Toc3478"/>
      <w:bookmarkStart w:id="101" w:name="_Toc19514"/>
      <w:r>
        <w:rPr>
          <w:rFonts w:hint="eastAsia" w:ascii="仿宋_GB2312" w:hAnsi="Times New Roman" w:eastAsia="仿宋_GB2312" w:cs="仿宋"/>
          <w:b w:val="0"/>
          <w:bCs w:val="0"/>
          <w:color w:val="000000"/>
          <w:kern w:val="0"/>
          <w:sz w:val="32"/>
          <w:szCs w:val="32"/>
          <w:lang w:val="en-US" w:eastAsia="zh-CN" w:bidi="ar-SA"/>
        </w:rPr>
        <w:t>七、一般公共预算财政拨款支出决算明细表</w:t>
      </w:r>
      <w:bookmarkEnd w:id="98"/>
      <w:bookmarkEnd w:id="99"/>
      <w:bookmarkEnd w:id="100"/>
      <w:bookmarkEnd w:id="101"/>
    </w:p>
    <w:p w14:paraId="7231A152">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102" w:name="_Toc191"/>
      <w:bookmarkStart w:id="103" w:name="_Toc17352"/>
      <w:bookmarkStart w:id="104" w:name="_Toc29878"/>
      <w:bookmarkStart w:id="105" w:name="_Toc16952"/>
      <w:r>
        <w:rPr>
          <w:rFonts w:hint="eastAsia" w:ascii="仿宋_GB2312" w:hAnsi="Times New Roman" w:eastAsia="仿宋_GB2312" w:cs="仿宋"/>
          <w:b w:val="0"/>
          <w:bCs w:val="0"/>
          <w:color w:val="000000"/>
          <w:kern w:val="0"/>
          <w:sz w:val="32"/>
          <w:szCs w:val="32"/>
          <w:lang w:val="en-US" w:eastAsia="zh-CN" w:bidi="ar-SA"/>
        </w:rPr>
        <w:t>八、一般公共预算财政拨款基本支出决算表</w:t>
      </w:r>
      <w:bookmarkEnd w:id="102"/>
      <w:bookmarkEnd w:id="103"/>
      <w:bookmarkEnd w:id="104"/>
      <w:bookmarkEnd w:id="105"/>
    </w:p>
    <w:p w14:paraId="0ACF324B">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106" w:name="_Toc3726"/>
      <w:bookmarkStart w:id="107" w:name="_Toc11708"/>
      <w:bookmarkStart w:id="108" w:name="_Toc25778"/>
      <w:bookmarkStart w:id="109" w:name="_Toc5204"/>
      <w:r>
        <w:rPr>
          <w:rFonts w:hint="eastAsia" w:ascii="仿宋_GB2312" w:hAnsi="Times New Roman" w:eastAsia="仿宋_GB2312" w:cs="仿宋"/>
          <w:b w:val="0"/>
          <w:bCs w:val="0"/>
          <w:color w:val="000000"/>
          <w:kern w:val="0"/>
          <w:sz w:val="32"/>
          <w:szCs w:val="32"/>
          <w:lang w:val="en-US" w:eastAsia="zh-CN" w:bidi="ar-SA"/>
        </w:rPr>
        <w:t>九、一般公共预算财政拨款项目支出决算表</w:t>
      </w:r>
      <w:bookmarkEnd w:id="106"/>
      <w:bookmarkEnd w:id="107"/>
      <w:bookmarkEnd w:id="108"/>
      <w:bookmarkEnd w:id="109"/>
    </w:p>
    <w:p w14:paraId="4D69AD07">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110" w:name="_Toc20756"/>
      <w:bookmarkStart w:id="111" w:name="_Toc20056"/>
      <w:bookmarkStart w:id="112" w:name="_Toc1004"/>
      <w:bookmarkStart w:id="113" w:name="_Toc32166"/>
      <w:r>
        <w:rPr>
          <w:rFonts w:hint="eastAsia" w:ascii="仿宋_GB2312" w:hAnsi="Times New Roman" w:eastAsia="仿宋_GB2312" w:cs="仿宋"/>
          <w:b w:val="0"/>
          <w:bCs w:val="0"/>
          <w:color w:val="000000"/>
          <w:kern w:val="0"/>
          <w:sz w:val="32"/>
          <w:szCs w:val="32"/>
          <w:lang w:val="en-US" w:eastAsia="zh-CN" w:bidi="ar-SA"/>
        </w:rPr>
        <w:t>十、政府性基金预算财政拨款收入支出决算表</w:t>
      </w:r>
      <w:bookmarkEnd w:id="110"/>
      <w:bookmarkEnd w:id="111"/>
      <w:bookmarkEnd w:id="112"/>
      <w:bookmarkEnd w:id="113"/>
    </w:p>
    <w:p w14:paraId="748524D2">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114" w:name="_Toc24836"/>
      <w:bookmarkStart w:id="115" w:name="_Toc21387"/>
      <w:bookmarkStart w:id="116" w:name="_Toc13849"/>
      <w:bookmarkStart w:id="117" w:name="_Toc24786"/>
      <w:r>
        <w:rPr>
          <w:rFonts w:hint="eastAsia" w:ascii="仿宋_GB2312" w:hAnsi="Times New Roman" w:eastAsia="仿宋_GB2312" w:cs="仿宋"/>
          <w:b w:val="0"/>
          <w:bCs w:val="0"/>
          <w:color w:val="000000"/>
          <w:kern w:val="0"/>
          <w:sz w:val="32"/>
          <w:szCs w:val="32"/>
          <w:lang w:val="en-US" w:eastAsia="zh-CN" w:bidi="ar-SA"/>
        </w:rPr>
        <w:t>十一、国有资本经营预算财政拨款收入支出决算表</w:t>
      </w:r>
      <w:bookmarkEnd w:id="114"/>
      <w:bookmarkEnd w:id="115"/>
      <w:bookmarkEnd w:id="116"/>
      <w:bookmarkEnd w:id="117"/>
    </w:p>
    <w:p w14:paraId="4C2B5347">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118" w:name="_Toc24482"/>
      <w:bookmarkStart w:id="119" w:name="_Toc1140"/>
      <w:bookmarkStart w:id="120" w:name="_Toc16496"/>
      <w:bookmarkStart w:id="121" w:name="_Toc13099"/>
      <w:r>
        <w:rPr>
          <w:rFonts w:hint="eastAsia" w:ascii="仿宋_GB2312" w:hAnsi="Times New Roman" w:eastAsia="仿宋_GB2312" w:cs="仿宋"/>
          <w:b w:val="0"/>
          <w:bCs w:val="0"/>
          <w:color w:val="000000"/>
          <w:kern w:val="0"/>
          <w:sz w:val="32"/>
          <w:szCs w:val="32"/>
          <w:lang w:val="en-US" w:eastAsia="zh-CN" w:bidi="ar-SA"/>
        </w:rPr>
        <w:t>十二、国有资本经营预算财政拨款支出决算表</w:t>
      </w:r>
      <w:bookmarkEnd w:id="118"/>
      <w:bookmarkEnd w:id="119"/>
      <w:bookmarkEnd w:id="120"/>
      <w:bookmarkEnd w:id="121"/>
    </w:p>
    <w:p w14:paraId="4888B3F5">
      <w:pPr>
        <w:pStyle w:val="6"/>
        <w:keepNext/>
        <w:keepLines/>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outlineLvl w:val="1"/>
        <w:rPr>
          <w:rFonts w:hint="eastAsia" w:ascii="仿宋_GB2312" w:hAnsi="Times New Roman" w:eastAsia="仿宋_GB2312" w:cs="仿宋"/>
          <w:b w:val="0"/>
          <w:bCs w:val="0"/>
          <w:color w:val="000000"/>
          <w:kern w:val="0"/>
          <w:sz w:val="32"/>
          <w:szCs w:val="32"/>
          <w:lang w:val="en-US" w:eastAsia="zh-CN" w:bidi="ar-SA"/>
        </w:rPr>
      </w:pPr>
      <w:bookmarkStart w:id="122" w:name="_Toc24957"/>
      <w:bookmarkStart w:id="123" w:name="_Toc15619"/>
      <w:bookmarkStart w:id="124" w:name="_Toc25065"/>
      <w:bookmarkStart w:id="125" w:name="_Toc4841"/>
      <w:r>
        <w:rPr>
          <w:rFonts w:hint="eastAsia" w:ascii="仿宋_GB2312" w:hAnsi="Times New Roman" w:eastAsia="仿宋_GB2312" w:cs="仿宋"/>
          <w:b w:val="0"/>
          <w:bCs w:val="0"/>
          <w:color w:val="000000"/>
          <w:kern w:val="0"/>
          <w:sz w:val="32"/>
          <w:szCs w:val="32"/>
          <w:lang w:val="en-US" w:eastAsia="zh-CN" w:bidi="ar-SA"/>
        </w:rPr>
        <w:t>十三、财政拨款“三公”经费支出决算表</w:t>
      </w:r>
      <w:bookmarkEnd w:id="122"/>
      <w:bookmarkEnd w:id="123"/>
      <w:bookmarkEnd w:id="124"/>
      <w:bookmarkEnd w:id="125"/>
    </w:p>
    <w:p w14:paraId="40BFC00E">
      <w:pPr>
        <w:pageBreakBefore w:val="0"/>
        <w:kinsoku/>
        <w:wordWrap/>
        <w:overflowPunct/>
        <w:topLinePunct w:val="0"/>
        <w:bidi w:val="0"/>
        <w:spacing w:line="576" w:lineRule="exact"/>
        <w:textAlignment w:val="auto"/>
      </w:pPr>
    </w:p>
    <w:p w14:paraId="69AA2E7F"/>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16" w:usb3="00000000" w:csb0="0004000F" w:csb1="00000000"/>
  </w:font>
  <w:font w:name="方正公文黑体">
    <w:altName w:val="黑体"/>
    <w:panose1 w:val="02000500000000000000"/>
    <w:charset w:val="86"/>
    <w:family w:val="auto"/>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445DA">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2C7D50">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XX984AgAAbw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1df3zgCAABvBAAADgAAAAAAAAABACAAAAAfAQAAZHJzL2Uyb0RvYy54&#10;bWxQSwUGAAAAAAYABgBZAQAAyQUAAAAA&#10;">
              <v:fill on="f" focussize="0,0"/>
              <v:stroke on="f" weight="0.5pt"/>
              <v:imagedata o:title=""/>
              <o:lock v:ext="edit" aspectratio="f"/>
              <v:textbox inset="0mm,0mm,0mm,0mm" style="mso-fit-shape-to-text:t;">
                <w:txbxContent>
                  <w:p w14:paraId="002C7D50">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00C5B"/>
    <w:multiLevelType w:val="singleLevel"/>
    <w:tmpl w:val="ACD00C5B"/>
    <w:lvl w:ilvl="0" w:tentative="0">
      <w:start w:val="2"/>
      <w:numFmt w:val="chineseCounting"/>
      <w:suff w:val="nothing"/>
      <w:lvlText w:val="（%1）"/>
      <w:lvlJc w:val="left"/>
      <w:rPr>
        <w:rFonts w:hint="eastAsia"/>
      </w:rPr>
    </w:lvl>
  </w:abstractNum>
  <w:abstractNum w:abstractNumId="1">
    <w:nsid w:val="1B121944"/>
    <w:multiLevelType w:val="singleLevel"/>
    <w:tmpl w:val="1B121944"/>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jNDRhOWM2N2RmZTgwZTEyZWM5NjY2NDE4NWU4YmQifQ=="/>
  </w:docVars>
  <w:rsids>
    <w:rsidRoot w:val="00000000"/>
    <w:rsid w:val="01C20BC1"/>
    <w:rsid w:val="02110369"/>
    <w:rsid w:val="03174F3D"/>
    <w:rsid w:val="03432557"/>
    <w:rsid w:val="03A23FA4"/>
    <w:rsid w:val="03BC04BF"/>
    <w:rsid w:val="060F458D"/>
    <w:rsid w:val="06A72A7B"/>
    <w:rsid w:val="06C13B3D"/>
    <w:rsid w:val="06D177DF"/>
    <w:rsid w:val="076D24C5"/>
    <w:rsid w:val="08763199"/>
    <w:rsid w:val="0919373D"/>
    <w:rsid w:val="09891BB3"/>
    <w:rsid w:val="0A711937"/>
    <w:rsid w:val="0CE265BB"/>
    <w:rsid w:val="0E9B12F6"/>
    <w:rsid w:val="0EEE56EB"/>
    <w:rsid w:val="0F7D4890"/>
    <w:rsid w:val="1047653B"/>
    <w:rsid w:val="1138022D"/>
    <w:rsid w:val="11405FD6"/>
    <w:rsid w:val="13B80076"/>
    <w:rsid w:val="13E37991"/>
    <w:rsid w:val="13F269FB"/>
    <w:rsid w:val="14C15D2E"/>
    <w:rsid w:val="15932B49"/>
    <w:rsid w:val="16007A59"/>
    <w:rsid w:val="17B61A8D"/>
    <w:rsid w:val="1B772E59"/>
    <w:rsid w:val="1FFF89FD"/>
    <w:rsid w:val="203A3F58"/>
    <w:rsid w:val="219B1EDB"/>
    <w:rsid w:val="22257254"/>
    <w:rsid w:val="24A96E3A"/>
    <w:rsid w:val="25755282"/>
    <w:rsid w:val="262C021A"/>
    <w:rsid w:val="28E318B2"/>
    <w:rsid w:val="2C243BF0"/>
    <w:rsid w:val="2C29790B"/>
    <w:rsid w:val="2C6B46B8"/>
    <w:rsid w:val="2F7D2448"/>
    <w:rsid w:val="2FDB2CCA"/>
    <w:rsid w:val="32BC3287"/>
    <w:rsid w:val="333D5A4A"/>
    <w:rsid w:val="35466E38"/>
    <w:rsid w:val="36201D7F"/>
    <w:rsid w:val="36592D95"/>
    <w:rsid w:val="37BF2ED1"/>
    <w:rsid w:val="383206C9"/>
    <w:rsid w:val="3B27770B"/>
    <w:rsid w:val="3B5C1CBD"/>
    <w:rsid w:val="3BBD1331"/>
    <w:rsid w:val="3BDE2B76"/>
    <w:rsid w:val="3D0FCD4B"/>
    <w:rsid w:val="3E3C3569"/>
    <w:rsid w:val="3EA6303D"/>
    <w:rsid w:val="3F95384B"/>
    <w:rsid w:val="3FBB5075"/>
    <w:rsid w:val="40CF7DDE"/>
    <w:rsid w:val="41A75102"/>
    <w:rsid w:val="4269060A"/>
    <w:rsid w:val="43AF64F0"/>
    <w:rsid w:val="44C91FD4"/>
    <w:rsid w:val="46E963F9"/>
    <w:rsid w:val="47040901"/>
    <w:rsid w:val="474A5259"/>
    <w:rsid w:val="47831023"/>
    <w:rsid w:val="495042D1"/>
    <w:rsid w:val="4981053C"/>
    <w:rsid w:val="4A2829B5"/>
    <w:rsid w:val="4A58168F"/>
    <w:rsid w:val="4A705397"/>
    <w:rsid w:val="4D230200"/>
    <w:rsid w:val="4E2F1963"/>
    <w:rsid w:val="4F8A793D"/>
    <w:rsid w:val="51F3766B"/>
    <w:rsid w:val="55F06C20"/>
    <w:rsid w:val="56E57E9E"/>
    <w:rsid w:val="572C79C2"/>
    <w:rsid w:val="573E9E61"/>
    <w:rsid w:val="59FB0ABD"/>
    <w:rsid w:val="5A334C7C"/>
    <w:rsid w:val="5ADD34EB"/>
    <w:rsid w:val="5B25385F"/>
    <w:rsid w:val="5D7C0CDB"/>
    <w:rsid w:val="5EE017FC"/>
    <w:rsid w:val="5F742670"/>
    <w:rsid w:val="5FA0113E"/>
    <w:rsid w:val="5FBF28D5"/>
    <w:rsid w:val="60485A18"/>
    <w:rsid w:val="609B4DC3"/>
    <w:rsid w:val="62A36DC8"/>
    <w:rsid w:val="63722CDA"/>
    <w:rsid w:val="65476131"/>
    <w:rsid w:val="65B55790"/>
    <w:rsid w:val="66833198"/>
    <w:rsid w:val="66E254D7"/>
    <w:rsid w:val="673B1CC5"/>
    <w:rsid w:val="69F36887"/>
    <w:rsid w:val="69F76EA8"/>
    <w:rsid w:val="6CF476F1"/>
    <w:rsid w:val="6DCA3DA3"/>
    <w:rsid w:val="6F5B5767"/>
    <w:rsid w:val="6FEC6252"/>
    <w:rsid w:val="6FFB3495"/>
    <w:rsid w:val="7302531E"/>
    <w:rsid w:val="73661E78"/>
    <w:rsid w:val="754C5710"/>
    <w:rsid w:val="759C7DD3"/>
    <w:rsid w:val="760011A7"/>
    <w:rsid w:val="762B6186"/>
    <w:rsid w:val="76381164"/>
    <w:rsid w:val="76F58D87"/>
    <w:rsid w:val="77CB0E43"/>
    <w:rsid w:val="77FE8646"/>
    <w:rsid w:val="78C51861"/>
    <w:rsid w:val="7A232871"/>
    <w:rsid w:val="7B3A2568"/>
    <w:rsid w:val="7BF70E9D"/>
    <w:rsid w:val="7DCE343B"/>
    <w:rsid w:val="7E602EE5"/>
    <w:rsid w:val="7F7F4E9A"/>
    <w:rsid w:val="DE3F1F77"/>
    <w:rsid w:val="DF9F23E7"/>
    <w:rsid w:val="FCF97B46"/>
    <w:rsid w:val="FD5D3EC0"/>
    <w:rsid w:val="FDF9100F"/>
    <w:rsid w:val="FEBD440B"/>
    <w:rsid w:val="FFBD6E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6">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qFormat/>
    <w:uiPriority w:val="0"/>
    <w:pPr>
      <w:ind w:firstLine="420" w:firstLineChars="200"/>
    </w:pPr>
    <w:rPr>
      <w:rFonts w:ascii="Times New Roman" w:hAnsi="Times New Roman" w:eastAsia="宋体" w:cs="Times New Roman"/>
    </w:rPr>
  </w:style>
  <w:style w:type="paragraph" w:styleId="4">
    <w:name w:val="Body Text Indent"/>
    <w:basedOn w:val="1"/>
    <w:next w:val="3"/>
    <w:qFormat/>
    <w:uiPriority w:val="0"/>
    <w:pPr>
      <w:spacing w:after="120"/>
      <w:ind w:left="420" w:leftChars="200"/>
    </w:pPr>
    <w:rPr>
      <w:rFonts w:ascii="Times New Roman" w:hAnsi="Times New Roman" w:eastAsia="宋体" w:cs="Times New Roman"/>
    </w:rPr>
  </w:style>
  <w:style w:type="paragraph" w:styleId="7">
    <w:name w:val="Body Text"/>
    <w:basedOn w:val="1"/>
    <w:qFormat/>
    <w:uiPriority w:val="0"/>
    <w:pPr>
      <w:spacing w:before="30" w:beforeLines="30"/>
    </w:pPr>
    <w:rPr>
      <w:rFonts w:ascii="仿宋_GB2312" w:eastAsia="仿宋_GB2312"/>
      <w:kern w:val="0"/>
      <w:sz w:val="24"/>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toc 1"/>
    <w:basedOn w:val="1"/>
    <w:next w:val="1"/>
    <w:qFormat/>
    <w:uiPriority w:val="0"/>
    <w:pPr>
      <w:spacing w:before="120" w:after="120"/>
      <w:jc w:val="left"/>
    </w:pPr>
    <w:rPr>
      <w:rFonts w:ascii="等线" w:eastAsia="等线"/>
      <w:b/>
      <w:bCs/>
      <w:caps/>
      <w:sz w:val="20"/>
      <w:szCs w:val="20"/>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Strong"/>
    <w:basedOn w:val="12"/>
    <w:qFormat/>
    <w:uiPriority w:val="0"/>
    <w:rPr>
      <w:b/>
    </w:rPr>
  </w:style>
  <w:style w:type="paragraph" w:customStyle="1" w:styleId="14">
    <w:name w:val="WPSOffice手动目录 1"/>
    <w:qFormat/>
    <w:uiPriority w:val="0"/>
    <w:pPr>
      <w:ind w:leftChars="0"/>
    </w:pPr>
    <w:rPr>
      <w:rFonts w:ascii="Times New Roman" w:hAnsi="Times New Roman" w:eastAsia="宋体" w:cs="Times New Roman"/>
      <w:sz w:val="20"/>
      <w:szCs w:val="20"/>
    </w:rPr>
  </w:style>
  <w:style w:type="paragraph" w:customStyle="1" w:styleId="15">
    <w:name w:val="WPSOffice手动目录 2"/>
    <w:qFormat/>
    <w:uiPriority w:val="0"/>
    <w:pPr>
      <w:ind w:leftChars="200"/>
    </w:pPr>
    <w:rPr>
      <w:rFonts w:ascii="Times New Roman" w:hAnsi="Times New Roman" w:eastAsia="宋体" w:cs="Times New Roman"/>
      <w:sz w:val="20"/>
      <w:szCs w:val="20"/>
    </w:rPr>
  </w:style>
  <w:style w:type="paragraph" w:customStyle="1" w:styleId="16">
    <w:name w:val="WPSOffice手动目录 3"/>
    <w:qFormat/>
    <w:uiPriority w:val="0"/>
    <w:pPr>
      <w:ind w:leftChars="400"/>
    </w:pPr>
    <w:rPr>
      <w:rFonts w:ascii="Times New Roman" w:hAnsi="Times New Roman" w:eastAsia="宋体" w:cs="Times New Roman"/>
      <w:sz w:val="20"/>
      <w:szCs w:val="20"/>
    </w:rPr>
  </w:style>
  <w:style w:type="paragraph" w:customStyle="1" w:styleId="17">
    <w:name w:val="列表段落1"/>
    <w:basedOn w:val="1"/>
    <w:qFormat/>
    <w:uiPriority w:val="0"/>
    <w:pPr>
      <w:ind w:firstLine="200" w:firstLineChars="200"/>
    </w:pPr>
  </w:style>
  <w:style w:type="paragraph" w:customStyle="1" w:styleId="18">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19">
    <w:name w:val="List Paragraph"/>
    <w:basedOn w:val="1"/>
    <w:qFormat/>
    <w:uiPriority w:val="0"/>
    <w:pPr>
      <w:ind w:firstLine="200" w:firstLineChars="200"/>
    </w:pPr>
  </w:style>
  <w:style w:type="paragraph" w:customStyle="1" w:styleId="20">
    <w:name w:val="No Spacing"/>
    <w:qFormat/>
    <w:uiPriority w:val="0"/>
    <w:pPr>
      <w:ind w:firstLine="200" w:firstLineChars="200"/>
    </w:pPr>
    <w:rPr>
      <w:rFonts w:ascii="Times New Roman" w:hAnsi="Times New Roman" w:eastAsia="仿宋_GB2312" w:cs="Times New Roman"/>
      <w:sz w:val="30"/>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kylin/MOMO/&#22270;&#34920;&#27169;&#22411;/&#22270;&#26631;%20-%20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kylin/MOMO/&#22270;&#34920;&#27169;&#22411;/&#22270;&#26631;%20-%20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kylin/MOMO/&#22270;&#34920;&#27169;&#22411;/&#22270;&#26631;%20-%20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kylin/MOMO/&#22270;&#34920;&#27169;&#22411;/&#22270;&#26631;%20-%20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kylin/MOMO/&#22270;&#34920;&#27169;&#22411;/&#22270;&#26631;%20-%20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kylin/MOMO/&#22270;&#34920;&#27169;&#22411;/&#22270;&#26631;%20-%20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F81BD"/>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- 1.xls]Sheet3'!$A$1:$A$2</c:f>
              <c:strCache>
                <c:ptCount val="2"/>
                <c:pt idx="0">
                  <c:v>2025年度收、支总计</c:v>
                </c:pt>
                <c:pt idx="1">
                  <c:v>2024年度收、支总计</c:v>
                </c:pt>
              </c:strCache>
            </c:strRef>
          </c:cat>
          <c:val>
            <c:numRef>
              <c:f>'[图标 - 1.xls]Sheet3'!$B$1:$B$2</c:f>
              <c:numCache>
                <c:formatCode>General</c:formatCode>
                <c:ptCount val="2"/>
                <c:pt idx="0">
                  <c:v>51.92</c:v>
                </c:pt>
                <c:pt idx="1" c:formatCode="0.00_ ">
                  <c:v>32.95</c:v>
                </c:pt>
              </c:numCache>
            </c:numRef>
          </c:val>
        </c:ser>
        <c:dLbls>
          <c:showLegendKey val="0"/>
          <c:showVal val="0"/>
          <c:showCatName val="0"/>
          <c:showSerName val="0"/>
          <c:showPercent val="0"/>
          <c:showBubbleSize val="0"/>
        </c:dLbls>
        <c:gapWidth val="246"/>
        <c:overlap val="-28"/>
        <c:axId val="521906332"/>
        <c:axId val="244164899"/>
      </c:barChart>
      <c:catAx>
        <c:axId val="521906332"/>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44164899"/>
        <c:crosses val="autoZero"/>
        <c:auto val="1"/>
        <c:lblAlgn val="ctr"/>
        <c:lblOffset val="100"/>
        <c:noMultiLvlLbl val="0"/>
      </c:catAx>
      <c:valAx>
        <c:axId val="244164899"/>
        <c:scaling>
          <c:orientation val="minMax"/>
        </c:scaling>
        <c:delete val="0"/>
        <c:axPos val="l"/>
        <c:majorGridlines>
          <c:spPr>
            <a:ln w="9525" cap="flat" cmpd="sng" algn="ctr">
              <a:solidFill>
                <a:srgbClr val="E6E6E6">
                  <a:lumMod val="90200"/>
                </a:srgb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21906332"/>
        <c:crosses val="autoZero"/>
        <c:crossBetween val="between"/>
      </c:valAx>
      <c:spPr>
        <a:noFill/>
        <a:ln>
          <a:noFill/>
        </a:ln>
        <a:effectLst/>
      </c:spPr>
    </c:plotArea>
    <c:plotVisOnly val="1"/>
    <c:dispBlanksAs val="gap"/>
    <c:showDLblsOverMax val="0"/>
    <c:extLst>
      <c:ext uri="{0b15fc19-7d7d-44ad-8c2d-2c3a37ce22c3}">
        <chartProps xmlns="https://web.wps.cn/et/2018/main" chartId="{23029110-0a69-4241-844b-37904a617c51}"/>
      </c:ext>
    </c:extLst>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explosion val="0"/>
          <c:dPt>
            <c:idx val="0"/>
            <c:bubble3D val="0"/>
          </c:dPt>
          <c:dLbls>
            <c:dLbl>
              <c:idx val="0"/>
              <c:layout>
                <c:manualLayout>
                  <c:x val="-0.00557049737211682"/>
                  <c:y val="0.09769772309208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51.92</a:t>
                    </a:r>
                    <a:r>
                      <a:t>万元，</a:t>
                    </a:r>
                    <a:r>
                      <a:rPr lang="en-US" altLang="zh-CN"/>
                      <a:t>100%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'[图标 - 1.xls]Sheet1'!$A$1</c:f>
              <c:strCache>
                <c:ptCount val="1"/>
                <c:pt idx="0">
                  <c:v>一般公共预算财政拨款收入</c:v>
                </c:pt>
              </c:strCache>
            </c:strRef>
          </c:cat>
          <c:val>
            <c:numRef>
              <c:f>'[图标 - 1.xls]Sheet1'!$B$1</c:f>
              <c:numCache>
                <c:formatCode>General</c:formatCode>
                <c:ptCount val="1"/>
                <c:pt idx="0">
                  <c:v>51.92</c:v>
                </c:pt>
              </c:numCache>
            </c:numRef>
          </c:val>
        </c:ser>
        <c:ser>
          <c:idx val="0"/>
          <c:order val="1"/>
          <c:explosion val="0"/>
          <c:dPt>
            <c:idx val="0"/>
            <c:bubble3D val="0"/>
          </c:dPt>
          <c:dLbls>
            <c:delete val="1"/>
          </c:dLbls>
          <c:cat>
            <c:strRef>
              <c:f>'[图标 - 1.xls]Sheet1'!$A$1</c:f>
              <c:strCache>
                <c:ptCount val="1"/>
                <c:pt idx="0">
                  <c:v>一般公共预算财政拨款收入</c:v>
                </c:pt>
              </c:strCache>
            </c:strRef>
          </c:cat>
          <c:val>
            <c:numRef>
              <c:f>'[图标 - 1.xls]Sheet1'!$B$2</c:f>
              <c:numCache>
                <c:formatCode>General</c:formatCode>
                <c:ptCount val="1"/>
              </c:numCache>
            </c:numRef>
          </c:val>
        </c:ser>
        <c:ser>
          <c:idx val="2"/>
          <c:order val="2"/>
          <c:explosion val="0"/>
          <c:dPt>
            <c:idx val="0"/>
            <c:bubble3D val="0"/>
          </c:dPt>
          <c:dLbls>
            <c:delete val="1"/>
          </c:dLbls>
          <c:cat>
            <c:strRef>
              <c:f>'[图标 - 1.xls]Sheet1'!$A$1</c:f>
              <c:strCache>
                <c:ptCount val="1"/>
                <c:pt idx="0">
                  <c:v>一般公共预算财政拨款收入</c:v>
                </c:pt>
              </c:strCache>
            </c:strRef>
          </c:cat>
          <c:val>
            <c:numRef>
              <c:f>'[图标 - 1.xls]Sheet1'!$B$3</c:f>
              <c:numCache>
                <c:formatCode>General</c:formatCode>
                <c:ptCount val="1"/>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7cfb1e1d-9602-459f-beed-91d4d11aed1c}"/>
      </c:ext>
    </c:extLst>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explosion val="0"/>
          <c:dPt>
            <c:idx val="0"/>
            <c:bubble3D val="0"/>
          </c:dPt>
          <c:dLbls>
            <c:dLbl>
              <c:idx val="0"/>
              <c:layout>
                <c:manualLayout>
                  <c:x val="-0.00557049737211682"/>
                  <c:y val="0.09769772309208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51.92</a:t>
                    </a:r>
                    <a:r>
                      <a:t>万元，</a:t>
                    </a:r>
                    <a:r>
                      <a:rPr lang="en-US" altLang="zh-CN"/>
                      <a:t>100%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'[图标 - 1.xls]Sheet1'!$A$1</c:f>
              <c:strCache>
                <c:ptCount val="1"/>
                <c:pt idx="0">
                  <c:v>基本支出</c:v>
                </c:pt>
              </c:strCache>
            </c:strRef>
          </c:cat>
          <c:val>
            <c:numRef>
              <c:f>'[图标 - 1.xls]Sheet1'!$B$1</c:f>
              <c:numCache>
                <c:formatCode>General</c:formatCode>
                <c:ptCount val="1"/>
                <c:pt idx="0">
                  <c:v>51.92</c:v>
                </c:pt>
              </c:numCache>
            </c:numRef>
          </c:val>
        </c:ser>
        <c:ser>
          <c:idx val="0"/>
          <c:order val="1"/>
          <c:explosion val="0"/>
          <c:dPt>
            <c:idx val="0"/>
            <c:bubble3D val="0"/>
          </c:dPt>
          <c:dLbls>
            <c:delete val="1"/>
          </c:dLbls>
          <c:cat>
            <c:strRef>
              <c:f>'[图标 - 1.xls]Sheet1'!$A$1</c:f>
              <c:strCache>
                <c:ptCount val="1"/>
                <c:pt idx="0">
                  <c:v>基本支出</c:v>
                </c:pt>
              </c:strCache>
            </c:strRef>
          </c:cat>
          <c:val>
            <c:numRef>
              <c:f>'[图标 - 1.xls]Sheet1'!$B$2</c:f>
              <c:numCache>
                <c:formatCode>General</c:formatCode>
                <c:ptCount val="1"/>
              </c:numCache>
            </c:numRef>
          </c:val>
        </c:ser>
        <c:ser>
          <c:idx val="2"/>
          <c:order val="2"/>
          <c:explosion val="0"/>
          <c:dPt>
            <c:idx val="0"/>
            <c:bubble3D val="0"/>
          </c:dPt>
          <c:dLbls>
            <c:delete val="1"/>
          </c:dLbls>
          <c:cat>
            <c:strRef>
              <c:f>'[图标 - 1.xls]Sheet1'!$A$1</c:f>
              <c:strCache>
                <c:ptCount val="1"/>
                <c:pt idx="0">
                  <c:v>基本支出</c:v>
                </c:pt>
              </c:strCache>
            </c:strRef>
          </c:cat>
          <c:val>
            <c:numRef>
              <c:f>'[图标 - 1.xls]Sheet1'!$B$3</c:f>
              <c:numCache>
                <c:formatCode>General</c:formatCode>
                <c:ptCount val="1"/>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8a65ef65-625e-4dba-b88d-c452e6a9d691}"/>
      </c:ext>
    </c:extLst>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F81BD"/>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- 1.xls]Sheet3'!$A$1:$A$2</c:f>
              <c:strCache>
                <c:ptCount val="2"/>
                <c:pt idx="0">
                  <c:v>2025年度财政拨款收、支总计</c:v>
                </c:pt>
                <c:pt idx="1">
                  <c:v>2024年度财政拨款收、支总计</c:v>
                </c:pt>
              </c:strCache>
            </c:strRef>
          </c:cat>
          <c:val>
            <c:numRef>
              <c:f>'[图标 - 1.xls]Sheet3'!$B$1:$B$2</c:f>
              <c:numCache>
                <c:formatCode>General</c:formatCode>
                <c:ptCount val="2"/>
                <c:pt idx="0">
                  <c:v>51.92</c:v>
                </c:pt>
                <c:pt idx="1" c:formatCode="0.00_ ">
                  <c:v>32.95</c:v>
                </c:pt>
              </c:numCache>
            </c:numRef>
          </c:val>
        </c:ser>
        <c:dLbls>
          <c:showLegendKey val="0"/>
          <c:showVal val="0"/>
          <c:showCatName val="0"/>
          <c:showSerName val="0"/>
          <c:showPercent val="0"/>
          <c:showBubbleSize val="0"/>
        </c:dLbls>
        <c:gapWidth val="246"/>
        <c:overlap val="-28"/>
        <c:axId val="521906332"/>
        <c:axId val="244164899"/>
      </c:barChart>
      <c:catAx>
        <c:axId val="521906332"/>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44164899"/>
        <c:crosses val="autoZero"/>
        <c:auto val="1"/>
        <c:lblAlgn val="ctr"/>
        <c:lblOffset val="100"/>
        <c:noMultiLvlLbl val="0"/>
      </c:catAx>
      <c:valAx>
        <c:axId val="244164899"/>
        <c:scaling>
          <c:orientation val="minMax"/>
        </c:scaling>
        <c:delete val="0"/>
        <c:axPos val="l"/>
        <c:majorGridlines>
          <c:spPr>
            <a:ln w="9525" cap="flat" cmpd="sng" algn="ctr">
              <a:solidFill>
                <a:srgbClr val="E6E6E6">
                  <a:lumMod val="90200"/>
                </a:srgb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21906332"/>
        <c:crosses val="autoZero"/>
        <c:crossBetween val="between"/>
      </c:valAx>
      <c:spPr>
        <a:noFill/>
        <a:ln>
          <a:noFill/>
        </a:ln>
        <a:effectLst/>
      </c:spPr>
    </c:plotArea>
    <c:plotVisOnly val="1"/>
    <c:dispBlanksAs val="gap"/>
    <c:showDLblsOverMax val="0"/>
    <c:extLst>
      <c:ext uri="{0b15fc19-7d7d-44ad-8c2d-2c3a37ce22c3}">
        <chartProps xmlns="https://web.wps.cn/et/2018/main" chartId="{aa144830-60af-4faa-9745-8fdbfedd2ab3}"/>
      </c:ext>
    </c:extLst>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4F81BD"/>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lumMod val="75000"/>
                        <a:lumOff val="25000"/>
                      </a:srgb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'[图标 - 1.xls]Sheet3'!$A$1:$A$2</c:f>
              <c:strCache>
                <c:ptCount val="2"/>
                <c:pt idx="0">
                  <c:v>2025年度一般公共预算财政拨款</c:v>
                </c:pt>
                <c:pt idx="1">
                  <c:v>2024年度一般公共预算财政拨款</c:v>
                </c:pt>
              </c:strCache>
            </c:strRef>
          </c:cat>
          <c:val>
            <c:numRef>
              <c:f>'[图标 - 1.xls]Sheet3'!$B$1:$B$2</c:f>
              <c:numCache>
                <c:formatCode>General</c:formatCode>
                <c:ptCount val="2"/>
                <c:pt idx="0">
                  <c:v>51.92</c:v>
                </c:pt>
                <c:pt idx="1" c:formatCode="0.00_ ">
                  <c:v>32.95</c:v>
                </c:pt>
              </c:numCache>
            </c:numRef>
          </c:val>
        </c:ser>
        <c:dLbls>
          <c:showLegendKey val="0"/>
          <c:showVal val="0"/>
          <c:showCatName val="0"/>
          <c:showSerName val="0"/>
          <c:showPercent val="0"/>
          <c:showBubbleSize val="0"/>
        </c:dLbls>
        <c:gapWidth val="246"/>
        <c:overlap val="-28"/>
        <c:axId val="521906332"/>
        <c:axId val="244164899"/>
      </c:barChart>
      <c:catAx>
        <c:axId val="521906332"/>
        <c:scaling>
          <c:orientation val="minMax"/>
        </c:scaling>
        <c:delete val="0"/>
        <c:axPos val="b"/>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244164899"/>
        <c:crosses val="autoZero"/>
        <c:auto val="1"/>
        <c:lblAlgn val="ctr"/>
        <c:lblOffset val="100"/>
        <c:noMultiLvlLbl val="0"/>
      </c:catAx>
      <c:valAx>
        <c:axId val="244164899"/>
        <c:scaling>
          <c:orientation val="minMax"/>
        </c:scaling>
        <c:delete val="0"/>
        <c:axPos val="l"/>
        <c:majorGridlines>
          <c:spPr>
            <a:ln w="9525" cap="flat" cmpd="sng" algn="ctr">
              <a:solidFill>
                <a:srgbClr val="E6E6E6">
                  <a:lumMod val="90200"/>
                </a:srgb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521906332"/>
        <c:crosses val="autoZero"/>
        <c:crossBetween val="between"/>
      </c:valAx>
      <c:spPr>
        <a:noFill/>
        <a:ln>
          <a:noFill/>
        </a:ln>
        <a:effectLst/>
      </c:spPr>
    </c:plotArea>
    <c:plotVisOnly val="1"/>
    <c:dispBlanksAs val="gap"/>
    <c:showDLblsOverMax val="0"/>
    <c:extLst>
      <c:ext uri="{0b15fc19-7d7d-44ad-8c2d-2c3a37ce22c3}">
        <chartProps xmlns="https://web.wps.cn/et/2018/main" chartId="{34799d8b-c80c-4261-b373-3369bbf6579e}"/>
      </c:ext>
    </c:extLst>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explosion val="0"/>
          <c:dPt>
            <c:idx val="0"/>
            <c:bubble3D val="0"/>
          </c:dPt>
          <c:dPt>
            <c:idx val="1"/>
            <c:bubble3D val="0"/>
          </c:dPt>
          <c:dPt>
            <c:idx val="2"/>
            <c:bubble3D val="0"/>
          </c:dPt>
          <c:dLbls>
            <c:dLbl>
              <c:idx val="0"/>
              <c:layout>
                <c:manualLayout>
                  <c:x val="-0.00557049737211682"/>
                  <c:y val="0.097697723092082"/>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12.27</a:t>
                    </a:r>
                    <a:r>
                      <a:t>万元，</a:t>
                    </a:r>
                    <a:r>
                      <a:rPr lang="en-US" altLang="zh-CN"/>
                      <a:t>23.63%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36.57</a:t>
                    </a:r>
                    <a:r>
                      <a:t>万元，</a:t>
                    </a:r>
                    <a:r>
                      <a:rPr lang="en-US" altLang="zh-CN"/>
                      <a:t>70.44%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t>3.</a:t>
                    </a:r>
                    <a:r>
                      <a:rPr lang="en-US" altLang="zh-CN"/>
                      <a:t>08</a:t>
                    </a:r>
                    <a:r>
                      <a:t>万元，</a:t>
                    </a:r>
                    <a:r>
                      <a:rPr lang="en-US" altLang="zh-CN"/>
                      <a:t>5.93%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'[图标 - 1.xls]Sheet1'!$A$1:$A$3</c:f>
              <c:strCache>
                <c:ptCount val="3"/>
                <c:pt idx="0">
                  <c:v>社会保障和就业（类）支出</c:v>
                </c:pt>
                <c:pt idx="1">
                  <c:v>卫生健康支出</c:v>
                </c:pt>
                <c:pt idx="2">
                  <c:v>住房保障支出</c:v>
                </c:pt>
              </c:strCache>
            </c:strRef>
          </c:cat>
          <c:val>
            <c:numRef>
              <c:f>'[图标 - 1.xls]Sheet1'!$B$1:$B$3</c:f>
              <c:numCache>
                <c:formatCode>General</c:formatCode>
                <c:ptCount val="3"/>
                <c:pt idx="0">
                  <c:v>12.27</c:v>
                </c:pt>
                <c:pt idx="1">
                  <c:v>36.57</c:v>
                </c:pt>
                <c:pt idx="2">
                  <c:v>3.08</c:v>
                </c:pt>
              </c:numCache>
            </c:numRef>
          </c:val>
        </c:ser>
        <c:ser>
          <c:idx val="0"/>
          <c:order val="1"/>
          <c:explosion val="0"/>
          <c:dPt>
            <c:idx val="0"/>
            <c:bubble3D val="0"/>
          </c:dPt>
          <c:dLbls>
            <c:delete val="1"/>
          </c:dLbls>
          <c:cat>
            <c:strRef>
              <c:f>'[图标 - 1.xls]Sheet1'!$A$1:$A$3</c:f>
              <c:strCache>
                <c:ptCount val="3"/>
                <c:pt idx="0">
                  <c:v>社会保障和就业（类）支出</c:v>
                </c:pt>
                <c:pt idx="1">
                  <c:v>卫生健康支出</c:v>
                </c:pt>
                <c:pt idx="2">
                  <c:v>住房保障支出</c:v>
                </c:pt>
              </c:strCache>
            </c:strRef>
          </c:cat>
          <c:val>
            <c:numRef>
              <c:f>'[图标 - 1.xls]Sheet1'!$B$2</c:f>
              <c:numCache>
                <c:formatCode>General</c:formatCode>
                <c:ptCount val="1"/>
                <c:pt idx="0">
                  <c:v>36.57</c:v>
                </c:pt>
              </c:numCache>
            </c:numRef>
          </c:val>
        </c:ser>
        <c:ser>
          <c:idx val="2"/>
          <c:order val="2"/>
          <c:explosion val="0"/>
          <c:dPt>
            <c:idx val="0"/>
            <c:bubble3D val="0"/>
          </c:dPt>
          <c:dLbls>
            <c:delete val="1"/>
          </c:dLbls>
          <c:cat>
            <c:strRef>
              <c:f>'[图标 - 1.xls]Sheet1'!$A$1:$A$3</c:f>
              <c:strCache>
                <c:ptCount val="3"/>
                <c:pt idx="0">
                  <c:v>社会保障和就业（类）支出</c:v>
                </c:pt>
                <c:pt idx="1">
                  <c:v>卫生健康支出</c:v>
                </c:pt>
                <c:pt idx="2">
                  <c:v>住房保障支出</c:v>
                </c:pt>
              </c:strCache>
            </c:strRef>
          </c:cat>
          <c:val>
            <c:numRef>
              <c:f>'[图标 - 1.xls]Sheet1'!$B$3</c:f>
              <c:numCache>
                <c:formatCode>General</c:formatCode>
                <c:ptCount val="1"/>
                <c:pt idx="0">
                  <c:v>3.08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legend>
    <c:plotVisOnly val="1"/>
    <c:dispBlanksAs val="gap"/>
    <c:showDLblsOverMax val="0"/>
    <c:extLst>
      <c:ext uri="{0b15fc19-7d7d-44ad-8c2d-2c3a37ce22c3}">
        <chartProps xmlns="https://web.wps.cn/et/2018/main" chartId="{2b6471bf-8ed6-4a8b-be78-f2dc5402e425}"/>
      </c:ext>
    </c:extLst>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3186</Words>
  <Characters>3490</Characters>
  <Lines>0</Lines>
  <Paragraphs>0</Paragraphs>
  <TotalTime>12</TotalTime>
  <ScaleCrop>false</ScaleCrop>
  <LinksUpToDate>false</LinksUpToDate>
  <CharactersWithSpaces>3544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2023-09-06T11:19:00Z</dcterms:created>
  <dc:creator>Administrator</dc:creator>
  <cp:lastModifiedBy>JOKER</cp:lastModifiedBy>
  <cp:lastPrinted>2026-09-02T03:28:03Z</cp:lastPrinted>
  <dcterms:modified xsi:type="dcterms:W3CDTF">2026-09-02T03:41:03Z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BE8F379671FB6E44C1FE8F6A3E67F083_43</vt:lpwstr>
  </property>
  <property fmtid="{D5CDD505-2E9C-101B-9397-08002B2CF9AE}" pid="4" name="KSOTemplateDocerSaveRecord">
    <vt:lpwstr>eyJoZGlkIjoiNTAyNGY2MzVlODMwNGRhNGE2YzE1NDgwMzE4MjczMWUiLCJ1c2VySWQiOiI1MDgzMzgzODQifQ==</vt:lpwstr>
  </property>
</Properties>
</file>