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3937F4">
      <w:pPr>
        <w:spacing w:line="600" w:lineRule="exact"/>
        <w:jc w:val="left"/>
        <w:outlineLvl w:val="9"/>
        <w:rPr>
          <w:rFonts w:ascii="方正小标宋简体" w:hAnsi="宋体" w:eastAsia="方正小标宋简体"/>
          <w:szCs w:val="21"/>
        </w:rPr>
      </w:pPr>
      <w:bookmarkStart w:id="0" w:name="_Toc15306267"/>
    </w:p>
    <w:p w14:paraId="0CFDD13F">
      <w:pPr>
        <w:pStyle w:val="7"/>
        <w:spacing w:before="93"/>
      </w:pPr>
    </w:p>
    <w:p w14:paraId="4DB2F7CC">
      <w:pPr>
        <w:spacing w:line="600" w:lineRule="exact"/>
        <w:jc w:val="center"/>
        <w:outlineLvl w:val="9"/>
        <w:rPr>
          <w:rFonts w:ascii="方正小标宋简体" w:hAnsi="宋体" w:eastAsia="方正小标宋简体"/>
          <w:sz w:val="72"/>
          <w:szCs w:val="72"/>
        </w:rPr>
      </w:pPr>
    </w:p>
    <w:p w14:paraId="3C611346">
      <w:pPr>
        <w:spacing w:line="600" w:lineRule="exact"/>
        <w:jc w:val="center"/>
        <w:outlineLvl w:val="9"/>
        <w:rPr>
          <w:rFonts w:ascii="方正小标宋简体" w:hAnsi="宋体" w:eastAsia="方正小标宋简体"/>
          <w:sz w:val="44"/>
          <w:szCs w:val="44"/>
        </w:rPr>
      </w:pPr>
    </w:p>
    <w:p w14:paraId="4CACE0FB">
      <w:pPr>
        <w:adjustRightInd w:val="0"/>
        <w:snapToGrid w:val="0"/>
        <w:spacing w:line="360" w:lineRule="auto"/>
        <w:jc w:val="center"/>
        <w:outlineLvl w:val="0"/>
        <w:rPr>
          <w:rFonts w:ascii="方正小标宋简体" w:hAnsi="方正小标宋简体" w:eastAsia="方正小标宋简体" w:cs="方正小标宋简体"/>
          <w:sz w:val="44"/>
          <w:szCs w:val="44"/>
        </w:rPr>
      </w:pPr>
      <w:bookmarkStart w:id="1" w:name="_Toc15396597"/>
      <w:bookmarkStart w:id="2" w:name="_Toc15396475"/>
      <w:bookmarkStart w:id="3" w:name="_Toc15377425"/>
      <w:bookmarkStart w:id="4" w:name="_Toc27576"/>
      <w:bookmarkStart w:id="5" w:name="_Toc15377193"/>
      <w:bookmarkStart w:id="6" w:name="_Toc15378441"/>
      <w:r>
        <w:rPr>
          <w:rFonts w:hint="eastAsia" w:ascii="方正小标宋简体" w:hAnsi="方正小标宋简体" w:eastAsia="方正小标宋简体" w:cs="方正小标宋简体"/>
          <w:sz w:val="44"/>
          <w:szCs w:val="44"/>
        </w:rPr>
        <w:t>202</w:t>
      </w:r>
      <w:r>
        <w:rPr>
          <w:rFonts w:hint="eastAsia" w:ascii="方正小标宋简体" w:hAnsi="方正小标宋简体" w:eastAsia="方正小标宋简体" w:cs="方正小标宋简体"/>
          <w:sz w:val="44"/>
          <w:szCs w:val="44"/>
          <w:lang w:val="en-US" w:eastAsia="zh-CN"/>
        </w:rPr>
        <w:t>5</w:t>
      </w:r>
      <w:r>
        <w:rPr>
          <w:rFonts w:hint="eastAsia" w:ascii="方正小标宋简体" w:hAnsi="方正小标宋简体" w:eastAsia="方正小标宋简体" w:cs="方正小标宋简体"/>
          <w:sz w:val="44"/>
          <w:szCs w:val="44"/>
        </w:rPr>
        <w:t>年度</w:t>
      </w:r>
      <w:bookmarkEnd w:id="1"/>
      <w:bookmarkEnd w:id="2"/>
      <w:bookmarkEnd w:id="3"/>
      <w:bookmarkEnd w:id="4"/>
      <w:bookmarkEnd w:id="5"/>
      <w:bookmarkEnd w:id="6"/>
    </w:p>
    <w:p w14:paraId="14A9F072">
      <w:pPr>
        <w:adjustRightInd w:val="0"/>
        <w:snapToGrid w:val="0"/>
        <w:spacing w:line="360" w:lineRule="auto"/>
        <w:jc w:val="center"/>
        <w:outlineLvl w:val="0"/>
        <w:rPr>
          <w:rFonts w:ascii="方正小标宋简体" w:hAnsi="方正小标宋简体" w:eastAsia="方正小标宋简体" w:cs="方正小标宋简体"/>
          <w:sz w:val="44"/>
          <w:szCs w:val="44"/>
        </w:rPr>
      </w:pPr>
      <w:bookmarkStart w:id="7" w:name="_Toc15396598"/>
      <w:bookmarkStart w:id="8" w:name="_Toc15377426"/>
      <w:bookmarkStart w:id="9" w:name="_Toc15378442"/>
      <w:bookmarkStart w:id="10" w:name="_Toc8920"/>
      <w:bookmarkStart w:id="11" w:name="_Toc15396476"/>
      <w:bookmarkStart w:id="12" w:name="_Toc15377194"/>
      <w:r>
        <w:rPr>
          <w:rFonts w:hint="eastAsia" w:ascii="方正小标宋简体" w:hAnsi="方正小标宋简体" w:eastAsia="方正小标宋简体" w:cs="方正小标宋简体"/>
          <w:sz w:val="44"/>
          <w:szCs w:val="44"/>
        </w:rPr>
        <w:t>四川省</w:t>
      </w:r>
      <w:bookmarkEnd w:id="0"/>
      <w:bookmarkStart w:id="13" w:name="_Toc15306268"/>
      <w:r>
        <w:rPr>
          <w:rFonts w:hint="eastAsia" w:ascii="方正小标宋简体" w:hAnsi="方正小标宋简体" w:eastAsia="方正小标宋简体" w:cs="方正小标宋简体"/>
          <w:sz w:val="44"/>
          <w:szCs w:val="44"/>
          <w:lang w:eastAsia="zh-CN"/>
        </w:rPr>
        <w:t>阿坝州茂县叠溪镇卫生院</w:t>
      </w:r>
      <w:r>
        <w:rPr>
          <w:rFonts w:hint="eastAsia" w:ascii="方正小标宋简体" w:hAnsi="方正小标宋简体" w:eastAsia="方正小标宋简体" w:cs="方正小标宋简体"/>
          <w:sz w:val="44"/>
          <w:szCs w:val="44"/>
        </w:rPr>
        <w:t>单位决算</w:t>
      </w:r>
      <w:bookmarkEnd w:id="7"/>
      <w:bookmarkEnd w:id="8"/>
      <w:bookmarkEnd w:id="9"/>
      <w:bookmarkEnd w:id="10"/>
      <w:bookmarkEnd w:id="11"/>
      <w:bookmarkEnd w:id="12"/>
      <w:bookmarkEnd w:id="13"/>
    </w:p>
    <w:p w14:paraId="6CF3DD5D">
      <w:pPr>
        <w:widowControl/>
        <w:jc w:val="center"/>
        <w:rPr>
          <w:rFonts w:ascii="方正小标宋简体" w:hAnsi="宋体" w:eastAsia="方正小标宋简体"/>
          <w:sz w:val="36"/>
          <w:szCs w:val="36"/>
        </w:rPr>
      </w:pPr>
    </w:p>
    <w:p w14:paraId="295A2913">
      <w:pPr>
        <w:widowControl/>
        <w:jc w:val="center"/>
        <w:rPr>
          <w:rFonts w:ascii="方正小标宋简体" w:hAnsi="宋体" w:eastAsia="方正小标宋简体"/>
          <w:sz w:val="36"/>
          <w:szCs w:val="36"/>
        </w:rPr>
      </w:pPr>
    </w:p>
    <w:p w14:paraId="5D006CCD">
      <w:pPr>
        <w:widowControl/>
        <w:jc w:val="center"/>
        <w:rPr>
          <w:rFonts w:ascii="方正小标宋简体" w:hAnsi="宋体" w:eastAsia="方正小标宋简体"/>
          <w:sz w:val="36"/>
          <w:szCs w:val="36"/>
        </w:rPr>
      </w:pPr>
    </w:p>
    <w:p w14:paraId="7C204592">
      <w:pPr>
        <w:widowControl/>
        <w:jc w:val="center"/>
        <w:rPr>
          <w:rFonts w:ascii="方正小标宋简体" w:hAnsi="宋体" w:eastAsia="方正小标宋简体"/>
          <w:sz w:val="36"/>
          <w:szCs w:val="36"/>
        </w:rPr>
      </w:pPr>
    </w:p>
    <w:p w14:paraId="7370C36D">
      <w:pPr>
        <w:widowControl/>
        <w:jc w:val="center"/>
        <w:rPr>
          <w:rFonts w:ascii="方正小标宋简体" w:hAnsi="宋体" w:eastAsia="方正小标宋简体"/>
          <w:sz w:val="36"/>
          <w:szCs w:val="36"/>
        </w:rPr>
      </w:pPr>
    </w:p>
    <w:p w14:paraId="0FDF6040">
      <w:pPr>
        <w:widowControl/>
        <w:jc w:val="center"/>
        <w:rPr>
          <w:rFonts w:ascii="方正小标宋简体" w:hAnsi="宋体" w:eastAsia="方正小标宋简体"/>
          <w:sz w:val="36"/>
          <w:szCs w:val="36"/>
        </w:rPr>
      </w:pPr>
    </w:p>
    <w:p w14:paraId="1265B15C">
      <w:pPr>
        <w:widowControl/>
        <w:jc w:val="both"/>
        <w:rPr>
          <w:rFonts w:ascii="方正小标宋简体" w:hAnsi="宋体" w:eastAsia="方正小标宋简体"/>
          <w:sz w:val="36"/>
          <w:szCs w:val="36"/>
        </w:rPr>
      </w:pPr>
    </w:p>
    <w:p w14:paraId="19AE90C1">
      <w:pPr>
        <w:widowControl/>
        <w:jc w:val="center"/>
        <w:rPr>
          <w:rFonts w:ascii="方正小标宋简体" w:hAnsi="宋体" w:eastAsia="方正小标宋简体"/>
          <w:sz w:val="36"/>
          <w:szCs w:val="36"/>
        </w:rPr>
      </w:pPr>
    </w:p>
    <w:p w14:paraId="480DA96C">
      <w:pPr>
        <w:widowControl/>
        <w:jc w:val="center"/>
        <w:rPr>
          <w:rFonts w:ascii="方正小标宋简体" w:hAnsi="宋体" w:eastAsia="方正小标宋简体"/>
          <w:sz w:val="36"/>
          <w:szCs w:val="36"/>
        </w:rPr>
      </w:pPr>
    </w:p>
    <w:p w14:paraId="0DF5192C">
      <w:pPr>
        <w:widowControl/>
        <w:jc w:val="center"/>
        <w:rPr>
          <w:rFonts w:ascii="方正小标宋简体" w:hAnsi="宋体" w:eastAsia="方正小标宋简体"/>
          <w:sz w:val="36"/>
          <w:szCs w:val="36"/>
        </w:rPr>
      </w:pPr>
    </w:p>
    <w:p w14:paraId="7ED72F77">
      <w:pPr>
        <w:widowControl/>
        <w:jc w:val="center"/>
        <w:rPr>
          <w:rFonts w:ascii="方正小标宋简体" w:hAnsi="宋体" w:eastAsia="方正小标宋简体"/>
          <w:sz w:val="36"/>
          <w:szCs w:val="36"/>
        </w:rPr>
      </w:pPr>
    </w:p>
    <w:p w14:paraId="01EFACE5">
      <w:pPr>
        <w:widowControl/>
        <w:jc w:val="center"/>
        <w:rPr>
          <w:rFonts w:ascii="方正小标宋简体" w:hAnsi="宋体" w:eastAsia="方正小标宋简体"/>
          <w:sz w:val="36"/>
          <w:szCs w:val="36"/>
        </w:rPr>
      </w:pPr>
    </w:p>
    <w:p w14:paraId="6DDA9EE9">
      <w:pPr>
        <w:widowControl/>
        <w:jc w:val="center"/>
        <w:rPr>
          <w:rFonts w:ascii="方正小标宋简体" w:hAnsi="宋体" w:eastAsia="方正小标宋简体"/>
          <w:sz w:val="36"/>
          <w:szCs w:val="36"/>
        </w:rPr>
      </w:pPr>
    </w:p>
    <w:p w14:paraId="0A03151C">
      <w:pPr>
        <w:autoSpaceDE w:val="0"/>
        <w:autoSpaceDN w:val="0"/>
        <w:adjustRightInd w:val="0"/>
        <w:ind w:left="420" w:left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保密审查情况：已审查，内容审定</w:t>
      </w:r>
    </w:p>
    <w:p w14:paraId="55B86E78">
      <w:pPr>
        <w:autoSpaceDE w:val="0"/>
        <w:autoSpaceDN w:val="0"/>
        <w:adjustRightInd w:val="0"/>
        <w:ind w:left="420" w:left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单位</w:t>
      </w:r>
      <w:r>
        <w:rPr>
          <w:rFonts w:hint="eastAsia" w:ascii="仿宋_GB2312" w:hAnsi="仿宋_GB2312" w:eastAsia="仿宋_GB2312" w:cs="仿宋_GB2312"/>
          <w:sz w:val="32"/>
          <w:szCs w:val="32"/>
        </w:rPr>
        <w:t>主要负责人审签情况：已审签，同意对外公开</w:t>
      </w:r>
    </w:p>
    <w:p w14:paraId="701C8661">
      <w:pPr>
        <w:widowControl/>
        <w:jc w:val="center"/>
        <w:rPr>
          <w:rFonts w:ascii="黑体" w:hAnsi="黑体" w:eastAsia="黑体" w:cstheme="minorBidi"/>
          <w:sz w:val="28"/>
          <w:szCs w:val="28"/>
        </w:rPr>
      </w:pPr>
      <w:r>
        <w:rPr>
          <w:rFonts w:ascii="方正小标宋简体" w:hAnsi="宋体" w:eastAsia="方正小标宋简体"/>
          <w:sz w:val="36"/>
          <w:szCs w:val="36"/>
        </w:rPr>
        <w:br w:type="page"/>
      </w:r>
      <w:r>
        <w:rPr>
          <w:rFonts w:hint="eastAsia" w:ascii="黑体" w:hAnsi="黑体" w:eastAsia="黑体"/>
          <w:sz w:val="48"/>
          <w:szCs w:val="48"/>
        </w:rPr>
        <w:t>目录</w:t>
      </w:r>
    </w:p>
    <w:p w14:paraId="4119B51C">
      <w:pPr>
        <w:pStyle w:val="14"/>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公开时间：202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年9月</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日</w:t>
      </w:r>
    </w:p>
    <w:sdt>
      <w:sdtPr>
        <w:rPr>
          <w:rFonts w:hint="eastAsia" w:ascii="仿宋_GB2312" w:hAnsi="仿宋_GB2312" w:eastAsia="仿宋_GB2312" w:cs="仿宋_GB2312"/>
          <w:b w:val="0"/>
          <w:bCs w:val="0"/>
          <w:kern w:val="2"/>
          <w:sz w:val="32"/>
          <w:szCs w:val="32"/>
          <w:lang w:val="en-US" w:eastAsia="zh-CN" w:bidi="ar-SA"/>
        </w:rPr>
        <w:id w:val="147474616"/>
        <w15:color w:val="DBDBDB"/>
        <w:docPartObj>
          <w:docPartGallery w:val="Table of Contents"/>
          <w:docPartUnique/>
        </w:docPartObj>
      </w:sdtPr>
      <w:sdtEndPr>
        <w:rPr>
          <w:rFonts w:hint="eastAsia" w:ascii="宋体" w:hAnsi="宋体" w:eastAsia="宋体" w:cs="Times New Roman"/>
          <w:b w:val="0"/>
          <w:bCs w:val="0"/>
          <w:kern w:val="2"/>
          <w:sz w:val="21"/>
          <w:szCs w:val="24"/>
          <w:lang w:val="en-US" w:eastAsia="zh-CN" w:bidi="ar-SA"/>
        </w:rPr>
      </w:sdtEndPr>
      <w:sdtContent>
        <w:p w14:paraId="4143E4DD">
          <w:pPr>
            <w:spacing w:before="0" w:beforeLines="0" w:after="0" w:afterLines="0" w:line="240" w:lineRule="auto"/>
            <w:ind w:left="0" w:leftChars="0" w:right="0" w:rightChars="0" w:firstLine="0" w:firstLineChars="0"/>
            <w:jc w:val="center"/>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TOC \o "1-2" \h \u </w:instrText>
          </w:r>
          <w:r>
            <w:rPr>
              <w:rFonts w:hint="eastAsia" w:ascii="仿宋_GB2312" w:hAnsi="仿宋_GB2312" w:eastAsia="仿宋_GB2312" w:cs="仿宋_GB2312"/>
              <w:b w:val="0"/>
              <w:bCs w:val="0"/>
              <w:sz w:val="32"/>
              <w:szCs w:val="32"/>
            </w:rPr>
            <w:fldChar w:fldCharType="separate"/>
          </w:r>
        </w:p>
        <w:p w14:paraId="09A3771A">
          <w:pPr>
            <w:pStyle w:val="36"/>
            <w:tabs>
              <w:tab w:val="right" w:leader="dot" w:pos="8306"/>
            </w:tabs>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_Toc5715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第一部分 单位概况</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_Toc5715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1</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14:paraId="0C118841">
          <w:pPr>
            <w:pStyle w:val="37"/>
            <w:tabs>
              <w:tab w:val="right" w:leader="dot" w:pos="8306"/>
            </w:tabs>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_Toc21565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lang w:eastAsia="zh-CN"/>
            </w:rPr>
            <w:t>一、</w:t>
          </w:r>
          <w:r>
            <w:rPr>
              <w:rFonts w:hint="eastAsia" w:ascii="仿宋_GB2312" w:hAnsi="仿宋_GB2312" w:eastAsia="仿宋_GB2312" w:cs="仿宋_GB2312"/>
              <w:b w:val="0"/>
              <w:bCs w:val="0"/>
              <w:sz w:val="32"/>
              <w:szCs w:val="32"/>
            </w:rPr>
            <w:t>主要职责</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_Toc21565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1</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14:paraId="5DD3F77F">
          <w:pPr>
            <w:pStyle w:val="37"/>
            <w:tabs>
              <w:tab w:val="right" w:leader="dot" w:pos="8306"/>
            </w:tabs>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_Toc26780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二、机构设置</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_Toc26780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1</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14:paraId="124B3FEB">
          <w:pPr>
            <w:pStyle w:val="36"/>
            <w:tabs>
              <w:tab w:val="right" w:leader="dot" w:pos="8306"/>
            </w:tabs>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_Toc15260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第二部分 202</w:t>
          </w:r>
          <w:r>
            <w:rPr>
              <w:rFonts w:hint="eastAsia" w:ascii="仿宋_GB2312" w:hAnsi="仿宋_GB2312" w:eastAsia="仿宋_GB2312" w:cs="仿宋_GB2312"/>
              <w:b w:val="0"/>
              <w:bCs w:val="0"/>
              <w:sz w:val="32"/>
              <w:szCs w:val="32"/>
              <w:lang w:val="en-US" w:eastAsia="zh-CN"/>
            </w:rPr>
            <w:t>5</w:t>
          </w:r>
          <w:r>
            <w:rPr>
              <w:rFonts w:hint="eastAsia" w:ascii="仿宋_GB2312" w:hAnsi="仿宋_GB2312" w:eastAsia="仿宋_GB2312" w:cs="仿宋_GB2312"/>
              <w:b w:val="0"/>
              <w:bCs w:val="0"/>
              <w:sz w:val="32"/>
              <w:szCs w:val="32"/>
            </w:rPr>
            <w:t>年度单位决算情况说明</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_Toc15260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2</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14:paraId="419881B3">
          <w:pPr>
            <w:pStyle w:val="37"/>
            <w:tabs>
              <w:tab w:val="right" w:leader="dot" w:pos="8306"/>
            </w:tabs>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_Toc25333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一、收入支出决算总体情况说明</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_Toc25333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2</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14:paraId="5A326979">
          <w:pPr>
            <w:pStyle w:val="37"/>
            <w:tabs>
              <w:tab w:val="right" w:leader="dot" w:pos="8306"/>
            </w:tabs>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_Toc22985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二、收入决算情况说明</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_Toc22985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2</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14:paraId="19550C76">
          <w:pPr>
            <w:pStyle w:val="37"/>
            <w:tabs>
              <w:tab w:val="right" w:leader="dot" w:pos="8306"/>
            </w:tabs>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_Toc4703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三、支出决算情况说明</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_Toc4703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3</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14:paraId="31504F8A">
          <w:pPr>
            <w:pStyle w:val="37"/>
            <w:tabs>
              <w:tab w:val="right" w:leader="dot" w:pos="8306"/>
            </w:tabs>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_Toc17162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四、财政拨款收入支出决算总体情况说明</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_Toc17162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3</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14:paraId="41EDDC75">
          <w:pPr>
            <w:pStyle w:val="37"/>
            <w:tabs>
              <w:tab w:val="right" w:leader="dot" w:pos="8306"/>
            </w:tabs>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_Toc19298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五、一般公共预算财政拨款支出决算情况说明</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_Toc19298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3</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14:paraId="6760169E">
          <w:pPr>
            <w:pStyle w:val="37"/>
            <w:tabs>
              <w:tab w:val="right" w:leader="dot" w:pos="8306"/>
            </w:tabs>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_Toc20616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六、一般公共预算财政拨款基本支出决算情况说明</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_Toc20616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6</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14:paraId="657E8867">
          <w:pPr>
            <w:pStyle w:val="37"/>
            <w:tabs>
              <w:tab w:val="right" w:leader="dot" w:pos="8306"/>
            </w:tabs>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_Toc11498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七、财政拨款“三公”经费支出决算情况说明</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_Toc11498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6</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14:paraId="4BCF5763">
          <w:pPr>
            <w:pStyle w:val="37"/>
            <w:tabs>
              <w:tab w:val="right" w:leader="dot" w:pos="8306"/>
            </w:tabs>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_Toc8820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八、政府性基金预算支出决算情况说明</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_Toc8820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8</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14:paraId="675CA5EA">
          <w:pPr>
            <w:pStyle w:val="37"/>
            <w:tabs>
              <w:tab w:val="right" w:leader="dot" w:pos="8306"/>
            </w:tabs>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_Toc13626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九、国有资本经营预算支出决算情况说明</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_Toc13626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8</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14:paraId="1DD5C7BF">
          <w:pPr>
            <w:pStyle w:val="37"/>
            <w:tabs>
              <w:tab w:val="right" w:leader="dot" w:pos="8306"/>
            </w:tabs>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_Toc10342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十、其他重要事项的情况说明</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_Toc10342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8</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14:paraId="53731D2A">
          <w:pPr>
            <w:pStyle w:val="36"/>
            <w:tabs>
              <w:tab w:val="right" w:leader="dot" w:pos="8306"/>
            </w:tabs>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_Toc31574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第三部分 名词解释</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_Toc31574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10</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14:paraId="6704DDDA">
          <w:pPr>
            <w:pStyle w:val="36"/>
            <w:tabs>
              <w:tab w:val="right" w:leader="dot" w:pos="8306"/>
            </w:tabs>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_Toc10900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第四部分 附件</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_Toc10900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13</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14:paraId="2160AF84">
          <w:pPr>
            <w:pStyle w:val="36"/>
            <w:tabs>
              <w:tab w:val="right" w:leader="dot" w:pos="8306"/>
            </w:tabs>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_Toc28210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第五部分 附表</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_Toc28210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16</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14:paraId="0C59D3A6">
          <w:pPr>
            <w:pStyle w:val="37"/>
            <w:tabs>
              <w:tab w:val="right" w:leader="dot" w:pos="8306"/>
            </w:tabs>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_Toc3724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一、收入支出决算总表</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lang w:val="en-US" w:eastAsia="zh-CN"/>
            </w:rPr>
            <w:t>6</w:t>
          </w:r>
        </w:p>
        <w:p w14:paraId="4C601CE1">
          <w:pPr>
            <w:pStyle w:val="37"/>
            <w:tabs>
              <w:tab w:val="right" w:leader="dot" w:pos="8306"/>
            </w:tabs>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_Toc8236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二、收入决算表</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lang w:val="en-US" w:eastAsia="zh-CN"/>
            </w:rPr>
            <w:t>6</w:t>
          </w:r>
        </w:p>
        <w:p w14:paraId="63E1E938">
          <w:pPr>
            <w:pStyle w:val="37"/>
            <w:tabs>
              <w:tab w:val="right" w:leader="dot" w:pos="8306"/>
            </w:tabs>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_Toc820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三、支出决算表</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lang w:val="en-US" w:eastAsia="zh-CN"/>
            </w:rPr>
            <w:t>6</w:t>
          </w:r>
        </w:p>
        <w:p w14:paraId="6E0C93D7">
          <w:pPr>
            <w:pStyle w:val="37"/>
            <w:tabs>
              <w:tab w:val="right" w:leader="dot" w:pos="8306"/>
            </w:tabs>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_Toc23576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四、财政拨款收入支出决算总表</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lang w:val="en-US" w:eastAsia="zh-CN"/>
            </w:rPr>
            <w:t>6</w:t>
          </w:r>
        </w:p>
        <w:p w14:paraId="00EE6B63">
          <w:pPr>
            <w:pStyle w:val="37"/>
            <w:tabs>
              <w:tab w:val="right" w:leader="dot" w:pos="8306"/>
            </w:tabs>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_Toc11880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五、财政拨款支出决算明细表</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lang w:val="en-US" w:eastAsia="zh-CN"/>
            </w:rPr>
            <w:t>6</w:t>
          </w:r>
        </w:p>
        <w:p w14:paraId="133019AA">
          <w:pPr>
            <w:pStyle w:val="37"/>
            <w:tabs>
              <w:tab w:val="right" w:leader="dot" w:pos="8306"/>
            </w:tabs>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_Toc14260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六、一般公共预算财政拨款支出决算表</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lang w:val="en-US" w:eastAsia="zh-CN"/>
            </w:rPr>
            <w:t>6</w:t>
          </w:r>
        </w:p>
        <w:p w14:paraId="10F7011C">
          <w:pPr>
            <w:pStyle w:val="37"/>
            <w:tabs>
              <w:tab w:val="right" w:leader="dot" w:pos="8306"/>
            </w:tabs>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_Toc5515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七、一般公共预算财政拨款支出决算明细表</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lang w:val="en-US" w:eastAsia="zh-CN"/>
            </w:rPr>
            <w:t>6</w:t>
          </w:r>
        </w:p>
        <w:p w14:paraId="50C43985">
          <w:pPr>
            <w:pStyle w:val="37"/>
            <w:tabs>
              <w:tab w:val="right" w:leader="dot" w:pos="8306"/>
            </w:tabs>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_Toc24449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八、一般公共预算财政拨款基本支出决算表</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lang w:val="en-US" w:eastAsia="zh-CN"/>
            </w:rPr>
            <w:t>6</w:t>
          </w:r>
        </w:p>
        <w:p w14:paraId="21F7ED8B">
          <w:pPr>
            <w:pStyle w:val="37"/>
            <w:tabs>
              <w:tab w:val="right" w:leader="dot" w:pos="8306"/>
            </w:tabs>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_Toc9502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九、一般公共预算财政拨款项目支出决算表</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lang w:val="en-US" w:eastAsia="zh-CN"/>
            </w:rPr>
            <w:t>6</w:t>
          </w:r>
        </w:p>
        <w:p w14:paraId="77C9834F">
          <w:pPr>
            <w:pStyle w:val="37"/>
            <w:tabs>
              <w:tab w:val="right" w:leader="dot" w:pos="8306"/>
            </w:tabs>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_Toc16377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十、政府性基金预算财政拨款收入支出决算表</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lang w:val="en-US" w:eastAsia="zh-CN"/>
            </w:rPr>
            <w:t>6</w:t>
          </w:r>
        </w:p>
        <w:p w14:paraId="6D749779">
          <w:pPr>
            <w:pStyle w:val="37"/>
            <w:tabs>
              <w:tab w:val="right" w:leader="dot" w:pos="8306"/>
            </w:tabs>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_Toc27078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十一、国有资本经营预算财政拨款收入支出决算表</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lang w:val="en-US" w:eastAsia="zh-CN"/>
            </w:rPr>
            <w:t>6</w:t>
          </w:r>
        </w:p>
        <w:p w14:paraId="0BBC8577">
          <w:pPr>
            <w:pStyle w:val="37"/>
            <w:tabs>
              <w:tab w:val="right" w:leader="dot" w:pos="8306"/>
            </w:tabs>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_Toc1267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十二、国有资本经营预算财政拨款支出决算表</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lang w:val="en-US" w:eastAsia="zh-CN"/>
            </w:rPr>
            <w:t>6</w:t>
          </w:r>
        </w:p>
        <w:p w14:paraId="40CEF90E">
          <w:pPr>
            <w:pStyle w:val="37"/>
            <w:tabs>
              <w:tab w:val="right" w:leader="dot" w:pos="8306"/>
            </w:tabs>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_Toc4766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十三、财政拨款“三公”经费支出决算表</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lang w:val="en-US" w:eastAsia="zh-CN"/>
            </w:rPr>
            <w:t>6</w:t>
          </w:r>
        </w:p>
        <w:p w14:paraId="4D579E85">
          <w:pPr>
            <w:pStyle w:val="37"/>
            <w:tabs>
              <w:tab w:val="right" w:leader="dot" w:pos="8306"/>
            </w:tabs>
            <w:rPr>
              <w:rFonts w:hint="eastAsia" w:ascii="仿宋_GB2312" w:hAnsi="仿宋_GB2312" w:eastAsia="仿宋_GB2312" w:cs="仿宋_GB2312"/>
              <w:b w:val="0"/>
              <w:bCs w:val="0"/>
              <w:sz w:val="32"/>
              <w:szCs w:val="32"/>
            </w:rPr>
          </w:pPr>
        </w:p>
        <w:p w14:paraId="41B66748">
          <w:pPr>
            <w:rPr>
              <w:b w:val="0"/>
              <w:bCs w:val="0"/>
            </w:rPr>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pPr>
          <w:r>
            <w:rPr>
              <w:rFonts w:hint="eastAsia" w:ascii="仿宋_GB2312" w:hAnsi="仿宋_GB2312" w:eastAsia="仿宋_GB2312" w:cs="仿宋_GB2312"/>
              <w:b w:val="0"/>
              <w:bCs w:val="0"/>
              <w:sz w:val="32"/>
              <w:szCs w:val="32"/>
            </w:rPr>
            <w:fldChar w:fldCharType="end"/>
          </w:r>
        </w:p>
      </w:sdtContent>
    </w:sdt>
    <w:p w14:paraId="693C8588">
      <w:pPr>
        <w:pStyle w:val="3"/>
        <w:pageBreakBefore w:val="0"/>
        <w:kinsoku/>
        <w:wordWrap/>
        <w:overflowPunct/>
        <w:topLinePunct w:val="0"/>
        <w:bidi w:val="0"/>
        <w:spacing w:before="0" w:line="576" w:lineRule="exact"/>
        <w:jc w:val="center"/>
        <w:textAlignment w:val="auto"/>
        <w:rPr>
          <w:rFonts w:hint="eastAsia" w:ascii="Times New Roman" w:hAnsi="Times New Roman" w:eastAsia="方正小标宋简体" w:cs="Times New Roman"/>
          <w:b w:val="0"/>
          <w:color w:val="auto"/>
          <w:highlight w:val="none"/>
        </w:rPr>
      </w:pPr>
      <w:bookmarkStart w:id="14" w:name="_Toc15396599"/>
      <w:bookmarkStart w:id="15" w:name="_Toc15377196"/>
      <w:bookmarkStart w:id="16" w:name="_Toc5715"/>
      <w:r>
        <w:rPr>
          <w:rFonts w:hint="eastAsia" w:ascii="Times New Roman" w:hAnsi="Times New Roman" w:eastAsia="方正小标宋简体" w:cs="Times New Roman"/>
          <w:b w:val="0"/>
          <w:color w:val="auto"/>
          <w:highlight w:val="none"/>
        </w:rPr>
        <w:t>第一部分 单位概况</w:t>
      </w:r>
      <w:bookmarkEnd w:id="14"/>
      <w:bookmarkEnd w:id="15"/>
      <w:bookmarkEnd w:id="16"/>
    </w:p>
    <w:p w14:paraId="35B99179">
      <w:pPr>
        <w:spacing w:line="600" w:lineRule="exact"/>
        <w:ind w:firstLine="640" w:firstLineChars="200"/>
        <w:outlineLvl w:val="1"/>
        <w:rPr>
          <w:rFonts w:hint="eastAsia" w:ascii="Times New Roman" w:hAnsi="Times New Roman" w:eastAsia="黑体" w:cs="Times New Roman"/>
          <w:b w:val="0"/>
          <w:bCs/>
          <w:color w:val="auto"/>
          <w:kern w:val="2"/>
          <w:sz w:val="32"/>
          <w:szCs w:val="32"/>
          <w:highlight w:val="none"/>
          <w:lang w:val="en-US" w:eastAsia="zh-CN" w:bidi="ar-SA"/>
        </w:rPr>
      </w:pPr>
      <w:bookmarkStart w:id="17" w:name="_Toc21565"/>
      <w:bookmarkStart w:id="18" w:name="_Toc15377197"/>
      <w:bookmarkStart w:id="19" w:name="_Toc15396600"/>
      <w:r>
        <w:rPr>
          <w:rFonts w:hint="eastAsia" w:ascii="Times New Roman" w:hAnsi="Times New Roman" w:eastAsia="黑体" w:cs="Times New Roman"/>
          <w:b w:val="0"/>
          <w:bCs/>
          <w:color w:val="auto"/>
          <w:kern w:val="2"/>
          <w:sz w:val="32"/>
          <w:szCs w:val="32"/>
          <w:highlight w:val="none"/>
          <w:lang w:val="en-US" w:eastAsia="zh-CN" w:bidi="ar-SA"/>
        </w:rPr>
        <w:t>一、主要职责</w:t>
      </w:r>
      <w:bookmarkEnd w:id="17"/>
    </w:p>
    <w:p w14:paraId="17E1C726">
      <w:pPr>
        <w:pageBreakBefore w:val="0"/>
        <w:widowControl w:val="0"/>
        <w:suppressAutoHyphens/>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val="en-US" w:eastAsia="zh-CN"/>
        </w:rPr>
      </w:pPr>
      <w:bookmarkStart w:id="20" w:name="_Toc26780"/>
      <w:r>
        <w:rPr>
          <w:rFonts w:hint="eastAsia" w:ascii="仿宋_GB2312" w:hAnsi="仿宋_GB2312" w:eastAsia="仿宋_GB2312" w:cs="仿宋_GB2312"/>
          <w:color w:val="000000"/>
          <w:sz w:val="32"/>
          <w:szCs w:val="32"/>
          <w:lang w:val="en-US" w:eastAsia="zh-CN"/>
        </w:rPr>
        <w:t>1.贯彻落实国家药物政策和国家基本药物制度。</w:t>
      </w:r>
    </w:p>
    <w:p w14:paraId="1C6C21D7">
      <w:pPr>
        <w:pageBreakBefore w:val="0"/>
        <w:widowControl w:val="0"/>
        <w:suppressAutoHyphens/>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2.负责职责范围内的职业卫生、放射卫生、环境卫生、学校卫生、公共场所卫生、饮用水卫生等公共卫生的监督管理，做好基本公共卫生服务工作。</w:t>
      </w:r>
    </w:p>
    <w:p w14:paraId="306A1CA8">
      <w:pPr>
        <w:pageBreakBefore w:val="0"/>
        <w:widowControl w:val="0"/>
        <w:suppressAutoHyphens/>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3.负责辖区内计划生育管理和服务工作。</w:t>
      </w:r>
    </w:p>
    <w:p w14:paraId="32CFA83F">
      <w:pPr>
        <w:pageBreakBefore w:val="0"/>
        <w:widowControl w:val="0"/>
        <w:suppressAutoHyphens/>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4.负责辖区内卫生健康工作。</w:t>
      </w:r>
    </w:p>
    <w:p w14:paraId="11FE7900">
      <w:pPr>
        <w:pageBreakBefore w:val="0"/>
        <w:widowControl w:val="0"/>
        <w:suppressAutoHyphens/>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5.依法依规履行卫生健康行业安全生产监管职责。</w:t>
      </w:r>
    </w:p>
    <w:p w14:paraId="06AB90E8">
      <w:pPr>
        <w:pageBreakBefore w:val="0"/>
        <w:widowControl w:val="0"/>
        <w:suppressAutoHyphens/>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6.完成茂县卫健局交办的其他任务。</w:t>
      </w:r>
    </w:p>
    <w:p w14:paraId="17067675">
      <w:pPr>
        <w:spacing w:line="600" w:lineRule="exact"/>
        <w:ind w:firstLine="640" w:firstLineChars="200"/>
        <w:outlineLvl w:val="1"/>
        <w:rPr>
          <w:rFonts w:hint="eastAsia" w:ascii="Times New Roman" w:hAnsi="Times New Roman" w:eastAsia="黑体" w:cs="Times New Roman"/>
          <w:b w:val="0"/>
          <w:bCs/>
          <w:color w:val="auto"/>
          <w:kern w:val="2"/>
          <w:sz w:val="32"/>
          <w:szCs w:val="32"/>
          <w:highlight w:val="none"/>
          <w:lang w:val="en-US" w:eastAsia="zh-CN" w:bidi="ar-SA"/>
        </w:rPr>
      </w:pPr>
      <w:r>
        <w:rPr>
          <w:rFonts w:hint="eastAsia" w:ascii="Times New Roman" w:hAnsi="Times New Roman" w:eastAsia="黑体" w:cs="Times New Roman"/>
          <w:b w:val="0"/>
          <w:bCs/>
          <w:color w:val="auto"/>
          <w:kern w:val="2"/>
          <w:sz w:val="32"/>
          <w:szCs w:val="32"/>
          <w:highlight w:val="none"/>
          <w:lang w:val="en-US" w:eastAsia="zh-CN" w:bidi="ar-SA"/>
        </w:rPr>
        <w:t>二、机构设置</w:t>
      </w:r>
      <w:bookmarkEnd w:id="20"/>
    </w:p>
    <w:p w14:paraId="73C97051">
      <w:pPr>
        <w:pageBreakBefore w:val="0"/>
        <w:widowControl w:val="0"/>
        <w:suppressAutoHyphens/>
        <w:kinsoku/>
        <w:wordWrap/>
        <w:overflowPunct/>
        <w:topLinePunct w:val="0"/>
        <w:autoSpaceDE/>
        <w:autoSpaceDN/>
        <w:bidi w:val="0"/>
        <w:adjustRightInd/>
        <w:snapToGrid/>
        <w:spacing w:line="576" w:lineRule="exact"/>
        <w:ind w:firstLine="640" w:firstLineChars="200"/>
        <w:textAlignment w:val="auto"/>
        <w:rPr>
          <w:rFonts w:hint="eastAsia" w:ascii="仿宋" w:eastAsia="仿宋_GB2312"/>
          <w:b w:val="0"/>
          <w:i w:val="0"/>
          <w:color w:val="000000"/>
          <w:sz w:val="32"/>
          <w:szCs w:val="32"/>
          <w:lang w:val="en-US" w:eastAsia="zh-CN"/>
        </w:rPr>
      </w:pPr>
      <w:r>
        <w:rPr>
          <w:rFonts w:hint="eastAsia" w:ascii="仿宋_GB2312" w:hAnsi="仿宋_GB2312" w:eastAsia="仿宋_GB2312" w:cs="仿宋_GB2312"/>
          <w:color w:val="000000"/>
          <w:sz w:val="32"/>
          <w:szCs w:val="32"/>
          <w:lang w:val="en-US" w:eastAsia="zh-CN"/>
        </w:rPr>
        <w:t>茂县叠溪镇卫生院为县卫健局的二级预算单位，编制人数38人，实有人数29人。</w:t>
      </w:r>
    </w:p>
    <w:bookmarkEnd w:id="18"/>
    <w:bookmarkEnd w:id="19"/>
    <w:p w14:paraId="2C8C544D">
      <w:pPr>
        <w:spacing w:line="600" w:lineRule="exact"/>
        <w:ind w:firstLine="640" w:firstLineChars="200"/>
        <w:rPr>
          <w:rFonts w:ascii="仿宋" w:hAnsi="仿宋" w:eastAsia="仿宋_GB2312"/>
          <w:b w:val="0"/>
          <w:i w:val="0"/>
          <w:kern w:val="0"/>
          <w:sz w:val="32"/>
          <w:szCs w:val="32"/>
        </w:rPr>
      </w:pPr>
      <w:r>
        <w:rPr>
          <w:rFonts w:ascii="仿宋" w:hAnsi="仿宋" w:eastAsia="仿宋_GB2312"/>
          <w:b w:val="0"/>
          <w:i w:val="0"/>
          <w:sz w:val="32"/>
          <w:szCs w:val="32"/>
        </w:rPr>
        <w:br w:type="page"/>
      </w:r>
    </w:p>
    <w:p w14:paraId="7FF9928F">
      <w:pPr>
        <w:pStyle w:val="3"/>
        <w:keepNext/>
        <w:keepLines/>
        <w:pageBreakBefore w:val="0"/>
        <w:widowControl w:val="0"/>
        <w:kinsoku/>
        <w:wordWrap/>
        <w:overflowPunct/>
        <w:topLinePunct w:val="0"/>
        <w:autoSpaceDE/>
        <w:autoSpaceDN/>
        <w:bidi w:val="0"/>
        <w:adjustRightInd/>
        <w:snapToGrid/>
        <w:spacing w:before="0" w:after="0" w:line="240" w:lineRule="atLeast"/>
        <w:ind w:right="442"/>
        <w:jc w:val="center"/>
        <w:textAlignment w:val="auto"/>
        <w:rPr>
          <w:rFonts w:hint="eastAsia" w:ascii="Times New Roman" w:hAnsi="Times New Roman" w:eastAsia="方正小标宋简体" w:cs="Times New Roman"/>
          <w:b w:val="0"/>
          <w:color w:val="auto"/>
          <w:highlight w:val="none"/>
          <w:lang w:val="en-US" w:eastAsia="zh-CN"/>
        </w:rPr>
      </w:pPr>
      <w:bookmarkStart w:id="21" w:name="_Toc15260"/>
      <w:bookmarkStart w:id="22" w:name="_Toc15377204"/>
      <w:bookmarkStart w:id="23" w:name="_Toc15396602"/>
      <w:r>
        <w:rPr>
          <w:rFonts w:hint="eastAsia" w:ascii="Times New Roman" w:hAnsi="Times New Roman" w:eastAsia="方正小标宋简体" w:cs="Times New Roman"/>
          <w:b w:val="0"/>
          <w:color w:val="auto"/>
          <w:highlight w:val="none"/>
          <w:lang w:val="en-US" w:eastAsia="zh-CN"/>
        </w:rPr>
        <w:t>第二部分 2025年度单位决算情况说明</w:t>
      </w:r>
      <w:bookmarkEnd w:id="21"/>
      <w:bookmarkEnd w:id="22"/>
      <w:bookmarkEnd w:id="23"/>
    </w:p>
    <w:p w14:paraId="10DF4B6F">
      <w:pPr>
        <w:pStyle w:val="29"/>
        <w:numPr>
          <w:ilvl w:val="0"/>
          <w:numId w:val="1"/>
        </w:numPr>
        <w:spacing w:line="600" w:lineRule="exact"/>
        <w:ind w:firstLineChars="0"/>
        <w:outlineLvl w:val="1"/>
        <w:rPr>
          <w:rStyle w:val="31"/>
          <w:rFonts w:ascii="黑体" w:hAnsi="黑体" w:eastAsia="黑体"/>
          <w:b w:val="0"/>
        </w:rPr>
      </w:pPr>
      <w:bookmarkStart w:id="24" w:name="_Toc15377205"/>
      <w:bookmarkStart w:id="25" w:name="_Toc25333"/>
      <w:bookmarkStart w:id="26" w:name="_Toc15396603"/>
      <w:r>
        <w:rPr>
          <w:rFonts w:hint="eastAsia" w:ascii="黑体" w:hAnsi="黑体" w:eastAsia="黑体"/>
          <w:sz w:val="32"/>
          <w:szCs w:val="32"/>
        </w:rPr>
        <w:t>收</w:t>
      </w:r>
      <w:r>
        <w:rPr>
          <w:rStyle w:val="31"/>
          <w:rFonts w:hint="eastAsia" w:ascii="黑体" w:hAnsi="黑体" w:eastAsia="黑体"/>
          <w:b w:val="0"/>
        </w:rPr>
        <w:t>入支出决算总体情况说明</w:t>
      </w:r>
      <w:bookmarkEnd w:id="24"/>
      <w:bookmarkEnd w:id="25"/>
      <w:bookmarkEnd w:id="26"/>
    </w:p>
    <w:p w14:paraId="74CA9A38">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b w:val="0"/>
          <w:i w:val="0"/>
          <w:sz w:val="32"/>
          <w:szCs w:val="32"/>
          <w:lang w:eastAsia="zh-CN"/>
        </w:rPr>
        <w:t>202</w:t>
      </w:r>
      <w:r>
        <w:rPr>
          <w:rFonts w:hint="eastAsia" w:ascii="仿宋_GB2312" w:hAnsi="仿宋_GB2312" w:eastAsia="仿宋_GB2312" w:cs="仿宋_GB2312"/>
          <w:b w:val="0"/>
          <w:i w:val="0"/>
          <w:sz w:val="32"/>
          <w:szCs w:val="32"/>
          <w:lang w:val="en-US" w:eastAsia="zh-CN"/>
        </w:rPr>
        <w:t>5</w:t>
      </w:r>
      <w:r>
        <w:rPr>
          <w:rFonts w:hint="eastAsia" w:ascii="仿宋_GB2312" w:hAnsi="仿宋_GB2312" w:eastAsia="仿宋_GB2312" w:cs="仿宋_GB2312"/>
          <w:b w:val="0"/>
          <w:i w:val="0"/>
          <w:sz w:val="32"/>
          <w:szCs w:val="32"/>
          <w:lang w:eastAsia="zh-CN"/>
        </w:rPr>
        <w:t>年</w:t>
      </w:r>
      <w:r>
        <w:rPr>
          <w:rFonts w:hint="eastAsia" w:ascii="仿宋_GB2312" w:hAnsi="仿宋_GB2312" w:eastAsia="仿宋_GB2312" w:cs="仿宋_GB2312"/>
          <w:b w:val="0"/>
          <w:i w:val="0"/>
          <w:sz w:val="32"/>
          <w:szCs w:val="32"/>
        </w:rPr>
        <w:t>度收、支总计均为</w:t>
      </w:r>
      <w:r>
        <w:rPr>
          <w:rFonts w:hint="eastAsia" w:ascii="仿宋_GB2312" w:hAnsi="仿宋_GB2312" w:eastAsia="仿宋_GB2312" w:cs="仿宋_GB2312"/>
          <w:b w:val="0"/>
          <w:i w:val="0"/>
          <w:sz w:val="32"/>
          <w:szCs w:val="32"/>
          <w:lang w:eastAsia="zh-CN"/>
        </w:rPr>
        <w:t>656.03</w:t>
      </w:r>
      <w:r>
        <w:rPr>
          <w:rFonts w:hint="eastAsia" w:ascii="仿宋_GB2312" w:hAnsi="仿宋_GB2312" w:eastAsia="仿宋_GB2312" w:cs="仿宋_GB2312"/>
          <w:b w:val="0"/>
          <w:i w:val="0"/>
          <w:sz w:val="32"/>
          <w:szCs w:val="32"/>
        </w:rPr>
        <w:t>万元。与</w:t>
      </w:r>
      <w:r>
        <w:rPr>
          <w:rFonts w:hint="eastAsia" w:ascii="仿宋_GB2312" w:hAnsi="仿宋_GB2312" w:eastAsia="仿宋_GB2312" w:cs="仿宋_GB2312"/>
          <w:b w:val="0"/>
          <w:i w:val="0"/>
          <w:sz w:val="32"/>
          <w:szCs w:val="32"/>
          <w:lang w:eastAsia="zh-CN"/>
        </w:rPr>
        <w:t>2024</w:t>
      </w:r>
      <w:r>
        <w:rPr>
          <w:rFonts w:hint="eastAsia" w:ascii="仿宋_GB2312" w:hAnsi="仿宋_GB2312" w:eastAsia="仿宋_GB2312" w:cs="仿宋_GB2312"/>
          <w:b w:val="0"/>
          <w:i w:val="0"/>
          <w:sz w:val="32"/>
          <w:szCs w:val="32"/>
        </w:rPr>
        <w:t>年度相比，收、支总计各增加</w:t>
      </w:r>
      <w:r>
        <w:rPr>
          <w:rFonts w:hint="eastAsia" w:ascii="仿宋_GB2312" w:hAnsi="仿宋_GB2312" w:eastAsia="仿宋_GB2312" w:cs="仿宋_GB2312"/>
          <w:b w:val="0"/>
          <w:i w:val="0"/>
          <w:sz w:val="32"/>
          <w:szCs w:val="32"/>
          <w:lang w:val="en-US" w:eastAsia="zh-CN"/>
        </w:rPr>
        <w:t>4.89</w:t>
      </w:r>
      <w:r>
        <w:rPr>
          <w:rFonts w:hint="eastAsia" w:ascii="仿宋_GB2312" w:hAnsi="仿宋_GB2312" w:eastAsia="仿宋_GB2312" w:cs="仿宋_GB2312"/>
          <w:b w:val="0"/>
          <w:i w:val="0"/>
          <w:sz w:val="32"/>
          <w:szCs w:val="32"/>
        </w:rPr>
        <w:t>万元，增长</w:t>
      </w:r>
      <w:r>
        <w:rPr>
          <w:rFonts w:hint="eastAsia" w:ascii="仿宋_GB2312" w:hAnsi="仿宋_GB2312" w:eastAsia="仿宋_GB2312" w:cs="仿宋_GB2312"/>
          <w:b w:val="0"/>
          <w:i w:val="0"/>
          <w:sz w:val="32"/>
          <w:szCs w:val="32"/>
          <w:lang w:val="en-US" w:eastAsia="zh-CN"/>
        </w:rPr>
        <w:t>0.8</w:t>
      </w:r>
      <w:r>
        <w:rPr>
          <w:rFonts w:hint="eastAsia" w:ascii="仿宋_GB2312" w:hAnsi="仿宋_GB2312" w:eastAsia="仿宋_GB2312" w:cs="仿宋_GB2312"/>
          <w:b w:val="0"/>
          <w:i w:val="0"/>
          <w:sz w:val="32"/>
          <w:szCs w:val="32"/>
        </w:rPr>
        <w:t>%。主要变动原因是</w:t>
      </w:r>
      <w:r>
        <w:rPr>
          <w:rFonts w:hint="eastAsia" w:ascii="仿宋_GB2312" w:hAnsi="仿宋_GB2312" w:eastAsia="仿宋_GB2312" w:cs="仿宋_GB2312"/>
          <w:b w:val="0"/>
          <w:i w:val="0"/>
          <w:sz w:val="32"/>
          <w:szCs w:val="32"/>
          <w:lang w:eastAsia="zh-CN"/>
        </w:rPr>
        <w:t>：</w:t>
      </w:r>
      <w:r>
        <w:rPr>
          <w:rFonts w:hint="eastAsia" w:ascii="仿宋_GB2312" w:hAnsi="仿宋_GB2312" w:eastAsia="仿宋_GB2312" w:cs="仿宋_GB2312"/>
          <w:b w:val="0"/>
          <w:i w:val="0"/>
          <w:sz w:val="32"/>
          <w:szCs w:val="32"/>
          <w:lang w:val="en-US" w:eastAsia="zh-CN"/>
        </w:rPr>
        <w:t>2025年</w:t>
      </w:r>
      <w:r>
        <w:rPr>
          <w:rFonts w:hint="eastAsia" w:ascii="仿宋_GB2312" w:hAnsi="仿宋_GB2312" w:eastAsia="仿宋_GB2312" w:cs="仿宋_GB2312"/>
          <w:b w:val="0"/>
          <w:i w:val="0"/>
          <w:sz w:val="32"/>
          <w:szCs w:val="32"/>
          <w:lang w:eastAsia="zh-CN"/>
        </w:rPr>
        <w:t>事业收入及支出增加</w:t>
      </w:r>
      <w:r>
        <w:rPr>
          <w:rFonts w:hint="eastAsia" w:ascii="仿宋_GB2312" w:hAnsi="仿宋_GB2312" w:eastAsia="仿宋_GB2312" w:cs="仿宋_GB2312"/>
          <w:b w:val="0"/>
          <w:i w:val="0"/>
          <w:sz w:val="32"/>
          <w:szCs w:val="32"/>
        </w:rPr>
        <w:t>。</w:t>
      </w:r>
    </w:p>
    <w:p w14:paraId="72872D43">
      <w:pPr>
        <w:pStyle w:val="29"/>
        <w:numPr>
          <w:ilvl w:val="0"/>
          <w:numId w:val="1"/>
        </w:numPr>
        <w:spacing w:line="600" w:lineRule="exact"/>
        <w:ind w:firstLineChars="0"/>
        <w:outlineLvl w:val="1"/>
        <w:rPr>
          <w:rStyle w:val="31"/>
          <w:rFonts w:ascii="黑体" w:hAnsi="黑体" w:eastAsia="黑体"/>
          <w:b w:val="0"/>
        </w:rPr>
      </w:pPr>
      <w:bookmarkStart w:id="27" w:name="_Toc22985"/>
      <w:bookmarkStart w:id="28" w:name="_Toc15396604"/>
      <w:bookmarkStart w:id="29" w:name="_Toc15377206"/>
      <w:r>
        <w:rPr>
          <w:rFonts w:hint="eastAsia" w:ascii="仿宋" w:hAnsi="仿宋" w:eastAsia="仿宋"/>
          <w:sz w:val="32"/>
          <w:szCs w:val="32"/>
          <w:lang w:eastAsia="zh-CN"/>
        </w:rPr>
        <w:drawing>
          <wp:anchor distT="0" distB="0" distL="114300" distR="114300" simplePos="0" relativeHeight="251660288" behindDoc="0" locked="0" layoutInCell="1" allowOverlap="1">
            <wp:simplePos x="0" y="0"/>
            <wp:positionH relativeFrom="column">
              <wp:posOffset>513715</wp:posOffset>
            </wp:positionH>
            <wp:positionV relativeFrom="paragraph">
              <wp:posOffset>54610</wp:posOffset>
            </wp:positionV>
            <wp:extent cx="4299585" cy="2362835"/>
            <wp:effectExtent l="4445" t="4445" r="8890" b="10160"/>
            <wp:wrapTopAndBottom/>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r>
        <w:rPr>
          <w:rFonts w:hint="eastAsia" w:ascii="黑体" w:hAnsi="黑体" w:eastAsia="黑体"/>
          <w:sz w:val="32"/>
          <w:szCs w:val="32"/>
        </w:rPr>
        <w:t>收</w:t>
      </w:r>
      <w:r>
        <w:rPr>
          <w:rStyle w:val="31"/>
          <w:rFonts w:hint="eastAsia" w:ascii="黑体" w:hAnsi="黑体" w:eastAsia="黑体"/>
          <w:b w:val="0"/>
        </w:rPr>
        <w:t>入决算情况说明</w:t>
      </w:r>
      <w:bookmarkEnd w:id="27"/>
      <w:bookmarkEnd w:id="28"/>
      <w:bookmarkEnd w:id="29"/>
    </w:p>
    <w:p w14:paraId="38E3798F">
      <w:pPr>
        <w:spacing w:line="600" w:lineRule="exact"/>
        <w:ind w:firstLine="640" w:firstLineChars="200"/>
        <w:outlineLvl w:val="1"/>
        <w:rPr>
          <w:rFonts w:hint="eastAsia" w:ascii="仿宋" w:hAnsi="仿宋" w:eastAsia="仿宋_GB2312"/>
          <w:b w:val="0"/>
          <w:i w:val="0"/>
          <w:sz w:val="32"/>
          <w:szCs w:val="32"/>
        </w:rPr>
      </w:pPr>
      <w:bookmarkStart w:id="30" w:name="_Toc1246"/>
      <w:r>
        <w:rPr>
          <w:rFonts w:hint="eastAsia" w:ascii="仿宋_GB2312" w:hAnsi="仿宋_GB2312" w:eastAsia="仿宋_GB2312" w:cs="仿宋_GB2312"/>
          <w:sz w:val="32"/>
          <w:szCs w:val="32"/>
          <w:lang w:eastAsia="zh-CN"/>
        </w:rPr>
        <w:drawing>
          <wp:anchor distT="0" distB="0" distL="114300" distR="114300" simplePos="0" relativeHeight="251661312" behindDoc="0" locked="0" layoutInCell="1" allowOverlap="1">
            <wp:simplePos x="0" y="0"/>
            <wp:positionH relativeFrom="column">
              <wp:posOffset>518795</wp:posOffset>
            </wp:positionH>
            <wp:positionV relativeFrom="paragraph">
              <wp:posOffset>1213485</wp:posOffset>
            </wp:positionV>
            <wp:extent cx="4116705" cy="2559050"/>
            <wp:effectExtent l="4445" t="4445" r="8890" b="42545"/>
            <wp:wrapTopAndBottom/>
            <wp:docPr id="2" name="图表 2" descr="7b0a202020202263686172745265734964223a20223230343735383537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Pr>
          <w:rFonts w:hint="eastAsia" w:ascii="仿宋_GB2312" w:hAnsi="仿宋_GB2312" w:eastAsia="仿宋_GB2312" w:cs="仿宋_GB2312"/>
          <w:b w:val="0"/>
          <w:i w:val="0"/>
          <w:sz w:val="32"/>
          <w:szCs w:val="32"/>
          <w:lang w:eastAsia="zh-CN"/>
        </w:rPr>
        <w:t>2025年</w:t>
      </w:r>
      <w:r>
        <w:rPr>
          <w:rFonts w:hint="eastAsia" w:ascii="仿宋_GB2312" w:hAnsi="仿宋_GB2312" w:eastAsia="仿宋_GB2312" w:cs="仿宋_GB2312"/>
          <w:b w:val="0"/>
          <w:i w:val="0"/>
          <w:sz w:val="32"/>
          <w:szCs w:val="32"/>
        </w:rPr>
        <w:t>度本年收入合计</w:t>
      </w:r>
      <w:r>
        <w:rPr>
          <w:rFonts w:hint="eastAsia" w:ascii="仿宋_GB2312" w:hAnsi="仿宋_GB2312" w:eastAsia="仿宋_GB2312" w:cs="仿宋_GB2312"/>
          <w:b w:val="0"/>
          <w:i w:val="0"/>
          <w:sz w:val="32"/>
          <w:szCs w:val="32"/>
          <w:lang w:eastAsia="zh-CN"/>
        </w:rPr>
        <w:t>656.03</w:t>
      </w:r>
      <w:r>
        <w:rPr>
          <w:rFonts w:hint="eastAsia" w:ascii="仿宋_GB2312" w:hAnsi="仿宋_GB2312" w:eastAsia="仿宋_GB2312" w:cs="仿宋_GB2312"/>
          <w:b w:val="0"/>
          <w:i w:val="0"/>
          <w:sz w:val="32"/>
          <w:szCs w:val="32"/>
        </w:rPr>
        <w:t>万元，其中：一般公共预算财政拨款收入</w:t>
      </w:r>
      <w:r>
        <w:rPr>
          <w:rFonts w:hint="eastAsia" w:ascii="仿宋_GB2312" w:hAnsi="仿宋_GB2312" w:eastAsia="仿宋_GB2312" w:cs="仿宋_GB2312"/>
          <w:b w:val="0"/>
          <w:i w:val="0"/>
          <w:sz w:val="32"/>
          <w:szCs w:val="32"/>
          <w:lang w:eastAsia="zh-CN"/>
        </w:rPr>
        <w:t>622.47</w:t>
      </w:r>
      <w:r>
        <w:rPr>
          <w:rFonts w:hint="eastAsia" w:ascii="仿宋_GB2312" w:hAnsi="仿宋_GB2312" w:eastAsia="仿宋_GB2312" w:cs="仿宋_GB2312"/>
          <w:b w:val="0"/>
          <w:i w:val="0"/>
          <w:sz w:val="32"/>
          <w:szCs w:val="32"/>
        </w:rPr>
        <w:t>万元，占</w:t>
      </w:r>
      <w:r>
        <w:rPr>
          <w:rFonts w:hint="eastAsia" w:ascii="仿宋_GB2312" w:hAnsi="仿宋_GB2312" w:eastAsia="仿宋_GB2312" w:cs="仿宋_GB2312"/>
          <w:b w:val="0"/>
          <w:i w:val="0"/>
          <w:sz w:val="32"/>
          <w:szCs w:val="32"/>
          <w:lang w:val="en-US" w:eastAsia="zh-CN"/>
        </w:rPr>
        <w:t>94.9</w:t>
      </w:r>
      <w:r>
        <w:rPr>
          <w:rFonts w:hint="eastAsia" w:ascii="仿宋_GB2312" w:hAnsi="仿宋_GB2312" w:eastAsia="仿宋_GB2312" w:cs="仿宋_GB2312"/>
          <w:b w:val="0"/>
          <w:i w:val="0"/>
          <w:sz w:val="32"/>
          <w:szCs w:val="32"/>
        </w:rPr>
        <w:t>%；事业收入</w:t>
      </w:r>
      <w:r>
        <w:rPr>
          <w:rFonts w:hint="eastAsia" w:ascii="仿宋_GB2312" w:hAnsi="仿宋_GB2312" w:eastAsia="仿宋_GB2312" w:cs="仿宋_GB2312"/>
          <w:b w:val="0"/>
          <w:i w:val="0"/>
          <w:sz w:val="32"/>
          <w:szCs w:val="32"/>
          <w:lang w:eastAsia="zh-CN"/>
        </w:rPr>
        <w:t>33.56</w:t>
      </w:r>
      <w:r>
        <w:rPr>
          <w:rFonts w:hint="eastAsia" w:ascii="仿宋_GB2312" w:hAnsi="仿宋_GB2312" w:eastAsia="仿宋_GB2312" w:cs="仿宋_GB2312"/>
          <w:b w:val="0"/>
          <w:i w:val="0"/>
          <w:sz w:val="32"/>
          <w:szCs w:val="32"/>
        </w:rPr>
        <w:t>万元，占</w:t>
      </w:r>
      <w:r>
        <w:rPr>
          <w:rFonts w:hint="eastAsia" w:ascii="仿宋_GB2312" w:hAnsi="仿宋_GB2312" w:eastAsia="仿宋_GB2312" w:cs="仿宋_GB2312"/>
          <w:b w:val="0"/>
          <w:i w:val="0"/>
          <w:sz w:val="32"/>
          <w:szCs w:val="32"/>
          <w:lang w:val="en-US" w:eastAsia="zh-CN"/>
        </w:rPr>
        <w:t>5.1</w:t>
      </w:r>
      <w:r>
        <w:rPr>
          <w:rFonts w:hint="eastAsia" w:ascii="仿宋_GB2312" w:hAnsi="仿宋_GB2312" w:eastAsia="仿宋_GB2312" w:cs="仿宋_GB2312"/>
          <w:b w:val="0"/>
          <w:i w:val="0"/>
          <w:sz w:val="32"/>
          <w:szCs w:val="32"/>
        </w:rPr>
        <w:t>%。</w:t>
      </w:r>
      <w:bookmarkEnd w:id="30"/>
    </w:p>
    <w:p w14:paraId="139C87B2">
      <w:pPr>
        <w:pStyle w:val="29"/>
        <w:numPr>
          <w:ilvl w:val="0"/>
          <w:numId w:val="1"/>
        </w:numPr>
        <w:spacing w:line="600" w:lineRule="exact"/>
        <w:ind w:firstLineChars="0"/>
        <w:outlineLvl w:val="1"/>
        <w:rPr>
          <w:rStyle w:val="31"/>
          <w:rFonts w:ascii="黑体" w:hAnsi="黑体" w:eastAsia="黑体"/>
          <w:b w:val="0"/>
        </w:rPr>
      </w:pPr>
      <w:bookmarkStart w:id="31" w:name="_Toc4703"/>
      <w:bookmarkStart w:id="32" w:name="_Toc15396605"/>
      <w:bookmarkStart w:id="33" w:name="_Toc15377207"/>
      <w:r>
        <w:rPr>
          <w:rFonts w:hint="eastAsia" w:ascii="黑体" w:hAnsi="黑体" w:eastAsia="黑体"/>
          <w:sz w:val="32"/>
          <w:szCs w:val="32"/>
        </w:rPr>
        <w:t>支</w:t>
      </w:r>
      <w:r>
        <w:rPr>
          <w:rStyle w:val="31"/>
          <w:rFonts w:hint="eastAsia" w:ascii="黑体" w:hAnsi="黑体" w:eastAsia="黑体"/>
          <w:b w:val="0"/>
        </w:rPr>
        <w:t>出决算情况说明</w:t>
      </w:r>
      <w:bookmarkEnd w:id="31"/>
      <w:bookmarkEnd w:id="32"/>
      <w:bookmarkEnd w:id="33"/>
    </w:p>
    <w:p w14:paraId="53266E6C">
      <w:pPr>
        <w:spacing w:line="600" w:lineRule="exact"/>
        <w:ind w:firstLine="640" w:firstLineChars="200"/>
        <w:outlineLvl w:val="1"/>
        <w:rPr>
          <w:rFonts w:hint="eastAsia" w:ascii="仿宋" w:hAnsi="仿宋" w:eastAsia="仿宋_GB2312"/>
          <w:b w:val="0"/>
          <w:i w:val="0"/>
          <w:sz w:val="32"/>
          <w:szCs w:val="32"/>
          <w:shd w:val="pct10" w:color="auto" w:fill="FFFFFF"/>
          <w:lang w:eastAsia="zh-CN"/>
        </w:rPr>
      </w:pPr>
      <w:bookmarkStart w:id="34" w:name="_Toc17745"/>
      <w:r>
        <w:rPr>
          <w:rFonts w:hint="eastAsia" w:ascii="仿宋_GB2312" w:hAnsi="仿宋_GB2312" w:eastAsia="仿宋_GB2312" w:cs="仿宋_GB2312"/>
          <w:sz w:val="32"/>
          <w:szCs w:val="32"/>
          <w:shd w:val="pct10" w:color="auto" w:fill="FFFFFF"/>
          <w:lang w:eastAsia="zh-CN"/>
        </w:rPr>
        <w:drawing>
          <wp:anchor distT="0" distB="0" distL="114300" distR="114300" simplePos="0" relativeHeight="251662336" behindDoc="0" locked="0" layoutInCell="1" allowOverlap="1">
            <wp:simplePos x="0" y="0"/>
            <wp:positionH relativeFrom="column">
              <wp:posOffset>361315</wp:posOffset>
            </wp:positionH>
            <wp:positionV relativeFrom="paragraph">
              <wp:posOffset>933450</wp:posOffset>
            </wp:positionV>
            <wp:extent cx="4272280" cy="2264410"/>
            <wp:effectExtent l="4445" t="4445" r="5715" b="47625"/>
            <wp:wrapTopAndBottom/>
            <wp:docPr id="3" name="图表 3" descr="7b0a202020202263686172745265734964223a20223230343735383537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Pr>
          <w:rFonts w:hint="eastAsia" w:ascii="仿宋_GB2312" w:hAnsi="仿宋_GB2312" w:eastAsia="仿宋_GB2312" w:cs="仿宋_GB2312"/>
          <w:b w:val="0"/>
          <w:i w:val="0"/>
          <w:sz w:val="32"/>
          <w:szCs w:val="32"/>
          <w:lang w:eastAsia="zh-CN"/>
        </w:rPr>
        <w:t>2025年</w:t>
      </w:r>
      <w:r>
        <w:rPr>
          <w:rFonts w:hint="eastAsia" w:ascii="仿宋_GB2312" w:hAnsi="仿宋_GB2312" w:eastAsia="仿宋_GB2312" w:cs="仿宋_GB2312"/>
          <w:b w:val="0"/>
          <w:i w:val="0"/>
          <w:sz w:val="32"/>
          <w:szCs w:val="32"/>
        </w:rPr>
        <w:t>度本年支出合计</w:t>
      </w:r>
      <w:r>
        <w:rPr>
          <w:rFonts w:hint="eastAsia" w:ascii="仿宋_GB2312" w:hAnsi="仿宋_GB2312" w:eastAsia="仿宋_GB2312" w:cs="仿宋_GB2312"/>
          <w:b w:val="0"/>
          <w:i w:val="0"/>
          <w:sz w:val="32"/>
          <w:szCs w:val="32"/>
          <w:lang w:eastAsia="zh-CN"/>
        </w:rPr>
        <w:t>642.96</w:t>
      </w:r>
      <w:r>
        <w:rPr>
          <w:rFonts w:hint="eastAsia" w:ascii="仿宋_GB2312" w:hAnsi="仿宋_GB2312" w:eastAsia="仿宋_GB2312" w:cs="仿宋_GB2312"/>
          <w:b w:val="0"/>
          <w:i w:val="0"/>
          <w:sz w:val="32"/>
          <w:szCs w:val="32"/>
        </w:rPr>
        <w:t>万元，其中：基本支出</w:t>
      </w:r>
      <w:r>
        <w:rPr>
          <w:rFonts w:hint="eastAsia" w:ascii="仿宋_GB2312" w:hAnsi="仿宋_GB2312" w:eastAsia="仿宋_GB2312" w:cs="仿宋_GB2312"/>
          <w:b w:val="0"/>
          <w:i w:val="0"/>
          <w:sz w:val="32"/>
          <w:szCs w:val="32"/>
          <w:lang w:eastAsia="zh-CN"/>
        </w:rPr>
        <w:t>575.41</w:t>
      </w:r>
      <w:r>
        <w:rPr>
          <w:rFonts w:hint="eastAsia" w:ascii="仿宋_GB2312" w:hAnsi="仿宋_GB2312" w:eastAsia="仿宋_GB2312" w:cs="仿宋_GB2312"/>
          <w:b w:val="0"/>
          <w:i w:val="0"/>
          <w:sz w:val="32"/>
          <w:szCs w:val="32"/>
        </w:rPr>
        <w:t>万元，占</w:t>
      </w:r>
      <w:r>
        <w:rPr>
          <w:rFonts w:hint="eastAsia" w:ascii="仿宋_GB2312" w:hAnsi="仿宋_GB2312" w:eastAsia="仿宋_GB2312" w:cs="仿宋_GB2312"/>
          <w:b w:val="0"/>
          <w:i w:val="0"/>
          <w:sz w:val="32"/>
          <w:szCs w:val="32"/>
          <w:lang w:val="en-US" w:eastAsia="zh-CN"/>
        </w:rPr>
        <w:t>89.5</w:t>
      </w:r>
      <w:r>
        <w:rPr>
          <w:rFonts w:hint="eastAsia" w:ascii="仿宋_GB2312" w:hAnsi="仿宋_GB2312" w:eastAsia="仿宋_GB2312" w:cs="仿宋_GB2312"/>
          <w:b w:val="0"/>
          <w:i w:val="0"/>
          <w:sz w:val="32"/>
          <w:szCs w:val="32"/>
        </w:rPr>
        <w:t>%；项目支出</w:t>
      </w:r>
      <w:r>
        <w:rPr>
          <w:rFonts w:hint="eastAsia" w:ascii="仿宋_GB2312" w:hAnsi="仿宋_GB2312" w:eastAsia="仿宋_GB2312" w:cs="仿宋_GB2312"/>
          <w:b w:val="0"/>
          <w:i w:val="0"/>
          <w:sz w:val="32"/>
          <w:szCs w:val="32"/>
          <w:lang w:eastAsia="zh-CN"/>
        </w:rPr>
        <w:t>67.55</w:t>
      </w:r>
      <w:r>
        <w:rPr>
          <w:rFonts w:hint="eastAsia" w:ascii="仿宋_GB2312" w:hAnsi="仿宋_GB2312" w:eastAsia="仿宋_GB2312" w:cs="仿宋_GB2312"/>
          <w:b w:val="0"/>
          <w:i w:val="0"/>
          <w:sz w:val="32"/>
          <w:szCs w:val="32"/>
        </w:rPr>
        <w:t>万元，占</w:t>
      </w:r>
      <w:r>
        <w:rPr>
          <w:rFonts w:hint="eastAsia" w:ascii="仿宋_GB2312" w:hAnsi="仿宋_GB2312" w:eastAsia="仿宋_GB2312" w:cs="仿宋_GB2312"/>
          <w:b w:val="0"/>
          <w:i w:val="0"/>
          <w:sz w:val="32"/>
          <w:szCs w:val="32"/>
          <w:lang w:val="en-US" w:eastAsia="zh-CN"/>
        </w:rPr>
        <w:t>10.5</w:t>
      </w:r>
      <w:r>
        <w:rPr>
          <w:rFonts w:hint="eastAsia" w:ascii="仿宋_GB2312" w:hAnsi="仿宋_GB2312" w:eastAsia="仿宋_GB2312" w:cs="仿宋_GB2312"/>
          <w:b w:val="0"/>
          <w:i w:val="0"/>
          <w:sz w:val="32"/>
          <w:szCs w:val="32"/>
        </w:rPr>
        <w:t>%</w:t>
      </w:r>
      <w:bookmarkEnd w:id="34"/>
      <w:r>
        <w:rPr>
          <w:rFonts w:hint="eastAsia" w:ascii="仿宋_GB2312" w:hAnsi="仿宋_GB2312" w:eastAsia="仿宋_GB2312" w:cs="仿宋_GB2312"/>
          <w:b w:val="0"/>
          <w:i w:val="0"/>
          <w:sz w:val="32"/>
          <w:szCs w:val="32"/>
          <w:lang w:eastAsia="zh-CN"/>
        </w:rPr>
        <w:t>。</w:t>
      </w:r>
    </w:p>
    <w:p w14:paraId="6D804817">
      <w:pPr>
        <w:spacing w:line="600" w:lineRule="exact"/>
        <w:ind w:firstLine="640" w:firstLineChars="200"/>
        <w:outlineLvl w:val="1"/>
        <w:rPr>
          <w:rStyle w:val="31"/>
          <w:rFonts w:ascii="黑体" w:hAnsi="黑体" w:eastAsia="黑体"/>
          <w:b w:val="0"/>
        </w:rPr>
      </w:pPr>
      <w:bookmarkStart w:id="35" w:name="_Toc15377208"/>
      <w:bookmarkStart w:id="36" w:name="_Toc17162"/>
      <w:bookmarkStart w:id="37" w:name="_Toc15396606"/>
      <w:r>
        <w:rPr>
          <w:rFonts w:hint="eastAsia" w:ascii="黑体" w:hAnsi="黑体" w:eastAsia="黑体"/>
          <w:sz w:val="32"/>
          <w:szCs w:val="32"/>
        </w:rPr>
        <w:t>四、财</w:t>
      </w:r>
      <w:r>
        <w:rPr>
          <w:rStyle w:val="31"/>
          <w:rFonts w:hint="eastAsia" w:ascii="黑体" w:hAnsi="黑体" w:eastAsia="黑体"/>
          <w:b w:val="0"/>
        </w:rPr>
        <w:t>政拨款收入支出决算总体情况说明</w:t>
      </w:r>
      <w:bookmarkEnd w:id="35"/>
      <w:bookmarkEnd w:id="36"/>
      <w:bookmarkEnd w:id="37"/>
    </w:p>
    <w:p w14:paraId="7ABD2068">
      <w:pPr>
        <w:spacing w:line="600" w:lineRule="exact"/>
        <w:ind w:firstLine="640"/>
        <w:rPr>
          <w:rFonts w:hint="eastAsia" w:ascii="仿宋_GB2312" w:hAnsi="仿宋_GB2312" w:eastAsia="仿宋_GB2312" w:cs="仿宋_GB2312"/>
          <w:b/>
          <w:sz w:val="32"/>
          <w:szCs w:val="32"/>
        </w:rPr>
      </w:pPr>
      <w:r>
        <w:rPr>
          <w:rFonts w:hint="eastAsia" w:ascii="仿宋_GB2312" w:hAnsi="仿宋_GB2312" w:eastAsia="仿宋_GB2312" w:cs="仿宋_GB2312"/>
          <w:b w:val="0"/>
          <w:i w:val="0"/>
          <w:sz w:val="32"/>
          <w:szCs w:val="32"/>
          <w:lang w:eastAsia="zh-CN"/>
        </w:rPr>
        <w:t>2025年</w:t>
      </w:r>
      <w:r>
        <w:rPr>
          <w:rFonts w:hint="eastAsia" w:ascii="仿宋_GB2312" w:hAnsi="仿宋_GB2312" w:eastAsia="仿宋_GB2312" w:cs="仿宋_GB2312"/>
          <w:b w:val="0"/>
          <w:i w:val="0"/>
          <w:sz w:val="32"/>
          <w:szCs w:val="32"/>
        </w:rPr>
        <w:t>度财政拨款收、支总计均为</w:t>
      </w:r>
      <w:r>
        <w:rPr>
          <w:rFonts w:hint="eastAsia" w:ascii="仿宋_GB2312" w:hAnsi="仿宋_GB2312" w:eastAsia="仿宋_GB2312" w:cs="仿宋_GB2312"/>
          <w:b w:val="0"/>
          <w:bCs/>
          <w:i w:val="0"/>
          <w:sz w:val="32"/>
          <w:szCs w:val="32"/>
          <w:lang w:eastAsia="zh-CN"/>
        </w:rPr>
        <w:t>622.47</w:t>
      </w:r>
      <w:r>
        <w:rPr>
          <w:rFonts w:hint="eastAsia" w:ascii="仿宋_GB2312" w:hAnsi="仿宋_GB2312" w:eastAsia="仿宋_GB2312" w:cs="仿宋_GB2312"/>
          <w:b w:val="0"/>
          <w:i w:val="0"/>
          <w:sz w:val="32"/>
          <w:szCs w:val="32"/>
        </w:rPr>
        <w:t>万元。与</w:t>
      </w:r>
      <w:r>
        <w:rPr>
          <w:rFonts w:hint="eastAsia" w:ascii="仿宋_GB2312" w:hAnsi="仿宋_GB2312" w:eastAsia="仿宋_GB2312" w:cs="仿宋_GB2312"/>
          <w:b w:val="0"/>
          <w:i w:val="0"/>
          <w:sz w:val="32"/>
          <w:szCs w:val="32"/>
          <w:lang w:eastAsia="zh-CN"/>
        </w:rPr>
        <w:t>2024</w:t>
      </w:r>
      <w:r>
        <w:rPr>
          <w:rFonts w:hint="eastAsia" w:ascii="仿宋_GB2312" w:hAnsi="仿宋_GB2312" w:eastAsia="仿宋_GB2312" w:cs="仿宋_GB2312"/>
          <w:b w:val="0"/>
          <w:i w:val="0"/>
          <w:sz w:val="32"/>
          <w:szCs w:val="32"/>
        </w:rPr>
        <w:t>年度相比，财政拨款收、支总计各</w:t>
      </w:r>
      <w:r>
        <w:rPr>
          <w:rFonts w:hint="eastAsia" w:ascii="仿宋_GB2312" w:hAnsi="仿宋_GB2312" w:eastAsia="仿宋_GB2312" w:cs="仿宋_GB2312"/>
          <w:b w:val="0"/>
          <w:i w:val="0"/>
          <w:sz w:val="32"/>
          <w:szCs w:val="32"/>
          <w:lang w:eastAsia="zh-CN"/>
        </w:rPr>
        <w:t>减少</w:t>
      </w:r>
      <w:r>
        <w:rPr>
          <w:rFonts w:hint="eastAsia" w:ascii="仿宋_GB2312" w:hAnsi="仿宋_GB2312" w:eastAsia="仿宋_GB2312" w:cs="仿宋_GB2312"/>
          <w:b w:val="0"/>
          <w:i w:val="0"/>
          <w:sz w:val="32"/>
          <w:szCs w:val="32"/>
          <w:lang w:val="en-US" w:eastAsia="zh-CN"/>
        </w:rPr>
        <w:t>4.19</w:t>
      </w:r>
      <w:r>
        <w:rPr>
          <w:rFonts w:hint="eastAsia" w:ascii="仿宋_GB2312" w:hAnsi="仿宋_GB2312" w:eastAsia="仿宋_GB2312" w:cs="仿宋_GB2312"/>
          <w:b w:val="0"/>
          <w:i w:val="0"/>
          <w:sz w:val="32"/>
          <w:szCs w:val="32"/>
        </w:rPr>
        <w:t>万元，</w:t>
      </w:r>
      <w:r>
        <w:rPr>
          <w:rFonts w:hint="eastAsia" w:ascii="仿宋_GB2312" w:hAnsi="仿宋_GB2312" w:eastAsia="仿宋_GB2312" w:cs="仿宋_GB2312"/>
          <w:b w:val="0"/>
          <w:i w:val="0"/>
          <w:sz w:val="32"/>
          <w:szCs w:val="32"/>
          <w:lang w:eastAsia="zh-CN"/>
        </w:rPr>
        <w:t>下降</w:t>
      </w:r>
      <w:r>
        <w:rPr>
          <w:rFonts w:hint="eastAsia" w:ascii="仿宋_GB2312" w:hAnsi="仿宋_GB2312" w:eastAsia="仿宋_GB2312" w:cs="仿宋_GB2312"/>
          <w:b w:val="0"/>
          <w:i w:val="0"/>
          <w:sz w:val="32"/>
          <w:szCs w:val="32"/>
          <w:lang w:val="en-US" w:eastAsia="zh-CN"/>
        </w:rPr>
        <w:t>0.7</w:t>
      </w:r>
      <w:r>
        <w:rPr>
          <w:rFonts w:hint="eastAsia" w:ascii="仿宋_GB2312" w:hAnsi="仿宋_GB2312" w:eastAsia="仿宋_GB2312" w:cs="仿宋_GB2312"/>
          <w:b w:val="0"/>
          <w:i w:val="0"/>
          <w:sz w:val="32"/>
          <w:szCs w:val="32"/>
        </w:rPr>
        <w:t>%。主要变动原因是</w:t>
      </w:r>
      <w:r>
        <w:rPr>
          <w:rFonts w:hint="eastAsia" w:ascii="仿宋_GB2312" w:hAnsi="仿宋_GB2312" w:eastAsia="仿宋_GB2312" w:cs="仿宋_GB2312"/>
          <w:b w:val="0"/>
          <w:i w:val="0"/>
          <w:sz w:val="32"/>
          <w:szCs w:val="32"/>
          <w:lang w:eastAsia="zh-CN"/>
        </w:rPr>
        <w:t>：</w:t>
      </w:r>
      <w:r>
        <w:rPr>
          <w:rFonts w:hint="eastAsia" w:ascii="仿宋_GB2312" w:hAnsi="仿宋_GB2312" w:eastAsia="仿宋_GB2312" w:cs="仿宋_GB2312"/>
          <w:b w:val="0"/>
          <w:i w:val="0"/>
          <w:color w:val="000000"/>
          <w:sz w:val="32"/>
          <w:szCs w:val="32"/>
          <w:lang w:val="en-US" w:eastAsia="zh-CN"/>
        </w:rPr>
        <w:t>2025年</w:t>
      </w:r>
      <w:r>
        <w:rPr>
          <w:rFonts w:hint="eastAsia" w:ascii="仿宋_GB2312" w:hAnsi="仿宋_GB2312" w:eastAsia="仿宋_GB2312" w:cs="仿宋_GB2312"/>
          <w:b w:val="0"/>
          <w:i w:val="0"/>
          <w:sz w:val="32"/>
          <w:szCs w:val="32"/>
          <w:lang w:eastAsia="zh-CN"/>
        </w:rPr>
        <w:t>人员减少，人员经费减少</w:t>
      </w:r>
      <w:r>
        <w:rPr>
          <w:rFonts w:hint="eastAsia" w:ascii="仿宋_GB2312" w:hAnsi="仿宋_GB2312" w:eastAsia="仿宋_GB2312" w:cs="仿宋_GB2312"/>
          <w:b w:val="0"/>
          <w:i w:val="0"/>
          <w:sz w:val="32"/>
          <w:szCs w:val="32"/>
        </w:rPr>
        <w:t>。</w:t>
      </w:r>
    </w:p>
    <w:p w14:paraId="756D8EB4">
      <w:pPr>
        <w:spacing w:line="600" w:lineRule="exact"/>
        <w:ind w:firstLine="640" w:firstLineChars="200"/>
        <w:outlineLvl w:val="1"/>
        <w:rPr>
          <w:rStyle w:val="31"/>
          <w:rFonts w:ascii="黑体" w:hAnsi="黑体" w:eastAsia="黑体"/>
          <w:b w:val="0"/>
        </w:rPr>
      </w:pPr>
      <w:bookmarkStart w:id="38" w:name="_Toc15377209"/>
      <w:bookmarkStart w:id="39" w:name="_Toc15396607"/>
      <w:bookmarkStart w:id="40" w:name="_Toc19298"/>
      <w:r>
        <w:rPr>
          <w:rFonts w:hint="eastAsia" w:ascii="仿宋" w:hAnsi="仿宋" w:eastAsia="仿宋"/>
          <w:sz w:val="32"/>
          <w:szCs w:val="32"/>
          <w:lang w:eastAsia="zh-CN"/>
        </w:rPr>
        <w:drawing>
          <wp:anchor distT="0" distB="0" distL="114300" distR="114300" simplePos="0" relativeHeight="251663360" behindDoc="0" locked="0" layoutInCell="1" allowOverlap="1">
            <wp:simplePos x="0" y="0"/>
            <wp:positionH relativeFrom="column">
              <wp:posOffset>567055</wp:posOffset>
            </wp:positionH>
            <wp:positionV relativeFrom="paragraph">
              <wp:posOffset>75565</wp:posOffset>
            </wp:positionV>
            <wp:extent cx="4189730" cy="1961515"/>
            <wp:effectExtent l="4445" t="4445" r="15875" b="15240"/>
            <wp:wrapTopAndBottom/>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hint="eastAsia" w:ascii="黑体" w:hAnsi="黑体" w:eastAsia="黑体"/>
          <w:sz w:val="32"/>
          <w:szCs w:val="32"/>
        </w:rPr>
        <w:t>五、</w:t>
      </w:r>
      <w:r>
        <w:rPr>
          <w:rFonts w:hint="eastAsia" w:ascii="黑体" w:hAnsi="黑体" w:eastAsia="黑体"/>
          <w:b/>
          <w:sz w:val="32"/>
          <w:szCs w:val="32"/>
        </w:rPr>
        <w:t>一</w:t>
      </w:r>
      <w:r>
        <w:rPr>
          <w:rStyle w:val="31"/>
          <w:rFonts w:hint="eastAsia" w:ascii="黑体" w:hAnsi="黑体" w:eastAsia="黑体"/>
          <w:b w:val="0"/>
        </w:rPr>
        <w:t>般公共预算财政拨款支出决算情况说明</w:t>
      </w:r>
      <w:bookmarkEnd w:id="38"/>
      <w:bookmarkEnd w:id="39"/>
      <w:bookmarkEnd w:id="40"/>
    </w:p>
    <w:p w14:paraId="46554C77">
      <w:pPr>
        <w:pageBreakBefore w:val="0"/>
        <w:kinsoku/>
        <w:wordWrap/>
        <w:overflowPunct/>
        <w:topLinePunct w:val="0"/>
        <w:bidi w:val="0"/>
        <w:spacing w:line="576" w:lineRule="exact"/>
        <w:ind w:firstLine="643" w:firstLineChars="200"/>
        <w:textAlignment w:val="auto"/>
        <w:outlineLvl w:val="2"/>
        <w:rPr>
          <w:rFonts w:hint="default" w:ascii="Times New Roman" w:hAnsi="Times New Roman" w:eastAsia="楷体_GB2312" w:cs="Times New Roman"/>
          <w:b/>
          <w:color w:val="auto"/>
          <w:sz w:val="32"/>
          <w:szCs w:val="32"/>
          <w:highlight w:val="none"/>
        </w:rPr>
      </w:pPr>
      <w:bookmarkStart w:id="41" w:name="_Toc15377210"/>
      <w:r>
        <w:rPr>
          <w:rFonts w:hint="eastAsia" w:ascii="Times New Roman" w:hAnsi="Times New Roman" w:eastAsia="楷体_GB2312" w:cs="Times New Roman"/>
          <w:b/>
          <w:color w:val="auto"/>
          <w:sz w:val="32"/>
          <w:szCs w:val="32"/>
          <w:highlight w:val="none"/>
        </w:rPr>
        <w:t>（一）一般公共预算财政拨款支出决算总体情况</w:t>
      </w:r>
      <w:bookmarkEnd w:id="41"/>
    </w:p>
    <w:p w14:paraId="35355CF4">
      <w:pPr>
        <w:spacing w:line="600" w:lineRule="exact"/>
        <w:ind w:firstLine="640"/>
        <w:rPr>
          <w:rFonts w:hint="eastAsia" w:ascii="仿宋_GB2312" w:hAnsi="仿宋_GB2312" w:eastAsia="仿宋_GB2312" w:cs="仿宋_GB2312"/>
          <w:b w:val="0"/>
          <w:i w:val="0"/>
          <w:sz w:val="32"/>
          <w:szCs w:val="32"/>
        </w:rPr>
      </w:pPr>
      <w:r>
        <w:rPr>
          <w:rFonts w:hint="eastAsia" w:ascii="仿宋_GB2312" w:hAnsi="仿宋_GB2312" w:eastAsia="仿宋_GB2312" w:cs="仿宋_GB2312"/>
          <w:b w:val="0"/>
          <w:i w:val="0"/>
          <w:sz w:val="32"/>
          <w:szCs w:val="32"/>
          <w:lang w:eastAsia="zh-CN"/>
        </w:rPr>
        <w:t>2025年</w:t>
      </w:r>
      <w:r>
        <w:rPr>
          <w:rFonts w:hint="eastAsia" w:ascii="仿宋_GB2312" w:hAnsi="仿宋_GB2312" w:eastAsia="仿宋_GB2312" w:cs="仿宋_GB2312"/>
          <w:b w:val="0"/>
          <w:i w:val="0"/>
          <w:sz w:val="32"/>
          <w:szCs w:val="32"/>
        </w:rPr>
        <w:t>度一般公共预算财政拨款支出</w:t>
      </w:r>
      <w:r>
        <w:rPr>
          <w:rFonts w:hint="eastAsia" w:ascii="仿宋_GB2312" w:hAnsi="仿宋_GB2312" w:eastAsia="仿宋_GB2312" w:cs="仿宋_GB2312"/>
          <w:b w:val="0"/>
          <w:i w:val="0"/>
          <w:sz w:val="32"/>
          <w:szCs w:val="32"/>
          <w:lang w:eastAsia="zh-CN"/>
        </w:rPr>
        <w:t>622.47</w:t>
      </w:r>
      <w:r>
        <w:rPr>
          <w:rFonts w:hint="eastAsia" w:ascii="仿宋_GB2312" w:hAnsi="仿宋_GB2312" w:eastAsia="仿宋_GB2312" w:cs="仿宋_GB2312"/>
          <w:b w:val="0"/>
          <w:i w:val="0"/>
          <w:sz w:val="32"/>
          <w:szCs w:val="32"/>
        </w:rPr>
        <w:t>万元，占本年支出合计的</w:t>
      </w:r>
      <w:r>
        <w:rPr>
          <w:rFonts w:hint="eastAsia" w:ascii="仿宋_GB2312" w:hAnsi="仿宋_GB2312" w:eastAsia="仿宋_GB2312" w:cs="仿宋_GB2312"/>
          <w:b w:val="0"/>
          <w:i w:val="0"/>
          <w:sz w:val="32"/>
          <w:szCs w:val="32"/>
          <w:lang w:val="en-US" w:eastAsia="zh-CN"/>
        </w:rPr>
        <w:t>96.8</w:t>
      </w:r>
      <w:r>
        <w:rPr>
          <w:rFonts w:hint="eastAsia" w:ascii="仿宋_GB2312" w:hAnsi="仿宋_GB2312" w:eastAsia="仿宋_GB2312" w:cs="仿宋_GB2312"/>
          <w:b w:val="0"/>
          <w:i w:val="0"/>
          <w:sz w:val="32"/>
          <w:szCs w:val="32"/>
        </w:rPr>
        <w:t>%。与</w:t>
      </w:r>
      <w:r>
        <w:rPr>
          <w:rFonts w:hint="eastAsia" w:ascii="仿宋_GB2312" w:hAnsi="仿宋_GB2312" w:eastAsia="仿宋_GB2312" w:cs="仿宋_GB2312"/>
          <w:b w:val="0"/>
          <w:i w:val="0"/>
          <w:sz w:val="32"/>
          <w:szCs w:val="32"/>
          <w:lang w:eastAsia="zh-CN"/>
        </w:rPr>
        <w:t>2024</w:t>
      </w:r>
      <w:r>
        <w:rPr>
          <w:rFonts w:hint="eastAsia" w:ascii="仿宋_GB2312" w:hAnsi="仿宋_GB2312" w:eastAsia="仿宋_GB2312" w:cs="仿宋_GB2312"/>
          <w:b w:val="0"/>
          <w:i w:val="0"/>
          <w:sz w:val="32"/>
          <w:szCs w:val="32"/>
        </w:rPr>
        <w:t>年度相比，一般公共预算财政拨款支出</w:t>
      </w:r>
      <w:r>
        <w:rPr>
          <w:rFonts w:hint="eastAsia" w:ascii="仿宋_GB2312" w:hAnsi="仿宋_GB2312" w:eastAsia="仿宋_GB2312" w:cs="仿宋_GB2312"/>
          <w:b w:val="0"/>
          <w:i w:val="0"/>
          <w:sz w:val="32"/>
          <w:szCs w:val="32"/>
          <w:lang w:eastAsia="zh-CN"/>
        </w:rPr>
        <w:t>减少</w:t>
      </w:r>
      <w:r>
        <w:rPr>
          <w:rFonts w:hint="eastAsia" w:ascii="仿宋_GB2312" w:hAnsi="仿宋_GB2312" w:eastAsia="仿宋_GB2312" w:cs="仿宋_GB2312"/>
          <w:b w:val="0"/>
          <w:i w:val="0"/>
          <w:sz w:val="32"/>
          <w:szCs w:val="32"/>
          <w:lang w:val="en-US" w:eastAsia="zh-CN"/>
        </w:rPr>
        <w:t>4.19</w:t>
      </w:r>
      <w:r>
        <w:rPr>
          <w:rFonts w:hint="eastAsia" w:ascii="仿宋_GB2312" w:hAnsi="仿宋_GB2312" w:eastAsia="仿宋_GB2312" w:cs="仿宋_GB2312"/>
          <w:b w:val="0"/>
          <w:i w:val="0"/>
          <w:sz w:val="32"/>
          <w:szCs w:val="32"/>
        </w:rPr>
        <w:t>万元，</w:t>
      </w:r>
      <w:r>
        <w:rPr>
          <w:rFonts w:hint="eastAsia" w:ascii="仿宋_GB2312" w:hAnsi="仿宋_GB2312" w:eastAsia="仿宋_GB2312" w:cs="仿宋_GB2312"/>
          <w:b w:val="0"/>
          <w:i w:val="0"/>
          <w:sz w:val="32"/>
          <w:szCs w:val="32"/>
          <w:lang w:eastAsia="zh-CN"/>
        </w:rPr>
        <w:t>下降</w:t>
      </w:r>
      <w:r>
        <w:rPr>
          <w:rFonts w:hint="eastAsia" w:ascii="仿宋_GB2312" w:hAnsi="仿宋_GB2312" w:eastAsia="仿宋_GB2312" w:cs="仿宋_GB2312"/>
          <w:b w:val="0"/>
          <w:i w:val="0"/>
          <w:sz w:val="32"/>
          <w:szCs w:val="32"/>
          <w:lang w:val="en-US" w:eastAsia="zh-CN"/>
        </w:rPr>
        <w:t>0.7</w:t>
      </w:r>
      <w:r>
        <w:rPr>
          <w:rFonts w:hint="eastAsia" w:ascii="仿宋_GB2312" w:hAnsi="仿宋_GB2312" w:eastAsia="仿宋_GB2312" w:cs="仿宋_GB2312"/>
          <w:b w:val="0"/>
          <w:i w:val="0"/>
          <w:sz w:val="32"/>
          <w:szCs w:val="32"/>
        </w:rPr>
        <w:t>%。主要变动原因是</w:t>
      </w:r>
      <w:r>
        <w:rPr>
          <w:rFonts w:hint="eastAsia" w:ascii="仿宋_GB2312" w:hAnsi="仿宋_GB2312" w:eastAsia="仿宋_GB2312" w:cs="仿宋_GB2312"/>
          <w:b w:val="0"/>
          <w:i w:val="0"/>
          <w:sz w:val="32"/>
          <w:szCs w:val="32"/>
          <w:lang w:eastAsia="zh-CN"/>
        </w:rPr>
        <w:t>：</w:t>
      </w:r>
      <w:r>
        <w:rPr>
          <w:rFonts w:hint="eastAsia" w:ascii="仿宋_GB2312" w:hAnsi="仿宋_GB2312" w:eastAsia="仿宋_GB2312" w:cs="仿宋_GB2312"/>
          <w:b w:val="0"/>
          <w:i w:val="0"/>
          <w:color w:val="000000"/>
          <w:sz w:val="32"/>
          <w:szCs w:val="32"/>
          <w:lang w:val="en-US" w:eastAsia="zh-CN"/>
        </w:rPr>
        <w:t>2025年</w:t>
      </w:r>
      <w:r>
        <w:rPr>
          <w:rFonts w:hint="eastAsia" w:ascii="仿宋_GB2312" w:hAnsi="仿宋_GB2312" w:eastAsia="仿宋_GB2312" w:cs="仿宋_GB2312"/>
          <w:b w:val="0"/>
          <w:i w:val="0"/>
          <w:sz w:val="32"/>
          <w:szCs w:val="32"/>
          <w:lang w:eastAsia="zh-CN"/>
        </w:rPr>
        <w:t>人员减少，人员经费减少</w:t>
      </w:r>
      <w:r>
        <w:rPr>
          <w:rFonts w:hint="eastAsia" w:ascii="仿宋_GB2312" w:hAnsi="仿宋_GB2312" w:eastAsia="仿宋_GB2312" w:cs="仿宋_GB2312"/>
          <w:b w:val="0"/>
          <w:i w:val="0"/>
          <w:sz w:val="32"/>
          <w:szCs w:val="32"/>
        </w:rPr>
        <w:t>。</w:t>
      </w:r>
    </w:p>
    <w:p w14:paraId="12A18B2C">
      <w:pPr>
        <w:pageBreakBefore w:val="0"/>
        <w:kinsoku/>
        <w:wordWrap/>
        <w:overflowPunct/>
        <w:topLinePunct w:val="0"/>
        <w:bidi w:val="0"/>
        <w:spacing w:line="576" w:lineRule="exact"/>
        <w:ind w:firstLine="643" w:firstLineChars="200"/>
        <w:textAlignment w:val="auto"/>
        <w:outlineLvl w:val="2"/>
        <w:rPr>
          <w:rFonts w:hint="eastAsia" w:ascii="Times New Roman" w:hAnsi="Times New Roman" w:eastAsia="楷体_GB2312" w:cs="Times New Roman"/>
          <w:b/>
          <w:color w:val="auto"/>
          <w:sz w:val="32"/>
          <w:szCs w:val="32"/>
          <w:highlight w:val="none"/>
        </w:rPr>
      </w:pPr>
      <w:bookmarkStart w:id="42" w:name="_Toc15377211"/>
      <w:r>
        <w:rPr>
          <w:rFonts w:hint="eastAsia" w:ascii="Times New Roman" w:hAnsi="Times New Roman" w:eastAsia="楷体_GB2312" w:cs="Times New Roman"/>
          <w:b/>
          <w:color w:val="auto"/>
          <w:sz w:val="32"/>
          <w:szCs w:val="32"/>
          <w:highlight w:val="none"/>
          <w:lang w:eastAsia="zh-CN"/>
        </w:rPr>
        <w:drawing>
          <wp:anchor distT="0" distB="0" distL="114300" distR="114300" simplePos="0" relativeHeight="251664384" behindDoc="0" locked="0" layoutInCell="1" allowOverlap="1">
            <wp:simplePos x="0" y="0"/>
            <wp:positionH relativeFrom="column">
              <wp:posOffset>272415</wp:posOffset>
            </wp:positionH>
            <wp:positionV relativeFrom="paragraph">
              <wp:posOffset>40640</wp:posOffset>
            </wp:positionV>
            <wp:extent cx="4057650" cy="2341245"/>
            <wp:effectExtent l="4445" t="4445" r="14605" b="16510"/>
            <wp:wrapTopAndBottom/>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ascii="Times New Roman" w:hAnsi="Times New Roman" w:eastAsia="楷体_GB2312" w:cs="Times New Roman"/>
          <w:b/>
          <w:color w:val="auto"/>
          <w:sz w:val="32"/>
          <w:szCs w:val="32"/>
          <w:highlight w:val="none"/>
        </w:rPr>
        <w:t>（二）一般公共预算财政拨款支出决算结构情况</w:t>
      </w:r>
      <w:bookmarkEnd w:id="42"/>
    </w:p>
    <w:p w14:paraId="2EE55D21">
      <w:pPr>
        <w:spacing w:line="600" w:lineRule="exact"/>
        <w:ind w:firstLine="640"/>
        <w:rPr>
          <w:rFonts w:ascii="仿宋" w:hAnsi="仿宋" w:eastAsia="仿宋_GB2312"/>
          <w:b w:val="0"/>
          <w:i w:val="0"/>
          <w:sz w:val="32"/>
          <w:szCs w:val="32"/>
        </w:rPr>
      </w:pPr>
      <w:r>
        <w:rPr>
          <w:rFonts w:hint="eastAsia" w:ascii="仿宋_GB2312" w:hAnsi="仿宋_GB2312" w:eastAsia="仿宋_GB2312" w:cs="仿宋_GB2312"/>
          <w:b w:val="0"/>
          <w:i w:val="0"/>
          <w:sz w:val="32"/>
          <w:szCs w:val="32"/>
          <w:lang w:eastAsia="zh-CN"/>
        </w:rPr>
        <w:t>2025年</w:t>
      </w:r>
      <w:r>
        <w:rPr>
          <w:rFonts w:hint="eastAsia" w:ascii="仿宋_GB2312" w:hAnsi="仿宋_GB2312" w:eastAsia="仿宋_GB2312" w:cs="仿宋_GB2312"/>
          <w:b w:val="0"/>
          <w:i w:val="0"/>
          <w:sz w:val="32"/>
          <w:szCs w:val="32"/>
        </w:rPr>
        <w:t>度一般公共预算财政拨款支出</w:t>
      </w:r>
      <w:r>
        <w:rPr>
          <w:rFonts w:hint="eastAsia" w:ascii="仿宋_GB2312" w:hAnsi="仿宋_GB2312" w:eastAsia="仿宋_GB2312" w:cs="仿宋_GB2312"/>
          <w:b w:val="0"/>
          <w:i w:val="0"/>
          <w:sz w:val="32"/>
          <w:szCs w:val="32"/>
          <w:lang w:eastAsia="zh-CN"/>
        </w:rPr>
        <w:t>622.47</w:t>
      </w:r>
      <w:r>
        <w:rPr>
          <w:rFonts w:hint="eastAsia" w:ascii="仿宋_GB2312" w:hAnsi="仿宋_GB2312" w:eastAsia="仿宋_GB2312" w:cs="仿宋_GB2312"/>
          <w:b w:val="0"/>
          <w:i w:val="0"/>
          <w:sz w:val="32"/>
          <w:szCs w:val="32"/>
        </w:rPr>
        <w:t>万元，主要用于以下方面:社会保障和就业支出</w:t>
      </w:r>
      <w:r>
        <w:rPr>
          <w:rFonts w:hint="eastAsia" w:ascii="仿宋_GB2312" w:hAnsi="仿宋_GB2312" w:eastAsia="仿宋_GB2312" w:cs="仿宋_GB2312"/>
          <w:b w:val="0"/>
          <w:i w:val="0"/>
          <w:sz w:val="32"/>
          <w:szCs w:val="32"/>
          <w:lang w:val="en-US" w:eastAsia="zh-CN"/>
        </w:rPr>
        <w:t>72.73</w:t>
      </w:r>
      <w:r>
        <w:rPr>
          <w:rFonts w:hint="eastAsia" w:ascii="仿宋_GB2312" w:hAnsi="仿宋_GB2312" w:eastAsia="仿宋_GB2312" w:cs="仿宋_GB2312"/>
          <w:b w:val="0"/>
          <w:i w:val="0"/>
          <w:sz w:val="32"/>
          <w:szCs w:val="32"/>
        </w:rPr>
        <w:t>万元，占</w:t>
      </w:r>
      <w:r>
        <w:rPr>
          <w:rFonts w:hint="eastAsia" w:ascii="仿宋_GB2312" w:hAnsi="仿宋_GB2312" w:eastAsia="仿宋_GB2312" w:cs="仿宋_GB2312"/>
          <w:b w:val="0"/>
          <w:i w:val="0"/>
          <w:sz w:val="32"/>
          <w:szCs w:val="32"/>
          <w:lang w:val="en-US" w:eastAsia="zh-CN"/>
        </w:rPr>
        <w:t>11.7</w:t>
      </w:r>
      <w:r>
        <w:rPr>
          <w:rFonts w:hint="eastAsia" w:ascii="仿宋_GB2312" w:hAnsi="仿宋_GB2312" w:eastAsia="仿宋_GB2312" w:cs="仿宋_GB2312"/>
          <w:b w:val="0"/>
          <w:i w:val="0"/>
          <w:sz w:val="32"/>
          <w:szCs w:val="32"/>
        </w:rPr>
        <w:t>%；卫生健康支出</w:t>
      </w:r>
      <w:r>
        <w:rPr>
          <w:rFonts w:hint="eastAsia" w:ascii="仿宋_GB2312" w:hAnsi="仿宋_GB2312" w:eastAsia="仿宋_GB2312" w:cs="仿宋_GB2312"/>
          <w:b w:val="0"/>
          <w:i w:val="0"/>
          <w:sz w:val="32"/>
          <w:szCs w:val="32"/>
          <w:lang w:val="en-US" w:eastAsia="zh-CN"/>
        </w:rPr>
        <w:t>506.48</w:t>
      </w:r>
      <w:r>
        <w:rPr>
          <w:rFonts w:hint="eastAsia" w:ascii="仿宋_GB2312" w:hAnsi="仿宋_GB2312" w:eastAsia="仿宋_GB2312" w:cs="仿宋_GB2312"/>
          <w:b w:val="0"/>
          <w:i w:val="0"/>
          <w:sz w:val="32"/>
          <w:szCs w:val="32"/>
        </w:rPr>
        <w:t>万元，占</w:t>
      </w:r>
      <w:r>
        <w:rPr>
          <w:rFonts w:hint="eastAsia" w:ascii="仿宋_GB2312" w:hAnsi="仿宋_GB2312" w:eastAsia="仿宋_GB2312" w:cs="仿宋_GB2312"/>
          <w:b w:val="0"/>
          <w:i w:val="0"/>
          <w:sz w:val="32"/>
          <w:szCs w:val="32"/>
          <w:lang w:val="en-US" w:eastAsia="zh-CN"/>
        </w:rPr>
        <w:t>81.4</w:t>
      </w:r>
      <w:r>
        <w:rPr>
          <w:rFonts w:hint="eastAsia" w:ascii="仿宋_GB2312" w:hAnsi="仿宋_GB2312" w:eastAsia="仿宋_GB2312" w:cs="仿宋_GB2312"/>
          <w:b w:val="0"/>
          <w:i w:val="0"/>
          <w:sz w:val="32"/>
          <w:szCs w:val="32"/>
        </w:rPr>
        <w:t>%；住房保障支出</w:t>
      </w:r>
      <w:r>
        <w:rPr>
          <w:rFonts w:hint="eastAsia" w:ascii="仿宋_GB2312" w:hAnsi="仿宋_GB2312" w:eastAsia="仿宋_GB2312" w:cs="仿宋_GB2312"/>
          <w:b w:val="0"/>
          <w:i w:val="0"/>
          <w:sz w:val="32"/>
          <w:szCs w:val="32"/>
          <w:lang w:val="en-US" w:eastAsia="zh-CN"/>
        </w:rPr>
        <w:t>43.26</w:t>
      </w:r>
      <w:r>
        <w:rPr>
          <w:rFonts w:hint="eastAsia" w:ascii="仿宋_GB2312" w:hAnsi="仿宋_GB2312" w:eastAsia="仿宋_GB2312" w:cs="仿宋_GB2312"/>
          <w:b w:val="0"/>
          <w:i w:val="0"/>
          <w:sz w:val="32"/>
          <w:szCs w:val="32"/>
        </w:rPr>
        <w:t>万元，占</w:t>
      </w:r>
      <w:r>
        <w:rPr>
          <w:rFonts w:hint="eastAsia" w:ascii="仿宋_GB2312" w:hAnsi="仿宋_GB2312" w:eastAsia="仿宋_GB2312" w:cs="仿宋_GB2312"/>
          <w:b w:val="0"/>
          <w:i w:val="0"/>
          <w:sz w:val="32"/>
          <w:szCs w:val="32"/>
          <w:lang w:val="en-US" w:eastAsia="zh-CN"/>
        </w:rPr>
        <w:t>6.9</w:t>
      </w:r>
      <w:r>
        <w:rPr>
          <w:rFonts w:hint="eastAsia" w:ascii="仿宋_GB2312" w:hAnsi="仿宋_GB2312" w:eastAsia="仿宋_GB2312" w:cs="仿宋_GB2312"/>
          <w:b w:val="0"/>
          <w:i w:val="0"/>
          <w:sz w:val="32"/>
          <w:szCs w:val="32"/>
        </w:rPr>
        <w:t>%。</w:t>
      </w:r>
    </w:p>
    <w:p w14:paraId="715626D2">
      <w:pPr>
        <w:pageBreakBefore w:val="0"/>
        <w:kinsoku/>
        <w:wordWrap/>
        <w:overflowPunct/>
        <w:topLinePunct w:val="0"/>
        <w:bidi w:val="0"/>
        <w:spacing w:line="576" w:lineRule="exact"/>
        <w:ind w:firstLine="643" w:firstLineChars="200"/>
        <w:textAlignment w:val="auto"/>
        <w:outlineLvl w:val="2"/>
        <w:rPr>
          <w:rFonts w:hint="eastAsia" w:ascii="Times New Roman" w:hAnsi="Times New Roman" w:eastAsia="楷体_GB2312" w:cs="Times New Roman"/>
          <w:b/>
          <w:color w:val="auto"/>
          <w:sz w:val="32"/>
          <w:szCs w:val="32"/>
          <w:highlight w:val="none"/>
        </w:rPr>
      </w:pPr>
      <w:bookmarkStart w:id="43" w:name="_Toc15377212"/>
      <w:r>
        <w:rPr>
          <w:rFonts w:hint="eastAsia" w:ascii="Times New Roman" w:hAnsi="Times New Roman" w:eastAsia="楷体_GB2312" w:cs="Times New Roman"/>
          <w:b/>
          <w:color w:val="auto"/>
          <w:sz w:val="32"/>
          <w:szCs w:val="32"/>
          <w:highlight w:val="none"/>
          <w:lang w:eastAsia="zh-CN"/>
        </w:rPr>
        <w:drawing>
          <wp:anchor distT="0" distB="0" distL="114300" distR="114300" simplePos="0" relativeHeight="251665408" behindDoc="0" locked="0" layoutInCell="1" allowOverlap="1">
            <wp:simplePos x="0" y="0"/>
            <wp:positionH relativeFrom="column">
              <wp:posOffset>304800</wp:posOffset>
            </wp:positionH>
            <wp:positionV relativeFrom="paragraph">
              <wp:posOffset>21590</wp:posOffset>
            </wp:positionV>
            <wp:extent cx="4790440" cy="2284095"/>
            <wp:effectExtent l="4445" t="4445" r="5715" b="54610"/>
            <wp:wrapTopAndBottom/>
            <wp:docPr id="6" name="图表 6" descr="7b0a202020202263686172745265734964223a20223230343735383537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Pr>
          <w:rFonts w:hint="eastAsia" w:ascii="Times New Roman" w:hAnsi="Times New Roman" w:eastAsia="楷体_GB2312" w:cs="Times New Roman"/>
          <w:b/>
          <w:color w:val="auto"/>
          <w:sz w:val="32"/>
          <w:szCs w:val="32"/>
          <w:highlight w:val="none"/>
        </w:rPr>
        <w:t>（三）一般公共预算财政拨款支出决算具体情况</w:t>
      </w:r>
      <w:bookmarkEnd w:id="43"/>
    </w:p>
    <w:p w14:paraId="5BD31579">
      <w:pPr>
        <w:spacing w:line="600" w:lineRule="exact"/>
        <w:ind w:firstLine="640"/>
        <w:rPr>
          <w:rFonts w:hint="eastAsia" w:ascii="仿宋_GB2312" w:hAnsi="仿宋_GB2312" w:eastAsia="仿宋_GB2312" w:cs="仿宋_GB2312"/>
          <w:b w:val="0"/>
          <w:i w:val="0"/>
          <w:color w:val="000000"/>
          <w:sz w:val="32"/>
          <w:szCs w:val="32"/>
        </w:rPr>
      </w:pPr>
      <w:bookmarkStart w:id="44" w:name="_Toc7749"/>
      <w:bookmarkStart w:id="45" w:name="_Toc15377213"/>
      <w:bookmarkStart w:id="46" w:name="_Toc15378460"/>
      <w:bookmarkStart w:id="47" w:name="_Toc15377444"/>
      <w:r>
        <w:rPr>
          <w:rFonts w:hint="eastAsia" w:ascii="仿宋_GB2312" w:hAnsi="仿宋_GB2312" w:eastAsia="仿宋_GB2312" w:cs="仿宋_GB2312"/>
          <w:b w:val="0"/>
          <w:i w:val="0"/>
          <w:color w:val="000000"/>
          <w:sz w:val="32"/>
          <w:szCs w:val="32"/>
          <w:lang w:eastAsia="zh-CN"/>
        </w:rPr>
        <w:t>2025年</w:t>
      </w:r>
      <w:r>
        <w:rPr>
          <w:rFonts w:hint="eastAsia" w:ascii="仿宋_GB2312" w:hAnsi="仿宋_GB2312" w:eastAsia="仿宋_GB2312" w:cs="仿宋_GB2312"/>
          <w:b w:val="0"/>
          <w:i w:val="0"/>
          <w:color w:val="000000"/>
          <w:sz w:val="32"/>
          <w:szCs w:val="32"/>
        </w:rPr>
        <w:t>度一般公共预算支出决算数为</w:t>
      </w:r>
      <w:r>
        <w:rPr>
          <w:rFonts w:hint="eastAsia" w:ascii="仿宋_GB2312" w:hAnsi="仿宋_GB2312" w:eastAsia="仿宋_GB2312" w:cs="仿宋_GB2312"/>
          <w:b w:val="0"/>
          <w:i w:val="0"/>
          <w:color w:val="000000"/>
          <w:sz w:val="32"/>
          <w:szCs w:val="32"/>
          <w:lang w:eastAsia="zh-CN"/>
        </w:rPr>
        <w:t>622.47</w:t>
      </w:r>
      <w:r>
        <w:rPr>
          <w:rFonts w:hint="eastAsia" w:ascii="仿宋_GB2312" w:hAnsi="仿宋_GB2312" w:eastAsia="仿宋_GB2312" w:cs="仿宋_GB2312"/>
          <w:b w:val="0"/>
          <w:i w:val="0"/>
          <w:color w:val="000000"/>
          <w:sz w:val="32"/>
          <w:szCs w:val="32"/>
          <w:lang w:val="en-US" w:eastAsia="zh-CN"/>
        </w:rPr>
        <w:t>万元</w:t>
      </w:r>
      <w:r>
        <w:rPr>
          <w:rFonts w:hint="eastAsia" w:ascii="仿宋_GB2312" w:hAnsi="仿宋_GB2312" w:eastAsia="仿宋_GB2312" w:cs="仿宋_GB2312"/>
          <w:b w:val="0"/>
          <w:i w:val="0"/>
          <w:color w:val="000000"/>
          <w:sz w:val="32"/>
          <w:szCs w:val="32"/>
        </w:rPr>
        <w:t>，完成预算</w:t>
      </w:r>
      <w:r>
        <w:rPr>
          <w:rFonts w:hint="eastAsia" w:ascii="仿宋_GB2312" w:hAnsi="仿宋_GB2312" w:eastAsia="仿宋_GB2312" w:cs="仿宋_GB2312"/>
          <w:b w:val="0"/>
          <w:i w:val="0"/>
          <w:color w:val="000000"/>
          <w:sz w:val="32"/>
          <w:szCs w:val="32"/>
          <w:lang w:val="en-US" w:eastAsia="zh-CN"/>
        </w:rPr>
        <w:t>100</w:t>
      </w:r>
      <w:r>
        <w:rPr>
          <w:rFonts w:hint="eastAsia" w:ascii="仿宋_GB2312" w:hAnsi="仿宋_GB2312" w:eastAsia="仿宋_GB2312" w:cs="仿宋_GB2312"/>
          <w:b w:val="0"/>
          <w:i w:val="0"/>
          <w:color w:val="000000"/>
          <w:sz w:val="32"/>
          <w:szCs w:val="32"/>
        </w:rPr>
        <w:t>%。其中：</w:t>
      </w:r>
      <w:bookmarkEnd w:id="44"/>
      <w:bookmarkEnd w:id="45"/>
      <w:bookmarkEnd w:id="46"/>
      <w:bookmarkEnd w:id="47"/>
    </w:p>
    <w:p w14:paraId="25CA4A5C">
      <w:pPr>
        <w:spacing w:line="600" w:lineRule="exact"/>
        <w:ind w:firstLine="640"/>
        <w:rPr>
          <w:rFonts w:hint="eastAsia" w:ascii="仿宋_GB2312" w:hAnsi="仿宋_GB2312" w:eastAsia="仿宋_GB2312" w:cs="仿宋_GB2312"/>
          <w:b w:val="0"/>
          <w:i w:val="0"/>
          <w:color w:val="000000"/>
          <w:sz w:val="32"/>
          <w:szCs w:val="32"/>
        </w:rPr>
      </w:pPr>
      <w:r>
        <w:rPr>
          <w:rFonts w:hint="eastAsia" w:ascii="仿宋_GB2312" w:hAnsi="仿宋_GB2312" w:eastAsia="仿宋_GB2312" w:cs="仿宋_GB2312"/>
          <w:b w:val="0"/>
          <w:i w:val="0"/>
          <w:color w:val="000000"/>
          <w:sz w:val="32"/>
          <w:szCs w:val="32"/>
        </w:rPr>
        <w:t>1.社会保障和就业支出（</w:t>
      </w:r>
      <w:r>
        <w:rPr>
          <w:rStyle w:val="20"/>
          <w:rFonts w:hint="eastAsia" w:ascii="仿宋_GB2312" w:hAnsi="仿宋_GB2312" w:eastAsia="仿宋_GB2312" w:cs="仿宋_GB2312"/>
          <w:b w:val="0"/>
          <w:bCs/>
          <w:i w:val="0"/>
          <w:color w:val="auto"/>
          <w:sz w:val="32"/>
          <w:szCs w:val="32"/>
          <w:highlight w:val="none"/>
        </w:rPr>
        <w:t>类</w:t>
      </w:r>
      <w:r>
        <w:rPr>
          <w:rFonts w:hint="eastAsia" w:ascii="仿宋_GB2312" w:hAnsi="仿宋_GB2312" w:eastAsia="仿宋_GB2312" w:cs="仿宋_GB2312"/>
          <w:b w:val="0"/>
          <w:i w:val="0"/>
          <w:color w:val="000000"/>
          <w:sz w:val="32"/>
          <w:szCs w:val="32"/>
        </w:rPr>
        <w:t>）行政事业单位养老支出（</w:t>
      </w:r>
      <w:r>
        <w:rPr>
          <w:rStyle w:val="20"/>
          <w:rFonts w:hint="eastAsia" w:ascii="仿宋_GB2312" w:hAnsi="仿宋_GB2312" w:eastAsia="仿宋_GB2312" w:cs="仿宋_GB2312"/>
          <w:b w:val="0"/>
          <w:bCs/>
          <w:i w:val="0"/>
          <w:color w:val="auto"/>
          <w:sz w:val="32"/>
          <w:szCs w:val="32"/>
          <w:highlight w:val="none"/>
        </w:rPr>
        <w:t>款</w:t>
      </w:r>
      <w:r>
        <w:rPr>
          <w:rFonts w:hint="eastAsia" w:ascii="仿宋_GB2312" w:hAnsi="仿宋_GB2312" w:eastAsia="仿宋_GB2312" w:cs="仿宋_GB2312"/>
          <w:b w:val="0"/>
          <w:i w:val="0"/>
          <w:color w:val="000000"/>
          <w:sz w:val="32"/>
          <w:szCs w:val="32"/>
        </w:rPr>
        <w:t>）机关事业单位基本养老保险缴费支出（</w:t>
      </w:r>
      <w:r>
        <w:rPr>
          <w:rStyle w:val="20"/>
          <w:rFonts w:hint="eastAsia" w:ascii="仿宋_GB2312" w:hAnsi="仿宋_GB2312" w:eastAsia="仿宋_GB2312" w:cs="仿宋_GB2312"/>
          <w:b w:val="0"/>
          <w:bCs/>
          <w:i w:val="0"/>
          <w:color w:val="auto"/>
          <w:sz w:val="32"/>
          <w:szCs w:val="32"/>
          <w:highlight w:val="none"/>
        </w:rPr>
        <w:t>项</w:t>
      </w:r>
      <w:r>
        <w:rPr>
          <w:rFonts w:hint="eastAsia" w:ascii="仿宋_GB2312" w:hAnsi="仿宋_GB2312" w:eastAsia="仿宋_GB2312" w:cs="仿宋_GB2312"/>
          <w:b w:val="0"/>
          <w:i w:val="0"/>
          <w:color w:val="000000"/>
          <w:sz w:val="32"/>
          <w:szCs w:val="32"/>
        </w:rPr>
        <w:t>）支出决算</w:t>
      </w:r>
      <w:r>
        <w:rPr>
          <w:rFonts w:hint="eastAsia" w:ascii="仿宋_GB2312" w:hAnsi="仿宋_GB2312" w:eastAsia="仿宋_GB2312" w:cs="仿宋_GB2312"/>
          <w:b w:val="0"/>
          <w:i w:val="0"/>
          <w:color w:val="000000"/>
          <w:sz w:val="32"/>
          <w:szCs w:val="32"/>
          <w:lang w:val="en-US" w:eastAsia="zh-CN"/>
        </w:rPr>
        <w:t>48.49</w:t>
      </w:r>
      <w:r>
        <w:rPr>
          <w:rFonts w:hint="eastAsia" w:ascii="仿宋_GB2312" w:hAnsi="仿宋_GB2312" w:eastAsia="仿宋_GB2312" w:cs="仿宋_GB2312"/>
          <w:b w:val="0"/>
          <w:i w:val="0"/>
          <w:color w:val="000000"/>
          <w:sz w:val="32"/>
          <w:szCs w:val="32"/>
          <w:lang w:eastAsia="zh-CN"/>
        </w:rPr>
        <w:t>万元</w:t>
      </w:r>
      <w:r>
        <w:rPr>
          <w:rFonts w:hint="eastAsia" w:ascii="仿宋_GB2312" w:hAnsi="仿宋_GB2312" w:eastAsia="仿宋_GB2312" w:cs="仿宋_GB2312"/>
          <w:b w:val="0"/>
          <w:i w:val="0"/>
          <w:color w:val="000000"/>
          <w:sz w:val="32"/>
          <w:szCs w:val="32"/>
          <w:lang w:val="en-US" w:eastAsia="zh-CN"/>
        </w:rPr>
        <w:t>，</w:t>
      </w:r>
      <w:r>
        <w:rPr>
          <w:rFonts w:hint="eastAsia" w:ascii="仿宋_GB2312" w:hAnsi="仿宋_GB2312" w:eastAsia="仿宋_GB2312" w:cs="仿宋_GB2312"/>
          <w:b w:val="0"/>
          <w:i w:val="0"/>
          <w:color w:val="000000"/>
          <w:sz w:val="32"/>
          <w:szCs w:val="32"/>
        </w:rPr>
        <w:t>完成预算100%</w:t>
      </w:r>
      <w:r>
        <w:rPr>
          <w:rFonts w:hint="eastAsia" w:ascii="仿宋_GB2312" w:hAnsi="仿宋_GB2312" w:eastAsia="仿宋_GB2312" w:cs="仿宋_GB2312"/>
          <w:b w:val="0"/>
          <w:i w:val="0"/>
          <w:color w:val="000000"/>
          <w:sz w:val="32"/>
          <w:szCs w:val="32"/>
          <w:lang w:val="en-US" w:eastAsia="zh-CN"/>
        </w:rPr>
        <w:t>，决算数与预算数持平。</w:t>
      </w:r>
      <w:r>
        <w:rPr>
          <w:rFonts w:hint="eastAsia" w:ascii="仿宋_GB2312" w:hAnsi="仿宋_GB2312" w:eastAsia="仿宋_GB2312" w:cs="仿宋_GB2312"/>
          <w:b w:val="0"/>
          <w:i w:val="0"/>
          <w:color w:val="000000"/>
          <w:sz w:val="32"/>
          <w:szCs w:val="32"/>
        </w:rPr>
        <w:cr/>
      </w:r>
      <w:r>
        <w:rPr>
          <w:rFonts w:hint="eastAsia" w:ascii="仿宋_GB2312" w:hAnsi="仿宋_GB2312" w:eastAsia="仿宋_GB2312" w:cs="仿宋_GB2312"/>
          <w:b w:val="0"/>
          <w:i w:val="0"/>
          <w:color w:val="000000"/>
          <w:sz w:val="32"/>
          <w:szCs w:val="32"/>
          <w:lang w:val="en-US" w:eastAsia="zh-CN"/>
        </w:rPr>
        <w:t xml:space="preserve">    </w:t>
      </w:r>
      <w:r>
        <w:rPr>
          <w:rFonts w:hint="eastAsia" w:ascii="仿宋_GB2312" w:hAnsi="仿宋_GB2312" w:eastAsia="仿宋_GB2312" w:cs="仿宋_GB2312"/>
          <w:b w:val="0"/>
          <w:i w:val="0"/>
          <w:color w:val="000000"/>
          <w:sz w:val="32"/>
          <w:szCs w:val="32"/>
        </w:rPr>
        <w:t>2.社会保障和就业支出（</w:t>
      </w:r>
      <w:r>
        <w:rPr>
          <w:rStyle w:val="20"/>
          <w:rFonts w:hint="eastAsia" w:ascii="仿宋_GB2312" w:hAnsi="仿宋_GB2312" w:eastAsia="仿宋_GB2312" w:cs="仿宋_GB2312"/>
          <w:b w:val="0"/>
          <w:bCs/>
          <w:i w:val="0"/>
          <w:color w:val="auto"/>
          <w:sz w:val="32"/>
          <w:szCs w:val="32"/>
          <w:highlight w:val="none"/>
        </w:rPr>
        <w:t>类</w:t>
      </w:r>
      <w:r>
        <w:rPr>
          <w:rFonts w:hint="eastAsia" w:ascii="仿宋_GB2312" w:hAnsi="仿宋_GB2312" w:eastAsia="仿宋_GB2312" w:cs="仿宋_GB2312"/>
          <w:b w:val="0"/>
          <w:i w:val="0"/>
          <w:color w:val="000000"/>
          <w:sz w:val="32"/>
          <w:szCs w:val="32"/>
        </w:rPr>
        <w:t>）行政事业单位养老支出（</w:t>
      </w:r>
      <w:r>
        <w:rPr>
          <w:rStyle w:val="20"/>
          <w:rFonts w:hint="eastAsia" w:ascii="仿宋_GB2312" w:hAnsi="仿宋_GB2312" w:eastAsia="仿宋_GB2312" w:cs="仿宋_GB2312"/>
          <w:b w:val="0"/>
          <w:bCs/>
          <w:i w:val="0"/>
          <w:color w:val="auto"/>
          <w:sz w:val="32"/>
          <w:szCs w:val="32"/>
          <w:highlight w:val="none"/>
        </w:rPr>
        <w:t>款</w:t>
      </w:r>
      <w:r>
        <w:rPr>
          <w:rFonts w:hint="eastAsia" w:ascii="仿宋_GB2312" w:hAnsi="仿宋_GB2312" w:eastAsia="仿宋_GB2312" w:cs="仿宋_GB2312"/>
          <w:b w:val="0"/>
          <w:i w:val="0"/>
          <w:color w:val="000000"/>
          <w:sz w:val="32"/>
          <w:szCs w:val="32"/>
        </w:rPr>
        <w:t>）机关事业单位职业年金缴费支出（</w:t>
      </w:r>
      <w:r>
        <w:rPr>
          <w:rStyle w:val="20"/>
          <w:rFonts w:hint="eastAsia" w:ascii="仿宋_GB2312" w:hAnsi="仿宋_GB2312" w:eastAsia="仿宋_GB2312" w:cs="仿宋_GB2312"/>
          <w:b w:val="0"/>
          <w:bCs/>
          <w:i w:val="0"/>
          <w:color w:val="auto"/>
          <w:sz w:val="32"/>
          <w:szCs w:val="32"/>
          <w:highlight w:val="none"/>
        </w:rPr>
        <w:t>项</w:t>
      </w:r>
      <w:r>
        <w:rPr>
          <w:rFonts w:hint="eastAsia" w:ascii="仿宋_GB2312" w:hAnsi="仿宋_GB2312" w:eastAsia="仿宋_GB2312" w:cs="仿宋_GB2312"/>
          <w:b w:val="0"/>
          <w:i w:val="0"/>
          <w:color w:val="000000"/>
          <w:sz w:val="32"/>
          <w:szCs w:val="32"/>
        </w:rPr>
        <w:t>）支出决算</w:t>
      </w:r>
      <w:r>
        <w:rPr>
          <w:rFonts w:hint="eastAsia" w:ascii="仿宋_GB2312" w:hAnsi="仿宋_GB2312" w:eastAsia="仿宋_GB2312" w:cs="仿宋_GB2312"/>
          <w:b w:val="0"/>
          <w:i w:val="0"/>
          <w:color w:val="000000"/>
          <w:sz w:val="32"/>
          <w:szCs w:val="32"/>
          <w:lang w:val="en-US" w:eastAsia="zh-CN"/>
        </w:rPr>
        <w:t>24.24</w:t>
      </w:r>
      <w:r>
        <w:rPr>
          <w:rFonts w:hint="eastAsia" w:ascii="仿宋_GB2312" w:hAnsi="仿宋_GB2312" w:eastAsia="仿宋_GB2312" w:cs="仿宋_GB2312"/>
          <w:b w:val="0"/>
          <w:i w:val="0"/>
          <w:color w:val="000000"/>
          <w:sz w:val="32"/>
          <w:szCs w:val="32"/>
        </w:rPr>
        <w:t>万元，完成预算100%</w:t>
      </w:r>
      <w:r>
        <w:rPr>
          <w:rFonts w:hint="eastAsia" w:ascii="仿宋_GB2312" w:hAnsi="仿宋_GB2312" w:eastAsia="仿宋_GB2312" w:cs="仿宋_GB2312"/>
          <w:b w:val="0"/>
          <w:i w:val="0"/>
          <w:color w:val="000000"/>
          <w:sz w:val="32"/>
          <w:szCs w:val="32"/>
          <w:lang w:val="en-US" w:eastAsia="zh-CN"/>
        </w:rPr>
        <w:t>，决算数与预算数持平。</w:t>
      </w:r>
    </w:p>
    <w:p w14:paraId="586A898E">
      <w:pPr>
        <w:spacing w:line="600" w:lineRule="exact"/>
        <w:ind w:firstLine="640"/>
        <w:rPr>
          <w:rFonts w:hint="eastAsia" w:ascii="仿宋_GB2312" w:hAnsi="仿宋_GB2312" w:eastAsia="仿宋_GB2312" w:cs="仿宋_GB2312"/>
          <w:b w:val="0"/>
          <w:i w:val="0"/>
          <w:color w:val="000000"/>
          <w:sz w:val="32"/>
          <w:szCs w:val="32"/>
        </w:rPr>
      </w:pPr>
      <w:r>
        <w:rPr>
          <w:rFonts w:hint="eastAsia" w:ascii="仿宋_GB2312" w:hAnsi="仿宋_GB2312" w:eastAsia="仿宋_GB2312" w:cs="仿宋_GB2312"/>
          <w:b w:val="0"/>
          <w:i w:val="0"/>
          <w:color w:val="000000"/>
          <w:sz w:val="32"/>
          <w:szCs w:val="32"/>
        </w:rPr>
        <w:t>3.卫生健康支出（</w:t>
      </w:r>
      <w:r>
        <w:rPr>
          <w:rStyle w:val="20"/>
          <w:rFonts w:hint="eastAsia" w:ascii="仿宋_GB2312" w:hAnsi="仿宋_GB2312" w:eastAsia="仿宋_GB2312" w:cs="仿宋_GB2312"/>
          <w:b w:val="0"/>
          <w:bCs/>
          <w:i w:val="0"/>
          <w:color w:val="auto"/>
          <w:sz w:val="32"/>
          <w:szCs w:val="32"/>
          <w:highlight w:val="none"/>
        </w:rPr>
        <w:t>类</w:t>
      </w:r>
      <w:r>
        <w:rPr>
          <w:rFonts w:hint="eastAsia" w:ascii="仿宋_GB2312" w:hAnsi="仿宋_GB2312" w:eastAsia="仿宋_GB2312" w:cs="仿宋_GB2312"/>
          <w:b w:val="0"/>
          <w:i w:val="0"/>
          <w:color w:val="000000"/>
          <w:sz w:val="32"/>
          <w:szCs w:val="32"/>
        </w:rPr>
        <w:t>）基层医疗卫生机构（</w:t>
      </w:r>
      <w:r>
        <w:rPr>
          <w:rStyle w:val="20"/>
          <w:rFonts w:hint="eastAsia" w:ascii="仿宋_GB2312" w:hAnsi="仿宋_GB2312" w:eastAsia="仿宋_GB2312" w:cs="仿宋_GB2312"/>
          <w:b w:val="0"/>
          <w:bCs/>
          <w:i w:val="0"/>
          <w:color w:val="auto"/>
          <w:sz w:val="32"/>
          <w:szCs w:val="32"/>
          <w:highlight w:val="none"/>
        </w:rPr>
        <w:t>款</w:t>
      </w:r>
      <w:r>
        <w:rPr>
          <w:rFonts w:hint="eastAsia" w:ascii="仿宋_GB2312" w:hAnsi="仿宋_GB2312" w:eastAsia="仿宋_GB2312" w:cs="仿宋_GB2312"/>
          <w:b w:val="0"/>
          <w:i w:val="0"/>
          <w:color w:val="000000"/>
          <w:sz w:val="32"/>
          <w:szCs w:val="32"/>
        </w:rPr>
        <w:t>）乡镇卫生院（</w:t>
      </w:r>
      <w:r>
        <w:rPr>
          <w:rStyle w:val="20"/>
          <w:rFonts w:hint="eastAsia" w:ascii="仿宋_GB2312" w:hAnsi="仿宋_GB2312" w:eastAsia="仿宋_GB2312" w:cs="仿宋_GB2312"/>
          <w:b w:val="0"/>
          <w:bCs/>
          <w:i w:val="0"/>
          <w:color w:val="auto"/>
          <w:sz w:val="32"/>
          <w:szCs w:val="32"/>
          <w:highlight w:val="none"/>
        </w:rPr>
        <w:t>项</w:t>
      </w:r>
      <w:r>
        <w:rPr>
          <w:rFonts w:hint="eastAsia" w:ascii="仿宋_GB2312" w:hAnsi="仿宋_GB2312" w:eastAsia="仿宋_GB2312" w:cs="仿宋_GB2312"/>
          <w:b w:val="0"/>
          <w:i w:val="0"/>
          <w:color w:val="000000"/>
          <w:sz w:val="32"/>
          <w:szCs w:val="32"/>
        </w:rPr>
        <w:t>）支出决算</w:t>
      </w:r>
      <w:r>
        <w:rPr>
          <w:rFonts w:hint="eastAsia" w:ascii="仿宋_GB2312" w:hAnsi="仿宋_GB2312" w:eastAsia="仿宋_GB2312" w:cs="仿宋_GB2312"/>
          <w:b w:val="0"/>
          <w:i w:val="0"/>
          <w:color w:val="000000"/>
          <w:sz w:val="32"/>
          <w:szCs w:val="32"/>
          <w:lang w:val="en-US" w:eastAsia="zh-CN"/>
        </w:rPr>
        <w:t>405.44</w:t>
      </w:r>
      <w:r>
        <w:rPr>
          <w:rFonts w:hint="eastAsia" w:ascii="仿宋_GB2312" w:hAnsi="仿宋_GB2312" w:eastAsia="仿宋_GB2312" w:cs="仿宋_GB2312"/>
          <w:b w:val="0"/>
          <w:i w:val="0"/>
          <w:color w:val="000000"/>
          <w:sz w:val="32"/>
          <w:szCs w:val="32"/>
        </w:rPr>
        <w:t>万元，完成预算100%</w:t>
      </w:r>
      <w:r>
        <w:rPr>
          <w:rFonts w:hint="eastAsia" w:ascii="仿宋_GB2312" w:hAnsi="仿宋_GB2312" w:eastAsia="仿宋_GB2312" w:cs="仿宋_GB2312"/>
          <w:b w:val="0"/>
          <w:i w:val="0"/>
          <w:color w:val="000000"/>
          <w:sz w:val="32"/>
          <w:szCs w:val="32"/>
          <w:lang w:val="en-US" w:eastAsia="zh-CN"/>
        </w:rPr>
        <w:t>，决算数与预算数持平。</w:t>
      </w:r>
    </w:p>
    <w:p w14:paraId="0B00C501">
      <w:pPr>
        <w:spacing w:line="600" w:lineRule="exact"/>
        <w:ind w:firstLine="640"/>
        <w:rPr>
          <w:rFonts w:hint="eastAsia" w:ascii="仿宋_GB2312" w:hAnsi="仿宋_GB2312" w:eastAsia="仿宋_GB2312" w:cs="仿宋_GB2312"/>
          <w:b w:val="0"/>
          <w:i w:val="0"/>
          <w:color w:val="000000"/>
          <w:sz w:val="32"/>
          <w:szCs w:val="32"/>
        </w:rPr>
      </w:pPr>
      <w:r>
        <w:rPr>
          <w:rFonts w:hint="eastAsia" w:ascii="仿宋_GB2312" w:hAnsi="仿宋_GB2312" w:eastAsia="仿宋_GB2312" w:cs="仿宋_GB2312"/>
          <w:b w:val="0"/>
          <w:i w:val="0"/>
          <w:color w:val="000000"/>
          <w:sz w:val="32"/>
          <w:szCs w:val="32"/>
        </w:rPr>
        <w:t>4.卫生健康支出（</w:t>
      </w:r>
      <w:r>
        <w:rPr>
          <w:rStyle w:val="20"/>
          <w:rFonts w:hint="eastAsia" w:ascii="仿宋_GB2312" w:hAnsi="仿宋_GB2312" w:eastAsia="仿宋_GB2312" w:cs="仿宋_GB2312"/>
          <w:b w:val="0"/>
          <w:bCs/>
          <w:i w:val="0"/>
          <w:color w:val="auto"/>
          <w:sz w:val="32"/>
          <w:szCs w:val="32"/>
          <w:highlight w:val="none"/>
        </w:rPr>
        <w:t>类</w:t>
      </w:r>
      <w:r>
        <w:rPr>
          <w:rFonts w:hint="eastAsia" w:ascii="仿宋_GB2312" w:hAnsi="仿宋_GB2312" w:eastAsia="仿宋_GB2312" w:cs="仿宋_GB2312"/>
          <w:b w:val="0"/>
          <w:i w:val="0"/>
          <w:color w:val="000000"/>
          <w:sz w:val="32"/>
          <w:szCs w:val="32"/>
        </w:rPr>
        <w:t>）基层医疗卫生机构（</w:t>
      </w:r>
      <w:r>
        <w:rPr>
          <w:rStyle w:val="20"/>
          <w:rFonts w:hint="eastAsia" w:ascii="仿宋_GB2312" w:hAnsi="仿宋_GB2312" w:eastAsia="仿宋_GB2312" w:cs="仿宋_GB2312"/>
          <w:b w:val="0"/>
          <w:bCs/>
          <w:i w:val="0"/>
          <w:color w:val="auto"/>
          <w:sz w:val="32"/>
          <w:szCs w:val="32"/>
          <w:highlight w:val="none"/>
        </w:rPr>
        <w:t>款</w:t>
      </w:r>
      <w:r>
        <w:rPr>
          <w:rFonts w:hint="eastAsia" w:ascii="仿宋_GB2312" w:hAnsi="仿宋_GB2312" w:eastAsia="仿宋_GB2312" w:cs="仿宋_GB2312"/>
          <w:b w:val="0"/>
          <w:i w:val="0"/>
          <w:color w:val="000000"/>
          <w:sz w:val="32"/>
          <w:szCs w:val="32"/>
        </w:rPr>
        <w:t>）其他基层医疗卫生机构支出（</w:t>
      </w:r>
      <w:r>
        <w:rPr>
          <w:rStyle w:val="20"/>
          <w:rFonts w:hint="eastAsia" w:ascii="仿宋_GB2312" w:hAnsi="仿宋_GB2312" w:eastAsia="仿宋_GB2312" w:cs="仿宋_GB2312"/>
          <w:b w:val="0"/>
          <w:bCs/>
          <w:i w:val="0"/>
          <w:color w:val="auto"/>
          <w:sz w:val="32"/>
          <w:szCs w:val="32"/>
          <w:highlight w:val="none"/>
        </w:rPr>
        <w:t>项</w:t>
      </w:r>
      <w:r>
        <w:rPr>
          <w:rFonts w:hint="eastAsia" w:ascii="仿宋_GB2312" w:hAnsi="仿宋_GB2312" w:eastAsia="仿宋_GB2312" w:cs="仿宋_GB2312"/>
          <w:b w:val="0"/>
          <w:i w:val="0"/>
          <w:color w:val="000000"/>
          <w:sz w:val="32"/>
          <w:szCs w:val="32"/>
        </w:rPr>
        <w:t>）支出决算</w:t>
      </w:r>
      <w:r>
        <w:rPr>
          <w:rFonts w:hint="eastAsia" w:ascii="仿宋_GB2312" w:hAnsi="仿宋_GB2312" w:eastAsia="仿宋_GB2312" w:cs="仿宋_GB2312"/>
          <w:b w:val="0"/>
          <w:i w:val="0"/>
          <w:color w:val="000000"/>
          <w:sz w:val="32"/>
          <w:szCs w:val="32"/>
          <w:lang w:val="en-US" w:eastAsia="zh-CN"/>
        </w:rPr>
        <w:t>16.62</w:t>
      </w:r>
      <w:r>
        <w:rPr>
          <w:rFonts w:hint="eastAsia" w:ascii="仿宋_GB2312" w:hAnsi="仿宋_GB2312" w:eastAsia="仿宋_GB2312" w:cs="仿宋_GB2312"/>
          <w:b w:val="0"/>
          <w:i w:val="0"/>
          <w:color w:val="000000"/>
          <w:sz w:val="32"/>
          <w:szCs w:val="32"/>
        </w:rPr>
        <w:t>万元，完成预算100%</w:t>
      </w:r>
      <w:r>
        <w:rPr>
          <w:rFonts w:hint="eastAsia" w:ascii="仿宋_GB2312" w:hAnsi="仿宋_GB2312" w:eastAsia="仿宋_GB2312" w:cs="仿宋_GB2312"/>
          <w:b w:val="0"/>
          <w:i w:val="0"/>
          <w:color w:val="000000"/>
          <w:sz w:val="32"/>
          <w:szCs w:val="32"/>
          <w:lang w:val="en-US" w:eastAsia="zh-CN"/>
        </w:rPr>
        <w:t>，决算数与预算数持平。</w:t>
      </w:r>
    </w:p>
    <w:p w14:paraId="7847866A">
      <w:pPr>
        <w:spacing w:line="600" w:lineRule="exact"/>
        <w:ind w:firstLine="640"/>
        <w:rPr>
          <w:rFonts w:hint="eastAsia" w:ascii="仿宋_GB2312" w:hAnsi="仿宋_GB2312" w:eastAsia="仿宋_GB2312" w:cs="仿宋_GB2312"/>
          <w:b w:val="0"/>
          <w:i w:val="0"/>
          <w:color w:val="000000"/>
          <w:sz w:val="32"/>
          <w:szCs w:val="32"/>
        </w:rPr>
      </w:pPr>
      <w:r>
        <w:rPr>
          <w:rFonts w:hint="eastAsia" w:ascii="仿宋_GB2312" w:hAnsi="仿宋_GB2312" w:eastAsia="仿宋_GB2312" w:cs="仿宋_GB2312"/>
          <w:b w:val="0"/>
          <w:i w:val="0"/>
          <w:color w:val="000000"/>
          <w:sz w:val="32"/>
          <w:szCs w:val="32"/>
        </w:rPr>
        <w:t>5.卫生健康支出（</w:t>
      </w:r>
      <w:r>
        <w:rPr>
          <w:rStyle w:val="20"/>
          <w:rFonts w:hint="eastAsia" w:ascii="仿宋_GB2312" w:hAnsi="仿宋_GB2312" w:eastAsia="仿宋_GB2312" w:cs="仿宋_GB2312"/>
          <w:b w:val="0"/>
          <w:bCs/>
          <w:i w:val="0"/>
          <w:color w:val="auto"/>
          <w:sz w:val="32"/>
          <w:szCs w:val="32"/>
          <w:highlight w:val="none"/>
        </w:rPr>
        <w:t>类</w:t>
      </w:r>
      <w:r>
        <w:rPr>
          <w:rFonts w:hint="eastAsia" w:ascii="仿宋_GB2312" w:hAnsi="仿宋_GB2312" w:eastAsia="仿宋_GB2312" w:cs="仿宋_GB2312"/>
          <w:b w:val="0"/>
          <w:i w:val="0"/>
          <w:color w:val="000000"/>
          <w:sz w:val="32"/>
          <w:szCs w:val="32"/>
        </w:rPr>
        <w:t>）公共卫生（</w:t>
      </w:r>
      <w:r>
        <w:rPr>
          <w:rStyle w:val="20"/>
          <w:rFonts w:hint="eastAsia" w:ascii="仿宋_GB2312" w:hAnsi="仿宋_GB2312" w:eastAsia="仿宋_GB2312" w:cs="仿宋_GB2312"/>
          <w:b w:val="0"/>
          <w:bCs/>
          <w:i w:val="0"/>
          <w:color w:val="auto"/>
          <w:sz w:val="32"/>
          <w:szCs w:val="32"/>
          <w:highlight w:val="none"/>
        </w:rPr>
        <w:t>款</w:t>
      </w:r>
      <w:r>
        <w:rPr>
          <w:rFonts w:hint="eastAsia" w:ascii="仿宋_GB2312" w:hAnsi="仿宋_GB2312" w:eastAsia="仿宋_GB2312" w:cs="仿宋_GB2312"/>
          <w:b w:val="0"/>
          <w:i w:val="0"/>
          <w:color w:val="000000"/>
          <w:sz w:val="32"/>
          <w:szCs w:val="32"/>
        </w:rPr>
        <w:t>）基本公共卫生服务（</w:t>
      </w:r>
      <w:r>
        <w:rPr>
          <w:rStyle w:val="20"/>
          <w:rFonts w:hint="eastAsia" w:ascii="仿宋_GB2312" w:hAnsi="仿宋_GB2312" w:eastAsia="仿宋_GB2312" w:cs="仿宋_GB2312"/>
          <w:b w:val="0"/>
          <w:bCs/>
          <w:i w:val="0"/>
          <w:color w:val="auto"/>
          <w:sz w:val="32"/>
          <w:szCs w:val="32"/>
          <w:highlight w:val="none"/>
        </w:rPr>
        <w:t>项</w:t>
      </w:r>
      <w:r>
        <w:rPr>
          <w:rFonts w:hint="eastAsia" w:ascii="仿宋_GB2312" w:hAnsi="仿宋_GB2312" w:eastAsia="仿宋_GB2312" w:cs="仿宋_GB2312"/>
          <w:b w:val="0"/>
          <w:i w:val="0"/>
          <w:color w:val="000000"/>
          <w:sz w:val="32"/>
          <w:szCs w:val="32"/>
        </w:rPr>
        <w:t>）支出决算</w:t>
      </w:r>
      <w:r>
        <w:rPr>
          <w:rFonts w:hint="eastAsia" w:ascii="仿宋_GB2312" w:hAnsi="仿宋_GB2312" w:eastAsia="仿宋_GB2312" w:cs="仿宋_GB2312"/>
          <w:b w:val="0"/>
          <w:i w:val="0"/>
          <w:color w:val="000000"/>
          <w:sz w:val="32"/>
          <w:szCs w:val="32"/>
          <w:lang w:val="en-US" w:eastAsia="zh-CN"/>
        </w:rPr>
        <w:t>45.76</w:t>
      </w:r>
      <w:r>
        <w:rPr>
          <w:rFonts w:hint="eastAsia" w:ascii="仿宋_GB2312" w:hAnsi="仿宋_GB2312" w:eastAsia="仿宋_GB2312" w:cs="仿宋_GB2312"/>
          <w:b w:val="0"/>
          <w:i w:val="0"/>
          <w:color w:val="000000"/>
          <w:sz w:val="32"/>
          <w:szCs w:val="32"/>
        </w:rPr>
        <w:t>万元，完成预算100%</w:t>
      </w:r>
      <w:r>
        <w:rPr>
          <w:rFonts w:hint="eastAsia" w:ascii="仿宋_GB2312" w:hAnsi="仿宋_GB2312" w:eastAsia="仿宋_GB2312" w:cs="仿宋_GB2312"/>
          <w:b w:val="0"/>
          <w:i w:val="0"/>
          <w:color w:val="000000"/>
          <w:sz w:val="32"/>
          <w:szCs w:val="32"/>
          <w:lang w:val="en-US" w:eastAsia="zh-CN"/>
        </w:rPr>
        <w:t>，决算数与预算数持平。</w:t>
      </w:r>
    </w:p>
    <w:p w14:paraId="1E7E0F53">
      <w:pPr>
        <w:spacing w:line="600" w:lineRule="exact"/>
        <w:ind w:firstLine="640"/>
        <w:rPr>
          <w:rStyle w:val="20"/>
          <w:rFonts w:hint="eastAsia" w:ascii="仿宋_GB2312" w:hAnsi="仿宋_GB2312" w:eastAsia="仿宋_GB2312" w:cs="仿宋_GB2312"/>
          <w:b w:val="0"/>
          <w:bCs/>
          <w:i w:val="0"/>
          <w:sz w:val="32"/>
          <w:szCs w:val="32"/>
          <w:highlight w:val="none"/>
          <w:lang w:eastAsia="zh-CN"/>
        </w:rPr>
      </w:pPr>
      <w:r>
        <w:rPr>
          <w:rStyle w:val="20"/>
          <w:rFonts w:hint="eastAsia" w:ascii="仿宋_GB2312" w:hAnsi="仿宋_GB2312" w:eastAsia="仿宋_GB2312" w:cs="仿宋_GB2312"/>
          <w:b w:val="0"/>
          <w:bCs/>
          <w:i w:val="0"/>
          <w:sz w:val="32"/>
          <w:szCs w:val="32"/>
          <w:highlight w:val="none"/>
          <w:lang w:val="en-US" w:eastAsia="zh-CN"/>
        </w:rPr>
        <w:t>6</w:t>
      </w:r>
      <w:r>
        <w:rPr>
          <w:rStyle w:val="20"/>
          <w:rFonts w:hint="eastAsia" w:ascii="仿宋_GB2312" w:hAnsi="仿宋_GB2312" w:eastAsia="仿宋_GB2312" w:cs="仿宋_GB2312"/>
          <w:b w:val="0"/>
          <w:bCs/>
          <w:i w:val="0"/>
          <w:sz w:val="32"/>
          <w:szCs w:val="32"/>
          <w:highlight w:val="none"/>
        </w:rPr>
        <w:t>.</w:t>
      </w:r>
      <w:r>
        <w:rPr>
          <w:rFonts w:hint="eastAsia" w:ascii="仿宋_GB2312" w:hAnsi="仿宋_GB2312" w:eastAsia="仿宋_GB2312" w:cs="仿宋_GB2312"/>
          <w:b w:val="0"/>
          <w:bCs/>
          <w:i w:val="0"/>
          <w:sz w:val="32"/>
          <w:szCs w:val="32"/>
          <w:highlight w:val="none"/>
        </w:rPr>
        <w:t>卫生健康</w:t>
      </w:r>
      <w:r>
        <w:rPr>
          <w:rStyle w:val="20"/>
          <w:rFonts w:hint="eastAsia" w:ascii="仿宋_GB2312" w:hAnsi="仿宋_GB2312" w:eastAsia="仿宋_GB2312" w:cs="仿宋_GB2312"/>
          <w:b w:val="0"/>
          <w:bCs/>
          <w:i w:val="0"/>
          <w:sz w:val="32"/>
          <w:szCs w:val="32"/>
          <w:highlight w:val="none"/>
        </w:rPr>
        <w:t>（</w:t>
      </w:r>
      <w:r>
        <w:rPr>
          <w:rStyle w:val="20"/>
          <w:rFonts w:hint="eastAsia" w:ascii="仿宋_GB2312" w:hAnsi="仿宋_GB2312" w:eastAsia="仿宋_GB2312" w:cs="仿宋_GB2312"/>
          <w:b w:val="0"/>
          <w:bCs/>
          <w:i w:val="0"/>
          <w:color w:val="auto"/>
          <w:sz w:val="32"/>
          <w:szCs w:val="32"/>
          <w:highlight w:val="none"/>
        </w:rPr>
        <w:t>类</w:t>
      </w:r>
      <w:r>
        <w:rPr>
          <w:rStyle w:val="20"/>
          <w:rFonts w:hint="eastAsia" w:ascii="仿宋_GB2312" w:hAnsi="仿宋_GB2312" w:eastAsia="仿宋_GB2312" w:cs="仿宋_GB2312"/>
          <w:b w:val="0"/>
          <w:bCs/>
          <w:i w:val="0"/>
          <w:sz w:val="32"/>
          <w:szCs w:val="32"/>
          <w:highlight w:val="none"/>
        </w:rPr>
        <w:t>）公共卫生（</w:t>
      </w:r>
      <w:r>
        <w:rPr>
          <w:rStyle w:val="20"/>
          <w:rFonts w:hint="eastAsia" w:ascii="仿宋_GB2312" w:hAnsi="仿宋_GB2312" w:eastAsia="仿宋_GB2312" w:cs="仿宋_GB2312"/>
          <w:b w:val="0"/>
          <w:bCs/>
          <w:i w:val="0"/>
          <w:color w:val="auto"/>
          <w:sz w:val="32"/>
          <w:szCs w:val="32"/>
          <w:highlight w:val="none"/>
        </w:rPr>
        <w:t>款</w:t>
      </w:r>
      <w:r>
        <w:rPr>
          <w:rStyle w:val="20"/>
          <w:rFonts w:hint="eastAsia" w:ascii="仿宋_GB2312" w:hAnsi="仿宋_GB2312" w:eastAsia="仿宋_GB2312" w:cs="仿宋_GB2312"/>
          <w:b w:val="0"/>
          <w:bCs/>
          <w:i w:val="0"/>
          <w:sz w:val="32"/>
          <w:szCs w:val="32"/>
          <w:highlight w:val="none"/>
        </w:rPr>
        <w:t>）重大公共卫生服务（</w:t>
      </w:r>
      <w:r>
        <w:rPr>
          <w:rStyle w:val="20"/>
          <w:rFonts w:hint="eastAsia" w:ascii="仿宋_GB2312" w:hAnsi="仿宋_GB2312" w:eastAsia="仿宋_GB2312" w:cs="仿宋_GB2312"/>
          <w:b w:val="0"/>
          <w:bCs/>
          <w:i w:val="0"/>
          <w:color w:val="auto"/>
          <w:sz w:val="32"/>
          <w:szCs w:val="32"/>
          <w:highlight w:val="none"/>
        </w:rPr>
        <w:t>项</w:t>
      </w:r>
      <w:r>
        <w:rPr>
          <w:rStyle w:val="20"/>
          <w:rFonts w:hint="eastAsia" w:ascii="仿宋_GB2312" w:hAnsi="仿宋_GB2312" w:eastAsia="仿宋_GB2312" w:cs="仿宋_GB2312"/>
          <w:b w:val="0"/>
          <w:bCs/>
          <w:i w:val="0"/>
          <w:sz w:val="32"/>
          <w:szCs w:val="32"/>
          <w:highlight w:val="none"/>
        </w:rPr>
        <w:t>）:支出决算为</w:t>
      </w:r>
      <w:r>
        <w:rPr>
          <w:rStyle w:val="20"/>
          <w:rFonts w:hint="eastAsia" w:ascii="仿宋_GB2312" w:hAnsi="仿宋_GB2312" w:eastAsia="仿宋_GB2312" w:cs="仿宋_GB2312"/>
          <w:b w:val="0"/>
          <w:bCs/>
          <w:i w:val="0"/>
          <w:sz w:val="32"/>
          <w:szCs w:val="32"/>
          <w:highlight w:val="none"/>
          <w:lang w:val="en-US" w:eastAsia="zh-CN"/>
        </w:rPr>
        <w:t>0.8</w:t>
      </w:r>
      <w:r>
        <w:rPr>
          <w:rStyle w:val="20"/>
          <w:rFonts w:hint="eastAsia" w:ascii="仿宋_GB2312" w:hAnsi="仿宋_GB2312" w:eastAsia="仿宋_GB2312" w:cs="仿宋_GB2312"/>
          <w:b w:val="0"/>
          <w:bCs/>
          <w:i w:val="0"/>
          <w:sz w:val="32"/>
          <w:szCs w:val="32"/>
          <w:highlight w:val="none"/>
        </w:rPr>
        <w:t>万元，完成预算</w:t>
      </w:r>
      <w:r>
        <w:rPr>
          <w:rStyle w:val="20"/>
          <w:rFonts w:hint="eastAsia" w:ascii="仿宋_GB2312" w:hAnsi="仿宋_GB2312" w:eastAsia="仿宋_GB2312" w:cs="仿宋_GB2312"/>
          <w:b w:val="0"/>
          <w:bCs/>
          <w:i w:val="0"/>
          <w:sz w:val="32"/>
          <w:szCs w:val="32"/>
          <w:highlight w:val="none"/>
          <w:lang w:val="en-US" w:eastAsia="zh-CN"/>
        </w:rPr>
        <w:t>100</w:t>
      </w:r>
      <w:r>
        <w:rPr>
          <w:rStyle w:val="20"/>
          <w:rFonts w:hint="eastAsia" w:ascii="仿宋_GB2312" w:hAnsi="仿宋_GB2312" w:eastAsia="仿宋_GB2312" w:cs="仿宋_GB2312"/>
          <w:b w:val="0"/>
          <w:bCs/>
          <w:i w:val="0"/>
          <w:sz w:val="32"/>
          <w:szCs w:val="32"/>
          <w:highlight w:val="none"/>
        </w:rPr>
        <w:t>%</w:t>
      </w:r>
      <w:r>
        <w:rPr>
          <w:rStyle w:val="20"/>
          <w:rFonts w:hint="eastAsia" w:ascii="仿宋_GB2312" w:hAnsi="仿宋_GB2312" w:eastAsia="仿宋_GB2312" w:cs="仿宋_GB2312"/>
          <w:b w:val="0"/>
          <w:bCs/>
          <w:i w:val="0"/>
          <w:sz w:val="32"/>
          <w:szCs w:val="32"/>
          <w:highlight w:val="none"/>
          <w:lang w:eastAsia="zh-CN"/>
        </w:rPr>
        <w:t>，决算数与预算数持平。</w:t>
      </w:r>
    </w:p>
    <w:p w14:paraId="31A51EC3">
      <w:pPr>
        <w:spacing w:line="600" w:lineRule="exact"/>
        <w:ind w:firstLine="640" w:firstLineChars="200"/>
        <w:rPr>
          <w:rFonts w:hint="eastAsia" w:ascii="仿宋_GB2312" w:hAnsi="仿宋_GB2312" w:eastAsia="仿宋_GB2312" w:cs="仿宋_GB2312"/>
          <w:b w:val="0"/>
          <w:i w:val="0"/>
          <w:color w:val="000000"/>
          <w:sz w:val="32"/>
          <w:szCs w:val="32"/>
        </w:rPr>
      </w:pPr>
      <w:r>
        <w:rPr>
          <w:rFonts w:hint="eastAsia" w:ascii="仿宋_GB2312" w:hAnsi="仿宋_GB2312" w:eastAsia="仿宋_GB2312" w:cs="仿宋_GB2312"/>
          <w:b w:val="0"/>
          <w:i w:val="0"/>
          <w:color w:val="000000"/>
          <w:sz w:val="32"/>
          <w:szCs w:val="32"/>
          <w:lang w:val="en-US" w:eastAsia="zh-CN"/>
        </w:rPr>
        <w:t>7.</w:t>
      </w:r>
      <w:r>
        <w:rPr>
          <w:rFonts w:hint="eastAsia" w:ascii="仿宋_GB2312" w:hAnsi="仿宋_GB2312" w:eastAsia="仿宋_GB2312" w:cs="仿宋_GB2312"/>
          <w:b w:val="0"/>
          <w:i w:val="0"/>
          <w:color w:val="000000"/>
          <w:sz w:val="32"/>
          <w:szCs w:val="32"/>
        </w:rPr>
        <w:t>卫生健康支出（</w:t>
      </w:r>
      <w:r>
        <w:rPr>
          <w:rStyle w:val="20"/>
          <w:rFonts w:hint="eastAsia" w:ascii="仿宋_GB2312" w:hAnsi="仿宋_GB2312" w:eastAsia="仿宋_GB2312" w:cs="仿宋_GB2312"/>
          <w:b w:val="0"/>
          <w:bCs/>
          <w:i w:val="0"/>
          <w:color w:val="auto"/>
          <w:sz w:val="32"/>
          <w:szCs w:val="32"/>
          <w:highlight w:val="none"/>
        </w:rPr>
        <w:t>类</w:t>
      </w:r>
      <w:r>
        <w:rPr>
          <w:rFonts w:hint="eastAsia" w:ascii="仿宋_GB2312" w:hAnsi="仿宋_GB2312" w:eastAsia="仿宋_GB2312" w:cs="仿宋_GB2312"/>
          <w:b w:val="0"/>
          <w:i w:val="0"/>
          <w:color w:val="000000"/>
          <w:sz w:val="32"/>
          <w:szCs w:val="32"/>
        </w:rPr>
        <w:t>）公共卫生（</w:t>
      </w:r>
      <w:r>
        <w:rPr>
          <w:rStyle w:val="20"/>
          <w:rFonts w:hint="eastAsia" w:ascii="仿宋_GB2312" w:hAnsi="仿宋_GB2312" w:eastAsia="仿宋_GB2312" w:cs="仿宋_GB2312"/>
          <w:b w:val="0"/>
          <w:bCs/>
          <w:i w:val="0"/>
          <w:color w:val="auto"/>
          <w:sz w:val="32"/>
          <w:szCs w:val="32"/>
          <w:highlight w:val="none"/>
        </w:rPr>
        <w:t>款</w:t>
      </w:r>
      <w:r>
        <w:rPr>
          <w:rFonts w:hint="eastAsia" w:ascii="仿宋_GB2312" w:hAnsi="仿宋_GB2312" w:eastAsia="仿宋_GB2312" w:cs="仿宋_GB2312"/>
          <w:b w:val="0"/>
          <w:i w:val="0"/>
          <w:color w:val="000000"/>
          <w:sz w:val="32"/>
          <w:szCs w:val="32"/>
        </w:rPr>
        <w:t>）其他公共卫生支出（</w:t>
      </w:r>
      <w:r>
        <w:rPr>
          <w:rStyle w:val="20"/>
          <w:rFonts w:hint="eastAsia" w:ascii="仿宋_GB2312" w:hAnsi="仿宋_GB2312" w:eastAsia="仿宋_GB2312" w:cs="仿宋_GB2312"/>
          <w:b w:val="0"/>
          <w:bCs/>
          <w:i w:val="0"/>
          <w:color w:val="auto"/>
          <w:sz w:val="32"/>
          <w:szCs w:val="32"/>
          <w:highlight w:val="none"/>
        </w:rPr>
        <w:t>项</w:t>
      </w:r>
      <w:r>
        <w:rPr>
          <w:rFonts w:hint="eastAsia" w:ascii="仿宋_GB2312" w:hAnsi="仿宋_GB2312" w:eastAsia="仿宋_GB2312" w:cs="仿宋_GB2312"/>
          <w:b w:val="0"/>
          <w:i w:val="0"/>
          <w:color w:val="000000"/>
          <w:sz w:val="32"/>
          <w:szCs w:val="32"/>
        </w:rPr>
        <w:t>）支出决算</w:t>
      </w:r>
      <w:r>
        <w:rPr>
          <w:rFonts w:hint="eastAsia" w:ascii="仿宋_GB2312" w:hAnsi="仿宋_GB2312" w:eastAsia="仿宋_GB2312" w:cs="仿宋_GB2312"/>
          <w:b w:val="0"/>
          <w:i w:val="0"/>
          <w:color w:val="000000"/>
          <w:sz w:val="32"/>
          <w:szCs w:val="32"/>
          <w:lang w:val="en-US" w:eastAsia="zh-CN"/>
        </w:rPr>
        <w:t>3.11</w:t>
      </w:r>
      <w:r>
        <w:rPr>
          <w:rFonts w:hint="eastAsia" w:ascii="仿宋_GB2312" w:hAnsi="仿宋_GB2312" w:eastAsia="仿宋_GB2312" w:cs="仿宋_GB2312"/>
          <w:b w:val="0"/>
          <w:i w:val="0"/>
          <w:color w:val="000000"/>
          <w:sz w:val="32"/>
          <w:szCs w:val="32"/>
        </w:rPr>
        <w:t>万元，完成预算100%</w:t>
      </w:r>
      <w:r>
        <w:rPr>
          <w:rFonts w:hint="eastAsia" w:ascii="仿宋_GB2312" w:hAnsi="仿宋_GB2312" w:eastAsia="仿宋_GB2312" w:cs="仿宋_GB2312"/>
          <w:b w:val="0"/>
          <w:i w:val="0"/>
          <w:color w:val="000000"/>
          <w:sz w:val="32"/>
          <w:szCs w:val="32"/>
          <w:lang w:val="en-US" w:eastAsia="zh-CN"/>
        </w:rPr>
        <w:t>，决算数与预算数持平。</w:t>
      </w:r>
    </w:p>
    <w:p w14:paraId="06FC40CB">
      <w:pPr>
        <w:spacing w:line="600" w:lineRule="exact"/>
        <w:ind w:firstLine="640"/>
        <w:rPr>
          <w:rFonts w:hint="eastAsia" w:ascii="仿宋_GB2312" w:hAnsi="仿宋_GB2312" w:eastAsia="仿宋_GB2312" w:cs="仿宋_GB2312"/>
          <w:b w:val="0"/>
          <w:i w:val="0"/>
          <w:color w:val="000000"/>
          <w:sz w:val="32"/>
          <w:szCs w:val="32"/>
        </w:rPr>
      </w:pPr>
      <w:r>
        <w:rPr>
          <w:rFonts w:hint="eastAsia" w:ascii="仿宋_GB2312" w:hAnsi="仿宋_GB2312" w:eastAsia="仿宋_GB2312" w:cs="仿宋_GB2312"/>
          <w:b w:val="0"/>
          <w:i w:val="0"/>
          <w:color w:val="000000"/>
          <w:sz w:val="32"/>
          <w:szCs w:val="32"/>
          <w:lang w:val="en-US" w:eastAsia="zh-CN"/>
        </w:rPr>
        <w:t>8</w:t>
      </w:r>
      <w:r>
        <w:rPr>
          <w:rFonts w:hint="eastAsia" w:ascii="仿宋_GB2312" w:hAnsi="仿宋_GB2312" w:eastAsia="仿宋_GB2312" w:cs="仿宋_GB2312"/>
          <w:b w:val="0"/>
          <w:i w:val="0"/>
          <w:color w:val="000000"/>
          <w:sz w:val="32"/>
          <w:szCs w:val="32"/>
        </w:rPr>
        <w:t>.卫生健康支出（</w:t>
      </w:r>
      <w:r>
        <w:rPr>
          <w:rStyle w:val="20"/>
          <w:rFonts w:hint="eastAsia" w:ascii="仿宋_GB2312" w:hAnsi="仿宋_GB2312" w:eastAsia="仿宋_GB2312" w:cs="仿宋_GB2312"/>
          <w:b w:val="0"/>
          <w:bCs/>
          <w:i w:val="0"/>
          <w:color w:val="auto"/>
          <w:sz w:val="32"/>
          <w:szCs w:val="32"/>
          <w:highlight w:val="none"/>
        </w:rPr>
        <w:t>类</w:t>
      </w:r>
      <w:r>
        <w:rPr>
          <w:rFonts w:hint="eastAsia" w:ascii="仿宋_GB2312" w:hAnsi="仿宋_GB2312" w:eastAsia="仿宋_GB2312" w:cs="仿宋_GB2312"/>
          <w:b w:val="0"/>
          <w:i w:val="0"/>
          <w:color w:val="000000"/>
          <w:sz w:val="32"/>
          <w:szCs w:val="32"/>
        </w:rPr>
        <w:t>）行政事业单位医疗（</w:t>
      </w:r>
      <w:r>
        <w:rPr>
          <w:rStyle w:val="20"/>
          <w:rFonts w:hint="eastAsia" w:ascii="仿宋_GB2312" w:hAnsi="仿宋_GB2312" w:eastAsia="仿宋_GB2312" w:cs="仿宋_GB2312"/>
          <w:b w:val="0"/>
          <w:bCs/>
          <w:i w:val="0"/>
          <w:color w:val="auto"/>
          <w:sz w:val="32"/>
          <w:szCs w:val="32"/>
          <w:highlight w:val="none"/>
        </w:rPr>
        <w:t>款</w:t>
      </w:r>
      <w:r>
        <w:rPr>
          <w:rFonts w:hint="eastAsia" w:ascii="仿宋_GB2312" w:hAnsi="仿宋_GB2312" w:eastAsia="仿宋_GB2312" w:cs="仿宋_GB2312"/>
          <w:b w:val="0"/>
          <w:i w:val="0"/>
          <w:color w:val="000000"/>
          <w:sz w:val="32"/>
          <w:szCs w:val="32"/>
        </w:rPr>
        <w:t>）事业单位医疗（</w:t>
      </w:r>
      <w:r>
        <w:rPr>
          <w:rStyle w:val="20"/>
          <w:rFonts w:hint="eastAsia" w:ascii="仿宋_GB2312" w:hAnsi="仿宋_GB2312" w:eastAsia="仿宋_GB2312" w:cs="仿宋_GB2312"/>
          <w:b w:val="0"/>
          <w:bCs/>
          <w:i w:val="0"/>
          <w:color w:val="auto"/>
          <w:sz w:val="32"/>
          <w:szCs w:val="32"/>
          <w:highlight w:val="none"/>
        </w:rPr>
        <w:t>项</w:t>
      </w:r>
      <w:r>
        <w:rPr>
          <w:rFonts w:hint="eastAsia" w:ascii="仿宋_GB2312" w:hAnsi="仿宋_GB2312" w:eastAsia="仿宋_GB2312" w:cs="仿宋_GB2312"/>
          <w:b w:val="0"/>
          <w:i w:val="0"/>
          <w:color w:val="000000"/>
          <w:sz w:val="32"/>
          <w:szCs w:val="32"/>
        </w:rPr>
        <w:t>）支出决算</w:t>
      </w:r>
      <w:r>
        <w:rPr>
          <w:rFonts w:hint="eastAsia" w:ascii="仿宋_GB2312" w:hAnsi="仿宋_GB2312" w:eastAsia="仿宋_GB2312" w:cs="仿宋_GB2312"/>
          <w:b w:val="0"/>
          <w:i w:val="0"/>
          <w:color w:val="000000"/>
          <w:sz w:val="32"/>
          <w:szCs w:val="32"/>
          <w:lang w:val="en-US" w:eastAsia="zh-CN"/>
        </w:rPr>
        <w:t>31.09</w:t>
      </w:r>
      <w:r>
        <w:rPr>
          <w:rFonts w:hint="eastAsia" w:ascii="仿宋_GB2312" w:hAnsi="仿宋_GB2312" w:eastAsia="仿宋_GB2312" w:cs="仿宋_GB2312"/>
          <w:b w:val="0"/>
          <w:i w:val="0"/>
          <w:color w:val="000000"/>
          <w:sz w:val="32"/>
          <w:szCs w:val="32"/>
        </w:rPr>
        <w:t>万元，完成预算100%</w:t>
      </w:r>
      <w:r>
        <w:rPr>
          <w:rFonts w:hint="eastAsia" w:ascii="仿宋_GB2312" w:hAnsi="仿宋_GB2312" w:eastAsia="仿宋_GB2312" w:cs="仿宋_GB2312"/>
          <w:b w:val="0"/>
          <w:i w:val="0"/>
          <w:color w:val="000000"/>
          <w:sz w:val="32"/>
          <w:szCs w:val="32"/>
          <w:lang w:val="en-US" w:eastAsia="zh-CN"/>
        </w:rPr>
        <w:t>，决算数与预算数持平。</w:t>
      </w:r>
    </w:p>
    <w:p w14:paraId="5D45DC85">
      <w:pPr>
        <w:numPr>
          <w:ilvl w:val="0"/>
          <w:numId w:val="0"/>
        </w:numPr>
        <w:spacing w:line="600" w:lineRule="exact"/>
        <w:ind w:firstLine="640" w:firstLineChars="200"/>
        <w:rPr>
          <w:rFonts w:hint="eastAsia" w:ascii="仿宋_GB2312" w:hAnsi="仿宋_GB2312" w:eastAsia="仿宋_GB2312" w:cs="仿宋_GB2312"/>
          <w:b w:val="0"/>
          <w:bCs/>
          <w:sz w:val="32"/>
          <w:szCs w:val="32"/>
          <w:highlight w:val="none"/>
        </w:rPr>
      </w:pPr>
      <w:r>
        <w:rPr>
          <w:rStyle w:val="20"/>
          <w:rFonts w:hint="eastAsia" w:ascii="仿宋_GB2312" w:hAnsi="仿宋_GB2312" w:eastAsia="仿宋_GB2312" w:cs="仿宋_GB2312"/>
          <w:b w:val="0"/>
          <w:bCs/>
          <w:i w:val="0"/>
          <w:sz w:val="32"/>
          <w:szCs w:val="32"/>
          <w:highlight w:val="none"/>
          <w:lang w:val="en-US" w:eastAsia="zh-CN"/>
        </w:rPr>
        <w:t>9.</w:t>
      </w:r>
      <w:r>
        <w:rPr>
          <w:rFonts w:hint="eastAsia" w:ascii="仿宋_GB2312" w:hAnsi="仿宋_GB2312" w:eastAsia="仿宋_GB2312" w:cs="仿宋_GB2312"/>
          <w:b w:val="0"/>
          <w:bCs/>
          <w:i w:val="0"/>
          <w:sz w:val="32"/>
          <w:szCs w:val="32"/>
          <w:highlight w:val="none"/>
        </w:rPr>
        <w:t>卫生健康</w:t>
      </w:r>
      <w:r>
        <w:rPr>
          <w:rStyle w:val="20"/>
          <w:rFonts w:hint="eastAsia" w:ascii="仿宋_GB2312" w:hAnsi="仿宋_GB2312" w:eastAsia="仿宋_GB2312" w:cs="仿宋_GB2312"/>
          <w:b w:val="0"/>
          <w:bCs/>
          <w:i w:val="0"/>
          <w:sz w:val="32"/>
          <w:szCs w:val="32"/>
          <w:highlight w:val="none"/>
        </w:rPr>
        <w:t>（</w:t>
      </w:r>
      <w:r>
        <w:rPr>
          <w:rStyle w:val="20"/>
          <w:rFonts w:hint="eastAsia" w:ascii="仿宋_GB2312" w:hAnsi="仿宋_GB2312" w:eastAsia="仿宋_GB2312" w:cs="仿宋_GB2312"/>
          <w:b w:val="0"/>
          <w:bCs/>
          <w:i w:val="0"/>
          <w:color w:val="auto"/>
          <w:sz w:val="32"/>
          <w:szCs w:val="32"/>
          <w:highlight w:val="none"/>
        </w:rPr>
        <w:t>类</w:t>
      </w:r>
      <w:r>
        <w:rPr>
          <w:rStyle w:val="20"/>
          <w:rFonts w:hint="eastAsia" w:ascii="仿宋_GB2312" w:hAnsi="仿宋_GB2312" w:eastAsia="仿宋_GB2312" w:cs="仿宋_GB2312"/>
          <w:b w:val="0"/>
          <w:bCs/>
          <w:i w:val="0"/>
          <w:sz w:val="32"/>
          <w:szCs w:val="32"/>
          <w:highlight w:val="none"/>
        </w:rPr>
        <w:t>）其他卫生健康支出（</w:t>
      </w:r>
      <w:r>
        <w:rPr>
          <w:rStyle w:val="20"/>
          <w:rFonts w:hint="eastAsia" w:ascii="仿宋_GB2312" w:hAnsi="仿宋_GB2312" w:eastAsia="仿宋_GB2312" w:cs="仿宋_GB2312"/>
          <w:b w:val="0"/>
          <w:bCs/>
          <w:i w:val="0"/>
          <w:color w:val="auto"/>
          <w:sz w:val="32"/>
          <w:szCs w:val="32"/>
          <w:highlight w:val="none"/>
        </w:rPr>
        <w:t>款</w:t>
      </w:r>
      <w:r>
        <w:rPr>
          <w:rStyle w:val="20"/>
          <w:rFonts w:hint="eastAsia" w:ascii="仿宋_GB2312" w:hAnsi="仿宋_GB2312" w:eastAsia="仿宋_GB2312" w:cs="仿宋_GB2312"/>
          <w:b w:val="0"/>
          <w:bCs/>
          <w:i w:val="0"/>
          <w:sz w:val="32"/>
          <w:szCs w:val="32"/>
          <w:highlight w:val="none"/>
        </w:rPr>
        <w:t>）其他卫生健康支出（</w:t>
      </w:r>
      <w:r>
        <w:rPr>
          <w:rStyle w:val="20"/>
          <w:rFonts w:hint="eastAsia" w:ascii="仿宋_GB2312" w:hAnsi="仿宋_GB2312" w:eastAsia="仿宋_GB2312" w:cs="仿宋_GB2312"/>
          <w:b w:val="0"/>
          <w:bCs/>
          <w:i w:val="0"/>
          <w:color w:val="auto"/>
          <w:sz w:val="32"/>
          <w:szCs w:val="32"/>
          <w:highlight w:val="none"/>
        </w:rPr>
        <w:t>项</w:t>
      </w:r>
      <w:r>
        <w:rPr>
          <w:rStyle w:val="20"/>
          <w:rFonts w:hint="eastAsia" w:ascii="仿宋_GB2312" w:hAnsi="仿宋_GB2312" w:eastAsia="仿宋_GB2312" w:cs="仿宋_GB2312"/>
          <w:b w:val="0"/>
          <w:bCs/>
          <w:i w:val="0"/>
          <w:sz w:val="32"/>
          <w:szCs w:val="32"/>
          <w:highlight w:val="none"/>
        </w:rPr>
        <w:t>）:支出决算为</w:t>
      </w:r>
      <w:r>
        <w:rPr>
          <w:rStyle w:val="20"/>
          <w:rFonts w:hint="eastAsia" w:ascii="仿宋_GB2312" w:hAnsi="仿宋_GB2312" w:eastAsia="仿宋_GB2312" w:cs="仿宋_GB2312"/>
          <w:b w:val="0"/>
          <w:bCs/>
          <w:i w:val="0"/>
          <w:sz w:val="32"/>
          <w:szCs w:val="32"/>
          <w:highlight w:val="none"/>
          <w:lang w:val="en-US" w:eastAsia="zh-CN"/>
        </w:rPr>
        <w:t>3.66</w:t>
      </w:r>
      <w:r>
        <w:rPr>
          <w:rStyle w:val="20"/>
          <w:rFonts w:hint="eastAsia" w:ascii="仿宋_GB2312" w:hAnsi="仿宋_GB2312" w:eastAsia="仿宋_GB2312" w:cs="仿宋_GB2312"/>
          <w:b w:val="0"/>
          <w:bCs/>
          <w:i w:val="0"/>
          <w:sz w:val="32"/>
          <w:szCs w:val="32"/>
          <w:highlight w:val="none"/>
        </w:rPr>
        <w:t>万元，完成预算</w:t>
      </w:r>
      <w:r>
        <w:rPr>
          <w:rStyle w:val="20"/>
          <w:rFonts w:hint="eastAsia" w:ascii="仿宋_GB2312" w:hAnsi="仿宋_GB2312" w:eastAsia="仿宋_GB2312" w:cs="仿宋_GB2312"/>
          <w:b w:val="0"/>
          <w:bCs/>
          <w:i w:val="0"/>
          <w:sz w:val="32"/>
          <w:szCs w:val="32"/>
          <w:highlight w:val="none"/>
          <w:lang w:val="en-US" w:eastAsia="zh-CN"/>
        </w:rPr>
        <w:t>100</w:t>
      </w:r>
      <w:r>
        <w:rPr>
          <w:rStyle w:val="20"/>
          <w:rFonts w:hint="eastAsia" w:ascii="仿宋_GB2312" w:hAnsi="仿宋_GB2312" w:eastAsia="仿宋_GB2312" w:cs="仿宋_GB2312"/>
          <w:b w:val="0"/>
          <w:bCs/>
          <w:i w:val="0"/>
          <w:sz w:val="32"/>
          <w:szCs w:val="32"/>
          <w:highlight w:val="none"/>
        </w:rPr>
        <w:t>%</w:t>
      </w:r>
      <w:r>
        <w:rPr>
          <w:rStyle w:val="20"/>
          <w:rFonts w:hint="eastAsia" w:ascii="仿宋_GB2312" w:hAnsi="仿宋_GB2312" w:eastAsia="仿宋_GB2312" w:cs="仿宋_GB2312"/>
          <w:b w:val="0"/>
          <w:bCs/>
          <w:i w:val="0"/>
          <w:sz w:val="32"/>
          <w:szCs w:val="32"/>
          <w:highlight w:val="none"/>
          <w:lang w:eastAsia="zh-CN"/>
        </w:rPr>
        <w:t>，决算数与预算数持平。</w:t>
      </w:r>
    </w:p>
    <w:p w14:paraId="350311B6">
      <w:pPr>
        <w:spacing w:line="600" w:lineRule="exact"/>
        <w:ind w:firstLine="640"/>
        <w:rPr>
          <w:rFonts w:hint="eastAsia" w:ascii="仿宋_GB2312" w:hAnsi="仿宋_GB2312" w:eastAsia="仿宋_GB2312" w:cs="仿宋_GB2312"/>
          <w:b/>
          <w:sz w:val="32"/>
          <w:szCs w:val="32"/>
        </w:rPr>
      </w:pPr>
      <w:r>
        <w:rPr>
          <w:rFonts w:hint="eastAsia" w:ascii="仿宋_GB2312" w:hAnsi="仿宋_GB2312" w:eastAsia="仿宋_GB2312" w:cs="仿宋_GB2312"/>
          <w:b w:val="0"/>
          <w:i w:val="0"/>
          <w:color w:val="000000"/>
          <w:sz w:val="32"/>
          <w:szCs w:val="32"/>
          <w:lang w:val="en-US" w:eastAsia="zh-CN"/>
        </w:rPr>
        <w:t>10</w:t>
      </w:r>
      <w:r>
        <w:rPr>
          <w:rFonts w:hint="eastAsia" w:ascii="仿宋_GB2312" w:hAnsi="仿宋_GB2312" w:eastAsia="仿宋_GB2312" w:cs="仿宋_GB2312"/>
          <w:b w:val="0"/>
          <w:i w:val="0"/>
          <w:color w:val="000000"/>
          <w:sz w:val="32"/>
          <w:szCs w:val="32"/>
        </w:rPr>
        <w:t>.住房保障支出（</w:t>
      </w:r>
      <w:r>
        <w:rPr>
          <w:rStyle w:val="20"/>
          <w:rFonts w:hint="eastAsia" w:ascii="仿宋_GB2312" w:hAnsi="仿宋_GB2312" w:eastAsia="仿宋_GB2312" w:cs="仿宋_GB2312"/>
          <w:b w:val="0"/>
          <w:bCs/>
          <w:i w:val="0"/>
          <w:color w:val="auto"/>
          <w:sz w:val="32"/>
          <w:szCs w:val="32"/>
          <w:highlight w:val="none"/>
        </w:rPr>
        <w:t>类</w:t>
      </w:r>
      <w:r>
        <w:rPr>
          <w:rFonts w:hint="eastAsia" w:ascii="仿宋_GB2312" w:hAnsi="仿宋_GB2312" w:eastAsia="仿宋_GB2312" w:cs="仿宋_GB2312"/>
          <w:b w:val="0"/>
          <w:i w:val="0"/>
          <w:color w:val="000000"/>
          <w:sz w:val="32"/>
          <w:szCs w:val="32"/>
        </w:rPr>
        <w:t>）住房改革支出（</w:t>
      </w:r>
      <w:r>
        <w:rPr>
          <w:rStyle w:val="20"/>
          <w:rFonts w:hint="eastAsia" w:ascii="仿宋_GB2312" w:hAnsi="仿宋_GB2312" w:eastAsia="仿宋_GB2312" w:cs="仿宋_GB2312"/>
          <w:b w:val="0"/>
          <w:bCs/>
          <w:i w:val="0"/>
          <w:color w:val="auto"/>
          <w:sz w:val="32"/>
          <w:szCs w:val="32"/>
          <w:highlight w:val="none"/>
        </w:rPr>
        <w:t>款</w:t>
      </w:r>
      <w:r>
        <w:rPr>
          <w:rFonts w:hint="eastAsia" w:ascii="仿宋_GB2312" w:hAnsi="仿宋_GB2312" w:eastAsia="仿宋_GB2312" w:cs="仿宋_GB2312"/>
          <w:b w:val="0"/>
          <w:i w:val="0"/>
          <w:color w:val="000000"/>
          <w:sz w:val="32"/>
          <w:szCs w:val="32"/>
        </w:rPr>
        <w:t>）住房公积金（</w:t>
      </w:r>
      <w:r>
        <w:rPr>
          <w:rStyle w:val="20"/>
          <w:rFonts w:hint="eastAsia" w:ascii="仿宋_GB2312" w:hAnsi="仿宋_GB2312" w:eastAsia="仿宋_GB2312" w:cs="仿宋_GB2312"/>
          <w:b w:val="0"/>
          <w:bCs/>
          <w:i w:val="0"/>
          <w:color w:val="auto"/>
          <w:sz w:val="32"/>
          <w:szCs w:val="32"/>
          <w:highlight w:val="none"/>
        </w:rPr>
        <w:t>项</w:t>
      </w:r>
      <w:r>
        <w:rPr>
          <w:rFonts w:hint="eastAsia" w:ascii="仿宋_GB2312" w:hAnsi="仿宋_GB2312" w:eastAsia="仿宋_GB2312" w:cs="仿宋_GB2312"/>
          <w:b w:val="0"/>
          <w:i w:val="0"/>
          <w:color w:val="000000"/>
          <w:sz w:val="32"/>
          <w:szCs w:val="32"/>
        </w:rPr>
        <w:t>）支出决算</w:t>
      </w:r>
      <w:r>
        <w:rPr>
          <w:rFonts w:hint="eastAsia" w:ascii="仿宋_GB2312" w:hAnsi="仿宋_GB2312" w:eastAsia="仿宋_GB2312" w:cs="仿宋_GB2312"/>
          <w:b w:val="0"/>
          <w:i w:val="0"/>
          <w:color w:val="000000"/>
          <w:sz w:val="32"/>
          <w:szCs w:val="32"/>
          <w:lang w:val="en-US" w:eastAsia="zh-CN"/>
        </w:rPr>
        <w:t>43.26</w:t>
      </w:r>
      <w:r>
        <w:rPr>
          <w:rFonts w:hint="eastAsia" w:ascii="仿宋_GB2312" w:hAnsi="仿宋_GB2312" w:eastAsia="仿宋_GB2312" w:cs="仿宋_GB2312"/>
          <w:b w:val="0"/>
          <w:i w:val="0"/>
          <w:color w:val="000000"/>
          <w:sz w:val="32"/>
          <w:szCs w:val="32"/>
        </w:rPr>
        <w:t>万元，完成预算100%</w:t>
      </w:r>
      <w:r>
        <w:rPr>
          <w:rFonts w:hint="eastAsia" w:ascii="仿宋_GB2312" w:hAnsi="仿宋_GB2312" w:eastAsia="仿宋_GB2312" w:cs="仿宋_GB2312"/>
          <w:b w:val="0"/>
          <w:i w:val="0"/>
          <w:color w:val="000000"/>
          <w:sz w:val="32"/>
          <w:szCs w:val="32"/>
          <w:lang w:val="en-US" w:eastAsia="zh-CN"/>
        </w:rPr>
        <w:t>，决算数与预算数持平。</w:t>
      </w:r>
    </w:p>
    <w:p w14:paraId="027F9C5B">
      <w:pPr>
        <w:tabs>
          <w:tab w:val="right" w:pos="8306"/>
        </w:tabs>
        <w:spacing w:line="600" w:lineRule="exact"/>
        <w:ind w:firstLine="640"/>
        <w:outlineLvl w:val="1"/>
        <w:rPr>
          <w:rStyle w:val="31"/>
        </w:rPr>
      </w:pPr>
      <w:bookmarkStart w:id="48" w:name="_Toc20616"/>
      <w:bookmarkStart w:id="49" w:name="_Toc15396608"/>
      <w:bookmarkStart w:id="50" w:name="_Toc15377214"/>
      <w:r>
        <w:rPr>
          <w:rFonts w:hint="eastAsia" w:ascii="黑体" w:eastAsia="黑体"/>
          <w:sz w:val="32"/>
          <w:szCs w:val="32"/>
        </w:rPr>
        <w:t>六</w:t>
      </w:r>
      <w:r>
        <w:rPr>
          <w:rFonts w:hint="eastAsia" w:ascii="黑体" w:eastAsia="黑体"/>
          <w:b/>
          <w:sz w:val="32"/>
          <w:szCs w:val="32"/>
        </w:rPr>
        <w:t>、</w:t>
      </w:r>
      <w:r>
        <w:rPr>
          <w:rFonts w:hint="eastAsia" w:ascii="黑体" w:hAnsi="黑体" w:eastAsia="黑体"/>
          <w:b/>
          <w:sz w:val="32"/>
          <w:szCs w:val="32"/>
        </w:rPr>
        <w:t>一</w:t>
      </w:r>
      <w:r>
        <w:rPr>
          <w:rStyle w:val="31"/>
          <w:rFonts w:hint="eastAsia" w:ascii="黑体" w:hAnsi="黑体" w:eastAsia="黑体"/>
          <w:b w:val="0"/>
        </w:rPr>
        <w:t>般公共预算财政拨款基本支出决算情况说明</w:t>
      </w:r>
      <w:bookmarkEnd w:id="48"/>
      <w:bookmarkEnd w:id="49"/>
      <w:bookmarkEnd w:id="50"/>
      <w:r>
        <w:rPr>
          <w:rStyle w:val="31"/>
          <w:rFonts w:ascii="黑体" w:hAnsi="黑体" w:eastAsia="黑体"/>
          <w:b w:val="0"/>
        </w:rPr>
        <w:tab/>
      </w:r>
    </w:p>
    <w:p w14:paraId="6C626C2E">
      <w:pPr>
        <w:spacing w:line="600" w:lineRule="exact"/>
        <w:ind w:firstLine="645"/>
        <w:rPr>
          <w:rFonts w:hint="eastAsia" w:ascii="仿宋_GB2312" w:hAnsi="仿宋_GB2312" w:eastAsia="仿宋_GB2312" w:cs="仿宋_GB2312"/>
          <w:b w:val="0"/>
          <w:i w:val="0"/>
          <w:sz w:val="32"/>
          <w:szCs w:val="32"/>
        </w:rPr>
      </w:pPr>
      <w:r>
        <w:rPr>
          <w:rFonts w:hint="eastAsia" w:ascii="仿宋_GB2312" w:hAnsi="仿宋_GB2312" w:eastAsia="仿宋_GB2312" w:cs="仿宋_GB2312"/>
          <w:b w:val="0"/>
          <w:i w:val="0"/>
          <w:sz w:val="32"/>
          <w:szCs w:val="32"/>
          <w:lang w:eastAsia="zh-CN"/>
        </w:rPr>
        <w:t>2025年</w:t>
      </w:r>
      <w:r>
        <w:rPr>
          <w:rFonts w:hint="eastAsia" w:ascii="仿宋_GB2312" w:hAnsi="仿宋_GB2312" w:eastAsia="仿宋_GB2312" w:cs="仿宋_GB2312"/>
          <w:b w:val="0"/>
          <w:i w:val="0"/>
          <w:sz w:val="32"/>
          <w:szCs w:val="32"/>
        </w:rPr>
        <w:t>度一般公共预算财政拨款基本支出</w:t>
      </w:r>
      <w:r>
        <w:rPr>
          <w:rFonts w:hint="eastAsia" w:ascii="仿宋_GB2312" w:hAnsi="仿宋_GB2312" w:eastAsia="仿宋_GB2312" w:cs="仿宋_GB2312"/>
          <w:b w:val="0"/>
          <w:i w:val="0"/>
          <w:sz w:val="32"/>
          <w:szCs w:val="32"/>
          <w:lang w:eastAsia="zh-CN"/>
        </w:rPr>
        <w:t>545.08</w:t>
      </w:r>
      <w:r>
        <w:rPr>
          <w:rFonts w:hint="eastAsia" w:ascii="仿宋_GB2312" w:hAnsi="仿宋_GB2312" w:eastAsia="仿宋_GB2312" w:cs="仿宋_GB2312"/>
          <w:b w:val="0"/>
          <w:i w:val="0"/>
          <w:sz w:val="32"/>
          <w:szCs w:val="32"/>
        </w:rPr>
        <w:t>万元，其中：</w:t>
      </w:r>
    </w:p>
    <w:p w14:paraId="5E30CE23">
      <w:pPr>
        <w:spacing w:line="600" w:lineRule="exact"/>
        <w:ind w:firstLine="645"/>
        <w:rPr>
          <w:rFonts w:hint="eastAsia" w:ascii="仿宋_GB2312" w:hAnsi="仿宋_GB2312" w:eastAsia="仿宋_GB2312" w:cs="仿宋_GB2312"/>
          <w:b w:val="0"/>
          <w:i w:val="0"/>
          <w:sz w:val="32"/>
          <w:szCs w:val="32"/>
        </w:rPr>
      </w:pPr>
      <w:r>
        <w:rPr>
          <w:rFonts w:hint="eastAsia" w:ascii="仿宋_GB2312" w:hAnsi="仿宋_GB2312" w:eastAsia="仿宋_GB2312" w:cs="仿宋_GB2312"/>
          <w:b w:val="0"/>
          <w:i w:val="0"/>
          <w:sz w:val="32"/>
          <w:szCs w:val="32"/>
        </w:rPr>
        <w:t>人员经费</w:t>
      </w:r>
      <w:r>
        <w:rPr>
          <w:rFonts w:hint="eastAsia" w:ascii="仿宋_GB2312" w:hAnsi="仿宋_GB2312" w:eastAsia="仿宋_GB2312" w:cs="仿宋_GB2312"/>
          <w:b w:val="0"/>
          <w:i w:val="0"/>
          <w:sz w:val="32"/>
          <w:szCs w:val="32"/>
          <w:lang w:eastAsia="zh-CN"/>
        </w:rPr>
        <w:t>545.08</w:t>
      </w:r>
      <w:r>
        <w:rPr>
          <w:rFonts w:hint="eastAsia" w:ascii="仿宋_GB2312" w:hAnsi="仿宋_GB2312" w:eastAsia="仿宋_GB2312" w:cs="仿宋_GB2312"/>
          <w:b w:val="0"/>
          <w:i w:val="0"/>
          <w:sz w:val="32"/>
          <w:szCs w:val="32"/>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仿宋_GB2312" w:hAnsi="仿宋_GB2312" w:eastAsia="仿宋_GB2312" w:cs="仿宋_GB2312"/>
          <w:b w:val="0"/>
          <w:i w:val="0"/>
          <w:sz w:val="32"/>
          <w:szCs w:val="32"/>
        </w:rPr>
        <w:br w:type="textWrapping"/>
      </w:r>
      <w:r>
        <w:rPr>
          <w:rFonts w:hint="eastAsia" w:ascii="仿宋_GB2312" w:hAnsi="仿宋_GB2312" w:eastAsia="仿宋_GB2312" w:cs="仿宋_GB2312"/>
          <w:b w:val="0"/>
          <w:i w:val="0"/>
          <w:sz w:val="32"/>
          <w:szCs w:val="32"/>
        </w:rPr>
        <w:t>　　公用经费</w:t>
      </w:r>
      <w:r>
        <w:rPr>
          <w:rFonts w:hint="eastAsia" w:ascii="仿宋_GB2312" w:hAnsi="仿宋_GB2312" w:eastAsia="仿宋_GB2312" w:cs="仿宋_GB2312"/>
          <w:b w:val="0"/>
          <w:bCs/>
          <w:i w:val="0"/>
          <w:sz w:val="32"/>
          <w:szCs w:val="32"/>
        </w:rPr>
        <w:t>5.28</w:t>
      </w:r>
      <w:r>
        <w:rPr>
          <w:rFonts w:hint="eastAsia" w:ascii="仿宋_GB2312" w:hAnsi="仿宋_GB2312" w:eastAsia="仿宋_GB2312" w:cs="仿宋_GB2312"/>
          <w:b w:val="0"/>
          <w:i w:val="0"/>
          <w:sz w:val="32"/>
          <w:szCs w:val="32"/>
        </w:rPr>
        <w:t>万元</w:t>
      </w:r>
      <w:r>
        <w:rPr>
          <w:rFonts w:hint="eastAsia" w:ascii="仿宋_GB2312" w:hAnsi="仿宋_GB2312" w:eastAsia="仿宋_GB2312" w:cs="仿宋_GB2312"/>
          <w:b w:val="0"/>
          <w:i w:val="0"/>
          <w:color w:val="auto"/>
          <w:sz w:val="32"/>
          <w:szCs w:val="32"/>
          <w:highlight w:val="none"/>
        </w:rPr>
        <w:t>，主要包括其他商品和服务支出</w:t>
      </w:r>
      <w:r>
        <w:rPr>
          <w:rFonts w:hint="eastAsia" w:ascii="仿宋_GB2312" w:hAnsi="仿宋_GB2312" w:eastAsia="仿宋_GB2312" w:cs="仿宋_GB2312"/>
          <w:b w:val="0"/>
          <w:i w:val="0"/>
          <w:sz w:val="32"/>
          <w:szCs w:val="32"/>
        </w:rPr>
        <w:t>。</w:t>
      </w:r>
    </w:p>
    <w:p w14:paraId="6458D11B">
      <w:pPr>
        <w:spacing w:line="600" w:lineRule="exact"/>
        <w:ind w:firstLine="640" w:firstLineChars="200"/>
        <w:outlineLvl w:val="1"/>
        <w:rPr>
          <w:rStyle w:val="31"/>
          <w:rFonts w:ascii="黑体" w:hAnsi="黑体" w:eastAsia="黑体"/>
          <w:b w:val="0"/>
        </w:rPr>
      </w:pPr>
      <w:bookmarkStart w:id="51" w:name="_Toc15377215"/>
      <w:bookmarkStart w:id="52" w:name="_Toc11498"/>
      <w:bookmarkStart w:id="53" w:name="_Toc15396609"/>
      <w:r>
        <w:rPr>
          <w:rFonts w:hint="eastAsia" w:ascii="黑体" w:eastAsia="黑体"/>
          <w:sz w:val="32"/>
          <w:szCs w:val="32"/>
        </w:rPr>
        <w:t>七、</w:t>
      </w:r>
      <w:r>
        <w:rPr>
          <w:rStyle w:val="31"/>
          <w:rFonts w:hint="eastAsia" w:ascii="黑体" w:hAnsi="黑体" w:eastAsia="黑体"/>
          <w:b w:val="0"/>
        </w:rPr>
        <w:t>财政拨款</w:t>
      </w:r>
      <w:r>
        <w:rPr>
          <w:rFonts w:hint="eastAsia" w:ascii="黑体" w:hAnsi="黑体" w:eastAsia="黑体" w:cs="黑体"/>
          <w:b/>
          <w:bCs/>
          <w:i w:val="0"/>
          <w:sz w:val="32"/>
          <w:szCs w:val="32"/>
        </w:rPr>
        <w:t>“三公”</w:t>
      </w:r>
      <w:r>
        <w:rPr>
          <w:rStyle w:val="31"/>
          <w:rFonts w:hint="eastAsia" w:ascii="黑体" w:hAnsi="黑体" w:eastAsia="黑体"/>
          <w:b w:val="0"/>
        </w:rPr>
        <w:t>经费支出决算情况说明</w:t>
      </w:r>
      <w:bookmarkEnd w:id="51"/>
      <w:bookmarkEnd w:id="52"/>
      <w:bookmarkEnd w:id="53"/>
    </w:p>
    <w:p w14:paraId="6F08BF2B">
      <w:pPr>
        <w:pageBreakBefore w:val="0"/>
        <w:kinsoku/>
        <w:wordWrap/>
        <w:overflowPunct/>
        <w:topLinePunct w:val="0"/>
        <w:bidi w:val="0"/>
        <w:spacing w:line="576" w:lineRule="exact"/>
        <w:ind w:firstLine="643" w:firstLineChars="200"/>
        <w:textAlignment w:val="auto"/>
        <w:outlineLvl w:val="2"/>
        <w:rPr>
          <w:rFonts w:hint="eastAsia" w:ascii="Times New Roman" w:hAnsi="Times New Roman" w:eastAsia="楷体_GB2312" w:cs="Times New Roman"/>
          <w:b/>
          <w:color w:val="auto"/>
          <w:sz w:val="32"/>
          <w:szCs w:val="32"/>
          <w:highlight w:val="none"/>
        </w:rPr>
      </w:pPr>
      <w:bookmarkStart w:id="54" w:name="_Toc15377216"/>
      <w:r>
        <w:rPr>
          <w:rFonts w:hint="eastAsia" w:ascii="Times New Roman" w:hAnsi="Times New Roman" w:eastAsia="楷体_GB2312" w:cs="Times New Roman"/>
          <w:b/>
          <w:color w:val="auto"/>
          <w:sz w:val="32"/>
          <w:szCs w:val="32"/>
          <w:highlight w:val="none"/>
        </w:rPr>
        <w:t>（一）</w:t>
      </w:r>
      <w:r>
        <w:rPr>
          <w:rFonts w:hint="eastAsia" w:eastAsia="楷体_GB2312" w:cs="Times New Roman"/>
          <w:b/>
          <w:color w:val="auto"/>
          <w:sz w:val="32"/>
          <w:szCs w:val="32"/>
          <w:highlight w:val="none"/>
          <w:lang w:eastAsia="zh-CN"/>
        </w:rPr>
        <w:t>“</w:t>
      </w:r>
      <w:r>
        <w:rPr>
          <w:rFonts w:hint="eastAsia" w:ascii="Times New Roman" w:hAnsi="Times New Roman" w:eastAsia="楷体_GB2312" w:cs="Times New Roman"/>
          <w:b/>
          <w:color w:val="auto"/>
          <w:sz w:val="32"/>
          <w:szCs w:val="32"/>
          <w:highlight w:val="none"/>
        </w:rPr>
        <w:t>三公</w:t>
      </w:r>
      <w:r>
        <w:rPr>
          <w:rFonts w:hint="eastAsia" w:eastAsia="楷体_GB2312" w:cs="Times New Roman"/>
          <w:b/>
          <w:color w:val="auto"/>
          <w:sz w:val="32"/>
          <w:szCs w:val="32"/>
          <w:highlight w:val="none"/>
          <w:lang w:eastAsia="zh-CN"/>
        </w:rPr>
        <w:t>”</w:t>
      </w:r>
      <w:r>
        <w:rPr>
          <w:rFonts w:hint="eastAsia" w:ascii="Times New Roman" w:hAnsi="Times New Roman" w:eastAsia="楷体_GB2312" w:cs="Times New Roman"/>
          <w:b/>
          <w:color w:val="auto"/>
          <w:sz w:val="32"/>
          <w:szCs w:val="32"/>
          <w:highlight w:val="none"/>
        </w:rPr>
        <w:t>经费财政拨款支出决算总体情况说明</w:t>
      </w:r>
      <w:bookmarkEnd w:id="54"/>
    </w:p>
    <w:p w14:paraId="5C2A8F8B">
      <w:pPr>
        <w:spacing w:line="600" w:lineRule="exact"/>
        <w:ind w:firstLine="640"/>
        <w:rPr>
          <w:rFonts w:hint="eastAsia" w:ascii="仿宋" w:hAnsi="仿宋" w:eastAsia="仿宋_GB2312"/>
          <w:b w:val="0"/>
          <w:i w:val="0"/>
          <w:sz w:val="32"/>
          <w:szCs w:val="32"/>
          <w:lang w:eastAsia="zh-CN"/>
        </w:rPr>
      </w:pPr>
      <w:r>
        <w:rPr>
          <w:rFonts w:hint="eastAsia" w:ascii="仿宋_GB2312" w:hAnsi="仿宋_GB2312" w:eastAsia="仿宋_GB2312" w:cs="仿宋_GB2312"/>
          <w:b w:val="0"/>
          <w:i w:val="0"/>
          <w:sz w:val="32"/>
          <w:szCs w:val="32"/>
          <w:lang w:eastAsia="zh-CN"/>
        </w:rPr>
        <w:t>2025年</w:t>
      </w:r>
      <w:r>
        <w:rPr>
          <w:rFonts w:hint="eastAsia" w:ascii="仿宋_GB2312" w:hAnsi="仿宋_GB2312" w:eastAsia="仿宋_GB2312" w:cs="仿宋_GB2312"/>
          <w:b w:val="0"/>
          <w:i w:val="0"/>
          <w:sz w:val="32"/>
          <w:szCs w:val="32"/>
        </w:rPr>
        <w:t>度“三公”经费财政拨款支出决算为</w:t>
      </w:r>
      <w:r>
        <w:rPr>
          <w:rFonts w:hint="eastAsia" w:ascii="仿宋_GB2312" w:hAnsi="仿宋_GB2312" w:eastAsia="仿宋_GB2312" w:cs="仿宋_GB2312"/>
          <w:b w:val="0"/>
          <w:i w:val="0"/>
          <w:sz w:val="32"/>
          <w:szCs w:val="32"/>
          <w:lang w:eastAsia="zh-CN"/>
        </w:rPr>
        <w:t>1.94</w:t>
      </w:r>
      <w:r>
        <w:rPr>
          <w:rFonts w:hint="eastAsia" w:ascii="仿宋_GB2312" w:hAnsi="仿宋_GB2312" w:eastAsia="仿宋_GB2312" w:cs="仿宋_GB2312"/>
          <w:b w:val="0"/>
          <w:i w:val="0"/>
          <w:sz w:val="32"/>
          <w:szCs w:val="32"/>
        </w:rPr>
        <w:t>万元，完成预算100%，</w:t>
      </w:r>
      <w:r>
        <w:rPr>
          <w:rFonts w:hint="eastAsia" w:ascii="仿宋_GB2312" w:hAnsi="仿宋_GB2312" w:eastAsia="仿宋_GB2312" w:cs="仿宋_GB2312"/>
          <w:b w:val="0"/>
          <w:i w:val="0"/>
          <w:sz w:val="32"/>
          <w:szCs w:val="32"/>
          <w:lang w:eastAsia="zh-CN"/>
        </w:rPr>
        <w:t>与</w:t>
      </w:r>
      <w:r>
        <w:rPr>
          <w:rFonts w:hint="eastAsia" w:ascii="仿宋_GB2312" w:hAnsi="仿宋_GB2312" w:eastAsia="仿宋_GB2312" w:cs="仿宋_GB2312"/>
          <w:b w:val="0"/>
          <w:i w:val="0"/>
          <w:sz w:val="32"/>
          <w:szCs w:val="32"/>
          <w:lang w:val="en-US" w:eastAsia="zh-CN"/>
        </w:rPr>
        <w:t>2024</w:t>
      </w:r>
      <w:r>
        <w:rPr>
          <w:rFonts w:hint="eastAsia" w:ascii="仿宋_GB2312" w:hAnsi="仿宋_GB2312" w:eastAsia="仿宋_GB2312" w:cs="仿宋_GB2312"/>
          <w:b w:val="0"/>
          <w:i w:val="0"/>
          <w:sz w:val="32"/>
          <w:szCs w:val="32"/>
        </w:rPr>
        <w:t>年度</w:t>
      </w:r>
      <w:r>
        <w:rPr>
          <w:rFonts w:hint="eastAsia" w:ascii="仿宋_GB2312" w:hAnsi="仿宋_GB2312" w:eastAsia="仿宋_GB2312" w:cs="仿宋_GB2312"/>
          <w:b w:val="0"/>
          <w:i w:val="0"/>
          <w:sz w:val="32"/>
          <w:szCs w:val="32"/>
          <w:lang w:eastAsia="zh-CN"/>
        </w:rPr>
        <w:t>相比，减少</w:t>
      </w:r>
      <w:r>
        <w:rPr>
          <w:rFonts w:hint="eastAsia" w:ascii="仿宋_GB2312" w:hAnsi="仿宋_GB2312" w:eastAsia="仿宋_GB2312" w:cs="仿宋_GB2312"/>
          <w:b w:val="0"/>
          <w:i w:val="0"/>
          <w:sz w:val="32"/>
          <w:szCs w:val="32"/>
          <w:lang w:val="en-US" w:eastAsia="zh-CN"/>
        </w:rPr>
        <w:t>0.41</w:t>
      </w:r>
      <w:r>
        <w:rPr>
          <w:rFonts w:hint="eastAsia" w:ascii="仿宋_GB2312" w:hAnsi="仿宋_GB2312" w:eastAsia="仿宋_GB2312" w:cs="仿宋_GB2312"/>
          <w:b w:val="0"/>
          <w:i w:val="0"/>
          <w:sz w:val="32"/>
          <w:szCs w:val="32"/>
        </w:rPr>
        <w:t>万元，</w:t>
      </w:r>
      <w:r>
        <w:rPr>
          <w:rFonts w:hint="eastAsia" w:ascii="仿宋_GB2312" w:hAnsi="仿宋_GB2312" w:eastAsia="仿宋_GB2312" w:cs="仿宋_GB2312"/>
          <w:b w:val="0"/>
          <w:i w:val="0"/>
          <w:sz w:val="32"/>
          <w:szCs w:val="32"/>
          <w:lang w:eastAsia="zh-CN"/>
        </w:rPr>
        <w:t>下降</w:t>
      </w:r>
      <w:r>
        <w:rPr>
          <w:rFonts w:hint="eastAsia" w:ascii="仿宋_GB2312" w:hAnsi="仿宋_GB2312" w:eastAsia="仿宋_GB2312" w:cs="仿宋_GB2312"/>
          <w:b w:val="0"/>
          <w:i w:val="0"/>
          <w:sz w:val="32"/>
          <w:szCs w:val="32"/>
          <w:lang w:val="en-US" w:eastAsia="zh-CN"/>
        </w:rPr>
        <w:t>17.4</w:t>
      </w:r>
      <w:r>
        <w:rPr>
          <w:rFonts w:hint="eastAsia" w:ascii="仿宋_GB2312" w:hAnsi="仿宋_GB2312" w:eastAsia="仿宋_GB2312" w:cs="仿宋_GB2312"/>
          <w:b w:val="0"/>
          <w:i w:val="0"/>
          <w:sz w:val="32"/>
          <w:szCs w:val="32"/>
        </w:rPr>
        <w:t>%。</w:t>
      </w:r>
      <w:r>
        <w:rPr>
          <w:rFonts w:hint="eastAsia" w:ascii="仿宋_GB2312" w:hAnsi="仿宋_GB2312" w:eastAsia="仿宋_GB2312" w:cs="仿宋_GB2312"/>
          <w:b w:val="0"/>
          <w:i w:val="0"/>
          <w:sz w:val="32"/>
          <w:szCs w:val="32"/>
          <w:lang w:eastAsia="zh-CN"/>
        </w:rPr>
        <w:t>主要原因是：本年公务用车使用较少。</w:t>
      </w:r>
    </w:p>
    <w:p w14:paraId="0D0B024E">
      <w:pPr>
        <w:pageBreakBefore w:val="0"/>
        <w:kinsoku/>
        <w:wordWrap/>
        <w:overflowPunct/>
        <w:topLinePunct w:val="0"/>
        <w:bidi w:val="0"/>
        <w:spacing w:line="576" w:lineRule="exact"/>
        <w:ind w:firstLine="643" w:firstLineChars="200"/>
        <w:textAlignment w:val="auto"/>
        <w:outlineLvl w:val="2"/>
        <w:rPr>
          <w:rFonts w:hint="eastAsia" w:ascii="Times New Roman" w:hAnsi="Times New Roman" w:eastAsia="楷体_GB2312" w:cs="Times New Roman"/>
          <w:b/>
          <w:color w:val="auto"/>
          <w:sz w:val="32"/>
          <w:szCs w:val="32"/>
          <w:highlight w:val="none"/>
        </w:rPr>
      </w:pPr>
      <w:bookmarkStart w:id="55" w:name="_Toc15377217"/>
      <w:r>
        <w:rPr>
          <w:rFonts w:hint="eastAsia" w:ascii="Times New Roman" w:hAnsi="Times New Roman" w:eastAsia="楷体_GB2312" w:cs="Times New Roman"/>
          <w:b/>
          <w:color w:val="auto"/>
          <w:sz w:val="32"/>
          <w:szCs w:val="32"/>
          <w:highlight w:val="none"/>
          <w:lang w:eastAsia="zh-CN"/>
        </w:rPr>
        <w:drawing>
          <wp:anchor distT="0" distB="0" distL="114300" distR="114300" simplePos="0" relativeHeight="251666432" behindDoc="0" locked="0" layoutInCell="1" allowOverlap="1">
            <wp:simplePos x="0" y="0"/>
            <wp:positionH relativeFrom="column">
              <wp:posOffset>349250</wp:posOffset>
            </wp:positionH>
            <wp:positionV relativeFrom="paragraph">
              <wp:posOffset>15240</wp:posOffset>
            </wp:positionV>
            <wp:extent cx="4732020" cy="3058160"/>
            <wp:effectExtent l="4445" t="4445" r="18415" b="15875"/>
            <wp:wrapTopAndBottom/>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Pr>
          <w:rFonts w:hint="eastAsia" w:ascii="Times New Roman" w:hAnsi="Times New Roman" w:eastAsia="楷体_GB2312" w:cs="Times New Roman"/>
          <w:b/>
          <w:color w:val="auto"/>
          <w:sz w:val="32"/>
          <w:szCs w:val="32"/>
          <w:highlight w:val="none"/>
        </w:rPr>
        <w:t>（二）</w:t>
      </w:r>
      <w:r>
        <w:rPr>
          <w:rFonts w:hint="eastAsia" w:eastAsia="楷体_GB2312" w:cs="Times New Roman"/>
          <w:b/>
          <w:bCs w:val="0"/>
          <w:color w:val="auto"/>
          <w:sz w:val="32"/>
          <w:szCs w:val="32"/>
          <w:highlight w:val="none"/>
          <w:lang w:eastAsia="zh-CN"/>
        </w:rPr>
        <w:t>“</w:t>
      </w:r>
      <w:r>
        <w:rPr>
          <w:rFonts w:hint="eastAsia" w:ascii="Times New Roman" w:hAnsi="Times New Roman" w:eastAsia="楷体_GB2312" w:cs="Times New Roman"/>
          <w:b/>
          <w:bCs w:val="0"/>
          <w:color w:val="auto"/>
          <w:sz w:val="32"/>
          <w:szCs w:val="32"/>
          <w:highlight w:val="none"/>
        </w:rPr>
        <w:t>三公</w:t>
      </w:r>
      <w:r>
        <w:rPr>
          <w:rFonts w:hint="eastAsia" w:eastAsia="楷体_GB2312" w:cs="Times New Roman"/>
          <w:b/>
          <w:bCs w:val="0"/>
          <w:color w:val="auto"/>
          <w:sz w:val="32"/>
          <w:szCs w:val="32"/>
          <w:highlight w:val="none"/>
          <w:lang w:eastAsia="zh-CN"/>
        </w:rPr>
        <w:t>”</w:t>
      </w:r>
      <w:r>
        <w:rPr>
          <w:rFonts w:hint="eastAsia" w:ascii="Times New Roman" w:hAnsi="Times New Roman" w:eastAsia="楷体_GB2312" w:cs="Times New Roman"/>
          <w:b/>
          <w:color w:val="auto"/>
          <w:sz w:val="32"/>
          <w:szCs w:val="32"/>
          <w:highlight w:val="none"/>
        </w:rPr>
        <w:t>经费财政拨款支出决算具体情况说明</w:t>
      </w:r>
      <w:bookmarkEnd w:id="55"/>
    </w:p>
    <w:p w14:paraId="24D5FFC8">
      <w:pPr>
        <w:spacing w:line="600" w:lineRule="exact"/>
        <w:ind w:firstLine="640"/>
        <w:rPr>
          <w:rFonts w:hint="eastAsia" w:ascii="仿宋_GB2312" w:hAnsi="仿宋_GB2312" w:eastAsia="仿宋_GB2312" w:cs="仿宋_GB2312"/>
          <w:b w:val="0"/>
          <w:i w:val="0"/>
          <w:sz w:val="32"/>
          <w:szCs w:val="32"/>
        </w:rPr>
      </w:pPr>
      <w:r>
        <w:rPr>
          <w:rFonts w:hint="eastAsia" w:ascii="仿宋_GB2312" w:hAnsi="仿宋_GB2312" w:eastAsia="仿宋_GB2312" w:cs="仿宋_GB2312"/>
          <w:b w:val="0"/>
          <w:i w:val="0"/>
          <w:sz w:val="32"/>
          <w:szCs w:val="32"/>
          <w:lang w:eastAsia="zh-CN"/>
        </w:rPr>
        <w:t>2025年</w:t>
      </w:r>
      <w:r>
        <w:rPr>
          <w:rFonts w:hint="eastAsia" w:ascii="仿宋_GB2312" w:hAnsi="仿宋_GB2312" w:eastAsia="仿宋_GB2312" w:cs="仿宋_GB2312"/>
          <w:b w:val="0"/>
          <w:i w:val="0"/>
          <w:sz w:val="32"/>
          <w:szCs w:val="32"/>
        </w:rPr>
        <w:t>度“三公”经费财政拨款支出决算中，因公出国（境）费支出决算0万元；</w:t>
      </w:r>
      <w:r>
        <w:rPr>
          <w:rFonts w:hint="eastAsia" w:ascii="仿宋_GB2312" w:hAnsi="仿宋_GB2312" w:eastAsia="仿宋_GB2312" w:cs="仿宋_GB2312"/>
          <w:sz w:val="32"/>
          <w:szCs w:val="32"/>
        </w:rPr>
        <w:t>公务用车购置费支出决算</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 w:val="0"/>
          <w:i w:val="0"/>
          <w:sz w:val="32"/>
          <w:szCs w:val="32"/>
        </w:rPr>
        <w:t>公务用车运行维护费支出决算</w:t>
      </w:r>
      <w:r>
        <w:rPr>
          <w:rFonts w:hint="eastAsia" w:ascii="仿宋_GB2312" w:hAnsi="仿宋_GB2312" w:eastAsia="仿宋_GB2312" w:cs="仿宋_GB2312"/>
          <w:b w:val="0"/>
          <w:i w:val="0"/>
          <w:sz w:val="32"/>
          <w:szCs w:val="32"/>
          <w:lang w:val="en-US" w:eastAsia="zh-CN"/>
        </w:rPr>
        <w:t>1.94</w:t>
      </w:r>
      <w:r>
        <w:rPr>
          <w:rFonts w:hint="eastAsia" w:ascii="仿宋_GB2312" w:hAnsi="仿宋_GB2312" w:eastAsia="仿宋_GB2312" w:cs="仿宋_GB2312"/>
          <w:b w:val="0"/>
          <w:i w:val="0"/>
          <w:sz w:val="32"/>
          <w:szCs w:val="32"/>
        </w:rPr>
        <w:t>万元，占100%；公务接待费支出决算0万元。具体情况如下：</w:t>
      </w:r>
    </w:p>
    <w:p w14:paraId="568C8696">
      <w:pPr>
        <w:spacing w:line="600" w:lineRule="exact"/>
        <w:ind w:firstLine="640"/>
        <w:rPr>
          <w:rFonts w:hint="eastAsia" w:ascii="仿宋_GB2312" w:hAnsi="仿宋_GB2312" w:eastAsia="仿宋_GB2312" w:cs="仿宋_GB2312"/>
          <w:b w:val="0"/>
          <w:i w:val="0"/>
          <w:color w:val="000000"/>
          <w:sz w:val="32"/>
          <w:szCs w:val="32"/>
        </w:rPr>
      </w:pPr>
      <w:bookmarkStart w:id="56" w:name="_Toc15396610"/>
      <w:bookmarkStart w:id="57" w:name="_Toc15377218"/>
      <w:r>
        <w:rPr>
          <w:rFonts w:hint="eastAsia" w:ascii="仿宋_GB2312" w:hAnsi="仿宋_GB2312" w:eastAsia="仿宋_GB2312" w:cs="仿宋_GB2312"/>
          <w:b w:val="0"/>
          <w:bCs w:val="0"/>
          <w:i w:val="0"/>
          <w:color w:val="000000"/>
          <w:sz w:val="32"/>
          <w:szCs w:val="32"/>
        </w:rPr>
        <w:t>1.因公出国（境）经费支出</w:t>
      </w:r>
      <w:r>
        <w:rPr>
          <w:rFonts w:hint="eastAsia" w:ascii="仿宋_GB2312" w:hAnsi="仿宋_GB2312" w:eastAsia="仿宋_GB2312" w:cs="仿宋_GB2312"/>
          <w:b w:val="0"/>
          <w:bCs w:val="0"/>
          <w:i w:val="0"/>
          <w:color w:val="000000"/>
          <w:sz w:val="32"/>
          <w:u w:color="auto"/>
          <w:lang w:eastAsia="zh-CN"/>
        </w:rPr>
        <w:t>0</w:t>
      </w:r>
      <w:r>
        <w:rPr>
          <w:rFonts w:hint="eastAsia" w:ascii="仿宋_GB2312" w:hAnsi="仿宋_GB2312" w:eastAsia="仿宋_GB2312" w:cs="仿宋_GB2312"/>
          <w:b w:val="0"/>
          <w:bCs w:val="0"/>
          <w:i w:val="0"/>
          <w:color w:val="000000"/>
          <w:sz w:val="32"/>
          <w:szCs w:val="32"/>
          <w:lang w:eastAsia="zh-CN"/>
        </w:rPr>
        <w:t>万元</w:t>
      </w:r>
      <w:r>
        <w:rPr>
          <w:rFonts w:hint="default" w:ascii="Times New Roman" w:hAnsi="Times New Roman" w:eastAsia="仿宋_GB2312" w:cs="Times New Roman"/>
          <w:b w:val="0"/>
          <w:bCs w:val="0"/>
          <w:color w:val="auto"/>
          <w:kern w:val="2"/>
          <w:sz w:val="32"/>
          <w:szCs w:val="32"/>
          <w:highlight w:val="none"/>
          <w:lang w:val="en-US" w:eastAsia="zh-CN" w:bidi="ar-SA"/>
        </w:rPr>
        <w:t>。</w:t>
      </w:r>
      <w:r>
        <w:rPr>
          <w:rFonts w:hint="eastAsia" w:ascii="仿宋_GB2312" w:hAnsi="仿宋_GB2312" w:eastAsia="仿宋_GB2312" w:cs="仿宋_GB2312"/>
          <w:b w:val="0"/>
          <w:i w:val="0"/>
          <w:color w:val="000000"/>
          <w:sz w:val="32"/>
          <w:szCs w:val="32"/>
        </w:rPr>
        <w:t>全年安排因公出国（境）团组</w:t>
      </w:r>
      <w:r>
        <w:rPr>
          <w:rFonts w:hint="eastAsia" w:ascii="仿宋_GB2312" w:hAnsi="仿宋_GB2312" w:eastAsia="仿宋_GB2312" w:cs="仿宋_GB2312"/>
          <w:b w:val="0"/>
          <w:i w:val="0"/>
          <w:color w:val="000000"/>
          <w:sz w:val="32"/>
          <w:u w:color="auto"/>
        </w:rPr>
        <w:t>0</w:t>
      </w:r>
      <w:r>
        <w:rPr>
          <w:rFonts w:hint="eastAsia" w:ascii="仿宋_GB2312" w:hAnsi="仿宋_GB2312" w:eastAsia="仿宋_GB2312" w:cs="仿宋_GB2312"/>
          <w:b w:val="0"/>
          <w:i w:val="0"/>
          <w:color w:val="000000"/>
          <w:sz w:val="32"/>
          <w:szCs w:val="32"/>
        </w:rPr>
        <w:t>次，出国（境）</w:t>
      </w:r>
      <w:r>
        <w:rPr>
          <w:rFonts w:hint="eastAsia" w:ascii="仿宋_GB2312" w:hAnsi="仿宋_GB2312" w:eastAsia="仿宋_GB2312" w:cs="仿宋_GB2312"/>
          <w:b w:val="0"/>
          <w:i w:val="0"/>
          <w:color w:val="000000"/>
          <w:sz w:val="32"/>
          <w:u w:color="auto"/>
        </w:rPr>
        <w:t>0</w:t>
      </w:r>
      <w:r>
        <w:rPr>
          <w:rFonts w:hint="eastAsia" w:ascii="仿宋_GB2312" w:hAnsi="仿宋_GB2312" w:eastAsia="仿宋_GB2312" w:cs="仿宋_GB2312"/>
          <w:b w:val="0"/>
          <w:i w:val="0"/>
          <w:color w:val="000000"/>
          <w:sz w:val="32"/>
          <w:szCs w:val="32"/>
        </w:rPr>
        <w:t>人。</w:t>
      </w:r>
    </w:p>
    <w:p w14:paraId="28341634">
      <w:pPr>
        <w:spacing w:line="600" w:lineRule="exact"/>
        <w:ind w:firstLine="640"/>
        <w:rPr>
          <w:rFonts w:hint="eastAsia" w:ascii="仿宋_GB2312" w:hAnsi="仿宋_GB2312" w:eastAsia="仿宋_GB2312" w:cs="仿宋_GB2312"/>
          <w:b w:val="0"/>
          <w:i w:val="0"/>
          <w:color w:val="000000"/>
          <w:sz w:val="32"/>
          <w:szCs w:val="32"/>
        </w:rPr>
      </w:pPr>
      <w:r>
        <w:rPr>
          <w:rFonts w:hint="eastAsia" w:ascii="仿宋_GB2312" w:hAnsi="仿宋_GB2312" w:eastAsia="仿宋_GB2312" w:cs="仿宋_GB2312"/>
          <w:b w:val="0"/>
          <w:bCs w:val="0"/>
          <w:i w:val="0"/>
          <w:color w:val="000000"/>
          <w:sz w:val="32"/>
          <w:szCs w:val="32"/>
        </w:rPr>
        <w:t>2.</w:t>
      </w:r>
      <w:r>
        <w:rPr>
          <w:rFonts w:hint="eastAsia" w:ascii="仿宋_GB2312" w:hAnsi="仿宋_GB2312" w:eastAsia="仿宋_GB2312" w:cs="仿宋_GB2312"/>
          <w:b w:val="0"/>
          <w:bCs w:val="0"/>
          <w:i w:val="0"/>
          <w:sz w:val="32"/>
          <w:szCs w:val="32"/>
        </w:rPr>
        <w:t>公务用车购置费</w:t>
      </w:r>
      <w:r>
        <w:rPr>
          <w:rFonts w:hint="eastAsia" w:ascii="仿宋_GB2312" w:hAnsi="仿宋_GB2312" w:eastAsia="仿宋_GB2312" w:cs="仿宋_GB2312"/>
          <w:b w:val="0"/>
          <w:bCs w:val="0"/>
          <w:i w:val="0"/>
          <w:sz w:val="32"/>
          <w:szCs w:val="32"/>
          <w:lang w:eastAsia="zh-CN"/>
        </w:rPr>
        <w:t>及</w:t>
      </w:r>
      <w:r>
        <w:rPr>
          <w:rFonts w:hint="eastAsia" w:ascii="仿宋_GB2312" w:hAnsi="仿宋_GB2312" w:eastAsia="仿宋_GB2312" w:cs="仿宋_GB2312"/>
          <w:b w:val="0"/>
          <w:bCs w:val="0"/>
          <w:i w:val="0"/>
          <w:sz w:val="32"/>
          <w:szCs w:val="32"/>
        </w:rPr>
        <w:t>运行维护费支出决算</w:t>
      </w:r>
      <w:r>
        <w:rPr>
          <w:rFonts w:hint="eastAsia" w:ascii="仿宋_GB2312" w:hAnsi="仿宋_GB2312" w:eastAsia="仿宋_GB2312" w:cs="仿宋_GB2312"/>
          <w:b w:val="0"/>
          <w:bCs w:val="0"/>
          <w:i w:val="0"/>
          <w:sz w:val="32"/>
          <w:szCs w:val="32"/>
          <w:lang w:val="en-US" w:eastAsia="zh-CN"/>
        </w:rPr>
        <w:t>1.94</w:t>
      </w:r>
      <w:r>
        <w:rPr>
          <w:rFonts w:hint="eastAsia" w:ascii="仿宋_GB2312" w:hAnsi="仿宋_GB2312" w:eastAsia="仿宋_GB2312" w:cs="仿宋_GB2312"/>
          <w:b w:val="0"/>
          <w:bCs w:val="0"/>
          <w:i w:val="0"/>
          <w:sz w:val="32"/>
          <w:szCs w:val="32"/>
        </w:rPr>
        <w:t>万元</w:t>
      </w:r>
      <w:r>
        <w:rPr>
          <w:rFonts w:hint="eastAsia" w:ascii="仿宋_GB2312" w:hAnsi="仿宋_GB2312" w:eastAsia="仿宋_GB2312" w:cs="仿宋_GB2312"/>
          <w:b w:val="0"/>
          <w:bCs w:val="0"/>
          <w:color w:val="auto"/>
          <w:kern w:val="2"/>
          <w:sz w:val="32"/>
          <w:szCs w:val="32"/>
          <w:highlight w:val="none"/>
          <w:lang w:val="en-US" w:eastAsia="zh-CN" w:bidi="ar-SA"/>
        </w:rPr>
        <w:t>，完成预算100%</w:t>
      </w:r>
      <w:r>
        <w:rPr>
          <w:rFonts w:hint="default" w:ascii="Times New Roman" w:hAnsi="Times New Roman" w:eastAsia="仿宋_GB2312" w:cs="Times New Roman"/>
          <w:b w:val="0"/>
          <w:bCs w:val="0"/>
          <w:color w:val="auto"/>
          <w:kern w:val="2"/>
          <w:sz w:val="32"/>
          <w:szCs w:val="32"/>
          <w:highlight w:val="none"/>
          <w:lang w:val="en-US" w:eastAsia="zh-CN" w:bidi="ar-SA"/>
        </w:rPr>
        <w:t>。</w:t>
      </w:r>
      <w:r>
        <w:rPr>
          <w:rFonts w:hint="eastAsia" w:ascii="仿宋_GB2312" w:hAnsi="仿宋_GB2312" w:eastAsia="仿宋_GB2312" w:cs="仿宋_GB2312"/>
          <w:b w:val="0"/>
          <w:i w:val="0"/>
          <w:color w:val="000000"/>
          <w:sz w:val="32"/>
          <w:szCs w:val="32"/>
        </w:rPr>
        <w:t>公务用车运行维护费支出</w:t>
      </w:r>
      <w:r>
        <w:rPr>
          <w:rFonts w:hint="eastAsia" w:ascii="仿宋_GB2312" w:hAnsi="仿宋_GB2312" w:eastAsia="仿宋_GB2312" w:cs="仿宋_GB2312"/>
          <w:b w:val="0"/>
          <w:i w:val="0"/>
          <w:sz w:val="32"/>
          <w:szCs w:val="32"/>
          <w:lang w:val="en-US" w:eastAsia="zh-CN"/>
        </w:rPr>
        <w:t>1.94</w:t>
      </w:r>
      <w:r>
        <w:rPr>
          <w:rFonts w:hint="eastAsia" w:ascii="仿宋_GB2312" w:hAnsi="仿宋_GB2312" w:eastAsia="仿宋_GB2312" w:cs="仿宋_GB2312"/>
          <w:b w:val="0"/>
          <w:i w:val="0"/>
          <w:color w:val="000000"/>
          <w:sz w:val="32"/>
          <w:szCs w:val="32"/>
          <w:lang w:eastAsia="zh-CN"/>
        </w:rPr>
        <w:t>万元</w:t>
      </w:r>
      <w:r>
        <w:rPr>
          <w:rFonts w:hint="eastAsia" w:ascii="仿宋_GB2312" w:hAnsi="仿宋_GB2312" w:eastAsia="仿宋_GB2312" w:cs="仿宋_GB2312"/>
          <w:b w:val="0"/>
          <w:i w:val="0"/>
          <w:color w:val="000000"/>
          <w:sz w:val="32"/>
          <w:szCs w:val="32"/>
        </w:rPr>
        <w:t>,完成预算</w:t>
      </w:r>
      <w:r>
        <w:rPr>
          <w:rFonts w:hint="eastAsia" w:ascii="仿宋_GB2312" w:hAnsi="仿宋_GB2312" w:eastAsia="仿宋_GB2312" w:cs="仿宋_GB2312"/>
          <w:b w:val="0"/>
          <w:i w:val="0"/>
          <w:color w:val="000000"/>
          <w:sz w:val="32"/>
          <w:u w:color="auto"/>
        </w:rPr>
        <w:t>10</w:t>
      </w:r>
      <w:r>
        <w:rPr>
          <w:rFonts w:hint="eastAsia" w:ascii="仿宋_GB2312" w:hAnsi="仿宋_GB2312" w:eastAsia="仿宋_GB2312" w:cs="仿宋_GB2312"/>
          <w:b w:val="0"/>
          <w:i w:val="0"/>
          <w:color w:val="000000"/>
          <w:sz w:val="32"/>
          <w:u w:color="auto"/>
          <w:lang w:eastAsia="zh-CN"/>
        </w:rPr>
        <w:t>0</w:t>
      </w:r>
      <w:r>
        <w:rPr>
          <w:rFonts w:hint="eastAsia" w:ascii="仿宋_GB2312" w:hAnsi="仿宋_GB2312" w:eastAsia="仿宋_GB2312" w:cs="仿宋_GB2312"/>
          <w:b w:val="0"/>
          <w:i w:val="0"/>
          <w:color w:val="000000"/>
          <w:sz w:val="32"/>
          <w:szCs w:val="32"/>
        </w:rPr>
        <w:t>%</w:t>
      </w:r>
      <w:r>
        <w:rPr>
          <w:rFonts w:hint="eastAsia" w:ascii="仿宋_GB2312" w:hAnsi="仿宋_GB2312" w:eastAsia="仿宋_GB2312" w:cs="仿宋_GB2312"/>
          <w:b w:val="0"/>
          <w:i w:val="0"/>
          <w:color w:val="000000"/>
          <w:sz w:val="32"/>
          <w:szCs w:val="32"/>
          <w:lang w:eastAsia="zh-CN"/>
        </w:rPr>
        <w:t>。与</w:t>
      </w:r>
      <w:r>
        <w:rPr>
          <w:rFonts w:hint="eastAsia" w:ascii="仿宋_GB2312" w:hAnsi="仿宋_GB2312" w:eastAsia="仿宋_GB2312" w:cs="仿宋_GB2312"/>
          <w:b w:val="0"/>
          <w:i w:val="0"/>
          <w:color w:val="000000"/>
          <w:sz w:val="32"/>
          <w:u w:color="auto"/>
          <w:lang w:eastAsia="zh-CN"/>
        </w:rPr>
        <w:t>2024</w:t>
      </w:r>
      <w:r>
        <w:rPr>
          <w:rFonts w:hint="eastAsia" w:ascii="仿宋_GB2312" w:hAnsi="仿宋_GB2312" w:eastAsia="仿宋_GB2312" w:cs="仿宋_GB2312"/>
          <w:b w:val="0"/>
          <w:i w:val="0"/>
          <w:color w:val="000000"/>
          <w:sz w:val="32"/>
          <w:u w:color="auto"/>
        </w:rPr>
        <w:t>年</w:t>
      </w:r>
      <w:r>
        <w:rPr>
          <w:rFonts w:hint="eastAsia" w:ascii="仿宋_GB2312" w:hAnsi="仿宋_GB2312" w:eastAsia="仿宋_GB2312" w:cs="仿宋_GB2312"/>
          <w:b w:val="0"/>
          <w:i w:val="0"/>
          <w:color w:val="000000"/>
          <w:sz w:val="32"/>
          <w:u w:color="auto"/>
          <w:lang w:eastAsia="zh-CN"/>
        </w:rPr>
        <w:t>度相比，</w:t>
      </w:r>
      <w:r>
        <w:rPr>
          <w:rFonts w:hint="eastAsia" w:ascii="仿宋_GB2312" w:hAnsi="仿宋_GB2312" w:eastAsia="仿宋_GB2312" w:cs="仿宋_GB2312"/>
          <w:b w:val="0"/>
          <w:i w:val="0"/>
          <w:sz w:val="32"/>
          <w:szCs w:val="32"/>
          <w:lang w:eastAsia="zh-CN"/>
        </w:rPr>
        <w:t>减少</w:t>
      </w:r>
      <w:r>
        <w:rPr>
          <w:rFonts w:hint="eastAsia" w:ascii="仿宋_GB2312" w:hAnsi="仿宋_GB2312" w:eastAsia="仿宋_GB2312" w:cs="仿宋_GB2312"/>
          <w:b w:val="0"/>
          <w:i w:val="0"/>
          <w:sz w:val="32"/>
          <w:szCs w:val="32"/>
          <w:lang w:val="en-US" w:eastAsia="zh-CN"/>
        </w:rPr>
        <w:t>0.41</w:t>
      </w:r>
      <w:r>
        <w:rPr>
          <w:rFonts w:hint="eastAsia" w:ascii="仿宋_GB2312" w:hAnsi="仿宋_GB2312" w:eastAsia="仿宋_GB2312" w:cs="仿宋_GB2312"/>
          <w:b w:val="0"/>
          <w:i w:val="0"/>
          <w:sz w:val="32"/>
          <w:szCs w:val="32"/>
        </w:rPr>
        <w:t>万元，</w:t>
      </w:r>
      <w:r>
        <w:rPr>
          <w:rFonts w:hint="eastAsia" w:ascii="仿宋_GB2312" w:hAnsi="仿宋_GB2312" w:eastAsia="仿宋_GB2312" w:cs="仿宋_GB2312"/>
          <w:b w:val="0"/>
          <w:i w:val="0"/>
          <w:sz w:val="32"/>
          <w:szCs w:val="32"/>
          <w:lang w:eastAsia="zh-CN"/>
        </w:rPr>
        <w:t>下降</w:t>
      </w:r>
      <w:r>
        <w:rPr>
          <w:rFonts w:hint="eastAsia" w:ascii="仿宋_GB2312" w:hAnsi="仿宋_GB2312" w:eastAsia="仿宋_GB2312" w:cs="仿宋_GB2312"/>
          <w:b w:val="0"/>
          <w:i w:val="0"/>
          <w:sz w:val="32"/>
          <w:szCs w:val="32"/>
          <w:lang w:val="en-US" w:eastAsia="zh-CN"/>
        </w:rPr>
        <w:t>17.4</w:t>
      </w:r>
      <w:r>
        <w:rPr>
          <w:rFonts w:hint="eastAsia" w:ascii="仿宋_GB2312" w:hAnsi="仿宋_GB2312" w:eastAsia="仿宋_GB2312" w:cs="仿宋_GB2312"/>
          <w:b w:val="0"/>
          <w:i w:val="0"/>
          <w:sz w:val="32"/>
          <w:szCs w:val="32"/>
        </w:rPr>
        <w:t>%。</w:t>
      </w:r>
      <w:r>
        <w:rPr>
          <w:rFonts w:hint="eastAsia" w:ascii="仿宋_GB2312" w:hAnsi="仿宋_GB2312" w:eastAsia="仿宋_GB2312" w:cs="仿宋_GB2312"/>
          <w:b w:val="0"/>
          <w:i w:val="0"/>
          <w:sz w:val="32"/>
          <w:szCs w:val="32"/>
          <w:lang w:eastAsia="zh-CN"/>
        </w:rPr>
        <w:t>主要原因是：本年公务用车使用较少。</w:t>
      </w:r>
    </w:p>
    <w:p w14:paraId="39D51341">
      <w:pPr>
        <w:spacing w:line="600" w:lineRule="exact"/>
        <w:ind w:firstLine="640" w:firstLineChars="200"/>
        <w:rPr>
          <w:rFonts w:hint="eastAsia" w:ascii="仿宋_GB2312" w:hAnsi="仿宋_GB2312" w:eastAsia="仿宋_GB2312" w:cs="仿宋_GB2312"/>
          <w:b w:val="0"/>
          <w:i w:val="0"/>
          <w:color w:val="000000"/>
          <w:sz w:val="32"/>
          <w:szCs w:val="32"/>
          <w:lang w:val="en-US" w:eastAsia="zh-CN"/>
        </w:rPr>
      </w:pPr>
      <w:r>
        <w:rPr>
          <w:rFonts w:hint="eastAsia" w:ascii="仿宋_GB2312" w:hAnsi="仿宋_GB2312" w:eastAsia="仿宋_GB2312" w:cs="仿宋_GB2312"/>
          <w:b w:val="0"/>
          <w:i w:val="0"/>
          <w:color w:val="000000"/>
          <w:sz w:val="32"/>
          <w:u w:color="auto"/>
        </w:rPr>
        <w:t>截至</w:t>
      </w:r>
      <w:r>
        <w:rPr>
          <w:rFonts w:hint="eastAsia" w:ascii="仿宋_GB2312" w:hAnsi="仿宋_GB2312" w:eastAsia="仿宋_GB2312" w:cs="仿宋_GB2312"/>
          <w:b w:val="0"/>
          <w:i w:val="0"/>
          <w:color w:val="000000"/>
          <w:sz w:val="32"/>
          <w:szCs w:val="32"/>
          <w:lang w:eastAsia="zh-CN"/>
        </w:rPr>
        <w:t>2025年</w:t>
      </w:r>
      <w:r>
        <w:rPr>
          <w:rFonts w:hint="eastAsia" w:ascii="仿宋_GB2312" w:hAnsi="仿宋_GB2312" w:eastAsia="仿宋_GB2312" w:cs="仿宋_GB2312"/>
          <w:b w:val="0"/>
          <w:i w:val="0"/>
          <w:color w:val="000000"/>
          <w:sz w:val="32"/>
          <w:szCs w:val="32"/>
        </w:rPr>
        <w:t>12月底，单位共有公务用车</w:t>
      </w:r>
      <w:r>
        <w:rPr>
          <w:rFonts w:hint="eastAsia" w:ascii="仿宋_GB2312" w:hAnsi="仿宋_GB2312" w:eastAsia="仿宋_GB2312" w:cs="仿宋_GB2312"/>
          <w:b w:val="0"/>
          <w:i w:val="0"/>
          <w:color w:val="000000"/>
          <w:sz w:val="32"/>
          <w:u w:color="auto"/>
        </w:rPr>
        <w:t>1</w:t>
      </w:r>
      <w:r>
        <w:rPr>
          <w:rFonts w:hint="eastAsia" w:ascii="仿宋_GB2312" w:hAnsi="仿宋_GB2312" w:eastAsia="仿宋_GB2312" w:cs="仿宋_GB2312"/>
          <w:b w:val="0"/>
          <w:i w:val="0"/>
          <w:color w:val="000000"/>
          <w:sz w:val="32"/>
          <w:szCs w:val="32"/>
        </w:rPr>
        <w:t>辆，其中：应急保障用车</w:t>
      </w:r>
      <w:r>
        <w:rPr>
          <w:rFonts w:hint="eastAsia" w:ascii="仿宋_GB2312" w:hAnsi="仿宋_GB2312" w:eastAsia="仿宋_GB2312" w:cs="仿宋_GB2312"/>
          <w:b w:val="0"/>
          <w:i w:val="0"/>
          <w:color w:val="000000"/>
          <w:sz w:val="32"/>
          <w:szCs w:val="32"/>
          <w:lang w:val="en-US" w:eastAsia="zh-CN"/>
        </w:rPr>
        <w:t>1辆。</w:t>
      </w:r>
    </w:p>
    <w:p w14:paraId="67A8D73A">
      <w:pPr>
        <w:spacing w:line="600" w:lineRule="exact"/>
        <w:ind w:firstLine="640" w:firstLineChars="200"/>
        <w:rPr>
          <w:rFonts w:hint="eastAsia" w:ascii="仿宋_GB2312" w:hAnsi="仿宋_GB2312" w:eastAsia="仿宋_GB2312" w:cs="仿宋_GB2312"/>
          <w:b w:val="0"/>
          <w:i w:val="0"/>
          <w:color w:val="000000"/>
          <w:sz w:val="32"/>
          <w:szCs w:val="32"/>
        </w:rPr>
      </w:pPr>
      <w:r>
        <w:rPr>
          <w:rFonts w:hint="eastAsia" w:ascii="仿宋_GB2312" w:hAnsi="仿宋_GB2312" w:eastAsia="仿宋_GB2312" w:cs="仿宋_GB2312"/>
          <w:b w:val="0"/>
          <w:i w:val="0"/>
          <w:color w:val="000000"/>
          <w:sz w:val="32"/>
          <w:szCs w:val="32"/>
          <w:lang w:val="en-US" w:eastAsia="zh-CN"/>
        </w:rPr>
        <w:t>公务用车运行维护费支出1.94万元。</w:t>
      </w:r>
      <w:r>
        <w:rPr>
          <w:rFonts w:hint="eastAsia" w:ascii="仿宋_GB2312" w:hAnsi="仿宋_GB2312" w:eastAsia="仿宋_GB2312" w:cs="仿宋_GB2312"/>
          <w:color w:val="auto"/>
          <w:kern w:val="2"/>
          <w:sz w:val="32"/>
          <w:szCs w:val="32"/>
          <w:highlight w:val="none"/>
          <w:lang w:val="en-US" w:eastAsia="zh-CN" w:bidi="ar-SA"/>
        </w:rPr>
        <w:t>主要用于卫生院出诊等工作所需的公务用车燃料费、维修费、过路过桥费、保险费等支出。</w:t>
      </w:r>
    </w:p>
    <w:p w14:paraId="360682FA">
      <w:pPr>
        <w:spacing w:line="600" w:lineRule="exact"/>
        <w:ind w:firstLine="640"/>
        <w:rPr>
          <w:rFonts w:hint="eastAsia" w:ascii="仿宋_GB2312" w:hAnsi="仿宋_GB2312" w:eastAsia="仿宋_GB2312" w:cs="仿宋_GB2312"/>
          <w:b w:val="0"/>
          <w:bCs w:val="0"/>
          <w:i w:val="0"/>
          <w:color w:val="000000"/>
          <w:sz w:val="32"/>
          <w:szCs w:val="32"/>
        </w:rPr>
      </w:pPr>
      <w:r>
        <w:rPr>
          <w:rFonts w:hint="eastAsia" w:ascii="仿宋_GB2312" w:hAnsi="仿宋_GB2312" w:eastAsia="仿宋_GB2312" w:cs="仿宋_GB2312"/>
          <w:b w:val="0"/>
          <w:bCs w:val="0"/>
          <w:i w:val="0"/>
          <w:color w:val="000000"/>
          <w:sz w:val="32"/>
          <w:szCs w:val="32"/>
        </w:rPr>
        <w:t>3.公务接待费支出</w:t>
      </w:r>
      <w:r>
        <w:rPr>
          <w:rFonts w:hint="eastAsia" w:ascii="仿宋_GB2312" w:hAnsi="仿宋_GB2312" w:eastAsia="仿宋_GB2312" w:cs="仿宋_GB2312"/>
          <w:b w:val="0"/>
          <w:bCs w:val="0"/>
          <w:i w:val="0"/>
          <w:color w:val="000000"/>
          <w:sz w:val="32"/>
          <w:u w:color="auto"/>
          <w:lang w:eastAsia="zh-CN"/>
        </w:rPr>
        <w:t>0万元</w:t>
      </w:r>
      <w:r>
        <w:rPr>
          <w:rFonts w:hint="default" w:ascii="Times New Roman" w:hAnsi="Times New Roman" w:eastAsia="仿宋_GB2312" w:cs="Times New Roman"/>
          <w:b w:val="0"/>
          <w:bCs w:val="0"/>
          <w:color w:val="auto"/>
          <w:kern w:val="2"/>
          <w:sz w:val="32"/>
          <w:szCs w:val="32"/>
          <w:highlight w:val="none"/>
          <w:lang w:val="en-US" w:eastAsia="zh-CN" w:bidi="ar-SA"/>
        </w:rPr>
        <w:t>。</w:t>
      </w:r>
    </w:p>
    <w:p w14:paraId="22518C20">
      <w:pPr>
        <w:spacing w:line="600" w:lineRule="exact"/>
        <w:ind w:firstLine="640"/>
        <w:rPr>
          <w:rFonts w:hint="eastAsia" w:ascii="仿宋_GB2312" w:hAnsi="仿宋_GB2312" w:eastAsia="仿宋_GB2312" w:cs="仿宋_GB2312"/>
          <w:b w:val="0"/>
          <w:i w:val="0"/>
          <w:color w:val="000000"/>
          <w:sz w:val="32"/>
          <w:szCs w:val="32"/>
        </w:rPr>
      </w:pPr>
      <w:r>
        <w:rPr>
          <w:rFonts w:hint="eastAsia" w:ascii="仿宋_GB2312" w:hAnsi="仿宋_GB2312" w:eastAsia="仿宋_GB2312" w:cs="仿宋_GB2312"/>
          <w:b w:val="0"/>
          <w:i w:val="0"/>
          <w:color w:val="000000"/>
          <w:sz w:val="32"/>
          <w:szCs w:val="32"/>
        </w:rPr>
        <w:t>国内公务接待支出</w:t>
      </w:r>
      <w:r>
        <w:rPr>
          <w:rFonts w:hint="eastAsia" w:ascii="仿宋_GB2312" w:hAnsi="仿宋_GB2312" w:eastAsia="仿宋_GB2312" w:cs="仿宋_GB2312"/>
          <w:b w:val="0"/>
          <w:i w:val="0"/>
          <w:color w:val="000000"/>
          <w:sz w:val="32"/>
          <w:u w:color="auto"/>
          <w:lang w:eastAsia="zh-CN"/>
        </w:rPr>
        <w:t>0万元</w:t>
      </w:r>
      <w:r>
        <w:rPr>
          <w:rFonts w:hint="eastAsia" w:ascii="仿宋_GB2312" w:hAnsi="仿宋_GB2312" w:eastAsia="仿宋_GB2312" w:cs="仿宋_GB2312"/>
          <w:b w:val="0"/>
          <w:i w:val="0"/>
          <w:color w:val="000000"/>
          <w:sz w:val="32"/>
          <w:u w:color="auto"/>
        </w:rPr>
        <w:t>。国内公务接待0批次，0人次（不包括陪同人员），共计支出</w:t>
      </w:r>
      <w:r>
        <w:rPr>
          <w:rFonts w:hint="eastAsia" w:ascii="仿宋_GB2312" w:hAnsi="仿宋_GB2312" w:eastAsia="仿宋_GB2312" w:cs="仿宋_GB2312"/>
          <w:b w:val="0"/>
          <w:i w:val="0"/>
          <w:color w:val="000000"/>
          <w:sz w:val="32"/>
          <w:u w:color="auto"/>
          <w:lang w:eastAsia="zh-CN"/>
        </w:rPr>
        <w:t>0万元</w:t>
      </w:r>
      <w:r>
        <w:rPr>
          <w:rFonts w:hint="eastAsia" w:ascii="仿宋_GB2312" w:hAnsi="仿宋_GB2312" w:eastAsia="仿宋_GB2312" w:cs="仿宋_GB2312"/>
          <w:b w:val="0"/>
          <w:i w:val="0"/>
          <w:color w:val="000000"/>
          <w:sz w:val="32"/>
          <w:u w:color="auto"/>
        </w:rPr>
        <w:t>。</w:t>
      </w:r>
    </w:p>
    <w:p w14:paraId="26A83524">
      <w:pPr>
        <w:pStyle w:val="6"/>
        <w:rPr>
          <w:rFonts w:hint="eastAsia" w:ascii="仿宋_GB2312" w:hAnsi="仿宋_GB2312" w:eastAsia="仿宋_GB2312" w:cs="仿宋_GB2312"/>
          <w:sz w:val="32"/>
          <w:szCs w:val="32"/>
        </w:rPr>
      </w:pPr>
      <w:r>
        <w:rPr>
          <w:rFonts w:hint="eastAsia" w:ascii="仿宋_GB2312" w:hAnsi="仿宋_GB2312" w:eastAsia="仿宋_GB2312" w:cs="仿宋_GB2312"/>
          <w:b w:val="0"/>
          <w:i w:val="0"/>
          <w:color w:val="000000"/>
          <w:sz w:val="32"/>
          <w:szCs w:val="32"/>
        </w:rPr>
        <w:t>外事接待支出</w:t>
      </w:r>
      <w:r>
        <w:rPr>
          <w:rFonts w:hint="eastAsia" w:ascii="仿宋_GB2312" w:hAnsi="仿宋_GB2312" w:eastAsia="仿宋_GB2312" w:cs="仿宋_GB2312"/>
          <w:b w:val="0"/>
          <w:i w:val="0"/>
          <w:color w:val="000000"/>
          <w:sz w:val="32"/>
          <w:u w:color="auto"/>
          <w:lang w:eastAsia="zh-CN"/>
        </w:rPr>
        <w:t>0万元</w:t>
      </w:r>
      <w:r>
        <w:rPr>
          <w:rFonts w:hint="eastAsia" w:ascii="仿宋_GB2312" w:hAnsi="仿宋_GB2312" w:eastAsia="仿宋_GB2312" w:cs="仿宋_GB2312"/>
          <w:b w:val="0"/>
          <w:i w:val="0"/>
          <w:color w:val="000000"/>
          <w:sz w:val="32"/>
          <w:u w:color="auto"/>
        </w:rPr>
        <w:t>。</w:t>
      </w:r>
      <w:r>
        <w:rPr>
          <w:rFonts w:hint="eastAsia" w:ascii="仿宋_GB2312" w:hAnsi="仿宋_GB2312" w:eastAsia="仿宋_GB2312" w:cs="仿宋_GB2312"/>
          <w:color w:val="000000"/>
          <w:sz w:val="32"/>
          <w:u w:color="auto"/>
        </w:rPr>
        <w:t>外事接待0批次，0人</w:t>
      </w:r>
      <w:r>
        <w:rPr>
          <w:rFonts w:hint="eastAsia" w:ascii="仿宋_GB2312" w:hAnsi="仿宋_GB2312" w:eastAsia="仿宋_GB2312" w:cs="仿宋_GB2312"/>
          <w:color w:val="000000"/>
          <w:sz w:val="32"/>
          <w:u w:color="auto"/>
          <w:lang w:eastAsia="zh-CN"/>
        </w:rPr>
        <w:t>。</w:t>
      </w:r>
    </w:p>
    <w:p w14:paraId="6518DC62">
      <w:pPr>
        <w:spacing w:line="600" w:lineRule="exact"/>
        <w:ind w:firstLine="640"/>
        <w:outlineLvl w:val="1"/>
        <w:rPr>
          <w:rStyle w:val="31"/>
          <w:rFonts w:ascii="黑体" w:hAnsi="黑体" w:eastAsia="黑体"/>
        </w:rPr>
      </w:pPr>
      <w:bookmarkStart w:id="58" w:name="_Toc8820"/>
      <w:r>
        <w:rPr>
          <w:rFonts w:hint="eastAsia" w:ascii="黑体" w:eastAsia="黑体"/>
          <w:sz w:val="32"/>
          <w:szCs w:val="32"/>
        </w:rPr>
        <w:t>八、</w:t>
      </w:r>
      <w:r>
        <w:rPr>
          <w:rStyle w:val="31"/>
          <w:rFonts w:hint="eastAsia" w:ascii="黑体" w:hAnsi="黑体" w:eastAsia="黑体"/>
          <w:b w:val="0"/>
        </w:rPr>
        <w:t>政府性基金预算支出决算情况说明</w:t>
      </w:r>
      <w:bookmarkEnd w:id="56"/>
      <w:bookmarkEnd w:id="57"/>
      <w:bookmarkEnd w:id="58"/>
    </w:p>
    <w:p w14:paraId="7B4E8E67">
      <w:pPr>
        <w:spacing w:line="600" w:lineRule="exact"/>
        <w:ind w:firstLine="640"/>
        <w:rPr>
          <w:rFonts w:ascii="仿宋_GB2312" w:eastAsia="仿宋_GB2312"/>
          <w:sz w:val="32"/>
          <w:szCs w:val="32"/>
        </w:rPr>
      </w:pPr>
      <w:r>
        <w:rPr>
          <w:rFonts w:hint="eastAsia" w:ascii="仿宋_GB2312" w:eastAsia="仿宋_GB2312"/>
          <w:sz w:val="32"/>
          <w:szCs w:val="32"/>
          <w:lang w:eastAsia="zh-CN"/>
        </w:rPr>
        <w:t>2025年</w:t>
      </w:r>
      <w:r>
        <w:rPr>
          <w:rFonts w:hint="eastAsia" w:ascii="仿宋_GB2312" w:eastAsia="仿宋_GB2312"/>
          <w:sz w:val="32"/>
          <w:szCs w:val="32"/>
        </w:rPr>
        <w:t>度政府性基金预算财政拨款支出0万元。</w:t>
      </w:r>
    </w:p>
    <w:p w14:paraId="4861DAB5">
      <w:pPr>
        <w:numPr>
          <w:ilvl w:val="0"/>
          <w:numId w:val="2"/>
        </w:numPr>
        <w:spacing w:line="600" w:lineRule="exact"/>
        <w:ind w:firstLine="640"/>
        <w:outlineLvl w:val="1"/>
        <w:rPr>
          <w:rStyle w:val="31"/>
          <w:rFonts w:ascii="黑体" w:hAnsi="黑体" w:eastAsia="黑体"/>
          <w:b w:val="0"/>
        </w:rPr>
      </w:pPr>
      <w:bookmarkStart w:id="59" w:name="_Toc15396611"/>
      <w:bookmarkStart w:id="60" w:name="_Toc15377219"/>
      <w:bookmarkStart w:id="61" w:name="_Toc13626"/>
      <w:r>
        <w:rPr>
          <w:rStyle w:val="31"/>
          <w:rFonts w:hint="eastAsia" w:ascii="黑体" w:hAnsi="黑体" w:eastAsia="黑体"/>
          <w:b w:val="0"/>
        </w:rPr>
        <w:t>国有资本经营预算支出决算情况说明</w:t>
      </w:r>
      <w:bookmarkEnd w:id="59"/>
      <w:bookmarkEnd w:id="60"/>
      <w:bookmarkEnd w:id="61"/>
    </w:p>
    <w:p w14:paraId="17A8DFA4">
      <w:pPr>
        <w:spacing w:line="600" w:lineRule="exact"/>
        <w:ind w:firstLine="640"/>
        <w:rPr>
          <w:rFonts w:ascii="方正小标宋简体" w:hAnsi="方正小标宋简体" w:eastAsia="方正小标宋简体" w:cs="方正小标宋简体"/>
          <w:sz w:val="44"/>
          <w:szCs w:val="44"/>
        </w:rPr>
      </w:pPr>
      <w:r>
        <w:rPr>
          <w:rFonts w:hint="eastAsia" w:ascii="仿宋_GB2312" w:eastAsia="仿宋_GB2312"/>
          <w:sz w:val="32"/>
          <w:szCs w:val="32"/>
          <w:lang w:eastAsia="zh-CN"/>
        </w:rPr>
        <w:t>2025年</w:t>
      </w:r>
      <w:r>
        <w:rPr>
          <w:rFonts w:hint="eastAsia" w:ascii="仿宋_GB2312" w:eastAsia="仿宋_GB2312"/>
          <w:sz w:val="32"/>
          <w:szCs w:val="32"/>
        </w:rPr>
        <w:t>度国有资本经营预算财政拨款支出0万元。</w:t>
      </w:r>
    </w:p>
    <w:p w14:paraId="4DD0778B">
      <w:pPr>
        <w:numPr>
          <w:ilvl w:val="0"/>
          <w:numId w:val="2"/>
        </w:numPr>
        <w:spacing w:line="600" w:lineRule="exact"/>
        <w:ind w:firstLine="640"/>
        <w:outlineLvl w:val="1"/>
        <w:rPr>
          <w:rStyle w:val="31"/>
          <w:rFonts w:ascii="黑体" w:hAnsi="黑体" w:eastAsia="黑体"/>
          <w:b w:val="0"/>
        </w:rPr>
      </w:pPr>
      <w:bookmarkStart w:id="62" w:name="_Toc10342"/>
      <w:bookmarkStart w:id="63" w:name="_Toc15396612"/>
      <w:bookmarkStart w:id="64" w:name="_Toc15377221"/>
      <w:r>
        <w:rPr>
          <w:rStyle w:val="31"/>
          <w:rFonts w:hint="eastAsia" w:ascii="黑体" w:hAnsi="黑体" w:eastAsia="黑体"/>
          <w:b w:val="0"/>
        </w:rPr>
        <w:t>其他重要事项的情况说明</w:t>
      </w:r>
      <w:bookmarkEnd w:id="62"/>
      <w:bookmarkEnd w:id="63"/>
      <w:bookmarkEnd w:id="64"/>
    </w:p>
    <w:p w14:paraId="6B114894">
      <w:pPr>
        <w:pageBreakBefore w:val="0"/>
        <w:kinsoku/>
        <w:wordWrap/>
        <w:overflowPunct/>
        <w:topLinePunct w:val="0"/>
        <w:bidi w:val="0"/>
        <w:spacing w:line="576" w:lineRule="exact"/>
        <w:ind w:firstLine="643" w:firstLineChars="200"/>
        <w:textAlignment w:val="auto"/>
        <w:outlineLvl w:val="2"/>
        <w:rPr>
          <w:rFonts w:hint="eastAsia" w:ascii="Times New Roman" w:hAnsi="Times New Roman" w:eastAsia="楷体_GB2312" w:cs="Times New Roman"/>
          <w:b/>
          <w:color w:val="auto"/>
          <w:sz w:val="32"/>
          <w:szCs w:val="32"/>
          <w:highlight w:val="none"/>
        </w:rPr>
      </w:pPr>
      <w:bookmarkStart w:id="65" w:name="_Toc15377222"/>
      <w:r>
        <w:rPr>
          <w:rFonts w:hint="eastAsia" w:ascii="Times New Roman" w:hAnsi="Times New Roman" w:eastAsia="楷体_GB2312" w:cs="Times New Roman"/>
          <w:b/>
          <w:color w:val="auto"/>
          <w:sz w:val="32"/>
          <w:szCs w:val="32"/>
          <w:highlight w:val="none"/>
        </w:rPr>
        <w:t>（一）机关运行经费支出情况</w:t>
      </w:r>
      <w:bookmarkEnd w:id="65"/>
    </w:p>
    <w:p w14:paraId="30A93FF8">
      <w:pPr>
        <w:spacing w:line="600" w:lineRule="exact"/>
        <w:ind w:firstLine="640"/>
        <w:rPr>
          <w:rFonts w:hint="eastAsia" w:ascii="仿宋_GB2312" w:eastAsia="仿宋_GB2312"/>
          <w:sz w:val="32"/>
          <w:szCs w:val="32"/>
        </w:rPr>
      </w:pPr>
      <w:r>
        <w:rPr>
          <w:rFonts w:hint="eastAsia" w:ascii="仿宋_GB2312" w:eastAsia="仿宋_GB2312"/>
          <w:sz w:val="32"/>
          <w:szCs w:val="32"/>
          <w:lang w:eastAsia="zh-CN"/>
        </w:rPr>
        <w:t>2025年</w:t>
      </w:r>
      <w:r>
        <w:rPr>
          <w:rFonts w:hint="eastAsia" w:ascii="仿宋_GB2312" w:eastAsia="仿宋_GB2312"/>
          <w:sz w:val="32"/>
          <w:szCs w:val="32"/>
        </w:rPr>
        <w:t>度，四川省阿坝藏族羌族自治州茂县叠溪镇卫生院机关运行经费支出0万元</w:t>
      </w:r>
      <w:r>
        <w:rPr>
          <w:rFonts w:hint="eastAsia" w:ascii="仿宋" w:eastAsia="仿宋_GB2312"/>
          <w:b w:val="0"/>
          <w:i w:val="0"/>
          <w:color w:val="000000"/>
          <w:sz w:val="32"/>
          <w:szCs w:val="32"/>
        </w:rPr>
        <w:t>。</w:t>
      </w:r>
    </w:p>
    <w:p w14:paraId="0E8E2EF6">
      <w:pPr>
        <w:pageBreakBefore w:val="0"/>
        <w:kinsoku/>
        <w:wordWrap/>
        <w:overflowPunct/>
        <w:topLinePunct w:val="0"/>
        <w:bidi w:val="0"/>
        <w:spacing w:line="576" w:lineRule="exact"/>
        <w:ind w:firstLine="643" w:firstLineChars="200"/>
        <w:textAlignment w:val="auto"/>
        <w:outlineLvl w:val="2"/>
        <w:rPr>
          <w:rFonts w:hint="eastAsia" w:ascii="Times New Roman" w:hAnsi="Times New Roman" w:eastAsia="楷体_GB2312" w:cs="Times New Roman"/>
          <w:b/>
          <w:color w:val="auto"/>
          <w:sz w:val="32"/>
          <w:szCs w:val="32"/>
          <w:highlight w:val="none"/>
        </w:rPr>
      </w:pPr>
      <w:bookmarkStart w:id="66" w:name="_Toc15377223"/>
      <w:r>
        <w:rPr>
          <w:rFonts w:hint="eastAsia" w:ascii="Times New Roman" w:hAnsi="Times New Roman" w:eastAsia="楷体_GB2312" w:cs="Times New Roman"/>
          <w:b/>
          <w:color w:val="auto"/>
          <w:sz w:val="32"/>
          <w:szCs w:val="32"/>
          <w:highlight w:val="none"/>
        </w:rPr>
        <w:t>（二）政府采购支出情况</w:t>
      </w:r>
      <w:bookmarkEnd w:id="66"/>
    </w:p>
    <w:p w14:paraId="337D4D65">
      <w:pPr>
        <w:spacing w:line="60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2025年</w:t>
      </w:r>
      <w:r>
        <w:rPr>
          <w:rFonts w:hint="eastAsia" w:ascii="仿宋_GB2312" w:eastAsia="仿宋_GB2312"/>
          <w:sz w:val="32"/>
          <w:szCs w:val="32"/>
        </w:rPr>
        <w:t>度，四川省阿坝藏族羌族自治州茂县叠溪镇卫生院政府采购支出总额0万元，</w:t>
      </w:r>
      <w:r>
        <w:rPr>
          <w:rFonts w:hint="eastAsia" w:ascii="仿宋_GB2312" w:eastAsia="仿宋_GB2312"/>
          <w:sz w:val="32"/>
          <w:szCs w:val="32"/>
          <w:lang w:eastAsia="zh-CN"/>
        </w:rPr>
        <w:t>无变化，未涉及政府采购支出。</w:t>
      </w:r>
      <w:r>
        <w:rPr>
          <w:rFonts w:hint="eastAsia" w:ascii="仿宋_GB2312" w:eastAsia="仿宋_GB2312"/>
          <w:sz w:val="32"/>
          <w:szCs w:val="32"/>
        </w:rPr>
        <w:t>其中：政府采购货物支出0万元、政府采购工程支出0万元、政府采购服务支出0万元</w:t>
      </w:r>
      <w:r>
        <w:rPr>
          <w:rFonts w:hint="eastAsia" w:ascii="仿宋_GB2312" w:eastAsia="仿宋_GB2312"/>
          <w:sz w:val="32"/>
          <w:szCs w:val="32"/>
          <w:lang w:eastAsia="zh-CN"/>
        </w:rPr>
        <w:t>。</w:t>
      </w:r>
    </w:p>
    <w:p w14:paraId="089CEE06">
      <w:pPr>
        <w:pageBreakBefore w:val="0"/>
        <w:kinsoku/>
        <w:wordWrap/>
        <w:overflowPunct/>
        <w:topLinePunct w:val="0"/>
        <w:bidi w:val="0"/>
        <w:spacing w:line="576" w:lineRule="exact"/>
        <w:ind w:firstLine="643" w:firstLineChars="200"/>
        <w:textAlignment w:val="auto"/>
        <w:outlineLvl w:val="2"/>
        <w:rPr>
          <w:rFonts w:hint="eastAsia" w:ascii="Times New Roman" w:hAnsi="Times New Roman" w:eastAsia="楷体_GB2312" w:cs="Times New Roman"/>
          <w:b/>
          <w:color w:val="auto"/>
          <w:sz w:val="32"/>
          <w:szCs w:val="32"/>
          <w:highlight w:val="none"/>
        </w:rPr>
      </w:pPr>
      <w:bookmarkStart w:id="67" w:name="_Toc15377224"/>
      <w:r>
        <w:rPr>
          <w:rFonts w:hint="eastAsia" w:ascii="Times New Roman" w:hAnsi="Times New Roman" w:eastAsia="楷体_GB2312" w:cs="Times New Roman"/>
          <w:b/>
          <w:color w:val="auto"/>
          <w:sz w:val="32"/>
          <w:szCs w:val="32"/>
          <w:highlight w:val="none"/>
        </w:rPr>
        <w:t>（三）国有资产占有使用情况</w:t>
      </w:r>
      <w:bookmarkEnd w:id="67"/>
    </w:p>
    <w:p w14:paraId="1CA68B06">
      <w:pPr>
        <w:autoSpaceDE w:val="0"/>
        <w:autoSpaceDN w:val="0"/>
        <w:adjustRightInd w:val="0"/>
        <w:spacing w:line="600" w:lineRule="exact"/>
        <w:ind w:firstLine="640" w:firstLineChars="200"/>
        <w:jc w:val="left"/>
        <w:rPr>
          <w:rFonts w:hint="eastAsia" w:ascii="仿宋_GB2312" w:eastAsia="仿宋_GB2312"/>
          <w:sz w:val="32"/>
          <w:szCs w:val="32"/>
        </w:rPr>
      </w:pPr>
      <w:r>
        <w:rPr>
          <w:rFonts w:hint="eastAsia" w:ascii="仿宋_GB2312" w:eastAsia="仿宋_GB2312"/>
          <w:sz w:val="32"/>
          <w:szCs w:val="32"/>
        </w:rPr>
        <w:t>截至</w:t>
      </w:r>
      <w:r>
        <w:rPr>
          <w:rFonts w:hint="eastAsia" w:ascii="仿宋_GB2312" w:eastAsia="仿宋_GB2312"/>
          <w:sz w:val="32"/>
          <w:szCs w:val="32"/>
          <w:lang w:eastAsia="zh-CN"/>
        </w:rPr>
        <w:t>2025年</w:t>
      </w:r>
      <w:r>
        <w:rPr>
          <w:rFonts w:hint="eastAsia" w:ascii="仿宋_GB2312" w:eastAsia="仿宋_GB2312"/>
          <w:sz w:val="32"/>
          <w:szCs w:val="32"/>
        </w:rPr>
        <w:t>12月31日，四川省阿坝藏族羌族自治州茂县叠溪镇卫生院共有车辆1辆，其中：主要领导干部用车</w:t>
      </w:r>
      <w:r>
        <w:rPr>
          <w:rFonts w:hint="eastAsia" w:ascii="仿宋_GB2312" w:eastAsia="仿宋_GB2312"/>
          <w:sz w:val="32"/>
          <w:szCs w:val="32"/>
          <w:lang w:val="en-US" w:eastAsia="zh-CN"/>
        </w:rPr>
        <w:t>0</w:t>
      </w:r>
      <w:r>
        <w:rPr>
          <w:rFonts w:hint="eastAsia" w:ascii="仿宋_GB2312" w:eastAsia="仿宋_GB2312"/>
          <w:sz w:val="32"/>
          <w:szCs w:val="32"/>
        </w:rPr>
        <w:t>辆、机要通信用车</w:t>
      </w:r>
      <w:r>
        <w:rPr>
          <w:rFonts w:hint="eastAsia" w:ascii="仿宋_GB2312" w:eastAsia="仿宋_GB2312"/>
          <w:sz w:val="32"/>
          <w:szCs w:val="32"/>
          <w:lang w:val="en-US" w:eastAsia="zh-CN"/>
        </w:rPr>
        <w:t>0</w:t>
      </w:r>
      <w:r>
        <w:rPr>
          <w:rFonts w:hint="eastAsia" w:ascii="仿宋_GB2312" w:eastAsia="仿宋_GB2312"/>
          <w:sz w:val="32"/>
          <w:szCs w:val="32"/>
        </w:rPr>
        <w:t>辆、应急保障用车</w:t>
      </w:r>
      <w:r>
        <w:rPr>
          <w:rFonts w:hint="eastAsia" w:ascii="仿宋_GB2312" w:eastAsia="仿宋_GB2312"/>
          <w:sz w:val="32"/>
          <w:szCs w:val="32"/>
          <w:lang w:val="en-US" w:eastAsia="zh-CN"/>
        </w:rPr>
        <w:t>1</w:t>
      </w:r>
      <w:r>
        <w:rPr>
          <w:rFonts w:hint="eastAsia" w:ascii="仿宋_GB2312" w:eastAsia="仿宋_GB2312"/>
          <w:sz w:val="32"/>
          <w:szCs w:val="32"/>
        </w:rPr>
        <w:t>辆、其他用车</w:t>
      </w:r>
      <w:r>
        <w:rPr>
          <w:rFonts w:hint="eastAsia" w:ascii="仿宋_GB2312" w:eastAsia="仿宋_GB2312"/>
          <w:sz w:val="32"/>
          <w:szCs w:val="32"/>
          <w:lang w:val="en-US" w:eastAsia="zh-CN"/>
        </w:rPr>
        <w:t>0</w:t>
      </w:r>
      <w:r>
        <w:rPr>
          <w:rFonts w:hint="eastAsia" w:ascii="仿宋_GB2312" w:eastAsia="仿宋_GB2312"/>
          <w:sz w:val="32"/>
          <w:szCs w:val="32"/>
        </w:rPr>
        <w:t>辆。单价100万元以上设备（不含车辆）0台（套）。</w:t>
      </w:r>
    </w:p>
    <w:p w14:paraId="700DBFDD">
      <w:pPr>
        <w:pageBreakBefore w:val="0"/>
        <w:kinsoku/>
        <w:wordWrap/>
        <w:overflowPunct/>
        <w:topLinePunct w:val="0"/>
        <w:bidi w:val="0"/>
        <w:spacing w:line="576" w:lineRule="exact"/>
        <w:ind w:firstLine="643" w:firstLineChars="200"/>
        <w:textAlignment w:val="auto"/>
        <w:outlineLvl w:val="2"/>
        <w:rPr>
          <w:rFonts w:hint="eastAsia" w:ascii="Times New Roman" w:hAnsi="Times New Roman" w:eastAsia="楷体_GB2312" w:cs="Times New Roman"/>
          <w:b/>
          <w:color w:val="auto"/>
          <w:sz w:val="32"/>
          <w:szCs w:val="32"/>
          <w:highlight w:val="none"/>
        </w:rPr>
      </w:pPr>
      <w:r>
        <w:rPr>
          <w:rFonts w:hint="eastAsia" w:ascii="Times New Roman" w:hAnsi="Times New Roman" w:eastAsia="楷体_GB2312" w:cs="Times New Roman"/>
          <w:b/>
          <w:color w:val="auto"/>
          <w:sz w:val="32"/>
          <w:szCs w:val="32"/>
          <w:highlight w:val="none"/>
        </w:rPr>
        <w:t>（四）预算绩效管理情况</w:t>
      </w:r>
    </w:p>
    <w:p w14:paraId="09F1C724">
      <w:pPr>
        <w:spacing w:line="600" w:lineRule="exact"/>
        <w:ind w:firstLine="640" w:firstLineChars="200"/>
        <w:rPr>
          <w:rFonts w:ascii="仿宋_GB2312" w:eastAsia="仿宋_GB2312"/>
          <w:color w:val="auto"/>
          <w:sz w:val="32"/>
          <w:szCs w:val="32"/>
        </w:rPr>
      </w:pPr>
      <w:r>
        <w:rPr>
          <w:rFonts w:hint="eastAsia" w:ascii="仿宋_GB2312" w:eastAsia="仿宋_GB2312"/>
          <w:color w:val="auto"/>
          <w:sz w:val="32"/>
          <w:szCs w:val="32"/>
        </w:rPr>
        <w:t>根据预算绩效管理要求，本单位在</w:t>
      </w:r>
      <w:r>
        <w:rPr>
          <w:rFonts w:hint="eastAsia" w:ascii="仿宋_GB2312" w:eastAsia="仿宋_GB2312"/>
          <w:color w:val="auto"/>
          <w:sz w:val="32"/>
          <w:szCs w:val="32"/>
          <w:lang w:eastAsia="zh-CN"/>
        </w:rPr>
        <w:t>2025年</w:t>
      </w:r>
      <w:r>
        <w:rPr>
          <w:rFonts w:hint="eastAsia" w:ascii="仿宋_GB2312" w:eastAsia="仿宋_GB2312"/>
          <w:color w:val="auto"/>
          <w:sz w:val="32"/>
          <w:szCs w:val="32"/>
        </w:rPr>
        <w:t>度预算编制阶段，组织对</w:t>
      </w:r>
      <w:r>
        <w:rPr>
          <w:rFonts w:hint="eastAsia" w:ascii="仿宋_GB2312" w:eastAsia="仿宋_GB2312"/>
          <w:color w:val="auto"/>
          <w:sz w:val="32"/>
          <w:szCs w:val="32"/>
          <w:lang w:val="en-US" w:eastAsia="zh-CN"/>
        </w:rPr>
        <w:t>基本公共卫生服务（预算）项目</w:t>
      </w:r>
      <w:r>
        <w:rPr>
          <w:rFonts w:hint="eastAsia" w:ascii="仿宋_GB2312" w:eastAsia="仿宋_GB2312"/>
          <w:color w:val="auto"/>
          <w:sz w:val="32"/>
          <w:szCs w:val="32"/>
        </w:rPr>
        <w:t>等</w:t>
      </w:r>
      <w:r>
        <w:rPr>
          <w:rFonts w:hint="eastAsia" w:ascii="仿宋_GB2312" w:eastAsia="仿宋_GB2312"/>
          <w:color w:val="auto"/>
          <w:sz w:val="32"/>
          <w:szCs w:val="32"/>
          <w:lang w:val="en-US" w:eastAsia="zh-CN"/>
        </w:rPr>
        <w:t>2</w:t>
      </w:r>
      <w:r>
        <w:rPr>
          <w:rFonts w:hint="eastAsia" w:ascii="仿宋_GB2312" w:eastAsia="仿宋_GB2312"/>
          <w:color w:val="auto"/>
          <w:sz w:val="32"/>
          <w:szCs w:val="32"/>
        </w:rPr>
        <w:t>个项目开展了预算事前绩效评估，对</w:t>
      </w:r>
      <w:r>
        <w:rPr>
          <w:rFonts w:hint="eastAsia" w:ascii="仿宋_GB2312" w:eastAsia="仿宋_GB2312"/>
          <w:color w:val="auto"/>
          <w:sz w:val="32"/>
          <w:szCs w:val="32"/>
          <w:lang w:val="en-US" w:eastAsia="zh-CN"/>
        </w:rPr>
        <w:t>2</w:t>
      </w:r>
      <w:r>
        <w:rPr>
          <w:rFonts w:hint="eastAsia" w:ascii="仿宋_GB2312" w:eastAsia="仿宋_GB2312"/>
          <w:color w:val="auto"/>
          <w:sz w:val="32"/>
          <w:szCs w:val="32"/>
        </w:rPr>
        <w:t>个项目编制了绩效目标，预算执行过程中，选取</w:t>
      </w:r>
      <w:r>
        <w:rPr>
          <w:rFonts w:hint="eastAsia" w:ascii="仿宋_GB2312" w:eastAsia="仿宋_GB2312"/>
          <w:color w:val="auto"/>
          <w:sz w:val="32"/>
          <w:szCs w:val="32"/>
          <w:lang w:val="en-US" w:eastAsia="zh-CN"/>
        </w:rPr>
        <w:t>2</w:t>
      </w:r>
      <w:r>
        <w:rPr>
          <w:rFonts w:hint="eastAsia" w:ascii="仿宋_GB2312" w:eastAsia="仿宋_GB2312"/>
          <w:color w:val="auto"/>
          <w:sz w:val="32"/>
          <w:szCs w:val="32"/>
        </w:rPr>
        <w:t>个项目开展绩效监控，组织对</w:t>
      </w:r>
      <w:r>
        <w:rPr>
          <w:rFonts w:hint="eastAsia" w:ascii="仿宋_GB2312" w:eastAsia="仿宋_GB2312"/>
          <w:color w:val="auto"/>
          <w:sz w:val="32"/>
          <w:szCs w:val="32"/>
          <w:lang w:val="en-US" w:eastAsia="zh-CN"/>
        </w:rPr>
        <w:t>2</w:t>
      </w:r>
      <w:r>
        <w:rPr>
          <w:rFonts w:hint="eastAsia" w:ascii="仿宋_GB2312" w:eastAsia="仿宋_GB2312"/>
          <w:color w:val="auto"/>
          <w:sz w:val="32"/>
          <w:szCs w:val="32"/>
        </w:rPr>
        <w:t>项目开展绩效自评，绩效自评表详见第四部分附件。</w:t>
      </w:r>
    </w:p>
    <w:p w14:paraId="52759334">
      <w:pPr>
        <w:spacing w:line="600" w:lineRule="exact"/>
        <w:ind w:firstLine="640" w:firstLineChars="200"/>
        <w:rPr>
          <w:rFonts w:ascii="仿宋_GB2312" w:eastAsia="仿宋_GB2312"/>
          <w:sz w:val="32"/>
          <w:szCs w:val="32"/>
        </w:rPr>
      </w:pPr>
      <w:r>
        <w:rPr>
          <w:rFonts w:hint="eastAsia" w:ascii="仿宋_GB2312" w:eastAsia="仿宋_GB2312"/>
          <w:sz w:val="32"/>
          <w:szCs w:val="32"/>
        </w:rPr>
        <w:br w:type="page"/>
      </w:r>
    </w:p>
    <w:p w14:paraId="4F30EA05">
      <w:pPr>
        <w:numPr>
          <w:ilvl w:val="0"/>
          <w:numId w:val="3"/>
        </w:numPr>
        <w:spacing w:line="600" w:lineRule="exact"/>
        <w:ind w:firstLine="660" w:firstLineChars="150"/>
        <w:jc w:val="center"/>
        <w:outlineLvl w:val="0"/>
        <w:rPr>
          <w:rFonts w:hint="eastAsia" w:ascii="方正小标宋简体" w:hAnsi="方正小标宋简体" w:eastAsia="方正小标宋简体" w:cs="方正小标宋简体"/>
          <w:b/>
          <w:sz w:val="44"/>
          <w:szCs w:val="44"/>
        </w:rPr>
      </w:pPr>
      <w:bookmarkStart w:id="68" w:name="_Toc15377225"/>
      <w:bookmarkStart w:id="69" w:name="_Toc15396613"/>
      <w:bookmarkStart w:id="70" w:name="_Toc31574"/>
      <w:r>
        <w:rPr>
          <w:rFonts w:hint="eastAsia" w:ascii="方正小标宋简体" w:hAnsi="方正小标宋简体" w:eastAsia="方正小标宋简体" w:cs="方正小标宋简体"/>
          <w:sz w:val="44"/>
          <w:szCs w:val="44"/>
        </w:rPr>
        <w:t>名</w:t>
      </w:r>
      <w:r>
        <w:rPr>
          <w:rStyle w:val="30"/>
          <w:rFonts w:hint="eastAsia" w:ascii="方正小标宋简体" w:hAnsi="方正小标宋简体" w:eastAsia="方正小标宋简体" w:cs="方正小标宋简体"/>
          <w:b w:val="0"/>
        </w:rPr>
        <w:t>词解释</w:t>
      </w:r>
      <w:bookmarkEnd w:id="68"/>
      <w:bookmarkEnd w:id="69"/>
      <w:bookmarkEnd w:id="70"/>
    </w:p>
    <w:p w14:paraId="6CEC4C71">
      <w:pPr>
        <w:keepNext w:val="0"/>
        <w:keepLines w:val="0"/>
        <w:pageBreakBefore w:val="0"/>
        <w:widowControl w:val="0"/>
        <w:numPr>
          <w:ilvl w:val="0"/>
          <w:numId w:val="4"/>
        </w:numPr>
        <w:kinsoku/>
        <w:wordWrap/>
        <w:overflowPunct/>
        <w:topLinePunct w:val="0"/>
        <w:autoSpaceDE/>
        <w:autoSpaceDN/>
        <w:bidi w:val="0"/>
        <w:adjustRightInd/>
        <w:snapToGrid/>
        <w:spacing w:line="600" w:lineRule="exact"/>
        <w:ind w:left="0" w:firstLine="640" w:firstLineChars="200"/>
        <w:textAlignment w:val="auto"/>
        <w:outlineLvl w:val="1"/>
        <w:rPr>
          <w:rFonts w:ascii="仿宋" w:eastAsia="仿宋_GB2312"/>
          <w:b w:val="0"/>
          <w:i w:val="0"/>
          <w:color w:val="000000"/>
          <w:sz w:val="32"/>
          <w:szCs w:val="32"/>
        </w:rPr>
      </w:pPr>
      <w:bookmarkStart w:id="104" w:name="_GoBack"/>
      <w:bookmarkStart w:id="71" w:name="_Toc12380"/>
      <w:bookmarkStart w:id="72" w:name="_Toc15377226"/>
      <w:r>
        <w:rPr>
          <w:rFonts w:hint="eastAsia" w:ascii="仿宋" w:eastAsia="仿宋_GB2312"/>
          <w:b w:val="0"/>
          <w:i w:val="0"/>
          <w:color w:val="000000"/>
          <w:sz w:val="32"/>
          <w:szCs w:val="32"/>
        </w:rPr>
        <w:t>财政拨款收入：指单位从同级财政</w:t>
      </w:r>
      <w:r>
        <w:rPr>
          <w:rFonts w:hint="eastAsia" w:ascii="仿宋" w:eastAsia="仿宋_GB2312"/>
          <w:b w:val="0"/>
          <w:i w:val="0"/>
          <w:color w:val="000000"/>
          <w:sz w:val="32"/>
          <w:szCs w:val="32"/>
          <w:lang w:eastAsia="zh-CN"/>
        </w:rPr>
        <w:t>单位</w:t>
      </w:r>
      <w:r>
        <w:rPr>
          <w:rFonts w:hint="eastAsia" w:ascii="仿宋" w:eastAsia="仿宋_GB2312"/>
          <w:b w:val="0"/>
          <w:i w:val="0"/>
          <w:color w:val="000000"/>
          <w:sz w:val="32"/>
          <w:szCs w:val="32"/>
        </w:rPr>
        <w:t>取得的财政预算资金。</w:t>
      </w:r>
      <w:bookmarkEnd w:id="71"/>
    </w:p>
    <w:p w14:paraId="05846081">
      <w:pPr>
        <w:keepNext w:val="0"/>
        <w:keepLines w:val="0"/>
        <w:pageBreakBefore w:val="0"/>
        <w:widowControl w:val="0"/>
        <w:numPr>
          <w:ilvl w:val="0"/>
          <w:numId w:val="4"/>
        </w:numPr>
        <w:kinsoku/>
        <w:wordWrap/>
        <w:overflowPunct/>
        <w:topLinePunct w:val="0"/>
        <w:autoSpaceDE/>
        <w:autoSpaceDN/>
        <w:bidi w:val="0"/>
        <w:adjustRightInd/>
        <w:snapToGrid/>
        <w:spacing w:line="600" w:lineRule="exact"/>
        <w:ind w:left="0" w:firstLine="640" w:firstLineChars="200"/>
        <w:textAlignment w:val="auto"/>
        <w:rPr>
          <w:rFonts w:ascii="仿宋" w:eastAsia="仿宋_GB2312"/>
          <w:b w:val="0"/>
          <w:i w:val="0"/>
          <w:color w:val="000000"/>
          <w:sz w:val="32"/>
          <w:szCs w:val="32"/>
        </w:rPr>
      </w:pPr>
      <w:r>
        <w:rPr>
          <w:rFonts w:hint="eastAsia" w:ascii="仿宋" w:eastAsia="仿宋_GB2312"/>
          <w:b w:val="0"/>
          <w:i w:val="0"/>
          <w:color w:val="000000"/>
          <w:sz w:val="32"/>
          <w:szCs w:val="32"/>
        </w:rPr>
        <w:t>事业收入：指事业单位开展专业业务活动及辅助活动取得的收入。</w:t>
      </w:r>
    </w:p>
    <w:p w14:paraId="3FBCD416">
      <w:pPr>
        <w:keepNext w:val="0"/>
        <w:keepLines w:val="0"/>
        <w:pageBreakBefore w:val="0"/>
        <w:widowControl w:val="0"/>
        <w:numPr>
          <w:ilvl w:val="0"/>
          <w:numId w:val="4"/>
        </w:numPr>
        <w:kinsoku/>
        <w:wordWrap/>
        <w:overflowPunct/>
        <w:topLinePunct w:val="0"/>
        <w:autoSpaceDE/>
        <w:autoSpaceDN/>
        <w:bidi w:val="0"/>
        <w:adjustRightInd/>
        <w:snapToGrid/>
        <w:spacing w:line="600" w:lineRule="exact"/>
        <w:ind w:left="0" w:firstLine="640" w:firstLineChars="200"/>
        <w:textAlignment w:val="auto"/>
        <w:rPr>
          <w:rFonts w:ascii="仿宋" w:eastAsia="仿宋_GB2312"/>
          <w:b w:val="0"/>
          <w:i w:val="0"/>
          <w:color w:val="000000"/>
          <w:sz w:val="32"/>
          <w:szCs w:val="32"/>
        </w:rPr>
      </w:pPr>
      <w:r>
        <w:rPr>
          <w:rFonts w:hint="eastAsia" w:ascii="仿宋" w:eastAsia="仿宋_GB2312"/>
          <w:b w:val="0"/>
          <w:i w:val="0"/>
          <w:color w:val="000000"/>
          <w:sz w:val="32"/>
          <w:szCs w:val="32"/>
        </w:rPr>
        <w:t>经营收入：指事业单位在专业业务活动及其辅助活动之外开展非独立核算经营活动取得的收入</w:t>
      </w:r>
    </w:p>
    <w:p w14:paraId="5A0F483B">
      <w:pPr>
        <w:keepNext w:val="0"/>
        <w:keepLines w:val="0"/>
        <w:pageBreakBefore w:val="0"/>
        <w:widowControl w:val="0"/>
        <w:numPr>
          <w:ilvl w:val="0"/>
          <w:numId w:val="4"/>
        </w:numPr>
        <w:kinsoku/>
        <w:wordWrap/>
        <w:overflowPunct/>
        <w:topLinePunct w:val="0"/>
        <w:autoSpaceDE/>
        <w:autoSpaceDN/>
        <w:bidi w:val="0"/>
        <w:adjustRightInd/>
        <w:snapToGrid/>
        <w:spacing w:line="600" w:lineRule="exact"/>
        <w:ind w:left="0" w:firstLine="640" w:firstLineChars="200"/>
        <w:textAlignment w:val="auto"/>
        <w:outlineLvl w:val="1"/>
        <w:rPr>
          <w:rFonts w:ascii="仿宋" w:eastAsia="仿宋_GB2312"/>
          <w:b w:val="0"/>
          <w:i w:val="0"/>
          <w:color w:val="000000"/>
          <w:sz w:val="32"/>
          <w:szCs w:val="32"/>
        </w:rPr>
      </w:pPr>
      <w:bookmarkStart w:id="73" w:name="_Toc11831"/>
      <w:r>
        <w:rPr>
          <w:rFonts w:hint="eastAsia" w:ascii="仿宋" w:eastAsia="仿宋_GB2312"/>
          <w:b w:val="0"/>
          <w:i w:val="0"/>
          <w:color w:val="000000"/>
          <w:sz w:val="32"/>
          <w:szCs w:val="32"/>
        </w:rPr>
        <w:t>其他收入：指单位取得的除上述收入以外的各项收入。</w:t>
      </w:r>
      <w:bookmarkEnd w:id="73"/>
    </w:p>
    <w:p w14:paraId="12921346">
      <w:pPr>
        <w:keepNext w:val="0"/>
        <w:keepLines w:val="0"/>
        <w:pageBreakBefore w:val="0"/>
        <w:widowControl w:val="0"/>
        <w:numPr>
          <w:ilvl w:val="0"/>
          <w:numId w:val="4"/>
        </w:numPr>
        <w:kinsoku/>
        <w:wordWrap/>
        <w:overflowPunct/>
        <w:topLinePunct w:val="0"/>
        <w:autoSpaceDE/>
        <w:autoSpaceDN/>
        <w:bidi w:val="0"/>
        <w:adjustRightInd/>
        <w:snapToGrid/>
        <w:spacing w:line="600" w:lineRule="exact"/>
        <w:ind w:left="0" w:firstLine="640" w:firstLineChars="200"/>
        <w:textAlignment w:val="auto"/>
        <w:rPr>
          <w:rFonts w:ascii="仿宋" w:eastAsia="仿宋_GB2312"/>
          <w:b w:val="0"/>
          <w:i w:val="0"/>
          <w:color w:val="000000"/>
          <w:sz w:val="32"/>
          <w:szCs w:val="32"/>
        </w:rPr>
      </w:pPr>
      <w:r>
        <w:rPr>
          <w:rFonts w:hint="eastAsia" w:ascii="仿宋" w:eastAsia="仿宋_GB2312"/>
          <w:b w:val="0"/>
          <w:i w:val="0"/>
          <w:color w:val="000000"/>
          <w:sz w:val="32"/>
          <w:szCs w:val="32"/>
        </w:rPr>
        <w:t>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w:t>
      </w:r>
      <w:r>
        <w:rPr>
          <w:rFonts w:ascii="仿宋" w:eastAsia="仿宋_GB2312"/>
          <w:b w:val="0"/>
          <w:i w:val="0"/>
          <w:color w:val="000000"/>
          <w:sz w:val="32"/>
          <w:szCs w:val="32"/>
        </w:rPr>
        <w:t xml:space="preserve"> </w:t>
      </w:r>
    </w:p>
    <w:p w14:paraId="6DDA76B1">
      <w:pPr>
        <w:keepNext w:val="0"/>
        <w:keepLines w:val="0"/>
        <w:pageBreakBefore w:val="0"/>
        <w:widowControl w:val="0"/>
        <w:numPr>
          <w:ilvl w:val="0"/>
          <w:numId w:val="4"/>
        </w:numPr>
        <w:kinsoku/>
        <w:wordWrap/>
        <w:overflowPunct/>
        <w:topLinePunct w:val="0"/>
        <w:autoSpaceDE/>
        <w:autoSpaceDN/>
        <w:bidi w:val="0"/>
        <w:adjustRightInd/>
        <w:snapToGrid/>
        <w:spacing w:line="600" w:lineRule="exact"/>
        <w:ind w:left="0" w:firstLine="640" w:firstLineChars="200"/>
        <w:textAlignment w:val="auto"/>
        <w:rPr>
          <w:rFonts w:ascii="仿宋" w:eastAsia="仿宋_GB2312"/>
          <w:b w:val="0"/>
          <w:i w:val="0"/>
          <w:color w:val="000000"/>
          <w:sz w:val="32"/>
          <w:szCs w:val="32"/>
        </w:rPr>
      </w:pPr>
      <w:r>
        <w:rPr>
          <w:rFonts w:hint="eastAsia" w:ascii="仿宋" w:eastAsia="仿宋_GB2312"/>
          <w:b w:val="0"/>
          <w:i w:val="0"/>
          <w:color w:val="000000"/>
          <w:sz w:val="32"/>
          <w:szCs w:val="32"/>
        </w:rPr>
        <w:t>年初结转和结余：指以前年度尚未完成、结转到本年按有关规定继续使用的资金。</w:t>
      </w:r>
      <w:r>
        <w:rPr>
          <w:rFonts w:ascii="仿宋" w:eastAsia="仿宋_GB2312"/>
          <w:b w:val="0"/>
          <w:i w:val="0"/>
          <w:color w:val="000000"/>
          <w:sz w:val="32"/>
          <w:szCs w:val="32"/>
        </w:rPr>
        <w:t xml:space="preserve"> </w:t>
      </w:r>
    </w:p>
    <w:p w14:paraId="042355D2">
      <w:pPr>
        <w:keepNext w:val="0"/>
        <w:keepLines w:val="0"/>
        <w:pageBreakBefore w:val="0"/>
        <w:widowControl w:val="0"/>
        <w:numPr>
          <w:ilvl w:val="0"/>
          <w:numId w:val="4"/>
        </w:numPr>
        <w:kinsoku/>
        <w:wordWrap/>
        <w:overflowPunct/>
        <w:topLinePunct w:val="0"/>
        <w:autoSpaceDE/>
        <w:autoSpaceDN/>
        <w:bidi w:val="0"/>
        <w:adjustRightInd/>
        <w:snapToGrid/>
        <w:spacing w:line="600" w:lineRule="exact"/>
        <w:ind w:left="0" w:firstLine="640" w:firstLineChars="200"/>
        <w:textAlignment w:val="auto"/>
        <w:rPr>
          <w:rFonts w:ascii="仿宋" w:eastAsia="仿宋_GB2312"/>
          <w:b w:val="0"/>
          <w:i w:val="0"/>
          <w:color w:val="000000"/>
          <w:sz w:val="32"/>
          <w:szCs w:val="32"/>
        </w:rPr>
      </w:pPr>
      <w:r>
        <w:rPr>
          <w:rFonts w:hint="eastAsia" w:ascii="仿宋" w:eastAsia="仿宋_GB2312"/>
          <w:b w:val="0"/>
          <w:i w:val="0"/>
          <w:color w:val="000000"/>
          <w:sz w:val="32"/>
          <w:szCs w:val="32"/>
        </w:rPr>
        <w:t>结余分配：指事业单位按照事业单位会计制度的规定从非财政补助结余中分配的事业基金和职工福利基金等。</w:t>
      </w:r>
    </w:p>
    <w:p w14:paraId="0A6A2830">
      <w:pPr>
        <w:keepNext w:val="0"/>
        <w:keepLines w:val="0"/>
        <w:pageBreakBefore w:val="0"/>
        <w:widowControl w:val="0"/>
        <w:numPr>
          <w:ilvl w:val="0"/>
          <w:numId w:val="4"/>
        </w:numPr>
        <w:kinsoku/>
        <w:wordWrap/>
        <w:overflowPunct/>
        <w:topLinePunct w:val="0"/>
        <w:autoSpaceDE/>
        <w:autoSpaceDN/>
        <w:bidi w:val="0"/>
        <w:adjustRightInd/>
        <w:snapToGrid/>
        <w:spacing w:line="600" w:lineRule="exact"/>
        <w:ind w:left="0" w:firstLine="640" w:firstLineChars="200"/>
        <w:textAlignment w:val="auto"/>
        <w:rPr>
          <w:rFonts w:ascii="仿宋" w:eastAsia="仿宋_GB2312"/>
          <w:b w:val="0"/>
          <w:i w:val="0"/>
          <w:color w:val="000000"/>
          <w:sz w:val="32"/>
          <w:szCs w:val="32"/>
        </w:rPr>
      </w:pPr>
      <w:r>
        <w:rPr>
          <w:rFonts w:hint="eastAsia" w:ascii="仿宋" w:eastAsia="仿宋_GB2312"/>
          <w:b w:val="0"/>
          <w:i w:val="0"/>
          <w:color w:val="000000"/>
          <w:sz w:val="32"/>
          <w:szCs w:val="32"/>
        </w:rPr>
        <w:t>年末结转和结余：指单位按有关规定结转到下年或以后年度继续使用的资金。</w:t>
      </w:r>
    </w:p>
    <w:p w14:paraId="71E30DFB">
      <w:pPr>
        <w:keepNext w:val="0"/>
        <w:keepLines w:val="0"/>
        <w:pageBreakBefore w:val="0"/>
        <w:widowControl w:val="0"/>
        <w:numPr>
          <w:ilvl w:val="0"/>
          <w:numId w:val="4"/>
        </w:numPr>
        <w:kinsoku/>
        <w:wordWrap/>
        <w:overflowPunct/>
        <w:topLinePunct w:val="0"/>
        <w:autoSpaceDE/>
        <w:autoSpaceDN/>
        <w:bidi w:val="0"/>
        <w:adjustRightInd/>
        <w:snapToGrid/>
        <w:spacing w:line="600" w:lineRule="exact"/>
        <w:ind w:left="0" w:firstLine="640" w:firstLineChars="200"/>
        <w:textAlignment w:val="auto"/>
        <w:rPr>
          <w:rFonts w:ascii="仿宋" w:eastAsia="仿宋_GB2312"/>
          <w:b w:val="0"/>
          <w:i w:val="0"/>
          <w:color w:val="000000"/>
          <w:sz w:val="32"/>
          <w:szCs w:val="32"/>
        </w:rPr>
      </w:pPr>
      <w:r>
        <w:rPr>
          <w:rFonts w:hint="eastAsia" w:ascii="仿宋" w:eastAsia="仿宋_GB2312"/>
          <w:b w:val="0"/>
          <w:i w:val="0"/>
          <w:color w:val="000000"/>
          <w:sz w:val="32"/>
          <w:szCs w:val="32"/>
        </w:rPr>
        <w:t>社会保障和就业支出（</w:t>
      </w:r>
      <w:r>
        <w:rPr>
          <w:rFonts w:hint="eastAsia" w:ascii="仿宋" w:eastAsia="仿宋_GB2312"/>
          <w:b w:val="0"/>
          <w:i w:val="0"/>
          <w:color w:val="000000"/>
          <w:sz w:val="32"/>
          <w:szCs w:val="32"/>
          <w:lang w:eastAsia="zh-CN"/>
        </w:rPr>
        <w:t>类</w:t>
      </w:r>
      <w:r>
        <w:rPr>
          <w:rFonts w:hint="eastAsia" w:ascii="仿宋" w:eastAsia="仿宋_GB2312"/>
          <w:b w:val="0"/>
          <w:i w:val="0"/>
          <w:color w:val="000000"/>
          <w:sz w:val="32"/>
          <w:szCs w:val="32"/>
        </w:rPr>
        <w:t>）行政事业单位养老支出（</w:t>
      </w:r>
      <w:r>
        <w:rPr>
          <w:rFonts w:hint="eastAsia" w:ascii="仿宋" w:eastAsia="仿宋_GB2312"/>
          <w:b w:val="0"/>
          <w:i w:val="0"/>
          <w:color w:val="000000"/>
          <w:sz w:val="32"/>
          <w:szCs w:val="32"/>
          <w:lang w:eastAsia="zh-CN"/>
        </w:rPr>
        <w:t>款</w:t>
      </w:r>
      <w:r>
        <w:rPr>
          <w:rFonts w:hint="eastAsia" w:ascii="仿宋" w:eastAsia="仿宋_GB2312"/>
          <w:b w:val="0"/>
          <w:i w:val="0"/>
          <w:color w:val="000000"/>
          <w:sz w:val="32"/>
          <w:szCs w:val="32"/>
        </w:rPr>
        <w:t>）机关事业单位基本养老保险缴费支出（</w:t>
      </w:r>
      <w:r>
        <w:rPr>
          <w:rFonts w:hint="eastAsia" w:ascii="仿宋" w:eastAsia="仿宋_GB2312"/>
          <w:b w:val="0"/>
          <w:i w:val="0"/>
          <w:color w:val="000000"/>
          <w:sz w:val="32"/>
          <w:szCs w:val="32"/>
          <w:lang w:eastAsia="zh-CN"/>
        </w:rPr>
        <w:t>项</w:t>
      </w:r>
      <w:r>
        <w:rPr>
          <w:rFonts w:hint="eastAsia" w:ascii="仿宋" w:eastAsia="仿宋_GB2312"/>
          <w:b w:val="0"/>
          <w:i w:val="0"/>
          <w:color w:val="000000"/>
          <w:sz w:val="32"/>
          <w:szCs w:val="32"/>
        </w:rPr>
        <w:t>）：反映机关事业单位实施养老保险制度由单位缴纳的基本养老保险费支出。</w:t>
      </w:r>
    </w:p>
    <w:p w14:paraId="3FBB8E0C">
      <w:pPr>
        <w:keepNext w:val="0"/>
        <w:keepLines w:val="0"/>
        <w:pageBreakBefore w:val="0"/>
        <w:widowControl w:val="0"/>
        <w:numPr>
          <w:ilvl w:val="0"/>
          <w:numId w:val="4"/>
        </w:numPr>
        <w:kinsoku/>
        <w:wordWrap/>
        <w:overflowPunct/>
        <w:topLinePunct w:val="0"/>
        <w:autoSpaceDE/>
        <w:autoSpaceDN/>
        <w:bidi w:val="0"/>
        <w:adjustRightInd/>
        <w:snapToGrid/>
        <w:spacing w:line="600" w:lineRule="exact"/>
        <w:ind w:left="0" w:firstLine="640" w:firstLineChars="200"/>
        <w:textAlignment w:val="auto"/>
        <w:rPr>
          <w:rFonts w:ascii="仿宋" w:eastAsia="仿宋_GB2312"/>
          <w:b w:val="0"/>
          <w:i w:val="0"/>
          <w:color w:val="000000"/>
          <w:sz w:val="32"/>
          <w:szCs w:val="32"/>
        </w:rPr>
      </w:pPr>
      <w:r>
        <w:rPr>
          <w:rFonts w:hint="eastAsia" w:ascii="仿宋" w:eastAsia="仿宋_GB2312"/>
          <w:b w:val="0"/>
          <w:i w:val="0"/>
          <w:color w:val="000000"/>
          <w:sz w:val="32"/>
          <w:szCs w:val="32"/>
        </w:rPr>
        <w:t>社会保障和就业支出（</w:t>
      </w:r>
      <w:r>
        <w:rPr>
          <w:rFonts w:hint="eastAsia" w:ascii="仿宋" w:eastAsia="仿宋_GB2312"/>
          <w:b w:val="0"/>
          <w:i w:val="0"/>
          <w:color w:val="000000"/>
          <w:sz w:val="32"/>
          <w:szCs w:val="32"/>
          <w:lang w:eastAsia="zh-CN"/>
        </w:rPr>
        <w:t>类</w:t>
      </w:r>
      <w:r>
        <w:rPr>
          <w:rFonts w:hint="eastAsia" w:ascii="仿宋" w:eastAsia="仿宋_GB2312"/>
          <w:b w:val="0"/>
          <w:i w:val="0"/>
          <w:color w:val="000000"/>
          <w:sz w:val="32"/>
          <w:szCs w:val="32"/>
        </w:rPr>
        <w:t>）行政事业单位养老支出（</w:t>
      </w:r>
      <w:r>
        <w:rPr>
          <w:rFonts w:hint="eastAsia" w:ascii="仿宋" w:eastAsia="仿宋_GB2312"/>
          <w:b w:val="0"/>
          <w:i w:val="0"/>
          <w:color w:val="000000"/>
          <w:sz w:val="32"/>
          <w:szCs w:val="32"/>
          <w:lang w:eastAsia="zh-CN"/>
        </w:rPr>
        <w:t>款</w:t>
      </w:r>
      <w:r>
        <w:rPr>
          <w:rFonts w:hint="eastAsia" w:ascii="仿宋" w:eastAsia="仿宋_GB2312"/>
          <w:b w:val="0"/>
          <w:i w:val="0"/>
          <w:color w:val="000000"/>
          <w:sz w:val="32"/>
          <w:szCs w:val="32"/>
        </w:rPr>
        <w:t>）机关事业单位职业年金缴费支出（</w:t>
      </w:r>
      <w:r>
        <w:rPr>
          <w:rFonts w:hint="eastAsia" w:ascii="仿宋" w:eastAsia="仿宋_GB2312"/>
          <w:b w:val="0"/>
          <w:i w:val="0"/>
          <w:color w:val="000000"/>
          <w:sz w:val="32"/>
          <w:szCs w:val="32"/>
          <w:lang w:eastAsia="zh-CN"/>
        </w:rPr>
        <w:t>项</w:t>
      </w:r>
      <w:r>
        <w:rPr>
          <w:rFonts w:hint="eastAsia" w:ascii="仿宋" w:eastAsia="仿宋_GB2312"/>
          <w:b w:val="0"/>
          <w:i w:val="0"/>
          <w:color w:val="000000"/>
          <w:sz w:val="32"/>
          <w:szCs w:val="32"/>
        </w:rPr>
        <w:t>）：反映机关事业单位实施养老保险制度由单位实际缴纳的职业年金支出。</w:t>
      </w:r>
    </w:p>
    <w:p w14:paraId="7D2188E4">
      <w:pPr>
        <w:keepNext w:val="0"/>
        <w:keepLines w:val="0"/>
        <w:pageBreakBefore w:val="0"/>
        <w:widowControl w:val="0"/>
        <w:numPr>
          <w:ilvl w:val="0"/>
          <w:numId w:val="4"/>
        </w:numPr>
        <w:kinsoku/>
        <w:wordWrap/>
        <w:overflowPunct/>
        <w:topLinePunct w:val="0"/>
        <w:autoSpaceDE/>
        <w:autoSpaceDN/>
        <w:bidi w:val="0"/>
        <w:adjustRightInd/>
        <w:snapToGrid/>
        <w:spacing w:line="600" w:lineRule="exact"/>
        <w:ind w:left="0" w:firstLine="640" w:firstLineChars="200"/>
        <w:textAlignment w:val="auto"/>
        <w:rPr>
          <w:rFonts w:ascii="仿宋" w:eastAsia="仿宋_GB2312"/>
          <w:b w:val="0"/>
          <w:i w:val="0"/>
          <w:color w:val="000000"/>
          <w:sz w:val="32"/>
          <w:szCs w:val="32"/>
        </w:rPr>
      </w:pPr>
      <w:r>
        <w:rPr>
          <w:rFonts w:hint="eastAsia" w:ascii="仿宋" w:eastAsia="仿宋_GB2312"/>
          <w:b w:val="0"/>
          <w:i w:val="0"/>
          <w:color w:val="000000"/>
          <w:sz w:val="32"/>
          <w:szCs w:val="32"/>
        </w:rPr>
        <w:t>卫生健康支出（</w:t>
      </w:r>
      <w:r>
        <w:rPr>
          <w:rFonts w:hint="eastAsia" w:ascii="仿宋" w:eastAsia="仿宋_GB2312"/>
          <w:b w:val="0"/>
          <w:i w:val="0"/>
          <w:color w:val="000000"/>
          <w:sz w:val="32"/>
          <w:szCs w:val="32"/>
          <w:lang w:eastAsia="zh-CN"/>
        </w:rPr>
        <w:t>类</w:t>
      </w:r>
      <w:r>
        <w:rPr>
          <w:rFonts w:hint="eastAsia" w:ascii="仿宋" w:eastAsia="仿宋_GB2312"/>
          <w:b w:val="0"/>
          <w:i w:val="0"/>
          <w:color w:val="000000"/>
          <w:sz w:val="32"/>
          <w:szCs w:val="32"/>
        </w:rPr>
        <w:t>）基层医疗卫生机构（</w:t>
      </w:r>
      <w:r>
        <w:rPr>
          <w:rFonts w:hint="eastAsia" w:ascii="仿宋" w:eastAsia="仿宋_GB2312"/>
          <w:b w:val="0"/>
          <w:i w:val="0"/>
          <w:color w:val="000000"/>
          <w:sz w:val="32"/>
          <w:szCs w:val="32"/>
          <w:lang w:eastAsia="zh-CN"/>
        </w:rPr>
        <w:t>款</w:t>
      </w:r>
      <w:r>
        <w:rPr>
          <w:rFonts w:hint="eastAsia" w:ascii="仿宋" w:eastAsia="仿宋_GB2312"/>
          <w:b w:val="0"/>
          <w:i w:val="0"/>
          <w:color w:val="000000"/>
          <w:sz w:val="32"/>
          <w:szCs w:val="32"/>
        </w:rPr>
        <w:t>）乡镇卫生院（</w:t>
      </w:r>
      <w:r>
        <w:rPr>
          <w:rFonts w:hint="eastAsia" w:ascii="仿宋" w:eastAsia="仿宋_GB2312"/>
          <w:b w:val="0"/>
          <w:i w:val="0"/>
          <w:color w:val="000000"/>
          <w:sz w:val="32"/>
          <w:szCs w:val="32"/>
          <w:lang w:eastAsia="zh-CN"/>
        </w:rPr>
        <w:t>项</w:t>
      </w:r>
      <w:r>
        <w:rPr>
          <w:rFonts w:hint="eastAsia" w:ascii="仿宋" w:eastAsia="仿宋_GB2312"/>
          <w:b w:val="0"/>
          <w:i w:val="0"/>
          <w:color w:val="000000"/>
          <w:sz w:val="32"/>
          <w:szCs w:val="32"/>
        </w:rPr>
        <w:t>）：反映用于乡镇卫生院的支出。</w:t>
      </w:r>
    </w:p>
    <w:p w14:paraId="6C84419E">
      <w:pPr>
        <w:keepNext w:val="0"/>
        <w:keepLines w:val="0"/>
        <w:pageBreakBefore w:val="0"/>
        <w:widowControl w:val="0"/>
        <w:numPr>
          <w:ilvl w:val="0"/>
          <w:numId w:val="4"/>
        </w:numPr>
        <w:kinsoku/>
        <w:wordWrap/>
        <w:overflowPunct/>
        <w:topLinePunct w:val="0"/>
        <w:autoSpaceDE/>
        <w:autoSpaceDN/>
        <w:bidi w:val="0"/>
        <w:adjustRightInd/>
        <w:snapToGrid/>
        <w:spacing w:line="600" w:lineRule="exact"/>
        <w:ind w:left="0" w:firstLine="640" w:firstLineChars="200"/>
        <w:textAlignment w:val="auto"/>
        <w:rPr>
          <w:rFonts w:ascii="仿宋" w:eastAsia="仿宋_GB2312"/>
          <w:b w:val="0"/>
          <w:i w:val="0"/>
          <w:color w:val="000000"/>
          <w:sz w:val="32"/>
          <w:szCs w:val="32"/>
        </w:rPr>
      </w:pPr>
      <w:r>
        <w:rPr>
          <w:rFonts w:hint="eastAsia" w:ascii="仿宋" w:eastAsia="仿宋_GB2312"/>
          <w:b w:val="0"/>
          <w:i w:val="0"/>
          <w:color w:val="000000"/>
          <w:sz w:val="32"/>
          <w:szCs w:val="32"/>
        </w:rPr>
        <w:t>卫生健康支出（</w:t>
      </w:r>
      <w:r>
        <w:rPr>
          <w:rFonts w:hint="eastAsia" w:ascii="仿宋" w:eastAsia="仿宋_GB2312"/>
          <w:b w:val="0"/>
          <w:i w:val="0"/>
          <w:color w:val="000000"/>
          <w:sz w:val="32"/>
          <w:szCs w:val="32"/>
          <w:lang w:eastAsia="zh-CN"/>
        </w:rPr>
        <w:t>类</w:t>
      </w:r>
      <w:r>
        <w:rPr>
          <w:rFonts w:hint="eastAsia" w:ascii="仿宋" w:eastAsia="仿宋_GB2312"/>
          <w:b w:val="0"/>
          <w:i w:val="0"/>
          <w:color w:val="000000"/>
          <w:sz w:val="32"/>
          <w:szCs w:val="32"/>
        </w:rPr>
        <w:t>）基层医疗卫生机构（</w:t>
      </w:r>
      <w:r>
        <w:rPr>
          <w:rFonts w:hint="eastAsia" w:ascii="仿宋" w:eastAsia="仿宋_GB2312"/>
          <w:b w:val="0"/>
          <w:i w:val="0"/>
          <w:color w:val="000000"/>
          <w:sz w:val="32"/>
          <w:szCs w:val="32"/>
          <w:lang w:eastAsia="zh-CN"/>
        </w:rPr>
        <w:t>款</w:t>
      </w:r>
      <w:r>
        <w:rPr>
          <w:rFonts w:hint="eastAsia" w:ascii="仿宋" w:eastAsia="仿宋_GB2312"/>
          <w:b w:val="0"/>
          <w:i w:val="0"/>
          <w:color w:val="000000"/>
          <w:sz w:val="32"/>
          <w:szCs w:val="32"/>
        </w:rPr>
        <w:t>）其他基层医疗卫生机构支出（</w:t>
      </w:r>
      <w:r>
        <w:rPr>
          <w:rFonts w:hint="eastAsia" w:ascii="仿宋" w:eastAsia="仿宋_GB2312"/>
          <w:b w:val="0"/>
          <w:i w:val="0"/>
          <w:color w:val="000000"/>
          <w:sz w:val="32"/>
          <w:szCs w:val="32"/>
          <w:lang w:eastAsia="zh-CN"/>
        </w:rPr>
        <w:t>项</w:t>
      </w:r>
      <w:r>
        <w:rPr>
          <w:rFonts w:hint="eastAsia" w:ascii="仿宋" w:eastAsia="仿宋_GB2312"/>
          <w:b w:val="0"/>
          <w:i w:val="0"/>
          <w:color w:val="000000"/>
          <w:sz w:val="32"/>
          <w:szCs w:val="32"/>
        </w:rPr>
        <w:t>）：反映除上述项目以外的其他用于基层医疗卫生机构的支出。</w:t>
      </w:r>
    </w:p>
    <w:p w14:paraId="216B3B8D">
      <w:pPr>
        <w:keepNext w:val="0"/>
        <w:keepLines w:val="0"/>
        <w:pageBreakBefore w:val="0"/>
        <w:widowControl w:val="0"/>
        <w:numPr>
          <w:ilvl w:val="0"/>
          <w:numId w:val="4"/>
        </w:numPr>
        <w:kinsoku/>
        <w:wordWrap/>
        <w:overflowPunct/>
        <w:topLinePunct w:val="0"/>
        <w:autoSpaceDE/>
        <w:autoSpaceDN/>
        <w:bidi w:val="0"/>
        <w:adjustRightInd/>
        <w:snapToGrid/>
        <w:spacing w:line="600" w:lineRule="exact"/>
        <w:ind w:left="0" w:firstLine="640" w:firstLineChars="200"/>
        <w:textAlignment w:val="auto"/>
        <w:rPr>
          <w:rFonts w:ascii="仿宋" w:eastAsia="仿宋_GB2312"/>
          <w:b w:val="0"/>
          <w:i w:val="0"/>
          <w:color w:val="000000"/>
          <w:sz w:val="32"/>
          <w:szCs w:val="32"/>
        </w:rPr>
      </w:pPr>
      <w:r>
        <w:rPr>
          <w:rFonts w:hint="eastAsia" w:ascii="仿宋" w:eastAsia="仿宋_GB2312"/>
          <w:b w:val="0"/>
          <w:i w:val="0"/>
          <w:color w:val="000000"/>
          <w:sz w:val="32"/>
          <w:szCs w:val="32"/>
        </w:rPr>
        <w:t>卫生健康支出（</w:t>
      </w:r>
      <w:r>
        <w:rPr>
          <w:rFonts w:hint="eastAsia" w:ascii="仿宋" w:eastAsia="仿宋_GB2312"/>
          <w:b w:val="0"/>
          <w:i w:val="0"/>
          <w:color w:val="000000"/>
          <w:sz w:val="32"/>
          <w:szCs w:val="32"/>
          <w:lang w:eastAsia="zh-CN"/>
        </w:rPr>
        <w:t>类</w:t>
      </w:r>
      <w:r>
        <w:rPr>
          <w:rFonts w:hint="eastAsia" w:ascii="仿宋" w:eastAsia="仿宋_GB2312"/>
          <w:b w:val="0"/>
          <w:i w:val="0"/>
          <w:color w:val="000000"/>
          <w:sz w:val="32"/>
          <w:szCs w:val="32"/>
        </w:rPr>
        <w:t>）公共卫生（</w:t>
      </w:r>
      <w:r>
        <w:rPr>
          <w:rFonts w:hint="eastAsia" w:ascii="仿宋" w:eastAsia="仿宋_GB2312"/>
          <w:b w:val="0"/>
          <w:i w:val="0"/>
          <w:color w:val="000000"/>
          <w:sz w:val="32"/>
          <w:szCs w:val="32"/>
          <w:lang w:eastAsia="zh-CN"/>
        </w:rPr>
        <w:t>款</w:t>
      </w:r>
      <w:r>
        <w:rPr>
          <w:rFonts w:hint="eastAsia" w:ascii="仿宋" w:eastAsia="仿宋_GB2312"/>
          <w:b w:val="0"/>
          <w:i w:val="0"/>
          <w:color w:val="000000"/>
          <w:sz w:val="32"/>
          <w:szCs w:val="32"/>
        </w:rPr>
        <w:t>）基本公共卫生服务（</w:t>
      </w:r>
      <w:r>
        <w:rPr>
          <w:rFonts w:hint="eastAsia" w:ascii="仿宋" w:eastAsia="仿宋_GB2312"/>
          <w:b w:val="0"/>
          <w:i w:val="0"/>
          <w:color w:val="000000"/>
          <w:sz w:val="32"/>
          <w:szCs w:val="32"/>
          <w:lang w:eastAsia="zh-CN"/>
        </w:rPr>
        <w:t>项</w:t>
      </w:r>
      <w:r>
        <w:rPr>
          <w:rFonts w:hint="eastAsia" w:ascii="仿宋" w:eastAsia="仿宋_GB2312"/>
          <w:b w:val="0"/>
          <w:i w:val="0"/>
          <w:color w:val="000000"/>
          <w:sz w:val="32"/>
          <w:szCs w:val="32"/>
        </w:rPr>
        <w:t>）：反映基本公共卫生服务支出。</w:t>
      </w:r>
    </w:p>
    <w:p w14:paraId="2B9CB548">
      <w:pPr>
        <w:keepNext w:val="0"/>
        <w:keepLines w:val="0"/>
        <w:pageBreakBefore w:val="0"/>
        <w:widowControl w:val="0"/>
        <w:numPr>
          <w:ilvl w:val="0"/>
          <w:numId w:val="4"/>
        </w:numPr>
        <w:kinsoku/>
        <w:wordWrap/>
        <w:overflowPunct/>
        <w:topLinePunct w:val="0"/>
        <w:autoSpaceDE/>
        <w:autoSpaceDN/>
        <w:bidi w:val="0"/>
        <w:adjustRightInd/>
        <w:snapToGrid/>
        <w:spacing w:line="600" w:lineRule="exact"/>
        <w:ind w:left="0" w:firstLine="640" w:firstLineChars="200"/>
        <w:textAlignment w:val="auto"/>
        <w:rPr>
          <w:rFonts w:ascii="仿宋" w:eastAsia="仿宋_GB2312"/>
          <w:b w:val="0"/>
          <w:i w:val="0"/>
          <w:color w:val="000000"/>
          <w:sz w:val="32"/>
          <w:szCs w:val="32"/>
        </w:rPr>
      </w:pPr>
      <w:r>
        <w:rPr>
          <w:rFonts w:hint="eastAsia" w:ascii="仿宋" w:eastAsia="仿宋_GB2312"/>
          <w:b w:val="0"/>
          <w:i w:val="0"/>
          <w:color w:val="000000"/>
          <w:sz w:val="32"/>
          <w:szCs w:val="32"/>
        </w:rPr>
        <w:t>卫生健康支出（</w:t>
      </w:r>
      <w:r>
        <w:rPr>
          <w:rFonts w:hint="eastAsia" w:ascii="仿宋" w:eastAsia="仿宋_GB2312"/>
          <w:b w:val="0"/>
          <w:i w:val="0"/>
          <w:color w:val="000000"/>
          <w:sz w:val="32"/>
          <w:szCs w:val="32"/>
          <w:lang w:eastAsia="zh-CN"/>
        </w:rPr>
        <w:t>类</w:t>
      </w:r>
      <w:r>
        <w:rPr>
          <w:rFonts w:hint="eastAsia" w:ascii="仿宋" w:eastAsia="仿宋_GB2312"/>
          <w:b w:val="0"/>
          <w:i w:val="0"/>
          <w:color w:val="000000"/>
          <w:sz w:val="32"/>
          <w:szCs w:val="32"/>
        </w:rPr>
        <w:t>）行政事业单位医疗（</w:t>
      </w:r>
      <w:r>
        <w:rPr>
          <w:rFonts w:hint="eastAsia" w:ascii="仿宋" w:eastAsia="仿宋_GB2312"/>
          <w:b w:val="0"/>
          <w:i w:val="0"/>
          <w:color w:val="000000"/>
          <w:sz w:val="32"/>
          <w:szCs w:val="32"/>
          <w:lang w:eastAsia="zh-CN"/>
        </w:rPr>
        <w:t>款</w:t>
      </w:r>
      <w:r>
        <w:rPr>
          <w:rFonts w:hint="eastAsia" w:ascii="仿宋" w:eastAsia="仿宋_GB2312"/>
          <w:b w:val="0"/>
          <w:i w:val="0"/>
          <w:color w:val="000000"/>
          <w:sz w:val="32"/>
          <w:szCs w:val="32"/>
        </w:rPr>
        <w:t>）事业单位医疗（</w:t>
      </w:r>
      <w:r>
        <w:rPr>
          <w:rFonts w:hint="eastAsia" w:ascii="仿宋" w:eastAsia="仿宋_GB2312"/>
          <w:b w:val="0"/>
          <w:i w:val="0"/>
          <w:color w:val="000000"/>
          <w:sz w:val="32"/>
          <w:szCs w:val="32"/>
          <w:lang w:eastAsia="zh-CN"/>
        </w:rPr>
        <w:t>项</w:t>
      </w:r>
      <w:r>
        <w:rPr>
          <w:rFonts w:hint="eastAsia" w:ascii="仿宋" w:eastAsia="仿宋_GB2312"/>
          <w:b w:val="0"/>
          <w:i w:val="0"/>
          <w:color w:val="000000"/>
          <w:sz w:val="32"/>
          <w:szCs w:val="32"/>
        </w:rPr>
        <w:t>）：反映财政</w:t>
      </w:r>
      <w:r>
        <w:rPr>
          <w:rFonts w:hint="eastAsia" w:ascii="仿宋" w:eastAsia="仿宋_GB2312"/>
          <w:b w:val="0"/>
          <w:i w:val="0"/>
          <w:color w:val="000000"/>
          <w:sz w:val="32"/>
          <w:szCs w:val="32"/>
          <w:lang w:eastAsia="zh-CN"/>
        </w:rPr>
        <w:t>单位</w:t>
      </w:r>
      <w:r>
        <w:rPr>
          <w:rFonts w:hint="eastAsia" w:ascii="仿宋" w:eastAsia="仿宋_GB2312"/>
          <w:b w:val="0"/>
          <w:i w:val="0"/>
          <w:color w:val="000000"/>
          <w:sz w:val="32"/>
          <w:szCs w:val="32"/>
        </w:rPr>
        <w:t>安排的事业单位基本医疗保险缴费经费，未参加医疗保险的事业单位的公费医疗经费，按国家规定享受离休人员待遇的医疗经费。</w:t>
      </w:r>
    </w:p>
    <w:p w14:paraId="7A9139CE">
      <w:pPr>
        <w:keepNext w:val="0"/>
        <w:keepLines w:val="0"/>
        <w:pageBreakBefore w:val="0"/>
        <w:widowControl w:val="0"/>
        <w:numPr>
          <w:ilvl w:val="0"/>
          <w:numId w:val="4"/>
        </w:numPr>
        <w:kinsoku/>
        <w:wordWrap/>
        <w:overflowPunct/>
        <w:topLinePunct w:val="0"/>
        <w:autoSpaceDE/>
        <w:autoSpaceDN/>
        <w:bidi w:val="0"/>
        <w:adjustRightInd/>
        <w:snapToGrid/>
        <w:spacing w:line="600" w:lineRule="exact"/>
        <w:ind w:left="0" w:firstLine="640" w:firstLineChars="200"/>
        <w:textAlignment w:val="auto"/>
        <w:rPr>
          <w:rFonts w:ascii="仿宋" w:eastAsia="仿宋_GB2312"/>
          <w:b w:val="0"/>
          <w:i w:val="0"/>
          <w:color w:val="000000"/>
          <w:sz w:val="32"/>
          <w:szCs w:val="32"/>
        </w:rPr>
      </w:pPr>
      <w:r>
        <w:rPr>
          <w:rFonts w:hint="eastAsia" w:ascii="仿宋" w:eastAsia="仿宋_GB2312"/>
          <w:b w:val="0"/>
          <w:i w:val="0"/>
          <w:color w:val="000000"/>
          <w:sz w:val="32"/>
          <w:szCs w:val="32"/>
        </w:rPr>
        <w:t>卫生健康支出（</w:t>
      </w:r>
      <w:r>
        <w:rPr>
          <w:rFonts w:hint="eastAsia" w:ascii="仿宋" w:eastAsia="仿宋_GB2312"/>
          <w:b w:val="0"/>
          <w:i w:val="0"/>
          <w:color w:val="000000"/>
          <w:sz w:val="32"/>
          <w:szCs w:val="32"/>
          <w:lang w:eastAsia="zh-CN"/>
        </w:rPr>
        <w:t>类</w:t>
      </w:r>
      <w:r>
        <w:rPr>
          <w:rFonts w:hint="eastAsia" w:ascii="仿宋" w:eastAsia="仿宋_GB2312"/>
          <w:b w:val="0"/>
          <w:i w:val="0"/>
          <w:color w:val="000000"/>
          <w:sz w:val="32"/>
          <w:szCs w:val="32"/>
        </w:rPr>
        <w:t>）其他卫生健康支出（</w:t>
      </w:r>
      <w:r>
        <w:rPr>
          <w:rFonts w:hint="eastAsia" w:ascii="仿宋" w:eastAsia="仿宋_GB2312"/>
          <w:b w:val="0"/>
          <w:i w:val="0"/>
          <w:color w:val="000000"/>
          <w:sz w:val="32"/>
          <w:szCs w:val="32"/>
          <w:lang w:eastAsia="zh-CN"/>
        </w:rPr>
        <w:t>款</w:t>
      </w:r>
      <w:r>
        <w:rPr>
          <w:rFonts w:hint="eastAsia" w:ascii="仿宋" w:eastAsia="仿宋_GB2312"/>
          <w:b w:val="0"/>
          <w:i w:val="0"/>
          <w:color w:val="000000"/>
          <w:sz w:val="32"/>
          <w:szCs w:val="32"/>
        </w:rPr>
        <w:t>）其他卫生健康支出（</w:t>
      </w:r>
      <w:r>
        <w:rPr>
          <w:rFonts w:hint="eastAsia" w:ascii="仿宋" w:eastAsia="仿宋_GB2312"/>
          <w:b w:val="0"/>
          <w:i w:val="0"/>
          <w:color w:val="000000"/>
          <w:sz w:val="32"/>
          <w:szCs w:val="32"/>
          <w:lang w:eastAsia="zh-CN"/>
        </w:rPr>
        <w:t>项</w:t>
      </w:r>
      <w:r>
        <w:rPr>
          <w:rFonts w:hint="eastAsia" w:ascii="仿宋" w:eastAsia="仿宋_GB2312"/>
          <w:b w:val="0"/>
          <w:i w:val="0"/>
          <w:color w:val="000000"/>
          <w:sz w:val="32"/>
          <w:szCs w:val="32"/>
        </w:rPr>
        <w:t>）：反映除上述项以外其他用于卫生健康方面的支出。</w:t>
      </w:r>
    </w:p>
    <w:p w14:paraId="0DF9B641">
      <w:pPr>
        <w:keepNext w:val="0"/>
        <w:keepLines w:val="0"/>
        <w:pageBreakBefore w:val="0"/>
        <w:widowControl w:val="0"/>
        <w:numPr>
          <w:ilvl w:val="0"/>
          <w:numId w:val="4"/>
        </w:numPr>
        <w:kinsoku/>
        <w:wordWrap/>
        <w:overflowPunct/>
        <w:topLinePunct w:val="0"/>
        <w:autoSpaceDE/>
        <w:autoSpaceDN/>
        <w:bidi w:val="0"/>
        <w:adjustRightInd/>
        <w:snapToGrid/>
        <w:spacing w:line="600" w:lineRule="exact"/>
        <w:ind w:left="0" w:firstLine="640" w:firstLineChars="200"/>
        <w:textAlignment w:val="auto"/>
        <w:rPr>
          <w:rFonts w:ascii="仿宋" w:eastAsia="仿宋_GB2312"/>
          <w:b w:val="0"/>
          <w:i w:val="0"/>
          <w:color w:val="000000"/>
          <w:sz w:val="32"/>
          <w:szCs w:val="32"/>
        </w:rPr>
      </w:pPr>
      <w:r>
        <w:rPr>
          <w:rFonts w:hint="eastAsia" w:ascii="仿宋" w:eastAsia="仿宋_GB2312"/>
          <w:b w:val="0"/>
          <w:i w:val="0"/>
          <w:color w:val="000000"/>
          <w:sz w:val="32"/>
          <w:szCs w:val="32"/>
        </w:rPr>
        <w:t>住房保障支出（</w:t>
      </w:r>
      <w:r>
        <w:rPr>
          <w:rFonts w:hint="eastAsia" w:ascii="仿宋" w:eastAsia="仿宋_GB2312"/>
          <w:b w:val="0"/>
          <w:i w:val="0"/>
          <w:color w:val="000000"/>
          <w:sz w:val="32"/>
          <w:szCs w:val="32"/>
          <w:lang w:eastAsia="zh-CN"/>
        </w:rPr>
        <w:t>类</w:t>
      </w:r>
      <w:r>
        <w:rPr>
          <w:rFonts w:hint="eastAsia" w:ascii="仿宋" w:eastAsia="仿宋_GB2312"/>
          <w:b w:val="0"/>
          <w:i w:val="0"/>
          <w:color w:val="000000"/>
          <w:sz w:val="32"/>
          <w:szCs w:val="32"/>
        </w:rPr>
        <w:t>）住房改革支出（</w:t>
      </w:r>
      <w:r>
        <w:rPr>
          <w:rFonts w:hint="eastAsia" w:ascii="仿宋" w:eastAsia="仿宋_GB2312"/>
          <w:b w:val="0"/>
          <w:i w:val="0"/>
          <w:color w:val="000000"/>
          <w:sz w:val="32"/>
          <w:szCs w:val="32"/>
          <w:lang w:eastAsia="zh-CN"/>
        </w:rPr>
        <w:t>款</w:t>
      </w:r>
      <w:r>
        <w:rPr>
          <w:rFonts w:hint="eastAsia" w:ascii="仿宋" w:eastAsia="仿宋_GB2312"/>
          <w:b w:val="0"/>
          <w:i w:val="0"/>
          <w:color w:val="000000"/>
          <w:sz w:val="32"/>
          <w:szCs w:val="32"/>
        </w:rPr>
        <w:t>）住房公积金（</w:t>
      </w:r>
      <w:r>
        <w:rPr>
          <w:rFonts w:hint="eastAsia" w:ascii="仿宋" w:eastAsia="仿宋_GB2312"/>
          <w:b w:val="0"/>
          <w:i w:val="0"/>
          <w:color w:val="000000"/>
          <w:sz w:val="32"/>
          <w:szCs w:val="32"/>
          <w:lang w:eastAsia="zh-CN"/>
        </w:rPr>
        <w:t>项</w:t>
      </w:r>
      <w:r>
        <w:rPr>
          <w:rFonts w:hint="eastAsia" w:ascii="仿宋" w:eastAsia="仿宋_GB2312"/>
          <w:b w:val="0"/>
          <w:i w:val="0"/>
          <w:color w:val="000000"/>
          <w:sz w:val="32"/>
          <w:szCs w:val="32"/>
        </w:rPr>
        <w:t>）：反映行政事业单位按人力资源和社会保障部、财政部规定的基本工资和津贴补贴以及规定比例为职工缴纳的住房公积金。</w:t>
      </w:r>
    </w:p>
    <w:p w14:paraId="1C2E7C63">
      <w:pPr>
        <w:keepNext w:val="0"/>
        <w:keepLines w:val="0"/>
        <w:pageBreakBefore w:val="0"/>
        <w:widowControl w:val="0"/>
        <w:numPr>
          <w:ilvl w:val="0"/>
          <w:numId w:val="4"/>
        </w:numPr>
        <w:kinsoku/>
        <w:wordWrap/>
        <w:overflowPunct/>
        <w:topLinePunct w:val="0"/>
        <w:autoSpaceDE/>
        <w:autoSpaceDN/>
        <w:bidi w:val="0"/>
        <w:adjustRightInd/>
        <w:snapToGrid/>
        <w:spacing w:line="600" w:lineRule="exact"/>
        <w:ind w:left="0" w:firstLine="640" w:firstLineChars="200"/>
        <w:textAlignment w:val="auto"/>
        <w:rPr>
          <w:rFonts w:ascii="仿宋" w:eastAsia="仿宋_GB2312"/>
          <w:b w:val="0"/>
          <w:i w:val="0"/>
          <w:color w:val="000000"/>
          <w:sz w:val="32"/>
          <w:szCs w:val="32"/>
        </w:rPr>
      </w:pPr>
      <w:r>
        <w:rPr>
          <w:rFonts w:hint="eastAsia" w:ascii="仿宋" w:eastAsia="仿宋_GB2312"/>
          <w:b w:val="0"/>
          <w:i w:val="0"/>
          <w:color w:val="000000"/>
          <w:sz w:val="32"/>
          <w:szCs w:val="32"/>
        </w:rPr>
        <w:t>基本支出：指为保障机构正常运转、完成日常工作任务而发生的人员支出和公用支出。</w:t>
      </w:r>
    </w:p>
    <w:p w14:paraId="11FA57FF">
      <w:pPr>
        <w:keepNext w:val="0"/>
        <w:keepLines w:val="0"/>
        <w:pageBreakBefore w:val="0"/>
        <w:widowControl w:val="0"/>
        <w:numPr>
          <w:ilvl w:val="0"/>
          <w:numId w:val="4"/>
        </w:numPr>
        <w:kinsoku/>
        <w:wordWrap/>
        <w:overflowPunct/>
        <w:topLinePunct w:val="0"/>
        <w:autoSpaceDE/>
        <w:autoSpaceDN/>
        <w:bidi w:val="0"/>
        <w:adjustRightInd/>
        <w:snapToGrid/>
        <w:spacing w:line="600" w:lineRule="exact"/>
        <w:ind w:left="0" w:firstLine="640" w:firstLineChars="200"/>
        <w:textAlignment w:val="auto"/>
        <w:rPr>
          <w:rFonts w:ascii="仿宋" w:eastAsia="仿宋_GB2312"/>
          <w:b w:val="0"/>
          <w:i w:val="0"/>
          <w:color w:val="000000"/>
          <w:sz w:val="32"/>
          <w:szCs w:val="32"/>
        </w:rPr>
      </w:pPr>
      <w:r>
        <w:rPr>
          <w:rFonts w:hint="eastAsia" w:ascii="仿宋" w:eastAsia="仿宋_GB2312"/>
          <w:b w:val="0"/>
          <w:i w:val="0"/>
          <w:color w:val="000000"/>
          <w:sz w:val="32"/>
          <w:szCs w:val="32"/>
        </w:rPr>
        <w:t xml:space="preserve">项目支出：指在基本支出之外为完成特定行政任务和事业发展目标所发生的支出。 </w:t>
      </w:r>
    </w:p>
    <w:p w14:paraId="7F6DBC76">
      <w:pPr>
        <w:keepNext w:val="0"/>
        <w:keepLines w:val="0"/>
        <w:pageBreakBefore w:val="0"/>
        <w:widowControl w:val="0"/>
        <w:numPr>
          <w:ilvl w:val="0"/>
          <w:numId w:val="4"/>
        </w:numPr>
        <w:kinsoku/>
        <w:wordWrap/>
        <w:overflowPunct/>
        <w:topLinePunct w:val="0"/>
        <w:autoSpaceDE/>
        <w:autoSpaceDN/>
        <w:bidi w:val="0"/>
        <w:adjustRightInd/>
        <w:snapToGrid/>
        <w:spacing w:line="600" w:lineRule="exact"/>
        <w:ind w:left="0" w:firstLine="640" w:firstLineChars="200"/>
        <w:textAlignment w:val="auto"/>
        <w:rPr>
          <w:rFonts w:ascii="仿宋" w:eastAsia="仿宋_GB2312"/>
          <w:b w:val="0"/>
          <w:i w:val="0"/>
          <w:color w:val="000000"/>
          <w:sz w:val="32"/>
          <w:szCs w:val="32"/>
        </w:rPr>
      </w:pPr>
      <w:r>
        <w:rPr>
          <w:rFonts w:hint="eastAsia" w:ascii="仿宋" w:eastAsia="仿宋_GB2312"/>
          <w:b w:val="0"/>
          <w:i w:val="0"/>
          <w:color w:val="000000"/>
          <w:sz w:val="32"/>
          <w:szCs w:val="32"/>
        </w:rPr>
        <w:t>经营支出：指事业单位在专业业务活动及其辅助活动之外开展非独立核算经营活动发生的支出。</w:t>
      </w:r>
    </w:p>
    <w:p w14:paraId="49D423E0">
      <w:pPr>
        <w:keepNext w:val="0"/>
        <w:keepLines w:val="0"/>
        <w:pageBreakBefore w:val="0"/>
        <w:widowControl w:val="0"/>
        <w:numPr>
          <w:ilvl w:val="0"/>
          <w:numId w:val="4"/>
        </w:numPr>
        <w:kinsoku/>
        <w:wordWrap/>
        <w:overflowPunct/>
        <w:topLinePunct w:val="0"/>
        <w:autoSpaceDE/>
        <w:autoSpaceDN/>
        <w:bidi w:val="0"/>
        <w:adjustRightInd/>
        <w:snapToGrid/>
        <w:spacing w:line="600" w:lineRule="exact"/>
        <w:ind w:left="0" w:firstLine="640" w:firstLineChars="200"/>
        <w:textAlignment w:val="auto"/>
        <w:rPr>
          <w:rFonts w:ascii="仿宋" w:eastAsia="仿宋_GB2312"/>
          <w:b w:val="0"/>
          <w:i w:val="0"/>
          <w:color w:val="000000"/>
          <w:sz w:val="32"/>
          <w:szCs w:val="32"/>
        </w:rPr>
      </w:pPr>
      <w:r>
        <w:rPr>
          <w:rFonts w:hint="eastAsia" w:ascii="仿宋" w:eastAsia="仿宋_GB2312"/>
          <w:b w:val="0"/>
          <w:i w:val="0"/>
          <w:color w:val="000000"/>
          <w:sz w:val="32"/>
          <w:szCs w:val="32"/>
        </w:rPr>
        <w:t>“三公”经费：指</w:t>
      </w:r>
      <w:r>
        <w:rPr>
          <w:rFonts w:hint="eastAsia" w:ascii="仿宋" w:eastAsia="仿宋_GB2312"/>
          <w:b w:val="0"/>
          <w:i w:val="0"/>
          <w:color w:val="000000"/>
          <w:sz w:val="32"/>
          <w:szCs w:val="32"/>
          <w:lang w:eastAsia="zh-CN"/>
        </w:rPr>
        <w:t>单位</w:t>
      </w:r>
      <w:r>
        <w:rPr>
          <w:rFonts w:hint="eastAsia" w:ascii="仿宋" w:eastAsia="仿宋_GB2312"/>
          <w:b w:val="0"/>
          <w:i w:val="0"/>
          <w:color w:val="000000"/>
          <w:sz w:val="32"/>
          <w:szCs w:val="32"/>
        </w:rPr>
        <w:t>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32F21138">
      <w:pPr>
        <w:keepNext w:val="0"/>
        <w:keepLines w:val="0"/>
        <w:pageBreakBefore w:val="0"/>
        <w:widowControl w:val="0"/>
        <w:numPr>
          <w:ilvl w:val="0"/>
          <w:numId w:val="4"/>
        </w:numPr>
        <w:kinsoku/>
        <w:wordWrap/>
        <w:overflowPunct/>
        <w:topLinePunct w:val="0"/>
        <w:autoSpaceDE/>
        <w:autoSpaceDN/>
        <w:bidi w:val="0"/>
        <w:adjustRightInd/>
        <w:snapToGrid/>
        <w:spacing w:line="600" w:lineRule="exact"/>
        <w:ind w:left="0" w:firstLine="640" w:firstLineChars="200"/>
        <w:textAlignment w:val="auto"/>
        <w:rPr>
          <w:rFonts w:ascii="仿宋_GB2312" w:eastAsia="仿宋_GB2312" w:cs="黑体"/>
          <w:sz w:val="32"/>
          <w:szCs w:val="32"/>
        </w:rPr>
      </w:pPr>
      <w:r>
        <w:rPr>
          <w:rFonts w:hint="eastAsia" w:ascii="仿宋" w:eastAsia="仿宋_GB2312"/>
          <w:b w:val="0"/>
          <w:i w:val="0"/>
          <w:color w:val="000000"/>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B17BF02">
      <w:pPr>
        <w:keepNext w:val="0"/>
        <w:keepLines w:val="0"/>
        <w:pageBreakBefore w:val="0"/>
        <w:widowControl w:val="0"/>
        <w:numPr>
          <w:ilvl w:val="0"/>
          <w:numId w:val="4"/>
        </w:numPr>
        <w:kinsoku/>
        <w:wordWrap/>
        <w:overflowPunct/>
        <w:topLinePunct w:val="0"/>
        <w:autoSpaceDE/>
        <w:autoSpaceDN/>
        <w:bidi w:val="0"/>
        <w:adjustRightInd/>
        <w:snapToGrid/>
        <w:spacing w:line="600" w:lineRule="exact"/>
        <w:ind w:left="0" w:firstLine="640" w:firstLineChars="200"/>
        <w:textAlignment w:val="auto"/>
        <w:rPr>
          <w:rFonts w:ascii="仿宋" w:eastAsia="仿宋_GB2312"/>
          <w:b w:val="0"/>
          <w:i w:val="0"/>
          <w:color w:val="000000"/>
          <w:sz w:val="32"/>
          <w:szCs w:val="32"/>
        </w:rPr>
      </w:pPr>
      <w:r>
        <w:rPr>
          <w:rFonts w:hint="eastAsia" w:ascii="仿宋" w:eastAsia="仿宋_GB2312"/>
          <w:b w:val="0"/>
          <w:i w:val="0"/>
          <w:color w:val="000000"/>
          <w:sz w:val="32"/>
          <w:szCs w:val="32"/>
        </w:rPr>
        <w:t>财政应返还额度：为行政事业单位会计核算科目，用于核算实行国库集中支付的行政事业单位应收财政返还的资金额度</w:t>
      </w:r>
      <w:r>
        <w:rPr>
          <w:rFonts w:hint="eastAsia" w:ascii="仿宋" w:eastAsia="仿宋_GB2312"/>
          <w:b w:val="0"/>
          <w:i w:val="0"/>
          <w:color w:val="000000"/>
          <w:sz w:val="32"/>
          <w:szCs w:val="32"/>
          <w:lang w:eastAsia="zh-CN"/>
        </w:rPr>
        <w:t>。</w:t>
      </w:r>
    </w:p>
    <w:bookmarkEnd w:id="104"/>
    <w:p w14:paraId="6C3357B4">
      <w:pPr>
        <w:spacing w:line="600" w:lineRule="exact"/>
        <w:jc w:val="both"/>
        <w:outlineLvl w:val="0"/>
        <w:rPr>
          <w:rFonts w:ascii="仿宋_GB2312" w:hAnsi="仿宋_GB2312" w:eastAsia="仿宋_GB2312" w:cs="仿宋_GB2312"/>
          <w:sz w:val="32"/>
          <w:szCs w:val="32"/>
        </w:rPr>
      </w:pPr>
      <w:r>
        <w:rPr>
          <w:rFonts w:ascii="宋体"/>
          <w:b/>
          <w:sz w:val="44"/>
          <w:szCs w:val="44"/>
        </w:rPr>
        <w:br w:type="page"/>
      </w:r>
      <w:bookmarkStart w:id="74" w:name="_Toc15396614"/>
      <w:bookmarkStart w:id="75" w:name="_Toc10900"/>
      <w:r>
        <w:rPr>
          <w:rFonts w:hint="eastAsia" w:ascii="宋体"/>
          <w:b/>
          <w:sz w:val="44"/>
          <w:szCs w:val="44"/>
          <w:lang w:val="en-US" w:eastAsia="zh-CN"/>
        </w:rPr>
        <w:t xml:space="preserve">      </w:t>
      </w:r>
      <w:r>
        <w:rPr>
          <w:rFonts w:hint="eastAsia" w:ascii="方正小标宋简体" w:hAnsi="方正小标宋简体" w:eastAsia="方正小标宋简体" w:cs="方正小标宋简体"/>
          <w:b/>
          <w:sz w:val="44"/>
          <w:szCs w:val="44"/>
          <w:lang w:val="en-US" w:eastAsia="zh-CN"/>
        </w:rPr>
        <w:t xml:space="preserve">     </w:t>
      </w:r>
      <w:r>
        <w:rPr>
          <w:rFonts w:hint="eastAsia" w:ascii="方正小标宋简体" w:hAnsi="方正小标宋简体" w:eastAsia="方正小标宋简体" w:cs="方正小标宋简体"/>
          <w:sz w:val="44"/>
          <w:szCs w:val="44"/>
        </w:rPr>
        <w:t>第</w:t>
      </w:r>
      <w:r>
        <w:rPr>
          <w:rStyle w:val="30"/>
          <w:rFonts w:hint="eastAsia" w:ascii="方正小标宋简体" w:hAnsi="方正小标宋简体" w:eastAsia="方正小标宋简体" w:cs="方正小标宋简体"/>
          <w:b w:val="0"/>
        </w:rPr>
        <w:t>四部分 附件</w:t>
      </w:r>
      <w:bookmarkEnd w:id="74"/>
      <w:bookmarkEnd w:id="75"/>
    </w:p>
    <w:tbl>
      <w:tblPr>
        <w:tblStyle w:val="18"/>
        <w:tblpPr w:leftFromText="180" w:rightFromText="180" w:vertAnchor="text" w:horzAnchor="page" w:tblpX="622" w:tblpY="687"/>
        <w:tblOverlap w:val="never"/>
        <w:tblW w:w="1093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78"/>
        <w:gridCol w:w="1285"/>
        <w:gridCol w:w="1258"/>
        <w:gridCol w:w="1628"/>
        <w:gridCol w:w="512"/>
        <w:gridCol w:w="1170"/>
        <w:gridCol w:w="461"/>
        <w:gridCol w:w="1084"/>
        <w:gridCol w:w="816"/>
        <w:gridCol w:w="816"/>
        <w:gridCol w:w="1227"/>
      </w:tblGrid>
      <w:tr w14:paraId="59E1E8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093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953651E">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0"/>
                <w:szCs w:val="20"/>
                <w:u w:val="none"/>
              </w:rPr>
            </w:pPr>
            <w:bookmarkStart w:id="76" w:name="_Toc15396618"/>
            <w:r>
              <w:rPr>
                <w:rFonts w:hint="eastAsia" w:ascii="仿宋_GB2312" w:hAnsi="仿宋_GB2312" w:eastAsia="仿宋_GB2312" w:cs="仿宋_GB2312"/>
                <w:b/>
                <w:bCs/>
                <w:i w:val="0"/>
                <w:iCs w:val="0"/>
                <w:color w:val="000000"/>
                <w:kern w:val="0"/>
                <w:sz w:val="20"/>
                <w:szCs w:val="20"/>
                <w:u w:val="none"/>
                <w:lang w:val="en-US" w:eastAsia="zh-CN" w:bidi="ar"/>
              </w:rPr>
              <w:t>部门预算项目支出绩效自评表（2025年度）</w:t>
            </w:r>
          </w:p>
        </w:tc>
      </w:tr>
      <w:tr w14:paraId="6FFE7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0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2FF9AE">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项目名称</w:t>
            </w:r>
          </w:p>
        </w:tc>
        <w:tc>
          <w:tcPr>
            <w:tcW w:w="890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FAD88BF">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基层医疗卫生机构实施基本药物制度项目</w:t>
            </w:r>
          </w:p>
        </w:tc>
      </w:tr>
      <w:tr w14:paraId="2A14A2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0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2D0C67">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主管部门</w:t>
            </w:r>
          </w:p>
        </w:tc>
        <w:tc>
          <w:tcPr>
            <w:tcW w:w="521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C4F052D">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茂县卫生健康局</w:t>
            </w:r>
          </w:p>
        </w:tc>
        <w:tc>
          <w:tcPr>
            <w:tcW w:w="1091" w:type="dxa"/>
            <w:tcBorders>
              <w:top w:val="nil"/>
              <w:left w:val="nil"/>
              <w:bottom w:val="nil"/>
              <w:right w:val="nil"/>
            </w:tcBorders>
            <w:shd w:val="clear" w:color="auto" w:fill="auto"/>
            <w:vAlign w:val="center"/>
          </w:tcPr>
          <w:p w14:paraId="46469088">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 xml:space="preserve">实施单位 </w:t>
            </w:r>
          </w:p>
        </w:tc>
        <w:tc>
          <w:tcPr>
            <w:tcW w:w="25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5E87D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茂县叠溪镇卫生院</w:t>
            </w:r>
          </w:p>
        </w:tc>
      </w:tr>
      <w:tr w14:paraId="3A6E8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9F19C9">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项目基本情况</w:t>
            </w:r>
          </w:p>
        </w:tc>
        <w:tc>
          <w:tcPr>
            <w:tcW w:w="13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4B67DF">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1.项目年度目标完成情况</w:t>
            </w:r>
          </w:p>
        </w:tc>
        <w:tc>
          <w:tcPr>
            <w:tcW w:w="521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110309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项目年度目标</w:t>
            </w:r>
          </w:p>
        </w:tc>
        <w:tc>
          <w:tcPr>
            <w:tcW w:w="368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A96B05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年度目标完成情况</w:t>
            </w:r>
          </w:p>
        </w:tc>
      </w:tr>
      <w:tr w14:paraId="0440C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8F0998">
            <w:pPr>
              <w:rPr>
                <w:rFonts w:hint="eastAsia" w:ascii="仿宋_GB2312" w:hAnsi="仿宋_GB2312" w:eastAsia="仿宋_GB2312" w:cs="仿宋_GB2312"/>
                <w:i w:val="0"/>
                <w:iCs w:val="0"/>
                <w:color w:val="000000"/>
                <w:sz w:val="20"/>
                <w:szCs w:val="20"/>
                <w:u w:val="none"/>
              </w:rPr>
            </w:pPr>
          </w:p>
        </w:tc>
        <w:tc>
          <w:tcPr>
            <w:tcW w:w="13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BCD401">
            <w:pPr>
              <w:rPr>
                <w:rFonts w:hint="eastAsia" w:ascii="仿宋_GB2312" w:hAnsi="仿宋_GB2312" w:eastAsia="仿宋_GB2312" w:cs="仿宋_GB2312"/>
                <w:i w:val="0"/>
                <w:iCs w:val="0"/>
                <w:color w:val="000000"/>
                <w:sz w:val="20"/>
                <w:szCs w:val="20"/>
                <w:u w:val="none"/>
              </w:rPr>
            </w:pPr>
          </w:p>
        </w:tc>
        <w:tc>
          <w:tcPr>
            <w:tcW w:w="521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82720E2">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　建立健全基层医疗卫生机构基本药物制度和落实多渠道基药补偿,让广大农牧民群众因病致贫、因病返贫、看病难、看病贵的问题得到有效缓解。</w:t>
            </w:r>
          </w:p>
        </w:tc>
        <w:tc>
          <w:tcPr>
            <w:tcW w:w="368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AB54E64">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通过该项目的实施，切实缓解了广大农牧民群众“因病致贫”“因病返贫”看病难、看病贵问题，减轻了广大农牧民就医经济负担，得到了实实在在的好处。</w:t>
            </w:r>
          </w:p>
        </w:tc>
      </w:tr>
      <w:tr w14:paraId="196EAD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95DBEB">
            <w:pPr>
              <w:rPr>
                <w:rFonts w:hint="eastAsia" w:ascii="仿宋_GB2312" w:hAnsi="仿宋_GB2312" w:eastAsia="仿宋_GB2312" w:cs="仿宋_GB2312"/>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B2E30">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2.项目实施内容及过程概述</w:t>
            </w:r>
          </w:p>
        </w:tc>
        <w:tc>
          <w:tcPr>
            <w:tcW w:w="890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EBF7A77">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取消药品加成项目,有效缓解了全县农民群众因病致贫、因病返贫、看病难、看病贵的问题，全面提升了广大农民的健康水平，缩小城乡之间的差距。</w:t>
            </w:r>
          </w:p>
        </w:tc>
      </w:tr>
      <w:tr w14:paraId="3C5F48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1A669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预算执行情况（10分）</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8A34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年度预算数（万元）</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5587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年初预算</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098B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调整后预算数</w:t>
            </w:r>
          </w:p>
        </w:tc>
        <w:tc>
          <w:tcPr>
            <w:tcW w:w="217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F3470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49AC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预算执行率</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C2EE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权重</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0E58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得分</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022A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原因</w:t>
            </w:r>
          </w:p>
        </w:tc>
      </w:tr>
      <w:tr w14:paraId="57123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6AB7F4">
            <w:pPr>
              <w:jc w:val="center"/>
              <w:rPr>
                <w:rFonts w:hint="eastAsia" w:ascii="仿宋_GB2312" w:hAnsi="仿宋_GB2312" w:eastAsia="仿宋_GB2312" w:cs="仿宋_GB2312"/>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A127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总额</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5A05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lang w:val="en-US"/>
              </w:rPr>
            </w:pPr>
            <w:r>
              <w:rPr>
                <w:rFonts w:hint="eastAsia" w:ascii="仿宋_GB2312" w:hAnsi="仿宋_GB2312" w:eastAsia="仿宋_GB2312" w:cs="仿宋_GB2312"/>
                <w:i w:val="0"/>
                <w:iCs w:val="0"/>
                <w:color w:val="000000"/>
                <w:kern w:val="0"/>
                <w:sz w:val="20"/>
                <w:szCs w:val="20"/>
                <w:u w:val="none"/>
                <w:lang w:val="en-US" w:eastAsia="zh-CN" w:bidi="ar"/>
              </w:rPr>
              <w:t>2.02</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B395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kern w:val="0"/>
                <w:sz w:val="20"/>
                <w:szCs w:val="20"/>
                <w:u w:val="none"/>
                <w:lang w:val="en-US" w:eastAsia="zh-CN" w:bidi="ar"/>
              </w:rPr>
              <w:t>0</w:t>
            </w:r>
          </w:p>
        </w:tc>
        <w:tc>
          <w:tcPr>
            <w:tcW w:w="217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AFFF6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2.02</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9F81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100.00%</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D0FC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DD98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E19C67">
            <w:pPr>
              <w:rPr>
                <w:rFonts w:hint="eastAsia" w:ascii="仿宋_GB2312" w:hAnsi="仿宋_GB2312" w:eastAsia="仿宋_GB2312" w:cs="仿宋_GB2312"/>
                <w:i/>
                <w:iCs/>
                <w:color w:val="000000"/>
                <w:sz w:val="20"/>
                <w:szCs w:val="20"/>
                <w:u w:val="none"/>
              </w:rPr>
            </w:pPr>
          </w:p>
        </w:tc>
      </w:tr>
      <w:tr w14:paraId="7B320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CA9E49">
            <w:pPr>
              <w:jc w:val="center"/>
              <w:rPr>
                <w:rFonts w:hint="eastAsia" w:ascii="仿宋_GB2312" w:hAnsi="仿宋_GB2312" w:eastAsia="仿宋_GB2312" w:cs="仿宋_GB2312"/>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927D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其中：财政资金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AA2F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lang w:val="en-US"/>
              </w:rPr>
            </w:pPr>
            <w:r>
              <w:rPr>
                <w:rFonts w:hint="eastAsia" w:ascii="仿宋_GB2312" w:hAnsi="仿宋_GB2312" w:eastAsia="仿宋_GB2312" w:cs="仿宋_GB2312"/>
                <w:i w:val="0"/>
                <w:iCs w:val="0"/>
                <w:color w:val="000000"/>
                <w:kern w:val="0"/>
                <w:sz w:val="20"/>
                <w:szCs w:val="20"/>
                <w:u w:val="none"/>
                <w:lang w:val="en-US" w:eastAsia="zh-CN" w:bidi="ar"/>
              </w:rPr>
              <w:t>2.02</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C6D7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w:t>
            </w:r>
          </w:p>
        </w:tc>
        <w:tc>
          <w:tcPr>
            <w:tcW w:w="217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9D350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2.02</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B025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100.00%</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F446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6FAF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47E4F2">
            <w:pPr>
              <w:rPr>
                <w:rFonts w:hint="eastAsia" w:ascii="仿宋_GB2312" w:hAnsi="仿宋_GB2312" w:eastAsia="仿宋_GB2312" w:cs="仿宋_GB2312"/>
                <w:i/>
                <w:iCs/>
                <w:color w:val="000000"/>
                <w:sz w:val="20"/>
                <w:szCs w:val="20"/>
                <w:u w:val="none"/>
              </w:rPr>
            </w:pPr>
          </w:p>
        </w:tc>
      </w:tr>
      <w:tr w14:paraId="56E77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48BB26">
            <w:pPr>
              <w:jc w:val="center"/>
              <w:rPr>
                <w:rFonts w:hint="eastAsia" w:ascii="仿宋_GB2312" w:hAnsi="仿宋_GB2312" w:eastAsia="仿宋_GB2312" w:cs="仿宋_GB2312"/>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4D4E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财政专户管理资金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AFBC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0.00</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9722E">
            <w:pPr>
              <w:jc w:val="center"/>
              <w:rPr>
                <w:rFonts w:hint="eastAsia" w:ascii="仿宋_GB2312" w:hAnsi="仿宋_GB2312" w:eastAsia="仿宋_GB2312" w:cs="仿宋_GB2312"/>
                <w:i w:val="0"/>
                <w:iCs w:val="0"/>
                <w:color w:val="000000"/>
                <w:sz w:val="20"/>
                <w:szCs w:val="20"/>
                <w:u w:val="none"/>
              </w:rPr>
            </w:pPr>
          </w:p>
        </w:tc>
        <w:tc>
          <w:tcPr>
            <w:tcW w:w="217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6253A9">
            <w:pPr>
              <w:jc w:val="center"/>
              <w:rPr>
                <w:rFonts w:hint="eastAsia" w:ascii="仿宋_GB2312" w:hAnsi="仿宋_GB2312" w:eastAsia="仿宋_GB2312" w:cs="仿宋_GB2312"/>
                <w:i w:val="0"/>
                <w:iCs w:val="0"/>
                <w:color w:val="000000"/>
                <w:sz w:val="20"/>
                <w:szCs w:val="20"/>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5BA0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0.00%</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20B8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EA09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01C4F8">
            <w:pPr>
              <w:rPr>
                <w:rFonts w:hint="eastAsia" w:ascii="仿宋_GB2312" w:hAnsi="仿宋_GB2312" w:eastAsia="仿宋_GB2312" w:cs="仿宋_GB2312"/>
                <w:i/>
                <w:iCs/>
                <w:color w:val="000000"/>
                <w:sz w:val="20"/>
                <w:szCs w:val="20"/>
                <w:u w:val="none"/>
              </w:rPr>
            </w:pPr>
          </w:p>
        </w:tc>
      </w:tr>
      <w:tr w14:paraId="6BE81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AE5275">
            <w:pPr>
              <w:jc w:val="center"/>
              <w:rPr>
                <w:rFonts w:hint="eastAsia" w:ascii="仿宋_GB2312" w:hAnsi="仿宋_GB2312" w:eastAsia="仿宋_GB2312" w:cs="仿宋_GB2312"/>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2023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单位资金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4181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0.00</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E2020">
            <w:pPr>
              <w:jc w:val="center"/>
              <w:rPr>
                <w:rFonts w:hint="eastAsia" w:ascii="仿宋_GB2312" w:hAnsi="仿宋_GB2312" w:eastAsia="仿宋_GB2312" w:cs="仿宋_GB2312"/>
                <w:i w:val="0"/>
                <w:iCs w:val="0"/>
                <w:color w:val="000000"/>
                <w:sz w:val="20"/>
                <w:szCs w:val="20"/>
                <w:u w:val="none"/>
              </w:rPr>
            </w:pPr>
          </w:p>
        </w:tc>
        <w:tc>
          <w:tcPr>
            <w:tcW w:w="217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C64D52">
            <w:pPr>
              <w:jc w:val="center"/>
              <w:rPr>
                <w:rFonts w:hint="eastAsia" w:ascii="仿宋_GB2312" w:hAnsi="仿宋_GB2312" w:eastAsia="仿宋_GB2312" w:cs="仿宋_GB2312"/>
                <w:i w:val="0"/>
                <w:iCs w:val="0"/>
                <w:color w:val="000000"/>
                <w:sz w:val="20"/>
                <w:szCs w:val="20"/>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B5B9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0.00%</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4DEF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F9AD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2DCA77">
            <w:pPr>
              <w:rPr>
                <w:rFonts w:hint="eastAsia" w:ascii="仿宋_GB2312" w:hAnsi="仿宋_GB2312" w:eastAsia="仿宋_GB2312" w:cs="仿宋_GB2312"/>
                <w:i/>
                <w:iCs/>
                <w:color w:val="000000"/>
                <w:sz w:val="20"/>
                <w:szCs w:val="20"/>
                <w:u w:val="none"/>
              </w:rPr>
            </w:pPr>
          </w:p>
        </w:tc>
      </w:tr>
      <w:tr w14:paraId="79515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1007B8">
            <w:pPr>
              <w:jc w:val="center"/>
              <w:rPr>
                <w:rFonts w:hint="eastAsia" w:ascii="仿宋_GB2312" w:hAnsi="仿宋_GB2312" w:eastAsia="仿宋_GB2312" w:cs="仿宋_GB2312"/>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CC99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其他资金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72066">
            <w:pPr>
              <w:jc w:val="center"/>
              <w:rPr>
                <w:rFonts w:hint="eastAsia" w:ascii="仿宋_GB2312" w:hAnsi="仿宋_GB2312" w:eastAsia="仿宋_GB2312" w:cs="仿宋_GB2312"/>
                <w:i/>
                <w:iCs/>
                <w:color w:val="000000"/>
                <w:sz w:val="20"/>
                <w:szCs w:val="20"/>
                <w:u w:val="none"/>
              </w:rPr>
            </w:pP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E094D">
            <w:pPr>
              <w:jc w:val="center"/>
              <w:rPr>
                <w:rFonts w:hint="eastAsia" w:ascii="仿宋_GB2312" w:hAnsi="仿宋_GB2312" w:eastAsia="仿宋_GB2312" w:cs="仿宋_GB2312"/>
                <w:i/>
                <w:iCs/>
                <w:color w:val="000000"/>
                <w:sz w:val="20"/>
                <w:szCs w:val="20"/>
                <w:u w:val="none"/>
              </w:rPr>
            </w:pPr>
          </w:p>
        </w:tc>
        <w:tc>
          <w:tcPr>
            <w:tcW w:w="217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FCB413">
            <w:pPr>
              <w:jc w:val="center"/>
              <w:rPr>
                <w:rFonts w:hint="eastAsia" w:ascii="仿宋_GB2312" w:hAnsi="仿宋_GB2312" w:eastAsia="仿宋_GB2312" w:cs="仿宋_GB2312"/>
                <w:i/>
                <w:iCs/>
                <w:color w:val="000000"/>
                <w:sz w:val="20"/>
                <w:szCs w:val="20"/>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99060">
            <w:pPr>
              <w:jc w:val="center"/>
              <w:rPr>
                <w:rFonts w:hint="eastAsia" w:ascii="仿宋_GB2312" w:hAnsi="仿宋_GB2312" w:eastAsia="仿宋_GB2312" w:cs="仿宋_GB2312"/>
                <w:i/>
                <w:iCs/>
                <w:color w:val="000000"/>
                <w:sz w:val="20"/>
                <w:szCs w:val="20"/>
                <w:u w:val="none"/>
              </w:rPr>
            </w:pP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C70E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AD65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1DF7A2">
            <w:pPr>
              <w:rPr>
                <w:rFonts w:hint="eastAsia" w:ascii="仿宋_GB2312" w:hAnsi="仿宋_GB2312" w:eastAsia="仿宋_GB2312" w:cs="仿宋_GB2312"/>
                <w:i/>
                <w:iCs/>
                <w:color w:val="000000"/>
                <w:sz w:val="20"/>
                <w:szCs w:val="20"/>
                <w:u w:val="none"/>
              </w:rPr>
            </w:pPr>
          </w:p>
        </w:tc>
      </w:tr>
      <w:tr w14:paraId="6F96F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7F7B2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绩效指标（90分）</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7D48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一级指标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6190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二级指标</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6089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CD27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指标性质</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65D1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指标值</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71C6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287C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完成值</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4141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权重</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AE7C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得分</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4AA9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未完成原因分析</w:t>
            </w:r>
          </w:p>
        </w:tc>
      </w:tr>
      <w:tr w14:paraId="6170D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F1A13C">
            <w:pPr>
              <w:jc w:val="center"/>
              <w:rPr>
                <w:rFonts w:hint="eastAsia" w:ascii="仿宋_GB2312" w:hAnsi="仿宋_GB2312" w:eastAsia="仿宋_GB2312" w:cs="仿宋_GB2312"/>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5CBB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产出指标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69ED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数量指标</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F34F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实施基本药物制度的村卫生室占比</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98CB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Style w:val="39"/>
                <w:rFonts w:hint="eastAsia" w:ascii="仿宋_GB2312" w:hAnsi="仿宋_GB2312" w:eastAsia="仿宋_GB2312" w:cs="仿宋_GB2312"/>
                <w:sz w:val="20"/>
                <w:szCs w:val="20"/>
                <w:lang w:val="en-US" w:eastAsia="zh-CN" w:bidi="ar"/>
              </w:rPr>
              <w:t>＝</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DE23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F1E9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7E62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956E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5B18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2F167">
            <w:pPr>
              <w:jc w:val="center"/>
              <w:rPr>
                <w:rFonts w:hint="eastAsia" w:ascii="仿宋_GB2312" w:hAnsi="仿宋_GB2312" w:eastAsia="仿宋_GB2312" w:cs="仿宋_GB2312"/>
                <w:i w:val="0"/>
                <w:iCs w:val="0"/>
                <w:color w:val="000000"/>
                <w:sz w:val="20"/>
                <w:szCs w:val="20"/>
                <w:u w:val="none"/>
              </w:rPr>
            </w:pPr>
          </w:p>
        </w:tc>
      </w:tr>
      <w:tr w14:paraId="172DB1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4AEDA7">
            <w:pPr>
              <w:jc w:val="center"/>
              <w:rPr>
                <w:rFonts w:hint="eastAsia" w:ascii="仿宋_GB2312" w:hAnsi="仿宋_GB2312" w:eastAsia="仿宋_GB2312" w:cs="仿宋_GB2312"/>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86AF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产出指标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5501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数量指标</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AC44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实施基本药物制度的政府办基层医疗卫生机构占比</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7317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Style w:val="39"/>
                <w:rFonts w:hint="eastAsia" w:ascii="仿宋_GB2312" w:hAnsi="仿宋_GB2312" w:eastAsia="仿宋_GB2312" w:cs="仿宋_GB2312"/>
                <w:sz w:val="20"/>
                <w:szCs w:val="20"/>
                <w:lang w:val="en-US" w:eastAsia="zh-CN" w:bidi="ar"/>
              </w:rPr>
              <w:t>＝</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2C92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E135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501F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701D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7544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BA042">
            <w:pPr>
              <w:jc w:val="center"/>
              <w:rPr>
                <w:rFonts w:hint="eastAsia" w:ascii="仿宋_GB2312" w:hAnsi="仿宋_GB2312" w:eastAsia="仿宋_GB2312" w:cs="仿宋_GB2312"/>
                <w:i w:val="0"/>
                <w:iCs w:val="0"/>
                <w:color w:val="000000"/>
                <w:sz w:val="20"/>
                <w:szCs w:val="20"/>
                <w:u w:val="none"/>
              </w:rPr>
            </w:pPr>
          </w:p>
        </w:tc>
      </w:tr>
      <w:tr w14:paraId="31672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2B74FA">
            <w:pPr>
              <w:jc w:val="center"/>
              <w:rPr>
                <w:rFonts w:hint="eastAsia" w:ascii="仿宋_GB2312" w:hAnsi="仿宋_GB2312" w:eastAsia="仿宋_GB2312" w:cs="仿宋_GB2312"/>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6BB1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产出指标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2C72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质量指标</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263B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基层医疗卫生机构“优质服务基层行”活动开展评价机构数比例</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D9DA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Style w:val="39"/>
                <w:rFonts w:hint="eastAsia" w:ascii="仿宋_GB2312" w:hAnsi="仿宋_GB2312" w:eastAsia="仿宋_GB2312" w:cs="仿宋_GB2312"/>
                <w:sz w:val="20"/>
                <w:szCs w:val="20"/>
                <w:lang w:val="en-US" w:eastAsia="zh-CN" w:bidi="ar"/>
              </w:rPr>
              <w:t>≥</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35BB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95</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EE87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2C10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95</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74EB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D611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B2B74">
            <w:pPr>
              <w:jc w:val="center"/>
              <w:rPr>
                <w:rFonts w:hint="eastAsia" w:ascii="仿宋_GB2312" w:hAnsi="仿宋_GB2312" w:eastAsia="仿宋_GB2312" w:cs="仿宋_GB2312"/>
                <w:i w:val="0"/>
                <w:iCs w:val="0"/>
                <w:color w:val="000000"/>
                <w:sz w:val="20"/>
                <w:szCs w:val="20"/>
                <w:u w:val="none"/>
              </w:rPr>
            </w:pPr>
          </w:p>
        </w:tc>
      </w:tr>
      <w:tr w14:paraId="23C22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AED7F0">
            <w:pPr>
              <w:jc w:val="center"/>
              <w:rPr>
                <w:rFonts w:hint="eastAsia" w:ascii="仿宋_GB2312" w:hAnsi="仿宋_GB2312" w:eastAsia="仿宋_GB2312" w:cs="仿宋_GB2312"/>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8B7C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效益指标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7133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社会效益指标</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11AF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乡村医生收入</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4FD4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Style w:val="39"/>
                <w:rFonts w:hint="eastAsia" w:ascii="仿宋_GB2312" w:hAnsi="仿宋_GB2312" w:eastAsia="仿宋_GB2312" w:cs="仿宋_GB2312"/>
                <w:sz w:val="20"/>
                <w:szCs w:val="20"/>
                <w:lang w:val="en-US" w:eastAsia="zh-CN" w:bidi="ar"/>
              </w:rPr>
              <w:t>定性</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8EA6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Style w:val="39"/>
                <w:rFonts w:hint="eastAsia" w:ascii="仿宋_GB2312" w:hAnsi="仿宋_GB2312" w:eastAsia="仿宋_GB2312" w:cs="仿宋_GB2312"/>
                <w:sz w:val="20"/>
                <w:szCs w:val="20"/>
                <w:lang w:val="en-US" w:eastAsia="zh-CN" w:bidi="ar"/>
              </w:rPr>
              <w:t>保持稳定</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6F6A5">
            <w:pPr>
              <w:jc w:val="center"/>
              <w:rPr>
                <w:rFonts w:hint="eastAsia" w:ascii="仿宋_GB2312" w:hAnsi="仿宋_GB2312" w:eastAsia="仿宋_GB2312" w:cs="仿宋_GB2312"/>
                <w:i w:val="0"/>
                <w:iCs w:val="0"/>
                <w:color w:val="000000"/>
                <w:sz w:val="20"/>
                <w:szCs w:val="20"/>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B5C5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Style w:val="39"/>
                <w:rFonts w:hint="eastAsia" w:ascii="仿宋_GB2312" w:hAnsi="仿宋_GB2312" w:eastAsia="仿宋_GB2312" w:cs="仿宋_GB2312"/>
                <w:sz w:val="20"/>
                <w:szCs w:val="20"/>
                <w:lang w:val="en-US" w:eastAsia="zh-CN" w:bidi="ar"/>
              </w:rPr>
              <w:t>保持稳定</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EC47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D1B8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E19C7">
            <w:pPr>
              <w:jc w:val="center"/>
              <w:rPr>
                <w:rFonts w:hint="eastAsia" w:ascii="仿宋_GB2312" w:hAnsi="仿宋_GB2312" w:eastAsia="仿宋_GB2312" w:cs="仿宋_GB2312"/>
                <w:i w:val="0"/>
                <w:iCs w:val="0"/>
                <w:color w:val="000000"/>
                <w:sz w:val="20"/>
                <w:szCs w:val="20"/>
                <w:u w:val="none"/>
              </w:rPr>
            </w:pPr>
          </w:p>
        </w:tc>
      </w:tr>
      <w:tr w14:paraId="15A4CB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663D6B">
            <w:pPr>
              <w:jc w:val="center"/>
              <w:rPr>
                <w:rFonts w:hint="eastAsia" w:ascii="仿宋_GB2312" w:hAnsi="仿宋_GB2312" w:eastAsia="仿宋_GB2312" w:cs="仿宋_GB2312"/>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C40B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效益指标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8381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可持续影响指标</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E3CD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基本药物制度在基层持续实施</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A95E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Style w:val="39"/>
                <w:rFonts w:hint="eastAsia" w:ascii="仿宋_GB2312" w:hAnsi="仿宋_GB2312" w:eastAsia="仿宋_GB2312" w:cs="仿宋_GB2312"/>
                <w:sz w:val="20"/>
                <w:szCs w:val="20"/>
                <w:lang w:val="en-US" w:eastAsia="zh-CN" w:bidi="ar"/>
              </w:rPr>
              <w:t>定性</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CBB1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Style w:val="39"/>
                <w:rFonts w:hint="eastAsia" w:ascii="仿宋_GB2312" w:hAnsi="仿宋_GB2312" w:eastAsia="仿宋_GB2312" w:cs="仿宋_GB2312"/>
                <w:sz w:val="20"/>
                <w:szCs w:val="20"/>
                <w:lang w:val="en-US" w:eastAsia="zh-CN" w:bidi="ar"/>
              </w:rPr>
              <w:t>中长期</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32C23">
            <w:pPr>
              <w:jc w:val="center"/>
              <w:rPr>
                <w:rFonts w:hint="eastAsia" w:ascii="仿宋_GB2312" w:hAnsi="仿宋_GB2312" w:eastAsia="仿宋_GB2312" w:cs="仿宋_GB2312"/>
                <w:i w:val="0"/>
                <w:iCs w:val="0"/>
                <w:color w:val="000000"/>
                <w:sz w:val="20"/>
                <w:szCs w:val="20"/>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F8E0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Style w:val="39"/>
                <w:rFonts w:hint="eastAsia" w:ascii="仿宋_GB2312" w:hAnsi="仿宋_GB2312" w:eastAsia="仿宋_GB2312" w:cs="仿宋_GB2312"/>
                <w:sz w:val="20"/>
                <w:szCs w:val="20"/>
                <w:lang w:val="en-US" w:eastAsia="zh-CN" w:bidi="ar"/>
              </w:rPr>
              <w:t>中长期</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9911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F308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885AD">
            <w:pPr>
              <w:jc w:val="center"/>
              <w:rPr>
                <w:rFonts w:hint="eastAsia" w:ascii="仿宋_GB2312" w:hAnsi="仿宋_GB2312" w:eastAsia="仿宋_GB2312" w:cs="仿宋_GB2312"/>
                <w:i w:val="0"/>
                <w:iCs w:val="0"/>
                <w:color w:val="000000"/>
                <w:sz w:val="20"/>
                <w:szCs w:val="20"/>
                <w:u w:val="none"/>
              </w:rPr>
            </w:pPr>
          </w:p>
        </w:tc>
      </w:tr>
      <w:tr w14:paraId="5FF9E0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297179">
            <w:pPr>
              <w:jc w:val="center"/>
              <w:rPr>
                <w:rFonts w:hint="eastAsia" w:ascii="仿宋_GB2312" w:hAnsi="仿宋_GB2312" w:eastAsia="仿宋_GB2312" w:cs="仿宋_GB2312"/>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FFFD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满意度指标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766B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服务对象满意度指标</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410D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对基本药物制度补助满意度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3FD0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Style w:val="39"/>
                <w:rFonts w:hint="eastAsia" w:ascii="仿宋_GB2312" w:hAnsi="仿宋_GB2312" w:eastAsia="仿宋_GB2312" w:cs="仿宋_GB2312"/>
                <w:sz w:val="20"/>
                <w:szCs w:val="20"/>
                <w:lang w:val="en-US" w:eastAsia="zh-CN" w:bidi="ar"/>
              </w:rPr>
              <w:t>≥</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DF64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80</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6A74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4087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80</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8438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5</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55A5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5</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864A8">
            <w:pPr>
              <w:jc w:val="center"/>
              <w:rPr>
                <w:rFonts w:hint="eastAsia" w:ascii="仿宋_GB2312" w:hAnsi="仿宋_GB2312" w:eastAsia="仿宋_GB2312" w:cs="仿宋_GB2312"/>
                <w:i w:val="0"/>
                <w:iCs w:val="0"/>
                <w:color w:val="000000"/>
                <w:sz w:val="20"/>
                <w:szCs w:val="20"/>
                <w:u w:val="none"/>
              </w:rPr>
            </w:pPr>
          </w:p>
        </w:tc>
      </w:tr>
      <w:tr w14:paraId="384D7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EAD5F6">
            <w:pPr>
              <w:jc w:val="center"/>
              <w:rPr>
                <w:rFonts w:hint="eastAsia" w:ascii="仿宋_GB2312" w:hAnsi="仿宋_GB2312" w:eastAsia="仿宋_GB2312" w:cs="仿宋_GB2312"/>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8937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满意度指标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C7AD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服务对象满意度指标</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307B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医院医务人员满意度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3B5C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Style w:val="39"/>
                <w:rFonts w:hint="eastAsia" w:ascii="仿宋_GB2312" w:hAnsi="仿宋_GB2312" w:eastAsia="仿宋_GB2312" w:cs="仿宋_GB2312"/>
                <w:sz w:val="20"/>
                <w:szCs w:val="20"/>
                <w:lang w:val="en-US" w:eastAsia="zh-CN" w:bidi="ar"/>
              </w:rPr>
              <w:t>≥</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6C43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lang w:val="en-US"/>
              </w:rPr>
            </w:pPr>
            <w:r>
              <w:rPr>
                <w:rFonts w:hint="eastAsia" w:ascii="仿宋_GB2312" w:hAnsi="仿宋_GB2312" w:eastAsia="仿宋_GB2312" w:cs="仿宋_GB2312"/>
                <w:i w:val="0"/>
                <w:iCs w:val="0"/>
                <w:color w:val="000000"/>
                <w:kern w:val="0"/>
                <w:sz w:val="20"/>
                <w:szCs w:val="20"/>
                <w:u w:val="none"/>
                <w:lang w:val="en-US" w:eastAsia="zh-CN" w:bidi="ar"/>
              </w:rPr>
              <w:t>90</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5C88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65CD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lang w:val="en-US"/>
              </w:rPr>
            </w:pPr>
            <w:r>
              <w:rPr>
                <w:rFonts w:hint="eastAsia" w:ascii="仿宋_GB2312" w:hAnsi="仿宋_GB2312" w:eastAsia="仿宋_GB2312" w:cs="仿宋_GB2312"/>
                <w:i w:val="0"/>
                <w:iCs w:val="0"/>
                <w:color w:val="000000"/>
                <w:kern w:val="0"/>
                <w:sz w:val="20"/>
                <w:szCs w:val="20"/>
                <w:u w:val="none"/>
                <w:lang w:val="en-US" w:eastAsia="zh-CN" w:bidi="ar"/>
              </w:rPr>
              <w:t>90</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C6C4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5</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7CC3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5</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ED3B9">
            <w:pPr>
              <w:jc w:val="center"/>
              <w:rPr>
                <w:rFonts w:hint="eastAsia" w:ascii="仿宋_GB2312" w:hAnsi="仿宋_GB2312" w:eastAsia="仿宋_GB2312" w:cs="仿宋_GB2312"/>
                <w:i w:val="0"/>
                <w:iCs w:val="0"/>
                <w:color w:val="000000"/>
                <w:sz w:val="20"/>
                <w:szCs w:val="20"/>
                <w:u w:val="none"/>
              </w:rPr>
            </w:pPr>
          </w:p>
        </w:tc>
      </w:tr>
      <w:tr w14:paraId="0CE05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B42754">
            <w:pPr>
              <w:jc w:val="center"/>
              <w:rPr>
                <w:rFonts w:hint="eastAsia" w:ascii="仿宋_GB2312" w:hAnsi="仿宋_GB2312" w:eastAsia="仿宋_GB2312" w:cs="仿宋_GB2312"/>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36E6D">
            <w:pPr>
              <w:jc w:val="center"/>
              <w:rPr>
                <w:rFonts w:hint="eastAsia" w:ascii="仿宋_GB2312" w:hAnsi="仿宋_GB2312" w:eastAsia="仿宋_GB2312" w:cs="仿宋_GB2312"/>
                <w:i w:val="0"/>
                <w:iCs w:val="0"/>
                <w:color w:val="000000"/>
                <w:sz w:val="20"/>
                <w:szCs w:val="20"/>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27902">
            <w:pPr>
              <w:jc w:val="center"/>
              <w:rPr>
                <w:rFonts w:hint="eastAsia" w:ascii="仿宋_GB2312" w:hAnsi="仿宋_GB2312" w:eastAsia="仿宋_GB2312" w:cs="仿宋_GB2312"/>
                <w:i w:val="0"/>
                <w:iCs w:val="0"/>
                <w:color w:val="000000"/>
                <w:sz w:val="20"/>
                <w:szCs w:val="20"/>
                <w:u w:val="none"/>
              </w:rPr>
            </w:pP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C542B">
            <w:pPr>
              <w:jc w:val="center"/>
              <w:rPr>
                <w:rFonts w:hint="eastAsia" w:ascii="仿宋_GB2312" w:hAnsi="仿宋_GB2312" w:eastAsia="仿宋_GB2312" w:cs="仿宋_GB2312"/>
                <w:i w:val="0"/>
                <w:iCs w:val="0"/>
                <w:color w:val="000000"/>
                <w:sz w:val="20"/>
                <w:szCs w:val="20"/>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F95E0">
            <w:pPr>
              <w:jc w:val="center"/>
              <w:rPr>
                <w:rFonts w:hint="eastAsia" w:ascii="仿宋_GB2312" w:hAnsi="仿宋_GB2312" w:eastAsia="仿宋_GB2312" w:cs="仿宋_GB2312"/>
                <w:i w:val="0"/>
                <w:iCs w:val="0"/>
                <w:color w:val="000000"/>
                <w:sz w:val="20"/>
                <w:szCs w:val="20"/>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F8530">
            <w:pPr>
              <w:jc w:val="center"/>
              <w:rPr>
                <w:rFonts w:hint="eastAsia" w:ascii="仿宋_GB2312" w:hAnsi="仿宋_GB2312" w:eastAsia="仿宋_GB2312" w:cs="仿宋_GB2312"/>
                <w:i w:val="0"/>
                <w:iCs w:val="0"/>
                <w:color w:val="000000"/>
                <w:sz w:val="20"/>
                <w:szCs w:val="20"/>
                <w:u w:val="none"/>
              </w:rPr>
            </w:pP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60711">
            <w:pPr>
              <w:jc w:val="center"/>
              <w:rPr>
                <w:rFonts w:hint="eastAsia" w:ascii="仿宋_GB2312" w:hAnsi="仿宋_GB2312" w:eastAsia="仿宋_GB2312" w:cs="仿宋_GB2312"/>
                <w:i w:val="0"/>
                <w:iCs w:val="0"/>
                <w:color w:val="000000"/>
                <w:sz w:val="20"/>
                <w:szCs w:val="20"/>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BE7D1">
            <w:pPr>
              <w:jc w:val="center"/>
              <w:rPr>
                <w:rFonts w:hint="eastAsia" w:ascii="仿宋_GB2312" w:hAnsi="仿宋_GB2312" w:eastAsia="仿宋_GB2312" w:cs="仿宋_GB2312"/>
                <w:i/>
                <w:iCs/>
                <w:color w:val="000000"/>
                <w:sz w:val="20"/>
                <w:szCs w:val="20"/>
                <w:u w:val="none"/>
              </w:rPr>
            </w:pP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C1CC7">
            <w:pPr>
              <w:jc w:val="center"/>
              <w:rPr>
                <w:rFonts w:hint="eastAsia" w:ascii="仿宋_GB2312" w:hAnsi="仿宋_GB2312" w:eastAsia="仿宋_GB2312" w:cs="仿宋_GB2312"/>
                <w:i w:val="0"/>
                <w:iCs w:val="0"/>
                <w:color w:val="000000"/>
                <w:sz w:val="20"/>
                <w:szCs w:val="20"/>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AD77C">
            <w:pPr>
              <w:jc w:val="center"/>
              <w:rPr>
                <w:rFonts w:hint="eastAsia" w:ascii="仿宋_GB2312" w:hAnsi="仿宋_GB2312" w:eastAsia="仿宋_GB2312" w:cs="仿宋_GB2312"/>
                <w:i w:val="0"/>
                <w:iCs w:val="0"/>
                <w:color w:val="000000"/>
                <w:sz w:val="20"/>
                <w:szCs w:val="20"/>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EB0F4">
            <w:pPr>
              <w:jc w:val="center"/>
              <w:rPr>
                <w:rFonts w:hint="eastAsia" w:ascii="仿宋_GB2312" w:hAnsi="仿宋_GB2312" w:eastAsia="仿宋_GB2312" w:cs="仿宋_GB2312"/>
                <w:i/>
                <w:iCs/>
                <w:color w:val="000000"/>
                <w:sz w:val="20"/>
                <w:szCs w:val="20"/>
                <w:u w:val="none"/>
              </w:rPr>
            </w:pPr>
          </w:p>
        </w:tc>
      </w:tr>
      <w:tr w14:paraId="56BB63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834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9E171D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合计</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A1C4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1FED4">
            <w:pPr>
              <w:keepNext w:val="0"/>
              <w:keepLines w:val="0"/>
              <w:widowControl/>
              <w:suppressLineNumbers w:val="0"/>
              <w:jc w:val="righ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95C3F">
            <w:pPr>
              <w:rPr>
                <w:rFonts w:hint="eastAsia" w:ascii="仿宋_GB2312" w:hAnsi="仿宋_GB2312" w:eastAsia="仿宋_GB2312" w:cs="仿宋_GB2312"/>
                <w:i w:val="0"/>
                <w:iCs w:val="0"/>
                <w:color w:val="000000"/>
                <w:sz w:val="20"/>
                <w:szCs w:val="20"/>
                <w:u w:val="none"/>
              </w:rPr>
            </w:pPr>
          </w:p>
        </w:tc>
      </w:tr>
      <w:tr w14:paraId="46B5A4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B234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评价结论</w:t>
            </w:r>
          </w:p>
        </w:tc>
        <w:tc>
          <w:tcPr>
            <w:tcW w:w="1025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4729AC1">
            <w:pPr>
              <w:keepNext w:val="0"/>
              <w:keepLines w:val="0"/>
              <w:widowControl/>
              <w:suppressLineNumbers w:val="0"/>
              <w:jc w:val="left"/>
              <w:textAlignment w:val="center"/>
              <w:rPr>
                <w:rFonts w:hint="eastAsia" w:ascii="仿宋_GB2312" w:hAnsi="仿宋_GB2312" w:eastAsia="仿宋_GB2312" w:cs="仿宋_GB2312"/>
                <w:i/>
                <w:iCs/>
                <w:color w:val="000000"/>
                <w:sz w:val="20"/>
                <w:szCs w:val="20"/>
                <w:u w:val="none"/>
              </w:rPr>
            </w:pPr>
            <w:r>
              <w:rPr>
                <w:rFonts w:hint="eastAsia" w:ascii="仿宋_GB2312" w:hAnsi="仿宋_GB2312" w:eastAsia="仿宋_GB2312" w:cs="仿宋_GB2312"/>
                <w:i/>
                <w:iCs/>
                <w:color w:val="000000"/>
                <w:kern w:val="0"/>
                <w:sz w:val="20"/>
                <w:szCs w:val="20"/>
                <w:u w:val="none"/>
                <w:lang w:val="en-US" w:eastAsia="zh-CN" w:bidi="ar"/>
              </w:rPr>
              <w:t>切实缓解广大农牧民群众“因病致贫”、“因病返贫”问题的重要途径，就医经济负担有所减轻，农民得到了实实在在的好处，全面提升了广大农民的健康水平缩小城乡之间的差距</w:t>
            </w:r>
          </w:p>
        </w:tc>
      </w:tr>
      <w:tr w14:paraId="5CE03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89D8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存在问题</w:t>
            </w:r>
          </w:p>
        </w:tc>
        <w:tc>
          <w:tcPr>
            <w:tcW w:w="1025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BFA7494">
            <w:pPr>
              <w:rPr>
                <w:rFonts w:hint="eastAsia" w:ascii="仿宋_GB2312" w:hAnsi="仿宋_GB2312" w:eastAsia="仿宋_GB2312" w:cs="仿宋_GB2312"/>
                <w:i/>
                <w:iCs/>
                <w:color w:val="000000"/>
                <w:sz w:val="20"/>
                <w:szCs w:val="20"/>
                <w:u w:val="none"/>
              </w:rPr>
            </w:pPr>
          </w:p>
        </w:tc>
      </w:tr>
      <w:tr w14:paraId="406464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8E0A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改进措施</w:t>
            </w:r>
          </w:p>
        </w:tc>
        <w:tc>
          <w:tcPr>
            <w:tcW w:w="1025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46C54B2">
            <w:pPr>
              <w:rPr>
                <w:rFonts w:hint="eastAsia" w:ascii="仿宋_GB2312" w:hAnsi="仿宋_GB2312" w:eastAsia="仿宋_GB2312" w:cs="仿宋_GB2312"/>
                <w:i/>
                <w:iCs/>
                <w:color w:val="000000"/>
                <w:sz w:val="20"/>
                <w:szCs w:val="20"/>
                <w:u w:val="none"/>
              </w:rPr>
            </w:pPr>
          </w:p>
        </w:tc>
      </w:tr>
      <w:tr w14:paraId="4B26D0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60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268C056">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项目负责人：田兴山</w:t>
            </w:r>
          </w:p>
        </w:tc>
        <w:tc>
          <w:tcPr>
            <w:tcW w:w="533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67546D9">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财务负责人：苏忠琼</w:t>
            </w:r>
          </w:p>
        </w:tc>
      </w:tr>
      <w:tr w14:paraId="5DC11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14:paraId="77A3E82B">
            <w:pPr>
              <w:rPr>
                <w:rFonts w:hint="eastAsia" w:ascii="仿宋_GB2312" w:hAnsi="仿宋_GB2312" w:eastAsia="仿宋_GB2312" w:cs="仿宋_GB2312"/>
                <w:i w:val="0"/>
                <w:iCs w:val="0"/>
                <w:color w:val="000000"/>
                <w:sz w:val="20"/>
                <w:szCs w:val="20"/>
                <w:u w:val="none"/>
              </w:rPr>
            </w:pPr>
          </w:p>
          <w:p w14:paraId="5CF62ABB">
            <w:pPr>
              <w:rPr>
                <w:rFonts w:hint="eastAsia" w:ascii="仿宋_GB2312" w:hAnsi="仿宋_GB2312" w:eastAsia="仿宋_GB2312" w:cs="仿宋_GB2312"/>
                <w:sz w:val="20"/>
                <w:szCs w:val="20"/>
              </w:rPr>
            </w:pPr>
          </w:p>
          <w:p w14:paraId="5DC7810D">
            <w:pPr>
              <w:pStyle w:val="15"/>
              <w:rPr>
                <w:rFonts w:hint="eastAsia" w:ascii="仿宋_GB2312" w:hAnsi="仿宋_GB2312" w:eastAsia="仿宋_GB2312" w:cs="仿宋_GB2312"/>
                <w:sz w:val="20"/>
                <w:szCs w:val="20"/>
              </w:rPr>
            </w:pPr>
          </w:p>
          <w:p w14:paraId="7E4C02A0">
            <w:pPr>
              <w:pStyle w:val="9"/>
              <w:rPr>
                <w:rFonts w:hint="eastAsia" w:ascii="仿宋_GB2312" w:hAnsi="仿宋_GB2312" w:eastAsia="仿宋_GB2312" w:cs="仿宋_GB2312"/>
                <w:sz w:val="20"/>
                <w:szCs w:val="20"/>
              </w:rPr>
            </w:pPr>
          </w:p>
        </w:tc>
        <w:tc>
          <w:tcPr>
            <w:tcW w:w="1350" w:type="dxa"/>
            <w:tcBorders>
              <w:top w:val="nil"/>
              <w:left w:val="nil"/>
              <w:bottom w:val="nil"/>
              <w:right w:val="nil"/>
            </w:tcBorders>
            <w:shd w:val="clear" w:color="auto" w:fill="auto"/>
            <w:vAlign w:val="center"/>
          </w:tcPr>
          <w:p w14:paraId="36DE1680">
            <w:pPr>
              <w:rPr>
                <w:rFonts w:hint="eastAsia" w:ascii="仿宋_GB2312" w:hAnsi="仿宋_GB2312" w:eastAsia="仿宋_GB2312" w:cs="仿宋_GB2312"/>
                <w:i w:val="0"/>
                <w:iCs w:val="0"/>
                <w:color w:val="000000"/>
                <w:sz w:val="20"/>
                <w:szCs w:val="20"/>
                <w:u w:val="none"/>
              </w:rPr>
            </w:pPr>
          </w:p>
        </w:tc>
        <w:tc>
          <w:tcPr>
            <w:tcW w:w="1320" w:type="dxa"/>
            <w:tcBorders>
              <w:top w:val="nil"/>
              <w:left w:val="nil"/>
              <w:bottom w:val="nil"/>
              <w:right w:val="nil"/>
            </w:tcBorders>
            <w:shd w:val="clear" w:color="auto" w:fill="auto"/>
            <w:vAlign w:val="center"/>
          </w:tcPr>
          <w:p w14:paraId="373BF9B2">
            <w:pPr>
              <w:rPr>
                <w:rFonts w:hint="eastAsia" w:ascii="仿宋_GB2312" w:hAnsi="仿宋_GB2312" w:eastAsia="仿宋_GB2312" w:cs="仿宋_GB2312"/>
                <w:i w:val="0"/>
                <w:iCs w:val="0"/>
                <w:color w:val="000000"/>
                <w:sz w:val="20"/>
                <w:szCs w:val="20"/>
                <w:u w:val="none"/>
              </w:rPr>
            </w:pPr>
          </w:p>
        </w:tc>
        <w:tc>
          <w:tcPr>
            <w:tcW w:w="1725" w:type="dxa"/>
            <w:tcBorders>
              <w:top w:val="nil"/>
              <w:left w:val="nil"/>
              <w:bottom w:val="nil"/>
              <w:right w:val="nil"/>
            </w:tcBorders>
            <w:shd w:val="clear" w:color="auto" w:fill="auto"/>
            <w:vAlign w:val="center"/>
          </w:tcPr>
          <w:p w14:paraId="310B5F3C">
            <w:pPr>
              <w:rPr>
                <w:rFonts w:hint="eastAsia" w:ascii="仿宋_GB2312" w:hAnsi="仿宋_GB2312" w:eastAsia="仿宋_GB2312" w:cs="仿宋_GB2312"/>
                <w:i w:val="0"/>
                <w:iCs w:val="0"/>
                <w:color w:val="000000"/>
                <w:sz w:val="20"/>
                <w:szCs w:val="20"/>
                <w:u w:val="none"/>
              </w:rPr>
            </w:pPr>
          </w:p>
        </w:tc>
        <w:tc>
          <w:tcPr>
            <w:tcW w:w="521" w:type="dxa"/>
            <w:tcBorders>
              <w:top w:val="nil"/>
              <w:left w:val="nil"/>
              <w:bottom w:val="nil"/>
              <w:right w:val="nil"/>
            </w:tcBorders>
            <w:shd w:val="clear" w:color="auto" w:fill="auto"/>
            <w:vAlign w:val="center"/>
          </w:tcPr>
          <w:p w14:paraId="693D8090">
            <w:pPr>
              <w:rPr>
                <w:rFonts w:hint="eastAsia" w:ascii="仿宋_GB2312" w:hAnsi="仿宋_GB2312" w:eastAsia="仿宋_GB2312" w:cs="仿宋_GB2312"/>
                <w:i w:val="0"/>
                <w:iCs w:val="0"/>
                <w:color w:val="000000"/>
                <w:sz w:val="20"/>
                <w:szCs w:val="20"/>
                <w:u w:val="none"/>
              </w:rPr>
            </w:pPr>
          </w:p>
        </w:tc>
        <w:tc>
          <w:tcPr>
            <w:tcW w:w="1185" w:type="dxa"/>
            <w:tcBorders>
              <w:top w:val="nil"/>
              <w:left w:val="nil"/>
              <w:bottom w:val="nil"/>
              <w:right w:val="nil"/>
            </w:tcBorders>
            <w:shd w:val="clear" w:color="auto" w:fill="auto"/>
            <w:vAlign w:val="center"/>
          </w:tcPr>
          <w:p w14:paraId="76E2AB84">
            <w:pPr>
              <w:rPr>
                <w:rFonts w:hint="eastAsia" w:ascii="仿宋_GB2312" w:hAnsi="仿宋_GB2312" w:eastAsia="仿宋_GB2312" w:cs="仿宋_GB2312"/>
                <w:i w:val="0"/>
                <w:iCs w:val="0"/>
                <w:color w:val="000000"/>
                <w:sz w:val="20"/>
                <w:szCs w:val="20"/>
                <w:u w:val="none"/>
              </w:rPr>
            </w:pPr>
          </w:p>
        </w:tc>
        <w:tc>
          <w:tcPr>
            <w:tcW w:w="465" w:type="dxa"/>
            <w:tcBorders>
              <w:top w:val="nil"/>
              <w:left w:val="nil"/>
              <w:bottom w:val="nil"/>
              <w:right w:val="nil"/>
            </w:tcBorders>
            <w:shd w:val="clear" w:color="auto" w:fill="auto"/>
            <w:vAlign w:val="center"/>
          </w:tcPr>
          <w:p w14:paraId="041E4789">
            <w:pPr>
              <w:rPr>
                <w:rFonts w:hint="eastAsia" w:ascii="仿宋_GB2312" w:hAnsi="仿宋_GB2312" w:eastAsia="仿宋_GB2312" w:cs="仿宋_GB2312"/>
                <w:i w:val="0"/>
                <w:iCs w:val="0"/>
                <w:color w:val="000000"/>
                <w:sz w:val="20"/>
                <w:szCs w:val="20"/>
                <w:u w:val="none"/>
              </w:rPr>
            </w:pPr>
          </w:p>
        </w:tc>
        <w:tc>
          <w:tcPr>
            <w:tcW w:w="1091" w:type="dxa"/>
            <w:tcBorders>
              <w:top w:val="nil"/>
              <w:left w:val="nil"/>
              <w:bottom w:val="nil"/>
              <w:right w:val="nil"/>
            </w:tcBorders>
            <w:shd w:val="clear" w:color="auto" w:fill="auto"/>
            <w:vAlign w:val="center"/>
          </w:tcPr>
          <w:p w14:paraId="4A578EE6">
            <w:pPr>
              <w:rPr>
                <w:rFonts w:hint="eastAsia" w:ascii="仿宋_GB2312" w:hAnsi="仿宋_GB2312" w:eastAsia="仿宋_GB2312" w:cs="仿宋_GB2312"/>
                <w:i w:val="0"/>
                <w:iCs w:val="0"/>
                <w:color w:val="000000"/>
                <w:sz w:val="20"/>
                <w:szCs w:val="20"/>
                <w:u w:val="none"/>
              </w:rPr>
            </w:pPr>
          </w:p>
        </w:tc>
        <w:tc>
          <w:tcPr>
            <w:tcW w:w="630" w:type="dxa"/>
            <w:tcBorders>
              <w:top w:val="nil"/>
              <w:left w:val="nil"/>
              <w:bottom w:val="nil"/>
              <w:right w:val="nil"/>
            </w:tcBorders>
            <w:shd w:val="clear" w:color="auto" w:fill="auto"/>
            <w:vAlign w:val="center"/>
          </w:tcPr>
          <w:p w14:paraId="6B2C0624">
            <w:pPr>
              <w:rPr>
                <w:rFonts w:hint="eastAsia" w:ascii="仿宋_GB2312" w:hAnsi="仿宋_GB2312" w:eastAsia="仿宋_GB2312" w:cs="仿宋_GB2312"/>
                <w:i w:val="0"/>
                <w:iCs w:val="0"/>
                <w:color w:val="000000"/>
                <w:sz w:val="20"/>
                <w:szCs w:val="20"/>
                <w:u w:val="none"/>
              </w:rPr>
            </w:pPr>
          </w:p>
        </w:tc>
        <w:tc>
          <w:tcPr>
            <w:tcW w:w="660" w:type="dxa"/>
            <w:tcBorders>
              <w:top w:val="nil"/>
              <w:left w:val="nil"/>
              <w:bottom w:val="nil"/>
              <w:right w:val="nil"/>
            </w:tcBorders>
            <w:shd w:val="clear" w:color="auto" w:fill="auto"/>
            <w:vAlign w:val="center"/>
          </w:tcPr>
          <w:p w14:paraId="69874520">
            <w:pPr>
              <w:rPr>
                <w:rFonts w:hint="eastAsia" w:ascii="仿宋_GB2312" w:hAnsi="仿宋_GB2312" w:eastAsia="仿宋_GB2312" w:cs="仿宋_GB2312"/>
                <w:i w:val="0"/>
                <w:iCs w:val="0"/>
                <w:color w:val="000000"/>
                <w:sz w:val="20"/>
                <w:szCs w:val="20"/>
                <w:u w:val="none"/>
              </w:rPr>
            </w:pPr>
          </w:p>
        </w:tc>
        <w:tc>
          <w:tcPr>
            <w:tcW w:w="1305" w:type="dxa"/>
            <w:tcBorders>
              <w:top w:val="nil"/>
              <w:left w:val="nil"/>
              <w:bottom w:val="nil"/>
              <w:right w:val="nil"/>
            </w:tcBorders>
            <w:shd w:val="clear" w:color="auto" w:fill="auto"/>
            <w:vAlign w:val="center"/>
          </w:tcPr>
          <w:p w14:paraId="4121AC53">
            <w:pPr>
              <w:rPr>
                <w:rFonts w:hint="eastAsia" w:ascii="仿宋_GB2312" w:hAnsi="仿宋_GB2312" w:eastAsia="仿宋_GB2312" w:cs="仿宋_GB2312"/>
                <w:i w:val="0"/>
                <w:iCs w:val="0"/>
                <w:color w:val="000000"/>
                <w:sz w:val="20"/>
                <w:szCs w:val="20"/>
                <w:u w:val="none"/>
              </w:rPr>
            </w:pPr>
          </w:p>
        </w:tc>
      </w:tr>
      <w:tr w14:paraId="1DEBF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93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D7D8875">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0"/>
                <w:szCs w:val="20"/>
                <w:u w:val="none"/>
              </w:rPr>
            </w:pPr>
            <w:r>
              <w:rPr>
                <w:rFonts w:hint="eastAsia" w:ascii="仿宋_GB2312" w:hAnsi="仿宋_GB2312" w:eastAsia="仿宋_GB2312" w:cs="仿宋_GB2312"/>
                <w:b/>
                <w:bCs/>
                <w:i w:val="0"/>
                <w:iCs w:val="0"/>
                <w:color w:val="000000"/>
                <w:kern w:val="0"/>
                <w:sz w:val="20"/>
                <w:szCs w:val="20"/>
                <w:u w:val="none"/>
                <w:lang w:val="en-US" w:eastAsia="zh-CN" w:bidi="ar"/>
              </w:rPr>
              <w:t>部门预算项目支出绩效自评表（2025年度）</w:t>
            </w:r>
          </w:p>
        </w:tc>
      </w:tr>
      <w:tr w14:paraId="059391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0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262AA8">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项目名称</w:t>
            </w:r>
          </w:p>
        </w:tc>
        <w:tc>
          <w:tcPr>
            <w:tcW w:w="890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ACA7C7D">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基本公共卫生服务项目</w:t>
            </w:r>
          </w:p>
        </w:tc>
      </w:tr>
      <w:tr w14:paraId="740D5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9" w:hRule="atLeast"/>
        </w:trPr>
        <w:tc>
          <w:tcPr>
            <w:tcW w:w="20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ED64FA">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主管部门</w:t>
            </w:r>
          </w:p>
        </w:tc>
        <w:tc>
          <w:tcPr>
            <w:tcW w:w="521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7A72323">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茂县卫生健康局</w:t>
            </w:r>
          </w:p>
        </w:tc>
        <w:tc>
          <w:tcPr>
            <w:tcW w:w="1091" w:type="dxa"/>
            <w:tcBorders>
              <w:top w:val="nil"/>
              <w:left w:val="nil"/>
              <w:bottom w:val="nil"/>
              <w:right w:val="nil"/>
            </w:tcBorders>
            <w:shd w:val="clear" w:color="auto" w:fill="auto"/>
            <w:vAlign w:val="center"/>
          </w:tcPr>
          <w:p w14:paraId="50D3232F">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 xml:space="preserve">实施单位 </w:t>
            </w:r>
          </w:p>
        </w:tc>
        <w:tc>
          <w:tcPr>
            <w:tcW w:w="25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9CC44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茂县叠溪镇卫生院</w:t>
            </w:r>
          </w:p>
        </w:tc>
      </w:tr>
      <w:tr w14:paraId="3B074C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75199C">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项目基本情况</w:t>
            </w:r>
          </w:p>
        </w:tc>
        <w:tc>
          <w:tcPr>
            <w:tcW w:w="13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3FADC5">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1.项目年度目标完成情况</w:t>
            </w:r>
          </w:p>
        </w:tc>
        <w:tc>
          <w:tcPr>
            <w:tcW w:w="521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CB0E91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项目年度目标</w:t>
            </w:r>
          </w:p>
        </w:tc>
        <w:tc>
          <w:tcPr>
            <w:tcW w:w="368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E4B752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年度目标完成情况</w:t>
            </w:r>
          </w:p>
        </w:tc>
      </w:tr>
      <w:tr w14:paraId="1C52F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60AECA">
            <w:pPr>
              <w:rPr>
                <w:rFonts w:hint="eastAsia" w:ascii="仿宋_GB2312" w:hAnsi="仿宋_GB2312" w:eastAsia="仿宋_GB2312" w:cs="仿宋_GB2312"/>
                <w:i w:val="0"/>
                <w:iCs w:val="0"/>
                <w:color w:val="000000"/>
                <w:sz w:val="20"/>
                <w:szCs w:val="20"/>
                <w:u w:val="none"/>
              </w:rPr>
            </w:pPr>
          </w:p>
        </w:tc>
        <w:tc>
          <w:tcPr>
            <w:tcW w:w="13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156E31">
            <w:pPr>
              <w:rPr>
                <w:rFonts w:hint="eastAsia" w:ascii="仿宋_GB2312" w:hAnsi="仿宋_GB2312" w:eastAsia="仿宋_GB2312" w:cs="仿宋_GB2312"/>
                <w:i w:val="0"/>
                <w:iCs w:val="0"/>
                <w:color w:val="000000"/>
                <w:sz w:val="20"/>
                <w:szCs w:val="20"/>
                <w:u w:val="none"/>
              </w:rPr>
            </w:pPr>
          </w:p>
        </w:tc>
        <w:tc>
          <w:tcPr>
            <w:tcW w:w="521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5DAAC8D">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通过实施基本公共卫生服务项目，对影响居民健康的主要卫生问题实施干预，减少主要健康危险因素，有效预防和控制主要传染病及慢性病，使城乡居民逐步享有均等化的公共卫生服务。</w:t>
            </w:r>
          </w:p>
        </w:tc>
        <w:tc>
          <w:tcPr>
            <w:tcW w:w="368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9BF2E4B">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通过该项目实施，保障了部分慢性病（如高血压、糖尿病）、65岁以上老年人、0-6岁儿童、孕产妇、结核病、重性精神疾病患者等重点人群得到了规范化、系统化的管理和治疗，有效防控相关疾病，大幅度提高了广大人群平均期望寿命。</w:t>
            </w:r>
          </w:p>
        </w:tc>
      </w:tr>
      <w:tr w14:paraId="0EB7B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A61286">
            <w:pPr>
              <w:rPr>
                <w:rFonts w:hint="eastAsia" w:ascii="仿宋_GB2312" w:hAnsi="仿宋_GB2312" w:eastAsia="仿宋_GB2312" w:cs="仿宋_GB2312"/>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455DB">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2.项目实施内容及过程概述</w:t>
            </w:r>
          </w:p>
        </w:tc>
        <w:tc>
          <w:tcPr>
            <w:tcW w:w="890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DEAD36E">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通过项目实施，保障部分慢性病（如高血压、糖尿病）、65岁以上老年人、0-6岁儿童、孕产妇、结核病、重性精神疾病患者等重点人群能得到规范化、系统化的管理、治疗，有效防控了相关疾病，从而大幅度提高了广大人群平均期望寿命，继实施新农合政策后的又一项医疗卫生民生工程，它改变了病人的求医理念，从过去传统的被动就医到现在的主动就诊、求治.</w:t>
            </w:r>
          </w:p>
        </w:tc>
      </w:tr>
      <w:tr w14:paraId="3B0ECC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776D2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预算执行情况（10分）</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09C8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年度预算数（万元）</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8CE2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年初预算</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F13B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调整后预算数</w:t>
            </w:r>
          </w:p>
        </w:tc>
        <w:tc>
          <w:tcPr>
            <w:tcW w:w="217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B0D9E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7AA8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预算执行率</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0E87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权重</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CCDA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得分</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F039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原因</w:t>
            </w:r>
          </w:p>
        </w:tc>
      </w:tr>
      <w:tr w14:paraId="4643E2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372E8C">
            <w:pPr>
              <w:jc w:val="center"/>
              <w:rPr>
                <w:rFonts w:hint="eastAsia" w:ascii="仿宋_GB2312" w:hAnsi="仿宋_GB2312" w:eastAsia="仿宋_GB2312" w:cs="仿宋_GB2312"/>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4424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总额</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981D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lang w:val="en-US"/>
              </w:rPr>
            </w:pPr>
            <w:r>
              <w:rPr>
                <w:rFonts w:hint="eastAsia" w:ascii="仿宋_GB2312" w:hAnsi="仿宋_GB2312" w:eastAsia="仿宋_GB2312" w:cs="仿宋_GB2312"/>
                <w:i w:val="0"/>
                <w:iCs w:val="0"/>
                <w:color w:val="000000"/>
                <w:kern w:val="0"/>
                <w:sz w:val="20"/>
                <w:szCs w:val="20"/>
                <w:u w:val="none"/>
                <w:lang w:val="en-US" w:eastAsia="zh-CN" w:bidi="ar"/>
              </w:rPr>
              <w:t>4.42</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A659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lang w:val="en-US"/>
              </w:rPr>
            </w:pPr>
            <w:r>
              <w:rPr>
                <w:rFonts w:hint="eastAsia" w:ascii="仿宋_GB2312" w:hAnsi="仿宋_GB2312" w:eastAsia="仿宋_GB2312" w:cs="仿宋_GB2312"/>
                <w:i w:val="0"/>
                <w:iCs w:val="0"/>
                <w:color w:val="000000"/>
                <w:kern w:val="0"/>
                <w:sz w:val="20"/>
                <w:szCs w:val="20"/>
                <w:u w:val="none"/>
                <w:lang w:val="en-US" w:eastAsia="zh-CN" w:bidi="ar"/>
              </w:rPr>
              <w:t>0</w:t>
            </w:r>
          </w:p>
        </w:tc>
        <w:tc>
          <w:tcPr>
            <w:tcW w:w="217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9EE4D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4.42</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D81C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100.00%</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2649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E254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0B5CEE">
            <w:pPr>
              <w:rPr>
                <w:rFonts w:hint="eastAsia" w:ascii="仿宋_GB2312" w:hAnsi="仿宋_GB2312" w:eastAsia="仿宋_GB2312" w:cs="仿宋_GB2312"/>
                <w:i/>
                <w:iCs/>
                <w:color w:val="000000"/>
                <w:sz w:val="20"/>
                <w:szCs w:val="20"/>
                <w:u w:val="none"/>
              </w:rPr>
            </w:pPr>
          </w:p>
        </w:tc>
      </w:tr>
      <w:tr w14:paraId="6A983E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72A662">
            <w:pPr>
              <w:jc w:val="center"/>
              <w:rPr>
                <w:rFonts w:hint="eastAsia" w:ascii="仿宋_GB2312" w:hAnsi="仿宋_GB2312" w:eastAsia="仿宋_GB2312" w:cs="仿宋_GB2312"/>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1DD5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其中：财政资金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378B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lang w:val="en-US"/>
              </w:rPr>
            </w:pPr>
            <w:r>
              <w:rPr>
                <w:rFonts w:hint="eastAsia" w:ascii="仿宋_GB2312" w:hAnsi="仿宋_GB2312" w:eastAsia="仿宋_GB2312" w:cs="仿宋_GB2312"/>
                <w:i w:val="0"/>
                <w:iCs w:val="0"/>
                <w:color w:val="000000"/>
                <w:kern w:val="0"/>
                <w:sz w:val="20"/>
                <w:szCs w:val="20"/>
                <w:u w:val="none"/>
                <w:lang w:val="en-US" w:eastAsia="zh-CN" w:bidi="ar"/>
              </w:rPr>
              <w:t>4.42</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A9AD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lang w:val="en-US"/>
              </w:rPr>
            </w:pPr>
            <w:r>
              <w:rPr>
                <w:rFonts w:hint="eastAsia" w:ascii="仿宋_GB2312" w:hAnsi="仿宋_GB2312" w:eastAsia="仿宋_GB2312" w:cs="仿宋_GB2312"/>
                <w:i w:val="0"/>
                <w:iCs w:val="0"/>
                <w:color w:val="000000"/>
                <w:kern w:val="0"/>
                <w:sz w:val="20"/>
                <w:szCs w:val="20"/>
                <w:u w:val="none"/>
                <w:lang w:val="en-US" w:eastAsia="zh-CN" w:bidi="ar"/>
              </w:rPr>
              <w:t>0</w:t>
            </w:r>
          </w:p>
        </w:tc>
        <w:tc>
          <w:tcPr>
            <w:tcW w:w="217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4E22C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4.42</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433B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100.00%</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0796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18BC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A60293">
            <w:pPr>
              <w:rPr>
                <w:rFonts w:hint="eastAsia" w:ascii="仿宋_GB2312" w:hAnsi="仿宋_GB2312" w:eastAsia="仿宋_GB2312" w:cs="仿宋_GB2312"/>
                <w:i/>
                <w:iCs/>
                <w:color w:val="000000"/>
                <w:sz w:val="20"/>
                <w:szCs w:val="20"/>
                <w:u w:val="none"/>
              </w:rPr>
            </w:pPr>
          </w:p>
        </w:tc>
      </w:tr>
      <w:tr w14:paraId="650DF3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F41642">
            <w:pPr>
              <w:jc w:val="center"/>
              <w:rPr>
                <w:rFonts w:hint="eastAsia" w:ascii="仿宋_GB2312" w:hAnsi="仿宋_GB2312" w:eastAsia="仿宋_GB2312" w:cs="仿宋_GB2312"/>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D745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财政专户管理资金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917E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0.00</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28403">
            <w:pPr>
              <w:jc w:val="center"/>
              <w:rPr>
                <w:rFonts w:hint="eastAsia" w:ascii="仿宋_GB2312" w:hAnsi="仿宋_GB2312" w:eastAsia="仿宋_GB2312" w:cs="仿宋_GB2312"/>
                <w:i w:val="0"/>
                <w:iCs w:val="0"/>
                <w:color w:val="000000"/>
                <w:sz w:val="20"/>
                <w:szCs w:val="20"/>
                <w:u w:val="none"/>
              </w:rPr>
            </w:pPr>
          </w:p>
        </w:tc>
        <w:tc>
          <w:tcPr>
            <w:tcW w:w="217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48AB34">
            <w:pPr>
              <w:jc w:val="center"/>
              <w:rPr>
                <w:rFonts w:hint="eastAsia" w:ascii="仿宋_GB2312" w:hAnsi="仿宋_GB2312" w:eastAsia="仿宋_GB2312" w:cs="仿宋_GB2312"/>
                <w:i w:val="0"/>
                <w:iCs w:val="0"/>
                <w:color w:val="000000"/>
                <w:sz w:val="20"/>
                <w:szCs w:val="20"/>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3901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0.00%</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40E5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0F36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B95874">
            <w:pPr>
              <w:rPr>
                <w:rFonts w:hint="eastAsia" w:ascii="仿宋_GB2312" w:hAnsi="仿宋_GB2312" w:eastAsia="仿宋_GB2312" w:cs="仿宋_GB2312"/>
                <w:i/>
                <w:iCs/>
                <w:color w:val="000000"/>
                <w:sz w:val="20"/>
                <w:szCs w:val="20"/>
                <w:u w:val="none"/>
              </w:rPr>
            </w:pPr>
          </w:p>
        </w:tc>
      </w:tr>
      <w:tr w14:paraId="1155B8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0447A1">
            <w:pPr>
              <w:jc w:val="center"/>
              <w:rPr>
                <w:rFonts w:hint="eastAsia" w:ascii="仿宋_GB2312" w:hAnsi="仿宋_GB2312" w:eastAsia="仿宋_GB2312" w:cs="仿宋_GB2312"/>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20D7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单位资金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788F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0.00</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D1F6C">
            <w:pPr>
              <w:jc w:val="center"/>
              <w:rPr>
                <w:rFonts w:hint="eastAsia" w:ascii="仿宋_GB2312" w:hAnsi="仿宋_GB2312" w:eastAsia="仿宋_GB2312" w:cs="仿宋_GB2312"/>
                <w:i w:val="0"/>
                <w:iCs w:val="0"/>
                <w:color w:val="000000"/>
                <w:sz w:val="20"/>
                <w:szCs w:val="20"/>
                <w:u w:val="none"/>
              </w:rPr>
            </w:pPr>
          </w:p>
        </w:tc>
        <w:tc>
          <w:tcPr>
            <w:tcW w:w="217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5D2AEB">
            <w:pPr>
              <w:jc w:val="center"/>
              <w:rPr>
                <w:rFonts w:hint="eastAsia" w:ascii="仿宋_GB2312" w:hAnsi="仿宋_GB2312" w:eastAsia="仿宋_GB2312" w:cs="仿宋_GB2312"/>
                <w:i w:val="0"/>
                <w:iCs w:val="0"/>
                <w:color w:val="000000"/>
                <w:sz w:val="20"/>
                <w:szCs w:val="20"/>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7CD3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0.00%</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904D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998A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C5DE9B">
            <w:pPr>
              <w:rPr>
                <w:rFonts w:hint="eastAsia" w:ascii="仿宋_GB2312" w:hAnsi="仿宋_GB2312" w:eastAsia="仿宋_GB2312" w:cs="仿宋_GB2312"/>
                <w:i/>
                <w:iCs/>
                <w:color w:val="000000"/>
                <w:sz w:val="20"/>
                <w:szCs w:val="20"/>
                <w:u w:val="none"/>
              </w:rPr>
            </w:pPr>
          </w:p>
        </w:tc>
      </w:tr>
      <w:tr w14:paraId="7C47BE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97DC95">
            <w:pPr>
              <w:jc w:val="center"/>
              <w:rPr>
                <w:rFonts w:hint="eastAsia" w:ascii="仿宋_GB2312" w:hAnsi="仿宋_GB2312" w:eastAsia="仿宋_GB2312" w:cs="仿宋_GB2312"/>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D38D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其他资金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85045">
            <w:pPr>
              <w:jc w:val="center"/>
              <w:rPr>
                <w:rFonts w:hint="eastAsia" w:ascii="仿宋_GB2312" w:hAnsi="仿宋_GB2312" w:eastAsia="仿宋_GB2312" w:cs="仿宋_GB2312"/>
                <w:i/>
                <w:iCs/>
                <w:color w:val="000000"/>
                <w:sz w:val="20"/>
                <w:szCs w:val="20"/>
                <w:u w:val="none"/>
              </w:rPr>
            </w:pP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6BC67">
            <w:pPr>
              <w:jc w:val="center"/>
              <w:rPr>
                <w:rFonts w:hint="eastAsia" w:ascii="仿宋_GB2312" w:hAnsi="仿宋_GB2312" w:eastAsia="仿宋_GB2312" w:cs="仿宋_GB2312"/>
                <w:i/>
                <w:iCs/>
                <w:color w:val="000000"/>
                <w:sz w:val="20"/>
                <w:szCs w:val="20"/>
                <w:u w:val="none"/>
              </w:rPr>
            </w:pPr>
          </w:p>
        </w:tc>
        <w:tc>
          <w:tcPr>
            <w:tcW w:w="217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7D0211">
            <w:pPr>
              <w:jc w:val="center"/>
              <w:rPr>
                <w:rFonts w:hint="eastAsia" w:ascii="仿宋_GB2312" w:hAnsi="仿宋_GB2312" w:eastAsia="仿宋_GB2312" w:cs="仿宋_GB2312"/>
                <w:i/>
                <w:iCs/>
                <w:color w:val="000000"/>
                <w:sz w:val="20"/>
                <w:szCs w:val="20"/>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9AA49">
            <w:pPr>
              <w:jc w:val="center"/>
              <w:rPr>
                <w:rFonts w:hint="eastAsia" w:ascii="仿宋_GB2312" w:hAnsi="仿宋_GB2312" w:eastAsia="仿宋_GB2312" w:cs="仿宋_GB2312"/>
                <w:i/>
                <w:iCs/>
                <w:color w:val="000000"/>
                <w:sz w:val="20"/>
                <w:szCs w:val="20"/>
                <w:u w:val="none"/>
              </w:rPr>
            </w:pP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CDCD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E1A0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1E65D4">
            <w:pPr>
              <w:rPr>
                <w:rFonts w:hint="eastAsia" w:ascii="仿宋_GB2312" w:hAnsi="仿宋_GB2312" w:eastAsia="仿宋_GB2312" w:cs="仿宋_GB2312"/>
                <w:i/>
                <w:iCs/>
                <w:color w:val="000000"/>
                <w:sz w:val="20"/>
                <w:szCs w:val="20"/>
                <w:u w:val="none"/>
              </w:rPr>
            </w:pPr>
          </w:p>
        </w:tc>
      </w:tr>
      <w:tr w14:paraId="05D28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29D4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绩效指标（90分）</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793A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一级指标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68AE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二级指标</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4C0C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39FE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指标性质</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42F4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指标值</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4FFB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FED0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完成值</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EF84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权重</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63BD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得分</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A946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未完成原因分析</w:t>
            </w:r>
          </w:p>
        </w:tc>
      </w:tr>
      <w:tr w14:paraId="3924E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70AAA">
            <w:pPr>
              <w:jc w:val="center"/>
              <w:rPr>
                <w:rFonts w:hint="eastAsia" w:ascii="仿宋_GB2312" w:hAnsi="仿宋_GB2312" w:eastAsia="仿宋_GB2312" w:cs="仿宋_GB2312"/>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63A3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Style w:val="39"/>
                <w:rFonts w:hint="eastAsia" w:ascii="仿宋_GB2312" w:hAnsi="仿宋_GB2312" w:eastAsia="仿宋_GB2312" w:cs="仿宋_GB2312"/>
                <w:sz w:val="20"/>
                <w:szCs w:val="20"/>
                <w:lang w:val="en-US" w:eastAsia="zh-CN" w:bidi="ar"/>
              </w:rPr>
              <w:t>产出指标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5453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Style w:val="39"/>
                <w:rFonts w:hint="eastAsia" w:ascii="仿宋_GB2312" w:hAnsi="仿宋_GB2312" w:eastAsia="仿宋_GB2312" w:cs="仿宋_GB2312"/>
                <w:sz w:val="20"/>
                <w:szCs w:val="20"/>
                <w:lang w:val="en-US" w:eastAsia="zh-CN" w:bidi="ar"/>
              </w:rPr>
              <w:t>数量指标</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7F58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Style w:val="39"/>
                <w:rFonts w:hint="eastAsia" w:ascii="仿宋_GB2312" w:hAnsi="仿宋_GB2312" w:eastAsia="仿宋_GB2312" w:cs="仿宋_GB2312"/>
                <w:sz w:val="20"/>
                <w:szCs w:val="20"/>
                <w:lang w:val="en-US" w:eastAsia="zh-CN" w:bidi="ar"/>
              </w:rPr>
              <w:t>服务基本公共卫生服务人数</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AA58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BB7F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6,623.00</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C535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人</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E6FB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6,623.00</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E7CF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C012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870F9">
            <w:pPr>
              <w:jc w:val="center"/>
              <w:rPr>
                <w:rFonts w:hint="eastAsia" w:ascii="仿宋_GB2312" w:hAnsi="仿宋_GB2312" w:eastAsia="仿宋_GB2312" w:cs="仿宋_GB2312"/>
                <w:i w:val="0"/>
                <w:iCs w:val="0"/>
                <w:color w:val="000000"/>
                <w:sz w:val="20"/>
                <w:szCs w:val="20"/>
                <w:u w:val="none"/>
              </w:rPr>
            </w:pPr>
          </w:p>
        </w:tc>
      </w:tr>
      <w:tr w14:paraId="32B7FA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ABE8C">
            <w:pPr>
              <w:jc w:val="center"/>
              <w:rPr>
                <w:rFonts w:hint="eastAsia" w:ascii="仿宋_GB2312" w:hAnsi="仿宋_GB2312" w:eastAsia="仿宋_GB2312" w:cs="仿宋_GB2312"/>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F027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Style w:val="39"/>
                <w:rFonts w:hint="eastAsia" w:ascii="仿宋_GB2312" w:hAnsi="仿宋_GB2312" w:eastAsia="仿宋_GB2312" w:cs="仿宋_GB2312"/>
                <w:sz w:val="20"/>
                <w:szCs w:val="20"/>
                <w:lang w:val="en-US" w:eastAsia="zh-CN" w:bidi="ar"/>
              </w:rPr>
              <w:t>产出指标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3EB9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Style w:val="39"/>
                <w:rFonts w:hint="eastAsia" w:ascii="仿宋_GB2312" w:hAnsi="仿宋_GB2312" w:eastAsia="仿宋_GB2312" w:cs="仿宋_GB2312"/>
                <w:sz w:val="20"/>
                <w:szCs w:val="20"/>
                <w:lang w:val="en-US" w:eastAsia="zh-CN" w:bidi="ar"/>
              </w:rPr>
              <w:t>数量指标</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AD4F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Style w:val="39"/>
                <w:rFonts w:hint="eastAsia" w:ascii="仿宋_GB2312" w:hAnsi="仿宋_GB2312" w:eastAsia="仿宋_GB2312" w:cs="仿宋_GB2312"/>
                <w:sz w:val="20"/>
                <w:szCs w:val="20"/>
                <w:lang w:val="en-US" w:eastAsia="zh-CN" w:bidi="ar"/>
              </w:rPr>
              <w:t>居民健康档案建档人数</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72EC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EA5D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6,623.00</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ED6D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人</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1C73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6,623.00</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B8C3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A9AA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D6769">
            <w:pPr>
              <w:jc w:val="center"/>
              <w:rPr>
                <w:rFonts w:hint="eastAsia" w:ascii="仿宋_GB2312" w:hAnsi="仿宋_GB2312" w:eastAsia="仿宋_GB2312" w:cs="仿宋_GB2312"/>
                <w:i w:val="0"/>
                <w:iCs w:val="0"/>
                <w:color w:val="000000"/>
                <w:sz w:val="20"/>
                <w:szCs w:val="20"/>
                <w:u w:val="none"/>
              </w:rPr>
            </w:pPr>
          </w:p>
        </w:tc>
      </w:tr>
      <w:tr w14:paraId="17339C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8FF47">
            <w:pPr>
              <w:jc w:val="center"/>
              <w:rPr>
                <w:rFonts w:hint="eastAsia" w:ascii="仿宋_GB2312" w:hAnsi="仿宋_GB2312" w:eastAsia="仿宋_GB2312" w:cs="仿宋_GB2312"/>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13BA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Style w:val="39"/>
                <w:rFonts w:hint="eastAsia" w:ascii="仿宋_GB2312" w:hAnsi="仿宋_GB2312" w:eastAsia="仿宋_GB2312" w:cs="仿宋_GB2312"/>
                <w:sz w:val="20"/>
                <w:szCs w:val="20"/>
                <w:lang w:val="en-US" w:eastAsia="zh-CN" w:bidi="ar"/>
              </w:rPr>
              <w:t>产出指标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75E6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Style w:val="39"/>
                <w:rFonts w:hint="eastAsia" w:ascii="仿宋_GB2312" w:hAnsi="仿宋_GB2312" w:eastAsia="仿宋_GB2312" w:cs="仿宋_GB2312"/>
                <w:sz w:val="20"/>
                <w:szCs w:val="20"/>
                <w:lang w:val="en-US" w:eastAsia="zh-CN" w:bidi="ar"/>
              </w:rPr>
              <w:t>质量指标</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DB3B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Style w:val="39"/>
                <w:rFonts w:hint="eastAsia" w:ascii="仿宋_GB2312" w:hAnsi="仿宋_GB2312" w:eastAsia="仿宋_GB2312" w:cs="仿宋_GB2312"/>
                <w:sz w:val="20"/>
                <w:szCs w:val="20"/>
                <w:lang w:val="en-US" w:eastAsia="zh-CN" w:bidi="ar"/>
              </w:rPr>
              <w:t>2型糖尿病患者基层规范管理服务率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1A41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016D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60.00</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2667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64FC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60.00</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42C6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98A9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13332">
            <w:pPr>
              <w:jc w:val="center"/>
              <w:rPr>
                <w:rFonts w:hint="eastAsia" w:ascii="仿宋_GB2312" w:hAnsi="仿宋_GB2312" w:eastAsia="仿宋_GB2312" w:cs="仿宋_GB2312"/>
                <w:i w:val="0"/>
                <w:iCs w:val="0"/>
                <w:color w:val="000000"/>
                <w:sz w:val="20"/>
                <w:szCs w:val="20"/>
                <w:u w:val="none"/>
              </w:rPr>
            </w:pPr>
          </w:p>
        </w:tc>
      </w:tr>
      <w:tr w14:paraId="7ADB0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4C63C">
            <w:pPr>
              <w:jc w:val="center"/>
              <w:rPr>
                <w:rFonts w:hint="eastAsia" w:ascii="仿宋_GB2312" w:hAnsi="仿宋_GB2312" w:eastAsia="仿宋_GB2312" w:cs="仿宋_GB2312"/>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962E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Style w:val="39"/>
                <w:rFonts w:hint="eastAsia" w:ascii="仿宋_GB2312" w:hAnsi="仿宋_GB2312" w:eastAsia="仿宋_GB2312" w:cs="仿宋_GB2312"/>
                <w:sz w:val="20"/>
                <w:szCs w:val="20"/>
                <w:lang w:val="en-US" w:eastAsia="zh-CN" w:bidi="ar"/>
              </w:rPr>
              <w:t>产出指标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37AD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Style w:val="39"/>
                <w:rFonts w:hint="eastAsia" w:ascii="仿宋_GB2312" w:hAnsi="仿宋_GB2312" w:eastAsia="仿宋_GB2312" w:cs="仿宋_GB2312"/>
                <w:sz w:val="20"/>
                <w:szCs w:val="20"/>
                <w:lang w:val="en-US" w:eastAsia="zh-CN" w:bidi="ar"/>
              </w:rPr>
              <w:t>质量指标</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8A60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Style w:val="39"/>
                <w:rFonts w:hint="eastAsia" w:ascii="仿宋_GB2312" w:hAnsi="仿宋_GB2312" w:eastAsia="仿宋_GB2312" w:cs="仿宋_GB2312"/>
                <w:sz w:val="20"/>
                <w:szCs w:val="20"/>
                <w:lang w:val="en-US" w:eastAsia="zh-CN" w:bidi="ar"/>
              </w:rPr>
              <w:t>高血压患者基层规范管理服务率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105D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1C85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60.00</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5FB5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2898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60.00</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8BBC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1E2B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07118">
            <w:pPr>
              <w:jc w:val="center"/>
              <w:rPr>
                <w:rFonts w:hint="eastAsia" w:ascii="仿宋_GB2312" w:hAnsi="仿宋_GB2312" w:eastAsia="仿宋_GB2312" w:cs="仿宋_GB2312"/>
                <w:i w:val="0"/>
                <w:iCs w:val="0"/>
                <w:color w:val="000000"/>
                <w:sz w:val="20"/>
                <w:szCs w:val="20"/>
                <w:u w:val="none"/>
              </w:rPr>
            </w:pPr>
          </w:p>
        </w:tc>
      </w:tr>
      <w:tr w14:paraId="712DE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B3BE4">
            <w:pPr>
              <w:jc w:val="center"/>
              <w:rPr>
                <w:rFonts w:hint="eastAsia" w:ascii="仿宋_GB2312" w:hAnsi="仿宋_GB2312" w:eastAsia="仿宋_GB2312" w:cs="仿宋_GB2312"/>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5652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Style w:val="39"/>
                <w:rFonts w:hint="eastAsia" w:ascii="仿宋_GB2312" w:hAnsi="仿宋_GB2312" w:eastAsia="仿宋_GB2312" w:cs="仿宋_GB2312"/>
                <w:sz w:val="20"/>
                <w:szCs w:val="20"/>
                <w:lang w:val="en-US" w:eastAsia="zh-CN" w:bidi="ar"/>
              </w:rPr>
              <w:t>产出指标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1A7D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Style w:val="39"/>
                <w:rFonts w:hint="eastAsia" w:ascii="仿宋_GB2312" w:hAnsi="仿宋_GB2312" w:eastAsia="仿宋_GB2312" w:cs="仿宋_GB2312"/>
                <w:sz w:val="20"/>
                <w:szCs w:val="20"/>
                <w:lang w:val="en-US" w:eastAsia="zh-CN" w:bidi="ar"/>
              </w:rPr>
              <w:t>质量指标</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0CFA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Style w:val="39"/>
                <w:rFonts w:hint="eastAsia" w:ascii="仿宋_GB2312" w:hAnsi="仿宋_GB2312" w:eastAsia="仿宋_GB2312" w:cs="仿宋_GB2312"/>
                <w:sz w:val="20"/>
                <w:szCs w:val="20"/>
                <w:lang w:val="en-US" w:eastAsia="zh-CN" w:bidi="ar"/>
              </w:rPr>
              <w:t>居民规范化电子健康档案覆盖率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3F76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4490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70.00</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6E6F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F273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70.00</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12A6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F630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0E0F4">
            <w:pPr>
              <w:jc w:val="center"/>
              <w:rPr>
                <w:rFonts w:hint="eastAsia" w:ascii="仿宋_GB2312" w:hAnsi="仿宋_GB2312" w:eastAsia="仿宋_GB2312" w:cs="仿宋_GB2312"/>
                <w:i w:val="0"/>
                <w:iCs w:val="0"/>
                <w:color w:val="000000"/>
                <w:sz w:val="20"/>
                <w:szCs w:val="20"/>
                <w:u w:val="none"/>
              </w:rPr>
            </w:pPr>
          </w:p>
        </w:tc>
      </w:tr>
      <w:tr w14:paraId="7E6FE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4E5BF">
            <w:pPr>
              <w:jc w:val="center"/>
              <w:rPr>
                <w:rFonts w:hint="eastAsia" w:ascii="仿宋_GB2312" w:hAnsi="仿宋_GB2312" w:eastAsia="仿宋_GB2312" w:cs="仿宋_GB2312"/>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B96D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Style w:val="39"/>
                <w:rFonts w:hint="eastAsia" w:ascii="仿宋_GB2312" w:hAnsi="仿宋_GB2312" w:eastAsia="仿宋_GB2312" w:cs="仿宋_GB2312"/>
                <w:sz w:val="20"/>
                <w:szCs w:val="20"/>
                <w:lang w:val="en-US" w:eastAsia="zh-CN" w:bidi="ar"/>
              </w:rPr>
              <w:t>效益指标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BB00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Style w:val="39"/>
                <w:rFonts w:hint="eastAsia" w:ascii="仿宋_GB2312" w:hAnsi="仿宋_GB2312" w:eastAsia="仿宋_GB2312" w:cs="仿宋_GB2312"/>
                <w:sz w:val="20"/>
                <w:szCs w:val="20"/>
                <w:lang w:val="en-US" w:eastAsia="zh-CN" w:bidi="ar"/>
              </w:rPr>
              <w:t>社会效益指标</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3CF4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Style w:val="39"/>
                <w:rFonts w:hint="eastAsia" w:ascii="仿宋_GB2312" w:hAnsi="仿宋_GB2312" w:eastAsia="仿宋_GB2312" w:cs="仿宋_GB2312"/>
                <w:sz w:val="20"/>
                <w:szCs w:val="20"/>
                <w:lang w:val="en-US" w:eastAsia="zh-CN" w:bidi="ar"/>
              </w:rPr>
              <w:t>居民健康素养水平</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4E4E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定性</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CA2C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Style w:val="39"/>
                <w:rFonts w:hint="eastAsia" w:ascii="仿宋_GB2312" w:hAnsi="仿宋_GB2312" w:eastAsia="仿宋_GB2312" w:cs="仿宋_GB2312"/>
                <w:sz w:val="20"/>
                <w:szCs w:val="20"/>
                <w:lang w:val="en-US" w:eastAsia="zh-CN" w:bidi="ar"/>
              </w:rPr>
              <w:t>不断提高</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8B27D">
            <w:pPr>
              <w:jc w:val="center"/>
              <w:rPr>
                <w:rFonts w:hint="eastAsia" w:ascii="仿宋_GB2312" w:hAnsi="仿宋_GB2312" w:eastAsia="仿宋_GB2312" w:cs="仿宋_GB2312"/>
                <w:i w:val="0"/>
                <w:iCs w:val="0"/>
                <w:color w:val="000000"/>
                <w:sz w:val="20"/>
                <w:szCs w:val="20"/>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38CA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Style w:val="39"/>
                <w:rFonts w:hint="eastAsia" w:ascii="仿宋_GB2312" w:hAnsi="仿宋_GB2312" w:eastAsia="仿宋_GB2312" w:cs="仿宋_GB2312"/>
                <w:sz w:val="20"/>
                <w:szCs w:val="20"/>
                <w:lang w:val="en-US" w:eastAsia="zh-CN" w:bidi="ar"/>
              </w:rPr>
              <w:t>不断提高</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DDC8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8C01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20.00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83EFC">
            <w:pPr>
              <w:jc w:val="center"/>
              <w:rPr>
                <w:rFonts w:hint="eastAsia" w:ascii="仿宋_GB2312" w:hAnsi="仿宋_GB2312" w:eastAsia="仿宋_GB2312" w:cs="仿宋_GB2312"/>
                <w:i w:val="0"/>
                <w:iCs w:val="0"/>
                <w:color w:val="000000"/>
                <w:sz w:val="20"/>
                <w:szCs w:val="20"/>
                <w:u w:val="none"/>
              </w:rPr>
            </w:pPr>
          </w:p>
        </w:tc>
      </w:tr>
      <w:tr w14:paraId="0333DF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EC59B">
            <w:pPr>
              <w:jc w:val="center"/>
              <w:rPr>
                <w:rFonts w:hint="eastAsia" w:ascii="仿宋_GB2312" w:hAnsi="仿宋_GB2312" w:eastAsia="仿宋_GB2312" w:cs="仿宋_GB2312"/>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0EDB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Style w:val="39"/>
                <w:rFonts w:hint="eastAsia" w:ascii="仿宋_GB2312" w:hAnsi="仿宋_GB2312" w:eastAsia="仿宋_GB2312" w:cs="仿宋_GB2312"/>
                <w:sz w:val="20"/>
                <w:szCs w:val="20"/>
                <w:lang w:val="en-US" w:eastAsia="zh-CN" w:bidi="ar"/>
              </w:rPr>
              <w:t>满意度指标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1E34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Style w:val="39"/>
                <w:rFonts w:hint="eastAsia" w:ascii="仿宋_GB2312" w:hAnsi="仿宋_GB2312" w:eastAsia="仿宋_GB2312" w:cs="仿宋_GB2312"/>
                <w:sz w:val="20"/>
                <w:szCs w:val="20"/>
                <w:lang w:val="en-US" w:eastAsia="zh-CN" w:bidi="ar"/>
              </w:rPr>
              <w:t>服务对象满意度指标</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7EEE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Style w:val="39"/>
                <w:rFonts w:hint="eastAsia" w:ascii="仿宋_GB2312" w:hAnsi="仿宋_GB2312" w:eastAsia="仿宋_GB2312" w:cs="仿宋_GB2312"/>
                <w:sz w:val="20"/>
                <w:szCs w:val="20"/>
                <w:lang w:val="en-US" w:eastAsia="zh-CN" w:bidi="ar"/>
              </w:rPr>
              <w:t>服务对象满意度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4267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2F07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90.00</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6995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AC48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90.00</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C340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429D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A2085">
            <w:pPr>
              <w:jc w:val="center"/>
              <w:rPr>
                <w:rFonts w:hint="eastAsia" w:ascii="仿宋_GB2312" w:hAnsi="仿宋_GB2312" w:eastAsia="仿宋_GB2312" w:cs="仿宋_GB2312"/>
                <w:i w:val="0"/>
                <w:iCs w:val="0"/>
                <w:color w:val="000000"/>
                <w:sz w:val="20"/>
                <w:szCs w:val="20"/>
                <w:u w:val="none"/>
              </w:rPr>
            </w:pPr>
          </w:p>
        </w:tc>
      </w:tr>
      <w:tr w14:paraId="583F23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5EBAD">
            <w:pPr>
              <w:jc w:val="center"/>
              <w:rPr>
                <w:rFonts w:hint="eastAsia" w:ascii="仿宋_GB2312" w:hAnsi="仿宋_GB2312" w:eastAsia="仿宋_GB2312" w:cs="仿宋_GB2312"/>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8750E">
            <w:pPr>
              <w:jc w:val="center"/>
              <w:rPr>
                <w:rFonts w:hint="eastAsia" w:ascii="仿宋_GB2312" w:hAnsi="仿宋_GB2312" w:eastAsia="仿宋_GB2312" w:cs="仿宋_GB2312"/>
                <w:i w:val="0"/>
                <w:iCs w:val="0"/>
                <w:color w:val="000000"/>
                <w:sz w:val="20"/>
                <w:szCs w:val="20"/>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CA8C0">
            <w:pPr>
              <w:jc w:val="center"/>
              <w:rPr>
                <w:rFonts w:hint="eastAsia" w:ascii="仿宋_GB2312" w:hAnsi="仿宋_GB2312" w:eastAsia="仿宋_GB2312" w:cs="仿宋_GB2312"/>
                <w:i w:val="0"/>
                <w:iCs w:val="0"/>
                <w:color w:val="000000"/>
                <w:sz w:val="20"/>
                <w:szCs w:val="20"/>
                <w:u w:val="none"/>
              </w:rPr>
            </w:pP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2AF25">
            <w:pPr>
              <w:jc w:val="center"/>
              <w:rPr>
                <w:rFonts w:hint="eastAsia" w:ascii="仿宋_GB2312" w:hAnsi="仿宋_GB2312" w:eastAsia="仿宋_GB2312" w:cs="仿宋_GB2312"/>
                <w:i w:val="0"/>
                <w:iCs w:val="0"/>
                <w:color w:val="000000"/>
                <w:sz w:val="20"/>
                <w:szCs w:val="20"/>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1471B">
            <w:pPr>
              <w:jc w:val="center"/>
              <w:rPr>
                <w:rFonts w:hint="eastAsia" w:ascii="仿宋_GB2312" w:hAnsi="仿宋_GB2312" w:eastAsia="仿宋_GB2312" w:cs="仿宋_GB2312"/>
                <w:i w:val="0"/>
                <w:iCs w:val="0"/>
                <w:color w:val="000000"/>
                <w:sz w:val="20"/>
                <w:szCs w:val="20"/>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69930">
            <w:pPr>
              <w:jc w:val="center"/>
              <w:rPr>
                <w:rFonts w:hint="eastAsia" w:ascii="仿宋_GB2312" w:hAnsi="仿宋_GB2312" w:eastAsia="仿宋_GB2312" w:cs="仿宋_GB2312"/>
                <w:i w:val="0"/>
                <w:iCs w:val="0"/>
                <w:color w:val="000000"/>
                <w:sz w:val="20"/>
                <w:szCs w:val="20"/>
                <w:u w:val="none"/>
              </w:rPr>
            </w:pP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F522E">
            <w:pPr>
              <w:jc w:val="center"/>
              <w:rPr>
                <w:rFonts w:hint="eastAsia" w:ascii="仿宋_GB2312" w:hAnsi="仿宋_GB2312" w:eastAsia="仿宋_GB2312" w:cs="仿宋_GB2312"/>
                <w:i w:val="0"/>
                <w:iCs w:val="0"/>
                <w:color w:val="000000"/>
                <w:sz w:val="20"/>
                <w:szCs w:val="20"/>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33DC6">
            <w:pPr>
              <w:jc w:val="center"/>
              <w:rPr>
                <w:rFonts w:hint="eastAsia" w:ascii="仿宋_GB2312" w:hAnsi="仿宋_GB2312" w:eastAsia="仿宋_GB2312" w:cs="仿宋_GB2312"/>
                <w:i w:val="0"/>
                <w:iCs w:val="0"/>
                <w:color w:val="000000"/>
                <w:sz w:val="20"/>
                <w:szCs w:val="20"/>
                <w:u w:val="none"/>
              </w:rPr>
            </w:pP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4D1DF">
            <w:pPr>
              <w:jc w:val="center"/>
              <w:rPr>
                <w:rFonts w:hint="eastAsia" w:ascii="仿宋_GB2312" w:hAnsi="仿宋_GB2312" w:eastAsia="仿宋_GB2312" w:cs="仿宋_GB2312"/>
                <w:i w:val="0"/>
                <w:iCs w:val="0"/>
                <w:color w:val="000000"/>
                <w:sz w:val="20"/>
                <w:szCs w:val="20"/>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EBCE8">
            <w:pPr>
              <w:jc w:val="center"/>
              <w:rPr>
                <w:rFonts w:hint="eastAsia" w:ascii="仿宋_GB2312" w:hAnsi="仿宋_GB2312" w:eastAsia="仿宋_GB2312" w:cs="仿宋_GB2312"/>
                <w:i w:val="0"/>
                <w:iCs w:val="0"/>
                <w:color w:val="000000"/>
                <w:sz w:val="20"/>
                <w:szCs w:val="20"/>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B3B96">
            <w:pPr>
              <w:jc w:val="center"/>
              <w:rPr>
                <w:rFonts w:hint="eastAsia" w:ascii="仿宋_GB2312" w:hAnsi="仿宋_GB2312" w:eastAsia="仿宋_GB2312" w:cs="仿宋_GB2312"/>
                <w:i w:val="0"/>
                <w:iCs w:val="0"/>
                <w:color w:val="000000"/>
                <w:sz w:val="20"/>
                <w:szCs w:val="20"/>
                <w:u w:val="none"/>
              </w:rPr>
            </w:pPr>
          </w:p>
        </w:tc>
      </w:tr>
      <w:tr w14:paraId="7246AC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A73D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合计</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593EF">
            <w:pPr>
              <w:jc w:val="center"/>
              <w:rPr>
                <w:rFonts w:hint="eastAsia" w:ascii="仿宋_GB2312" w:hAnsi="仿宋_GB2312" w:eastAsia="仿宋_GB2312" w:cs="仿宋_GB2312"/>
                <w:i w:val="0"/>
                <w:iCs w:val="0"/>
                <w:color w:val="000000"/>
                <w:sz w:val="20"/>
                <w:szCs w:val="20"/>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1FD0B">
            <w:pPr>
              <w:jc w:val="center"/>
              <w:rPr>
                <w:rFonts w:hint="eastAsia" w:ascii="仿宋_GB2312" w:hAnsi="仿宋_GB2312" w:eastAsia="仿宋_GB2312" w:cs="仿宋_GB2312"/>
                <w:i w:val="0"/>
                <w:iCs w:val="0"/>
                <w:color w:val="000000"/>
                <w:sz w:val="20"/>
                <w:szCs w:val="20"/>
                <w:u w:val="none"/>
              </w:rPr>
            </w:pP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BED5F">
            <w:pPr>
              <w:jc w:val="center"/>
              <w:rPr>
                <w:rFonts w:hint="eastAsia" w:ascii="仿宋_GB2312" w:hAnsi="仿宋_GB2312" w:eastAsia="仿宋_GB2312" w:cs="仿宋_GB2312"/>
                <w:i w:val="0"/>
                <w:iCs w:val="0"/>
                <w:color w:val="000000"/>
                <w:sz w:val="20"/>
                <w:szCs w:val="20"/>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AB59C">
            <w:pPr>
              <w:jc w:val="center"/>
              <w:rPr>
                <w:rFonts w:hint="eastAsia" w:ascii="仿宋_GB2312" w:hAnsi="仿宋_GB2312" w:eastAsia="仿宋_GB2312" w:cs="仿宋_GB2312"/>
                <w:i w:val="0"/>
                <w:iCs w:val="0"/>
                <w:color w:val="000000"/>
                <w:sz w:val="20"/>
                <w:szCs w:val="20"/>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6AB3C">
            <w:pPr>
              <w:jc w:val="center"/>
              <w:rPr>
                <w:rFonts w:hint="eastAsia" w:ascii="仿宋_GB2312" w:hAnsi="仿宋_GB2312" w:eastAsia="仿宋_GB2312" w:cs="仿宋_GB2312"/>
                <w:i w:val="0"/>
                <w:iCs w:val="0"/>
                <w:color w:val="000000"/>
                <w:sz w:val="20"/>
                <w:szCs w:val="20"/>
                <w:u w:val="none"/>
              </w:rPr>
            </w:pP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4EE03">
            <w:pPr>
              <w:jc w:val="center"/>
              <w:rPr>
                <w:rFonts w:hint="eastAsia" w:ascii="仿宋_GB2312" w:hAnsi="仿宋_GB2312" w:eastAsia="仿宋_GB2312" w:cs="仿宋_GB2312"/>
                <w:i w:val="0"/>
                <w:iCs w:val="0"/>
                <w:color w:val="000000"/>
                <w:sz w:val="20"/>
                <w:szCs w:val="20"/>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07E90">
            <w:pPr>
              <w:jc w:val="center"/>
              <w:rPr>
                <w:rFonts w:hint="eastAsia" w:ascii="仿宋_GB2312" w:hAnsi="仿宋_GB2312" w:eastAsia="仿宋_GB2312" w:cs="仿宋_GB2312"/>
                <w:i w:val="0"/>
                <w:iCs w:val="0"/>
                <w:color w:val="000000"/>
                <w:sz w:val="20"/>
                <w:szCs w:val="20"/>
                <w:u w:val="none"/>
              </w:rPr>
            </w:pP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03F8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1890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003C7">
            <w:pPr>
              <w:jc w:val="center"/>
              <w:rPr>
                <w:rFonts w:hint="eastAsia" w:ascii="仿宋_GB2312" w:hAnsi="仿宋_GB2312" w:eastAsia="仿宋_GB2312" w:cs="仿宋_GB2312"/>
                <w:i w:val="0"/>
                <w:iCs w:val="0"/>
                <w:color w:val="000000"/>
                <w:sz w:val="20"/>
                <w:szCs w:val="20"/>
                <w:u w:val="none"/>
              </w:rPr>
            </w:pPr>
          </w:p>
        </w:tc>
      </w:tr>
      <w:tr w14:paraId="64708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9D66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评价结论</w:t>
            </w:r>
          </w:p>
        </w:tc>
        <w:tc>
          <w:tcPr>
            <w:tcW w:w="1025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B286BD5">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通过实施基本公共卫生服务项目，对影响居民健康的主要卫生问题实施干预，减少主要健康危险因素，有效预防和控制主要传染病及慢性病，使城乡居民逐步享有均等化的公共卫生服务。</w:t>
            </w:r>
          </w:p>
        </w:tc>
      </w:tr>
      <w:tr w14:paraId="6D618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52E0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存在问题</w:t>
            </w:r>
          </w:p>
        </w:tc>
        <w:tc>
          <w:tcPr>
            <w:tcW w:w="1025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2E2056A">
            <w:pPr>
              <w:rPr>
                <w:rFonts w:hint="eastAsia" w:ascii="仿宋_GB2312" w:hAnsi="仿宋_GB2312" w:eastAsia="仿宋_GB2312" w:cs="仿宋_GB2312"/>
                <w:i/>
                <w:iCs/>
                <w:color w:val="000000"/>
                <w:sz w:val="20"/>
                <w:szCs w:val="20"/>
                <w:u w:val="none"/>
              </w:rPr>
            </w:pPr>
          </w:p>
        </w:tc>
      </w:tr>
      <w:tr w14:paraId="30FA2D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ED3C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改进措施</w:t>
            </w:r>
          </w:p>
        </w:tc>
        <w:tc>
          <w:tcPr>
            <w:tcW w:w="1025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ACFB26D">
            <w:pPr>
              <w:rPr>
                <w:rFonts w:hint="eastAsia" w:ascii="仿宋_GB2312" w:hAnsi="仿宋_GB2312" w:eastAsia="仿宋_GB2312" w:cs="仿宋_GB2312"/>
                <w:i/>
                <w:iCs/>
                <w:color w:val="000000"/>
                <w:sz w:val="20"/>
                <w:szCs w:val="20"/>
                <w:u w:val="none"/>
              </w:rPr>
            </w:pPr>
          </w:p>
        </w:tc>
      </w:tr>
      <w:tr w14:paraId="373916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60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C16C48C">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项目负责人：田兴山</w:t>
            </w:r>
          </w:p>
        </w:tc>
        <w:tc>
          <w:tcPr>
            <w:tcW w:w="533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0F21CCD">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财务负责人：苏忠琼</w:t>
            </w:r>
          </w:p>
        </w:tc>
      </w:tr>
    </w:tbl>
    <w:p w14:paraId="052C0C50">
      <w:pPr>
        <w:pStyle w:val="7"/>
        <w:spacing w:before="93"/>
        <w:rPr>
          <w:rFonts w:hAnsi="Calibri" w:cs="仿宋"/>
          <w:sz w:val="32"/>
          <w:szCs w:val="32"/>
        </w:rPr>
      </w:pPr>
    </w:p>
    <w:p w14:paraId="7A506C53">
      <w:pPr>
        <w:pStyle w:val="7"/>
        <w:spacing w:before="93"/>
        <w:rPr>
          <w:rFonts w:hAnsi="Calibri" w:cs="仿宋"/>
          <w:sz w:val="32"/>
          <w:szCs w:val="32"/>
        </w:rPr>
      </w:pPr>
    </w:p>
    <w:p w14:paraId="570C5B2E">
      <w:pPr>
        <w:pStyle w:val="7"/>
        <w:spacing w:before="93"/>
        <w:rPr>
          <w:rFonts w:hAnsi="Calibri" w:cs="仿宋"/>
          <w:sz w:val="32"/>
          <w:szCs w:val="32"/>
        </w:rPr>
      </w:pPr>
    </w:p>
    <w:p w14:paraId="6193DA53">
      <w:pPr>
        <w:pStyle w:val="7"/>
        <w:spacing w:before="93"/>
        <w:rPr>
          <w:rFonts w:hAnsi="Calibri" w:cs="仿宋"/>
          <w:sz w:val="32"/>
          <w:szCs w:val="32"/>
        </w:rPr>
      </w:pPr>
    </w:p>
    <w:p w14:paraId="137C6252">
      <w:pPr>
        <w:pStyle w:val="7"/>
        <w:spacing w:before="93"/>
        <w:rPr>
          <w:rFonts w:hAnsi="Calibri" w:cs="仿宋"/>
          <w:sz w:val="32"/>
          <w:szCs w:val="32"/>
        </w:rPr>
      </w:pPr>
    </w:p>
    <w:p w14:paraId="77A5DF03">
      <w:pPr>
        <w:pStyle w:val="7"/>
        <w:spacing w:before="93"/>
        <w:rPr>
          <w:rFonts w:hAnsi="Calibri" w:cs="仿宋"/>
          <w:sz w:val="32"/>
          <w:szCs w:val="32"/>
        </w:rPr>
      </w:pPr>
    </w:p>
    <w:p w14:paraId="37BE391C">
      <w:pPr>
        <w:spacing w:line="600" w:lineRule="exact"/>
        <w:jc w:val="center"/>
        <w:outlineLvl w:val="0"/>
        <w:rPr>
          <w:rFonts w:hint="eastAsia" w:ascii="方正小标宋简体" w:hAnsi="方正小标宋简体" w:eastAsia="方正小标宋简体" w:cs="方正小标宋简体"/>
          <w:b w:val="0"/>
          <w:i w:val="0"/>
          <w:sz w:val="44"/>
          <w:szCs w:val="44"/>
        </w:rPr>
      </w:pPr>
      <w:bookmarkStart w:id="77" w:name="_Toc28210"/>
      <w:r>
        <w:rPr>
          <w:rFonts w:hint="eastAsia" w:ascii="方正小标宋简体" w:hAnsi="方正小标宋简体" w:eastAsia="方正小标宋简体" w:cs="方正小标宋简体"/>
          <w:sz w:val="44"/>
          <w:szCs w:val="44"/>
        </w:rPr>
        <w:t>第</w:t>
      </w:r>
      <w:r>
        <w:rPr>
          <w:rStyle w:val="30"/>
          <w:rFonts w:hint="eastAsia" w:ascii="方正小标宋简体" w:hAnsi="方正小标宋简体" w:eastAsia="方正小标宋简体" w:cs="方正小标宋简体"/>
          <w:b w:val="0"/>
          <w:sz w:val="44"/>
          <w:szCs w:val="44"/>
        </w:rPr>
        <w:t>五部分 附表</w:t>
      </w:r>
      <w:bookmarkEnd w:id="72"/>
      <w:bookmarkEnd w:id="76"/>
      <w:bookmarkEnd w:id="77"/>
      <w:bookmarkStart w:id="78" w:name="_Toc15396619"/>
    </w:p>
    <w:p w14:paraId="002FBF5E">
      <w:pPr>
        <w:pStyle w:val="4"/>
        <w:rPr>
          <w:rFonts w:ascii="仿宋" w:hAnsi="仿宋" w:eastAsia="仿宋"/>
        </w:rPr>
      </w:pPr>
      <w:bookmarkStart w:id="79" w:name="_Toc30912"/>
      <w:r>
        <w:rPr>
          <w:rFonts w:hint="eastAsia" w:ascii="仿宋" w:hAnsi="仿宋" w:eastAsia="仿宋_GB2312"/>
          <w:b w:val="0"/>
          <w:i w:val="0"/>
        </w:rPr>
        <w:t>一、收</w:t>
      </w:r>
      <w:r>
        <w:rPr>
          <w:rStyle w:val="31"/>
          <w:rFonts w:hint="eastAsia" w:ascii="仿宋" w:hAnsi="仿宋" w:eastAsia="仿宋_GB2312"/>
          <w:b w:val="0"/>
          <w:bCs w:val="0"/>
          <w:i w:val="0"/>
        </w:rPr>
        <w:t>入支出决算总表</w:t>
      </w:r>
      <w:bookmarkEnd w:id="78"/>
      <w:bookmarkEnd w:id="79"/>
    </w:p>
    <w:p w14:paraId="64A0B855">
      <w:pPr>
        <w:pStyle w:val="4"/>
        <w:rPr>
          <w:rFonts w:ascii="仿宋" w:hAnsi="仿宋" w:eastAsia="仿宋"/>
        </w:rPr>
      </w:pPr>
      <w:bookmarkStart w:id="80" w:name="_Toc14351"/>
      <w:bookmarkStart w:id="81" w:name="_Toc15396620"/>
      <w:r>
        <w:rPr>
          <w:rFonts w:hint="eastAsia" w:ascii="仿宋" w:hAnsi="仿宋" w:eastAsia="仿宋_GB2312"/>
          <w:b w:val="0"/>
          <w:i w:val="0"/>
        </w:rPr>
        <w:t>二、收</w:t>
      </w:r>
      <w:r>
        <w:rPr>
          <w:rStyle w:val="31"/>
          <w:rFonts w:hint="eastAsia" w:ascii="仿宋" w:hAnsi="仿宋" w:eastAsia="仿宋_GB2312"/>
          <w:b w:val="0"/>
          <w:bCs w:val="0"/>
          <w:i w:val="0"/>
        </w:rPr>
        <w:t>入决算表</w:t>
      </w:r>
      <w:bookmarkEnd w:id="80"/>
      <w:bookmarkEnd w:id="81"/>
    </w:p>
    <w:p w14:paraId="0256DDA2">
      <w:pPr>
        <w:pStyle w:val="4"/>
        <w:rPr>
          <w:rFonts w:ascii="仿宋" w:hAnsi="仿宋" w:eastAsia="仿宋"/>
        </w:rPr>
      </w:pPr>
      <w:bookmarkStart w:id="82" w:name="_Toc21034"/>
      <w:bookmarkStart w:id="83" w:name="_Toc15396621"/>
      <w:r>
        <w:rPr>
          <w:rStyle w:val="31"/>
          <w:rFonts w:hint="eastAsia" w:ascii="仿宋" w:hAnsi="仿宋" w:eastAsia="仿宋_GB2312"/>
          <w:b w:val="0"/>
          <w:bCs w:val="0"/>
          <w:i w:val="0"/>
        </w:rPr>
        <w:t>三、</w:t>
      </w:r>
      <w:r>
        <w:rPr>
          <w:rFonts w:hint="eastAsia" w:ascii="仿宋" w:hAnsi="仿宋" w:eastAsia="仿宋_GB2312"/>
          <w:b w:val="0"/>
          <w:i w:val="0"/>
        </w:rPr>
        <w:t>支</w:t>
      </w:r>
      <w:r>
        <w:rPr>
          <w:rStyle w:val="31"/>
          <w:rFonts w:hint="eastAsia" w:ascii="仿宋" w:hAnsi="仿宋" w:eastAsia="仿宋_GB2312"/>
          <w:b w:val="0"/>
          <w:bCs w:val="0"/>
          <w:i w:val="0"/>
        </w:rPr>
        <w:t>出决算表</w:t>
      </w:r>
      <w:bookmarkEnd w:id="82"/>
      <w:bookmarkEnd w:id="83"/>
    </w:p>
    <w:p w14:paraId="0A6B47D8">
      <w:pPr>
        <w:pStyle w:val="4"/>
        <w:rPr>
          <w:rFonts w:ascii="仿宋" w:hAnsi="仿宋" w:eastAsia="仿宋_GB2312"/>
          <w:b w:val="0"/>
          <w:i w:val="0"/>
        </w:rPr>
      </w:pPr>
      <w:bookmarkStart w:id="84" w:name="_Toc15396622"/>
      <w:bookmarkStart w:id="85" w:name="_Toc23796"/>
      <w:r>
        <w:rPr>
          <w:rStyle w:val="31"/>
          <w:rFonts w:hint="eastAsia" w:ascii="仿宋" w:hAnsi="仿宋" w:eastAsia="仿宋_GB2312"/>
          <w:b w:val="0"/>
          <w:bCs w:val="0"/>
          <w:i w:val="0"/>
        </w:rPr>
        <w:t>四、</w:t>
      </w:r>
      <w:r>
        <w:rPr>
          <w:rFonts w:hint="eastAsia" w:ascii="仿宋" w:hAnsi="仿宋" w:eastAsia="仿宋_GB2312"/>
          <w:b w:val="0"/>
          <w:i w:val="0"/>
        </w:rPr>
        <w:t>财</w:t>
      </w:r>
      <w:r>
        <w:rPr>
          <w:rStyle w:val="31"/>
          <w:rFonts w:hint="eastAsia" w:ascii="仿宋" w:hAnsi="仿宋" w:eastAsia="仿宋_GB2312"/>
          <w:b w:val="0"/>
          <w:bCs w:val="0"/>
          <w:i w:val="0"/>
        </w:rPr>
        <w:t>政拨款收入支出决算总表</w:t>
      </w:r>
      <w:bookmarkEnd w:id="84"/>
      <w:bookmarkEnd w:id="85"/>
    </w:p>
    <w:p w14:paraId="4C4F56C0">
      <w:pPr>
        <w:pStyle w:val="4"/>
        <w:rPr>
          <w:rStyle w:val="31"/>
          <w:rFonts w:ascii="仿宋" w:hAnsi="仿宋" w:eastAsia="仿宋_GB2312"/>
          <w:b w:val="0"/>
          <w:bCs w:val="0"/>
          <w:i w:val="0"/>
        </w:rPr>
      </w:pPr>
      <w:bookmarkStart w:id="86" w:name="_Toc19890"/>
      <w:bookmarkStart w:id="87" w:name="_Toc15396623"/>
      <w:r>
        <w:rPr>
          <w:rStyle w:val="31"/>
          <w:rFonts w:hint="eastAsia" w:ascii="仿宋" w:hAnsi="仿宋" w:eastAsia="仿宋_GB2312"/>
          <w:b w:val="0"/>
          <w:bCs w:val="0"/>
          <w:i w:val="0"/>
        </w:rPr>
        <w:t>五、</w:t>
      </w:r>
      <w:r>
        <w:rPr>
          <w:rFonts w:hint="eastAsia" w:ascii="仿宋" w:hAnsi="仿宋" w:eastAsia="仿宋_GB2312"/>
          <w:b w:val="0"/>
          <w:i w:val="0"/>
        </w:rPr>
        <w:t>财</w:t>
      </w:r>
      <w:r>
        <w:rPr>
          <w:rStyle w:val="31"/>
          <w:rFonts w:hint="eastAsia" w:ascii="仿宋" w:hAnsi="仿宋" w:eastAsia="仿宋_GB2312"/>
          <w:b w:val="0"/>
          <w:bCs w:val="0"/>
          <w:i w:val="0"/>
        </w:rPr>
        <w:t>政拨款支出决算明细表</w:t>
      </w:r>
      <w:bookmarkEnd w:id="86"/>
      <w:bookmarkEnd w:id="87"/>
      <w:bookmarkStart w:id="88" w:name="_Toc15396624"/>
    </w:p>
    <w:p w14:paraId="259D7AC8">
      <w:pPr>
        <w:pStyle w:val="4"/>
        <w:rPr>
          <w:rFonts w:ascii="仿宋" w:hAnsi="仿宋" w:eastAsia="仿宋"/>
        </w:rPr>
      </w:pPr>
      <w:bookmarkStart w:id="89" w:name="_Toc13016"/>
      <w:r>
        <w:rPr>
          <w:rStyle w:val="31"/>
          <w:rFonts w:hint="eastAsia" w:ascii="仿宋" w:hAnsi="仿宋" w:eastAsia="仿宋_GB2312"/>
          <w:b w:val="0"/>
          <w:bCs w:val="0"/>
          <w:i w:val="0"/>
        </w:rPr>
        <w:t>六、</w:t>
      </w:r>
      <w:r>
        <w:rPr>
          <w:rFonts w:hint="eastAsia" w:ascii="仿宋" w:hAnsi="仿宋" w:eastAsia="仿宋_GB2312"/>
          <w:b w:val="0"/>
          <w:i w:val="0"/>
        </w:rPr>
        <w:t>一</w:t>
      </w:r>
      <w:r>
        <w:rPr>
          <w:rStyle w:val="31"/>
          <w:rFonts w:hint="eastAsia" w:ascii="仿宋" w:hAnsi="仿宋" w:eastAsia="仿宋_GB2312"/>
          <w:b w:val="0"/>
          <w:bCs w:val="0"/>
          <w:i w:val="0"/>
        </w:rPr>
        <w:t>般公共预算财政拨款支出决算表</w:t>
      </w:r>
      <w:bookmarkEnd w:id="88"/>
      <w:bookmarkEnd w:id="89"/>
    </w:p>
    <w:p w14:paraId="09833F2B">
      <w:pPr>
        <w:pStyle w:val="4"/>
        <w:rPr>
          <w:rFonts w:ascii="仿宋" w:hAnsi="仿宋" w:eastAsia="仿宋"/>
        </w:rPr>
      </w:pPr>
      <w:bookmarkStart w:id="90" w:name="_Toc15396625"/>
      <w:bookmarkStart w:id="91" w:name="_Toc23862"/>
      <w:r>
        <w:rPr>
          <w:rStyle w:val="31"/>
          <w:rFonts w:hint="eastAsia" w:ascii="仿宋" w:hAnsi="仿宋" w:eastAsia="仿宋_GB2312"/>
          <w:b w:val="0"/>
          <w:bCs w:val="0"/>
          <w:i w:val="0"/>
        </w:rPr>
        <w:t>七、</w:t>
      </w:r>
      <w:r>
        <w:rPr>
          <w:rFonts w:hint="eastAsia" w:ascii="仿宋" w:hAnsi="仿宋" w:eastAsia="仿宋_GB2312"/>
          <w:b w:val="0"/>
          <w:i w:val="0"/>
        </w:rPr>
        <w:t>一</w:t>
      </w:r>
      <w:r>
        <w:rPr>
          <w:rStyle w:val="31"/>
          <w:rFonts w:hint="eastAsia" w:ascii="仿宋" w:hAnsi="仿宋" w:eastAsia="仿宋_GB2312"/>
          <w:b w:val="0"/>
          <w:bCs w:val="0"/>
          <w:i w:val="0"/>
        </w:rPr>
        <w:t>般公共预算财政拨款支出决算明细表</w:t>
      </w:r>
      <w:bookmarkEnd w:id="90"/>
      <w:bookmarkEnd w:id="91"/>
    </w:p>
    <w:p w14:paraId="51F36ACA">
      <w:pPr>
        <w:pStyle w:val="4"/>
        <w:rPr>
          <w:rFonts w:ascii="仿宋" w:hAnsi="仿宋" w:eastAsia="仿宋"/>
        </w:rPr>
      </w:pPr>
      <w:bookmarkStart w:id="92" w:name="_Toc15396626"/>
      <w:bookmarkStart w:id="93" w:name="_Toc4310"/>
      <w:r>
        <w:rPr>
          <w:rStyle w:val="31"/>
          <w:rFonts w:hint="eastAsia" w:ascii="仿宋" w:hAnsi="仿宋" w:eastAsia="仿宋_GB2312"/>
          <w:b w:val="0"/>
          <w:bCs w:val="0"/>
          <w:i w:val="0"/>
        </w:rPr>
        <w:t>八、</w:t>
      </w:r>
      <w:r>
        <w:rPr>
          <w:rFonts w:hint="eastAsia" w:ascii="仿宋" w:hAnsi="仿宋" w:eastAsia="仿宋_GB2312"/>
          <w:b w:val="0"/>
          <w:i w:val="0"/>
        </w:rPr>
        <w:t>一</w:t>
      </w:r>
      <w:r>
        <w:rPr>
          <w:rStyle w:val="31"/>
          <w:rFonts w:hint="eastAsia" w:ascii="仿宋" w:hAnsi="仿宋" w:eastAsia="仿宋_GB2312"/>
          <w:b w:val="0"/>
          <w:bCs w:val="0"/>
          <w:i w:val="0"/>
        </w:rPr>
        <w:t>般公共预算财政拨款基本支出决算表</w:t>
      </w:r>
      <w:bookmarkEnd w:id="92"/>
      <w:bookmarkEnd w:id="93"/>
    </w:p>
    <w:p w14:paraId="08A790E1">
      <w:pPr>
        <w:pStyle w:val="4"/>
        <w:rPr>
          <w:rFonts w:ascii="仿宋" w:hAnsi="仿宋" w:eastAsia="仿宋"/>
        </w:rPr>
      </w:pPr>
      <w:bookmarkStart w:id="94" w:name="_Toc15396627"/>
      <w:bookmarkStart w:id="95" w:name="_Toc23867"/>
      <w:r>
        <w:rPr>
          <w:rStyle w:val="31"/>
          <w:rFonts w:hint="eastAsia" w:ascii="仿宋" w:hAnsi="仿宋" w:eastAsia="仿宋_GB2312"/>
          <w:b w:val="0"/>
          <w:bCs w:val="0"/>
          <w:i w:val="0"/>
        </w:rPr>
        <w:t>九、</w:t>
      </w:r>
      <w:r>
        <w:rPr>
          <w:rFonts w:hint="eastAsia" w:ascii="仿宋" w:hAnsi="仿宋" w:eastAsia="仿宋_GB2312"/>
          <w:b w:val="0"/>
          <w:i w:val="0"/>
        </w:rPr>
        <w:t>一</w:t>
      </w:r>
      <w:r>
        <w:rPr>
          <w:rStyle w:val="31"/>
          <w:rFonts w:hint="eastAsia" w:ascii="仿宋" w:hAnsi="仿宋" w:eastAsia="仿宋_GB2312"/>
          <w:b w:val="0"/>
          <w:bCs w:val="0"/>
          <w:i w:val="0"/>
        </w:rPr>
        <w:t>般公共预算财政拨款项目支出决算表</w:t>
      </w:r>
      <w:bookmarkEnd w:id="94"/>
      <w:bookmarkEnd w:id="95"/>
    </w:p>
    <w:p w14:paraId="7AD8F4B5">
      <w:pPr>
        <w:pStyle w:val="4"/>
        <w:rPr>
          <w:rFonts w:ascii="仿宋" w:hAnsi="仿宋" w:eastAsia="仿宋"/>
        </w:rPr>
      </w:pPr>
      <w:bookmarkStart w:id="96" w:name="_Toc15396628"/>
      <w:bookmarkStart w:id="97" w:name="_Toc1006"/>
      <w:r>
        <w:rPr>
          <w:rStyle w:val="31"/>
          <w:rFonts w:hint="eastAsia" w:ascii="仿宋" w:hAnsi="仿宋" w:eastAsia="仿宋_GB2312"/>
          <w:b w:val="0"/>
          <w:bCs w:val="0"/>
          <w:i w:val="0"/>
        </w:rPr>
        <w:t>十、</w:t>
      </w:r>
      <w:bookmarkEnd w:id="96"/>
      <w:r>
        <w:rPr>
          <w:rFonts w:hint="eastAsia" w:ascii="仿宋" w:hAnsi="仿宋" w:eastAsia="仿宋_GB2312"/>
          <w:b w:val="0"/>
          <w:i w:val="0"/>
        </w:rPr>
        <w:t>政</w:t>
      </w:r>
      <w:r>
        <w:rPr>
          <w:rStyle w:val="31"/>
          <w:rFonts w:hint="eastAsia" w:ascii="仿宋" w:hAnsi="仿宋" w:eastAsia="仿宋_GB2312"/>
          <w:b w:val="0"/>
          <w:bCs w:val="0"/>
          <w:i w:val="0"/>
        </w:rPr>
        <w:t>府性基金预算财政拨款收入支出决算表</w:t>
      </w:r>
      <w:bookmarkEnd w:id="97"/>
    </w:p>
    <w:p w14:paraId="2AA7BD80">
      <w:pPr>
        <w:pStyle w:val="4"/>
        <w:rPr>
          <w:rFonts w:ascii="仿宋" w:hAnsi="仿宋" w:eastAsia="仿宋"/>
        </w:rPr>
      </w:pPr>
      <w:bookmarkStart w:id="98" w:name="_Toc15396629"/>
      <w:bookmarkStart w:id="99" w:name="_Toc26401"/>
      <w:r>
        <w:rPr>
          <w:rStyle w:val="31"/>
          <w:rFonts w:hint="eastAsia" w:ascii="仿宋" w:hAnsi="仿宋" w:eastAsia="仿宋_GB2312"/>
          <w:b w:val="0"/>
          <w:bCs w:val="0"/>
          <w:i w:val="0"/>
        </w:rPr>
        <w:t>十一、</w:t>
      </w:r>
      <w:bookmarkEnd w:id="98"/>
      <w:r>
        <w:rPr>
          <w:rFonts w:hint="eastAsia" w:ascii="仿宋" w:hAnsi="仿宋" w:eastAsia="仿宋_GB2312"/>
          <w:b w:val="0"/>
          <w:i w:val="0"/>
        </w:rPr>
        <w:t>国</w:t>
      </w:r>
      <w:r>
        <w:rPr>
          <w:rStyle w:val="31"/>
          <w:rFonts w:hint="eastAsia" w:ascii="仿宋" w:hAnsi="仿宋" w:eastAsia="仿宋_GB2312"/>
          <w:b w:val="0"/>
          <w:bCs w:val="0"/>
          <w:i w:val="0"/>
        </w:rPr>
        <w:t>有资本经营预算财政拨款收入支出决算表</w:t>
      </w:r>
      <w:bookmarkEnd w:id="99"/>
    </w:p>
    <w:p w14:paraId="4C730772">
      <w:pPr>
        <w:pStyle w:val="4"/>
        <w:rPr>
          <w:rFonts w:ascii="仿宋" w:hAnsi="仿宋" w:eastAsia="仿宋"/>
        </w:rPr>
      </w:pPr>
      <w:bookmarkStart w:id="100" w:name="_Toc15396630"/>
      <w:bookmarkStart w:id="101" w:name="_Toc1753"/>
      <w:r>
        <w:rPr>
          <w:rStyle w:val="31"/>
          <w:rFonts w:hint="eastAsia" w:ascii="仿宋" w:hAnsi="仿宋" w:eastAsia="仿宋_GB2312"/>
          <w:b w:val="0"/>
          <w:bCs w:val="0"/>
          <w:i w:val="0"/>
        </w:rPr>
        <w:t>十二、</w:t>
      </w:r>
      <w:bookmarkEnd w:id="100"/>
      <w:r>
        <w:rPr>
          <w:rStyle w:val="31"/>
          <w:rFonts w:hint="eastAsia" w:ascii="仿宋" w:hAnsi="仿宋" w:eastAsia="仿宋_GB2312"/>
          <w:b w:val="0"/>
          <w:bCs w:val="0"/>
          <w:i w:val="0"/>
        </w:rPr>
        <w:t>国有资本经营预算财政拨款支出决算表</w:t>
      </w:r>
      <w:bookmarkEnd w:id="101"/>
    </w:p>
    <w:p w14:paraId="1709C16F">
      <w:pPr>
        <w:pStyle w:val="4"/>
        <w:rPr>
          <w:rFonts w:eastAsia="仿宋"/>
        </w:rPr>
      </w:pPr>
      <w:bookmarkStart w:id="102" w:name="_Toc15396631"/>
      <w:bookmarkStart w:id="103" w:name="_Toc7722"/>
      <w:r>
        <w:rPr>
          <w:rStyle w:val="31"/>
          <w:rFonts w:hint="eastAsia" w:ascii="仿宋" w:hAnsi="仿宋" w:eastAsia="仿宋_GB2312"/>
          <w:b w:val="0"/>
          <w:bCs w:val="0"/>
          <w:i w:val="0"/>
        </w:rPr>
        <w:t>十三、</w:t>
      </w:r>
      <w:bookmarkEnd w:id="102"/>
      <w:r>
        <w:rPr>
          <w:rStyle w:val="31"/>
          <w:rFonts w:hint="eastAsia" w:ascii="仿宋" w:hAnsi="仿宋" w:eastAsia="仿宋_GB2312"/>
          <w:b w:val="0"/>
          <w:bCs w:val="0"/>
          <w:i w:val="0"/>
        </w:rPr>
        <w:t>财政拨款“三公”经费支出决算表</w:t>
      </w:r>
      <w:bookmarkEnd w:id="103"/>
    </w:p>
    <w:sectPr>
      <w:footerReference r:id="rId6" w:type="first"/>
      <w:footerReference r:id="rId5"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Helvetica">
    <w:altName w:val="Arial"/>
    <w:panose1 w:val="00000000000000000000"/>
    <w:charset w:val="00"/>
    <w:family w:val="auto"/>
    <w:pitch w:val="default"/>
    <w:sig w:usb0="00000000" w:usb1="00000000" w:usb2="00000000" w:usb3="00000000" w:csb0="00000000" w:csb1="00000000"/>
  </w:font>
  <w:font w:name="??">
    <w:altName w:val="仿宋_GB2312"/>
    <w:panose1 w:val="00000000000000000000"/>
    <w:charset w:val="00"/>
    <w:family w:val="roman"/>
    <w:pitch w:val="default"/>
    <w:sig w:usb0="00000000" w:usb1="00000000" w:usb2="00000000" w:usb3="00000000" w:csb0="0000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94781956"/>
    </w:sdtPr>
    <w:sdtContent>
      <w:p w14:paraId="65412E26">
        <w:pPr>
          <w:pStyle w:val="12"/>
          <w:jc w:val="center"/>
        </w:pPr>
      </w:p>
    </w:sdtContent>
  </w:sdt>
  <w:p w14:paraId="0D12A0D9">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7978DD">
    <w:pPr>
      <w:pStyle w:val="12"/>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67025"/>
                          </w:sdtPr>
                          <w:sdtContent>
                            <w:p w14:paraId="2302FCF0">
                              <w:pPr>
                                <w:pStyle w:val="12"/>
                                <w:jc w:val="center"/>
                              </w:pPr>
                              <w:r>
                                <w:fldChar w:fldCharType="begin"/>
                              </w:r>
                              <w:r>
                                <w:instrText xml:space="preserve">PAGE   \* MERGEFORMAT</w:instrText>
                              </w:r>
                              <w:r>
                                <w:fldChar w:fldCharType="separate"/>
                              </w:r>
                              <w:r>
                                <w:rPr>
                                  <w:lang w:val="zh-CN"/>
                                </w:rPr>
                                <w:t>15</w:t>
                              </w:r>
                              <w:r>
                                <w:fldChar w:fldCharType="end"/>
                              </w:r>
                            </w:p>
                          </w:sdtContent>
                        </w:sdt>
                        <w:p w14:paraId="374DB4BA"/>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sdt>
                    <w:sdtPr>
                      <w:id w:val="147467025"/>
                    </w:sdtPr>
                    <w:sdtContent>
                      <w:p w14:paraId="2302FCF0">
                        <w:pPr>
                          <w:pStyle w:val="12"/>
                          <w:jc w:val="center"/>
                        </w:pPr>
                        <w:r>
                          <w:fldChar w:fldCharType="begin"/>
                        </w:r>
                        <w:r>
                          <w:instrText xml:space="preserve">PAGE   \* MERGEFORMAT</w:instrText>
                        </w:r>
                        <w:r>
                          <w:fldChar w:fldCharType="separate"/>
                        </w:r>
                        <w:r>
                          <w:rPr>
                            <w:lang w:val="zh-CN"/>
                          </w:rPr>
                          <w:t>15</w:t>
                        </w:r>
                        <w:r>
                          <w:fldChar w:fldCharType="end"/>
                        </w:r>
                      </w:p>
                    </w:sdtContent>
                  </w:sdt>
                  <w:p w14:paraId="374DB4BA"/>
                </w:txbxContent>
              </v:textbox>
            </v:shape>
          </w:pict>
        </mc:Fallback>
      </mc:AlternateContent>
    </w:r>
  </w:p>
  <w:p w14:paraId="1843126F">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BDF6AE">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2A65A2">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172A65A2">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52BA4E">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75BB54"/>
    <w:multiLevelType w:val="singleLevel"/>
    <w:tmpl w:val="A775BB54"/>
    <w:lvl w:ilvl="0" w:tentative="0">
      <w:start w:val="1"/>
      <w:numFmt w:val="decimal"/>
      <w:suff w:val="space"/>
      <w:lvlText w:val="%1."/>
      <w:lvlJc w:val="left"/>
      <w:pPr>
        <w:ind w:left="0" w:firstLine="0"/>
      </w:pPr>
      <w:rPr>
        <w:rFonts w:hint="default"/>
      </w:rPr>
    </w:lvl>
  </w:abstractNum>
  <w:abstractNum w:abstractNumId="1">
    <w:nsid w:val="CF652CEC"/>
    <w:multiLevelType w:val="singleLevel"/>
    <w:tmpl w:val="CF652CEC"/>
    <w:lvl w:ilvl="0" w:tentative="0">
      <w:start w:val="9"/>
      <w:numFmt w:val="chineseCounting"/>
      <w:suff w:val="nothing"/>
      <w:lvlText w:val="%1、"/>
      <w:lvlJc w:val="left"/>
      <w:rPr>
        <w:rFonts w:hint="eastAsia"/>
      </w:rPr>
    </w:lvl>
  </w:abstractNum>
  <w:abstractNum w:abstractNumId="2">
    <w:nsid w:val="E2FA047D"/>
    <w:multiLevelType w:val="singleLevel"/>
    <w:tmpl w:val="E2FA047D"/>
    <w:lvl w:ilvl="0" w:tentative="0">
      <w:start w:val="3"/>
      <w:numFmt w:val="chineseCounting"/>
      <w:suff w:val="space"/>
      <w:lvlText w:val="第%1部分"/>
      <w:lvlJc w:val="left"/>
      <w:rPr>
        <w:rFonts w:hint="eastAsia" w:ascii="方正小标宋简体" w:hAnsi="方正小标宋简体" w:eastAsia="方正小标宋简体" w:cs="方正小标宋简体"/>
        <w:sz w:val="44"/>
        <w:szCs w:val="44"/>
      </w:rPr>
    </w:lvl>
  </w:abstractNum>
  <w:abstractNum w:abstractNumId="3">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UxY2U2NThhMDg2ZGRlYTQyNzdlM2UzMGY3ZjEwNTMifQ=="/>
  </w:docVars>
  <w:rsids>
    <w:rsidRoot w:val="00F1361C"/>
    <w:rsid w:val="0002117A"/>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A1DAD"/>
    <w:rsid w:val="001C0962"/>
    <w:rsid w:val="001D7531"/>
    <w:rsid w:val="001E737D"/>
    <w:rsid w:val="001F0592"/>
    <w:rsid w:val="001F7506"/>
    <w:rsid w:val="002006CD"/>
    <w:rsid w:val="00202B36"/>
    <w:rsid w:val="00204B7A"/>
    <w:rsid w:val="00204CDE"/>
    <w:rsid w:val="00206907"/>
    <w:rsid w:val="0021101A"/>
    <w:rsid w:val="00212B4A"/>
    <w:rsid w:val="00220536"/>
    <w:rsid w:val="00235629"/>
    <w:rsid w:val="00260C38"/>
    <w:rsid w:val="002616C0"/>
    <w:rsid w:val="00265372"/>
    <w:rsid w:val="002662AA"/>
    <w:rsid w:val="00280496"/>
    <w:rsid w:val="00294DC9"/>
    <w:rsid w:val="00295495"/>
    <w:rsid w:val="002A31DE"/>
    <w:rsid w:val="002B2613"/>
    <w:rsid w:val="002C5004"/>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25C50"/>
    <w:rsid w:val="0043177C"/>
    <w:rsid w:val="00434489"/>
    <w:rsid w:val="00437085"/>
    <w:rsid w:val="00443880"/>
    <w:rsid w:val="004464F4"/>
    <w:rsid w:val="0046049C"/>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533CF"/>
    <w:rsid w:val="005664BB"/>
    <w:rsid w:val="00566FFA"/>
    <w:rsid w:val="0057481D"/>
    <w:rsid w:val="0058486E"/>
    <w:rsid w:val="00585B33"/>
    <w:rsid w:val="0059014D"/>
    <w:rsid w:val="005B5C64"/>
    <w:rsid w:val="005B6E8A"/>
    <w:rsid w:val="005C5337"/>
    <w:rsid w:val="005C6BD0"/>
    <w:rsid w:val="005D1C8B"/>
    <w:rsid w:val="005D468D"/>
    <w:rsid w:val="005D5CED"/>
    <w:rsid w:val="005F10BC"/>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55FC5"/>
    <w:rsid w:val="0066343B"/>
    <w:rsid w:val="00664777"/>
    <w:rsid w:val="006748A4"/>
    <w:rsid w:val="00681A31"/>
    <w:rsid w:val="00683E73"/>
    <w:rsid w:val="006A3141"/>
    <w:rsid w:val="006A5E34"/>
    <w:rsid w:val="006B2422"/>
    <w:rsid w:val="006B2B9A"/>
    <w:rsid w:val="006C1937"/>
    <w:rsid w:val="006F020C"/>
    <w:rsid w:val="0071021A"/>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18FF"/>
    <w:rsid w:val="007E23B0"/>
    <w:rsid w:val="007E23E5"/>
    <w:rsid w:val="007F1991"/>
    <w:rsid w:val="007F2C2F"/>
    <w:rsid w:val="007F55FC"/>
    <w:rsid w:val="007F5665"/>
    <w:rsid w:val="00800112"/>
    <w:rsid w:val="0081310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C7FD8"/>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07174"/>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1E6F"/>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2C21A06"/>
    <w:rsid w:val="03DC2831"/>
    <w:rsid w:val="04CE4FB8"/>
    <w:rsid w:val="04D44EF3"/>
    <w:rsid w:val="05354A68"/>
    <w:rsid w:val="05DD1DAD"/>
    <w:rsid w:val="077E6EDF"/>
    <w:rsid w:val="081B5E94"/>
    <w:rsid w:val="090D306A"/>
    <w:rsid w:val="0A2032A3"/>
    <w:rsid w:val="0AA07F0D"/>
    <w:rsid w:val="0AE43B71"/>
    <w:rsid w:val="0B8A37D8"/>
    <w:rsid w:val="0BF027CF"/>
    <w:rsid w:val="0C6C62F9"/>
    <w:rsid w:val="0C8E4429"/>
    <w:rsid w:val="0CBF1356"/>
    <w:rsid w:val="0D6214AA"/>
    <w:rsid w:val="0D794027"/>
    <w:rsid w:val="0D7B0878"/>
    <w:rsid w:val="0F451083"/>
    <w:rsid w:val="0F5FFB2F"/>
    <w:rsid w:val="0FB56209"/>
    <w:rsid w:val="0FF54858"/>
    <w:rsid w:val="0FFFCF60"/>
    <w:rsid w:val="105A5869"/>
    <w:rsid w:val="10A42A7C"/>
    <w:rsid w:val="10C055FF"/>
    <w:rsid w:val="117A5014"/>
    <w:rsid w:val="118107EC"/>
    <w:rsid w:val="11DD6519"/>
    <w:rsid w:val="13C4667A"/>
    <w:rsid w:val="13FA068E"/>
    <w:rsid w:val="16BB723D"/>
    <w:rsid w:val="18015F3F"/>
    <w:rsid w:val="187C12F9"/>
    <w:rsid w:val="18F11B7B"/>
    <w:rsid w:val="19BD7615"/>
    <w:rsid w:val="1A1773DF"/>
    <w:rsid w:val="1BB52303"/>
    <w:rsid w:val="1BE8440E"/>
    <w:rsid w:val="1BF41E67"/>
    <w:rsid w:val="1D155CEE"/>
    <w:rsid w:val="1DF16CDC"/>
    <w:rsid w:val="1F643D0D"/>
    <w:rsid w:val="1FDBBF84"/>
    <w:rsid w:val="20F57F95"/>
    <w:rsid w:val="22F23E66"/>
    <w:rsid w:val="231F61B9"/>
    <w:rsid w:val="23604D89"/>
    <w:rsid w:val="240371BF"/>
    <w:rsid w:val="25711CC6"/>
    <w:rsid w:val="25C741E6"/>
    <w:rsid w:val="26220978"/>
    <w:rsid w:val="268044BB"/>
    <w:rsid w:val="27606603"/>
    <w:rsid w:val="276F80C0"/>
    <w:rsid w:val="27842671"/>
    <w:rsid w:val="28696559"/>
    <w:rsid w:val="289D3530"/>
    <w:rsid w:val="28E374EB"/>
    <w:rsid w:val="290731DA"/>
    <w:rsid w:val="29710FE0"/>
    <w:rsid w:val="29FD04D3"/>
    <w:rsid w:val="2ABE7A3E"/>
    <w:rsid w:val="2AF27EBA"/>
    <w:rsid w:val="2AFF09B6"/>
    <w:rsid w:val="2B6E0DD0"/>
    <w:rsid w:val="2BC82763"/>
    <w:rsid w:val="2CA234A8"/>
    <w:rsid w:val="2CF972DD"/>
    <w:rsid w:val="2DB94CBF"/>
    <w:rsid w:val="2EFA178C"/>
    <w:rsid w:val="2EFDF86C"/>
    <w:rsid w:val="2F9D17E1"/>
    <w:rsid w:val="2FEE11A7"/>
    <w:rsid w:val="301F4E51"/>
    <w:rsid w:val="30647164"/>
    <w:rsid w:val="30B46D73"/>
    <w:rsid w:val="30D73E25"/>
    <w:rsid w:val="319F7F4E"/>
    <w:rsid w:val="3227669B"/>
    <w:rsid w:val="34712317"/>
    <w:rsid w:val="34A73AC3"/>
    <w:rsid w:val="34E523E8"/>
    <w:rsid w:val="350C3926"/>
    <w:rsid w:val="356A28F1"/>
    <w:rsid w:val="357C035A"/>
    <w:rsid w:val="3629776F"/>
    <w:rsid w:val="368E000D"/>
    <w:rsid w:val="37A21255"/>
    <w:rsid w:val="383D272C"/>
    <w:rsid w:val="38841DF3"/>
    <w:rsid w:val="38B30C88"/>
    <w:rsid w:val="390F6C68"/>
    <w:rsid w:val="39324335"/>
    <w:rsid w:val="39AE70AB"/>
    <w:rsid w:val="3A4DCE41"/>
    <w:rsid w:val="3A571AE7"/>
    <w:rsid w:val="3AA76110"/>
    <w:rsid w:val="3B0C59EE"/>
    <w:rsid w:val="3B690AB9"/>
    <w:rsid w:val="3BCB56FA"/>
    <w:rsid w:val="3BD827B4"/>
    <w:rsid w:val="3C0C0783"/>
    <w:rsid w:val="3C872CDC"/>
    <w:rsid w:val="3CCB7F4E"/>
    <w:rsid w:val="3D2A5D69"/>
    <w:rsid w:val="3E872422"/>
    <w:rsid w:val="3EBE03AC"/>
    <w:rsid w:val="3EE7C2F4"/>
    <w:rsid w:val="3F371B56"/>
    <w:rsid w:val="3F5C78B4"/>
    <w:rsid w:val="3F792ED8"/>
    <w:rsid w:val="3F9F3A96"/>
    <w:rsid w:val="3FECA4B2"/>
    <w:rsid w:val="3FF58C48"/>
    <w:rsid w:val="40490124"/>
    <w:rsid w:val="416D21E5"/>
    <w:rsid w:val="41C21F3C"/>
    <w:rsid w:val="42CD30A6"/>
    <w:rsid w:val="42FF6694"/>
    <w:rsid w:val="43325EEA"/>
    <w:rsid w:val="43BC0231"/>
    <w:rsid w:val="45B872F1"/>
    <w:rsid w:val="47906638"/>
    <w:rsid w:val="489D100D"/>
    <w:rsid w:val="48BF60AB"/>
    <w:rsid w:val="48FD7CFE"/>
    <w:rsid w:val="493C27E9"/>
    <w:rsid w:val="496F39ED"/>
    <w:rsid w:val="49D46CF3"/>
    <w:rsid w:val="49FF41D3"/>
    <w:rsid w:val="4BA34B8C"/>
    <w:rsid w:val="4BE068DB"/>
    <w:rsid w:val="4BF6002B"/>
    <w:rsid w:val="4BFC24EE"/>
    <w:rsid w:val="4BFFC6BE"/>
    <w:rsid w:val="4CC823D1"/>
    <w:rsid w:val="4DC70A17"/>
    <w:rsid w:val="4ECE2238"/>
    <w:rsid w:val="4F1F277C"/>
    <w:rsid w:val="4F7505EE"/>
    <w:rsid w:val="4FDB77FC"/>
    <w:rsid w:val="5147093D"/>
    <w:rsid w:val="51DB4B86"/>
    <w:rsid w:val="51E77730"/>
    <w:rsid w:val="51F64DB0"/>
    <w:rsid w:val="53887198"/>
    <w:rsid w:val="539352A0"/>
    <w:rsid w:val="53B06098"/>
    <w:rsid w:val="53D0194D"/>
    <w:rsid w:val="53DB6E8D"/>
    <w:rsid w:val="53E44857"/>
    <w:rsid w:val="546663B1"/>
    <w:rsid w:val="55245CBF"/>
    <w:rsid w:val="55333C3E"/>
    <w:rsid w:val="558624E1"/>
    <w:rsid w:val="55897BE2"/>
    <w:rsid w:val="55CE4BA8"/>
    <w:rsid w:val="57427BEF"/>
    <w:rsid w:val="57F56770"/>
    <w:rsid w:val="58A41F44"/>
    <w:rsid w:val="595C281E"/>
    <w:rsid w:val="59943D66"/>
    <w:rsid w:val="5AB94067"/>
    <w:rsid w:val="5AF53C57"/>
    <w:rsid w:val="5B532814"/>
    <w:rsid w:val="5BE82147"/>
    <w:rsid w:val="5DA01CCB"/>
    <w:rsid w:val="5E026DCA"/>
    <w:rsid w:val="5F3B6B68"/>
    <w:rsid w:val="5F67802D"/>
    <w:rsid w:val="5F7DC4F2"/>
    <w:rsid w:val="5FB36814"/>
    <w:rsid w:val="5FBB8E56"/>
    <w:rsid w:val="5FFB5535"/>
    <w:rsid w:val="60996106"/>
    <w:rsid w:val="61CF65AC"/>
    <w:rsid w:val="61DF7322"/>
    <w:rsid w:val="61F15D4B"/>
    <w:rsid w:val="62516C98"/>
    <w:rsid w:val="64CA39A1"/>
    <w:rsid w:val="687E00BB"/>
    <w:rsid w:val="688347D1"/>
    <w:rsid w:val="69630ADE"/>
    <w:rsid w:val="69BD5F13"/>
    <w:rsid w:val="69BE4677"/>
    <w:rsid w:val="69FB0B4B"/>
    <w:rsid w:val="6B677D80"/>
    <w:rsid w:val="6BFFE1FB"/>
    <w:rsid w:val="6C3427EA"/>
    <w:rsid w:val="6C4A05C8"/>
    <w:rsid w:val="6D3B1A89"/>
    <w:rsid w:val="6DB7D8A3"/>
    <w:rsid w:val="6EC78701"/>
    <w:rsid w:val="6F7A5481"/>
    <w:rsid w:val="6FFE07A9"/>
    <w:rsid w:val="70607DF4"/>
    <w:rsid w:val="706E4EB9"/>
    <w:rsid w:val="70CA2E18"/>
    <w:rsid w:val="70CD322A"/>
    <w:rsid w:val="70F6426E"/>
    <w:rsid w:val="715A543E"/>
    <w:rsid w:val="71BF4EC2"/>
    <w:rsid w:val="72734D90"/>
    <w:rsid w:val="72E01973"/>
    <w:rsid w:val="72F86921"/>
    <w:rsid w:val="73E75B71"/>
    <w:rsid w:val="74025EA7"/>
    <w:rsid w:val="7412278C"/>
    <w:rsid w:val="74327919"/>
    <w:rsid w:val="75656F9B"/>
    <w:rsid w:val="75DDCDA9"/>
    <w:rsid w:val="75FF44B1"/>
    <w:rsid w:val="76253251"/>
    <w:rsid w:val="773E4FAA"/>
    <w:rsid w:val="77670518"/>
    <w:rsid w:val="777FA627"/>
    <w:rsid w:val="77DF1B5F"/>
    <w:rsid w:val="77EF2D9D"/>
    <w:rsid w:val="78304CBF"/>
    <w:rsid w:val="786D2B25"/>
    <w:rsid w:val="78F25422"/>
    <w:rsid w:val="791D3A69"/>
    <w:rsid w:val="794C7D62"/>
    <w:rsid w:val="79852A28"/>
    <w:rsid w:val="79E7B28D"/>
    <w:rsid w:val="7A652E89"/>
    <w:rsid w:val="7ACFF0C2"/>
    <w:rsid w:val="7AFB9108"/>
    <w:rsid w:val="7B083579"/>
    <w:rsid w:val="7B0B2E6E"/>
    <w:rsid w:val="7BD5340C"/>
    <w:rsid w:val="7BFB19D2"/>
    <w:rsid w:val="7BFD1750"/>
    <w:rsid w:val="7BFDAA1B"/>
    <w:rsid w:val="7CCB45C8"/>
    <w:rsid w:val="7CDF9A82"/>
    <w:rsid w:val="7CFFA1BD"/>
    <w:rsid w:val="7D2E3F7A"/>
    <w:rsid w:val="7D5065F7"/>
    <w:rsid w:val="7DED9490"/>
    <w:rsid w:val="7DFF4872"/>
    <w:rsid w:val="7E7487E6"/>
    <w:rsid w:val="7E7C2A54"/>
    <w:rsid w:val="7E9755DB"/>
    <w:rsid w:val="7EEEFD72"/>
    <w:rsid w:val="7F1D517C"/>
    <w:rsid w:val="7F3217A8"/>
    <w:rsid w:val="7F5DA057"/>
    <w:rsid w:val="7F6C2237"/>
    <w:rsid w:val="7F7F319B"/>
    <w:rsid w:val="7F9F20EE"/>
    <w:rsid w:val="7FBBE890"/>
    <w:rsid w:val="7FBC2ABD"/>
    <w:rsid w:val="7FBF5D48"/>
    <w:rsid w:val="7FCCFC01"/>
    <w:rsid w:val="7FDD1748"/>
    <w:rsid w:val="7FE769C6"/>
    <w:rsid w:val="7FFD083E"/>
    <w:rsid w:val="7FFF9372"/>
    <w:rsid w:val="84BF1F3B"/>
    <w:rsid w:val="8F55B106"/>
    <w:rsid w:val="95DF317D"/>
    <w:rsid w:val="97E77C70"/>
    <w:rsid w:val="9E3A10E2"/>
    <w:rsid w:val="9FB91FBD"/>
    <w:rsid w:val="9FD54998"/>
    <w:rsid w:val="A671883B"/>
    <w:rsid w:val="A7EFD17F"/>
    <w:rsid w:val="A7FFE43F"/>
    <w:rsid w:val="BDFEA317"/>
    <w:rsid w:val="CD9BBABB"/>
    <w:rsid w:val="CF99F292"/>
    <w:rsid w:val="D5DA60B3"/>
    <w:rsid w:val="D7C6F579"/>
    <w:rsid w:val="D8FECA92"/>
    <w:rsid w:val="DAFFBE66"/>
    <w:rsid w:val="DD2C0BFE"/>
    <w:rsid w:val="DE3F332B"/>
    <w:rsid w:val="DE6F4A3D"/>
    <w:rsid w:val="DEFF8E5B"/>
    <w:rsid w:val="DF69F8B0"/>
    <w:rsid w:val="DFC71555"/>
    <w:rsid w:val="DFFC559C"/>
    <w:rsid w:val="DFFEDFAE"/>
    <w:rsid w:val="DFFFB5EB"/>
    <w:rsid w:val="E4B33E57"/>
    <w:rsid w:val="E5BF946A"/>
    <w:rsid w:val="EB39BD45"/>
    <w:rsid w:val="EBCF1FC2"/>
    <w:rsid w:val="EBD18F66"/>
    <w:rsid w:val="ED17392C"/>
    <w:rsid w:val="ED9FFD9A"/>
    <w:rsid w:val="EDB7968B"/>
    <w:rsid w:val="EEF73F60"/>
    <w:rsid w:val="EFED9E42"/>
    <w:rsid w:val="EFFFB194"/>
    <w:rsid w:val="F2E1F9D4"/>
    <w:rsid w:val="F5FF7449"/>
    <w:rsid w:val="F7880819"/>
    <w:rsid w:val="F7AF180D"/>
    <w:rsid w:val="F7BDBFA7"/>
    <w:rsid w:val="F7FAD68F"/>
    <w:rsid w:val="F7FB14CF"/>
    <w:rsid w:val="FB3FC69C"/>
    <w:rsid w:val="FBDFF225"/>
    <w:rsid w:val="FBF7AB63"/>
    <w:rsid w:val="FC2F3373"/>
    <w:rsid w:val="FCF51535"/>
    <w:rsid w:val="FD77F6B8"/>
    <w:rsid w:val="FDD69328"/>
    <w:rsid w:val="FDDFEC0E"/>
    <w:rsid w:val="FDE58BDD"/>
    <w:rsid w:val="FDEC7001"/>
    <w:rsid w:val="FEDFE87F"/>
    <w:rsid w:val="FEF1D25B"/>
    <w:rsid w:val="FF3EF90F"/>
    <w:rsid w:val="FFAF6081"/>
    <w:rsid w:val="FFECCD8C"/>
    <w:rsid w:val="FFED60BD"/>
    <w:rsid w:val="FFEE08F0"/>
    <w:rsid w:val="FFEE7F9F"/>
    <w:rsid w:val="FFFF319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43"/>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44"/>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46"/>
    <w:unhideWhenUsed/>
    <w:qFormat/>
    <w:uiPriority w:val="9"/>
    <w:pPr>
      <w:keepNext/>
      <w:keepLines/>
      <w:spacing w:before="260" w:after="260" w:line="416" w:lineRule="auto"/>
      <w:outlineLvl w:val="2"/>
    </w:pPr>
    <w:rPr>
      <w:b/>
      <w:bCs/>
      <w:sz w:val="32"/>
      <w:szCs w:val="32"/>
    </w:rPr>
  </w:style>
  <w:style w:type="character" w:default="1" w:styleId="19">
    <w:name w:val="Default Paragraph Font"/>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6">
    <w:name w:val="Normal Indent"/>
    <w:basedOn w:val="1"/>
    <w:qFormat/>
    <w:uiPriority w:val="0"/>
    <w:pPr>
      <w:ind w:firstLine="420" w:firstLineChars="200"/>
    </w:pPr>
  </w:style>
  <w:style w:type="paragraph" w:styleId="7">
    <w:name w:val="Body Text"/>
    <w:basedOn w:val="1"/>
    <w:link w:val="42"/>
    <w:qFormat/>
    <w:uiPriority w:val="99"/>
    <w:pPr>
      <w:spacing w:beforeLines="30"/>
    </w:pPr>
    <w:rPr>
      <w:rFonts w:ascii="仿宋_GB2312" w:eastAsia="仿宋_GB2312"/>
      <w:kern w:val="0"/>
      <w:sz w:val="30"/>
    </w:rPr>
  </w:style>
  <w:style w:type="paragraph" w:styleId="8">
    <w:name w:val="Body Text Indent"/>
    <w:basedOn w:val="1"/>
    <w:next w:val="9"/>
    <w:qFormat/>
    <w:uiPriority w:val="0"/>
    <w:pPr>
      <w:spacing w:after="120"/>
      <w:ind w:leftChars="200"/>
    </w:pPr>
    <w:rPr>
      <w:rFonts w:ascii="仿宋_GB2312"/>
      <w:szCs w:val="32"/>
    </w:rPr>
  </w:style>
  <w:style w:type="paragraph" w:styleId="9">
    <w:name w:val="Body Text First Indent 2"/>
    <w:basedOn w:val="8"/>
    <w:unhideWhenUsed/>
    <w:qFormat/>
    <w:uiPriority w:val="99"/>
    <w:pPr>
      <w:ind w:firstLine="420" w:firstLineChars="200"/>
    </w:pPr>
  </w:style>
  <w:style w:type="paragraph" w:styleId="10">
    <w:name w:val="toc 3"/>
    <w:basedOn w:val="1"/>
    <w:next w:val="1"/>
    <w:unhideWhenUsed/>
    <w:qFormat/>
    <w:uiPriority w:val="39"/>
    <w:pPr>
      <w:tabs>
        <w:tab w:val="right" w:leader="dot" w:pos="8296"/>
      </w:tabs>
      <w:ind w:left="840" w:leftChars="400"/>
    </w:pPr>
  </w:style>
  <w:style w:type="paragraph" w:styleId="11">
    <w:name w:val="Balloon Text"/>
    <w:basedOn w:val="1"/>
    <w:link w:val="45"/>
    <w:semiHidden/>
    <w:unhideWhenUsed/>
    <w:qFormat/>
    <w:uiPriority w:val="99"/>
    <w:rPr>
      <w:sz w:val="18"/>
      <w:szCs w:val="18"/>
    </w:rPr>
  </w:style>
  <w:style w:type="paragraph" w:styleId="12">
    <w:name w:val="footer"/>
    <w:basedOn w:val="1"/>
    <w:link w:val="41"/>
    <w:qFormat/>
    <w:uiPriority w:val="99"/>
    <w:pPr>
      <w:tabs>
        <w:tab w:val="center" w:pos="4153"/>
        <w:tab w:val="right" w:pos="8306"/>
      </w:tabs>
      <w:snapToGrid w:val="0"/>
      <w:jc w:val="left"/>
    </w:pPr>
    <w:rPr>
      <w:rFonts w:ascii="Calibri" w:hAnsi="Calibri"/>
      <w:kern w:val="0"/>
      <w:sz w:val="18"/>
      <w:szCs w:val="18"/>
    </w:rPr>
  </w:style>
  <w:style w:type="paragraph" w:styleId="13">
    <w:name w:val="header"/>
    <w:basedOn w:val="1"/>
    <w:link w:val="40"/>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5">
    <w:name w:val="footnote text"/>
    <w:basedOn w:val="1"/>
    <w:next w:val="9"/>
    <w:semiHidden/>
    <w:qFormat/>
    <w:uiPriority w:val="0"/>
    <w:pPr>
      <w:snapToGrid w:val="0"/>
      <w:jc w:val="left"/>
    </w:pPr>
    <w:rPr>
      <w:sz w:val="18"/>
      <w:szCs w:val="18"/>
    </w:rPr>
  </w:style>
  <w:style w:type="paragraph" w:styleId="16">
    <w:name w:val="table of figures"/>
    <w:basedOn w:val="1"/>
    <w:next w:val="1"/>
    <w:unhideWhenUsed/>
    <w:qFormat/>
    <w:uiPriority w:val="0"/>
    <w:pPr>
      <w:ind w:left="200" w:leftChars="200" w:hanging="200" w:hangingChars="200"/>
    </w:pPr>
    <w:rPr>
      <w:rFonts w:hint="eastAsia"/>
      <w:sz w:val="32"/>
      <w:szCs w:val="21"/>
    </w:rPr>
  </w:style>
  <w:style w:type="paragraph" w:styleId="17">
    <w:name w:val="toc 2"/>
    <w:basedOn w:val="1"/>
    <w:next w:val="1"/>
    <w:unhideWhenUsed/>
    <w:qFormat/>
    <w:uiPriority w:val="39"/>
    <w:pPr>
      <w:tabs>
        <w:tab w:val="right" w:leader="dot" w:pos="8296"/>
      </w:tabs>
      <w:ind w:left="420" w:leftChars="200"/>
    </w:pPr>
  </w:style>
  <w:style w:type="character" w:styleId="20">
    <w:name w:val="Strong"/>
    <w:basedOn w:val="19"/>
    <w:qFormat/>
    <w:uiPriority w:val="99"/>
    <w:rPr>
      <w:b/>
    </w:rPr>
  </w:style>
  <w:style w:type="character" w:styleId="21">
    <w:name w:val="Hyperlink"/>
    <w:basedOn w:val="19"/>
    <w:unhideWhenUsed/>
    <w:qFormat/>
    <w:uiPriority w:val="99"/>
    <w:rPr>
      <w:color w:val="0000FF" w:themeColor="hyperlink"/>
      <w:u w:val="single"/>
      <w14:textFill>
        <w14:solidFill>
          <w14:schemeClr w14:val="hlink"/>
        </w14:solidFill>
      </w14:textFill>
    </w:rPr>
  </w:style>
  <w:style w:type="character" w:customStyle="1" w:styleId="22">
    <w:name w:val="Header Char"/>
    <w:basedOn w:val="19"/>
    <w:semiHidden/>
    <w:qFormat/>
    <w:uiPriority w:val="99"/>
    <w:rPr>
      <w:rFonts w:ascii="Times New Roman" w:hAnsi="Times New Roman"/>
      <w:sz w:val="18"/>
      <w:szCs w:val="18"/>
    </w:rPr>
  </w:style>
  <w:style w:type="character" w:customStyle="1" w:styleId="23">
    <w:name w:val="页眉 字符"/>
    <w:link w:val="13"/>
    <w:semiHidden/>
    <w:qFormat/>
    <w:locked/>
    <w:uiPriority w:val="99"/>
    <w:rPr>
      <w:rFonts w:ascii="Calibri" w:hAnsi="Calibri"/>
      <w:kern w:val="0"/>
      <w:sz w:val="18"/>
      <w:szCs w:val="18"/>
    </w:rPr>
  </w:style>
  <w:style w:type="character" w:customStyle="1" w:styleId="24">
    <w:name w:val="Footer Char"/>
    <w:basedOn w:val="19"/>
    <w:semiHidden/>
    <w:qFormat/>
    <w:uiPriority w:val="99"/>
    <w:rPr>
      <w:rFonts w:ascii="Times New Roman" w:hAnsi="Times New Roman"/>
      <w:sz w:val="18"/>
      <w:szCs w:val="18"/>
    </w:rPr>
  </w:style>
  <w:style w:type="character" w:customStyle="1" w:styleId="25">
    <w:name w:val="页脚 字符"/>
    <w:link w:val="12"/>
    <w:qFormat/>
    <w:locked/>
    <w:uiPriority w:val="99"/>
    <w:rPr>
      <w:rFonts w:ascii="Calibri" w:hAnsi="Calibri"/>
      <w:kern w:val="0"/>
      <w:sz w:val="18"/>
      <w:szCs w:val="18"/>
    </w:rPr>
  </w:style>
  <w:style w:type="character" w:customStyle="1" w:styleId="26">
    <w:name w:val="Body Text Char"/>
    <w:basedOn w:val="19"/>
    <w:semiHidden/>
    <w:qFormat/>
    <w:uiPriority w:val="99"/>
    <w:rPr>
      <w:rFonts w:ascii="Times New Roman" w:hAnsi="Times New Roman"/>
      <w:szCs w:val="24"/>
    </w:rPr>
  </w:style>
  <w:style w:type="character" w:customStyle="1" w:styleId="27">
    <w:name w:val="正文文本 字符"/>
    <w:link w:val="7"/>
    <w:qFormat/>
    <w:locked/>
    <w:uiPriority w:val="99"/>
    <w:rPr>
      <w:rFonts w:ascii="仿宋_GB2312" w:eastAsia="仿宋_GB2312"/>
      <w:kern w:val="0"/>
      <w:sz w:val="30"/>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字符"/>
    <w:link w:val="3"/>
    <w:qFormat/>
    <w:uiPriority w:val="9"/>
    <w:rPr>
      <w:b/>
      <w:bCs/>
      <w:kern w:val="44"/>
      <w:sz w:val="44"/>
      <w:szCs w:val="44"/>
    </w:rPr>
  </w:style>
  <w:style w:type="character" w:customStyle="1" w:styleId="31">
    <w:name w:val="标题 2 字符"/>
    <w:link w:val="4"/>
    <w:qFormat/>
    <w:uiPriority w:val="9"/>
    <w:rPr>
      <w:rFonts w:asciiTheme="majorHAnsi" w:hAnsiTheme="majorHAnsi" w:eastAsiaTheme="majorEastAsia" w:cstheme="majorBidi"/>
      <w:b/>
      <w:bCs/>
      <w:sz w:val="32"/>
      <w:szCs w:val="32"/>
    </w:rPr>
  </w:style>
  <w:style w:type="paragraph" w:customStyle="1" w:styleId="32">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字符"/>
    <w:link w:val="11"/>
    <w:semiHidden/>
    <w:qFormat/>
    <w:uiPriority w:val="99"/>
    <w:rPr>
      <w:sz w:val="18"/>
      <w:szCs w:val="18"/>
    </w:rPr>
  </w:style>
  <w:style w:type="character" w:customStyle="1" w:styleId="34">
    <w:name w:val="标题 3 字符"/>
    <w:link w:val="5"/>
    <w:qFormat/>
    <w:uiPriority w:val="9"/>
    <w:rPr>
      <w:b/>
      <w:bCs/>
      <w:sz w:val="32"/>
      <w:szCs w:val="32"/>
    </w:rPr>
  </w:style>
  <w:style w:type="paragraph" w:customStyle="1" w:styleId="35">
    <w:name w:val="TOC 标题2"/>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WPSOffice手动目录 1"/>
    <w:qFormat/>
    <w:uiPriority w:val="0"/>
    <w:pPr>
      <w:ind w:leftChars="0"/>
    </w:pPr>
    <w:rPr>
      <w:rFonts w:ascii="Times New Roman" w:hAnsi="Times New Roman" w:eastAsia="宋体" w:cs="Times New Roman"/>
      <w:sz w:val="20"/>
      <w:szCs w:val="20"/>
    </w:rPr>
  </w:style>
  <w:style w:type="paragraph" w:customStyle="1" w:styleId="37">
    <w:name w:val="WPSOffice手动目录 2"/>
    <w:qFormat/>
    <w:uiPriority w:val="0"/>
    <w:pPr>
      <w:ind w:leftChars="200"/>
    </w:pPr>
    <w:rPr>
      <w:rFonts w:ascii="Times New Roman" w:hAnsi="Times New Roman" w:eastAsia="宋体" w:cs="Times New Roman"/>
      <w:sz w:val="20"/>
      <w:szCs w:val="20"/>
    </w:rPr>
  </w:style>
  <w:style w:type="character" w:customStyle="1" w:styleId="38">
    <w:name w:val="font71"/>
    <w:basedOn w:val="19"/>
    <w:qFormat/>
    <w:uiPriority w:val="0"/>
    <w:rPr>
      <w:rFonts w:ascii="Helvetica" w:hAnsi="Helvetica" w:eastAsia="Helvetica" w:cs="Helvetica"/>
      <w:color w:val="000000"/>
      <w:sz w:val="19"/>
      <w:szCs w:val="19"/>
      <w:u w:val="none"/>
    </w:rPr>
  </w:style>
  <w:style w:type="character" w:customStyle="1" w:styleId="39">
    <w:name w:val="font81"/>
    <w:basedOn w:val="19"/>
    <w:qFormat/>
    <w:uiPriority w:val="0"/>
    <w:rPr>
      <w:rFonts w:ascii="Helvetica" w:hAnsi="Helvetica" w:eastAsia="Helvetica" w:cs="Helvetica"/>
      <w:color w:val="000000"/>
      <w:sz w:val="19"/>
      <w:szCs w:val="19"/>
      <w:u w:val="none"/>
    </w:rPr>
  </w:style>
  <w:style w:type="character" w:customStyle="1" w:styleId="40">
    <w:name w:val="页眉 Char"/>
    <w:link w:val="13"/>
    <w:semiHidden/>
    <w:qFormat/>
    <w:locked/>
    <w:uiPriority w:val="99"/>
    <w:rPr>
      <w:rFonts w:ascii="Calibri" w:hAnsi="Calibri"/>
      <w:kern w:val="0"/>
      <w:sz w:val="18"/>
      <w:szCs w:val="18"/>
    </w:rPr>
  </w:style>
  <w:style w:type="character" w:customStyle="1" w:styleId="41">
    <w:name w:val="页脚 Char"/>
    <w:link w:val="12"/>
    <w:qFormat/>
    <w:locked/>
    <w:uiPriority w:val="99"/>
    <w:rPr>
      <w:rFonts w:ascii="Calibri" w:hAnsi="Calibri"/>
      <w:kern w:val="0"/>
      <w:sz w:val="18"/>
      <w:szCs w:val="18"/>
    </w:rPr>
  </w:style>
  <w:style w:type="character" w:customStyle="1" w:styleId="42">
    <w:name w:val="正文文本 Char"/>
    <w:link w:val="7"/>
    <w:qFormat/>
    <w:locked/>
    <w:uiPriority w:val="99"/>
    <w:rPr>
      <w:rFonts w:ascii="仿宋_GB2312" w:eastAsia="仿宋_GB2312"/>
      <w:kern w:val="0"/>
      <w:sz w:val="30"/>
    </w:rPr>
  </w:style>
  <w:style w:type="character" w:customStyle="1" w:styleId="43">
    <w:name w:val="标题 1 Char"/>
    <w:basedOn w:val="19"/>
    <w:link w:val="3"/>
    <w:qFormat/>
    <w:uiPriority w:val="9"/>
    <w:rPr>
      <w:b/>
      <w:bCs/>
      <w:kern w:val="44"/>
      <w:sz w:val="44"/>
      <w:szCs w:val="44"/>
    </w:rPr>
  </w:style>
  <w:style w:type="character" w:customStyle="1" w:styleId="44">
    <w:name w:val="标题 2 Char"/>
    <w:basedOn w:val="19"/>
    <w:link w:val="4"/>
    <w:qFormat/>
    <w:uiPriority w:val="9"/>
    <w:rPr>
      <w:rFonts w:asciiTheme="majorHAnsi" w:hAnsiTheme="majorHAnsi" w:eastAsiaTheme="majorEastAsia" w:cstheme="majorBidi"/>
      <w:b/>
      <w:bCs/>
      <w:sz w:val="32"/>
      <w:szCs w:val="32"/>
    </w:rPr>
  </w:style>
  <w:style w:type="character" w:customStyle="1" w:styleId="45">
    <w:name w:val="批注框文本 Char"/>
    <w:basedOn w:val="19"/>
    <w:link w:val="11"/>
    <w:semiHidden/>
    <w:qFormat/>
    <w:uiPriority w:val="99"/>
    <w:rPr>
      <w:sz w:val="18"/>
      <w:szCs w:val="18"/>
    </w:rPr>
  </w:style>
  <w:style w:type="character" w:customStyle="1" w:styleId="46">
    <w:name w:val="标题 3 Char"/>
    <w:basedOn w:val="19"/>
    <w:link w:val="5"/>
    <w:qFormat/>
    <w:uiPriority w:val="9"/>
    <w:rPr>
      <w:b/>
      <w:bCs/>
      <w:sz w:val="32"/>
      <w:szCs w:val="32"/>
    </w:rPr>
  </w:style>
  <w:style w:type="paragraph" w:customStyle="1" w:styleId="47">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48">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_rels/chart4.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5.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收入、支出决算总计变动情况图</a:t>
            </a:r>
          </a:p>
        </c:rich>
      </c:tx>
      <c:layout>
        <c:manualLayout>
          <c:xMode val="edge"/>
          <c:yMode val="edge"/>
          <c:x val="0.100945207502585"/>
          <c:y val="0.0322493953238377"/>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Sheet1!$A$2:$A$3</c:f>
              <c:strCache>
                <c:ptCount val="2"/>
                <c:pt idx="0">
                  <c:v>收入</c:v>
                </c:pt>
                <c:pt idx="1">
                  <c:v>支出</c:v>
                </c:pt>
              </c:strCache>
            </c:strRef>
          </c:cat>
          <c:val>
            <c:numRef>
              <c:f>Sheet1!$B$2:$B$3</c:f>
              <c:numCache>
                <c:formatCode>General</c:formatCode>
                <c:ptCount val="2"/>
                <c:pt idx="0">
                  <c:v>651.14</c:v>
                </c:pt>
                <c:pt idx="1">
                  <c:v>651.14</c:v>
                </c:pt>
              </c:numCache>
            </c:numRef>
          </c:val>
        </c:ser>
        <c:ser>
          <c:idx val="1"/>
          <c:order val="1"/>
          <c:tx>
            <c:strRef>
              <c:f>Sheet1!$C$1</c:f>
              <c:strCache>
                <c:ptCount val="1"/>
                <c:pt idx="0">
                  <c:v>2025</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Sheet1!$A$2:$A$3</c:f>
              <c:strCache>
                <c:ptCount val="2"/>
                <c:pt idx="0">
                  <c:v>收入</c:v>
                </c:pt>
                <c:pt idx="1">
                  <c:v>支出</c:v>
                </c:pt>
              </c:strCache>
            </c:strRef>
          </c:cat>
          <c:val>
            <c:numRef>
              <c:f>Sheet1!$C$2:$C$3</c:f>
              <c:numCache>
                <c:formatCode>General</c:formatCode>
                <c:ptCount val="2"/>
                <c:pt idx="0">
                  <c:v>656.03</c:v>
                </c:pt>
                <c:pt idx="1">
                  <c:v>656.03</c:v>
                </c:pt>
              </c:numCache>
            </c:numRef>
          </c:val>
        </c:ser>
        <c:ser>
          <c:idx val="2"/>
          <c:order val="2"/>
          <c:tx>
            <c:strRef>
              <c:f>Sheet1!$D$1</c:f>
              <c:strCache>
                <c:ptCount val="1"/>
                <c:pt idx="0">
                  <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Sheet1!$A$2:$A$3</c:f>
              <c:strCache>
                <c:ptCount val="2"/>
                <c:pt idx="0">
                  <c:v>收入</c:v>
                </c:pt>
                <c:pt idx="1">
                  <c:v>支出</c:v>
                </c:pt>
              </c:strCache>
            </c:strRef>
          </c:cat>
          <c:val>
            <c:numRef>
              <c:f>Sheet1!$D$2:$D$3</c:f>
              <c:numCache>
                <c:formatCode>General</c:formatCode>
                <c:ptCount val="2"/>
              </c:numCache>
            </c:numRef>
          </c:val>
        </c:ser>
        <c:dLbls>
          <c:showLegendKey val="0"/>
          <c:showVal val="1"/>
          <c:showCatName val="0"/>
          <c:showSerName val="0"/>
          <c:showPercent val="0"/>
          <c:showBubbleSize val="0"/>
        </c:dLbls>
        <c:gapWidth val="260"/>
        <c:overlap val="-32"/>
        <c:axId val="781298760"/>
        <c:axId val="258735750"/>
      </c:barChart>
      <c:catAx>
        <c:axId val="781298760"/>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58735750"/>
        <c:crosses val="autoZero"/>
        <c:auto val="1"/>
        <c:lblAlgn val="ctr"/>
        <c:lblOffset val="100"/>
        <c:noMultiLvlLbl val="0"/>
      </c:catAx>
      <c:valAx>
        <c:axId val="258735750"/>
        <c:scaling>
          <c:orientation val="minMax"/>
        </c:scaling>
        <c:delete val="1"/>
        <c:axPos val="l"/>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81298760"/>
        <c:crosses val="autoZero"/>
        <c:crossBetween val="between"/>
      </c:valAx>
      <c:spPr>
        <a:noFill/>
        <a:ln>
          <a:noFill/>
        </a:ln>
        <a:effectLst/>
      </c:spPr>
    </c:plotArea>
    <c:legend>
      <c:legendPos val="t"/>
      <c:legendEntry>
        <c:idx val="2"/>
        <c:delete val="1"/>
      </c:legendEntry>
      <c:layout>
        <c:manualLayout>
          <c:xMode val="edge"/>
          <c:yMode val="edge"/>
          <c:x val="0.306897060995422"/>
          <c:y val="0.169846815372212"/>
          <c:w val="0.396987151085512"/>
          <c:h val="0.0900295619457135"/>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f229932-eadd-4dbf-bcba-0e89e95857f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rgbClr val="0000FF"/>
                </a:solidFill>
                <a:latin typeface="+mn-lt"/>
                <a:ea typeface="+mn-ea"/>
                <a:cs typeface="+mn-cs"/>
              </a:defRPr>
            </a:pPr>
            <a:r>
              <a:t>收入决算结构图</a:t>
            </a:r>
          </a:p>
        </c:rich>
      </c:tx>
      <c:layout>
        <c:manualLayout>
          <c:xMode val="edge"/>
          <c:yMode val="edge"/>
          <c:x val="0.340551582473056"/>
          <c:y val="0.0481615085291176"/>
        </c:manualLayout>
      </c:layout>
      <c:overlay val="0"/>
      <c:spPr>
        <a:noFill/>
        <a:ln>
          <a:noFill/>
        </a:ln>
        <a:effectLst/>
      </c:spPr>
    </c:title>
    <c:autoTitleDeleted val="0"/>
    <c:plotArea>
      <c:layout/>
      <c:pieChart>
        <c:varyColors val="1"/>
        <c:ser>
          <c:idx val="0"/>
          <c:order val="0"/>
          <c:tx>
            <c:strRef>
              <c:f>Sheet1!$B$1</c:f>
              <c:strCache>
                <c:ptCount val="1"/>
                <c:pt idx="0">
                  <c:v>本年收入</c:v>
                </c:pt>
              </c:strCache>
            </c:strRef>
          </c:tx>
          <c:spPr>
            <a:ln w="15875">
              <a:solidFill>
                <a:schemeClr val="bg1"/>
              </a:solidFill>
            </a:ln>
            <a:effectLst>
              <a:outerShdw blurRad="50800" dist="38100" dir="2700000" algn="tl" rotWithShape="0">
                <a:prstClr val="black">
                  <a:alpha val="40000"/>
                </a:prstClr>
              </a:outerShdw>
            </a:effectLst>
            <a:sp3d contourW="15875"/>
          </c:spPr>
          <c:explosion val="0"/>
          <c:dPt>
            <c:idx val="0"/>
            <c:bubble3D val="0"/>
            <c:explosion val="9"/>
            <c:spPr>
              <a:gradFill>
                <a:gsLst>
                  <a:gs pos="0">
                    <a:schemeClr val="accent6">
                      <a:lumMod val="60000"/>
                      <a:lumOff val="40000"/>
                    </a:schemeClr>
                  </a:gs>
                  <a:gs pos="83000">
                    <a:schemeClr val="accent6"/>
                  </a:gs>
                </a:gsLst>
                <a:lin ang="2700000"/>
              </a:gradFill>
              <a:ln w="15875">
                <a:solidFill>
                  <a:schemeClr val="bg1"/>
                </a:solidFill>
              </a:ln>
              <a:effectLst>
                <a:outerShdw blurRad="50800" dist="38100" dir="2700000" algn="tl" rotWithShape="0">
                  <a:schemeClr val="accent6">
                    <a:lumMod val="50000"/>
                    <a:alpha val="40000"/>
                  </a:schemeClr>
                </a:outerShdw>
              </a:effectLst>
              <a:sp3d contourW="15875"/>
            </c:spPr>
          </c:dPt>
          <c:dPt>
            <c:idx val="1"/>
            <c:bubble3D val="0"/>
            <c:spPr>
              <a:gradFill>
                <a:gsLst>
                  <a:gs pos="0">
                    <a:schemeClr val="accent2">
                      <a:lumMod val="60000"/>
                      <a:lumOff val="40000"/>
                    </a:schemeClr>
                  </a:gs>
                  <a:gs pos="83000">
                    <a:schemeClr val="accent2"/>
                  </a:gs>
                </a:gsLst>
                <a:lin ang="2700000"/>
              </a:gradFill>
              <a:ln w="15875">
                <a:solidFill>
                  <a:schemeClr val="bg1"/>
                </a:solidFill>
              </a:ln>
              <a:effectLst>
                <a:outerShdw blurRad="50800" dist="38100" dir="2700000" algn="tl" rotWithShape="0">
                  <a:schemeClr val="accent2">
                    <a:lumMod val="50000"/>
                    <a:alpha val="40000"/>
                  </a:schemeClr>
                </a:outerShdw>
              </a:effectLst>
              <a:sp3d contourW="15875"/>
            </c:spPr>
          </c:dPt>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900" b="0" i="0" u="none" strike="noStrike" kern="1200" baseline="0">
                    <a:solidFill>
                      <a:srgbClr val="0000FF"/>
                    </a:solidFill>
                    <a:effectLst/>
                    <a:latin typeface="+mn-lt"/>
                    <a:ea typeface="+mn-ea"/>
                    <a:cs typeface="+mn-cs"/>
                  </a:defRPr>
                </a:pPr>
              </a:p>
            </c:txPr>
            <c:dLblPos val="in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Sheet1!$A$2:$A$5</c15:sqref>
                  </c15:fullRef>
                </c:ext>
              </c:extLst>
              <c:f>Sheet1!$A$2:$A$3</c:f>
              <c:strCache>
                <c:ptCount val="2"/>
                <c:pt idx="0">
                  <c:v>一般公共预算财政拨款收入</c:v>
                </c:pt>
                <c:pt idx="1">
                  <c:v>事业收入</c:v>
                </c:pt>
              </c:strCache>
            </c:strRef>
          </c:cat>
          <c:val>
            <c:numRef>
              <c:extLst>
                <c:ext xmlns:c15="http://schemas.microsoft.com/office/drawing/2012/chart" uri="{02D57815-91ED-43cb-92C2-25804820EDAC}">
                  <c15:fullRef>
                    <c15:sqref>Sheet1!$B$2:$B$5</c15:sqref>
                  </c15:fullRef>
                </c:ext>
              </c:extLst>
              <c:f>Sheet1!$B$2:$B$3</c:f>
              <c:numCache>
                <c:formatCode>General</c:formatCode>
                <c:ptCount val="2"/>
                <c:pt idx="0">
                  <c:v>622.47</c:v>
                </c:pt>
                <c:pt idx="1">
                  <c:v>33.56</c:v>
                </c:pt>
              </c:numCache>
            </c:numRef>
          </c:val>
        </c:ser>
        <c:dLbls>
          <c:showLegendKey val="0"/>
          <c:showVal val="1"/>
          <c:showCatName val="0"/>
          <c:showSerName val="0"/>
          <c:showPercent val="0"/>
          <c:showBubbleSize val="0"/>
          <c:showLeaderLines val="1"/>
        </c:dLbls>
        <c:firstSliceAng val="36"/>
      </c:pieChart>
      <c:spPr>
        <a:noFill/>
        <a:ln>
          <a:noFill/>
        </a:ln>
        <a:effectLst/>
      </c:spPr>
    </c:plotArea>
    <c:legend>
      <c:legendPos val="r"/>
      <c:layout>
        <c:manualLayout>
          <c:xMode val="edge"/>
          <c:yMode val="edge"/>
          <c:x val="0.559925960203609"/>
          <c:y val="0.419602977667494"/>
          <c:w val="0.421564090698751"/>
          <c:h val="0.258064516129032"/>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rgbClr val="0000FF"/>
              </a:solidFill>
              <a:latin typeface="+mn-lt"/>
              <a:ea typeface="+mn-ea"/>
              <a:cs typeface="+mn-cs"/>
            </a:defRPr>
          </a:pPr>
        </a:p>
      </c:txPr>
    </c:legend>
    <c:plotVisOnly val="1"/>
    <c:dispBlanksAs val="gap"/>
    <c:showDLblsOverMax val="0"/>
    <c:extLst>
      <c:ext uri="{0b15fc19-7d7d-44ad-8c2d-2c3a37ce22c3}">
        <chartProps xmlns="https://web.wps.cn/et/2018/main" chartId="{577e1397-87d3-4ec7-b550-272776b45a6b}"/>
      </c:ext>
    </c:extLst>
  </c:chart>
  <c:spPr>
    <a:solidFill>
      <a:schemeClr val="bg1"/>
    </a:solidFill>
    <a:ln w="9525" cap="flat" cmpd="sng" algn="ctr">
      <a:solidFill>
        <a:schemeClr val="bg1">
          <a:lumMod val="85000"/>
        </a:schemeClr>
      </a:solidFill>
      <a:round/>
    </a:ln>
    <a:effectLst>
      <a:outerShdw blurRad="63500" dist="37357" dir="2700000" sx="0" sy="0" rotWithShape="0">
        <a:scrgbClr r="0" g="0" b="0"/>
      </a:outerShdw>
    </a:effectLst>
  </c:spPr>
  <c:txPr>
    <a:bodyPr/>
    <a:lstStyle/>
    <a:p>
      <a:pPr>
        <a:defRPr lang="zh-CN">
          <a:solidFill>
            <a:srgbClr val="0000FF"/>
          </a:solidFill>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dk1">
                    <a:lumMod val="75000"/>
                    <a:lumOff val="25000"/>
                  </a:schemeClr>
                </a:solidFill>
                <a:latin typeface="+mn-lt"/>
                <a:ea typeface="+mn-ea"/>
                <a:cs typeface="+mn-cs"/>
              </a:defRPr>
            </a:pPr>
            <a:r>
              <a:t>支出决算结构图</a:t>
            </a:r>
          </a:p>
        </c:rich>
      </c:tx>
      <c:layout/>
      <c:overlay val="0"/>
      <c:spPr>
        <a:noFill/>
        <a:ln>
          <a:noFill/>
        </a:ln>
        <a:effectLst/>
      </c:spPr>
    </c:title>
    <c:autoTitleDeleted val="0"/>
    <c:plotArea>
      <c:layout>
        <c:manualLayout>
          <c:layoutTarget val="inner"/>
          <c:xMode val="edge"/>
          <c:yMode val="edge"/>
          <c:x val="0.289421651013346"/>
          <c:y val="0.263758389261745"/>
          <c:w val="0.329214038556599"/>
          <c:h val="0.670469798657718"/>
        </c:manualLayout>
      </c:layout>
      <c:pieChart>
        <c:varyColors val="1"/>
        <c:ser>
          <c:idx val="0"/>
          <c:order val="0"/>
          <c:tx>
            <c:strRef>
              <c:f>Sheet1!$B$1</c:f>
              <c:strCache>
                <c:ptCount val="1"/>
                <c:pt idx="0">
                  <c:v>本年支出</c:v>
                </c:pt>
              </c:strCache>
            </c:strRef>
          </c:tx>
          <c:spPr/>
          <c:explosion val="0"/>
          <c:dPt>
            <c:idx val="0"/>
            <c:bubble3D val="0"/>
            <c:explosion val="9"/>
            <c:spPr>
              <a:gradFill>
                <a:gsLst>
                  <a:gs pos="100000">
                    <a:schemeClr val="accent1"/>
                  </a:gs>
                  <a:gs pos="0">
                    <a:schemeClr val="accent1">
                      <a:hueOff val="-1670000"/>
                    </a:schemeClr>
                  </a:gs>
                </a:gsLst>
                <a:lin ang="5400000" scaled="0"/>
              </a:gradFill>
              <a:ln>
                <a:gradFill>
                  <a:gsLst>
                    <a:gs pos="100000">
                      <a:schemeClr val="accent1">
                        <a:lumMod val="75000"/>
                      </a:schemeClr>
                    </a:gs>
                    <a:gs pos="0">
                      <a:schemeClr val="accent1">
                        <a:lumMod val="75000"/>
                        <a:hueOff val="-1670000"/>
                      </a:schemeClr>
                    </a:gs>
                  </a:gsLst>
                  <a:lin ang="4620000" scaled="0"/>
                </a:gradFill>
              </a:ln>
              <a:effectLst/>
            </c:spPr>
          </c:dPt>
          <c:dPt>
            <c:idx val="1"/>
            <c:bubble3D val="0"/>
            <c:spPr>
              <a:gradFill>
                <a:gsLst>
                  <a:gs pos="100000">
                    <a:schemeClr val="accent2"/>
                  </a:gs>
                  <a:gs pos="0">
                    <a:schemeClr val="accent2">
                      <a:hueOff val="-1670000"/>
                    </a:schemeClr>
                  </a:gs>
                </a:gsLst>
                <a:lin ang="5400000" scaled="0"/>
              </a:gradFill>
              <a:ln>
                <a:gradFill>
                  <a:gsLst>
                    <a:gs pos="100000">
                      <a:schemeClr val="accent2">
                        <a:lumMod val="75000"/>
                      </a:schemeClr>
                    </a:gs>
                    <a:gs pos="0">
                      <a:schemeClr val="accent2">
                        <a:lumMod val="75000"/>
                        <a:hueOff val="-1670000"/>
                      </a:schemeClr>
                    </a:gs>
                  </a:gsLst>
                  <a:lin ang="4620000" scaled="0"/>
                </a:gra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dk1">
                        <a:lumMod val="75000"/>
                        <a:lumOff val="25000"/>
                      </a:schemeClr>
                    </a:solidFill>
                    <a:latin typeface="+mn-lt"/>
                    <a:ea typeface="+mn-ea"/>
                    <a:cs typeface="+mn-cs"/>
                  </a:defRPr>
                </a:pPr>
              </a:p>
            </c:txPr>
            <c:dLblPos val="in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a:solidFill>
                        <a:schemeClr val="dk1">
                          <a:lumMod val="35000"/>
                          <a:lumOff val="65000"/>
                        </a:schemeClr>
                      </a:solidFill>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575.41</c:v>
                </c:pt>
                <c:pt idx="1">
                  <c:v>67.55</c:v>
                </c:pt>
              </c:numCache>
            </c:numRef>
          </c:val>
        </c:ser>
        <c:dLbls>
          <c:showLegendKey val="0"/>
          <c:showVal val="1"/>
          <c:showCatName val="0"/>
          <c:showSerName val="0"/>
          <c:showPercent val="0"/>
          <c:showBubbleSize val="0"/>
          <c:showLeaderLines val="1"/>
        </c:dLbls>
        <c:firstSliceAng val="36"/>
      </c:pieChart>
      <c:spPr>
        <a:noFill/>
        <a:ln>
          <a:noFill/>
        </a:ln>
        <a:effectLst/>
      </c:spPr>
    </c:plotArea>
    <c:legend>
      <c:legendPos val="t"/>
      <c:layout>
        <c:manualLayout>
          <c:xMode val="edge"/>
          <c:yMode val="edge"/>
          <c:x val="0.192925089179548"/>
          <c:y val="0.17722938867078"/>
          <c:w val="0.544143876337693"/>
          <c:h val="0.0933819405496354"/>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d3d45e0a-53b2-4dd1-a71a-1d791a8f40ec}"/>
      </c:ext>
    </c:extLst>
  </c:chart>
  <c:spPr>
    <a:solidFill>
      <a:schemeClr val="lt1">
        <a:lumMod val="96000"/>
      </a:schemeClr>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en-US" altLang="zh-CN"/>
              <a:t>  </a:t>
            </a:r>
            <a:r>
              <a:rPr altLang="en-US"/>
              <a:t>财政拨款收、支决算总计变动情况图</a:t>
            </a:r>
            <a:endParaRPr altLang="en-US"/>
          </a:p>
        </c:rich>
      </c:tx>
      <c:layout>
        <c:manualLayout>
          <c:xMode val="edge"/>
          <c:yMode val="edge"/>
          <c:x val="0.111191855018895"/>
          <c:y val="0.0398187115571382"/>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财政拨款收入</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Sheet1!$A$2:$A$3</c:f>
              <c:numCache>
                <c:formatCode>General</c:formatCode>
                <c:ptCount val="2"/>
                <c:pt idx="0">
                  <c:v>2024</c:v>
                </c:pt>
                <c:pt idx="1">
                  <c:v>2025</c:v>
                </c:pt>
              </c:numCache>
            </c:numRef>
          </c:cat>
          <c:val>
            <c:numRef>
              <c:f>Sheet1!$B$2:$B$3</c:f>
              <c:numCache>
                <c:formatCode>General</c:formatCode>
                <c:ptCount val="2"/>
                <c:pt idx="0">
                  <c:v>626.66</c:v>
                </c:pt>
                <c:pt idx="1">
                  <c:v>622.47</c:v>
                </c:pt>
              </c:numCache>
            </c:numRef>
          </c:val>
        </c:ser>
        <c:ser>
          <c:idx val="1"/>
          <c:order val="1"/>
          <c:tx>
            <c:strRef>
              <c:f>Sheet1!$C$1</c:f>
              <c:strCache>
                <c:ptCount val="1"/>
                <c:pt idx="0">
                  <c:v>财政拨款支出</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Sheet1!$A$2:$A$3</c:f>
              <c:numCache>
                <c:formatCode>General</c:formatCode>
                <c:ptCount val="2"/>
                <c:pt idx="0">
                  <c:v>2024</c:v>
                </c:pt>
                <c:pt idx="1">
                  <c:v>2025</c:v>
                </c:pt>
              </c:numCache>
            </c:numRef>
          </c:cat>
          <c:val>
            <c:numRef>
              <c:f>Sheet1!$C$2:$C$3</c:f>
              <c:numCache>
                <c:formatCode>General</c:formatCode>
                <c:ptCount val="2"/>
                <c:pt idx="0">
                  <c:v>626.66</c:v>
                </c:pt>
                <c:pt idx="1">
                  <c:v>622.47</c:v>
                </c:pt>
              </c:numCache>
            </c:numRef>
          </c:val>
        </c:ser>
        <c:dLbls>
          <c:showLegendKey val="0"/>
          <c:showVal val="1"/>
          <c:showCatName val="0"/>
          <c:showSerName val="0"/>
          <c:showPercent val="0"/>
          <c:showBubbleSize val="0"/>
        </c:dLbls>
        <c:gapWidth val="246"/>
        <c:overlap val="-28"/>
        <c:axId val="89782339"/>
        <c:axId val="937431679"/>
      </c:barChart>
      <c:catAx>
        <c:axId val="8978233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37431679"/>
        <c:crosses val="autoZero"/>
        <c:auto val="1"/>
        <c:lblAlgn val="ctr"/>
        <c:lblOffset val="100"/>
        <c:noMultiLvlLbl val="0"/>
      </c:catAx>
      <c:valAx>
        <c:axId val="937431679"/>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782339"/>
        <c:crosses val="autoZero"/>
        <c:crossBetween val="between"/>
      </c:valAx>
      <c:spPr>
        <a:noFill/>
        <a:ln>
          <a:noFill/>
        </a:ln>
        <a:effectLst/>
      </c:spPr>
    </c:plotArea>
    <c:legend>
      <c:legendPos val="b"/>
      <c:layout>
        <c:manualLayout>
          <c:xMode val="edge"/>
          <c:yMode val="edge"/>
          <c:x val="0.178538951197333"/>
          <c:y val="0.85335059889932"/>
          <c:w val="0.525310700212186"/>
          <c:h val="0.107801877630301"/>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772bdb5-9d99-4558-8d30-570565ddb50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en-US" altLang="zh-CN"/>
              <a:t>            </a:t>
            </a:r>
            <a:r>
              <a:t>一般公共预算财政拨款支出决算变动情况图</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一般公共预算财政拨款支出</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Sheet1!$A$2:$A$3</c:f>
              <c:numCache>
                <c:formatCode>General</c:formatCode>
                <c:ptCount val="2"/>
                <c:pt idx="0">
                  <c:v>2024</c:v>
                </c:pt>
                <c:pt idx="1">
                  <c:v>2025</c:v>
                </c:pt>
              </c:numCache>
            </c:numRef>
          </c:cat>
          <c:val>
            <c:numRef>
              <c:f>Sheet1!$B$2:$B$3</c:f>
              <c:numCache>
                <c:formatCode>General</c:formatCode>
                <c:ptCount val="2"/>
                <c:pt idx="0">
                  <c:v>626.66</c:v>
                </c:pt>
                <c:pt idx="1">
                  <c:v>622.47</c:v>
                </c:pt>
              </c:numCache>
            </c:numRef>
          </c:val>
        </c:ser>
        <c:dLbls>
          <c:showLegendKey val="0"/>
          <c:showVal val="1"/>
          <c:showCatName val="0"/>
          <c:showSerName val="0"/>
          <c:showPercent val="0"/>
          <c:showBubbleSize val="0"/>
        </c:dLbls>
        <c:gapWidth val="246"/>
        <c:overlap val="-28"/>
        <c:axId val="555599359"/>
        <c:axId val="841425489"/>
        <c:extLst>
          <c:ext xmlns:c15="http://schemas.microsoft.com/office/drawing/2012/chart" uri="{02D57815-91ED-43cb-92C2-25804820EDAC}">
            <c15:filteredBarSeries>
              <c15:ser>
                <c:idx val="1"/>
                <c:order val="1"/>
                <c:tx>
                  <c:strRef>
                    <c:extLst>
                      <c:ext uri="{02D57815-91ED-43cb-92C2-25804820EDAC}">
                        <c15:formulaRef>
                          <c15:sqref>Sheet1!$C$1</c15:sqref>
                        </c15:formulaRef>
                      </c:ext>
                    </c:extLst>
                    <c:strCache>
                      <c:ptCount val="1"/>
                      <c:pt idx="0">
                        <c:v>系列 2</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extLst>
                      <c:ext uri="{02D57815-91ED-43cb-92C2-25804820EDAC}">
                        <c15:fullRef>
                          <c15:sqref/>
                        </c15:fullRef>
                        <c15:formulaRef>
                          <c15:sqref>Sheet1!$A$2:$A$3</c15:sqref>
                        </c15:formulaRef>
                      </c:ext>
                    </c:extLst>
                    <c:numCache>
                      <c:formatCode>General</c:formatCode>
                      <c:ptCount val="2"/>
                      <c:pt idx="0">
                        <c:v>2024</c:v>
                      </c:pt>
                      <c:pt idx="1">
                        <c:v>2025</c:v>
                      </c:pt>
                    </c:numCache>
                  </c:numRef>
                </c:cat>
                <c:val>
                  <c:numRef>
                    <c:extLst>
                      <c:ext uri="{02D57815-91ED-43cb-92C2-25804820EDAC}">
                        <c15:formulaRef>
                          <c15:sqref>Sheet1!$C$2:$C$3</c15:sqref>
                        </c15:formulaRef>
                      </c:ext>
                    </c:extLst>
                    <c:numCache>
                      <c:formatCode>General</c:formatCode>
                      <c:ptCount val="2"/>
                      <c:pt idx="0">
                        <c:v>4.4</c:v>
                      </c:pt>
                      <c:pt idx="1">
                        <c:v>4.4</c:v>
                      </c:pt>
                    </c:numCache>
                  </c:numRef>
                </c:val>
              </c15:ser>
            </c15:filteredBarSeries>
          </c:ext>
        </c:extLst>
      </c:barChart>
      <c:catAx>
        <c:axId val="55559935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41425489"/>
        <c:crosses val="autoZero"/>
        <c:auto val="1"/>
        <c:lblAlgn val="ctr"/>
        <c:lblOffset val="100"/>
        <c:noMultiLvlLbl val="0"/>
      </c:catAx>
      <c:valAx>
        <c:axId val="841425489"/>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559935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339b31d-07df-4cba-941a-824d68381aa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rgbClr val="0000FF"/>
                </a:solidFill>
                <a:latin typeface="+mn-lt"/>
                <a:ea typeface="+mn-ea"/>
                <a:cs typeface="+mn-cs"/>
              </a:defRPr>
            </a:pPr>
            <a:r>
              <a:t>一般公共预算财政拨款支出决算结构图</a:t>
            </a:r>
          </a:p>
        </c:rich>
      </c:tx>
      <c:layout/>
      <c:overlay val="0"/>
      <c:spPr>
        <a:noFill/>
        <a:ln>
          <a:noFill/>
        </a:ln>
        <a:effectLst/>
      </c:spPr>
    </c:title>
    <c:autoTitleDeleted val="0"/>
    <c:plotArea>
      <c:layout/>
      <c:pieChart>
        <c:varyColors val="1"/>
        <c:ser>
          <c:idx val="0"/>
          <c:order val="0"/>
          <c:tx>
            <c:strRef>
              <c:f>Sheet1!$B$1</c:f>
              <c:strCache>
                <c:ptCount val="1"/>
                <c:pt idx="0">
                  <c:v>2025年度一般公共预算财政拨款支出</c:v>
                </c:pt>
              </c:strCache>
            </c:strRef>
          </c:tx>
          <c:spPr>
            <a:ln w="15875">
              <a:solidFill>
                <a:schemeClr val="bg1"/>
              </a:solidFill>
            </a:ln>
            <a:effectLst>
              <a:outerShdw blurRad="50800" dist="38100" dir="2700000" algn="tl" rotWithShape="0">
                <a:prstClr val="black">
                  <a:alpha val="40000"/>
                </a:prstClr>
              </a:outerShdw>
            </a:effectLst>
            <a:sp3d contourW="15875"/>
          </c:spPr>
          <c:explosion val="0"/>
          <c:dPt>
            <c:idx val="0"/>
            <c:bubble3D val="0"/>
            <c:explosion val="9"/>
            <c:spPr>
              <a:gradFill>
                <a:gsLst>
                  <a:gs pos="0">
                    <a:schemeClr val="accent6">
                      <a:lumMod val="60000"/>
                      <a:lumOff val="40000"/>
                    </a:schemeClr>
                  </a:gs>
                  <a:gs pos="83000">
                    <a:schemeClr val="accent6"/>
                  </a:gs>
                </a:gsLst>
                <a:lin ang="2700000"/>
              </a:gradFill>
              <a:ln w="15875">
                <a:solidFill>
                  <a:schemeClr val="bg1"/>
                </a:solidFill>
              </a:ln>
              <a:effectLst>
                <a:outerShdw blurRad="50800" dist="38100" dir="2700000" algn="tl" rotWithShape="0">
                  <a:schemeClr val="accent6">
                    <a:lumMod val="50000"/>
                    <a:alpha val="40000"/>
                  </a:schemeClr>
                </a:outerShdw>
              </a:effectLst>
              <a:sp3d contourW="15875"/>
            </c:spPr>
          </c:dPt>
          <c:dPt>
            <c:idx val="1"/>
            <c:bubble3D val="0"/>
            <c:spPr>
              <a:gradFill>
                <a:gsLst>
                  <a:gs pos="0">
                    <a:schemeClr val="accent2">
                      <a:lumMod val="60000"/>
                      <a:lumOff val="40000"/>
                    </a:schemeClr>
                  </a:gs>
                  <a:gs pos="83000">
                    <a:schemeClr val="accent2"/>
                  </a:gs>
                </a:gsLst>
                <a:lin ang="2700000"/>
              </a:gradFill>
              <a:ln w="15875">
                <a:solidFill>
                  <a:schemeClr val="bg1"/>
                </a:solidFill>
              </a:ln>
              <a:effectLst>
                <a:outerShdw blurRad="50800" dist="38100" dir="2700000" algn="tl" rotWithShape="0">
                  <a:schemeClr val="accent2">
                    <a:lumMod val="50000"/>
                    <a:alpha val="40000"/>
                  </a:schemeClr>
                </a:outerShdw>
              </a:effectLst>
              <a:sp3d contourW="15875"/>
            </c:spPr>
          </c:dPt>
          <c:dPt>
            <c:idx val="2"/>
            <c:bubble3D val="0"/>
            <c:spPr>
              <a:gradFill>
                <a:gsLst>
                  <a:gs pos="0">
                    <a:schemeClr val="accent5">
                      <a:lumMod val="60000"/>
                      <a:lumOff val="40000"/>
                    </a:schemeClr>
                  </a:gs>
                  <a:gs pos="83000">
                    <a:schemeClr val="accent5"/>
                  </a:gs>
                </a:gsLst>
                <a:lin ang="2700000"/>
              </a:gradFill>
              <a:ln w="19050">
                <a:solidFill>
                  <a:schemeClr val="bg1"/>
                </a:solidFill>
              </a:ln>
              <a:effectLst>
                <a:outerShdw blurRad="50800" dist="38100" dir="2700000" algn="tl" rotWithShape="0">
                  <a:schemeClr val="accent5">
                    <a:lumMod val="50000"/>
                    <a:alpha val="40000"/>
                  </a:schemeClr>
                </a:outerShdw>
              </a:effectLst>
              <a:sp3d contourW="19050"/>
            </c:spPr>
          </c:dPt>
          <c:dLbls>
            <c:dLbl>
              <c:idx val="0"/>
              <c:layout>
                <c:manualLayout>
                  <c:x val="-0.124298596093893"/>
                  <c:y val="0.129730628871539"/>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2"/>
              <c:layout>
                <c:manualLayout>
                  <c:x val="-0.0578974627185729"/>
                  <c:y val="0.129908856881803"/>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forceAA="0"/>
              <a:lstStyle/>
              <a:p>
                <a:pPr>
                  <a:defRPr lang="zh-CN" sz="900" b="0" i="0" u="none" strike="noStrike" kern="1200" baseline="0">
                    <a:solidFill>
                      <a:srgbClr val="0000FF"/>
                    </a:solidFill>
                    <a:effectLst/>
                    <a:latin typeface="+mn-lt"/>
                    <a:ea typeface="+mn-ea"/>
                    <a:cs typeface="+mn-cs"/>
                  </a:defRPr>
                </a:pPr>
              </a:p>
            </c:txPr>
            <c:dLblPos val="in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社会保障和就业支出</c:v>
                </c:pt>
                <c:pt idx="1">
                  <c:v>卫生健康支出</c:v>
                </c:pt>
                <c:pt idx="2">
                  <c:v>住房保障支出</c:v>
                </c:pt>
              </c:strCache>
            </c:strRef>
          </c:cat>
          <c:val>
            <c:numRef>
              <c:f>Sheet1!$B$2:$B$4</c:f>
              <c:numCache>
                <c:formatCode>General</c:formatCode>
                <c:ptCount val="3"/>
                <c:pt idx="0">
                  <c:v>72.73</c:v>
                </c:pt>
                <c:pt idx="1">
                  <c:v>506.48</c:v>
                </c:pt>
                <c:pt idx="2">
                  <c:v>43.26</c:v>
                </c:pt>
              </c:numCache>
            </c:numRef>
          </c:val>
        </c:ser>
        <c:dLbls>
          <c:showLegendKey val="0"/>
          <c:showVal val="1"/>
          <c:showCatName val="0"/>
          <c:showSerName val="0"/>
          <c:showPercent val="0"/>
          <c:showBubbleSize val="0"/>
          <c:showLeaderLines val="1"/>
        </c:dLbls>
        <c:firstSliceAng val="36"/>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rgbClr val="0000FF"/>
              </a:solidFill>
              <a:latin typeface="+mn-lt"/>
              <a:ea typeface="+mn-ea"/>
              <a:cs typeface="+mn-cs"/>
            </a:defRPr>
          </a:pPr>
        </a:p>
      </c:txPr>
    </c:legend>
    <c:plotVisOnly val="1"/>
    <c:dispBlanksAs val="gap"/>
    <c:showDLblsOverMax val="0"/>
    <c:extLst>
      <c:ext uri="{0b15fc19-7d7d-44ad-8c2d-2c3a37ce22c3}">
        <chartProps xmlns="https://web.wps.cn/et/2018/main" chartId="{6674e454-9bea-4169-ac69-1e36336b80a0}"/>
      </c:ext>
    </c:extLst>
  </c:chart>
  <c:spPr>
    <a:solidFill>
      <a:schemeClr val="bg1"/>
    </a:solidFill>
    <a:ln w="9525" cap="flat" cmpd="sng" algn="ctr">
      <a:solidFill>
        <a:schemeClr val="bg1">
          <a:lumMod val="85000"/>
        </a:schemeClr>
      </a:solidFill>
      <a:round/>
    </a:ln>
    <a:effectLst>
      <a:outerShdw blurRad="63500" dist="37357" dir="2700000" sx="0" sy="0" rotWithShape="0">
        <a:scrgbClr r="0" g="0" b="0"/>
      </a:outerShdw>
    </a:effectLst>
  </c:spPr>
  <c:txPr>
    <a:bodyPr/>
    <a:lstStyle/>
    <a:p>
      <a:pPr>
        <a:defRPr lang="zh-CN">
          <a:solidFill>
            <a:srgbClr val="0000FF"/>
          </a:solidFill>
        </a:defRPr>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财政拨款</a:t>
            </a:r>
            <a:r>
              <a:rPr lang="en-US" altLang="zh-CN"/>
              <a:t>“</a:t>
            </a:r>
            <a:r>
              <a:t>三公</a:t>
            </a:r>
            <a:r>
              <a:rPr lang="en-US" altLang="zh-CN"/>
              <a:t>”</a:t>
            </a:r>
            <a:r>
              <a:t>经费支出结构图</a:t>
            </a:r>
          </a:p>
        </c:rich>
      </c:tx>
      <c:layout/>
      <c:overlay val="0"/>
      <c:spPr>
        <a:noFill/>
        <a:ln>
          <a:noFill/>
        </a:ln>
        <a:effectLst/>
      </c:spPr>
    </c:title>
    <c:autoTitleDeleted val="0"/>
    <c:plotArea>
      <c:layout/>
      <c:pieChart>
        <c:varyColors val="1"/>
        <c:ser>
          <c:idx val="0"/>
          <c:order val="0"/>
          <c:tx>
            <c:strRef>
              <c:f>Sheet1!$B$1</c:f>
              <c:strCache>
                <c:ptCount val="1"/>
                <c:pt idx="0">
                  <c:v>三公经费</c:v>
                </c:pt>
              </c:strCache>
            </c:strRef>
          </c:tx>
          <c:spPr/>
          <c:explosion val="0"/>
          <c:dPt>
            <c:idx val="0"/>
            <c:bubble3D val="0"/>
            <c:spPr>
              <a:solidFill>
                <a:schemeClr val="accent1"/>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公务用车运行维护费支出</c:v>
                </c:pt>
              </c:strCache>
            </c:strRef>
          </c:cat>
          <c:val>
            <c:numRef>
              <c:f>Sheet1!$B$2</c:f>
              <c:numCache>
                <c:formatCode>General</c:formatCode>
                <c:ptCount val="1"/>
                <c:pt idx="0">
                  <c:v>1.94</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manualLayout>
          <c:xMode val="edge"/>
          <c:yMode val="edge"/>
          <c:x val="0.593579114482272"/>
          <c:y val="0.851891506067095"/>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b9dad6b-2f20-4db9-a400-6c9c399f4500}"/>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88">
  <cs:axisTitle>
    <cs:lnRef idx="0"/>
    <cs:fillRef idx="0"/>
    <cs:effectRef idx="0"/>
    <cs:fontRef idx="minor">
      <a:schemeClr val="dk1">
        <a:lumMod val="65000"/>
        <a:lumOff val="35000"/>
      </a:schemeClr>
    </cs:fontRef>
    <cs:defRPr sz="1000"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lt1">
          <a:lumMod val="96000"/>
        </a:schemeClr>
      </a:solidFill>
      <a:ln w="9525" cap="flat" cmpd="sng" algn="ctr">
        <a:solidFill>
          <a:schemeClr val="tx1">
            <a:lumMod val="15000"/>
            <a:lumOff val="85000"/>
          </a:schemeClr>
        </a:solidFill>
        <a:round/>
      </a:ln>
    </cs:spPr>
    <cs:defRPr sz="1000" kern="1200"/>
  </cs:chartArea>
  <cs:dataLabel>
    <cs:lnRef idx="0"/>
    <cs:fillRef idx="0"/>
    <cs:effectRef idx="0"/>
    <cs:fontRef idx="minor">
      <a:schemeClr val="dk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100000">
            <a:schemeClr val="phClr"/>
          </a:gs>
          <a:gs pos="0">
            <a:schemeClr val="phClr">
              <a:hueOff val="-1670000"/>
            </a:schemeClr>
          </a:gs>
        </a:gsLst>
        <a:lin ang="5400000" scaled="0"/>
      </a:gradFill>
      <a:ln>
        <a:gradFill>
          <a:gsLst>
            <a:gs pos="100000">
              <a:schemeClr val="phClr">
                <a:lumMod val="75000"/>
              </a:schemeClr>
            </a:gs>
            <a:gs pos="0">
              <a:schemeClr val="phClr">
                <a:lumMod val="75000"/>
                <a:hueOff val="-1670000"/>
              </a:schemeClr>
            </a:gs>
          </a:gsLst>
          <a:lin ang="4620000" scaled="0"/>
        </a:gra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a:solidFill>
          <a:schemeClr val="dk1">
            <a:lumMod val="35000"/>
            <a:lumOff val="65000"/>
          </a:schemeClr>
        </a:solidFill>
      </a:ln>
    </cs:spPr>
  </cs:dropLine>
  <cs:errorBar>
    <cs:lnRef idx="0"/>
    <cs:fillRef idx="0"/>
    <cs:effectRef idx="0"/>
    <cs:fontRef idx="minor">
      <a:schemeClr val="tx1"/>
    </cs:fontRef>
    <cs:spPr>
      <a:ln w="9525" cap="flat" cmpd="sng" algn="ctr">
        <a:solidFill>
          <a:schemeClr val="dk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a:solidFill>
          <a:schemeClr val="dk1">
            <a:lumMod val="75000"/>
            <a:lumOff val="25000"/>
          </a:schemeClr>
        </a:solidFill>
      </a:ln>
    </cs:spPr>
  </cs:hiLoLine>
  <cs:leaderLine>
    <cs:lnRef idx="0"/>
    <cs:fillRef idx="0"/>
    <cs:effectRef idx="0"/>
    <cs:fontRef idx="minor">
      <a:schemeClr val="tx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tx1"/>
    </cs:fontRef>
    <cs:spPr>
      <a:ln w="9525">
        <a:solidFill>
          <a:schemeClr val="dk1">
            <a:lumMod val="35000"/>
            <a:lumOff val="65000"/>
          </a:schemeClr>
        </a:solidFill>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19</Pages>
  <Words>4380</Words>
  <Characters>4748</Characters>
  <Lines>54</Lines>
  <Paragraphs>15</Paragraphs>
  <TotalTime>5</TotalTime>
  <ScaleCrop>false</ScaleCrop>
  <LinksUpToDate>false</LinksUpToDate>
  <CharactersWithSpaces>4867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苏苏</cp:lastModifiedBy>
  <cp:lastPrinted>2026-09-01T08:05:57Z</cp:lastPrinted>
  <dcterms:modified xsi:type="dcterms:W3CDTF">2026-09-01T08:10:37Z</dcterms:modified>
  <dc:title>四川省***</dc:title>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FD1B9657CC6B4DD4A5CBFB14E8E40E15_13</vt:lpwstr>
  </property>
  <property fmtid="{D5CDD505-2E9C-101B-9397-08002B2CF9AE}" pid="4" name="KSOTemplateDocerSaveRecord">
    <vt:lpwstr>eyJoZGlkIjoiMzhlY2U5OGM5MmI0MDFmODcxODQxOWZmOWNhMmI2OTciLCJ1c2VySWQiOiIyODI5NzI1MjQifQ==</vt:lpwstr>
  </property>
</Properties>
</file>