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8E81E">
      <w:pPr>
        <w:spacing w:line="600" w:lineRule="exact"/>
        <w:jc w:val="left"/>
        <w:outlineLvl w:val="9"/>
        <w:rPr>
          <w:rFonts w:ascii="方正小标宋简体" w:hAnsi="宋体" w:eastAsia="方正小标宋简体"/>
          <w:szCs w:val="21"/>
        </w:rPr>
      </w:pPr>
      <w:bookmarkStart w:id="0" w:name="_Toc15306267"/>
    </w:p>
    <w:p w14:paraId="363066C8">
      <w:pPr>
        <w:pStyle w:val="8"/>
        <w:spacing w:before="93"/>
      </w:pPr>
    </w:p>
    <w:p w14:paraId="66B5C8D6">
      <w:pPr>
        <w:spacing w:line="600" w:lineRule="exact"/>
        <w:jc w:val="center"/>
        <w:outlineLvl w:val="9"/>
        <w:rPr>
          <w:rFonts w:ascii="方正小标宋简体" w:hAnsi="宋体" w:eastAsia="方正小标宋简体"/>
          <w:sz w:val="72"/>
          <w:szCs w:val="72"/>
        </w:rPr>
      </w:pPr>
    </w:p>
    <w:p w14:paraId="2A979CF6">
      <w:pPr>
        <w:spacing w:line="600" w:lineRule="exact"/>
        <w:jc w:val="center"/>
        <w:outlineLvl w:val="9"/>
        <w:rPr>
          <w:rFonts w:ascii="方正小标宋简体" w:hAnsi="宋体" w:eastAsia="方正小标宋简体"/>
          <w:sz w:val="72"/>
          <w:szCs w:val="72"/>
        </w:rPr>
      </w:pPr>
    </w:p>
    <w:p w14:paraId="26CE7EB6">
      <w:pPr>
        <w:adjustRightInd w:val="0"/>
        <w:snapToGrid w:val="0"/>
        <w:spacing w:line="360" w:lineRule="auto"/>
        <w:jc w:val="center"/>
        <w:outlineLvl w:val="0"/>
        <w:rPr>
          <w:rFonts w:ascii="方正小标宋简体" w:hAnsi="方正小标宋简体" w:eastAsia="方正小标宋简体" w:cs="方正小标宋简体"/>
          <w:sz w:val="36"/>
          <w:szCs w:val="36"/>
        </w:rPr>
      </w:pPr>
      <w:bookmarkStart w:id="1" w:name="_Toc15377425"/>
      <w:bookmarkStart w:id="2" w:name="_Toc15377193"/>
      <w:bookmarkStart w:id="3" w:name="_Toc21765"/>
      <w:bookmarkStart w:id="4" w:name="_Toc15396597"/>
      <w:bookmarkStart w:id="5" w:name="_Toc15396475"/>
      <w:bookmarkStart w:id="6" w:name="_Toc15378441"/>
      <w:r>
        <w:rPr>
          <w:rFonts w:hint="eastAsia" w:ascii="方正小标宋简体" w:hAnsi="方正小标宋简体" w:eastAsia="方正小标宋简体" w:cs="方正小标宋简体"/>
          <w:sz w:val="36"/>
          <w:szCs w:val="36"/>
        </w:rPr>
        <w:t>202</w:t>
      </w:r>
      <w:r>
        <w:rPr>
          <w:rFonts w:hint="eastAsia" w:ascii="方正小标宋简体" w:hAnsi="方正小标宋简体" w:eastAsia="方正小标宋简体" w:cs="方正小标宋简体"/>
          <w:sz w:val="36"/>
          <w:szCs w:val="36"/>
          <w:lang w:val="en-US" w:eastAsia="zh-CN"/>
        </w:rPr>
        <w:t>5</w:t>
      </w:r>
      <w:r>
        <w:rPr>
          <w:rFonts w:hint="eastAsia" w:ascii="方正小标宋简体" w:hAnsi="方正小标宋简体" w:eastAsia="方正小标宋简体" w:cs="方正小标宋简体"/>
          <w:sz w:val="36"/>
          <w:szCs w:val="36"/>
        </w:rPr>
        <w:t>年度</w:t>
      </w:r>
      <w:bookmarkEnd w:id="1"/>
      <w:bookmarkEnd w:id="2"/>
      <w:bookmarkEnd w:id="3"/>
      <w:bookmarkEnd w:id="4"/>
      <w:bookmarkEnd w:id="5"/>
      <w:bookmarkEnd w:id="6"/>
    </w:p>
    <w:bookmarkEnd w:id="0"/>
    <w:p w14:paraId="29D39F99">
      <w:pPr>
        <w:adjustRightInd w:val="0"/>
        <w:snapToGrid w:val="0"/>
        <w:spacing w:line="360" w:lineRule="auto"/>
        <w:jc w:val="center"/>
        <w:outlineLvl w:val="0"/>
        <w:rPr>
          <w:rFonts w:ascii="方正小标宋简体" w:hAnsi="方正小标宋简体" w:eastAsia="方正小标宋简体" w:cs="方正小标宋简体"/>
          <w:sz w:val="36"/>
          <w:szCs w:val="36"/>
        </w:rPr>
      </w:pPr>
      <w:bookmarkStart w:id="7" w:name="_Toc16413"/>
      <w:bookmarkStart w:id="8" w:name="_Toc15306268"/>
      <w:bookmarkStart w:id="9" w:name="_Toc15396476"/>
      <w:bookmarkStart w:id="10" w:name="_Toc15378442"/>
      <w:bookmarkStart w:id="11" w:name="_Toc15377426"/>
      <w:bookmarkStart w:id="12" w:name="_Toc15377194"/>
      <w:bookmarkStart w:id="13" w:name="_Toc15396598"/>
      <w:r>
        <w:rPr>
          <w:rFonts w:hint="eastAsia" w:ascii="方正小标宋简体" w:hAnsi="方正小标宋简体" w:eastAsia="方正小标宋简体" w:cs="方正小标宋简体"/>
          <w:sz w:val="36"/>
          <w:szCs w:val="36"/>
          <w:lang w:eastAsia="zh-CN"/>
        </w:rPr>
        <w:t>茂县凤仪镇社区卫生服务中心</w:t>
      </w:r>
      <w:r>
        <w:rPr>
          <w:rFonts w:hint="eastAsia" w:ascii="方正小标宋简体" w:hAnsi="方正小标宋简体" w:eastAsia="方正小标宋简体" w:cs="方正小标宋简体"/>
          <w:sz w:val="36"/>
          <w:szCs w:val="36"/>
        </w:rPr>
        <w:t>单位决算</w:t>
      </w:r>
      <w:bookmarkEnd w:id="7"/>
      <w:bookmarkEnd w:id="8"/>
      <w:bookmarkEnd w:id="9"/>
      <w:bookmarkEnd w:id="10"/>
      <w:bookmarkEnd w:id="11"/>
      <w:bookmarkEnd w:id="12"/>
      <w:bookmarkEnd w:id="13"/>
    </w:p>
    <w:p w14:paraId="14DDC73F">
      <w:pPr>
        <w:widowControl/>
        <w:jc w:val="center"/>
        <w:rPr>
          <w:rFonts w:ascii="方正小标宋简体" w:hAnsi="宋体" w:eastAsia="方正小标宋简体"/>
          <w:sz w:val="36"/>
          <w:szCs w:val="36"/>
        </w:rPr>
      </w:pPr>
    </w:p>
    <w:p w14:paraId="525B3521">
      <w:pPr>
        <w:widowControl/>
        <w:jc w:val="center"/>
        <w:rPr>
          <w:rFonts w:ascii="方正小标宋简体" w:hAnsi="宋体" w:eastAsia="方正小标宋简体"/>
          <w:sz w:val="36"/>
          <w:szCs w:val="36"/>
        </w:rPr>
      </w:pPr>
    </w:p>
    <w:p w14:paraId="169E9C00">
      <w:pPr>
        <w:widowControl/>
        <w:jc w:val="center"/>
        <w:rPr>
          <w:rFonts w:ascii="方正小标宋简体" w:hAnsi="宋体" w:eastAsia="方正小标宋简体"/>
          <w:sz w:val="36"/>
          <w:szCs w:val="36"/>
        </w:rPr>
      </w:pPr>
    </w:p>
    <w:p w14:paraId="3F25AF27">
      <w:pPr>
        <w:widowControl/>
        <w:jc w:val="center"/>
      </w:pPr>
      <w:r>
        <w:rPr>
          <w:rFonts w:ascii="方正小标宋简体" w:hAnsi="宋体" w:eastAsia="方正小标宋简体"/>
          <w:sz w:val="36"/>
          <w:szCs w:val="36"/>
        </w:rPr>
        <w:br w:type="page"/>
      </w:r>
    </w:p>
    <w:sdt>
      <w:sdtPr>
        <w:rPr>
          <w:rFonts w:ascii="宋体" w:hAnsi="宋体" w:eastAsia="宋体" w:cs="Times New Roman"/>
          <w:kern w:val="2"/>
          <w:sz w:val="21"/>
          <w:szCs w:val="24"/>
          <w:lang w:val="en-US" w:eastAsia="zh-CN" w:bidi="ar-SA"/>
        </w:rPr>
        <w:id w:val="147472001"/>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14:paraId="41B86D8B">
          <w:pPr>
            <w:spacing w:before="0" w:beforeLines="0" w:after="0" w:afterLines="0" w:line="240" w:lineRule="auto"/>
            <w:ind w:left="0" w:leftChars="0" w:right="0" w:rightChars="0" w:firstLine="0" w:firstLineChars="0"/>
            <w:jc w:val="center"/>
            <w:rPr>
              <w:rFonts w:hint="eastAsia" w:ascii="Times New Roman" w:hAnsi="Times New Roman" w:eastAsia="黑体" w:cs="Times New Roman"/>
              <w:sz w:val="48"/>
              <w:szCs w:val="48"/>
            </w:rPr>
          </w:pPr>
          <w:bookmarkStart w:id="14" w:name="_Toc13734"/>
          <w:bookmarkStart w:id="15" w:name="_Toc15396602"/>
          <w:bookmarkStart w:id="16" w:name="_Toc15377204"/>
          <w:r>
            <w:rPr>
              <w:rFonts w:hint="eastAsia" w:ascii="Times New Roman" w:hAnsi="Times New Roman" w:eastAsia="黑体" w:cs="Times New Roman"/>
              <w:sz w:val="48"/>
              <w:szCs w:val="48"/>
            </w:rPr>
            <w:t>目录</w:t>
          </w:r>
        </w:p>
        <w:p w14:paraId="747A5CA6">
          <w:pPr>
            <w:pStyle w:val="34"/>
            <w:tabs>
              <w:tab w:val="right" w:leader="dot" w:pos="8306"/>
            </w:tabs>
            <w:jc w:val="center"/>
            <w:rPr>
              <w:rFonts w:hint="default" w:ascii="Times New Roman" w:hAnsi="Times New Roman" w:eastAsia="仿宋_GB2312" w:cs="仿宋_GB2312"/>
              <w:kern w:val="2"/>
              <w:sz w:val="32"/>
              <w:szCs w:val="32"/>
              <w:lang w:val="en-US" w:eastAsia="zh-CN" w:bidi="ar-SA"/>
            </w:rPr>
          </w:pPr>
          <w:r>
            <w:fldChar w:fldCharType="begin"/>
          </w:r>
          <w:r>
            <w:instrText xml:space="preserve">TOC \o "1-2" \h \u </w:instrText>
          </w:r>
          <w:r>
            <w:fldChar w:fldCharType="separate"/>
          </w:r>
          <w:r>
            <w:rPr>
              <w:rFonts w:hint="eastAsia" w:ascii="Times New Roman" w:hAnsi="Times New Roman" w:eastAsia="仿宋_GB2312" w:cs="仿宋_GB2312"/>
              <w:kern w:val="2"/>
              <w:sz w:val="32"/>
              <w:szCs w:val="32"/>
              <w:lang w:val="en-US" w:eastAsia="zh-CN" w:bidi="ar-SA"/>
            </w:rPr>
            <w:t>公开时间：202</w:t>
          </w:r>
          <w:r>
            <w:rPr>
              <w:rFonts w:hint="eastAsia" w:eastAsia="仿宋_GB2312" w:cs="仿宋_GB2312"/>
              <w:kern w:val="2"/>
              <w:sz w:val="32"/>
              <w:szCs w:val="32"/>
              <w:lang w:val="en-US" w:eastAsia="zh-CN" w:bidi="ar-SA"/>
            </w:rPr>
            <w:t>6</w:t>
          </w:r>
          <w:r>
            <w:rPr>
              <w:rFonts w:hint="eastAsia" w:ascii="Times New Roman" w:hAnsi="Times New Roman" w:eastAsia="仿宋_GB2312" w:cs="仿宋_GB2312"/>
              <w:kern w:val="2"/>
              <w:sz w:val="32"/>
              <w:szCs w:val="32"/>
              <w:lang w:val="en-US" w:eastAsia="zh-CN" w:bidi="ar-SA"/>
            </w:rPr>
            <w:t>年9月</w:t>
          </w:r>
          <w:r>
            <w:rPr>
              <w:rFonts w:hint="eastAsia" w:eastAsia="仿宋_GB2312" w:cs="仿宋_GB2312"/>
              <w:kern w:val="2"/>
              <w:sz w:val="32"/>
              <w:szCs w:val="32"/>
              <w:lang w:val="en-US" w:eastAsia="zh-CN" w:bidi="ar-SA"/>
            </w:rPr>
            <w:t>04</w:t>
          </w:r>
          <w:r>
            <w:rPr>
              <w:rFonts w:hint="eastAsia" w:ascii="Times New Roman" w:hAnsi="Times New Roman" w:eastAsia="仿宋_GB2312" w:cs="仿宋_GB2312"/>
              <w:kern w:val="2"/>
              <w:sz w:val="32"/>
              <w:szCs w:val="32"/>
              <w:lang w:val="en-US" w:eastAsia="zh-CN" w:bidi="ar-SA"/>
            </w:rPr>
            <w:t>日</w:t>
          </w:r>
        </w:p>
        <w:p w14:paraId="604A6BFD">
          <w:pPr>
            <w:pStyle w:val="34"/>
            <w:tabs>
              <w:tab w:val="right" w:leader="dot" w:pos="8306"/>
            </w:tabs>
            <w:rPr>
              <w:rFonts w:hint="eastAsia" w:ascii="黑体" w:hAnsi="黑体" w:eastAsia="黑体"/>
              <w:b/>
              <w:sz w:val="32"/>
              <w:szCs w:val="24"/>
            </w:rPr>
          </w:pPr>
          <w:r>
            <w:rPr>
              <w:rFonts w:hint="eastAsia" w:ascii="黑体" w:hAnsi="黑体" w:eastAsia="黑体"/>
              <w:b/>
              <w:sz w:val="32"/>
              <w:szCs w:val="24"/>
            </w:rPr>
            <w:fldChar w:fldCharType="begin"/>
          </w:r>
          <w:r>
            <w:rPr>
              <w:rFonts w:hint="eastAsia" w:ascii="黑体" w:hAnsi="黑体" w:eastAsia="黑体"/>
              <w:b/>
              <w:sz w:val="32"/>
              <w:szCs w:val="24"/>
            </w:rPr>
            <w:instrText xml:space="preserve"> HYPERLINK \l _Toc10638 </w:instrText>
          </w:r>
          <w:r>
            <w:rPr>
              <w:rFonts w:hint="eastAsia" w:ascii="黑体" w:hAnsi="黑体" w:eastAsia="黑体"/>
              <w:b/>
              <w:sz w:val="32"/>
              <w:szCs w:val="24"/>
            </w:rPr>
            <w:fldChar w:fldCharType="separate"/>
          </w:r>
          <w:r>
            <w:rPr>
              <w:rFonts w:hint="eastAsia" w:ascii="黑体" w:hAnsi="黑体" w:eastAsia="黑体"/>
              <w:b/>
              <w:sz w:val="32"/>
              <w:szCs w:val="24"/>
            </w:rPr>
            <w:t>第一部分 单位概况</w:t>
          </w:r>
          <w:r>
            <w:rPr>
              <w:rFonts w:hint="eastAsia" w:ascii="黑体" w:hAnsi="黑体" w:eastAsia="黑体"/>
              <w:b/>
              <w:sz w:val="32"/>
              <w:szCs w:val="24"/>
            </w:rPr>
            <w:tab/>
          </w:r>
          <w:r>
            <w:rPr>
              <w:rFonts w:hint="eastAsia" w:ascii="黑体" w:hAnsi="黑体" w:eastAsia="黑体"/>
              <w:b/>
              <w:sz w:val="32"/>
              <w:szCs w:val="24"/>
              <w:lang w:val="en-US" w:eastAsia="zh-CN"/>
            </w:rPr>
            <w:t>4</w:t>
          </w:r>
          <w:r>
            <w:rPr>
              <w:rFonts w:hint="eastAsia" w:ascii="黑体" w:hAnsi="黑体" w:eastAsia="黑体"/>
              <w:b/>
              <w:sz w:val="32"/>
              <w:szCs w:val="24"/>
            </w:rPr>
            <w:fldChar w:fldCharType="end"/>
          </w:r>
        </w:p>
        <w:p w14:paraId="4AFA44A1">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_Toc13757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一、</w:t>
          </w:r>
          <w:r>
            <w:rPr>
              <w:rFonts w:hint="eastAsia" w:ascii="Times New Roman" w:hAnsi="Times New Roman" w:eastAsia="仿宋_GB2312" w:cs="仿宋_GB2312"/>
              <w:sz w:val="32"/>
              <w:szCs w:val="32"/>
            </w:rPr>
            <w:t>主要职责</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rPr>
            <w:fldChar w:fldCharType="end"/>
          </w:r>
        </w:p>
        <w:p w14:paraId="78691620">
          <w:pPr>
            <w:pStyle w:val="14"/>
            <w:adjustRightInd w:val="0"/>
            <w:snapToGrid w:val="0"/>
            <w:spacing w:line="560" w:lineRule="exact"/>
            <w:ind w:left="0" w:leftChars="0" w:firstLine="640" w:firstLineChars="200"/>
            <w:jc w:val="left"/>
            <w:rPr>
              <w:sz w:val="24"/>
              <w:szCs w:val="24"/>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_Toc7580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二、机构设置</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rPr>
            <w:fldChar w:fldCharType="end"/>
          </w:r>
        </w:p>
        <w:p w14:paraId="69A00F95">
          <w:pPr>
            <w:pStyle w:val="34"/>
            <w:tabs>
              <w:tab w:val="right" w:leader="dot" w:pos="8306"/>
            </w:tabs>
            <w:rPr>
              <w:rFonts w:hint="eastAsia" w:ascii="黑体" w:hAnsi="黑体" w:eastAsia="黑体"/>
              <w:b/>
              <w:sz w:val="32"/>
              <w:szCs w:val="24"/>
            </w:rPr>
          </w:pPr>
          <w:r>
            <w:rPr>
              <w:rFonts w:hint="eastAsia" w:ascii="黑体" w:hAnsi="黑体" w:eastAsia="黑体"/>
              <w:b/>
              <w:sz w:val="32"/>
              <w:szCs w:val="24"/>
            </w:rPr>
            <w:fldChar w:fldCharType="begin"/>
          </w:r>
          <w:r>
            <w:rPr>
              <w:rFonts w:hint="eastAsia" w:ascii="黑体" w:hAnsi="黑体" w:eastAsia="黑体"/>
              <w:b/>
              <w:sz w:val="32"/>
              <w:szCs w:val="24"/>
            </w:rPr>
            <w:instrText xml:space="preserve"> HYPERLINK \l _Toc20199 </w:instrText>
          </w:r>
          <w:r>
            <w:rPr>
              <w:rFonts w:hint="eastAsia" w:ascii="黑体" w:hAnsi="黑体" w:eastAsia="黑体"/>
              <w:b/>
              <w:sz w:val="32"/>
              <w:szCs w:val="24"/>
            </w:rPr>
            <w:fldChar w:fldCharType="separate"/>
          </w:r>
          <w:r>
            <w:rPr>
              <w:rFonts w:hint="eastAsia" w:ascii="黑体" w:hAnsi="黑体" w:eastAsia="黑体"/>
              <w:b/>
              <w:sz w:val="32"/>
              <w:szCs w:val="24"/>
            </w:rPr>
            <w:t>第二部分 202</w:t>
          </w:r>
          <w:r>
            <w:rPr>
              <w:rFonts w:hint="eastAsia" w:ascii="黑体" w:hAnsi="黑体" w:eastAsia="黑体"/>
              <w:b/>
              <w:sz w:val="32"/>
              <w:szCs w:val="24"/>
              <w:lang w:val="en-US" w:eastAsia="zh-CN"/>
            </w:rPr>
            <w:t>5</w:t>
          </w:r>
          <w:r>
            <w:rPr>
              <w:rFonts w:hint="eastAsia" w:ascii="黑体" w:hAnsi="黑体" w:eastAsia="黑体"/>
              <w:b/>
              <w:sz w:val="32"/>
              <w:szCs w:val="24"/>
            </w:rPr>
            <w:t>年度单位决算情况说明</w:t>
          </w:r>
          <w:r>
            <w:rPr>
              <w:rFonts w:hint="eastAsia" w:ascii="黑体" w:hAnsi="黑体" w:eastAsia="黑体"/>
              <w:b/>
              <w:sz w:val="32"/>
              <w:szCs w:val="24"/>
            </w:rPr>
            <w:tab/>
          </w:r>
          <w:r>
            <w:rPr>
              <w:rFonts w:hint="eastAsia" w:ascii="黑体" w:hAnsi="黑体" w:eastAsia="黑体"/>
              <w:b/>
              <w:sz w:val="32"/>
              <w:szCs w:val="24"/>
              <w:lang w:val="en-US" w:eastAsia="zh-CN"/>
            </w:rPr>
            <w:t>5</w:t>
          </w:r>
          <w:r>
            <w:rPr>
              <w:rFonts w:hint="eastAsia" w:ascii="黑体" w:hAnsi="黑体" w:eastAsia="黑体"/>
              <w:b/>
              <w:sz w:val="32"/>
              <w:szCs w:val="24"/>
            </w:rPr>
            <w:fldChar w:fldCharType="end"/>
          </w:r>
        </w:p>
        <w:p w14:paraId="5D9A71C9">
          <w:pPr>
            <w:pStyle w:val="35"/>
            <w:tabs>
              <w:tab w:val="right" w:leader="dot" w:pos="8306"/>
            </w:tabs>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_Toc5569 </w:instrText>
          </w:r>
          <w:r>
            <w:rPr>
              <w:rFonts w:hint="eastAsia" w:ascii="Times New Roman" w:hAnsi="Times New Roman" w:eastAsia="仿宋_GB2312" w:cs="仿宋_GB2312"/>
              <w:kern w:val="2"/>
              <w:sz w:val="32"/>
              <w:szCs w:val="32"/>
              <w:lang w:val="en-US" w:eastAsia="zh-CN" w:bidi="ar-SA"/>
            </w:rPr>
            <w:fldChar w:fldCharType="separate"/>
          </w:r>
          <w:r>
            <w:rPr>
              <w:rFonts w:hint="default" w:ascii="Times New Roman" w:hAnsi="Times New Roman" w:eastAsia="仿宋_GB2312" w:cs="仿宋_GB2312"/>
              <w:kern w:val="2"/>
              <w:sz w:val="32"/>
              <w:szCs w:val="32"/>
              <w:lang w:val="en-US" w:eastAsia="zh-CN" w:bidi="ar-SA"/>
            </w:rPr>
            <w:t xml:space="preserve">一、 </w:t>
          </w:r>
          <w:r>
            <w:rPr>
              <w:rFonts w:hint="eastAsia" w:ascii="Times New Roman" w:hAnsi="Times New Roman" w:eastAsia="仿宋_GB2312" w:cs="仿宋_GB2312"/>
              <w:kern w:val="2"/>
              <w:sz w:val="32"/>
              <w:szCs w:val="32"/>
              <w:lang w:val="en-US" w:eastAsia="zh-CN" w:bidi="ar-SA"/>
            </w:rPr>
            <w:t>收入支出决算总体情况说明</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5</w:t>
          </w:r>
          <w:r>
            <w:rPr>
              <w:rFonts w:hint="eastAsia" w:ascii="Times New Roman" w:hAnsi="Times New Roman" w:eastAsia="仿宋_GB2312" w:cs="仿宋_GB2312"/>
              <w:kern w:val="2"/>
              <w:sz w:val="32"/>
              <w:szCs w:val="32"/>
              <w:lang w:val="en-US" w:eastAsia="zh-CN" w:bidi="ar-SA"/>
            </w:rPr>
            <w:fldChar w:fldCharType="end"/>
          </w:r>
        </w:p>
        <w:p w14:paraId="415F47B5">
          <w:pPr>
            <w:pStyle w:val="35"/>
            <w:tabs>
              <w:tab w:val="right" w:leader="dot" w:pos="8306"/>
            </w:tabs>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_Toc12462 </w:instrText>
          </w:r>
          <w:r>
            <w:rPr>
              <w:rFonts w:hint="eastAsia" w:ascii="Times New Roman" w:hAnsi="Times New Roman" w:eastAsia="仿宋_GB2312" w:cs="仿宋_GB2312"/>
              <w:kern w:val="2"/>
              <w:sz w:val="32"/>
              <w:szCs w:val="32"/>
              <w:lang w:val="en-US" w:eastAsia="zh-CN" w:bidi="ar-SA"/>
            </w:rPr>
            <w:fldChar w:fldCharType="separate"/>
          </w:r>
          <w:r>
            <w:rPr>
              <w:rFonts w:hint="default" w:ascii="Times New Roman" w:hAnsi="Times New Roman" w:eastAsia="仿宋_GB2312" w:cs="仿宋_GB2312"/>
              <w:kern w:val="2"/>
              <w:sz w:val="32"/>
              <w:szCs w:val="32"/>
              <w:lang w:val="en-US" w:eastAsia="zh-CN" w:bidi="ar-SA"/>
            </w:rPr>
            <w:t xml:space="preserve">二、 </w:t>
          </w:r>
          <w:r>
            <w:rPr>
              <w:rFonts w:hint="eastAsia" w:ascii="Times New Roman" w:hAnsi="Times New Roman" w:eastAsia="仿宋_GB2312" w:cs="仿宋_GB2312"/>
              <w:kern w:val="2"/>
              <w:sz w:val="32"/>
              <w:szCs w:val="32"/>
              <w:lang w:val="en-US" w:eastAsia="zh-CN" w:bidi="ar-SA"/>
            </w:rPr>
            <w:t>收入决算情况说明</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5</w:t>
          </w:r>
          <w:r>
            <w:rPr>
              <w:rFonts w:hint="eastAsia" w:ascii="Times New Roman" w:hAnsi="Times New Roman" w:eastAsia="仿宋_GB2312" w:cs="仿宋_GB2312"/>
              <w:kern w:val="2"/>
              <w:sz w:val="32"/>
              <w:szCs w:val="32"/>
              <w:lang w:val="en-US" w:eastAsia="zh-CN" w:bidi="ar-SA"/>
            </w:rPr>
            <w:fldChar w:fldCharType="end"/>
          </w:r>
        </w:p>
        <w:p w14:paraId="57A318A9">
          <w:pPr>
            <w:pStyle w:val="35"/>
            <w:tabs>
              <w:tab w:val="right" w:leader="dot" w:pos="8306"/>
            </w:tabs>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_Toc4854 </w:instrText>
          </w:r>
          <w:r>
            <w:rPr>
              <w:rFonts w:hint="eastAsia" w:ascii="Times New Roman" w:hAnsi="Times New Roman" w:eastAsia="仿宋_GB2312" w:cs="仿宋_GB2312"/>
              <w:kern w:val="2"/>
              <w:sz w:val="32"/>
              <w:szCs w:val="32"/>
              <w:lang w:val="en-US" w:eastAsia="zh-CN" w:bidi="ar-SA"/>
            </w:rPr>
            <w:fldChar w:fldCharType="separate"/>
          </w:r>
          <w:r>
            <w:rPr>
              <w:rFonts w:hint="default" w:ascii="Times New Roman" w:hAnsi="Times New Roman" w:eastAsia="仿宋_GB2312" w:cs="仿宋_GB2312"/>
              <w:kern w:val="2"/>
              <w:sz w:val="32"/>
              <w:szCs w:val="32"/>
              <w:lang w:val="en-US" w:eastAsia="zh-CN" w:bidi="ar-SA"/>
            </w:rPr>
            <w:t xml:space="preserve">三、 </w:t>
          </w:r>
          <w:r>
            <w:rPr>
              <w:rFonts w:hint="eastAsia" w:ascii="Times New Roman" w:hAnsi="Times New Roman" w:eastAsia="仿宋_GB2312" w:cs="仿宋_GB2312"/>
              <w:kern w:val="2"/>
              <w:sz w:val="32"/>
              <w:szCs w:val="32"/>
              <w:lang w:val="en-US" w:eastAsia="zh-CN" w:bidi="ar-SA"/>
            </w:rPr>
            <w:t>支出决算情况说明</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6</w:t>
          </w:r>
          <w:r>
            <w:rPr>
              <w:rFonts w:hint="eastAsia" w:ascii="Times New Roman" w:hAnsi="Times New Roman" w:eastAsia="仿宋_GB2312" w:cs="仿宋_GB2312"/>
              <w:kern w:val="2"/>
              <w:sz w:val="32"/>
              <w:szCs w:val="32"/>
              <w:lang w:val="en-US" w:eastAsia="zh-CN" w:bidi="ar-SA"/>
            </w:rPr>
            <w:fldChar w:fldCharType="end"/>
          </w:r>
        </w:p>
        <w:p w14:paraId="5D96279D">
          <w:pPr>
            <w:pStyle w:val="35"/>
            <w:tabs>
              <w:tab w:val="right" w:leader="dot" w:pos="8306"/>
            </w:tabs>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_Toc10385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四、财政拨款收入支出决算总体情况说明</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7</w:t>
          </w:r>
          <w:r>
            <w:rPr>
              <w:rFonts w:hint="eastAsia" w:ascii="Times New Roman" w:hAnsi="Times New Roman" w:eastAsia="仿宋_GB2312" w:cs="仿宋_GB2312"/>
              <w:kern w:val="2"/>
              <w:sz w:val="32"/>
              <w:szCs w:val="32"/>
              <w:lang w:val="en-US" w:eastAsia="zh-CN" w:bidi="ar-SA"/>
            </w:rPr>
            <w:fldChar w:fldCharType="end"/>
          </w:r>
        </w:p>
        <w:p w14:paraId="7BFC5B0A">
          <w:pPr>
            <w:pStyle w:val="35"/>
            <w:tabs>
              <w:tab w:val="right" w:leader="dot" w:pos="8306"/>
            </w:tabs>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_Toc18577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五、一般公共预算财政拨款支出决算情况说明</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7</w:t>
          </w:r>
          <w:r>
            <w:rPr>
              <w:rFonts w:hint="eastAsia" w:ascii="Times New Roman" w:hAnsi="Times New Roman" w:eastAsia="仿宋_GB2312" w:cs="仿宋_GB2312"/>
              <w:kern w:val="2"/>
              <w:sz w:val="32"/>
              <w:szCs w:val="32"/>
              <w:lang w:val="en-US" w:eastAsia="zh-CN" w:bidi="ar-SA"/>
            </w:rPr>
            <w:fldChar w:fldCharType="end"/>
          </w:r>
        </w:p>
        <w:p w14:paraId="4DFF87B7">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_Toc5478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六、一般公共预算财政拨款基本支出决算情况说明</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w:t>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0</w:t>
          </w:r>
        </w:p>
        <w:p w14:paraId="1A47BE13">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_Toc6002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七、财政拨款“三公”经费支出决算情况说明</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w:t>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0</w:t>
          </w:r>
        </w:p>
        <w:p w14:paraId="157B9747">
          <w:pPr>
            <w:pStyle w:val="35"/>
            <w:tabs>
              <w:tab w:val="right" w:leader="dot" w:pos="8306"/>
            </w:tabs>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_Toc10901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八、政府性基金预算支出决算情况说明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1</w:t>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w:t>
          </w:r>
        </w:p>
        <w:p w14:paraId="662E09D0">
          <w:pPr>
            <w:pStyle w:val="35"/>
            <w:tabs>
              <w:tab w:val="right" w:leader="dot" w:pos="8306"/>
            </w:tabs>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_Toc27724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九、 国有资本经营预算支出决算情况说明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PAGEREF _Toc27724 \h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1</w:t>
          </w:r>
          <w:r>
            <w:rPr>
              <w:rFonts w:hint="eastAsia" w:eastAsia="仿宋_GB2312" w:cs="仿宋_GB2312"/>
              <w:kern w:val="2"/>
              <w:sz w:val="32"/>
              <w:szCs w:val="32"/>
              <w:lang w:val="en-US" w:eastAsia="zh-CN" w:bidi="ar-SA"/>
            </w:rPr>
            <w:t>2</w:t>
          </w:r>
          <w:r>
            <w:rPr>
              <w:rFonts w:hint="eastAsia" w:ascii="Times New Roman" w:hAnsi="Times New Roman" w:eastAsia="仿宋_GB2312" w:cs="仿宋_GB2312"/>
              <w:kern w:val="2"/>
              <w:sz w:val="32"/>
              <w:szCs w:val="32"/>
              <w:lang w:val="en-US" w:eastAsia="zh-CN" w:bidi="ar-SA"/>
            </w:rPr>
            <w:fldChar w:fldCharType="end"/>
          </w:r>
          <w:r>
            <w:rPr>
              <w:rFonts w:hint="eastAsia" w:ascii="Times New Roman" w:hAnsi="Times New Roman" w:eastAsia="仿宋_GB2312" w:cs="仿宋_GB2312"/>
              <w:kern w:val="2"/>
              <w:sz w:val="32"/>
              <w:szCs w:val="32"/>
              <w:lang w:val="en-US" w:eastAsia="zh-CN" w:bidi="ar-SA"/>
            </w:rPr>
            <w:fldChar w:fldCharType="end"/>
          </w:r>
        </w:p>
        <w:p w14:paraId="6D9F306C">
          <w:pPr>
            <w:pStyle w:val="35"/>
            <w:tabs>
              <w:tab w:val="right" w:leader="dot" w:pos="8306"/>
            </w:tabs>
            <w:rPr>
              <w:sz w:val="24"/>
              <w:szCs w:val="24"/>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_Toc8436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十、 其他重要事项的情况说明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PAGEREF _Toc8436 \h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1</w:t>
          </w:r>
          <w:r>
            <w:rPr>
              <w:rFonts w:hint="eastAsia" w:eastAsia="仿宋_GB2312" w:cs="仿宋_GB2312"/>
              <w:kern w:val="2"/>
              <w:sz w:val="32"/>
              <w:szCs w:val="32"/>
              <w:lang w:val="en-US" w:eastAsia="zh-CN" w:bidi="ar-SA"/>
            </w:rPr>
            <w:t>2</w:t>
          </w:r>
          <w:r>
            <w:rPr>
              <w:rFonts w:hint="eastAsia" w:ascii="Times New Roman" w:hAnsi="Times New Roman" w:eastAsia="仿宋_GB2312" w:cs="仿宋_GB2312"/>
              <w:kern w:val="2"/>
              <w:sz w:val="32"/>
              <w:szCs w:val="32"/>
              <w:lang w:val="en-US" w:eastAsia="zh-CN" w:bidi="ar-SA"/>
            </w:rPr>
            <w:fldChar w:fldCharType="end"/>
          </w:r>
          <w:r>
            <w:rPr>
              <w:rFonts w:hint="eastAsia" w:ascii="Times New Roman" w:hAnsi="Times New Roman" w:eastAsia="仿宋_GB2312" w:cs="仿宋_GB2312"/>
              <w:kern w:val="2"/>
              <w:sz w:val="32"/>
              <w:szCs w:val="32"/>
              <w:lang w:val="en-US" w:eastAsia="zh-CN" w:bidi="ar-SA"/>
            </w:rPr>
            <w:fldChar w:fldCharType="end"/>
          </w:r>
        </w:p>
        <w:p w14:paraId="727B4939">
          <w:pPr>
            <w:pStyle w:val="34"/>
            <w:tabs>
              <w:tab w:val="right" w:leader="dot" w:pos="8306"/>
            </w:tabs>
            <w:rPr>
              <w:rFonts w:hint="eastAsia" w:eastAsia="宋体"/>
              <w:b/>
              <w:sz w:val="24"/>
              <w:szCs w:val="24"/>
              <w:lang w:val="en-US" w:eastAsia="zh-CN"/>
            </w:rPr>
          </w:pPr>
          <w:r>
            <w:rPr>
              <w:rFonts w:hint="eastAsia" w:ascii="黑体" w:hAnsi="黑体" w:eastAsia="黑体"/>
              <w:b/>
              <w:sz w:val="32"/>
              <w:szCs w:val="24"/>
            </w:rPr>
            <w:fldChar w:fldCharType="begin"/>
          </w:r>
          <w:r>
            <w:rPr>
              <w:rFonts w:hint="eastAsia" w:ascii="黑体" w:hAnsi="黑体" w:eastAsia="黑体"/>
              <w:b/>
              <w:sz w:val="32"/>
              <w:szCs w:val="24"/>
            </w:rPr>
            <w:instrText xml:space="preserve"> HYPERLINK \l _Toc5125 </w:instrText>
          </w:r>
          <w:r>
            <w:rPr>
              <w:rFonts w:hint="eastAsia" w:ascii="黑体" w:hAnsi="黑体" w:eastAsia="黑体"/>
              <w:b/>
              <w:sz w:val="32"/>
              <w:szCs w:val="24"/>
            </w:rPr>
            <w:fldChar w:fldCharType="separate"/>
          </w:r>
          <w:r>
            <w:rPr>
              <w:rFonts w:hint="eastAsia" w:ascii="黑体" w:hAnsi="黑体" w:eastAsia="黑体"/>
              <w:b/>
              <w:sz w:val="32"/>
              <w:szCs w:val="24"/>
            </w:rPr>
            <w:t>第三部分 名词解释</w:t>
          </w:r>
          <w:r>
            <w:rPr>
              <w:rFonts w:hint="eastAsia" w:ascii="黑体" w:hAnsi="黑体" w:eastAsia="黑体"/>
              <w:b/>
              <w:sz w:val="32"/>
              <w:szCs w:val="24"/>
            </w:rPr>
            <w:tab/>
          </w:r>
          <w:r>
            <w:rPr>
              <w:rFonts w:hint="eastAsia" w:ascii="黑体" w:hAnsi="黑体" w:eastAsia="黑体"/>
              <w:b/>
              <w:sz w:val="32"/>
              <w:szCs w:val="24"/>
              <w:lang w:val="en-US" w:eastAsia="zh-CN"/>
            </w:rPr>
            <w:t>1</w:t>
          </w:r>
          <w:r>
            <w:rPr>
              <w:rFonts w:hint="eastAsia" w:ascii="黑体" w:hAnsi="黑体" w:eastAsia="黑体"/>
              <w:b/>
              <w:sz w:val="32"/>
              <w:szCs w:val="24"/>
            </w:rPr>
            <w:fldChar w:fldCharType="end"/>
          </w:r>
          <w:r>
            <w:rPr>
              <w:rFonts w:hint="eastAsia" w:ascii="黑体" w:hAnsi="黑体" w:eastAsia="黑体"/>
              <w:b/>
              <w:sz w:val="32"/>
              <w:szCs w:val="24"/>
              <w:lang w:val="en-US" w:eastAsia="zh-CN"/>
            </w:rPr>
            <w:t>4</w:t>
          </w:r>
        </w:p>
        <w:p w14:paraId="135087FD">
          <w:pPr>
            <w:pStyle w:val="34"/>
            <w:tabs>
              <w:tab w:val="right" w:leader="dot" w:pos="8306"/>
            </w:tabs>
            <w:rPr>
              <w:rFonts w:hint="eastAsia" w:ascii="黑体" w:hAnsi="黑体" w:eastAsia="黑体"/>
              <w:b/>
              <w:sz w:val="32"/>
              <w:szCs w:val="24"/>
            </w:rPr>
          </w:pPr>
          <w:r>
            <w:rPr>
              <w:rFonts w:hint="eastAsia" w:ascii="黑体" w:hAnsi="黑体" w:eastAsia="黑体"/>
              <w:b/>
              <w:sz w:val="32"/>
              <w:szCs w:val="24"/>
            </w:rPr>
            <w:fldChar w:fldCharType="begin"/>
          </w:r>
          <w:r>
            <w:rPr>
              <w:rFonts w:hint="eastAsia" w:ascii="黑体" w:hAnsi="黑体" w:eastAsia="黑体"/>
              <w:b/>
              <w:sz w:val="32"/>
              <w:szCs w:val="24"/>
            </w:rPr>
            <w:instrText xml:space="preserve"> HYPERLINK \l _Toc22216 </w:instrText>
          </w:r>
          <w:r>
            <w:rPr>
              <w:rFonts w:hint="eastAsia" w:ascii="黑体" w:hAnsi="黑体" w:eastAsia="黑体"/>
              <w:b/>
              <w:sz w:val="32"/>
              <w:szCs w:val="24"/>
            </w:rPr>
            <w:fldChar w:fldCharType="separate"/>
          </w:r>
          <w:r>
            <w:rPr>
              <w:rFonts w:hint="eastAsia" w:ascii="黑体" w:hAnsi="黑体" w:eastAsia="黑体"/>
              <w:b/>
              <w:sz w:val="32"/>
              <w:szCs w:val="24"/>
            </w:rPr>
            <w:t>第四部分 附件</w:t>
          </w:r>
          <w:r>
            <w:rPr>
              <w:rFonts w:hint="eastAsia" w:ascii="黑体" w:hAnsi="黑体" w:eastAsia="黑体"/>
              <w:b/>
              <w:sz w:val="32"/>
              <w:szCs w:val="24"/>
            </w:rPr>
            <w:tab/>
          </w:r>
          <w:r>
            <w:rPr>
              <w:rFonts w:hint="eastAsia" w:ascii="黑体" w:hAnsi="黑体" w:eastAsia="黑体"/>
              <w:b/>
              <w:sz w:val="32"/>
              <w:szCs w:val="24"/>
            </w:rPr>
            <w:fldChar w:fldCharType="begin"/>
          </w:r>
          <w:r>
            <w:rPr>
              <w:rFonts w:hint="eastAsia" w:ascii="黑体" w:hAnsi="黑体" w:eastAsia="黑体"/>
              <w:b/>
              <w:sz w:val="32"/>
              <w:szCs w:val="24"/>
            </w:rPr>
            <w:instrText xml:space="preserve"> PAGEREF _Toc22216 \h </w:instrText>
          </w:r>
          <w:r>
            <w:rPr>
              <w:rFonts w:hint="eastAsia" w:ascii="黑体" w:hAnsi="黑体" w:eastAsia="黑体"/>
              <w:b/>
              <w:sz w:val="32"/>
              <w:szCs w:val="24"/>
            </w:rPr>
            <w:fldChar w:fldCharType="separate"/>
          </w:r>
          <w:r>
            <w:rPr>
              <w:rFonts w:hint="eastAsia" w:ascii="黑体" w:hAnsi="黑体" w:eastAsia="黑体"/>
              <w:b/>
              <w:sz w:val="32"/>
              <w:szCs w:val="24"/>
            </w:rPr>
            <w:t>1</w:t>
          </w:r>
          <w:r>
            <w:rPr>
              <w:rFonts w:hint="eastAsia" w:ascii="黑体" w:hAnsi="黑体" w:eastAsia="黑体"/>
              <w:b/>
              <w:sz w:val="32"/>
              <w:szCs w:val="24"/>
              <w:lang w:val="en-US" w:eastAsia="zh-CN"/>
            </w:rPr>
            <w:t>6</w:t>
          </w:r>
          <w:r>
            <w:rPr>
              <w:rFonts w:hint="eastAsia" w:ascii="黑体" w:hAnsi="黑体" w:eastAsia="黑体"/>
              <w:b/>
              <w:sz w:val="32"/>
              <w:szCs w:val="24"/>
            </w:rPr>
            <w:fldChar w:fldCharType="end"/>
          </w:r>
          <w:r>
            <w:rPr>
              <w:rFonts w:hint="eastAsia" w:ascii="黑体" w:hAnsi="黑体" w:eastAsia="黑体"/>
              <w:b/>
              <w:sz w:val="32"/>
              <w:szCs w:val="24"/>
            </w:rPr>
            <w:fldChar w:fldCharType="end"/>
          </w:r>
        </w:p>
        <w:p w14:paraId="002A67D5">
          <w:pPr>
            <w:pStyle w:val="34"/>
            <w:tabs>
              <w:tab w:val="right" w:leader="dot" w:pos="8306"/>
            </w:tabs>
            <w:rPr>
              <w:rFonts w:hint="eastAsia" w:eastAsia="宋体"/>
              <w:b/>
              <w:sz w:val="24"/>
              <w:szCs w:val="24"/>
              <w:lang w:val="en-US" w:eastAsia="zh-CN"/>
            </w:rPr>
          </w:pPr>
          <w:r>
            <w:rPr>
              <w:rFonts w:hint="eastAsia" w:ascii="黑体" w:hAnsi="黑体" w:eastAsia="黑体"/>
              <w:b/>
              <w:sz w:val="32"/>
              <w:szCs w:val="24"/>
            </w:rPr>
            <w:fldChar w:fldCharType="begin"/>
          </w:r>
          <w:r>
            <w:rPr>
              <w:rFonts w:hint="eastAsia" w:ascii="黑体" w:hAnsi="黑体" w:eastAsia="黑体"/>
              <w:b/>
              <w:sz w:val="32"/>
              <w:szCs w:val="24"/>
            </w:rPr>
            <w:instrText xml:space="preserve"> HYPERLINK \l _Toc18335 </w:instrText>
          </w:r>
          <w:r>
            <w:rPr>
              <w:rFonts w:hint="eastAsia" w:ascii="黑体" w:hAnsi="黑体" w:eastAsia="黑体"/>
              <w:b/>
              <w:sz w:val="32"/>
              <w:szCs w:val="24"/>
            </w:rPr>
            <w:fldChar w:fldCharType="separate"/>
          </w:r>
          <w:r>
            <w:rPr>
              <w:rFonts w:hint="eastAsia" w:ascii="黑体" w:hAnsi="黑体" w:eastAsia="黑体"/>
              <w:b/>
              <w:sz w:val="32"/>
              <w:szCs w:val="24"/>
            </w:rPr>
            <w:t>第五部分 附表</w:t>
          </w:r>
          <w:r>
            <w:rPr>
              <w:rFonts w:hint="eastAsia" w:ascii="黑体" w:hAnsi="黑体" w:eastAsia="黑体"/>
              <w:b/>
              <w:sz w:val="32"/>
              <w:szCs w:val="24"/>
            </w:rPr>
            <w:tab/>
          </w:r>
          <w:r>
            <w:rPr>
              <w:rFonts w:hint="eastAsia" w:ascii="黑体" w:hAnsi="黑体" w:eastAsia="黑体"/>
              <w:b/>
              <w:sz w:val="32"/>
              <w:szCs w:val="24"/>
              <w:lang w:val="en-US" w:eastAsia="zh-CN"/>
            </w:rPr>
            <w:t>2</w:t>
          </w:r>
          <w:r>
            <w:rPr>
              <w:rFonts w:hint="eastAsia" w:ascii="黑体" w:hAnsi="黑体" w:eastAsia="黑体"/>
              <w:b/>
              <w:sz w:val="32"/>
              <w:szCs w:val="24"/>
            </w:rPr>
            <w:fldChar w:fldCharType="end"/>
          </w:r>
          <w:r>
            <w:rPr>
              <w:rFonts w:hint="eastAsia" w:ascii="黑体" w:hAnsi="黑体" w:eastAsia="黑体"/>
              <w:b/>
              <w:sz w:val="32"/>
              <w:szCs w:val="24"/>
              <w:lang w:val="en-US" w:eastAsia="zh-CN"/>
            </w:rPr>
            <w:t>0</w:t>
          </w:r>
        </w:p>
        <w:p w14:paraId="18B8B891">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_Toc6926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一、收入支出决算总表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1AD0E349">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_Toc1427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二、收入决算表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3926CC76">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_Toc3068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三、支出决算表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373878E0">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_Toc2439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四、财政拨款收入支出决算总表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51DC84C2">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_Toc30341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五、财政拨款支出决算明细表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0FC71478">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_Toc30426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六、一般公共预算财政拨款支出决算表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16C1F6F5">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_Toc30557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七、一般公共预算财政拨款支出决算明细表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4E21224A">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_Toc11005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八、一般公共预算财政拨款基本支出决算表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080201B0">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_Toc918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九、一般公共预算财政拨款项目支出决算表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14E0C893">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_Toc9874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十、政府性基金预算财政拨款收入支出决算表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0A9FBDE2">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_Toc25016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十一、国有资本经营预算财政拨款收入支出决算表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64CD2D2A">
          <w:pPr>
            <w:pStyle w:val="35"/>
            <w:tabs>
              <w:tab w:val="right" w:leader="dot" w:pos="8306"/>
            </w:tabs>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_Toc1196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十二、国有资本经营预算财政拨款支出决算表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74BAF08C">
          <w:pPr>
            <w:pStyle w:val="35"/>
            <w:tabs>
              <w:tab w:val="right" w:leader="dot" w:pos="8306"/>
            </w:tabs>
            <w:rPr>
              <w:rFonts w:hint="default"/>
              <w:lang w:val="en-US"/>
            </w:rPr>
          </w:pPr>
          <w:r>
            <w:rPr>
              <w:rFonts w:hint="eastAsia" w:ascii="Times New Roman" w:hAnsi="Times New Roman" w:eastAsia="仿宋_GB2312" w:cs="仿宋_GB2312"/>
              <w:kern w:val="2"/>
              <w:sz w:val="32"/>
              <w:szCs w:val="32"/>
              <w:lang w:val="en-US" w:eastAsia="zh-CN" w:bidi="ar-SA"/>
            </w:rPr>
            <w:fldChar w:fldCharType="begin"/>
          </w:r>
          <w:r>
            <w:rPr>
              <w:rFonts w:hint="eastAsia" w:ascii="Times New Roman" w:hAnsi="Times New Roman" w:eastAsia="仿宋_GB2312" w:cs="仿宋_GB2312"/>
              <w:kern w:val="2"/>
              <w:sz w:val="32"/>
              <w:szCs w:val="32"/>
              <w:lang w:val="en-US" w:eastAsia="zh-CN" w:bidi="ar-SA"/>
            </w:rPr>
            <w:instrText xml:space="preserve"> HYPERLINK \l _Toc7306 </w:instrText>
          </w:r>
          <w:r>
            <w:rPr>
              <w:rFonts w:hint="eastAsia" w:ascii="Times New Roman" w:hAnsi="Times New Roman" w:eastAsia="仿宋_GB2312" w:cs="仿宋_GB2312"/>
              <w:kern w:val="2"/>
              <w:sz w:val="32"/>
              <w:szCs w:val="32"/>
              <w:lang w:val="en-US" w:eastAsia="zh-CN" w:bidi="ar-SA"/>
            </w:rPr>
            <w:fldChar w:fldCharType="separate"/>
          </w:r>
          <w:r>
            <w:rPr>
              <w:rFonts w:hint="eastAsia" w:ascii="Times New Roman" w:hAnsi="Times New Roman" w:eastAsia="仿宋_GB2312" w:cs="仿宋_GB2312"/>
              <w:kern w:val="2"/>
              <w:sz w:val="32"/>
              <w:szCs w:val="32"/>
              <w:lang w:val="en-US" w:eastAsia="zh-CN" w:bidi="ar-SA"/>
            </w:rPr>
            <w:t>十三、财政拨款“三公”经费支出决算表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fldChar w:fldCharType="end"/>
          </w:r>
          <w:r>
            <w:rPr>
              <w:rFonts w:hint="eastAsia" w:eastAsia="仿宋_GB2312" w:cs="仿宋_GB2312"/>
              <w:kern w:val="2"/>
              <w:sz w:val="32"/>
              <w:szCs w:val="32"/>
              <w:lang w:val="en-US" w:eastAsia="zh-CN" w:bidi="ar-SA"/>
            </w:rPr>
            <w:t>20</w:t>
          </w:r>
        </w:p>
        <w:p w14:paraId="490B74F5">
          <w:pPr>
            <w:rPr>
              <w:b/>
            </w:rPr>
          </w:pPr>
          <w:r>
            <w:rPr>
              <w:b/>
            </w:rPr>
            <w:fldChar w:fldCharType="end"/>
          </w:r>
        </w:p>
      </w:sdtContent>
    </w:sdt>
    <w:p w14:paraId="3120294A">
      <w:pPr>
        <w:rPr>
          <w:b/>
        </w:rPr>
      </w:pPr>
    </w:p>
    <w:p w14:paraId="1405B96C">
      <w:pPr>
        <w:rPr>
          <w:b/>
        </w:rPr>
      </w:pPr>
    </w:p>
    <w:p w14:paraId="5E5311EC">
      <w:pPr>
        <w:rPr>
          <w:b/>
        </w:rPr>
      </w:pPr>
    </w:p>
    <w:p w14:paraId="6EFD5F07">
      <w:pPr>
        <w:pStyle w:val="5"/>
        <w:numPr>
          <w:ilvl w:val="0"/>
          <w:numId w:val="0"/>
        </w:numPr>
        <w:jc w:val="center"/>
        <w:outlineLvl w:val="0"/>
        <w:rPr>
          <w:rFonts w:hint="eastAsia" w:ascii="黑体" w:hAnsi="黑体" w:eastAsia="黑体" w:cs="Times New Roman"/>
          <w:b w:val="0"/>
          <w:bCs w:val="0"/>
          <w:kern w:val="44"/>
          <w:sz w:val="44"/>
          <w:szCs w:val="44"/>
          <w:lang w:val="en-US" w:eastAsia="zh-CN" w:bidi="ar-SA"/>
        </w:rPr>
      </w:pPr>
      <w:bookmarkStart w:id="17" w:name="_Toc10638"/>
    </w:p>
    <w:p w14:paraId="2155C215">
      <w:pPr>
        <w:pStyle w:val="5"/>
        <w:numPr>
          <w:ilvl w:val="0"/>
          <w:numId w:val="0"/>
        </w:numPr>
        <w:jc w:val="both"/>
        <w:outlineLvl w:val="0"/>
        <w:rPr>
          <w:rFonts w:hint="eastAsia" w:ascii="黑体" w:hAnsi="黑体" w:eastAsia="黑体" w:cs="Times New Roman"/>
          <w:b w:val="0"/>
          <w:bCs w:val="0"/>
          <w:kern w:val="44"/>
          <w:sz w:val="44"/>
          <w:szCs w:val="44"/>
          <w:lang w:val="en-US" w:eastAsia="zh-CN" w:bidi="ar-SA"/>
        </w:rPr>
      </w:pPr>
    </w:p>
    <w:p w14:paraId="7E0A1F01">
      <w:pPr>
        <w:pStyle w:val="5"/>
        <w:numPr>
          <w:ilvl w:val="0"/>
          <w:numId w:val="0"/>
        </w:numPr>
        <w:jc w:val="both"/>
        <w:outlineLvl w:val="0"/>
        <w:rPr>
          <w:rFonts w:hint="eastAsia" w:ascii="黑体" w:hAnsi="黑体" w:eastAsia="黑体" w:cs="Times New Roman"/>
          <w:b w:val="0"/>
          <w:bCs w:val="0"/>
          <w:kern w:val="44"/>
          <w:sz w:val="44"/>
          <w:szCs w:val="44"/>
          <w:lang w:val="en-US" w:eastAsia="zh-CN" w:bidi="ar-SA"/>
        </w:rPr>
      </w:pPr>
    </w:p>
    <w:p w14:paraId="444B2790">
      <w:pPr>
        <w:pStyle w:val="5"/>
        <w:bidi w:val="0"/>
        <w:rPr>
          <w:rFonts w:hint="eastAsia" w:ascii="黑体" w:hAnsi="黑体" w:eastAsia="黑体" w:cs="Times New Roman"/>
          <w:b w:val="0"/>
          <w:bCs w:val="0"/>
          <w:kern w:val="44"/>
          <w:sz w:val="44"/>
          <w:szCs w:val="44"/>
          <w:lang w:val="en-US" w:eastAsia="zh-CN" w:bidi="ar-SA"/>
        </w:rPr>
      </w:pPr>
    </w:p>
    <w:p w14:paraId="03FC3C1E">
      <w:pPr>
        <w:bidi w:val="0"/>
        <w:rPr>
          <w:rFonts w:hint="eastAsia" w:ascii="黑体" w:hAnsi="黑体" w:eastAsia="黑体" w:cs="Times New Roman"/>
          <w:b w:val="0"/>
          <w:bCs w:val="0"/>
          <w:kern w:val="44"/>
          <w:sz w:val="44"/>
          <w:szCs w:val="44"/>
          <w:lang w:val="en-US" w:eastAsia="zh-CN" w:bidi="ar-SA"/>
        </w:rPr>
      </w:pPr>
    </w:p>
    <w:p w14:paraId="325C2E4B">
      <w:pPr>
        <w:bidi w:val="0"/>
        <w:rPr>
          <w:rFonts w:hint="eastAsia" w:ascii="黑体" w:hAnsi="黑体" w:eastAsia="黑体" w:cs="Times New Roman"/>
          <w:b w:val="0"/>
          <w:bCs w:val="0"/>
          <w:kern w:val="44"/>
          <w:sz w:val="44"/>
          <w:szCs w:val="44"/>
          <w:lang w:val="en-US" w:eastAsia="zh-CN" w:bidi="ar-SA"/>
        </w:rPr>
      </w:pPr>
    </w:p>
    <w:p w14:paraId="3F4018C9">
      <w:pPr>
        <w:pStyle w:val="5"/>
        <w:jc w:val="center"/>
        <w:rPr>
          <w:rFonts w:hint="eastAsia" w:ascii="Times New Roman" w:hAnsi="Times New Roman" w:eastAsia="方正小标宋简体" w:cs="方正小标宋简体"/>
          <w:b w:val="0"/>
        </w:rPr>
      </w:pPr>
      <w:r>
        <w:rPr>
          <w:rFonts w:hint="eastAsia" w:ascii="Times New Roman" w:hAnsi="Times New Roman" w:eastAsia="方正小标宋简体" w:cs="方正小标宋简体"/>
          <w:b w:val="0"/>
          <w:lang w:val="en-US" w:eastAsia="zh-CN"/>
        </w:rPr>
        <w:t>第一部分</w:t>
      </w:r>
      <w:r>
        <w:rPr>
          <w:rFonts w:hint="eastAsia" w:ascii="Times New Roman" w:hAnsi="Times New Roman" w:eastAsia="方正小标宋简体" w:cs="方正小标宋简体"/>
          <w:b w:val="0"/>
        </w:rPr>
        <w:t>单位概况</w:t>
      </w:r>
      <w:bookmarkEnd w:id="14"/>
      <w:bookmarkEnd w:id="17"/>
      <w:bookmarkStart w:id="18" w:name="_Toc22981"/>
      <w:bookmarkStart w:id="19" w:name="_Toc13757"/>
      <w:bookmarkStart w:id="20" w:name="_Toc15377197"/>
      <w:bookmarkStart w:id="21" w:name="_Toc15396600"/>
    </w:p>
    <w:p w14:paraId="267A9579">
      <w:pPr>
        <w:pStyle w:val="5"/>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0"/>
        <w:rPr>
          <w:rStyle w:val="29"/>
          <w:rFonts w:hint="eastAsia" w:ascii="黑体" w:hAnsi="黑体" w:eastAsia="黑体"/>
          <w:b w:val="0"/>
          <w:bCs w:val="0"/>
        </w:rPr>
      </w:pPr>
      <w:r>
        <w:rPr>
          <w:rStyle w:val="29"/>
          <w:rFonts w:hint="eastAsia" w:ascii="黑体" w:hAnsi="黑体" w:eastAsia="黑体"/>
          <w:b w:val="0"/>
          <w:bCs w:val="0"/>
          <w:lang w:eastAsia="zh-CN"/>
        </w:rPr>
        <w:t>一、</w:t>
      </w:r>
      <w:r>
        <w:rPr>
          <w:rStyle w:val="29"/>
          <w:rFonts w:hint="eastAsia" w:ascii="黑体" w:hAnsi="黑体" w:eastAsia="黑体"/>
          <w:b w:val="0"/>
          <w:bCs w:val="0"/>
        </w:rPr>
        <w:t>主要职责</w:t>
      </w:r>
      <w:bookmarkEnd w:id="18"/>
      <w:bookmarkEnd w:id="19"/>
    </w:p>
    <w:p w14:paraId="74F90483">
      <w:pPr>
        <w:ind w:firstLine="800" w:firstLineChars="250"/>
        <w:rPr>
          <w:rFonts w:hint="eastAsia" w:ascii="仿宋_GB2312" w:hAnsi="仿宋_GB2312" w:eastAsia="仿宋_GB2312" w:cs="仿宋_GB2312"/>
          <w:sz w:val="32"/>
          <w:szCs w:val="32"/>
        </w:rPr>
      </w:pPr>
      <w:bookmarkStart w:id="22" w:name="_Toc23027"/>
      <w:r>
        <w:rPr>
          <w:rFonts w:hint="eastAsia" w:ascii="仿宋_GB2312" w:hAnsi="仿宋_GB2312" w:eastAsia="仿宋_GB2312" w:cs="仿宋_GB2312"/>
          <w:sz w:val="32"/>
          <w:szCs w:val="32"/>
          <w:lang w:val="en-US" w:eastAsia="zh-CN"/>
        </w:rPr>
        <w:t>1.贯彻落实国家药物政策和国家基本药物制度。</w:t>
      </w:r>
    </w:p>
    <w:p w14:paraId="117D294C">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2.负责职责范围内的职业卫生、放射卫生、环境卫生、学校卫生、公共场所卫生、饮用水卫生等公共卫生的监督管理，做好</w:t>
      </w:r>
      <w:r>
        <w:rPr>
          <w:rFonts w:hint="eastAsia" w:ascii="仿宋_GB2312" w:hAnsi="仿宋_GB2312" w:eastAsia="仿宋_GB2312" w:cs="仿宋_GB2312"/>
          <w:sz w:val="32"/>
          <w:szCs w:val="32"/>
          <w:lang w:eastAsia="zh-CN"/>
        </w:rPr>
        <w:t>基本公共卫生服务工作。</w:t>
      </w:r>
    </w:p>
    <w:p w14:paraId="7CBF322B">
      <w:pPr>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3.负责辖区内计划生育管理和服务工作。</w:t>
      </w:r>
    </w:p>
    <w:p w14:paraId="0C4DC75A">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4.负责辖区内卫生健康工作。</w:t>
      </w:r>
    </w:p>
    <w:p w14:paraId="3E22CC7D">
      <w:pPr>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5.依法依规履行卫生健康行业安全生产监管职责。</w:t>
      </w:r>
    </w:p>
    <w:p w14:paraId="7E365188">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6.完成茂县卫健局交办的其他任务。</w:t>
      </w:r>
    </w:p>
    <w:p w14:paraId="56A99BB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黑体" w:hAnsi="黑体" w:eastAsia="黑体"/>
          <w:b w:val="0"/>
          <w:bCs w:val="0"/>
          <w:lang w:eastAsia="zh-CN"/>
        </w:rPr>
      </w:pPr>
      <w:bookmarkStart w:id="23" w:name="_Toc7580"/>
      <w:r>
        <w:rPr>
          <w:rStyle w:val="29"/>
          <w:rFonts w:hint="eastAsia" w:ascii="黑体" w:hAnsi="黑体" w:eastAsia="黑体"/>
          <w:b w:val="0"/>
          <w:bCs w:val="0"/>
          <w:lang w:eastAsia="zh-CN"/>
        </w:rPr>
        <w:t>二、机构设置</w:t>
      </w:r>
      <w:bookmarkEnd w:id="20"/>
      <w:bookmarkEnd w:id="21"/>
      <w:bookmarkEnd w:id="22"/>
      <w:bookmarkEnd w:id="23"/>
    </w:p>
    <w:p w14:paraId="5C4B36AB">
      <w:pPr>
        <w:ind w:firstLine="800" w:firstLineChars="250"/>
        <w:rPr>
          <w:rFonts w:eastAsia="仿宋_GB2312" w:cs="仿宋_GB2312"/>
          <w:sz w:val="32"/>
          <w:szCs w:val="32"/>
        </w:rPr>
      </w:pPr>
      <w:r>
        <w:rPr>
          <w:rFonts w:hint="eastAsia" w:ascii="仿宋_GB2312" w:hAnsi="仿宋_GB2312" w:eastAsia="仿宋_GB2312" w:cs="仿宋_GB2312"/>
          <w:sz w:val="32"/>
          <w:szCs w:val="32"/>
        </w:rPr>
        <w:t>阿坝州茂县凤仪镇社区卫生服务中心</w:t>
      </w:r>
      <w:r>
        <w:rPr>
          <w:rFonts w:hint="eastAsia" w:eastAsia="仿宋_GB2312" w:cs="仿宋_GB2312"/>
          <w:sz w:val="32"/>
          <w:szCs w:val="32"/>
        </w:rPr>
        <w:t>下属二级预算单位</w:t>
      </w:r>
      <w:r>
        <w:rPr>
          <w:rFonts w:hint="eastAsia" w:eastAsia="仿宋_GB2312" w:cs="仿宋_GB2312"/>
          <w:sz w:val="32"/>
          <w:szCs w:val="32"/>
          <w:lang w:val="en-US" w:eastAsia="zh-CN"/>
        </w:rPr>
        <w:t>0</w:t>
      </w:r>
      <w:r>
        <w:rPr>
          <w:rFonts w:hint="eastAsia" w:eastAsia="仿宋_GB2312" w:cs="仿宋_GB2312"/>
          <w:sz w:val="32"/>
          <w:szCs w:val="32"/>
        </w:rPr>
        <w:t>个，其中行政单位</w:t>
      </w:r>
      <w:r>
        <w:rPr>
          <w:rFonts w:hint="eastAsia" w:eastAsia="仿宋_GB2312" w:cs="仿宋_GB2312"/>
          <w:sz w:val="32"/>
          <w:szCs w:val="32"/>
          <w:lang w:val="en-US" w:eastAsia="zh-CN"/>
        </w:rPr>
        <w:t>0</w:t>
      </w:r>
      <w:r>
        <w:rPr>
          <w:rFonts w:hint="eastAsia" w:eastAsia="仿宋_GB2312" w:cs="仿宋_GB2312"/>
          <w:sz w:val="32"/>
          <w:szCs w:val="32"/>
        </w:rPr>
        <w:t>个，参照公务员法管理的事业单位</w:t>
      </w:r>
      <w:r>
        <w:rPr>
          <w:rFonts w:hint="eastAsia" w:eastAsia="仿宋_GB2312" w:cs="仿宋_GB2312"/>
          <w:bCs/>
          <w:sz w:val="32"/>
          <w:szCs w:val="32"/>
          <w:lang w:val="en-US" w:eastAsia="zh-CN"/>
        </w:rPr>
        <w:t>0</w:t>
      </w:r>
      <w:r>
        <w:rPr>
          <w:rFonts w:hint="eastAsia" w:eastAsia="仿宋_GB2312" w:cs="仿宋_GB2312"/>
          <w:sz w:val="32"/>
          <w:szCs w:val="32"/>
        </w:rPr>
        <w:t>个，其他事业单位</w:t>
      </w:r>
      <w:r>
        <w:rPr>
          <w:rFonts w:hint="eastAsia" w:eastAsia="仿宋_GB2312" w:cs="仿宋_GB2312"/>
          <w:sz w:val="32"/>
          <w:szCs w:val="32"/>
          <w:lang w:val="en-US" w:eastAsia="zh-CN"/>
        </w:rPr>
        <w:t>0</w:t>
      </w:r>
      <w:r>
        <w:rPr>
          <w:rFonts w:hint="eastAsia" w:eastAsia="仿宋_GB2312" w:cs="仿宋_GB2312"/>
          <w:sz w:val="32"/>
          <w:szCs w:val="32"/>
        </w:rPr>
        <w:t>个。</w:t>
      </w:r>
    </w:p>
    <w:p w14:paraId="0E8C7935">
      <w:pPr>
        <w:widowControl/>
        <w:jc w:val="left"/>
        <w:rPr>
          <w:rFonts w:ascii="仿宋" w:hAnsi="仿宋" w:eastAsia="仿宋"/>
          <w:kern w:val="0"/>
          <w:sz w:val="32"/>
          <w:szCs w:val="32"/>
        </w:rPr>
      </w:pPr>
    </w:p>
    <w:p w14:paraId="10577F41">
      <w:pPr>
        <w:pStyle w:val="5"/>
        <w:ind w:right="440"/>
        <w:jc w:val="center"/>
        <w:outlineLvl w:val="9"/>
        <w:rPr>
          <w:rFonts w:hint="eastAsia" w:ascii="黑体" w:hAnsi="黑体" w:eastAsia="黑体"/>
          <w:b w:val="0"/>
        </w:rPr>
      </w:pPr>
    </w:p>
    <w:p w14:paraId="5906F7F0">
      <w:pPr>
        <w:pStyle w:val="5"/>
        <w:ind w:right="440"/>
        <w:jc w:val="both"/>
        <w:outlineLvl w:val="9"/>
        <w:rPr>
          <w:rFonts w:hint="eastAsia" w:ascii="黑体" w:hAnsi="黑体" w:eastAsia="黑体"/>
          <w:b w:val="0"/>
        </w:rPr>
      </w:pPr>
    </w:p>
    <w:p w14:paraId="41A99255">
      <w:pPr>
        <w:rPr>
          <w:rFonts w:hint="eastAsia" w:ascii="黑体" w:hAnsi="黑体" w:eastAsia="黑体"/>
          <w:b w:val="0"/>
        </w:rPr>
      </w:pPr>
    </w:p>
    <w:p w14:paraId="550A093F">
      <w:pPr>
        <w:pStyle w:val="3"/>
        <w:rPr>
          <w:rFonts w:hint="eastAsia" w:ascii="黑体" w:hAnsi="黑体" w:eastAsia="黑体"/>
          <w:b w:val="0"/>
        </w:rPr>
      </w:pPr>
    </w:p>
    <w:p w14:paraId="2E65A649">
      <w:pPr>
        <w:rPr>
          <w:rFonts w:hint="eastAsia"/>
        </w:rPr>
      </w:pPr>
    </w:p>
    <w:p w14:paraId="6A1853A9">
      <w:pPr>
        <w:pStyle w:val="5"/>
        <w:ind w:right="440"/>
        <w:jc w:val="center"/>
        <w:rPr>
          <w:rFonts w:hint="eastAsia" w:ascii="Times New Roman" w:hAnsi="Times New Roman" w:eastAsia="方正小标宋简体" w:cs="方正小标宋简体"/>
          <w:b w:val="0"/>
        </w:rPr>
      </w:pPr>
      <w:bookmarkStart w:id="24" w:name="_Toc20199"/>
      <w:r>
        <w:rPr>
          <w:rFonts w:hint="eastAsia" w:ascii="Times New Roman" w:hAnsi="Times New Roman" w:eastAsia="方正小标宋简体" w:cs="方正小标宋简体"/>
          <w:b w:val="0"/>
        </w:rPr>
        <w:t>第二部分</w:t>
      </w:r>
      <w:r>
        <w:rPr>
          <w:rFonts w:hint="eastAsia" w:ascii="黑体" w:hAnsi="黑体" w:eastAsia="黑体"/>
          <w:b w:val="0"/>
        </w:rPr>
        <w:t xml:space="preserve"> </w:t>
      </w:r>
      <w:r>
        <w:rPr>
          <w:rFonts w:hint="eastAsia" w:ascii="Times New Roman" w:hAnsi="Times New Roman" w:eastAsia="方正小标宋简体" w:cs="方正小标宋简体"/>
          <w:b w:val="0"/>
        </w:rPr>
        <w:t>202</w:t>
      </w:r>
      <w:r>
        <w:rPr>
          <w:rFonts w:hint="eastAsia" w:eastAsia="方正小标宋简体" w:cs="方正小标宋简体"/>
          <w:b w:val="0"/>
          <w:lang w:val="en-US" w:eastAsia="zh-CN"/>
        </w:rPr>
        <w:t>5</w:t>
      </w:r>
      <w:r>
        <w:rPr>
          <w:rFonts w:hint="eastAsia" w:ascii="Times New Roman" w:hAnsi="Times New Roman" w:eastAsia="方正小标宋简体" w:cs="方正小标宋简体"/>
          <w:b w:val="0"/>
        </w:rPr>
        <w:t>年度单位决算情况说明</w:t>
      </w:r>
      <w:bookmarkEnd w:id="15"/>
      <w:bookmarkEnd w:id="16"/>
      <w:bookmarkEnd w:id="24"/>
    </w:p>
    <w:p w14:paraId="30000B65">
      <w:pPr>
        <w:pStyle w:val="27"/>
        <w:numPr>
          <w:ilvl w:val="0"/>
          <w:numId w:val="1"/>
        </w:numPr>
        <w:spacing w:line="600" w:lineRule="exact"/>
        <w:ind w:left="1350" w:leftChars="0" w:firstLineChars="0"/>
        <w:outlineLvl w:val="1"/>
        <w:rPr>
          <w:rStyle w:val="29"/>
          <w:rFonts w:ascii="黑体" w:hAnsi="黑体" w:eastAsia="黑体"/>
          <w:b w:val="0"/>
        </w:rPr>
      </w:pPr>
      <w:bookmarkStart w:id="25" w:name="_Toc15396603"/>
      <w:bookmarkStart w:id="26" w:name="_Toc5569"/>
      <w:bookmarkStart w:id="27" w:name="_Toc15377205"/>
      <w:r>
        <w:rPr>
          <w:rFonts w:hint="eastAsia" w:ascii="黑体" w:hAnsi="黑体" w:eastAsia="黑体"/>
          <w:sz w:val="32"/>
          <w:szCs w:val="32"/>
        </w:rPr>
        <w:t>收</w:t>
      </w:r>
      <w:r>
        <w:rPr>
          <w:rStyle w:val="29"/>
          <w:rFonts w:hint="eastAsia" w:ascii="黑体" w:hAnsi="黑体" w:eastAsia="黑体"/>
          <w:b w:val="0"/>
        </w:rPr>
        <w:t>入支出决算总体情况说明</w:t>
      </w:r>
      <w:bookmarkEnd w:id="25"/>
      <w:bookmarkEnd w:id="26"/>
      <w:bookmarkEnd w:id="27"/>
    </w:p>
    <w:p w14:paraId="2F494DC2">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5</w:t>
      </w:r>
      <w:r>
        <w:rPr>
          <w:rFonts w:hint="eastAsia" w:ascii="仿宋_GB2312" w:hAnsi="仿宋_GB2312" w:eastAsia="仿宋_GB2312" w:cs="仿宋_GB2312"/>
          <w:sz w:val="32"/>
          <w:szCs w:val="32"/>
          <w:lang w:val="en-US" w:eastAsia="zh-CN"/>
        </w:rPr>
        <w:t>年度收、支总计均为1779.55万元。与</w:t>
      </w:r>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4</w:t>
      </w:r>
      <w:r>
        <w:rPr>
          <w:rFonts w:hint="eastAsia" w:ascii="仿宋_GB2312" w:hAnsi="仿宋_GB2312" w:eastAsia="仿宋_GB2312" w:cs="仿宋_GB2312"/>
          <w:sz w:val="32"/>
          <w:szCs w:val="32"/>
          <w:lang w:val="en-US" w:eastAsia="zh-CN"/>
        </w:rPr>
        <w:t>年度相比，收、支总计各增加</w:t>
      </w:r>
      <w:r>
        <w:rPr>
          <w:rFonts w:hint="eastAsia" w:eastAsia="仿宋_GB2312" w:cs="仿宋_GB2312"/>
          <w:kern w:val="2"/>
          <w:sz w:val="32"/>
          <w:szCs w:val="32"/>
          <w:lang w:val="en-US" w:eastAsia="zh-CN" w:bidi="ar-SA"/>
        </w:rPr>
        <w:t>68.89</w:t>
      </w:r>
      <w:r>
        <w:rPr>
          <w:rFonts w:hint="eastAsia" w:ascii="仿宋_GB2312" w:hAnsi="仿宋_GB2312" w:eastAsia="仿宋_GB2312" w:cs="仿宋_GB2312"/>
          <w:sz w:val="32"/>
          <w:szCs w:val="32"/>
          <w:lang w:val="en-US" w:eastAsia="zh-CN"/>
        </w:rPr>
        <w:t>万元，增长</w:t>
      </w:r>
      <w:r>
        <w:rPr>
          <w:rFonts w:hint="eastAsia" w:eastAsia="仿宋_GB2312" w:cs="仿宋_GB2312"/>
          <w:kern w:val="2"/>
          <w:sz w:val="32"/>
          <w:szCs w:val="32"/>
          <w:lang w:val="en-US" w:eastAsia="zh-CN" w:bidi="ar-SA"/>
        </w:rPr>
        <w:t>4.03</w:t>
      </w:r>
      <w:r>
        <w:rPr>
          <w:rFonts w:hint="eastAsia" w:ascii="仿宋_GB2312" w:hAnsi="仿宋_GB2312" w:eastAsia="仿宋_GB2312" w:cs="仿宋_GB2312"/>
          <w:sz w:val="32"/>
          <w:szCs w:val="32"/>
          <w:lang w:val="en-US" w:eastAsia="zh-CN"/>
        </w:rPr>
        <w:t>%。主要变动原因是：人员增加。</w:t>
      </w:r>
    </w:p>
    <w:p w14:paraId="2122EE6D">
      <w:pPr>
        <w:pStyle w:val="19"/>
        <w:outlineLvl w:val="9"/>
        <w:rPr>
          <w:rFonts w:hint="eastAsia"/>
        </w:rPr>
      </w:pPr>
      <w:r>
        <w:rPr>
          <w:rFonts w:hint="eastAsia"/>
          <w:lang w:val="en-US" w:eastAsia="zh-CN"/>
        </w:rPr>
        <w:t xml:space="preserve">     </w:t>
      </w:r>
      <w:r>
        <w:drawing>
          <wp:inline distT="0" distB="0" distL="114300" distR="114300">
            <wp:extent cx="4572000" cy="2741930"/>
            <wp:effectExtent l="4445" t="4445" r="14605" b="15875"/>
            <wp:docPr id="4146"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31C34F9">
      <w:pPr>
        <w:pStyle w:val="27"/>
        <w:numPr>
          <w:ilvl w:val="0"/>
          <w:numId w:val="1"/>
        </w:numPr>
        <w:spacing w:line="600" w:lineRule="exact"/>
        <w:ind w:left="1350" w:leftChars="0" w:firstLineChars="0"/>
        <w:outlineLvl w:val="1"/>
        <w:rPr>
          <w:rStyle w:val="29"/>
          <w:rFonts w:ascii="黑体" w:hAnsi="黑体" w:eastAsia="黑体"/>
          <w:b w:val="0"/>
        </w:rPr>
      </w:pPr>
      <w:bookmarkStart w:id="28" w:name="_Toc15396604"/>
      <w:bookmarkStart w:id="29" w:name="_Toc12462"/>
      <w:bookmarkStart w:id="30" w:name="_Toc15377206"/>
      <w:r>
        <w:rPr>
          <w:rFonts w:hint="eastAsia" w:ascii="黑体" w:hAnsi="黑体" w:eastAsia="黑体"/>
          <w:sz w:val="32"/>
          <w:szCs w:val="32"/>
        </w:rPr>
        <w:t>收</w:t>
      </w:r>
      <w:r>
        <w:rPr>
          <w:rStyle w:val="29"/>
          <w:rFonts w:hint="eastAsia" w:ascii="黑体" w:hAnsi="黑体" w:eastAsia="黑体"/>
          <w:b w:val="0"/>
        </w:rPr>
        <w:t>入决算情况说明</w:t>
      </w:r>
      <w:bookmarkEnd w:id="28"/>
      <w:bookmarkEnd w:id="29"/>
      <w:bookmarkEnd w:id="30"/>
    </w:p>
    <w:p w14:paraId="3F62A3E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kern w:val="2"/>
          <w:sz w:val="32"/>
          <w:szCs w:val="32"/>
          <w:lang w:val="en-US" w:eastAsia="zh-CN" w:bidi="ar-SA"/>
        </w:rPr>
      </w:pPr>
      <w:bookmarkStart w:id="31" w:name="_Toc21094"/>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年度本年收入合计</w:t>
      </w:r>
      <w:r>
        <w:rPr>
          <w:rFonts w:hint="eastAsia" w:eastAsia="仿宋_GB2312" w:cs="仿宋_GB2312"/>
          <w:kern w:val="2"/>
          <w:sz w:val="32"/>
          <w:szCs w:val="32"/>
          <w:lang w:val="en-US" w:eastAsia="zh-CN" w:bidi="ar-SA"/>
        </w:rPr>
        <w:t>1779.55</w:t>
      </w:r>
      <w:r>
        <w:rPr>
          <w:rFonts w:hint="eastAsia" w:ascii="仿宋_GB2312" w:hAnsi="仿宋_GB2312" w:eastAsia="仿宋_GB2312" w:cs="仿宋_GB2312"/>
          <w:kern w:val="2"/>
          <w:sz w:val="32"/>
          <w:szCs w:val="32"/>
          <w:lang w:val="en-US" w:eastAsia="zh-CN" w:bidi="ar-SA"/>
        </w:rPr>
        <w:t>万元，其中：一般公共预算财政拨款收入</w:t>
      </w:r>
      <w:r>
        <w:rPr>
          <w:rFonts w:hint="eastAsia" w:eastAsia="仿宋_GB2312" w:cs="仿宋_GB2312"/>
          <w:kern w:val="2"/>
          <w:sz w:val="32"/>
          <w:szCs w:val="32"/>
          <w:lang w:val="en-US" w:eastAsia="zh-CN" w:bidi="ar-SA"/>
        </w:rPr>
        <w:t>1475.51</w:t>
      </w:r>
      <w:r>
        <w:rPr>
          <w:rFonts w:hint="eastAsia" w:ascii="仿宋_GB2312" w:hAnsi="仿宋_GB2312" w:eastAsia="仿宋_GB2312" w:cs="仿宋_GB2312"/>
          <w:kern w:val="2"/>
          <w:sz w:val="32"/>
          <w:szCs w:val="32"/>
          <w:lang w:val="en-US" w:eastAsia="zh-CN" w:bidi="ar-SA"/>
        </w:rPr>
        <w:t>万元，占</w:t>
      </w:r>
      <w:r>
        <w:rPr>
          <w:rFonts w:hint="eastAsia" w:eastAsia="仿宋_GB2312" w:cs="仿宋_GB2312"/>
          <w:kern w:val="2"/>
          <w:sz w:val="32"/>
          <w:szCs w:val="32"/>
          <w:lang w:val="en-US" w:eastAsia="zh-CN" w:bidi="ar-SA"/>
        </w:rPr>
        <w:t>82.91</w:t>
      </w:r>
      <w:r>
        <w:rPr>
          <w:rFonts w:hint="eastAsia" w:ascii="仿宋_GB2312" w:hAnsi="仿宋_GB2312" w:eastAsia="仿宋_GB2312" w:cs="仿宋_GB2312"/>
          <w:kern w:val="2"/>
          <w:sz w:val="32"/>
          <w:szCs w:val="32"/>
          <w:lang w:val="en-US" w:eastAsia="zh-CN" w:bidi="ar-SA"/>
        </w:rPr>
        <w:t>%；事业收入</w:t>
      </w:r>
      <w:r>
        <w:rPr>
          <w:rFonts w:hint="eastAsia" w:ascii="Times New Roman" w:hAnsi="Times New Roman" w:eastAsia="仿宋_GB2312" w:cs="仿宋_GB2312"/>
          <w:kern w:val="2"/>
          <w:sz w:val="32"/>
          <w:szCs w:val="32"/>
          <w:lang w:val="en-US" w:eastAsia="zh-CN" w:bidi="ar-SA"/>
        </w:rPr>
        <w:t>304.04</w:t>
      </w:r>
      <w:r>
        <w:rPr>
          <w:rFonts w:hint="eastAsia" w:ascii="仿宋_GB2312" w:hAnsi="仿宋_GB2312" w:eastAsia="仿宋_GB2312" w:cs="仿宋_GB2312"/>
          <w:kern w:val="2"/>
          <w:sz w:val="32"/>
          <w:szCs w:val="32"/>
          <w:lang w:val="en-US" w:eastAsia="zh-CN" w:bidi="ar-SA"/>
        </w:rPr>
        <w:t>万元，占</w:t>
      </w:r>
      <w:r>
        <w:rPr>
          <w:rFonts w:hint="eastAsia" w:eastAsia="仿宋_GB2312" w:cs="仿宋_GB2312"/>
          <w:kern w:val="2"/>
          <w:sz w:val="32"/>
          <w:szCs w:val="32"/>
          <w:lang w:val="en-US" w:eastAsia="zh-CN" w:bidi="ar-SA"/>
        </w:rPr>
        <w:t>17.09</w:t>
      </w:r>
      <w:r>
        <w:rPr>
          <w:rFonts w:hint="eastAsia" w:ascii="仿宋_GB2312" w:hAnsi="仿宋_GB2312" w:eastAsia="仿宋_GB2312" w:cs="仿宋_GB2312"/>
          <w:color w:val="auto"/>
          <w:sz w:val="32"/>
          <w:szCs w:val="32"/>
          <w:highlight w:val="none"/>
          <w:lang w:eastAsia="zh-CN"/>
        </w:rPr>
        <w:t>%</w:t>
      </w:r>
      <w:bookmarkEnd w:id="31"/>
      <w:r>
        <w:rPr>
          <w:rFonts w:hint="eastAsia" w:ascii="仿宋_GB2312" w:hAnsi="仿宋_GB2312" w:eastAsia="仿宋_GB2312" w:cs="仿宋_GB2312"/>
          <w:kern w:val="2"/>
          <w:sz w:val="32"/>
          <w:szCs w:val="32"/>
          <w:lang w:val="en-US" w:eastAsia="zh-CN" w:bidi="ar-SA"/>
        </w:rPr>
        <w:t>。</w:t>
      </w:r>
    </w:p>
    <w:p w14:paraId="13DEC7F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kern w:val="2"/>
          <w:sz w:val="32"/>
          <w:szCs w:val="32"/>
          <w:lang w:val="en-US" w:eastAsia="zh-CN" w:bidi="ar-SA"/>
        </w:rPr>
      </w:pPr>
    </w:p>
    <w:p w14:paraId="4772C2B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kern w:val="2"/>
          <w:sz w:val="32"/>
          <w:szCs w:val="32"/>
          <w:lang w:val="en-US" w:eastAsia="zh-CN" w:bidi="ar-SA"/>
        </w:rPr>
      </w:pPr>
    </w:p>
    <w:p w14:paraId="50A6C4F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kern w:val="2"/>
          <w:sz w:val="32"/>
          <w:szCs w:val="32"/>
          <w:lang w:val="en-US" w:eastAsia="zh-CN" w:bidi="ar-SA"/>
        </w:rPr>
      </w:pPr>
    </w:p>
    <w:p w14:paraId="0FBA7FE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kern w:val="2"/>
          <w:sz w:val="32"/>
          <w:szCs w:val="32"/>
          <w:lang w:val="en-US" w:eastAsia="zh-CN" w:bidi="ar-SA"/>
        </w:rPr>
      </w:pPr>
    </w:p>
    <w:p w14:paraId="60EA2C8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kern w:val="2"/>
          <w:sz w:val="32"/>
          <w:szCs w:val="32"/>
          <w:lang w:val="en-US" w:eastAsia="zh-CN" w:bidi="ar-SA"/>
        </w:rPr>
      </w:pPr>
    </w:p>
    <w:p w14:paraId="0BB0D33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left"/>
        <w:textAlignment w:val="auto"/>
        <w:outlineLvl w:val="1"/>
        <w:rPr>
          <w:rFonts w:hint="eastAsia" w:ascii="仿宋_GB2312" w:hAnsi="仿宋_GB2312" w:eastAsia="仿宋_GB2312" w:cs="仿宋_GB2312"/>
          <w:kern w:val="2"/>
          <w:sz w:val="32"/>
          <w:szCs w:val="32"/>
          <w:lang w:val="en-US" w:eastAsia="zh-CN" w:bidi="ar-SA"/>
        </w:rPr>
      </w:pPr>
      <w:r>
        <w:drawing>
          <wp:anchor distT="0" distB="0" distL="114300" distR="114300" simplePos="0" relativeHeight="251659264" behindDoc="1" locked="0" layoutInCell="1" allowOverlap="1">
            <wp:simplePos x="0" y="0"/>
            <wp:positionH relativeFrom="column">
              <wp:posOffset>204470</wp:posOffset>
            </wp:positionH>
            <wp:positionV relativeFrom="paragraph">
              <wp:posOffset>-97155</wp:posOffset>
            </wp:positionV>
            <wp:extent cx="4684395" cy="3293745"/>
            <wp:effectExtent l="4445" t="4445" r="73660" b="16510"/>
            <wp:wrapNone/>
            <wp:docPr id="4110"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26E20CD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kern w:val="2"/>
          <w:sz w:val="32"/>
          <w:szCs w:val="32"/>
          <w:lang w:val="en-US" w:eastAsia="zh-CN" w:bidi="ar-SA"/>
        </w:rPr>
      </w:pPr>
    </w:p>
    <w:p w14:paraId="6FEB298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kern w:val="2"/>
          <w:sz w:val="32"/>
          <w:szCs w:val="32"/>
          <w:lang w:val="en-US" w:eastAsia="zh-CN" w:bidi="ar-SA"/>
        </w:rPr>
      </w:pPr>
    </w:p>
    <w:p w14:paraId="701BC22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kern w:val="2"/>
          <w:sz w:val="32"/>
          <w:szCs w:val="32"/>
          <w:lang w:val="en-US" w:eastAsia="zh-CN" w:bidi="ar-SA"/>
        </w:rPr>
      </w:pPr>
    </w:p>
    <w:p w14:paraId="25CEF05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kern w:val="2"/>
          <w:sz w:val="32"/>
          <w:szCs w:val="32"/>
          <w:lang w:val="en-US" w:eastAsia="zh-CN" w:bidi="ar-SA"/>
        </w:rPr>
      </w:pPr>
    </w:p>
    <w:p w14:paraId="61EFE34F">
      <w:pPr>
        <w:spacing w:line="600" w:lineRule="exact"/>
        <w:outlineLvl w:val="1"/>
        <w:rPr>
          <w:rFonts w:hint="eastAsia" w:ascii="黑体" w:hAnsi="黑体" w:eastAsia="黑体" w:cs="Times New Roman"/>
          <w:kern w:val="2"/>
          <w:sz w:val="32"/>
          <w:szCs w:val="32"/>
          <w:lang w:val="en-US" w:eastAsia="zh-CN" w:bidi="ar-SA"/>
        </w:rPr>
      </w:pPr>
      <w:bookmarkStart w:id="32" w:name="_Toc11889"/>
      <w:r>
        <w:rPr>
          <w:rFonts w:hint="eastAsia"/>
          <w:lang w:val="en-US" w:eastAsia="zh-CN"/>
        </w:rPr>
        <w:t xml:space="preserve">       </w:t>
      </w:r>
      <w:r>
        <w:rPr>
          <w:rFonts w:hint="eastAsia" w:ascii="黑体" w:hAnsi="黑体" w:eastAsia="黑体" w:cs="Times New Roman"/>
          <w:kern w:val="2"/>
          <w:sz w:val="32"/>
          <w:szCs w:val="32"/>
          <w:lang w:val="en-US" w:eastAsia="zh-CN" w:bidi="ar-SA"/>
        </w:rPr>
        <w:t xml:space="preserve"> </w:t>
      </w:r>
      <w:bookmarkEnd w:id="32"/>
      <w:bookmarkStart w:id="33" w:name="_Toc15377207"/>
      <w:bookmarkStart w:id="34" w:name="_Toc4854"/>
      <w:bookmarkStart w:id="35" w:name="_Toc15396605"/>
    </w:p>
    <w:p w14:paraId="28405D58">
      <w:pPr>
        <w:spacing w:line="600" w:lineRule="exact"/>
        <w:outlineLvl w:val="1"/>
        <w:rPr>
          <w:rFonts w:hint="eastAsia" w:ascii="黑体" w:hAnsi="黑体" w:eastAsia="黑体" w:cs="Times New Roman"/>
          <w:kern w:val="2"/>
          <w:sz w:val="32"/>
          <w:szCs w:val="32"/>
          <w:lang w:val="en-US" w:eastAsia="zh-CN" w:bidi="ar-SA"/>
        </w:rPr>
      </w:pPr>
    </w:p>
    <w:p w14:paraId="3236BCF8">
      <w:pPr>
        <w:spacing w:line="600" w:lineRule="exact"/>
        <w:outlineLvl w:val="1"/>
        <w:rPr>
          <w:rFonts w:hint="eastAsia" w:ascii="黑体" w:hAnsi="黑体" w:eastAsia="黑体" w:cs="Times New Roman"/>
          <w:kern w:val="2"/>
          <w:sz w:val="32"/>
          <w:szCs w:val="32"/>
          <w:lang w:val="en-US" w:eastAsia="zh-CN" w:bidi="ar-SA"/>
        </w:rPr>
      </w:pPr>
    </w:p>
    <w:p w14:paraId="75C02CD2">
      <w:pPr>
        <w:spacing w:line="600" w:lineRule="exact"/>
        <w:outlineLvl w:val="1"/>
        <w:rPr>
          <w:rFonts w:hint="eastAsia" w:ascii="黑体" w:hAnsi="黑体" w:eastAsia="黑体" w:cs="Times New Roman"/>
          <w:kern w:val="2"/>
          <w:sz w:val="32"/>
          <w:szCs w:val="32"/>
          <w:lang w:val="en-US" w:eastAsia="zh-CN" w:bidi="ar-SA"/>
        </w:rPr>
      </w:pPr>
    </w:p>
    <w:p w14:paraId="7727D85A">
      <w:pPr>
        <w:spacing w:line="600" w:lineRule="exact"/>
        <w:ind w:firstLine="640" w:firstLineChars="200"/>
        <w:outlineLvl w:val="1"/>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三、支出决算情况说明</w:t>
      </w:r>
      <w:bookmarkEnd w:id="33"/>
      <w:bookmarkEnd w:id="34"/>
      <w:bookmarkEnd w:id="35"/>
    </w:p>
    <w:p w14:paraId="2B6A780A">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年度本年支出合计</w:t>
      </w:r>
      <w:r>
        <w:rPr>
          <w:rFonts w:hint="eastAsia" w:eastAsia="仿宋_GB2312" w:cs="仿宋_GB2312"/>
          <w:kern w:val="2"/>
          <w:sz w:val="32"/>
          <w:szCs w:val="32"/>
          <w:lang w:val="en-US" w:eastAsia="zh-CN" w:bidi="ar-SA"/>
        </w:rPr>
        <w:t>1588.35</w:t>
      </w:r>
      <w:r>
        <w:rPr>
          <w:rFonts w:hint="eastAsia" w:ascii="仿宋_GB2312" w:hAnsi="仿宋_GB2312" w:eastAsia="仿宋_GB2312" w:cs="仿宋_GB2312"/>
          <w:kern w:val="2"/>
          <w:sz w:val="32"/>
          <w:szCs w:val="32"/>
          <w:lang w:val="en-US" w:eastAsia="zh-CN" w:bidi="ar-SA"/>
        </w:rPr>
        <w:t>万元，其中：基本支出</w:t>
      </w:r>
      <w:r>
        <w:rPr>
          <w:rFonts w:hint="eastAsia" w:eastAsia="仿宋_GB2312" w:cs="仿宋_GB2312"/>
          <w:kern w:val="2"/>
          <w:sz w:val="32"/>
          <w:szCs w:val="32"/>
          <w:lang w:val="en-US" w:eastAsia="zh-CN" w:bidi="ar-SA"/>
        </w:rPr>
        <w:t>1142.23</w:t>
      </w:r>
      <w:r>
        <w:rPr>
          <w:rFonts w:hint="eastAsia" w:ascii="仿宋_GB2312" w:hAnsi="仿宋_GB2312" w:eastAsia="仿宋_GB2312" w:cs="仿宋_GB2312"/>
          <w:kern w:val="2"/>
          <w:sz w:val="32"/>
          <w:szCs w:val="32"/>
          <w:lang w:val="en-US" w:eastAsia="zh-CN" w:bidi="ar-SA"/>
        </w:rPr>
        <w:t>万元，占</w:t>
      </w:r>
      <w:r>
        <w:rPr>
          <w:rFonts w:hint="eastAsia" w:eastAsia="仿宋_GB2312" w:cs="仿宋_GB2312"/>
          <w:kern w:val="2"/>
          <w:sz w:val="32"/>
          <w:szCs w:val="32"/>
          <w:lang w:val="en-US" w:eastAsia="zh-CN" w:bidi="ar-SA"/>
        </w:rPr>
        <w:t>71.91</w:t>
      </w:r>
      <w:r>
        <w:rPr>
          <w:rFonts w:hint="eastAsia" w:ascii="仿宋_GB2312" w:hAnsi="仿宋_GB2312" w:eastAsia="仿宋_GB2312" w:cs="仿宋_GB2312"/>
          <w:kern w:val="2"/>
          <w:sz w:val="32"/>
          <w:szCs w:val="32"/>
          <w:lang w:val="en-US" w:eastAsia="zh-CN" w:bidi="ar-SA"/>
        </w:rPr>
        <w:t>%；；项目支出</w:t>
      </w:r>
      <w:r>
        <w:rPr>
          <w:rFonts w:hint="eastAsia" w:eastAsia="仿宋_GB2312" w:cs="仿宋_GB2312"/>
          <w:kern w:val="2"/>
          <w:sz w:val="32"/>
          <w:szCs w:val="32"/>
          <w:lang w:val="en-US" w:eastAsia="zh-CN" w:bidi="ar-SA"/>
        </w:rPr>
        <w:t>446.12</w:t>
      </w:r>
      <w:r>
        <w:rPr>
          <w:rFonts w:hint="eastAsia" w:ascii="仿宋_GB2312" w:hAnsi="仿宋_GB2312" w:eastAsia="仿宋_GB2312" w:cs="仿宋_GB2312"/>
          <w:kern w:val="2"/>
          <w:sz w:val="32"/>
          <w:szCs w:val="32"/>
          <w:lang w:val="en-US" w:eastAsia="zh-CN" w:bidi="ar-SA"/>
        </w:rPr>
        <w:t>万元，占</w:t>
      </w:r>
      <w:r>
        <w:rPr>
          <w:rFonts w:hint="eastAsia" w:eastAsia="仿宋_GB2312" w:cs="仿宋_GB2312"/>
          <w:kern w:val="2"/>
          <w:sz w:val="32"/>
          <w:szCs w:val="32"/>
          <w:lang w:val="en-US" w:eastAsia="zh-CN" w:bidi="ar-SA"/>
        </w:rPr>
        <w:t>28.09</w:t>
      </w:r>
      <w:r>
        <w:rPr>
          <w:rFonts w:hint="eastAsia" w:ascii="仿宋_GB2312" w:hAnsi="仿宋_GB2312" w:eastAsia="仿宋_GB2312" w:cs="仿宋_GB2312"/>
          <w:kern w:val="2"/>
          <w:sz w:val="32"/>
          <w:szCs w:val="32"/>
          <w:lang w:val="en-US" w:eastAsia="zh-CN" w:bidi="ar-SA"/>
        </w:rPr>
        <w:t>%。</w:t>
      </w:r>
    </w:p>
    <w:p w14:paraId="4067B590">
      <w:pPr>
        <w:pStyle w:val="2"/>
        <w:rPr>
          <w:rFonts w:hint="eastAsia"/>
          <w:lang w:val="en-US" w:eastAsia="zh-CN"/>
        </w:rPr>
      </w:pPr>
      <w:r>
        <w:drawing>
          <wp:anchor distT="0" distB="0" distL="114300" distR="114300" simplePos="0" relativeHeight="251659264" behindDoc="0" locked="0" layoutInCell="1" allowOverlap="1">
            <wp:simplePos x="0" y="0"/>
            <wp:positionH relativeFrom="column">
              <wp:posOffset>309245</wp:posOffset>
            </wp:positionH>
            <wp:positionV relativeFrom="paragraph">
              <wp:posOffset>366395</wp:posOffset>
            </wp:positionV>
            <wp:extent cx="4760595" cy="2676525"/>
            <wp:effectExtent l="4445" t="4445" r="16510" b="5080"/>
            <wp:wrapSquare wrapText="bothSides"/>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08A35C10">
      <w:pPr>
        <w:pStyle w:val="3"/>
        <w:rPr>
          <w:rFonts w:hint="eastAsia"/>
          <w:lang w:eastAsia="zh-CN"/>
        </w:rPr>
      </w:pPr>
    </w:p>
    <w:p w14:paraId="54413777">
      <w:pPr>
        <w:pStyle w:val="3"/>
        <w:rPr>
          <w:rFonts w:hint="eastAsia"/>
          <w:lang w:eastAsia="zh-CN"/>
        </w:rPr>
      </w:pPr>
    </w:p>
    <w:p w14:paraId="49B7C1F9">
      <w:pPr>
        <w:pStyle w:val="3"/>
        <w:rPr>
          <w:rFonts w:hint="eastAsia"/>
          <w:lang w:eastAsia="zh-CN"/>
        </w:rPr>
      </w:pPr>
    </w:p>
    <w:p w14:paraId="053B9309">
      <w:pPr>
        <w:pStyle w:val="3"/>
        <w:rPr>
          <w:rFonts w:hint="eastAsia"/>
          <w:lang w:eastAsia="zh-CN"/>
        </w:rPr>
      </w:pPr>
    </w:p>
    <w:p w14:paraId="2B4494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Style w:val="29"/>
          <w:rFonts w:ascii="黑体" w:hAnsi="黑体" w:eastAsia="黑体"/>
          <w:b w:val="0"/>
        </w:rPr>
      </w:pPr>
      <w:bookmarkStart w:id="36" w:name="_Toc15716"/>
      <w:bookmarkStart w:id="37" w:name="_Toc10385"/>
      <w:r>
        <w:rPr>
          <w:rFonts w:hint="eastAsia" w:ascii="黑体" w:hAnsi="黑体" w:eastAsia="黑体"/>
          <w:sz w:val="32"/>
          <w:szCs w:val="32"/>
        </w:rPr>
        <w:t>四、财</w:t>
      </w:r>
      <w:r>
        <w:rPr>
          <w:rStyle w:val="29"/>
          <w:rFonts w:hint="eastAsia" w:ascii="黑体" w:hAnsi="黑体" w:eastAsia="黑体"/>
          <w:b w:val="0"/>
        </w:rPr>
        <w:t>政拨款收入支出决算总体情况说明</w:t>
      </w:r>
      <w:bookmarkEnd w:id="36"/>
      <w:bookmarkEnd w:id="37"/>
    </w:p>
    <w:p w14:paraId="0CAF2350">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年度财政拨款收、支总计均为</w:t>
      </w:r>
      <w:r>
        <w:rPr>
          <w:rFonts w:hint="eastAsia" w:eastAsia="仿宋_GB2312" w:cs="仿宋_GB2312"/>
          <w:kern w:val="2"/>
          <w:sz w:val="32"/>
          <w:szCs w:val="32"/>
          <w:lang w:val="en-US" w:eastAsia="zh-CN" w:bidi="ar-SA"/>
        </w:rPr>
        <w:t>1475.51</w:t>
      </w:r>
      <w:r>
        <w:rPr>
          <w:rFonts w:hint="eastAsia" w:ascii="仿宋_GB2312" w:hAnsi="仿宋_GB2312" w:eastAsia="仿宋_GB2312" w:cs="仿宋_GB2312"/>
          <w:kern w:val="2"/>
          <w:sz w:val="32"/>
          <w:szCs w:val="32"/>
          <w:lang w:val="en-US" w:eastAsia="zh-CN" w:bidi="ar-SA"/>
        </w:rPr>
        <w:t>万元。与</w:t>
      </w:r>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4</w:t>
      </w:r>
      <w:r>
        <w:rPr>
          <w:rFonts w:hint="eastAsia" w:ascii="仿宋_GB2312" w:hAnsi="仿宋_GB2312" w:eastAsia="仿宋_GB2312" w:cs="仿宋_GB2312"/>
          <w:kern w:val="2"/>
          <w:sz w:val="32"/>
          <w:szCs w:val="32"/>
          <w:lang w:val="en-US" w:eastAsia="zh-CN" w:bidi="ar-SA"/>
        </w:rPr>
        <w:t>年度相比，财政拨款收、支总计各增加</w:t>
      </w:r>
      <w:r>
        <w:rPr>
          <w:rFonts w:hint="eastAsia" w:eastAsia="仿宋_GB2312" w:cs="仿宋_GB2312"/>
          <w:kern w:val="2"/>
          <w:sz w:val="32"/>
          <w:szCs w:val="32"/>
          <w:lang w:val="en-US" w:eastAsia="zh-CN" w:bidi="ar-SA"/>
        </w:rPr>
        <w:t>89.11</w:t>
      </w:r>
      <w:r>
        <w:rPr>
          <w:rFonts w:hint="eastAsia" w:ascii="仿宋_GB2312" w:hAnsi="仿宋_GB2312" w:eastAsia="仿宋_GB2312" w:cs="仿宋_GB2312"/>
          <w:kern w:val="2"/>
          <w:sz w:val="32"/>
          <w:szCs w:val="32"/>
          <w:lang w:val="en-US" w:eastAsia="zh-CN" w:bidi="ar-SA"/>
        </w:rPr>
        <w:t>万元，增长</w:t>
      </w:r>
      <w:r>
        <w:rPr>
          <w:rFonts w:hint="eastAsia" w:eastAsia="仿宋_GB2312" w:cs="仿宋_GB2312"/>
          <w:kern w:val="2"/>
          <w:sz w:val="32"/>
          <w:szCs w:val="32"/>
          <w:lang w:val="en-US" w:eastAsia="zh-CN" w:bidi="ar-SA"/>
        </w:rPr>
        <w:t>6.43</w:t>
      </w:r>
      <w:r>
        <w:rPr>
          <w:rFonts w:hint="eastAsia" w:ascii="仿宋_GB2312" w:hAnsi="仿宋_GB2312" w:eastAsia="仿宋_GB2312" w:cs="仿宋_GB2312"/>
          <w:kern w:val="2"/>
          <w:sz w:val="32"/>
          <w:szCs w:val="32"/>
          <w:lang w:val="en-US" w:eastAsia="zh-CN" w:bidi="ar-SA"/>
        </w:rPr>
        <w:t>%。主要变动原因是：</w:t>
      </w:r>
      <w:r>
        <w:rPr>
          <w:rFonts w:hint="eastAsia" w:ascii="仿宋_GB2312" w:hAnsi="仿宋_GB2312" w:eastAsia="仿宋_GB2312" w:cs="仿宋_GB2312"/>
          <w:color w:val="auto"/>
          <w:kern w:val="2"/>
          <w:sz w:val="32"/>
          <w:szCs w:val="32"/>
          <w:lang w:val="en-US" w:eastAsia="zh-CN" w:bidi="ar-SA"/>
        </w:rPr>
        <w:t>卫生健康支出增加。</w:t>
      </w:r>
    </w:p>
    <w:p w14:paraId="2DECD440">
      <w:pPr>
        <w:pStyle w:val="19"/>
        <w:jc w:val="both"/>
        <w:outlineLvl w:val="9"/>
      </w:pPr>
      <w:r>
        <w:drawing>
          <wp:inline distT="0" distB="0" distL="114300" distR="114300">
            <wp:extent cx="4572000" cy="2741930"/>
            <wp:effectExtent l="4445" t="4445" r="14605" b="15875"/>
            <wp:docPr id="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10872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Style w:val="29"/>
          <w:rFonts w:ascii="黑体" w:hAnsi="黑体" w:eastAsia="黑体"/>
          <w:b w:val="0"/>
        </w:rPr>
      </w:pPr>
      <w:bookmarkStart w:id="38" w:name="_Toc15377209"/>
      <w:bookmarkStart w:id="39" w:name="_Toc18577"/>
      <w:bookmarkStart w:id="40" w:name="_Toc15396607"/>
      <w:r>
        <w:rPr>
          <w:rFonts w:hint="eastAsia" w:ascii="黑体" w:hAnsi="黑体" w:eastAsia="黑体"/>
          <w:sz w:val="32"/>
          <w:szCs w:val="32"/>
        </w:rPr>
        <w:t>五、</w:t>
      </w:r>
      <w:r>
        <w:rPr>
          <w:rFonts w:hint="eastAsia" w:ascii="黑体" w:hAnsi="黑体" w:eastAsia="黑体"/>
          <w:b/>
          <w:sz w:val="32"/>
          <w:szCs w:val="32"/>
        </w:rPr>
        <w:t>一</w:t>
      </w:r>
      <w:r>
        <w:rPr>
          <w:rStyle w:val="29"/>
          <w:rFonts w:hint="eastAsia" w:ascii="黑体" w:hAnsi="黑体" w:eastAsia="黑体"/>
          <w:b w:val="0"/>
        </w:rPr>
        <w:t>般公共预算财政拨款支出决算情况说明</w:t>
      </w:r>
      <w:bookmarkEnd w:id="38"/>
      <w:bookmarkEnd w:id="39"/>
      <w:bookmarkEnd w:id="40"/>
    </w:p>
    <w:p w14:paraId="4369104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Times New Roman" w:hAnsi="Times New Roman" w:eastAsia="楷体_GB2312" w:cs="楷体_GB2312"/>
          <w:b/>
          <w:sz w:val="32"/>
          <w:szCs w:val="32"/>
        </w:rPr>
      </w:pPr>
      <w:bookmarkStart w:id="41" w:name="_Toc15377210"/>
      <w:r>
        <w:rPr>
          <w:rFonts w:hint="eastAsia" w:ascii="Times New Roman" w:hAnsi="Times New Roman" w:eastAsia="楷体_GB2312" w:cs="楷体_GB2312"/>
          <w:b/>
          <w:sz w:val="32"/>
          <w:szCs w:val="32"/>
        </w:rPr>
        <w:t>（一）一般公共预算财政拨款支出决算总体情况</w:t>
      </w:r>
      <w:bookmarkEnd w:id="41"/>
    </w:p>
    <w:p w14:paraId="6D7D3114">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年度一般公共预算财政拨款支出1475.51万元，占本年支出合计的92.90%。与</w:t>
      </w:r>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4</w:t>
      </w:r>
      <w:r>
        <w:rPr>
          <w:rFonts w:hint="eastAsia" w:ascii="仿宋_GB2312" w:hAnsi="仿宋_GB2312" w:eastAsia="仿宋_GB2312" w:cs="仿宋_GB2312"/>
          <w:kern w:val="2"/>
          <w:sz w:val="32"/>
          <w:szCs w:val="32"/>
          <w:lang w:val="en-US" w:eastAsia="zh-CN" w:bidi="ar-SA"/>
        </w:rPr>
        <w:t>年度相比，一般公共预算财政拨款支出增加</w:t>
      </w:r>
      <w:r>
        <w:rPr>
          <w:rFonts w:hint="eastAsia" w:eastAsia="仿宋_GB2312" w:cs="仿宋_GB2312"/>
          <w:kern w:val="2"/>
          <w:sz w:val="32"/>
          <w:szCs w:val="32"/>
          <w:lang w:val="en-US" w:eastAsia="zh-CN" w:bidi="ar-SA"/>
        </w:rPr>
        <w:t>89.11</w:t>
      </w:r>
      <w:r>
        <w:rPr>
          <w:rFonts w:hint="eastAsia" w:ascii="仿宋_GB2312" w:hAnsi="仿宋_GB2312" w:eastAsia="仿宋_GB2312" w:cs="仿宋_GB2312"/>
          <w:kern w:val="2"/>
          <w:sz w:val="32"/>
          <w:szCs w:val="32"/>
          <w:lang w:val="en-US" w:eastAsia="zh-CN" w:bidi="ar-SA"/>
        </w:rPr>
        <w:t>万元，增长</w:t>
      </w:r>
      <w:r>
        <w:rPr>
          <w:rFonts w:hint="eastAsia" w:eastAsia="仿宋_GB2312" w:cs="仿宋_GB2312"/>
          <w:kern w:val="2"/>
          <w:sz w:val="32"/>
          <w:szCs w:val="32"/>
          <w:lang w:val="en-US" w:eastAsia="zh-CN" w:bidi="ar-SA"/>
        </w:rPr>
        <w:t>6.43</w:t>
      </w:r>
      <w:r>
        <w:rPr>
          <w:rFonts w:hint="eastAsia" w:ascii="仿宋_GB2312" w:hAnsi="仿宋_GB2312" w:eastAsia="仿宋_GB2312" w:cs="仿宋_GB2312"/>
          <w:kern w:val="2"/>
          <w:sz w:val="32"/>
          <w:szCs w:val="32"/>
          <w:lang w:val="en-US" w:eastAsia="zh-CN" w:bidi="ar-SA"/>
        </w:rPr>
        <w:t>%。主要变动原因是：</w:t>
      </w:r>
      <w:r>
        <w:rPr>
          <w:rFonts w:hint="eastAsia" w:ascii="仿宋_GB2312" w:hAnsi="仿宋_GB2312" w:eastAsia="仿宋_GB2312" w:cs="仿宋_GB2312"/>
          <w:color w:val="auto"/>
          <w:kern w:val="2"/>
          <w:sz w:val="32"/>
          <w:szCs w:val="32"/>
          <w:lang w:val="en-US" w:eastAsia="zh-CN" w:bidi="ar-SA"/>
        </w:rPr>
        <w:t>卫生健康支出增加。</w:t>
      </w:r>
    </w:p>
    <w:p w14:paraId="18A2149A">
      <w:pPr>
        <w:pStyle w:val="3"/>
      </w:pPr>
      <w:r>
        <w:drawing>
          <wp:inline distT="0" distB="0" distL="114300" distR="114300">
            <wp:extent cx="4572000" cy="2741930"/>
            <wp:effectExtent l="4445" t="4445" r="14605" b="15875"/>
            <wp:docPr id="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5E565C4">
      <w:pPr>
        <w:rPr>
          <w:rFonts w:hint="eastAsia" w:ascii="Times New Roman" w:hAnsi="Times New Roman" w:eastAsia="楷体_GB2312" w:cs="楷体_GB2312"/>
          <w:b/>
          <w:sz w:val="32"/>
          <w:szCs w:val="32"/>
        </w:rPr>
      </w:pPr>
      <w:r>
        <w:rPr>
          <w:rFonts w:hint="eastAsia"/>
          <w:lang w:val="en-US" w:eastAsia="zh-CN"/>
        </w:rPr>
        <w:t xml:space="preserve">   </w:t>
      </w:r>
      <w:r>
        <w:rPr>
          <w:rFonts w:hint="eastAsia" w:ascii="Times New Roman" w:hAnsi="Times New Roman" w:eastAsia="楷体_GB2312" w:cs="楷体_GB2312"/>
          <w:b/>
          <w:sz w:val="32"/>
          <w:szCs w:val="32"/>
          <w:lang w:val="en-US" w:eastAsia="zh-CN"/>
        </w:rPr>
        <w:t xml:space="preserve"> </w:t>
      </w:r>
      <w:bookmarkStart w:id="42" w:name="_Toc15377211"/>
      <w:r>
        <w:rPr>
          <w:rFonts w:hint="eastAsia" w:ascii="Times New Roman" w:hAnsi="Times New Roman" w:eastAsia="楷体_GB2312" w:cs="楷体_GB2312"/>
          <w:b/>
          <w:sz w:val="32"/>
          <w:szCs w:val="32"/>
        </w:rPr>
        <w:t>（二）一般公共预算财政拨款支出决算结构情况</w:t>
      </w:r>
      <w:bookmarkEnd w:id="42"/>
    </w:p>
    <w:p w14:paraId="53CC2E54">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年度一般公共预算财政拨款支出</w:t>
      </w:r>
      <w:r>
        <w:rPr>
          <w:rFonts w:hint="eastAsia" w:eastAsia="仿宋_GB2312" w:cs="仿宋_GB2312"/>
          <w:kern w:val="2"/>
          <w:sz w:val="32"/>
          <w:szCs w:val="32"/>
          <w:lang w:val="en-US" w:eastAsia="zh-CN" w:bidi="ar-SA"/>
        </w:rPr>
        <w:t>1475.51</w:t>
      </w:r>
      <w:r>
        <w:rPr>
          <w:rFonts w:hint="eastAsia" w:ascii="仿宋_GB2312" w:hAnsi="仿宋_GB2312" w:eastAsia="仿宋_GB2312" w:cs="仿宋_GB2312"/>
          <w:kern w:val="2"/>
          <w:sz w:val="32"/>
          <w:szCs w:val="32"/>
          <w:lang w:val="en-US" w:eastAsia="zh-CN" w:bidi="ar-SA"/>
        </w:rPr>
        <w:t>万元，主要用于以下方面:社会保障和就业支出</w:t>
      </w:r>
      <w:r>
        <w:rPr>
          <w:rFonts w:hint="eastAsia" w:eastAsia="仿宋_GB2312" w:cs="仿宋_GB2312"/>
          <w:kern w:val="2"/>
          <w:sz w:val="32"/>
          <w:szCs w:val="32"/>
          <w:lang w:val="en-US" w:eastAsia="zh-CN" w:bidi="ar-SA"/>
        </w:rPr>
        <w:t>146.88</w:t>
      </w:r>
      <w:r>
        <w:rPr>
          <w:rFonts w:hint="eastAsia" w:ascii="仿宋_GB2312" w:hAnsi="仿宋_GB2312" w:eastAsia="仿宋_GB2312" w:cs="仿宋_GB2312"/>
          <w:kern w:val="2"/>
          <w:sz w:val="32"/>
          <w:szCs w:val="32"/>
          <w:lang w:val="en-US" w:eastAsia="zh-CN" w:bidi="ar-SA"/>
        </w:rPr>
        <w:t>万元，占</w:t>
      </w:r>
      <w:r>
        <w:rPr>
          <w:rFonts w:hint="eastAsia" w:ascii="Times New Roman" w:hAnsi="Times New Roman" w:eastAsia="仿宋_GB2312" w:cs="仿宋_GB2312"/>
          <w:kern w:val="2"/>
          <w:sz w:val="32"/>
          <w:szCs w:val="32"/>
          <w:lang w:val="en-US" w:eastAsia="zh-CN" w:bidi="ar-SA"/>
        </w:rPr>
        <w:t>9.</w:t>
      </w:r>
      <w:r>
        <w:rPr>
          <w:rFonts w:hint="eastAsia" w:eastAsia="仿宋_GB2312" w:cs="仿宋_GB2312"/>
          <w:kern w:val="2"/>
          <w:sz w:val="32"/>
          <w:szCs w:val="32"/>
          <w:lang w:val="en-US" w:eastAsia="zh-CN" w:bidi="ar-SA"/>
        </w:rPr>
        <w:t>95</w:t>
      </w:r>
      <w:r>
        <w:rPr>
          <w:rFonts w:hint="eastAsia" w:ascii="仿宋_GB2312" w:hAnsi="仿宋_GB2312" w:eastAsia="仿宋_GB2312" w:cs="仿宋_GB2312"/>
          <w:kern w:val="2"/>
          <w:sz w:val="32"/>
          <w:szCs w:val="32"/>
          <w:lang w:val="en-US" w:eastAsia="zh-CN" w:bidi="ar-SA"/>
        </w:rPr>
        <w:t>%；卫生健康支出</w:t>
      </w:r>
      <w:r>
        <w:rPr>
          <w:rFonts w:hint="eastAsia" w:eastAsia="仿宋_GB2312" w:cs="仿宋_GB2312"/>
          <w:kern w:val="2"/>
          <w:sz w:val="32"/>
          <w:szCs w:val="32"/>
          <w:lang w:val="en-US" w:eastAsia="zh-CN" w:bidi="ar-SA"/>
        </w:rPr>
        <w:t>1251.53</w:t>
      </w:r>
      <w:r>
        <w:rPr>
          <w:rFonts w:hint="eastAsia" w:ascii="仿宋_GB2312" w:hAnsi="仿宋_GB2312" w:eastAsia="仿宋_GB2312" w:cs="仿宋_GB2312"/>
          <w:kern w:val="2"/>
          <w:sz w:val="32"/>
          <w:szCs w:val="32"/>
          <w:lang w:val="en-US" w:eastAsia="zh-CN" w:bidi="ar-SA"/>
        </w:rPr>
        <w:t>万元，占</w:t>
      </w:r>
      <w:r>
        <w:rPr>
          <w:rFonts w:hint="eastAsia" w:eastAsia="仿宋_GB2312" w:cs="仿宋_GB2312"/>
          <w:kern w:val="2"/>
          <w:sz w:val="32"/>
          <w:szCs w:val="32"/>
          <w:lang w:val="en-US" w:eastAsia="zh-CN" w:bidi="ar-SA"/>
        </w:rPr>
        <w:t>84.82</w:t>
      </w:r>
      <w:r>
        <w:rPr>
          <w:rFonts w:hint="eastAsia" w:ascii="仿宋_GB2312" w:hAnsi="仿宋_GB2312" w:eastAsia="仿宋_GB2312" w:cs="仿宋_GB2312"/>
          <w:kern w:val="2"/>
          <w:sz w:val="32"/>
          <w:szCs w:val="32"/>
          <w:lang w:val="en-US" w:eastAsia="zh-CN" w:bidi="ar-SA"/>
        </w:rPr>
        <w:t>%；住房保障支出</w:t>
      </w:r>
      <w:r>
        <w:rPr>
          <w:rFonts w:hint="eastAsia" w:eastAsia="仿宋_GB2312" w:cs="仿宋_GB2312"/>
          <w:kern w:val="2"/>
          <w:sz w:val="32"/>
          <w:szCs w:val="32"/>
          <w:lang w:val="en-US" w:eastAsia="zh-CN" w:bidi="ar-SA"/>
        </w:rPr>
        <w:t>77.10</w:t>
      </w:r>
      <w:r>
        <w:rPr>
          <w:rFonts w:hint="eastAsia" w:ascii="仿宋_GB2312" w:hAnsi="仿宋_GB2312" w:eastAsia="仿宋_GB2312" w:cs="仿宋_GB2312"/>
          <w:kern w:val="2"/>
          <w:sz w:val="32"/>
          <w:szCs w:val="32"/>
          <w:lang w:val="en-US" w:eastAsia="zh-CN" w:bidi="ar-SA"/>
        </w:rPr>
        <w:t>万元，占</w:t>
      </w:r>
      <w:r>
        <w:rPr>
          <w:rFonts w:hint="eastAsia" w:eastAsia="仿宋_GB2312" w:cs="仿宋_GB2312"/>
          <w:kern w:val="2"/>
          <w:sz w:val="32"/>
          <w:szCs w:val="32"/>
          <w:lang w:val="en-US" w:eastAsia="zh-CN" w:bidi="ar-SA"/>
        </w:rPr>
        <w:t>5.23</w:t>
      </w:r>
      <w:r>
        <w:rPr>
          <w:rFonts w:hint="eastAsia" w:ascii="仿宋_GB2312" w:hAnsi="仿宋_GB2312" w:eastAsia="仿宋_GB2312" w:cs="仿宋_GB2312"/>
          <w:kern w:val="2"/>
          <w:sz w:val="32"/>
          <w:szCs w:val="32"/>
          <w:lang w:val="en-US" w:eastAsia="zh-CN" w:bidi="ar-SA"/>
        </w:rPr>
        <w:t>%。</w:t>
      </w:r>
    </w:p>
    <w:p w14:paraId="08DC36A4">
      <w:pPr>
        <w:pStyle w:val="2"/>
        <w:rPr>
          <w:rFonts w:hint="eastAsia" w:ascii="仿宋_GB2312" w:hAnsi="仿宋_GB2312" w:eastAsia="仿宋_GB2312" w:cs="仿宋_GB2312"/>
          <w:kern w:val="2"/>
          <w:sz w:val="32"/>
          <w:szCs w:val="32"/>
          <w:lang w:val="en-US" w:eastAsia="zh-CN" w:bidi="ar-SA"/>
        </w:rPr>
      </w:pPr>
    </w:p>
    <w:p w14:paraId="4E82D7F2">
      <w:pPr>
        <w:pStyle w:val="3"/>
        <w:rPr>
          <w:rFonts w:hint="eastAsia" w:ascii="仿宋_GB2312" w:hAnsi="仿宋_GB2312" w:eastAsia="仿宋_GB2312" w:cs="仿宋_GB2312"/>
          <w:kern w:val="2"/>
          <w:sz w:val="32"/>
          <w:szCs w:val="32"/>
          <w:lang w:val="en-US" w:eastAsia="zh-CN" w:bidi="ar-SA"/>
        </w:rPr>
      </w:pPr>
      <w:r>
        <w:drawing>
          <wp:inline distT="0" distB="0" distL="114300" distR="114300">
            <wp:extent cx="4826635" cy="3152140"/>
            <wp:effectExtent l="4445" t="5080" r="7620" b="5080"/>
            <wp:docPr id="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E59129A">
      <w:pPr>
        <w:pStyle w:val="3"/>
        <w:rPr>
          <w:rFonts w:hint="eastAsia" w:ascii="仿宋_GB2312" w:hAnsi="仿宋_GB2312" w:eastAsia="仿宋_GB2312" w:cs="仿宋_GB2312"/>
          <w:kern w:val="2"/>
          <w:sz w:val="32"/>
          <w:szCs w:val="32"/>
          <w:lang w:val="en-US" w:eastAsia="zh-CN" w:bidi="ar-SA"/>
        </w:rPr>
      </w:pPr>
    </w:p>
    <w:p w14:paraId="2AA0FC9C">
      <w:pPr>
        <w:rPr>
          <w:rFonts w:hint="eastAsia" w:ascii="Times New Roman" w:hAnsi="Times New Roman" w:eastAsia="楷体_GB2312" w:cs="楷体_GB2312"/>
          <w:b/>
          <w:sz w:val="32"/>
          <w:szCs w:val="32"/>
        </w:rPr>
      </w:pPr>
      <w:bookmarkStart w:id="43" w:name="_Toc15377212"/>
      <w:r>
        <w:rPr>
          <w:rFonts w:hint="eastAsia" w:ascii="Times New Roman" w:hAnsi="Times New Roman" w:eastAsia="楷体_GB2312" w:cs="楷体_GB2312"/>
          <w:b/>
          <w:sz w:val="32"/>
          <w:szCs w:val="32"/>
        </w:rPr>
        <w:t>（三）一般公共预算财政拨款支出决算具体情况</w:t>
      </w:r>
      <w:bookmarkEnd w:id="43"/>
    </w:p>
    <w:p w14:paraId="569D8810">
      <w:pPr>
        <w:spacing w:line="600" w:lineRule="exact"/>
        <w:ind w:firstLine="640" w:firstLineChars="200"/>
        <w:rPr>
          <w:rFonts w:hint="eastAsia" w:ascii="仿宋_GB2312" w:hAnsi="仿宋_GB2312" w:eastAsia="仿宋_GB2312" w:cs="仿宋_GB2312"/>
          <w:kern w:val="2"/>
          <w:sz w:val="32"/>
          <w:szCs w:val="32"/>
          <w:lang w:val="en-US" w:eastAsia="zh-CN" w:bidi="ar-SA"/>
        </w:rPr>
      </w:pPr>
      <w:bookmarkStart w:id="44" w:name="_Toc21001"/>
      <w:bookmarkStart w:id="45" w:name="_Toc15377213"/>
      <w:bookmarkStart w:id="46" w:name="_Toc15377444"/>
      <w:bookmarkStart w:id="47" w:name="_Toc15378460"/>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年度一般公共预算支出决算数为</w:t>
      </w:r>
      <w:r>
        <w:rPr>
          <w:rFonts w:hint="eastAsia" w:eastAsia="仿宋_GB2312" w:cs="仿宋_GB2312"/>
          <w:kern w:val="2"/>
          <w:sz w:val="32"/>
          <w:szCs w:val="32"/>
          <w:lang w:val="en-US" w:eastAsia="zh-CN" w:bidi="ar-SA"/>
        </w:rPr>
        <w:t>1475.51</w:t>
      </w:r>
      <w:r>
        <w:rPr>
          <w:rFonts w:hint="eastAsia" w:ascii="仿宋_GB2312" w:hAnsi="仿宋_GB2312" w:eastAsia="仿宋_GB2312" w:cs="仿宋_GB2312"/>
          <w:kern w:val="2"/>
          <w:sz w:val="32"/>
          <w:szCs w:val="32"/>
          <w:lang w:val="en-US" w:eastAsia="zh-CN" w:bidi="ar-SA"/>
        </w:rPr>
        <w:t>万元，完成预算</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en-US" w:eastAsia="zh-CN" w:bidi="ar-SA"/>
        </w:rPr>
        <w:t>%。其中：</w:t>
      </w:r>
      <w:bookmarkEnd w:id="44"/>
      <w:bookmarkEnd w:id="45"/>
      <w:bookmarkEnd w:id="46"/>
      <w:bookmarkEnd w:id="47"/>
    </w:p>
    <w:p w14:paraId="5C91A146">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1.社会保障和就业（类）行政事业单位养老支出（款）机关事业单位基本养老保险缴费支出（项）:支出决算为</w:t>
      </w:r>
      <w:r>
        <w:rPr>
          <w:rFonts w:hint="eastAsia" w:eastAsia="仿宋_GB2312" w:cs="仿宋_GB2312"/>
          <w:kern w:val="2"/>
          <w:sz w:val="32"/>
          <w:szCs w:val="32"/>
          <w:lang w:val="en-US" w:eastAsia="zh-CN" w:bidi="ar-SA"/>
        </w:rPr>
        <w:t>97.92</w:t>
      </w:r>
      <w:r>
        <w:rPr>
          <w:rFonts w:hint="eastAsia" w:ascii="仿宋_GB2312" w:hAnsi="仿宋_GB2312" w:eastAsia="仿宋_GB2312" w:cs="仿宋_GB2312"/>
          <w:kern w:val="2"/>
          <w:sz w:val="32"/>
          <w:szCs w:val="32"/>
          <w:lang w:val="en-US" w:eastAsia="zh-CN" w:bidi="ar-SA"/>
        </w:rPr>
        <w:t>万元，完成预算</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en-US" w:eastAsia="zh-CN" w:bidi="ar-SA"/>
        </w:rPr>
        <w:t>%，决算数与预算数持平。</w:t>
      </w:r>
    </w:p>
    <w:p w14:paraId="04C7B8C3">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2.社会保障和就业（类）行政事业单位养老支出（款）机关事业单位职业年金缴费支出（项）:支出决算为</w:t>
      </w:r>
      <w:r>
        <w:rPr>
          <w:rFonts w:hint="eastAsia" w:eastAsia="仿宋_GB2312" w:cs="仿宋_GB2312"/>
          <w:kern w:val="2"/>
          <w:sz w:val="32"/>
          <w:szCs w:val="32"/>
          <w:lang w:val="en-US" w:eastAsia="zh-CN" w:bidi="ar-SA"/>
        </w:rPr>
        <w:t>48.96</w:t>
      </w:r>
      <w:r>
        <w:rPr>
          <w:rFonts w:hint="eastAsia" w:ascii="仿宋_GB2312" w:hAnsi="仿宋_GB2312" w:eastAsia="仿宋_GB2312" w:cs="仿宋_GB2312"/>
          <w:kern w:val="2"/>
          <w:sz w:val="32"/>
          <w:szCs w:val="32"/>
          <w:lang w:val="en-US" w:eastAsia="zh-CN" w:bidi="ar-SA"/>
        </w:rPr>
        <w:t>万元，完成预算</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en-US" w:eastAsia="zh-CN" w:bidi="ar-SA"/>
        </w:rPr>
        <w:t>%，决算数与预算数持平。</w:t>
      </w:r>
    </w:p>
    <w:p w14:paraId="09B3E359">
      <w:pPr>
        <w:spacing w:line="600" w:lineRule="exact"/>
        <w:ind w:firstLine="640" w:firstLineChars="200"/>
        <w:rPr>
          <w:rFonts w:hint="eastAsia" w:ascii="仿宋_GB2312" w:hAnsi="仿宋_GB2312" w:eastAsia="仿宋_GB2312" w:cs="仿宋_GB2312"/>
          <w:kern w:val="2"/>
          <w:sz w:val="32"/>
          <w:szCs w:val="32"/>
          <w:lang w:val="en-US" w:eastAsia="zh-CN" w:bidi="ar-SA"/>
        </w:rPr>
      </w:pPr>
      <w:bookmarkStart w:id="48" w:name="_Toc15377214"/>
      <w:bookmarkStart w:id="49" w:name="_Toc15396608"/>
      <w:r>
        <w:rPr>
          <w:rFonts w:hint="eastAsia" w:ascii="仿宋_GB2312" w:hAnsi="仿宋_GB2312" w:eastAsia="仿宋_GB2312" w:cs="仿宋_GB2312"/>
          <w:kern w:val="2"/>
          <w:sz w:val="32"/>
          <w:szCs w:val="32"/>
          <w:lang w:val="en-US" w:eastAsia="zh-CN" w:bidi="ar-SA"/>
        </w:rPr>
        <w:t>3.卫生健康（类）基层医疗卫生机构（款）城市社区卫生机构（项）:支出决算为</w:t>
      </w:r>
      <w:r>
        <w:rPr>
          <w:rFonts w:hint="eastAsia" w:eastAsia="仿宋_GB2312" w:cs="仿宋_GB2312"/>
          <w:kern w:val="2"/>
          <w:sz w:val="32"/>
          <w:szCs w:val="32"/>
          <w:lang w:val="en-US" w:eastAsia="zh-CN" w:bidi="ar-SA"/>
        </w:rPr>
        <w:t>751.65</w:t>
      </w:r>
      <w:r>
        <w:rPr>
          <w:rFonts w:hint="eastAsia" w:ascii="仿宋_GB2312" w:hAnsi="仿宋_GB2312" w:eastAsia="仿宋_GB2312" w:cs="仿宋_GB2312"/>
          <w:kern w:val="2"/>
          <w:sz w:val="32"/>
          <w:szCs w:val="32"/>
          <w:lang w:val="en-US" w:eastAsia="zh-CN" w:bidi="ar-SA"/>
        </w:rPr>
        <w:t>万元，完成预算</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en-US" w:eastAsia="zh-CN" w:bidi="ar-SA"/>
        </w:rPr>
        <w:t>%，决算数与预算数持平。</w:t>
      </w:r>
    </w:p>
    <w:p w14:paraId="362314F8">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4.卫生健康（类）基层医疗卫生机构（款）其他基层医疗卫生机构支出（项）:支出决算为</w:t>
      </w:r>
      <w:r>
        <w:rPr>
          <w:rFonts w:hint="eastAsia" w:eastAsia="仿宋_GB2312" w:cs="仿宋_GB2312"/>
          <w:kern w:val="2"/>
          <w:sz w:val="32"/>
          <w:szCs w:val="32"/>
          <w:lang w:val="en-US" w:eastAsia="zh-CN" w:bidi="ar-SA"/>
        </w:rPr>
        <w:t>75.92</w:t>
      </w:r>
      <w:r>
        <w:rPr>
          <w:rFonts w:hint="eastAsia" w:ascii="仿宋_GB2312" w:hAnsi="仿宋_GB2312" w:eastAsia="仿宋_GB2312" w:cs="仿宋_GB2312"/>
          <w:kern w:val="2"/>
          <w:sz w:val="32"/>
          <w:szCs w:val="32"/>
          <w:lang w:val="en-US" w:eastAsia="zh-CN" w:bidi="ar-SA"/>
        </w:rPr>
        <w:t>万元，完成预算</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en-US" w:eastAsia="zh-CN" w:bidi="ar-SA"/>
        </w:rPr>
        <w:t>%，决算数与预算数持平。</w:t>
      </w:r>
    </w:p>
    <w:p w14:paraId="66C55C42">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5.卫生健康（类）公共卫生（款）基本公共卫生服务（项）:支出决算为</w:t>
      </w:r>
      <w:r>
        <w:rPr>
          <w:rFonts w:hint="eastAsia" w:eastAsia="仿宋_GB2312" w:cs="仿宋_GB2312"/>
          <w:kern w:val="2"/>
          <w:sz w:val="32"/>
          <w:szCs w:val="32"/>
          <w:lang w:val="en-US" w:eastAsia="zh-CN" w:bidi="ar-SA"/>
        </w:rPr>
        <w:t>327.42</w:t>
      </w:r>
      <w:r>
        <w:rPr>
          <w:rFonts w:hint="eastAsia" w:ascii="仿宋_GB2312" w:hAnsi="仿宋_GB2312" w:eastAsia="仿宋_GB2312" w:cs="仿宋_GB2312"/>
          <w:kern w:val="2"/>
          <w:sz w:val="32"/>
          <w:szCs w:val="32"/>
          <w:lang w:val="en-US" w:eastAsia="zh-CN" w:bidi="ar-SA"/>
        </w:rPr>
        <w:t>万元，完成预算</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en-US" w:eastAsia="zh-CN" w:bidi="ar-SA"/>
        </w:rPr>
        <w:t>%，决算数与预算数持平。</w:t>
      </w:r>
    </w:p>
    <w:p w14:paraId="51DABCA6">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6.卫生健康（类）公共卫生（款）重大公共卫生服务（项）:支出决算为</w:t>
      </w:r>
      <w:r>
        <w:rPr>
          <w:rFonts w:hint="eastAsia" w:eastAsia="仿宋_GB2312" w:cs="仿宋_GB2312"/>
          <w:kern w:val="2"/>
          <w:sz w:val="32"/>
          <w:szCs w:val="32"/>
          <w:lang w:val="en-US" w:eastAsia="zh-CN" w:bidi="ar-SA"/>
        </w:rPr>
        <w:t>1.8</w:t>
      </w:r>
      <w:r>
        <w:rPr>
          <w:rFonts w:hint="eastAsia" w:ascii="仿宋_GB2312" w:hAnsi="仿宋_GB2312" w:eastAsia="仿宋_GB2312" w:cs="仿宋_GB2312"/>
          <w:kern w:val="2"/>
          <w:sz w:val="32"/>
          <w:szCs w:val="32"/>
          <w:lang w:val="en-US" w:eastAsia="zh-CN" w:bidi="ar-SA"/>
        </w:rPr>
        <w:t>万元，完成预算</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en-US" w:eastAsia="zh-CN" w:bidi="ar-SA"/>
        </w:rPr>
        <w:t>%，决算数与预算数持平。</w:t>
      </w:r>
    </w:p>
    <w:p w14:paraId="1FB37188">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7.卫生健康（类）公共卫生（款）其他公共卫生支出（项）:支出决算为</w:t>
      </w:r>
      <w:r>
        <w:rPr>
          <w:rFonts w:hint="eastAsia" w:eastAsia="仿宋_GB2312" w:cs="仿宋_GB2312"/>
          <w:kern w:val="2"/>
          <w:sz w:val="32"/>
          <w:szCs w:val="32"/>
          <w:lang w:val="en-US" w:eastAsia="zh-CN" w:bidi="ar-SA"/>
        </w:rPr>
        <w:t>22.13</w:t>
      </w:r>
      <w:r>
        <w:rPr>
          <w:rFonts w:hint="eastAsia" w:ascii="仿宋_GB2312" w:hAnsi="仿宋_GB2312" w:eastAsia="仿宋_GB2312" w:cs="仿宋_GB2312"/>
          <w:kern w:val="2"/>
          <w:sz w:val="32"/>
          <w:szCs w:val="32"/>
          <w:lang w:val="en-US" w:eastAsia="zh-CN" w:bidi="ar-SA"/>
        </w:rPr>
        <w:t>万元，完成预算</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en-US" w:eastAsia="zh-CN" w:bidi="ar-SA"/>
        </w:rPr>
        <w:t>%，决算数与预算数持平。</w:t>
      </w:r>
    </w:p>
    <w:p w14:paraId="7E8DF656">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8.卫生健康（类）行政事业单位医疗（款）事业单位医疗（项）:支出决算为</w:t>
      </w:r>
      <w:r>
        <w:rPr>
          <w:rFonts w:hint="eastAsia" w:eastAsia="仿宋_GB2312" w:cs="仿宋_GB2312"/>
          <w:kern w:val="2"/>
          <w:sz w:val="32"/>
          <w:szCs w:val="32"/>
          <w:lang w:val="en-US" w:eastAsia="zh-CN" w:bidi="ar-SA"/>
        </w:rPr>
        <w:t>50.16</w:t>
      </w:r>
      <w:r>
        <w:rPr>
          <w:rFonts w:hint="eastAsia" w:ascii="仿宋_GB2312" w:hAnsi="仿宋_GB2312" w:eastAsia="仿宋_GB2312" w:cs="仿宋_GB2312"/>
          <w:kern w:val="2"/>
          <w:sz w:val="32"/>
          <w:szCs w:val="32"/>
          <w:lang w:val="en-US" w:eastAsia="zh-CN" w:bidi="ar-SA"/>
        </w:rPr>
        <w:t>万元，完成预算</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en-US" w:eastAsia="zh-CN" w:bidi="ar-SA"/>
        </w:rPr>
        <w:t>%，决算数与预算数持平。</w:t>
      </w:r>
    </w:p>
    <w:p w14:paraId="44BB9983">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9.卫生健康（类）其他卫生健康支出（款）其他卫生健康支出（项）:支出决算为</w:t>
      </w:r>
      <w:r>
        <w:rPr>
          <w:rFonts w:hint="eastAsia" w:eastAsia="仿宋_GB2312" w:cs="仿宋_GB2312"/>
          <w:kern w:val="2"/>
          <w:sz w:val="32"/>
          <w:szCs w:val="32"/>
          <w:lang w:val="en-US" w:eastAsia="zh-CN" w:bidi="ar-SA"/>
        </w:rPr>
        <w:t>22.45</w:t>
      </w:r>
      <w:r>
        <w:rPr>
          <w:rFonts w:hint="eastAsia" w:ascii="仿宋_GB2312" w:hAnsi="仿宋_GB2312" w:eastAsia="仿宋_GB2312" w:cs="仿宋_GB2312"/>
          <w:kern w:val="2"/>
          <w:sz w:val="32"/>
          <w:szCs w:val="32"/>
          <w:lang w:val="en-US" w:eastAsia="zh-CN" w:bidi="ar-SA"/>
        </w:rPr>
        <w:t>万元，完成预算</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en-US" w:eastAsia="zh-CN" w:bidi="ar-SA"/>
        </w:rPr>
        <w:t>%，决算数与预算数持平。</w:t>
      </w:r>
    </w:p>
    <w:p w14:paraId="3F82F0BF">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10.住房保障（类）住房改革支出（款）住房公积金（项）:支出决算为</w:t>
      </w:r>
      <w:r>
        <w:rPr>
          <w:rFonts w:hint="eastAsia" w:ascii="Times New Roman" w:hAnsi="Times New Roman" w:eastAsia="仿宋_GB2312" w:cs="仿宋_GB2312"/>
          <w:kern w:val="2"/>
          <w:sz w:val="32"/>
          <w:szCs w:val="32"/>
          <w:lang w:val="en-US" w:eastAsia="zh-CN" w:bidi="ar-SA"/>
        </w:rPr>
        <w:t>77.</w:t>
      </w:r>
      <w:r>
        <w:rPr>
          <w:rFonts w:hint="eastAsia"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t>万元，完成预算</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en-US" w:eastAsia="zh-CN" w:bidi="ar-SA"/>
        </w:rPr>
        <w:t>%，决算数与预算数持平。</w:t>
      </w:r>
    </w:p>
    <w:p w14:paraId="08D37176">
      <w:pPr>
        <w:keepNext w:val="0"/>
        <w:keepLines w:val="0"/>
        <w:pageBreakBefore w:val="0"/>
        <w:widowControl w:val="0"/>
        <w:tabs>
          <w:tab w:val="right" w:pos="8306"/>
        </w:tabs>
        <w:kinsoku/>
        <w:wordWrap/>
        <w:overflowPunct/>
        <w:topLinePunct w:val="0"/>
        <w:autoSpaceDE/>
        <w:autoSpaceDN/>
        <w:bidi w:val="0"/>
        <w:adjustRightInd/>
        <w:snapToGrid/>
        <w:spacing w:line="600" w:lineRule="exact"/>
        <w:ind w:firstLine="640" w:firstLineChars="200"/>
        <w:textAlignment w:val="auto"/>
        <w:outlineLvl w:val="1"/>
        <w:rPr>
          <w:rStyle w:val="29"/>
        </w:rPr>
      </w:pPr>
      <w:bookmarkStart w:id="50" w:name="_Toc547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highlight w:val="none"/>
        </w:rPr>
        <w:t>一</w:t>
      </w:r>
      <w:r>
        <w:rPr>
          <w:rStyle w:val="29"/>
          <w:rFonts w:hint="eastAsia" w:ascii="黑体" w:hAnsi="黑体" w:eastAsia="黑体"/>
          <w:b w:val="0"/>
          <w:highlight w:val="none"/>
        </w:rPr>
        <w:t>般</w:t>
      </w:r>
      <w:r>
        <w:rPr>
          <w:rStyle w:val="29"/>
          <w:rFonts w:hint="eastAsia" w:ascii="黑体" w:hAnsi="黑体" w:eastAsia="黑体"/>
          <w:b w:val="0"/>
        </w:rPr>
        <w:t>公共预算财政拨款基本支出决算情况说明</w:t>
      </w:r>
      <w:bookmarkEnd w:id="48"/>
      <w:bookmarkEnd w:id="49"/>
      <w:bookmarkEnd w:id="50"/>
      <w:r>
        <w:rPr>
          <w:rStyle w:val="29"/>
          <w:rFonts w:ascii="黑体" w:hAnsi="黑体" w:eastAsia="黑体"/>
          <w:b w:val="0"/>
        </w:rPr>
        <w:tab/>
      </w:r>
    </w:p>
    <w:p w14:paraId="4E914FE0">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年度一般公共预算财政拨款基本支出</w:t>
      </w:r>
      <w:r>
        <w:rPr>
          <w:rFonts w:hint="eastAsia" w:eastAsia="仿宋_GB2312" w:cs="仿宋_GB2312"/>
          <w:kern w:val="2"/>
          <w:sz w:val="32"/>
          <w:szCs w:val="32"/>
          <w:lang w:val="en-US" w:eastAsia="zh-CN" w:bidi="ar-SA"/>
        </w:rPr>
        <w:t>1029.39</w:t>
      </w:r>
      <w:r>
        <w:rPr>
          <w:rFonts w:hint="eastAsia" w:ascii="仿宋_GB2312" w:hAnsi="仿宋_GB2312" w:eastAsia="仿宋_GB2312" w:cs="仿宋_GB2312"/>
          <w:kern w:val="2"/>
          <w:sz w:val="32"/>
          <w:szCs w:val="32"/>
          <w:lang w:val="en-US" w:eastAsia="zh-CN" w:bidi="ar-SA"/>
        </w:rPr>
        <w:t>万元，其中：</w:t>
      </w:r>
    </w:p>
    <w:p w14:paraId="5AC85F8B">
      <w:pPr>
        <w:spacing w:line="600" w:lineRule="exact"/>
        <w:ind w:firstLine="645"/>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人员经费</w:t>
      </w:r>
      <w:r>
        <w:rPr>
          <w:rFonts w:hint="eastAsia" w:eastAsia="仿宋_GB2312" w:cs="仿宋_GB2312"/>
          <w:kern w:val="2"/>
          <w:sz w:val="32"/>
          <w:szCs w:val="32"/>
          <w:lang w:val="en-US" w:eastAsia="zh-CN" w:bidi="ar-SA"/>
        </w:rPr>
        <w:t>1019.72</w:t>
      </w:r>
      <w:r>
        <w:rPr>
          <w:rFonts w:hint="eastAsia" w:ascii="仿宋_GB2312" w:hAnsi="仿宋_GB2312" w:eastAsia="仿宋_GB2312" w:cs="仿宋_GB2312"/>
          <w:kern w:val="2"/>
          <w:sz w:val="32"/>
          <w:szCs w:val="32"/>
          <w:lang w:val="en-US" w:eastAsia="zh-CN" w:bidi="ar-SA"/>
        </w:rPr>
        <w:t>万元，主要包括：基本工资、津贴补贴、绩效工资、机关事业单位基本养老保险缴费、职业年金缴费、 职工基本医疗保险缴费、其他社会保障缴费、 医疗费、 其他工资福利支出、生活补助、奖励金、住房公积金等。</w:t>
      </w:r>
    </w:p>
    <w:p w14:paraId="7C23C96E">
      <w:pPr>
        <w:spacing w:line="600" w:lineRule="exact"/>
        <w:ind w:firstLine="645"/>
        <w:rPr>
          <w:rFonts w:ascii="仿宋" w:hAnsi="仿宋" w:eastAsia="仿宋"/>
          <w:color w:val="auto"/>
          <w:sz w:val="32"/>
          <w:szCs w:val="32"/>
          <w:highlight w:val="none"/>
        </w:rPr>
      </w:pPr>
      <w:r>
        <w:rPr>
          <w:rFonts w:hint="eastAsia" w:ascii="仿宋_GB2312" w:hAnsi="仿宋_GB2312" w:eastAsia="仿宋_GB2312" w:cs="仿宋_GB2312"/>
          <w:kern w:val="2"/>
          <w:sz w:val="32"/>
          <w:szCs w:val="32"/>
          <w:lang w:val="en-US" w:eastAsia="zh-CN" w:bidi="ar-SA"/>
        </w:rPr>
        <w:t>公用经费</w:t>
      </w:r>
      <w:r>
        <w:rPr>
          <w:rFonts w:hint="eastAsia" w:eastAsia="仿宋_GB2312" w:cs="仿宋_GB2312"/>
          <w:kern w:val="2"/>
          <w:sz w:val="32"/>
          <w:szCs w:val="32"/>
          <w:lang w:val="en-US" w:eastAsia="zh-CN" w:bidi="ar-SA"/>
        </w:rPr>
        <w:t>9.67</w:t>
      </w:r>
      <w:r>
        <w:rPr>
          <w:rFonts w:hint="eastAsia" w:ascii="仿宋" w:hAnsi="仿宋" w:eastAsia="仿宋"/>
          <w:color w:val="auto"/>
          <w:sz w:val="32"/>
          <w:szCs w:val="32"/>
          <w:highlight w:val="none"/>
        </w:rPr>
        <w:t>万元，</w:t>
      </w:r>
      <w:r>
        <w:rPr>
          <w:rFonts w:hint="eastAsia" w:ascii="仿宋_GB2312" w:hAnsi="仿宋_GB2312" w:eastAsia="仿宋_GB2312" w:cs="仿宋_GB2312"/>
          <w:kern w:val="2"/>
          <w:sz w:val="32"/>
          <w:szCs w:val="32"/>
          <w:lang w:val="en-US" w:eastAsia="zh-CN" w:bidi="ar-SA"/>
        </w:rPr>
        <w:t>主要包括：其他商品和服务支出。</w:t>
      </w:r>
    </w:p>
    <w:p w14:paraId="70352AE7">
      <w:pPr>
        <w:spacing w:line="600" w:lineRule="exact"/>
        <w:ind w:firstLine="640" w:firstLineChars="200"/>
        <w:outlineLvl w:val="1"/>
        <w:rPr>
          <w:rStyle w:val="29"/>
          <w:rFonts w:ascii="黑体" w:hAnsi="黑体" w:eastAsia="黑体"/>
          <w:b w:val="0"/>
        </w:rPr>
      </w:pPr>
      <w:bookmarkStart w:id="51" w:name="_Toc15377215"/>
      <w:bookmarkStart w:id="52" w:name="_Toc15396609"/>
      <w:bookmarkStart w:id="53" w:name="_Toc6002"/>
      <w:r>
        <w:rPr>
          <w:rFonts w:hint="eastAsia" w:ascii="黑体" w:eastAsia="黑体"/>
          <w:sz w:val="32"/>
          <w:szCs w:val="32"/>
        </w:rPr>
        <w:t>七、</w:t>
      </w:r>
      <w:r>
        <w:rPr>
          <w:rStyle w:val="29"/>
          <w:rFonts w:hint="eastAsia" w:ascii="黑体" w:hAnsi="黑体" w:eastAsia="黑体"/>
          <w:b w:val="0"/>
        </w:rPr>
        <w:t>财政拨款</w:t>
      </w:r>
      <w:r>
        <w:rPr>
          <w:rStyle w:val="29"/>
          <w:rFonts w:hint="default" w:ascii="Times New Roman" w:hAnsi="Times New Roman" w:eastAsia="黑体" w:cs="Times New Roman"/>
        </w:rPr>
        <w:t>“</w:t>
      </w:r>
      <w:r>
        <w:rPr>
          <w:rStyle w:val="29"/>
          <w:rFonts w:hint="eastAsia" w:ascii="黑体" w:hAnsi="黑体" w:eastAsia="黑体"/>
          <w:b w:val="0"/>
        </w:rPr>
        <w:t>三公</w:t>
      </w:r>
      <w:r>
        <w:rPr>
          <w:rStyle w:val="29"/>
          <w:rFonts w:hint="default" w:ascii="Times New Roman" w:hAnsi="Times New Roman" w:eastAsia="黑体" w:cs="Times New Roman"/>
          <w:b/>
          <w:bCs w:val="0"/>
        </w:rPr>
        <w:t>”</w:t>
      </w:r>
      <w:r>
        <w:rPr>
          <w:rStyle w:val="29"/>
          <w:rFonts w:hint="eastAsia" w:ascii="黑体" w:hAnsi="黑体" w:eastAsia="黑体"/>
          <w:b w:val="0"/>
        </w:rPr>
        <w:t>经费支出决算情况说明</w:t>
      </w:r>
      <w:bookmarkEnd w:id="51"/>
      <w:bookmarkEnd w:id="52"/>
      <w:bookmarkEnd w:id="53"/>
    </w:p>
    <w:p w14:paraId="209D53E9">
      <w:pPr>
        <w:spacing w:line="600" w:lineRule="exact"/>
        <w:ind w:firstLine="643" w:firstLineChars="200"/>
        <w:outlineLvl w:val="2"/>
        <w:rPr>
          <w:rFonts w:hint="eastAsia" w:ascii="Times New Roman" w:hAnsi="Times New Roman" w:eastAsia="楷体_GB2312" w:cs="楷体_GB2312"/>
          <w:b/>
          <w:sz w:val="32"/>
          <w:szCs w:val="32"/>
        </w:rPr>
      </w:pPr>
      <w:bookmarkStart w:id="54" w:name="_Toc15377216"/>
      <w:r>
        <w:rPr>
          <w:rFonts w:hint="eastAsia" w:ascii="Times New Roman" w:hAnsi="Times New Roman" w:eastAsia="楷体_GB2312" w:cs="楷体_GB2312"/>
          <w:b/>
          <w:sz w:val="32"/>
          <w:szCs w:val="32"/>
        </w:rPr>
        <w:t>（一）</w:t>
      </w:r>
      <w:r>
        <w:rPr>
          <w:rFonts w:hint="default" w:ascii="Times New Roman" w:hAnsi="Times New Roman" w:eastAsia="楷体_GB2312" w:cs="Times New Roman"/>
          <w:b/>
          <w:sz w:val="32"/>
          <w:szCs w:val="32"/>
        </w:rPr>
        <w:t>“</w:t>
      </w:r>
      <w:r>
        <w:rPr>
          <w:rFonts w:hint="eastAsia" w:ascii="Times New Roman" w:hAnsi="Times New Roman" w:eastAsia="楷体_GB2312" w:cs="楷体_GB2312"/>
          <w:b/>
          <w:sz w:val="32"/>
          <w:szCs w:val="32"/>
        </w:rPr>
        <w:t>三公</w:t>
      </w:r>
      <w:r>
        <w:rPr>
          <w:rFonts w:hint="default" w:ascii="Times New Roman" w:hAnsi="Times New Roman" w:eastAsia="楷体_GB2312" w:cs="Times New Roman"/>
          <w:b/>
          <w:sz w:val="32"/>
          <w:szCs w:val="32"/>
        </w:rPr>
        <w:t>”</w:t>
      </w:r>
      <w:r>
        <w:rPr>
          <w:rFonts w:hint="eastAsia" w:ascii="Times New Roman" w:hAnsi="Times New Roman" w:eastAsia="楷体_GB2312" w:cs="楷体_GB2312"/>
          <w:b/>
          <w:sz w:val="32"/>
          <w:szCs w:val="32"/>
        </w:rPr>
        <w:t>经费财政拨款支出决算总体情况说明</w:t>
      </w:r>
      <w:bookmarkEnd w:id="54"/>
    </w:p>
    <w:p w14:paraId="07C318B1">
      <w:pPr>
        <w:spacing w:line="60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年度</w:t>
      </w:r>
      <w:r>
        <w:rPr>
          <w:rFonts w:hint="default" w:ascii="Times New Roman" w:hAnsi="Times New Roman" w:eastAsia="仿宋_GB2312" w:cs="Times New Roman"/>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三公</w:t>
      </w:r>
      <w:r>
        <w:rPr>
          <w:rFonts w:hint="default" w:ascii="Times New Roman" w:hAnsi="Times New Roman" w:eastAsia="仿宋_GB2312" w:cs="Times New Roman"/>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经费财政拨款支出决算为</w:t>
      </w:r>
      <w:r>
        <w:rPr>
          <w:rFonts w:hint="eastAsia" w:eastAsia="仿宋_GB2312" w:cs="仿宋_GB2312"/>
          <w:kern w:val="2"/>
          <w:sz w:val="32"/>
          <w:szCs w:val="32"/>
          <w:lang w:val="en-US" w:eastAsia="zh-CN" w:bidi="ar-SA"/>
        </w:rPr>
        <w:t>1.66</w:t>
      </w:r>
      <w:r>
        <w:rPr>
          <w:rFonts w:hint="eastAsia" w:ascii="仿宋_GB2312" w:hAnsi="仿宋_GB2312" w:eastAsia="仿宋_GB2312" w:cs="仿宋_GB2312"/>
          <w:kern w:val="2"/>
          <w:sz w:val="32"/>
          <w:szCs w:val="32"/>
          <w:lang w:val="en-US" w:eastAsia="zh-CN" w:bidi="ar-SA"/>
        </w:rPr>
        <w:t>万元，完成预算</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en-US" w:eastAsia="zh-CN" w:bidi="ar-SA"/>
        </w:rPr>
        <w:t>%，与上年度相比减少</w:t>
      </w:r>
      <w:r>
        <w:rPr>
          <w:rFonts w:hint="eastAsia" w:eastAsia="仿宋_GB2312" w:cs="仿宋_GB2312"/>
          <w:kern w:val="2"/>
          <w:sz w:val="32"/>
          <w:szCs w:val="32"/>
          <w:lang w:val="en-US" w:eastAsia="zh-CN" w:bidi="ar-SA"/>
        </w:rPr>
        <w:t>0.48</w:t>
      </w:r>
      <w:r>
        <w:rPr>
          <w:rFonts w:hint="eastAsia" w:ascii="仿宋_GB2312" w:hAnsi="仿宋_GB2312" w:eastAsia="仿宋_GB2312" w:cs="仿宋_GB2312"/>
          <w:kern w:val="2"/>
          <w:sz w:val="32"/>
          <w:szCs w:val="32"/>
          <w:lang w:val="en-US" w:eastAsia="zh-CN" w:bidi="ar-SA"/>
        </w:rPr>
        <w:t>万元，下降</w:t>
      </w:r>
      <w:r>
        <w:rPr>
          <w:rFonts w:hint="eastAsia" w:eastAsia="仿宋_GB2312" w:cs="仿宋_GB2312"/>
          <w:kern w:val="2"/>
          <w:sz w:val="32"/>
          <w:szCs w:val="32"/>
          <w:lang w:val="en-US" w:eastAsia="zh-CN" w:bidi="ar-SA"/>
        </w:rPr>
        <w:t>22.43</w:t>
      </w:r>
      <w:r>
        <w:rPr>
          <w:rFonts w:hint="eastAsia" w:ascii="仿宋_GB2312" w:hAnsi="仿宋_GB2312" w:eastAsia="仿宋_GB2312" w:cs="仿宋_GB2312"/>
          <w:kern w:val="2"/>
          <w:sz w:val="32"/>
          <w:szCs w:val="32"/>
          <w:lang w:val="en-US" w:eastAsia="zh-CN" w:bidi="ar-SA"/>
        </w:rPr>
        <w:t>%。</w:t>
      </w:r>
    </w:p>
    <w:p w14:paraId="41254A82">
      <w:pPr>
        <w:spacing w:line="600" w:lineRule="exact"/>
        <w:ind w:firstLine="643" w:firstLineChars="200"/>
        <w:outlineLvl w:val="2"/>
        <w:rPr>
          <w:rFonts w:hint="eastAsia" w:ascii="Times New Roman" w:hAnsi="Times New Roman" w:eastAsia="楷体_GB2312" w:cs="楷体_GB2312"/>
          <w:b/>
          <w:sz w:val="32"/>
          <w:szCs w:val="32"/>
        </w:rPr>
      </w:pPr>
      <w:bookmarkStart w:id="55" w:name="_Toc15377217"/>
      <w:r>
        <w:rPr>
          <w:rFonts w:hint="eastAsia" w:ascii="Times New Roman" w:hAnsi="Times New Roman" w:eastAsia="楷体_GB2312" w:cs="楷体_GB2312"/>
          <w:b/>
          <w:sz w:val="32"/>
          <w:szCs w:val="32"/>
        </w:rPr>
        <w:t>（二）“三公”经费财政拨款支出决算具体情况说明</w:t>
      </w:r>
      <w:bookmarkEnd w:id="55"/>
    </w:p>
    <w:p w14:paraId="7B273293">
      <w:pPr>
        <w:spacing w:line="600" w:lineRule="exact"/>
        <w:ind w:firstLine="640"/>
        <w:rPr>
          <w:rFonts w:ascii="仿宋_GB2312" w:hAnsi="仿宋_GB2312" w:eastAsia="仿宋_GB2312" w:cs="仿宋_GB2312"/>
          <w:sz w:val="32"/>
          <w:szCs w:val="32"/>
        </w:rPr>
      </w:pPr>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5</w:t>
      </w:r>
      <w:r>
        <w:rPr>
          <w:rFonts w:hint="eastAsia" w:ascii="仿宋_GB2312" w:hAnsi="仿宋_GB2312" w:eastAsia="仿宋_GB2312" w:cs="仿宋_GB2312"/>
          <w:sz w:val="32"/>
          <w:szCs w:val="32"/>
        </w:rPr>
        <w:t>年度</w:t>
      </w:r>
      <w:r>
        <w:rPr>
          <w:rFonts w:hint="default" w:ascii="Times New Roman" w:hAnsi="Times New Roman" w:eastAsia="仿宋_GB2312" w:cs="Times New Roman"/>
          <w:sz w:val="32"/>
          <w:szCs w:val="32"/>
        </w:rPr>
        <w:t>“</w:t>
      </w:r>
      <w:r>
        <w:rPr>
          <w:rFonts w:hint="eastAsia" w:ascii="仿宋_GB2312" w:hAnsi="仿宋_GB2312" w:eastAsia="仿宋_GB2312" w:cs="仿宋_GB2312"/>
          <w:sz w:val="32"/>
          <w:szCs w:val="32"/>
        </w:rPr>
        <w:t>三公</w:t>
      </w:r>
      <w:r>
        <w:rPr>
          <w:rFonts w:hint="default" w:ascii="Times New Roman" w:hAnsi="Times New Roman" w:eastAsia="仿宋_GB2312" w:cs="Times New Roman"/>
          <w:sz w:val="32"/>
          <w:szCs w:val="32"/>
        </w:rPr>
        <w:t>”</w:t>
      </w:r>
      <w:r>
        <w:rPr>
          <w:rFonts w:hint="eastAsia" w:ascii="仿宋_GB2312" w:hAnsi="仿宋_GB2312" w:eastAsia="仿宋_GB2312" w:cs="仿宋_GB2312"/>
          <w:sz w:val="32"/>
          <w:szCs w:val="32"/>
        </w:rPr>
        <w:t>经费财政拨款支出决算中，因公出国（境）费支出决算</w:t>
      </w:r>
      <w:r>
        <w:rPr>
          <w:rFonts w:hint="eastAsia" w:ascii="Times New Roman" w:hAnsi="Times New Roman" w:eastAsia="仿宋_GB2312" w:cs="仿宋_GB2312"/>
          <w:kern w:val="2"/>
          <w:sz w:val="32"/>
          <w:szCs w:val="32"/>
          <w:lang w:val="en-US" w:eastAsia="zh-CN" w:bidi="ar-SA"/>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rPr>
        <w:t>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公务用车购置及运行维护费支出决算</w:t>
      </w:r>
      <w:r>
        <w:rPr>
          <w:rFonts w:hint="eastAsia" w:eastAsia="仿宋_GB2312" w:cs="仿宋_GB2312"/>
          <w:kern w:val="2"/>
          <w:sz w:val="32"/>
          <w:szCs w:val="32"/>
          <w:lang w:val="en-US" w:eastAsia="zh-CN" w:bidi="ar-SA"/>
        </w:rPr>
        <w:t>1.66</w:t>
      </w:r>
      <w:r>
        <w:rPr>
          <w:rFonts w:hint="eastAsia" w:ascii="仿宋_GB2312" w:hAnsi="仿宋_GB2312" w:eastAsia="仿宋_GB2312" w:cs="仿宋_GB2312"/>
          <w:sz w:val="32"/>
          <w:szCs w:val="32"/>
        </w:rPr>
        <w:t>万元，占</w:t>
      </w:r>
      <w:r>
        <w:rPr>
          <w:rFonts w:hint="eastAsia" w:ascii="Times New Roman" w:hAnsi="Times New Roman" w:eastAsia="仿宋_GB2312" w:cs="仿宋_GB2312"/>
          <w:kern w:val="2"/>
          <w:sz w:val="32"/>
          <w:szCs w:val="32"/>
          <w:lang w:val="en-US" w:eastAsia="zh-CN" w:bidi="ar-SA"/>
        </w:rPr>
        <w:t>100</w:t>
      </w:r>
      <w:r>
        <w:rPr>
          <w:rFonts w:hint="eastAsia" w:ascii="仿宋_GB2312" w:hAnsi="仿宋_GB2312" w:eastAsia="仿宋_GB2312" w:cs="仿宋_GB2312"/>
          <w:sz w:val="32"/>
          <w:szCs w:val="32"/>
        </w:rPr>
        <w:t>%；公务接待费支出决算</w:t>
      </w:r>
      <w:r>
        <w:rPr>
          <w:rFonts w:hint="eastAsia" w:ascii="Times New Roman" w:hAnsi="Times New Roman" w:eastAsia="仿宋_GB2312" w:cs="仿宋_GB2312"/>
          <w:kern w:val="2"/>
          <w:sz w:val="32"/>
          <w:szCs w:val="32"/>
          <w:lang w:val="en-US" w:eastAsia="zh-CN" w:bidi="ar-SA"/>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rPr>
        <w:t>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rPr>
        <w:t>。具体情况如下：</w:t>
      </w:r>
    </w:p>
    <w:p w14:paraId="1F8AD4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b w:val="0"/>
          <w:bCs/>
          <w:sz w:val="32"/>
          <w:szCs w:val="32"/>
        </w:rPr>
      </w:pPr>
      <w:r>
        <w:rPr>
          <w:rFonts w:hint="eastAsia"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5</w:t>
      </w:r>
      <w:r>
        <w:rPr>
          <w:rFonts w:hint="eastAsia" w:ascii="仿宋" w:hAnsi="仿宋" w:eastAsia="仿宋"/>
          <w:b w:val="0"/>
          <w:bCs/>
          <w:sz w:val="32"/>
          <w:szCs w:val="32"/>
        </w:rPr>
        <w:t>年度“三公”经费财政拨款支出决算中，公务用车购置及运行维护费支出决算</w:t>
      </w:r>
      <w:r>
        <w:rPr>
          <w:rFonts w:hint="eastAsia" w:eastAsia="仿宋_GB2312" w:cs="仿宋_GB2312"/>
          <w:kern w:val="2"/>
          <w:sz w:val="32"/>
          <w:szCs w:val="32"/>
          <w:lang w:val="en-US" w:eastAsia="zh-CN" w:bidi="ar-SA"/>
        </w:rPr>
        <w:t>1.66</w:t>
      </w:r>
      <w:r>
        <w:rPr>
          <w:rFonts w:hint="eastAsia" w:ascii="仿宋" w:hAnsi="仿宋" w:eastAsia="仿宋"/>
          <w:b w:val="0"/>
          <w:bCs/>
          <w:sz w:val="32"/>
          <w:szCs w:val="32"/>
        </w:rPr>
        <w:t>万元，占</w:t>
      </w:r>
      <w:r>
        <w:rPr>
          <w:rFonts w:hint="eastAsia" w:ascii="Times New Roman" w:hAnsi="Times New Roman" w:eastAsia="仿宋_GB2312" w:cs="仿宋_GB2312"/>
          <w:kern w:val="2"/>
          <w:sz w:val="32"/>
          <w:szCs w:val="32"/>
          <w:lang w:val="en-US" w:eastAsia="zh-CN" w:bidi="ar-SA"/>
        </w:rPr>
        <w:t>100</w:t>
      </w:r>
      <w:r>
        <w:rPr>
          <w:rFonts w:ascii="仿宋" w:hAnsi="仿宋" w:eastAsia="仿宋"/>
          <w:b w:val="0"/>
          <w:bCs/>
          <w:sz w:val="32"/>
          <w:szCs w:val="32"/>
        </w:rPr>
        <w:t>%</w:t>
      </w:r>
      <w:r>
        <w:rPr>
          <w:rFonts w:hint="eastAsia" w:ascii="仿宋" w:hAnsi="仿宋" w:eastAsia="仿宋"/>
          <w:b w:val="0"/>
          <w:bCs/>
          <w:sz w:val="32"/>
          <w:szCs w:val="32"/>
          <w:lang w:eastAsia="zh-CN"/>
        </w:rPr>
        <w:t>。</w:t>
      </w:r>
      <w:r>
        <w:rPr>
          <w:rFonts w:hint="eastAsia" w:ascii="仿宋" w:hAnsi="仿宋" w:eastAsia="仿宋"/>
          <w:b w:val="0"/>
          <w:bCs/>
          <w:sz w:val="32"/>
          <w:szCs w:val="32"/>
        </w:rPr>
        <w:t>具体情况如下：</w:t>
      </w:r>
    </w:p>
    <w:p w14:paraId="345F1B65">
      <w:pPr>
        <w:pStyle w:val="19"/>
        <w:outlineLvl w:val="9"/>
      </w:pPr>
      <w:r>
        <w:rPr>
          <w:rFonts w:hint="eastAsia"/>
          <w:lang w:val="en-US" w:eastAsia="zh-CN"/>
        </w:rPr>
        <w:t xml:space="preserve">     </w:t>
      </w:r>
      <w:r>
        <w:drawing>
          <wp:inline distT="0" distB="0" distL="114300" distR="114300">
            <wp:extent cx="4826635" cy="3152140"/>
            <wp:effectExtent l="4445" t="5080" r="7620" b="5080"/>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C36BA86">
      <w:pPr>
        <w:spacing w:line="600" w:lineRule="exact"/>
        <w:ind w:firstLine="640"/>
        <w:rPr>
          <w:rFonts w:hint="default" w:eastAsia="仿宋_GB2312" w:cs="仿宋_GB2312"/>
          <w:b w:val="0"/>
          <w:bCs w:val="0"/>
          <w:sz w:val="32"/>
          <w:szCs w:val="32"/>
          <w:lang w:val="en-US" w:eastAsia="zh-CN"/>
        </w:rPr>
      </w:pPr>
      <w:bookmarkStart w:id="56" w:name="_Toc15377218"/>
      <w:bookmarkStart w:id="57" w:name="_Toc15396610"/>
      <w:r>
        <w:rPr>
          <w:rFonts w:hint="eastAsia" w:eastAsia="仿宋_GB2312" w:cs="仿宋_GB2312"/>
          <w:b/>
          <w:bCs/>
          <w:sz w:val="32"/>
          <w:szCs w:val="32"/>
        </w:rPr>
        <w:t>1.因公出国（境）经费支出</w:t>
      </w:r>
      <w:r>
        <w:rPr>
          <w:rFonts w:hint="eastAsia" w:eastAsia="仿宋_GB2312" w:cs="仿宋_GB2312"/>
          <w:b w:val="0"/>
          <w:bCs w:val="0"/>
          <w:sz w:val="32"/>
          <w:szCs w:val="32"/>
          <w:lang w:val="en-US" w:eastAsia="zh-CN"/>
        </w:rPr>
        <w:t>0万元</w:t>
      </w:r>
      <w:r>
        <w:rPr>
          <w:rFonts w:hint="eastAsia" w:eastAsia="仿宋_GB2312" w:cs="仿宋_GB2312"/>
          <w:b w:val="0"/>
          <w:bCs w:val="0"/>
          <w:sz w:val="32"/>
          <w:szCs w:val="32"/>
        </w:rPr>
        <w:t>，</w:t>
      </w:r>
      <w:r>
        <w:rPr>
          <w:rFonts w:hint="eastAsia" w:eastAsia="仿宋_GB2312" w:cs="仿宋_GB2312"/>
          <w:b w:val="0"/>
          <w:bCs w:val="0"/>
          <w:sz w:val="32"/>
          <w:szCs w:val="32"/>
          <w:lang w:eastAsia="zh-CN"/>
        </w:rPr>
        <w:t>与</w:t>
      </w:r>
      <w:r>
        <w:rPr>
          <w:rFonts w:hint="eastAsia" w:eastAsia="仿宋_GB2312" w:cs="仿宋_GB2312"/>
          <w:b w:val="0"/>
          <w:bCs w:val="0"/>
          <w:sz w:val="32"/>
          <w:szCs w:val="32"/>
          <w:lang w:val="en-US" w:eastAsia="zh-CN"/>
        </w:rPr>
        <w:t>2024年相比无变化。</w:t>
      </w:r>
    </w:p>
    <w:p w14:paraId="46A02B3B">
      <w:pPr>
        <w:spacing w:line="600" w:lineRule="exact"/>
        <w:ind w:firstLine="640"/>
        <w:rPr>
          <w:rFonts w:hint="eastAsia" w:eastAsia="仿宋_GB2312" w:cs="仿宋_GB2312"/>
          <w:b w:val="0"/>
          <w:bCs w:val="0"/>
          <w:sz w:val="32"/>
          <w:szCs w:val="32"/>
          <w:lang w:eastAsia="zh-CN"/>
        </w:rPr>
      </w:pPr>
      <w:r>
        <w:rPr>
          <w:rFonts w:hint="eastAsia" w:eastAsia="仿宋_GB2312" w:cs="仿宋_GB2312"/>
          <w:b w:val="0"/>
          <w:bCs w:val="0"/>
          <w:sz w:val="32"/>
          <w:szCs w:val="32"/>
        </w:rPr>
        <w:t>2.</w:t>
      </w:r>
      <w:r>
        <w:rPr>
          <w:rFonts w:hint="eastAsia" w:eastAsia="仿宋_GB2312" w:cs="仿宋_GB2312"/>
          <w:b/>
          <w:bCs/>
          <w:sz w:val="32"/>
          <w:szCs w:val="32"/>
        </w:rPr>
        <w:t>公务用车购置及运行维护费支出</w:t>
      </w:r>
      <w:r>
        <w:rPr>
          <w:rFonts w:hint="eastAsia" w:eastAsia="仿宋_GB2312" w:cs="仿宋_GB2312"/>
          <w:b w:val="0"/>
          <w:bCs w:val="0"/>
          <w:sz w:val="32"/>
          <w:szCs w:val="32"/>
          <w:lang w:val="en-US" w:eastAsia="zh-CN"/>
        </w:rPr>
        <w:t>1.66万元，完成预算100%。</w:t>
      </w:r>
      <w:r>
        <w:rPr>
          <w:rFonts w:hint="eastAsia" w:eastAsia="仿宋_GB2312" w:cs="仿宋_GB2312"/>
          <w:b w:val="0"/>
          <w:bCs w:val="0"/>
          <w:sz w:val="32"/>
          <w:szCs w:val="32"/>
        </w:rPr>
        <w:t>公务用车购置及运行维护费支出决算</w:t>
      </w:r>
      <w:r>
        <w:rPr>
          <w:rFonts w:hint="eastAsia" w:eastAsia="仿宋_GB2312" w:cs="仿宋_GB2312"/>
          <w:b w:val="0"/>
          <w:bCs w:val="0"/>
          <w:sz w:val="32"/>
          <w:szCs w:val="32"/>
          <w:lang w:eastAsia="zh-CN"/>
        </w:rPr>
        <w:t>与</w:t>
      </w:r>
      <w:r>
        <w:rPr>
          <w:rFonts w:hint="eastAsia" w:eastAsia="仿宋_GB2312" w:cs="仿宋_GB2312"/>
          <w:b w:val="0"/>
          <w:bCs w:val="0"/>
          <w:sz w:val="32"/>
          <w:szCs w:val="32"/>
          <w:lang w:val="en-US" w:eastAsia="zh-CN"/>
        </w:rPr>
        <w:t>2024年</w:t>
      </w:r>
      <w:r>
        <w:rPr>
          <w:rFonts w:hint="eastAsia" w:eastAsia="仿宋_GB2312" w:cs="仿宋_GB2312"/>
          <w:b w:val="0"/>
          <w:bCs w:val="0"/>
          <w:sz w:val="32"/>
          <w:szCs w:val="32"/>
        </w:rPr>
        <w:t>度</w:t>
      </w:r>
      <w:r>
        <w:rPr>
          <w:rFonts w:hint="eastAsia" w:eastAsia="仿宋_GB2312" w:cs="仿宋_GB2312"/>
          <w:b w:val="0"/>
          <w:bCs w:val="0"/>
          <w:sz w:val="32"/>
          <w:szCs w:val="32"/>
          <w:lang w:eastAsia="zh-CN"/>
        </w:rPr>
        <w:t>相比</w:t>
      </w:r>
      <w:r>
        <w:rPr>
          <w:rFonts w:hint="eastAsia" w:eastAsia="仿宋_GB2312" w:cs="仿宋_GB2312"/>
          <w:b w:val="0"/>
          <w:bCs w:val="0"/>
          <w:sz w:val="32"/>
          <w:szCs w:val="32"/>
        </w:rPr>
        <w:t>减少</w:t>
      </w:r>
      <w:r>
        <w:rPr>
          <w:rFonts w:hint="eastAsia" w:eastAsia="仿宋_GB2312" w:cs="仿宋_GB2312"/>
          <w:b w:val="0"/>
          <w:bCs w:val="0"/>
          <w:sz w:val="32"/>
          <w:szCs w:val="32"/>
          <w:lang w:val="en-US" w:eastAsia="zh-CN"/>
        </w:rPr>
        <w:t>0.48万元，下降22.43%。</w:t>
      </w:r>
      <w:r>
        <w:rPr>
          <w:rFonts w:hint="eastAsia" w:eastAsia="仿宋_GB2312" w:cs="仿宋_GB2312"/>
          <w:b w:val="0"/>
          <w:bCs w:val="0"/>
          <w:sz w:val="32"/>
          <w:szCs w:val="32"/>
        </w:rPr>
        <w:t>主要原因是</w:t>
      </w:r>
      <w:r>
        <w:rPr>
          <w:rFonts w:hint="eastAsia" w:eastAsia="仿宋_GB2312" w:cs="仿宋_GB2312"/>
          <w:b w:val="0"/>
          <w:bCs w:val="0"/>
          <w:sz w:val="32"/>
          <w:szCs w:val="32"/>
          <w:lang w:eastAsia="zh-CN"/>
        </w:rPr>
        <w:t>：节约开支。</w:t>
      </w:r>
    </w:p>
    <w:p w14:paraId="2B0AC814">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截至202</w:t>
      </w:r>
      <w:r>
        <w:rPr>
          <w:rFonts w:hint="eastAsia" w:eastAsia="仿宋_GB2312" w:cs="仿宋_GB2312"/>
          <w:sz w:val="32"/>
          <w:szCs w:val="32"/>
          <w:lang w:val="en-US" w:eastAsia="zh-CN"/>
        </w:rPr>
        <w:t>5</w:t>
      </w:r>
      <w:r>
        <w:rPr>
          <w:rFonts w:hint="eastAsia" w:eastAsia="仿宋_GB2312" w:cs="仿宋_GB2312"/>
          <w:sz w:val="32"/>
          <w:szCs w:val="32"/>
        </w:rPr>
        <w:t>年12月31日，单位共有公务用车</w:t>
      </w:r>
      <w:r>
        <w:rPr>
          <w:rFonts w:hint="eastAsia" w:eastAsia="仿宋_GB2312" w:cs="仿宋_GB2312"/>
          <w:sz w:val="32"/>
          <w:szCs w:val="32"/>
          <w:lang w:val="en-US" w:eastAsia="zh-CN"/>
        </w:rPr>
        <w:t>1</w:t>
      </w:r>
      <w:r>
        <w:rPr>
          <w:rFonts w:hint="eastAsia" w:eastAsia="仿宋_GB2312" w:cs="仿宋_GB2312"/>
          <w:sz w:val="32"/>
          <w:szCs w:val="32"/>
        </w:rPr>
        <w:t>辆，其中：应急保障用车</w:t>
      </w:r>
      <w:r>
        <w:rPr>
          <w:rFonts w:hint="eastAsia" w:eastAsia="仿宋_GB2312" w:cs="仿宋_GB2312"/>
          <w:sz w:val="32"/>
          <w:szCs w:val="32"/>
          <w:lang w:val="en-US" w:eastAsia="zh-CN"/>
        </w:rPr>
        <w:t>1辆。</w:t>
      </w:r>
    </w:p>
    <w:p w14:paraId="464D7D87">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eastAsia="仿宋_GB2312" w:cs="仿宋_GB2312"/>
          <w:sz w:val="32"/>
          <w:szCs w:val="32"/>
          <w:lang w:val="en-US" w:eastAsia="zh-CN"/>
        </w:rPr>
        <w:t>1.66万</w:t>
      </w:r>
      <w:r>
        <w:rPr>
          <w:rFonts w:hint="eastAsia" w:eastAsia="仿宋_GB2312" w:cs="仿宋_GB2312"/>
          <w:sz w:val="32"/>
          <w:szCs w:val="32"/>
        </w:rPr>
        <w:t>元。主要用于</w:t>
      </w:r>
      <w:r>
        <w:rPr>
          <w:rFonts w:hint="eastAsia" w:ascii="仿宋_GB2312" w:eastAsia="仿宋_GB2312"/>
          <w:b w:val="0"/>
          <w:bCs/>
          <w:sz w:val="32"/>
          <w:szCs w:val="32"/>
          <w:lang w:eastAsia="zh-CN"/>
        </w:rPr>
        <w:t>单位公共卫生服务</w:t>
      </w:r>
      <w:r>
        <w:rPr>
          <w:rFonts w:hint="eastAsia" w:ascii="仿宋_GB2312" w:eastAsia="仿宋_GB2312"/>
          <w:b w:val="0"/>
          <w:bCs/>
          <w:sz w:val="32"/>
          <w:szCs w:val="32"/>
        </w:rPr>
        <w:t>等</w:t>
      </w:r>
      <w:r>
        <w:rPr>
          <w:rFonts w:hint="eastAsia" w:eastAsia="仿宋_GB2312" w:cs="仿宋_GB2312"/>
          <w:sz w:val="32"/>
          <w:szCs w:val="32"/>
        </w:rPr>
        <w:t>所需的公务用车燃料费、维修费、过路过桥费、保险费等支出。</w:t>
      </w:r>
    </w:p>
    <w:p w14:paraId="7046725A">
      <w:pPr>
        <w:spacing w:line="600" w:lineRule="exact"/>
        <w:ind w:firstLine="640"/>
        <w:rPr>
          <w:rFonts w:hint="eastAsia"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sz w:val="32"/>
          <w:szCs w:val="32"/>
        </w:rPr>
        <w:t>0万元</w:t>
      </w:r>
      <w:r>
        <w:rPr>
          <w:rFonts w:hint="eastAsia" w:ascii="仿宋_GB2312" w:hAnsi="仿宋_GB2312" w:eastAsia="仿宋_GB2312" w:cs="仿宋_GB2312"/>
          <w:sz w:val="32"/>
          <w:szCs w:val="32"/>
          <w:lang w:eastAsia="zh-CN"/>
        </w:rPr>
        <w:t>。</w:t>
      </w:r>
      <w:r>
        <w:rPr>
          <w:rFonts w:hint="eastAsia" w:eastAsia="仿宋_GB2312" w:cs="仿宋_GB2312"/>
          <w:sz w:val="32"/>
          <w:szCs w:val="32"/>
        </w:rPr>
        <w:t>公务接待费支出决算</w:t>
      </w:r>
      <w:r>
        <w:rPr>
          <w:rFonts w:hint="eastAsia" w:eastAsia="仿宋_GB2312" w:cs="仿宋_GB2312"/>
          <w:sz w:val="32"/>
          <w:szCs w:val="32"/>
          <w:lang w:eastAsia="zh-CN"/>
        </w:rPr>
        <w:t>与</w:t>
      </w:r>
      <w:r>
        <w:rPr>
          <w:rFonts w:hint="eastAsia" w:eastAsia="仿宋_GB2312" w:cs="仿宋_GB2312"/>
          <w:sz w:val="32"/>
          <w:szCs w:val="32"/>
        </w:rPr>
        <w:t>202</w:t>
      </w:r>
      <w:r>
        <w:rPr>
          <w:rFonts w:hint="eastAsia" w:eastAsia="仿宋_GB2312" w:cs="仿宋_GB2312"/>
          <w:sz w:val="32"/>
          <w:szCs w:val="32"/>
          <w:lang w:val="en-US" w:eastAsia="zh-CN"/>
        </w:rPr>
        <w:t>4</w:t>
      </w:r>
      <w:r>
        <w:rPr>
          <w:rFonts w:hint="eastAsia" w:eastAsia="仿宋_GB2312" w:cs="仿宋_GB2312"/>
          <w:sz w:val="32"/>
          <w:szCs w:val="32"/>
        </w:rPr>
        <w:t>年</w:t>
      </w:r>
      <w:r>
        <w:rPr>
          <w:rFonts w:hint="eastAsia" w:eastAsia="仿宋_GB2312" w:cs="仿宋_GB2312"/>
          <w:sz w:val="32"/>
          <w:szCs w:val="32"/>
          <w:lang w:eastAsia="zh-CN"/>
        </w:rPr>
        <w:t>相比无变化。</w:t>
      </w:r>
      <w:r>
        <w:rPr>
          <w:rFonts w:hint="eastAsia" w:eastAsia="仿宋_GB2312" w:cs="仿宋_GB2312"/>
          <w:sz w:val="32"/>
          <w:szCs w:val="32"/>
        </w:rPr>
        <w:t>其中：</w:t>
      </w:r>
    </w:p>
    <w:p w14:paraId="4D1053ED">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出0万</w:t>
      </w:r>
      <w:r>
        <w:rPr>
          <w:rFonts w:hint="eastAsia" w:eastAsia="仿宋_GB2312" w:cs="仿宋_GB2312"/>
          <w:sz w:val="32"/>
          <w:szCs w:val="32"/>
        </w:rPr>
        <w:t>元</w:t>
      </w:r>
      <w:r>
        <w:rPr>
          <w:rFonts w:hint="eastAsia" w:eastAsia="仿宋_GB2312" w:cs="仿宋_GB2312"/>
          <w:sz w:val="32"/>
          <w:szCs w:val="32"/>
          <w:lang w:eastAsia="zh-CN"/>
        </w:rPr>
        <w:t>。</w:t>
      </w:r>
    </w:p>
    <w:p w14:paraId="132CFBC9">
      <w:pPr>
        <w:spacing w:line="600"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出0万元</w:t>
      </w:r>
      <w:r>
        <w:rPr>
          <w:rFonts w:hint="eastAsia" w:ascii="仿宋_GB2312" w:hAnsi="仿宋_GB2312" w:eastAsia="仿宋_GB2312" w:cs="仿宋_GB2312"/>
          <w:sz w:val="32"/>
          <w:szCs w:val="32"/>
          <w:lang w:eastAsia="zh-CN"/>
        </w:rPr>
        <w:t>。</w:t>
      </w:r>
    </w:p>
    <w:p w14:paraId="028F30E8">
      <w:pPr>
        <w:spacing w:line="600" w:lineRule="exact"/>
        <w:ind w:firstLine="640"/>
        <w:outlineLvl w:val="1"/>
        <w:rPr>
          <w:rStyle w:val="29"/>
          <w:rFonts w:ascii="黑体" w:hAnsi="黑体" w:eastAsia="黑体"/>
        </w:rPr>
      </w:pPr>
      <w:bookmarkStart w:id="58" w:name="_Toc10901"/>
      <w:r>
        <w:rPr>
          <w:rFonts w:hint="eastAsia" w:ascii="黑体" w:eastAsia="黑体"/>
          <w:sz w:val="32"/>
          <w:szCs w:val="32"/>
        </w:rPr>
        <w:t>八、</w:t>
      </w:r>
      <w:r>
        <w:rPr>
          <w:rStyle w:val="29"/>
          <w:rFonts w:hint="eastAsia" w:ascii="黑体" w:hAnsi="黑体" w:eastAsia="黑体"/>
          <w:b w:val="0"/>
        </w:rPr>
        <w:t>政府性基金预算支出决算情况说明</w:t>
      </w:r>
      <w:bookmarkEnd w:id="56"/>
      <w:bookmarkEnd w:id="57"/>
      <w:bookmarkEnd w:id="58"/>
    </w:p>
    <w:p w14:paraId="4B8C24C7">
      <w:pPr>
        <w:spacing w:line="600" w:lineRule="exact"/>
        <w:ind w:firstLine="640"/>
        <w:rPr>
          <w:rFonts w:ascii="仿宋_GB2312" w:eastAsia="仿宋_GB2312"/>
          <w:sz w:val="32"/>
          <w:szCs w:val="32"/>
        </w:rPr>
      </w:pPr>
      <w:r>
        <w:rPr>
          <w:rFonts w:hint="eastAsia" w:eastAsia="仿宋_GB2312" w:cs="仿宋_GB2312"/>
          <w:sz w:val="32"/>
          <w:szCs w:val="32"/>
          <w:lang w:val="en-US" w:eastAsia="zh-CN"/>
        </w:rPr>
        <w:t>2025</w:t>
      </w:r>
      <w:r>
        <w:rPr>
          <w:rFonts w:hint="eastAsia" w:ascii="仿宋_GB2312" w:eastAsia="仿宋_GB2312"/>
          <w:sz w:val="32"/>
          <w:szCs w:val="32"/>
        </w:rPr>
        <w:t>年度政府性基金预算财政拨款支</w:t>
      </w:r>
      <w:r>
        <w:rPr>
          <w:rFonts w:hint="eastAsia" w:ascii="仿宋_GB2312" w:eastAsia="仿宋_GB2312"/>
          <w:b w:val="0"/>
          <w:bCs w:val="0"/>
          <w:sz w:val="32"/>
          <w:szCs w:val="32"/>
        </w:rPr>
        <w:t>出</w:t>
      </w:r>
      <w:r>
        <w:rPr>
          <w:rFonts w:ascii="仿宋" w:hAnsi="仿宋" w:eastAsia="仿宋"/>
          <w:b w:val="0"/>
          <w:bCs w:val="0"/>
          <w:sz w:val="32"/>
          <w:szCs w:val="32"/>
        </w:rPr>
        <w:t>0</w:t>
      </w:r>
      <w:r>
        <w:rPr>
          <w:rFonts w:hint="eastAsia" w:ascii="仿宋_GB2312" w:eastAsia="仿宋_GB2312"/>
          <w:sz w:val="32"/>
          <w:szCs w:val="32"/>
        </w:rPr>
        <w:t>万元。</w:t>
      </w:r>
    </w:p>
    <w:p w14:paraId="00FD0D21">
      <w:pPr>
        <w:numPr>
          <w:ilvl w:val="0"/>
          <w:numId w:val="2"/>
        </w:numPr>
        <w:spacing w:line="600" w:lineRule="exact"/>
        <w:ind w:firstLine="640"/>
        <w:outlineLvl w:val="1"/>
        <w:rPr>
          <w:rStyle w:val="29"/>
          <w:rFonts w:ascii="黑体" w:hAnsi="黑体" w:eastAsia="黑体"/>
          <w:b w:val="0"/>
        </w:rPr>
      </w:pPr>
      <w:bookmarkStart w:id="59" w:name="_Toc27724"/>
      <w:bookmarkStart w:id="60" w:name="_Toc15396611"/>
      <w:bookmarkStart w:id="61" w:name="_Toc15377219"/>
      <w:r>
        <w:rPr>
          <w:rStyle w:val="29"/>
          <w:rFonts w:hint="eastAsia" w:ascii="黑体" w:hAnsi="黑体" w:eastAsia="黑体"/>
          <w:b w:val="0"/>
        </w:rPr>
        <w:t>国有资本经营预算支出决算情况说明</w:t>
      </w:r>
      <w:bookmarkEnd w:id="59"/>
      <w:bookmarkEnd w:id="60"/>
      <w:bookmarkEnd w:id="61"/>
    </w:p>
    <w:p w14:paraId="4D8DEBB1">
      <w:pPr>
        <w:keepNext w:val="0"/>
        <w:keepLines w:val="0"/>
        <w:pageBreakBefore w:val="0"/>
        <w:widowControl w:val="0"/>
        <w:kinsoku/>
        <w:wordWrap/>
        <w:overflowPunct/>
        <w:topLinePunct w:val="0"/>
        <w:bidi w:val="0"/>
        <w:snapToGrid/>
        <w:spacing w:line="600" w:lineRule="exact"/>
        <w:ind w:firstLine="640" w:firstLineChars="200"/>
        <w:textAlignment w:val="auto"/>
        <w:rPr>
          <w:rFonts w:ascii="方正小标宋简体" w:hAnsi="方正小标宋简体" w:eastAsia="方正小标宋简体" w:cs="方正小标宋简体"/>
          <w:sz w:val="44"/>
          <w:szCs w:val="44"/>
        </w:rPr>
      </w:pPr>
      <w:r>
        <w:rPr>
          <w:rFonts w:hint="eastAsia" w:eastAsia="仿宋_GB2312" w:cs="仿宋_GB2312"/>
          <w:sz w:val="32"/>
          <w:szCs w:val="32"/>
          <w:lang w:val="en-US" w:eastAsia="zh-CN"/>
        </w:rPr>
        <w:t>2025</w:t>
      </w:r>
      <w:r>
        <w:rPr>
          <w:rFonts w:hint="eastAsia" w:ascii="仿宋_GB2312" w:eastAsia="仿宋_GB2312"/>
          <w:sz w:val="32"/>
          <w:szCs w:val="32"/>
        </w:rPr>
        <w:t>年度国有资本经营预算财政拨款支出</w:t>
      </w:r>
      <w:r>
        <w:rPr>
          <w:rFonts w:ascii="仿宋" w:hAnsi="仿宋" w:eastAsia="仿宋"/>
          <w:b w:val="0"/>
          <w:bCs/>
          <w:sz w:val="32"/>
          <w:szCs w:val="32"/>
        </w:rPr>
        <w:t>0</w:t>
      </w:r>
      <w:r>
        <w:rPr>
          <w:rFonts w:hint="eastAsia" w:ascii="仿宋_GB2312" w:eastAsia="仿宋_GB2312"/>
          <w:sz w:val="32"/>
          <w:szCs w:val="32"/>
        </w:rPr>
        <w:t>万元。</w:t>
      </w:r>
    </w:p>
    <w:p w14:paraId="3C52EF43">
      <w:pPr>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outlineLvl w:val="1"/>
        <w:rPr>
          <w:rStyle w:val="29"/>
          <w:rFonts w:ascii="黑体" w:hAnsi="黑体" w:eastAsia="黑体"/>
          <w:b w:val="0"/>
        </w:rPr>
      </w:pPr>
      <w:bookmarkStart w:id="62" w:name="_Toc15377221"/>
      <w:bookmarkStart w:id="63" w:name="_Toc15396612"/>
      <w:bookmarkStart w:id="64" w:name="_Toc16101"/>
      <w:bookmarkStart w:id="65" w:name="_Toc8436"/>
      <w:bookmarkStart w:id="66" w:name="_Toc15396613"/>
      <w:bookmarkStart w:id="67" w:name="_Toc15377225"/>
      <w:r>
        <w:rPr>
          <w:rStyle w:val="29"/>
          <w:rFonts w:hint="eastAsia" w:ascii="黑体" w:hAnsi="黑体" w:eastAsia="黑体"/>
          <w:b w:val="0"/>
        </w:rPr>
        <w:t>其他重要事项的情况说明</w:t>
      </w:r>
      <w:bookmarkEnd w:id="62"/>
      <w:bookmarkEnd w:id="63"/>
      <w:bookmarkEnd w:id="64"/>
      <w:bookmarkEnd w:id="65"/>
    </w:p>
    <w:p w14:paraId="6D631F20">
      <w:pPr>
        <w:spacing w:line="600" w:lineRule="exact"/>
        <w:ind w:firstLine="643" w:firstLineChars="200"/>
        <w:outlineLvl w:val="2"/>
        <w:rPr>
          <w:rFonts w:hint="eastAsia" w:ascii="Times New Roman" w:hAnsi="Times New Roman" w:eastAsia="楷体_GB2312" w:cs="楷体_GB2312"/>
          <w:b/>
          <w:sz w:val="32"/>
          <w:szCs w:val="32"/>
        </w:rPr>
      </w:pPr>
      <w:bookmarkStart w:id="68" w:name="_Toc15377222"/>
      <w:r>
        <w:rPr>
          <w:rFonts w:hint="eastAsia" w:ascii="Times New Roman" w:hAnsi="Times New Roman" w:eastAsia="楷体_GB2312" w:cs="楷体_GB2312"/>
          <w:b/>
          <w:sz w:val="32"/>
          <w:szCs w:val="32"/>
        </w:rPr>
        <w:t>（一）机关运行经费支出情况</w:t>
      </w:r>
      <w:bookmarkEnd w:id="68"/>
    </w:p>
    <w:p w14:paraId="60E263C9">
      <w:pPr>
        <w:keepNext w:val="0"/>
        <w:keepLines w:val="0"/>
        <w:pageBreakBefore w:val="0"/>
        <w:widowControl w:val="0"/>
        <w:kinsoku/>
        <w:wordWrap/>
        <w:overflowPunct/>
        <w:topLinePunct w:val="0"/>
        <w:bidi w:val="0"/>
        <w:snapToGrid/>
        <w:spacing w:line="600" w:lineRule="exact"/>
        <w:ind w:firstLine="640" w:firstLineChars="200"/>
        <w:textAlignment w:val="auto"/>
        <w:rPr>
          <w:rFonts w:ascii="仿宋_GB2312" w:eastAsia="仿宋_GB2312"/>
          <w:b w:val="0"/>
          <w:bCs w:val="0"/>
          <w:sz w:val="32"/>
          <w:szCs w:val="32"/>
        </w:rPr>
      </w:pPr>
      <w:r>
        <w:rPr>
          <w:rFonts w:hint="eastAsia" w:eastAsia="仿宋_GB2312" w:cs="仿宋_GB2312"/>
          <w:sz w:val="32"/>
          <w:szCs w:val="32"/>
          <w:lang w:val="en-US" w:eastAsia="zh-CN"/>
        </w:rPr>
        <w:t>2025</w:t>
      </w:r>
      <w:r>
        <w:rPr>
          <w:rFonts w:hint="eastAsia" w:ascii="仿宋_GB2312" w:eastAsia="仿宋_GB2312"/>
          <w:b w:val="0"/>
          <w:bCs w:val="0"/>
          <w:sz w:val="32"/>
          <w:szCs w:val="32"/>
        </w:rPr>
        <w:t>年度，</w:t>
      </w:r>
      <w:r>
        <w:rPr>
          <w:rFonts w:ascii="仿宋_GB2312" w:eastAsia="仿宋_GB2312"/>
          <w:b w:val="0"/>
          <w:bCs w:val="0"/>
          <w:sz w:val="32"/>
          <w:szCs w:val="32"/>
        </w:rPr>
        <w:t>阿坝州茂县</w:t>
      </w:r>
      <w:r>
        <w:rPr>
          <w:rFonts w:hint="eastAsia" w:ascii="仿宋_GB2312" w:eastAsia="仿宋_GB2312"/>
          <w:b w:val="0"/>
          <w:bCs w:val="0"/>
          <w:sz w:val="32"/>
          <w:szCs w:val="32"/>
          <w:lang w:eastAsia="zh-CN"/>
        </w:rPr>
        <w:t>凤仪镇社区卫生服务中心</w:t>
      </w:r>
      <w:r>
        <w:rPr>
          <w:rFonts w:hint="eastAsia" w:ascii="仿宋_GB2312" w:eastAsia="仿宋_GB2312"/>
          <w:b w:val="0"/>
          <w:bCs w:val="0"/>
          <w:sz w:val="32"/>
          <w:szCs w:val="32"/>
        </w:rPr>
        <w:t>机关运行经费支出</w:t>
      </w:r>
      <w:r>
        <w:rPr>
          <w:rFonts w:ascii="仿宋" w:hAnsi="仿宋" w:eastAsia="仿宋"/>
          <w:b w:val="0"/>
          <w:bCs w:val="0"/>
          <w:sz w:val="32"/>
          <w:szCs w:val="32"/>
        </w:rPr>
        <w:t>0</w:t>
      </w:r>
      <w:r>
        <w:rPr>
          <w:rFonts w:hint="eastAsia" w:ascii="仿宋_GB2312" w:eastAsia="仿宋_GB2312"/>
          <w:b w:val="0"/>
          <w:bCs w:val="0"/>
          <w:sz w:val="32"/>
          <w:szCs w:val="32"/>
        </w:rPr>
        <w:t>万元。</w:t>
      </w:r>
    </w:p>
    <w:p w14:paraId="372A0F63">
      <w:pPr>
        <w:spacing w:line="600" w:lineRule="exact"/>
        <w:ind w:firstLine="643" w:firstLineChars="200"/>
        <w:outlineLvl w:val="2"/>
        <w:rPr>
          <w:rFonts w:hint="eastAsia" w:ascii="Times New Roman" w:hAnsi="Times New Roman" w:eastAsia="楷体_GB2312" w:cs="楷体_GB2312"/>
          <w:b/>
          <w:sz w:val="32"/>
          <w:szCs w:val="32"/>
        </w:rPr>
      </w:pPr>
      <w:bookmarkStart w:id="69" w:name="_Toc15377223"/>
      <w:r>
        <w:rPr>
          <w:rFonts w:hint="eastAsia" w:ascii="Times New Roman" w:hAnsi="Times New Roman" w:eastAsia="楷体_GB2312" w:cs="楷体_GB2312"/>
          <w:b/>
          <w:sz w:val="32"/>
          <w:szCs w:val="32"/>
        </w:rPr>
        <w:t>（二）政府采购支出情况</w:t>
      </w:r>
      <w:bookmarkEnd w:id="69"/>
    </w:p>
    <w:p w14:paraId="6623CB27">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2025</w:t>
      </w:r>
      <w:r>
        <w:rPr>
          <w:rFonts w:hint="eastAsia" w:ascii="仿宋_GB2312" w:hAnsi="仿宋_GB2312" w:eastAsia="仿宋_GB2312" w:cs="仿宋_GB2312"/>
          <w:sz w:val="32"/>
          <w:szCs w:val="32"/>
        </w:rPr>
        <w:t>年度，阿坝州茂县凤仪镇社区卫生服务中心政府采购支出总额</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万元，其中：政府采购货物支出</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万元、政府采购工程支出</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万元、政府采购服务支出</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万元。主要用于</w:t>
      </w:r>
      <w:r>
        <w:rPr>
          <w:rFonts w:hint="eastAsia" w:ascii="仿宋_GB2312" w:eastAsia="仿宋_GB2312"/>
          <w:b w:val="0"/>
          <w:bCs/>
          <w:sz w:val="32"/>
          <w:szCs w:val="32"/>
          <w:lang w:eastAsia="zh-CN"/>
        </w:rPr>
        <w:t>单位公共卫生服务</w:t>
      </w:r>
      <w:r>
        <w:rPr>
          <w:rFonts w:hint="eastAsia" w:ascii="仿宋_GB2312" w:hAnsi="仿宋_GB2312" w:eastAsia="仿宋_GB2312" w:cs="仿宋_GB2312"/>
          <w:sz w:val="32"/>
          <w:szCs w:val="32"/>
        </w:rPr>
        <w:t>。授予中小企业合同金额</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万元，占政府采购支出总额的</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%，其中：授予小微企业合同金额</w:t>
      </w:r>
      <w:r>
        <w:rPr>
          <w:rFonts w:hint="eastAsia" w:eastAsia="仿宋_GB2312" w:cs="仿宋_GB2312"/>
          <w:sz w:val="32"/>
          <w:szCs w:val="32"/>
          <w:lang w:val="en-US" w:eastAsia="zh-CN"/>
        </w:rPr>
        <w:t>0万元，占政府采购支出总额的0%。</w:t>
      </w:r>
    </w:p>
    <w:p w14:paraId="0BB694D0">
      <w:pPr>
        <w:spacing w:line="600" w:lineRule="exact"/>
        <w:ind w:firstLine="643" w:firstLineChars="200"/>
        <w:outlineLvl w:val="2"/>
        <w:rPr>
          <w:rFonts w:hint="eastAsia" w:ascii="Times New Roman" w:hAnsi="Times New Roman" w:eastAsia="楷体_GB2312" w:cs="楷体_GB2312"/>
          <w:b/>
          <w:sz w:val="32"/>
          <w:szCs w:val="32"/>
        </w:rPr>
      </w:pPr>
      <w:bookmarkStart w:id="70" w:name="_Toc15377224"/>
      <w:r>
        <w:rPr>
          <w:rFonts w:hint="eastAsia" w:ascii="Times New Roman" w:hAnsi="Times New Roman" w:eastAsia="楷体_GB2312" w:cs="楷体_GB2312"/>
          <w:b/>
          <w:sz w:val="32"/>
          <w:szCs w:val="32"/>
        </w:rPr>
        <w:t>（三）国有资产占有使用情况</w:t>
      </w:r>
      <w:bookmarkEnd w:id="70"/>
    </w:p>
    <w:p w14:paraId="790C683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ascii="仿宋_GB2312" w:eastAsia="仿宋_GB2312"/>
          <w:b w:val="0"/>
          <w:bCs w:val="0"/>
          <w:sz w:val="32"/>
          <w:szCs w:val="32"/>
        </w:rPr>
      </w:pPr>
      <w:r>
        <w:rPr>
          <w:rFonts w:hint="eastAsia" w:ascii="仿宋_GB2312" w:hAnsi="仿宋_GB2312" w:eastAsia="仿宋_GB2312" w:cs="仿宋_GB2312"/>
          <w:sz w:val="32"/>
          <w:szCs w:val="32"/>
        </w:rPr>
        <w:t>截至</w:t>
      </w:r>
      <w:r>
        <w:rPr>
          <w:rFonts w:hint="eastAsia" w:eastAsia="仿宋_GB2312" w:cs="仿宋_GB2312"/>
          <w:sz w:val="32"/>
          <w:szCs w:val="32"/>
          <w:lang w:val="en-US" w:eastAsia="zh-CN"/>
        </w:rPr>
        <w:t>2025</w:t>
      </w:r>
      <w:r>
        <w:rPr>
          <w:rFonts w:hint="eastAsia" w:ascii="仿宋_GB2312" w:hAnsi="仿宋_GB2312" w:eastAsia="仿宋_GB2312" w:cs="仿宋_GB2312"/>
          <w:sz w:val="32"/>
          <w:szCs w:val="32"/>
        </w:rPr>
        <w:t>年</w:t>
      </w:r>
      <w:r>
        <w:rPr>
          <w:rFonts w:hint="eastAsia"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eastAsia="仿宋_GB2312" w:cs="仿宋_GB2312"/>
          <w:sz w:val="32"/>
          <w:szCs w:val="32"/>
          <w:lang w:val="en-US" w:eastAsia="zh-CN"/>
        </w:rPr>
        <w:t>31</w:t>
      </w:r>
      <w:r>
        <w:rPr>
          <w:rFonts w:hint="eastAsia" w:ascii="仿宋_GB2312" w:hAnsi="仿宋_GB2312" w:eastAsia="仿宋_GB2312" w:cs="仿宋_GB2312"/>
          <w:sz w:val="32"/>
          <w:szCs w:val="32"/>
        </w:rPr>
        <w:t>日，阿坝州茂县凤仪镇社区卫生服务中心共有车辆</w:t>
      </w:r>
      <w:r>
        <w:rPr>
          <w:rFonts w:hint="eastAsia" w:eastAsia="仿宋_GB2312" w:cs="仿宋_GB2312"/>
          <w:sz w:val="32"/>
          <w:szCs w:val="32"/>
          <w:lang w:val="en-US" w:eastAsia="zh-CN"/>
        </w:rPr>
        <w:t>1</w:t>
      </w:r>
      <w:r>
        <w:rPr>
          <w:rFonts w:hint="eastAsia" w:ascii="仿宋_GB2312" w:hAnsi="仿宋_GB2312" w:eastAsia="仿宋_GB2312" w:cs="仿宋_GB2312"/>
          <w:sz w:val="32"/>
          <w:szCs w:val="32"/>
        </w:rPr>
        <w:t>辆，其中：主要负责人用车</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辆、应急保障用车</w:t>
      </w:r>
      <w:r>
        <w:rPr>
          <w:rFonts w:hint="eastAsia" w:eastAsia="仿宋_GB2312" w:cs="仿宋_GB2312"/>
          <w:sz w:val="32"/>
          <w:szCs w:val="32"/>
          <w:lang w:val="en-US" w:eastAsia="zh-CN"/>
        </w:rPr>
        <w:t>1</w:t>
      </w:r>
      <w:r>
        <w:rPr>
          <w:rFonts w:hint="eastAsia" w:ascii="仿宋_GB2312" w:hAnsi="仿宋_GB2312" w:eastAsia="仿宋_GB2312" w:cs="仿宋_GB2312"/>
          <w:sz w:val="32"/>
          <w:szCs w:val="32"/>
        </w:rPr>
        <w:t>辆、其他用车</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辆，应急保障用车主要是用于</w:t>
      </w:r>
      <w:r>
        <w:rPr>
          <w:rFonts w:hint="eastAsia" w:ascii="仿宋_GB2312" w:eastAsia="仿宋_GB2312"/>
          <w:b w:val="0"/>
          <w:bCs w:val="0"/>
          <w:sz w:val="32"/>
          <w:szCs w:val="32"/>
          <w:lang w:eastAsia="zh-CN"/>
        </w:rPr>
        <w:t>日常卫生院公卫下乡及出诊</w:t>
      </w:r>
      <w:r>
        <w:rPr>
          <w:rFonts w:hint="eastAsia" w:ascii="仿宋_GB2312" w:eastAsia="仿宋_GB2312"/>
          <w:b w:val="0"/>
          <w:bCs w:val="0"/>
          <w:sz w:val="32"/>
          <w:szCs w:val="32"/>
        </w:rPr>
        <w:t>。</w:t>
      </w:r>
      <w:r>
        <w:rPr>
          <w:rFonts w:hint="eastAsia" w:ascii="仿宋_GB2312" w:hAnsi="仿宋_GB2312" w:eastAsia="仿宋_GB2312" w:cs="仿宋_GB2312"/>
          <w:sz w:val="32"/>
          <w:szCs w:val="32"/>
        </w:rPr>
        <w:t>单价</w:t>
      </w:r>
      <w:r>
        <w:rPr>
          <w:rFonts w:hint="eastAsia" w:eastAsia="仿宋_GB2312" w:cs="仿宋_GB2312"/>
          <w:sz w:val="32"/>
          <w:szCs w:val="32"/>
          <w:lang w:val="en-US" w:eastAsia="zh-CN"/>
        </w:rPr>
        <w:t>100</w:t>
      </w:r>
      <w:r>
        <w:rPr>
          <w:rFonts w:hint="eastAsia" w:ascii="仿宋_GB2312" w:hAnsi="仿宋_GB2312" w:eastAsia="仿宋_GB2312" w:cs="仿宋_GB2312"/>
          <w:sz w:val="32"/>
          <w:szCs w:val="32"/>
        </w:rPr>
        <w:t>万元（含）以上设备（不含车辆）</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eastAsia="仿宋_GB2312" w:cs="仿宋_GB2312"/>
          <w:sz w:val="32"/>
          <w:szCs w:val="32"/>
        </w:rPr>
        <w:t>。</w:t>
      </w:r>
    </w:p>
    <w:p w14:paraId="5B28D620">
      <w:pPr>
        <w:spacing w:line="600" w:lineRule="exact"/>
        <w:ind w:firstLine="643" w:firstLineChars="200"/>
        <w:outlineLvl w:val="2"/>
        <w:rPr>
          <w:rFonts w:hint="eastAsia" w:ascii="Times New Roman" w:hAnsi="Times New Roman" w:eastAsia="楷体_GB2312" w:cs="楷体_GB2312"/>
          <w:b/>
          <w:sz w:val="32"/>
          <w:szCs w:val="32"/>
        </w:rPr>
      </w:pPr>
      <w:r>
        <w:rPr>
          <w:rFonts w:hint="eastAsia" w:ascii="Times New Roman" w:hAnsi="Times New Roman" w:eastAsia="楷体_GB2312" w:cs="楷体_GB2312"/>
          <w:b/>
          <w:sz w:val="32"/>
          <w:szCs w:val="32"/>
        </w:rPr>
        <w:t>（四）预算绩效管理情况</w:t>
      </w:r>
    </w:p>
    <w:p w14:paraId="65CA9DC4">
      <w:pPr>
        <w:spacing w:line="600" w:lineRule="exact"/>
        <w:ind w:firstLine="640" w:firstLineChars="200"/>
        <w:rPr>
          <w:rFonts w:ascii="仿宋_GB2312" w:eastAsia="仿宋_GB2312"/>
          <w:sz w:val="32"/>
          <w:szCs w:val="32"/>
        </w:rPr>
      </w:pPr>
      <w:r>
        <w:rPr>
          <w:rFonts w:hint="eastAsia" w:ascii="仿宋_GB2312" w:eastAsia="仿宋_GB2312"/>
          <w:sz w:val="32"/>
          <w:szCs w:val="32"/>
        </w:rPr>
        <w:t>根据预算绩效管理要求，本单位在</w:t>
      </w:r>
      <w:r>
        <w:rPr>
          <w:rFonts w:hint="default"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仿宋_GB2312" w:eastAsia="仿宋_GB2312"/>
          <w:sz w:val="32"/>
          <w:szCs w:val="32"/>
        </w:rPr>
        <w:t>年度预算编制阶段，组织对</w:t>
      </w:r>
      <w:r>
        <w:rPr>
          <w:rFonts w:hint="eastAsia" w:ascii="仿宋_GB2312" w:eastAsia="仿宋_GB2312" w:cs="仿宋_GB2312"/>
          <w:sz w:val="32"/>
          <w:szCs w:val="32"/>
          <w:highlight w:val="none"/>
        </w:rPr>
        <w:t>基本公共卫生服务项目</w:t>
      </w:r>
      <w:r>
        <w:rPr>
          <w:rFonts w:hint="eastAsia" w:ascii="仿宋_GB2312" w:eastAsia="仿宋_GB2312" w:cs="仿宋_GB2312"/>
          <w:sz w:val="32"/>
          <w:szCs w:val="32"/>
          <w:highlight w:val="none"/>
          <w:lang w:eastAsia="zh-CN"/>
        </w:rPr>
        <w:t>、其他基层医疗卫生机构支出</w:t>
      </w:r>
      <w:r>
        <w:rPr>
          <w:rFonts w:hint="eastAsia" w:ascii="仿宋_GB2312" w:eastAsia="仿宋_GB2312"/>
          <w:sz w:val="32"/>
          <w:szCs w:val="32"/>
        </w:rPr>
        <w:t>等</w:t>
      </w:r>
      <w:r>
        <w:rPr>
          <w:rFonts w:hint="eastAsia" w:eastAsia="仿宋_GB2312" w:cs="仿宋_GB2312"/>
          <w:sz w:val="32"/>
          <w:szCs w:val="32"/>
          <w:lang w:val="en-US" w:eastAsia="zh-CN"/>
        </w:rPr>
        <w:t>2</w:t>
      </w:r>
      <w:r>
        <w:rPr>
          <w:rFonts w:hint="eastAsia" w:ascii="仿宋_GB2312" w:eastAsia="仿宋_GB2312"/>
          <w:sz w:val="32"/>
          <w:szCs w:val="32"/>
        </w:rPr>
        <w:t>个项目开展了预算事前绩效评估，对</w:t>
      </w:r>
      <w:r>
        <w:rPr>
          <w:rFonts w:hint="eastAsia" w:eastAsia="仿宋_GB2312" w:cs="仿宋_GB2312"/>
          <w:sz w:val="32"/>
          <w:szCs w:val="32"/>
          <w:lang w:val="en-US" w:eastAsia="zh-CN"/>
        </w:rPr>
        <w:t>2</w:t>
      </w:r>
      <w:r>
        <w:rPr>
          <w:rFonts w:hint="eastAsia" w:ascii="仿宋_GB2312" w:eastAsia="仿宋_GB2312"/>
          <w:sz w:val="32"/>
          <w:szCs w:val="32"/>
        </w:rPr>
        <w:t>个项目编制了绩效目标，预算执行过程中，选</w:t>
      </w:r>
      <w:bookmarkStart w:id="109" w:name="_GoBack"/>
      <w:bookmarkEnd w:id="109"/>
      <w:r>
        <w:rPr>
          <w:rFonts w:hint="eastAsia" w:ascii="仿宋_GB2312" w:eastAsia="仿宋_GB2312"/>
          <w:sz w:val="32"/>
          <w:szCs w:val="32"/>
        </w:rPr>
        <w:t>取</w:t>
      </w:r>
      <w:r>
        <w:rPr>
          <w:rFonts w:hint="eastAsia" w:eastAsia="仿宋_GB2312" w:cs="仿宋_GB2312"/>
          <w:sz w:val="32"/>
          <w:szCs w:val="32"/>
          <w:lang w:val="en-US" w:eastAsia="zh-CN"/>
        </w:rPr>
        <w:t>2</w:t>
      </w:r>
      <w:r>
        <w:rPr>
          <w:rFonts w:hint="eastAsia" w:ascii="仿宋_GB2312" w:eastAsia="仿宋_GB2312"/>
          <w:sz w:val="32"/>
          <w:szCs w:val="32"/>
        </w:rPr>
        <w:t>个项目开展绩效监控，组织对</w:t>
      </w:r>
      <w:r>
        <w:rPr>
          <w:rFonts w:hint="eastAsia" w:eastAsia="仿宋_GB2312" w:cs="仿宋_GB2312"/>
          <w:sz w:val="32"/>
          <w:szCs w:val="32"/>
          <w:lang w:val="en-US" w:eastAsia="zh-CN"/>
        </w:rPr>
        <w:t>2</w:t>
      </w:r>
      <w:r>
        <w:rPr>
          <w:rFonts w:hint="eastAsia" w:ascii="仿宋_GB2312" w:eastAsia="仿宋_GB2312"/>
          <w:sz w:val="32"/>
          <w:szCs w:val="32"/>
        </w:rPr>
        <w:t>个项目开展绩效自评，绩效自评表详见第四部分附件。</w:t>
      </w:r>
    </w:p>
    <w:p w14:paraId="142B82CA">
      <w:pPr>
        <w:spacing w:line="600" w:lineRule="exact"/>
        <w:ind w:firstLine="640" w:firstLineChars="200"/>
        <w:rPr>
          <w:rFonts w:ascii="仿宋_GB2312" w:eastAsia="仿宋_GB2312"/>
          <w:sz w:val="32"/>
          <w:szCs w:val="32"/>
        </w:rPr>
      </w:pPr>
      <w:r>
        <w:rPr>
          <w:rFonts w:hint="eastAsia" w:ascii="仿宋_GB2312" w:eastAsia="仿宋_GB2312"/>
          <w:sz w:val="32"/>
          <w:szCs w:val="32"/>
        </w:rPr>
        <w:br w:type="page"/>
      </w:r>
    </w:p>
    <w:bookmarkEnd w:id="66"/>
    <w:bookmarkEnd w:id="67"/>
    <w:p w14:paraId="02AAA8AE">
      <w:pPr>
        <w:numPr>
          <w:ilvl w:val="0"/>
          <w:numId w:val="3"/>
        </w:numPr>
        <w:bidi w:val="0"/>
        <w:jc w:val="center"/>
        <w:rPr>
          <w:rStyle w:val="28"/>
          <w:rFonts w:ascii="黑体" w:hAnsi="黑体" w:eastAsia="黑体"/>
          <w:b w:val="0"/>
        </w:rPr>
      </w:pPr>
      <w:bookmarkStart w:id="71" w:name="_Toc28586"/>
      <w:bookmarkStart w:id="72" w:name="_Toc5125"/>
      <w:bookmarkStart w:id="73" w:name="_Toc15396614"/>
      <w:bookmarkStart w:id="74" w:name="_Toc15377226"/>
      <w:r>
        <w:rPr>
          <w:rFonts w:hint="eastAsia" w:ascii="黑体" w:hAnsi="黑体" w:eastAsia="黑体"/>
          <w:sz w:val="44"/>
          <w:szCs w:val="44"/>
        </w:rPr>
        <w:t>名</w:t>
      </w:r>
      <w:r>
        <w:rPr>
          <w:rStyle w:val="28"/>
          <w:rFonts w:hint="eastAsia" w:ascii="黑体" w:hAnsi="黑体" w:eastAsia="黑体"/>
          <w:b w:val="0"/>
        </w:rPr>
        <w:t>词解释</w:t>
      </w:r>
      <w:bookmarkEnd w:id="71"/>
      <w:bookmarkEnd w:id="72"/>
    </w:p>
    <w:p w14:paraId="74F95894">
      <w:pPr>
        <w:spacing w:line="600" w:lineRule="exact"/>
        <w:jc w:val="left"/>
        <w:rPr>
          <w:rFonts w:ascii="宋体"/>
          <w:b/>
          <w:sz w:val="44"/>
          <w:szCs w:val="44"/>
        </w:rPr>
      </w:pPr>
    </w:p>
    <w:p w14:paraId="13D052C1">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outlineLvl w:val="1"/>
        <w:rPr>
          <w:rFonts w:ascii="仿宋" w:eastAsia="仿宋"/>
          <w:color w:val="000000"/>
          <w:sz w:val="32"/>
          <w:szCs w:val="32"/>
        </w:rPr>
      </w:pPr>
      <w:bookmarkStart w:id="75" w:name="_Toc24674"/>
      <w:bookmarkStart w:id="76" w:name="_Toc19557"/>
      <w:r>
        <w:rPr>
          <w:rFonts w:hint="eastAsia" w:ascii="仿宋_GB2312" w:eastAsia="仿宋_GB2312"/>
          <w:sz w:val="32"/>
          <w:szCs w:val="32"/>
        </w:rPr>
        <w:t>财政拨款收入：指单位从同级财政</w:t>
      </w:r>
      <w:r>
        <w:rPr>
          <w:rFonts w:hint="eastAsia" w:ascii="仿宋_GB2312" w:eastAsia="仿宋_GB2312"/>
          <w:sz w:val="32"/>
          <w:szCs w:val="32"/>
          <w:lang w:eastAsia="zh-CN"/>
        </w:rPr>
        <w:t>单位</w:t>
      </w:r>
      <w:r>
        <w:rPr>
          <w:rFonts w:hint="eastAsia" w:ascii="仿宋_GB2312" w:eastAsia="仿宋_GB2312"/>
          <w:sz w:val="32"/>
          <w:szCs w:val="32"/>
        </w:rPr>
        <w:t>取得的财政预算资金。</w:t>
      </w:r>
      <w:bookmarkEnd w:id="75"/>
      <w:bookmarkEnd w:id="76"/>
    </w:p>
    <w:p w14:paraId="4C1708C4">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outlineLvl w:val="1"/>
        <w:rPr>
          <w:rFonts w:ascii="仿宋" w:eastAsia="仿宋"/>
          <w:color w:val="000000"/>
          <w:sz w:val="32"/>
          <w:szCs w:val="32"/>
        </w:rPr>
      </w:pPr>
      <w:r>
        <w:rPr>
          <w:rFonts w:hint="eastAsia" w:ascii="仿宋_GB2312" w:eastAsia="仿宋_GB2312"/>
          <w:sz w:val="32"/>
          <w:szCs w:val="32"/>
        </w:rPr>
        <w:t>事业收入：指事业单位开展专业业务活动及辅助活动取得的收入。</w:t>
      </w:r>
    </w:p>
    <w:p w14:paraId="4C364E12">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outlineLvl w:val="1"/>
        <w:rPr>
          <w:rFonts w:hint="eastAsia" w:ascii="仿宋_GB2312" w:eastAsia="仿宋_GB2312"/>
          <w:sz w:val="32"/>
          <w:szCs w:val="32"/>
        </w:rPr>
      </w:pPr>
      <w:r>
        <w:rPr>
          <w:rFonts w:hint="eastAsia" w:ascii="仿宋_GB2312" w:eastAsia="仿宋_GB2312"/>
          <w:sz w:val="32"/>
          <w:szCs w:val="32"/>
        </w:rPr>
        <w:t>经营收入：指事业单位在专业业务活动及其辅助活动之外开展非独立核算经营活动取得的收入</w:t>
      </w:r>
    </w:p>
    <w:p w14:paraId="2FE04FEF">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outlineLvl w:val="1"/>
        <w:rPr>
          <w:rFonts w:hint="eastAsia" w:ascii="仿宋_GB2312" w:eastAsia="仿宋_GB2312"/>
          <w:sz w:val="32"/>
          <w:szCs w:val="32"/>
        </w:rPr>
      </w:pPr>
      <w:bookmarkStart w:id="77" w:name="_Toc24511"/>
      <w:bookmarkStart w:id="78" w:name="_Toc24700"/>
      <w:r>
        <w:rPr>
          <w:rFonts w:hint="eastAsia" w:ascii="仿宋_GB2312" w:eastAsia="仿宋_GB2312"/>
          <w:sz w:val="32"/>
          <w:szCs w:val="32"/>
        </w:rPr>
        <w:t>其他收入：指单位取得的除上述收入以外的各项收入。</w:t>
      </w:r>
      <w:bookmarkEnd w:id="77"/>
      <w:bookmarkEnd w:id="78"/>
    </w:p>
    <w:p w14:paraId="03F2EB96">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
          <w:color w:val="000000"/>
          <w:sz w:val="32"/>
          <w:szCs w:val="32"/>
        </w:rPr>
      </w:pP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 w:eastAsia="仿宋"/>
          <w:color w:val="000000"/>
          <w:sz w:val="32"/>
          <w:szCs w:val="32"/>
        </w:rPr>
        <w:t xml:space="preserve"> </w:t>
      </w:r>
    </w:p>
    <w:p w14:paraId="191A8CF1">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年初结转和结余：指以前年度尚未完成、结转到本年按有关规定继续使用的资金。 </w:t>
      </w:r>
    </w:p>
    <w:p w14:paraId="4C1A7C97">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hint="eastAsia" w:ascii="仿宋_GB2312" w:eastAsia="仿宋_GB2312"/>
          <w:sz w:val="32"/>
          <w:szCs w:val="32"/>
        </w:rPr>
      </w:pPr>
      <w:r>
        <w:rPr>
          <w:rFonts w:hint="eastAsia" w:ascii="仿宋_GB2312" w:eastAsia="仿宋_GB2312"/>
          <w:sz w:val="32"/>
          <w:szCs w:val="32"/>
        </w:rPr>
        <w:t>结余分配：指事业单位按照事业单位会计制度的规定从非财政补助结余中分配的事业基金和职工福利基金等。</w:t>
      </w:r>
    </w:p>
    <w:p w14:paraId="1D85CBDC">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hint="eastAsia" w:ascii="仿宋_GB2312" w:eastAsia="仿宋_GB2312"/>
          <w:sz w:val="32"/>
          <w:szCs w:val="32"/>
        </w:rPr>
      </w:pPr>
      <w:r>
        <w:rPr>
          <w:rFonts w:hint="eastAsia" w:ascii="仿宋_GB2312" w:eastAsia="仿宋_GB2312"/>
          <w:sz w:val="32"/>
          <w:szCs w:val="32"/>
        </w:rPr>
        <w:t>年末结转和结余：指单位按有关规定结转到下年或以后年度继续使用的资金。</w:t>
      </w:r>
    </w:p>
    <w:p w14:paraId="6A328699">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hint="eastAsia" w:ascii="仿宋_GB2312" w:eastAsia="仿宋_GB2312"/>
          <w:sz w:val="32"/>
          <w:szCs w:val="32"/>
        </w:rPr>
      </w:pPr>
      <w:r>
        <w:rPr>
          <w:rFonts w:hint="eastAsia" w:ascii="仿宋_GB2312" w:eastAsia="仿宋_GB2312"/>
          <w:sz w:val="32"/>
          <w:szCs w:val="32"/>
        </w:rPr>
        <w:t>社会保障和就业支出（</w:t>
      </w:r>
      <w:r>
        <w:rPr>
          <w:rFonts w:hint="eastAsia" w:ascii="仿宋_GB2312" w:eastAsia="仿宋_GB2312"/>
          <w:color w:val="auto"/>
          <w:sz w:val="32"/>
          <w:szCs w:val="32"/>
          <w:highlight w:val="none"/>
        </w:rPr>
        <w:t>类</w:t>
      </w:r>
      <w:r>
        <w:rPr>
          <w:rFonts w:hint="eastAsia" w:ascii="仿宋_GB2312" w:eastAsia="仿宋_GB2312"/>
          <w:sz w:val="32"/>
          <w:szCs w:val="32"/>
        </w:rPr>
        <w:t>）行政事业单位养老支出（</w:t>
      </w:r>
      <w:r>
        <w:rPr>
          <w:rFonts w:hint="eastAsia" w:ascii="仿宋_GB2312" w:eastAsia="仿宋_GB2312"/>
          <w:color w:val="auto"/>
          <w:sz w:val="32"/>
          <w:szCs w:val="32"/>
          <w:highlight w:val="none"/>
        </w:rPr>
        <w:t>款</w:t>
      </w:r>
      <w:r>
        <w:rPr>
          <w:rFonts w:hint="eastAsia" w:ascii="仿宋_GB2312" w:eastAsia="仿宋_GB2312"/>
          <w:sz w:val="32"/>
          <w:szCs w:val="32"/>
        </w:rPr>
        <w:t>）机关事业单位基本养老保险缴费支出（</w:t>
      </w:r>
      <w:r>
        <w:rPr>
          <w:rFonts w:hint="eastAsia" w:ascii="仿宋_GB2312" w:eastAsia="仿宋_GB2312"/>
          <w:color w:val="auto"/>
          <w:sz w:val="32"/>
          <w:szCs w:val="32"/>
          <w:highlight w:val="none"/>
        </w:rPr>
        <w:t>项</w:t>
      </w:r>
      <w:r>
        <w:rPr>
          <w:rFonts w:hint="eastAsia" w:ascii="仿宋_GB2312" w:eastAsia="仿宋_GB2312"/>
          <w:sz w:val="32"/>
          <w:szCs w:val="32"/>
        </w:rPr>
        <w:t>）：反映机关事业单位实施养老保险制度由单位缴纳的基本养老保险费支出。</w:t>
      </w:r>
    </w:p>
    <w:p w14:paraId="4D3B765B">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hint="eastAsia" w:ascii="仿宋_GB2312" w:eastAsia="仿宋_GB2312"/>
          <w:sz w:val="32"/>
          <w:szCs w:val="32"/>
        </w:rPr>
      </w:pPr>
      <w:r>
        <w:rPr>
          <w:rFonts w:hint="eastAsia" w:ascii="仿宋_GB2312" w:eastAsia="仿宋_GB2312"/>
          <w:sz w:val="32"/>
          <w:szCs w:val="32"/>
        </w:rPr>
        <w:t>社会保障和就业支出（</w:t>
      </w:r>
      <w:r>
        <w:rPr>
          <w:rFonts w:hint="eastAsia" w:ascii="仿宋_GB2312" w:eastAsia="仿宋_GB2312"/>
          <w:color w:val="auto"/>
          <w:sz w:val="32"/>
          <w:szCs w:val="32"/>
          <w:highlight w:val="none"/>
        </w:rPr>
        <w:t>类</w:t>
      </w:r>
      <w:r>
        <w:rPr>
          <w:rFonts w:hint="eastAsia" w:ascii="仿宋_GB2312" w:eastAsia="仿宋_GB2312"/>
          <w:sz w:val="32"/>
          <w:szCs w:val="32"/>
        </w:rPr>
        <w:t>）行政事业单位养老支出（</w:t>
      </w:r>
      <w:r>
        <w:rPr>
          <w:rFonts w:hint="eastAsia" w:ascii="仿宋_GB2312" w:eastAsia="仿宋_GB2312"/>
          <w:color w:val="auto"/>
          <w:sz w:val="32"/>
          <w:szCs w:val="32"/>
          <w:highlight w:val="none"/>
        </w:rPr>
        <w:t>款</w:t>
      </w:r>
      <w:r>
        <w:rPr>
          <w:rFonts w:hint="eastAsia" w:ascii="仿宋_GB2312" w:eastAsia="仿宋_GB2312"/>
          <w:sz w:val="32"/>
          <w:szCs w:val="32"/>
        </w:rPr>
        <w:t>）机关事业单位职业年金缴费支出（</w:t>
      </w:r>
      <w:r>
        <w:rPr>
          <w:rFonts w:hint="eastAsia" w:ascii="仿宋_GB2312" w:eastAsia="仿宋_GB2312"/>
          <w:color w:val="auto"/>
          <w:sz w:val="32"/>
          <w:szCs w:val="32"/>
          <w:highlight w:val="none"/>
        </w:rPr>
        <w:t>项</w:t>
      </w:r>
      <w:r>
        <w:rPr>
          <w:rFonts w:hint="eastAsia" w:ascii="仿宋_GB2312" w:eastAsia="仿宋_GB2312"/>
          <w:sz w:val="32"/>
          <w:szCs w:val="32"/>
        </w:rPr>
        <w:t>）：反映机关事业单位实施养老保险制度由单位实际缴纳的职业年金支出。</w:t>
      </w:r>
    </w:p>
    <w:p w14:paraId="411B5A96">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hint="eastAsia" w:ascii="仿宋_GB2312" w:eastAsia="仿宋_GB2312"/>
          <w:sz w:val="32"/>
          <w:szCs w:val="32"/>
        </w:rPr>
      </w:pPr>
      <w:r>
        <w:rPr>
          <w:rFonts w:hint="eastAsia" w:ascii="仿宋_GB2312" w:eastAsia="仿宋_GB2312"/>
          <w:sz w:val="32"/>
          <w:szCs w:val="32"/>
        </w:rPr>
        <w:t>卫生健康支出（</w:t>
      </w:r>
      <w:r>
        <w:rPr>
          <w:rFonts w:hint="eastAsia" w:ascii="仿宋_GB2312" w:eastAsia="仿宋_GB2312"/>
          <w:color w:val="auto"/>
          <w:sz w:val="32"/>
          <w:szCs w:val="32"/>
          <w:highlight w:val="none"/>
        </w:rPr>
        <w:t>类</w:t>
      </w:r>
      <w:r>
        <w:rPr>
          <w:rFonts w:hint="eastAsia" w:ascii="仿宋_GB2312" w:eastAsia="仿宋_GB2312"/>
          <w:sz w:val="32"/>
          <w:szCs w:val="32"/>
        </w:rPr>
        <w:t>）基层医疗卫生机构（</w:t>
      </w:r>
      <w:r>
        <w:rPr>
          <w:rFonts w:hint="eastAsia" w:ascii="仿宋_GB2312" w:eastAsia="仿宋_GB2312"/>
          <w:color w:val="auto"/>
          <w:sz w:val="32"/>
          <w:szCs w:val="32"/>
          <w:highlight w:val="none"/>
        </w:rPr>
        <w:t>款</w:t>
      </w:r>
      <w:r>
        <w:rPr>
          <w:rFonts w:hint="eastAsia" w:ascii="仿宋_GB2312" w:eastAsia="仿宋_GB2312"/>
          <w:sz w:val="32"/>
          <w:szCs w:val="32"/>
        </w:rPr>
        <w:t>）乡镇卫生院（</w:t>
      </w:r>
      <w:r>
        <w:rPr>
          <w:rFonts w:hint="eastAsia" w:ascii="仿宋_GB2312" w:eastAsia="仿宋_GB2312"/>
          <w:color w:val="auto"/>
          <w:sz w:val="32"/>
          <w:szCs w:val="32"/>
          <w:highlight w:val="none"/>
        </w:rPr>
        <w:t>项</w:t>
      </w:r>
      <w:r>
        <w:rPr>
          <w:rFonts w:hint="eastAsia" w:ascii="仿宋_GB2312" w:eastAsia="仿宋_GB2312"/>
          <w:sz w:val="32"/>
          <w:szCs w:val="32"/>
        </w:rPr>
        <w:t>）：反映用于乡镇卫生院的支出。</w:t>
      </w:r>
    </w:p>
    <w:p w14:paraId="13D58657">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
          <w:color w:val="000000"/>
          <w:sz w:val="32"/>
          <w:szCs w:val="32"/>
        </w:rPr>
      </w:pPr>
      <w:r>
        <w:rPr>
          <w:rFonts w:hint="eastAsia" w:ascii="仿宋_GB2312" w:eastAsia="仿宋_GB2312"/>
          <w:sz w:val="32"/>
          <w:szCs w:val="32"/>
        </w:rPr>
        <w:t>卫生健康支出（</w:t>
      </w:r>
      <w:r>
        <w:rPr>
          <w:rFonts w:hint="eastAsia" w:ascii="仿宋_GB2312" w:eastAsia="仿宋_GB2312"/>
          <w:color w:val="auto"/>
          <w:sz w:val="32"/>
          <w:szCs w:val="32"/>
          <w:highlight w:val="none"/>
        </w:rPr>
        <w:t>类</w:t>
      </w:r>
      <w:r>
        <w:rPr>
          <w:rFonts w:hint="eastAsia" w:ascii="仿宋_GB2312" w:eastAsia="仿宋_GB2312"/>
          <w:sz w:val="32"/>
          <w:szCs w:val="32"/>
        </w:rPr>
        <w:t>）基层医疗卫生机构（</w:t>
      </w:r>
      <w:r>
        <w:rPr>
          <w:rFonts w:hint="eastAsia" w:ascii="仿宋_GB2312" w:eastAsia="仿宋_GB2312"/>
          <w:color w:val="auto"/>
          <w:sz w:val="32"/>
          <w:szCs w:val="32"/>
          <w:highlight w:val="none"/>
        </w:rPr>
        <w:t>款</w:t>
      </w:r>
      <w:r>
        <w:rPr>
          <w:rFonts w:hint="eastAsia" w:ascii="仿宋_GB2312" w:eastAsia="仿宋_GB2312"/>
          <w:sz w:val="32"/>
          <w:szCs w:val="32"/>
        </w:rPr>
        <w:t>）其他基层医疗卫生机构支出（</w:t>
      </w:r>
      <w:r>
        <w:rPr>
          <w:rFonts w:hint="eastAsia" w:ascii="仿宋_GB2312" w:eastAsia="仿宋_GB2312"/>
          <w:color w:val="auto"/>
          <w:sz w:val="32"/>
          <w:szCs w:val="32"/>
          <w:highlight w:val="none"/>
        </w:rPr>
        <w:t>项</w:t>
      </w:r>
      <w:r>
        <w:rPr>
          <w:rFonts w:hint="eastAsia" w:ascii="仿宋_GB2312" w:eastAsia="仿宋_GB2312"/>
          <w:sz w:val="32"/>
          <w:szCs w:val="32"/>
        </w:rPr>
        <w:t>）：反映除上述项目以外的其他用于基层医疗卫生机构的支出。</w:t>
      </w:r>
    </w:p>
    <w:p w14:paraId="46155B50">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
          <w:color w:val="000000"/>
          <w:sz w:val="32"/>
          <w:szCs w:val="32"/>
        </w:rPr>
      </w:pPr>
      <w:r>
        <w:rPr>
          <w:rFonts w:hint="eastAsia" w:ascii="仿宋_GB2312" w:eastAsia="仿宋_GB2312"/>
          <w:sz w:val="32"/>
          <w:szCs w:val="32"/>
        </w:rPr>
        <w:t>卫生健康支出（</w:t>
      </w:r>
      <w:r>
        <w:rPr>
          <w:rFonts w:hint="eastAsia" w:ascii="仿宋_GB2312" w:eastAsia="仿宋_GB2312"/>
          <w:color w:val="auto"/>
          <w:sz w:val="32"/>
          <w:szCs w:val="32"/>
          <w:highlight w:val="none"/>
        </w:rPr>
        <w:t>类</w:t>
      </w:r>
      <w:r>
        <w:rPr>
          <w:rFonts w:hint="eastAsia" w:ascii="仿宋_GB2312" w:eastAsia="仿宋_GB2312"/>
          <w:sz w:val="32"/>
          <w:szCs w:val="32"/>
        </w:rPr>
        <w:t>）公共卫生（</w:t>
      </w:r>
      <w:r>
        <w:rPr>
          <w:rFonts w:hint="eastAsia" w:ascii="仿宋_GB2312" w:eastAsia="仿宋_GB2312"/>
          <w:color w:val="auto"/>
          <w:sz w:val="32"/>
          <w:szCs w:val="32"/>
          <w:highlight w:val="none"/>
        </w:rPr>
        <w:t>款</w:t>
      </w:r>
      <w:r>
        <w:rPr>
          <w:rFonts w:hint="eastAsia" w:ascii="仿宋_GB2312" w:eastAsia="仿宋_GB2312"/>
          <w:sz w:val="32"/>
          <w:szCs w:val="32"/>
        </w:rPr>
        <w:t>）基本公共卫生服务（</w:t>
      </w:r>
      <w:r>
        <w:rPr>
          <w:rFonts w:hint="eastAsia" w:ascii="仿宋_GB2312" w:eastAsia="仿宋_GB2312"/>
          <w:color w:val="auto"/>
          <w:sz w:val="32"/>
          <w:szCs w:val="32"/>
          <w:highlight w:val="none"/>
        </w:rPr>
        <w:t>项</w:t>
      </w:r>
      <w:r>
        <w:rPr>
          <w:rFonts w:hint="eastAsia" w:ascii="仿宋_GB2312" w:eastAsia="仿宋_GB2312"/>
          <w:sz w:val="32"/>
          <w:szCs w:val="32"/>
        </w:rPr>
        <w:t>）：反映基本公共卫生服务支出。</w:t>
      </w:r>
    </w:p>
    <w:p w14:paraId="7BC3961E">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hint="eastAsia" w:ascii="仿宋_GB2312" w:eastAsia="仿宋_GB2312"/>
          <w:sz w:val="32"/>
          <w:szCs w:val="32"/>
        </w:rPr>
      </w:pPr>
      <w:r>
        <w:rPr>
          <w:rFonts w:hint="eastAsia" w:ascii="仿宋_GB2312" w:eastAsia="仿宋_GB2312"/>
          <w:sz w:val="32"/>
          <w:szCs w:val="32"/>
        </w:rPr>
        <w:t>卫生健康支出（</w:t>
      </w:r>
      <w:r>
        <w:rPr>
          <w:rFonts w:hint="eastAsia" w:ascii="仿宋_GB2312" w:eastAsia="仿宋_GB2312"/>
          <w:color w:val="auto"/>
          <w:sz w:val="32"/>
          <w:szCs w:val="32"/>
          <w:highlight w:val="none"/>
        </w:rPr>
        <w:t>类</w:t>
      </w:r>
      <w:r>
        <w:rPr>
          <w:rFonts w:hint="eastAsia" w:ascii="仿宋_GB2312" w:eastAsia="仿宋_GB2312"/>
          <w:sz w:val="32"/>
          <w:szCs w:val="32"/>
        </w:rPr>
        <w:t>）行政事业单位医疗（</w:t>
      </w:r>
      <w:r>
        <w:rPr>
          <w:rFonts w:hint="eastAsia" w:ascii="仿宋_GB2312" w:eastAsia="仿宋_GB2312"/>
          <w:color w:val="auto"/>
          <w:sz w:val="32"/>
          <w:szCs w:val="32"/>
          <w:highlight w:val="none"/>
        </w:rPr>
        <w:t>款</w:t>
      </w:r>
      <w:r>
        <w:rPr>
          <w:rFonts w:hint="eastAsia" w:ascii="仿宋_GB2312" w:eastAsia="仿宋_GB2312"/>
          <w:sz w:val="32"/>
          <w:szCs w:val="32"/>
        </w:rPr>
        <w:t>）事业单位医疗（</w:t>
      </w:r>
      <w:r>
        <w:rPr>
          <w:rFonts w:hint="eastAsia" w:ascii="仿宋_GB2312" w:eastAsia="仿宋_GB2312"/>
          <w:color w:val="auto"/>
          <w:sz w:val="32"/>
          <w:szCs w:val="32"/>
          <w:highlight w:val="none"/>
        </w:rPr>
        <w:t>项</w:t>
      </w:r>
      <w:r>
        <w:rPr>
          <w:rFonts w:hint="eastAsia" w:ascii="仿宋_GB2312" w:eastAsia="仿宋_GB2312"/>
          <w:sz w:val="32"/>
          <w:szCs w:val="32"/>
        </w:rPr>
        <w:t>）：反映财政</w:t>
      </w:r>
      <w:r>
        <w:rPr>
          <w:rFonts w:hint="eastAsia" w:ascii="仿宋_GB2312" w:eastAsia="仿宋_GB2312"/>
          <w:sz w:val="32"/>
          <w:szCs w:val="32"/>
          <w:lang w:eastAsia="zh-CN"/>
        </w:rPr>
        <w:t>单位</w:t>
      </w:r>
      <w:r>
        <w:rPr>
          <w:rFonts w:hint="eastAsia" w:ascii="仿宋_GB2312" w:eastAsia="仿宋_GB2312"/>
          <w:sz w:val="32"/>
          <w:szCs w:val="32"/>
        </w:rPr>
        <w:t>安排的事业单位基本医疗保险缴费经费，未参加医疗保险的事业单位的公费医疗经费，按国家规定享受离休人员待遇的医疗经费。</w:t>
      </w:r>
    </w:p>
    <w:p w14:paraId="363C7BF5">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ascii="仿宋" w:eastAsia="仿宋"/>
          <w:color w:val="000000"/>
          <w:sz w:val="32"/>
          <w:szCs w:val="32"/>
        </w:rPr>
      </w:pPr>
      <w:r>
        <w:rPr>
          <w:rFonts w:hint="eastAsia" w:ascii="仿宋_GB2312" w:eastAsia="仿宋_GB2312"/>
          <w:sz w:val="32"/>
          <w:szCs w:val="32"/>
        </w:rPr>
        <w:t>住房保障支出（</w:t>
      </w:r>
      <w:r>
        <w:rPr>
          <w:rFonts w:hint="eastAsia" w:ascii="仿宋_GB2312" w:eastAsia="仿宋_GB2312"/>
          <w:color w:val="auto"/>
          <w:sz w:val="32"/>
          <w:szCs w:val="32"/>
          <w:highlight w:val="none"/>
        </w:rPr>
        <w:t>类</w:t>
      </w:r>
      <w:r>
        <w:rPr>
          <w:rFonts w:hint="eastAsia" w:ascii="仿宋_GB2312" w:eastAsia="仿宋_GB2312"/>
          <w:sz w:val="32"/>
          <w:szCs w:val="32"/>
        </w:rPr>
        <w:t>）住房改革支出（</w:t>
      </w:r>
      <w:r>
        <w:rPr>
          <w:rFonts w:hint="eastAsia" w:ascii="仿宋_GB2312" w:eastAsia="仿宋_GB2312"/>
          <w:color w:val="auto"/>
          <w:sz w:val="32"/>
          <w:szCs w:val="32"/>
          <w:highlight w:val="none"/>
        </w:rPr>
        <w:t>款</w:t>
      </w:r>
      <w:r>
        <w:rPr>
          <w:rFonts w:hint="eastAsia" w:ascii="仿宋_GB2312" w:eastAsia="仿宋_GB2312"/>
          <w:sz w:val="32"/>
          <w:szCs w:val="32"/>
        </w:rPr>
        <w:t>）住房公积金（</w:t>
      </w:r>
      <w:r>
        <w:rPr>
          <w:rFonts w:hint="eastAsia" w:ascii="仿宋_GB2312" w:eastAsia="仿宋_GB2312"/>
          <w:color w:val="auto"/>
          <w:sz w:val="32"/>
          <w:szCs w:val="32"/>
          <w:highlight w:val="none"/>
        </w:rPr>
        <w:t>项</w:t>
      </w:r>
      <w:r>
        <w:rPr>
          <w:rFonts w:hint="eastAsia" w:ascii="仿宋_GB2312" w:eastAsia="仿宋_GB2312"/>
          <w:sz w:val="32"/>
          <w:szCs w:val="32"/>
        </w:rPr>
        <w:t>）：反映行政事业单位按人力资源和社会保障部、财政部规定的基本工资和津贴补贴以及规定比例为职工缴纳的住房公积金。</w:t>
      </w:r>
    </w:p>
    <w:p w14:paraId="5BF0346D">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firstLine="640" w:firstLineChars="200"/>
        <w:textAlignment w:val="auto"/>
        <w:rPr>
          <w:rFonts w:hint="eastAsia" w:ascii="仿宋_GB2312" w:eastAsia="仿宋_GB2312"/>
          <w:sz w:val="32"/>
          <w:szCs w:val="32"/>
        </w:rPr>
      </w:pPr>
      <w:r>
        <w:rPr>
          <w:rFonts w:hint="eastAsia" w:ascii="仿宋_GB2312" w:eastAsia="仿宋_GB2312"/>
          <w:sz w:val="32"/>
          <w:szCs w:val="32"/>
        </w:rPr>
        <w:t>基本支出：指为保障机构正常运转、完成日常工作任务而发生的人员支出和公用支出。</w:t>
      </w:r>
    </w:p>
    <w:bookmarkEnd w:id="73"/>
    <w:p w14:paraId="19B688E8">
      <w:pPr>
        <w:spacing w:line="600" w:lineRule="exact"/>
        <w:ind w:firstLine="2640" w:firstLineChars="600"/>
        <w:jc w:val="both"/>
        <w:outlineLvl w:val="0"/>
        <w:rPr>
          <w:rFonts w:hint="eastAsia" w:ascii="黑体" w:hAnsi="黑体" w:eastAsia="黑体"/>
          <w:sz w:val="44"/>
          <w:szCs w:val="44"/>
        </w:rPr>
      </w:pPr>
      <w:bookmarkStart w:id="79" w:name="_Toc22216"/>
      <w:bookmarkStart w:id="80" w:name="_Toc24624"/>
      <w:bookmarkStart w:id="81" w:name="_Toc15396618"/>
    </w:p>
    <w:p w14:paraId="1DEF25F5">
      <w:pPr>
        <w:spacing w:line="600" w:lineRule="exact"/>
        <w:ind w:firstLine="2640" w:firstLineChars="600"/>
        <w:jc w:val="both"/>
        <w:outlineLvl w:val="0"/>
        <w:rPr>
          <w:rFonts w:hint="eastAsia" w:ascii="黑体" w:hAnsi="黑体" w:eastAsia="黑体"/>
          <w:sz w:val="44"/>
          <w:szCs w:val="44"/>
        </w:rPr>
      </w:pPr>
    </w:p>
    <w:p w14:paraId="65CF75B6">
      <w:pPr>
        <w:spacing w:line="600" w:lineRule="exact"/>
        <w:ind w:firstLine="2640" w:firstLineChars="600"/>
        <w:jc w:val="both"/>
        <w:outlineLvl w:val="0"/>
        <w:rPr>
          <w:rFonts w:hint="eastAsia" w:ascii="黑体" w:hAnsi="黑体" w:eastAsia="黑体"/>
          <w:sz w:val="44"/>
          <w:szCs w:val="44"/>
        </w:rPr>
      </w:pPr>
    </w:p>
    <w:p w14:paraId="00D1B82E">
      <w:pPr>
        <w:spacing w:line="600" w:lineRule="exact"/>
        <w:ind w:firstLine="2640" w:firstLineChars="600"/>
        <w:jc w:val="both"/>
        <w:outlineLvl w:val="0"/>
        <w:rPr>
          <w:rStyle w:val="28"/>
          <w:rFonts w:ascii="黑体" w:hAnsi="黑体" w:eastAsia="黑体"/>
          <w:b w:val="0"/>
        </w:rPr>
      </w:pPr>
      <w:r>
        <w:rPr>
          <w:rFonts w:hint="eastAsia" w:ascii="黑体" w:hAnsi="黑体" w:eastAsia="黑体"/>
          <w:sz w:val="44"/>
          <w:szCs w:val="44"/>
        </w:rPr>
        <w:t>第</w:t>
      </w:r>
      <w:r>
        <w:rPr>
          <w:rStyle w:val="28"/>
          <w:rFonts w:hint="eastAsia" w:ascii="黑体" w:hAnsi="黑体" w:eastAsia="黑体"/>
          <w:b w:val="0"/>
        </w:rPr>
        <w:t>四部分 附件</w:t>
      </w:r>
      <w:bookmarkEnd w:id="79"/>
      <w:bookmarkEnd w:id="80"/>
    </w:p>
    <w:tbl>
      <w:tblPr>
        <w:tblStyle w:val="15"/>
        <w:tblpPr w:leftFromText="180" w:rightFromText="180" w:vertAnchor="text" w:horzAnchor="page" w:tblpX="1072" w:tblpY="710"/>
        <w:tblOverlap w:val="never"/>
        <w:tblW w:w="103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1229"/>
        <w:gridCol w:w="1219"/>
        <w:gridCol w:w="1561"/>
        <w:gridCol w:w="503"/>
        <w:gridCol w:w="1083"/>
        <w:gridCol w:w="455"/>
        <w:gridCol w:w="1053"/>
        <w:gridCol w:w="756"/>
        <w:gridCol w:w="756"/>
        <w:gridCol w:w="1038"/>
      </w:tblGrid>
      <w:tr w14:paraId="00E79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03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E27EC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EDF1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96F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4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4344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基层医疗卫生机构实施基本药物制度项目</w:t>
            </w:r>
          </w:p>
        </w:tc>
      </w:tr>
      <w:tr w14:paraId="5A510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E57E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8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C94C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茂县卫生健康局</w:t>
            </w:r>
          </w:p>
        </w:tc>
        <w:tc>
          <w:tcPr>
            <w:tcW w:w="1053" w:type="dxa"/>
            <w:tcBorders>
              <w:top w:val="nil"/>
              <w:left w:val="nil"/>
              <w:bottom w:val="nil"/>
              <w:right w:val="nil"/>
            </w:tcBorders>
            <w:shd w:val="clear" w:color="auto" w:fill="auto"/>
            <w:vAlign w:val="center"/>
          </w:tcPr>
          <w:p w14:paraId="422F9AF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15"/>
              <w:tblW w:w="226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66"/>
            </w:tblGrid>
            <w:tr w14:paraId="3252A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E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茂县凤仪镇社区                    卫生服务中心</w:t>
                  </w:r>
                </w:p>
              </w:tc>
            </w:tr>
          </w:tbl>
          <w:p w14:paraId="1AB8EBE2">
            <w:pPr>
              <w:keepNext w:val="0"/>
              <w:keepLines w:val="0"/>
              <w:widowControl/>
              <w:suppressLineNumbers w:val="0"/>
              <w:jc w:val="center"/>
              <w:textAlignment w:val="center"/>
              <w:rPr>
                <w:rFonts w:ascii="宋体" w:hAnsi="宋体" w:eastAsia="宋体" w:cs="宋体"/>
                <w:i w:val="0"/>
                <w:iCs w:val="0"/>
                <w:color w:val="000000"/>
                <w:sz w:val="18"/>
                <w:szCs w:val="18"/>
                <w:u w:val="none"/>
              </w:rPr>
            </w:pPr>
          </w:p>
        </w:tc>
      </w:tr>
      <w:tr w14:paraId="51442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6B56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9FC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8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B22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C4256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5546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1834C">
            <w:pPr>
              <w:rPr>
                <w:rFonts w:hint="eastAsia" w:ascii="宋体" w:hAnsi="宋体" w:eastAsia="宋体" w:cs="宋体"/>
                <w:i w:val="0"/>
                <w:iCs w:val="0"/>
                <w:color w:val="000000"/>
                <w:sz w:val="18"/>
                <w:szCs w:val="18"/>
                <w:u w:val="none"/>
              </w:rPr>
            </w:pPr>
          </w:p>
        </w:tc>
        <w:tc>
          <w:tcPr>
            <w:tcW w:w="12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4AEC2">
            <w:pPr>
              <w:rPr>
                <w:rFonts w:hint="eastAsia" w:ascii="宋体" w:hAnsi="宋体" w:eastAsia="宋体" w:cs="宋体"/>
                <w:i w:val="0"/>
                <w:iCs w:val="0"/>
                <w:color w:val="000000"/>
                <w:sz w:val="18"/>
                <w:szCs w:val="18"/>
                <w:u w:val="none"/>
              </w:rPr>
            </w:pPr>
          </w:p>
        </w:tc>
        <w:tc>
          <w:tcPr>
            <w:tcW w:w="48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1A0F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6"/>
                <w:szCs w:val="16"/>
                <w:u w:val="none"/>
                <w:lang w:val="en-US" w:eastAsia="zh-CN" w:bidi="ar"/>
              </w:rPr>
              <w:t>　</w:t>
            </w:r>
            <w:r>
              <w:rPr>
                <w:rFonts w:hint="eastAsia" w:ascii="宋体" w:hAnsi="宋体" w:eastAsia="宋体" w:cs="宋体"/>
                <w:i w:val="0"/>
                <w:iCs w:val="0"/>
                <w:color w:val="000000"/>
                <w:kern w:val="0"/>
                <w:sz w:val="16"/>
                <w:szCs w:val="16"/>
                <w:u w:val="none"/>
                <w:lang w:val="en-US" w:eastAsia="zh-CN" w:bidi="ar"/>
              </w:rPr>
              <w:t>建立健全基层医疗卫生机构基本药物制度和落实多渠道基药补偿,让广大农牧民群众因病致贫、因病返贫、看病难、看病贵的问题得到有效缓解。</w:t>
            </w:r>
          </w:p>
        </w:tc>
        <w:tc>
          <w:tcPr>
            <w:tcW w:w="36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5EB3D6">
            <w:pPr>
              <w:keepNext w:val="0"/>
              <w:keepLines w:val="0"/>
              <w:widowControl/>
              <w:suppressLineNumbers w:val="0"/>
              <w:jc w:val="left"/>
              <w:textAlignment w:val="center"/>
              <w:rPr>
                <w:rFonts w:hint="eastAsia" w:ascii="黑体" w:hAnsi="黑体" w:eastAsia="黑体" w:cs="黑体"/>
                <w:i w:val="0"/>
                <w:iCs w:val="0"/>
                <w:color w:val="000000"/>
                <w:sz w:val="12"/>
                <w:szCs w:val="12"/>
                <w:u w:val="none"/>
              </w:rPr>
            </w:pPr>
            <w:r>
              <w:rPr>
                <w:rFonts w:hint="eastAsia" w:ascii="宋体" w:hAnsi="宋体" w:eastAsia="宋体" w:cs="宋体"/>
                <w:i w:val="0"/>
                <w:iCs w:val="0"/>
                <w:color w:val="000000"/>
                <w:kern w:val="0"/>
                <w:sz w:val="16"/>
                <w:szCs w:val="16"/>
                <w:u w:val="none"/>
                <w:lang w:val="en-US" w:eastAsia="zh-CN" w:bidi="ar"/>
              </w:rPr>
              <w:t>通过该项目的实施，切实缓解了广大农牧民群众“因病致贫”“因病返贫”看病难、看病贵问题，减轻了广大农牧民就医经济负担，得到了实实在在的好处。</w:t>
            </w:r>
          </w:p>
        </w:tc>
      </w:tr>
      <w:tr w14:paraId="26D87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E9813">
            <w:pP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EE4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4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F300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取消药品加成项目,有效缓解了全县农民群众因病致贫、因病返贫、看病难、看病贵的问题，全面提升了广大农民的健康水平缩小城乡之间的差距。</w:t>
            </w:r>
          </w:p>
        </w:tc>
      </w:tr>
      <w:tr w14:paraId="397E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86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3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44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B0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0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D8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3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9D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B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1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EAE0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729E4">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5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E2D7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13.26</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33BF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53.49</w:t>
            </w:r>
          </w:p>
        </w:tc>
        <w:tc>
          <w:tcPr>
            <w:tcW w:w="20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2745B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53.49</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5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982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8FA1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w:t>
            </w:r>
          </w:p>
        </w:tc>
        <w:tc>
          <w:tcPr>
            <w:tcW w:w="10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4D783">
            <w:pPr>
              <w:keepNext w:val="0"/>
              <w:keepLines w:val="0"/>
              <w:widowControl/>
              <w:suppressLineNumbers w:val="0"/>
              <w:jc w:val="left"/>
              <w:textAlignment w:val="center"/>
              <w:rPr>
                <w:rFonts w:hint="eastAsia" w:ascii="黑体" w:hAnsi="黑体" w:eastAsia="黑体" w:cs="黑体"/>
                <w:i/>
                <w:iCs/>
                <w:color w:val="000000"/>
                <w:sz w:val="12"/>
                <w:szCs w:val="12"/>
                <w:u w:val="none"/>
              </w:rPr>
            </w:pPr>
          </w:p>
        </w:tc>
      </w:tr>
      <w:tr w14:paraId="047E8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8BA9A">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3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366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13.26</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CAC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53.49</w:t>
            </w:r>
          </w:p>
        </w:tc>
        <w:tc>
          <w:tcPr>
            <w:tcW w:w="20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4A5C8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53.49</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2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EBE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E6FC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w:t>
            </w:r>
          </w:p>
        </w:tc>
        <w:tc>
          <w:tcPr>
            <w:tcW w:w="1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2A3A7">
            <w:pPr>
              <w:rPr>
                <w:rFonts w:hint="eastAsia" w:ascii="黑体" w:hAnsi="黑体" w:eastAsia="黑体" w:cs="黑体"/>
                <w:i/>
                <w:iCs/>
                <w:color w:val="000000"/>
                <w:sz w:val="12"/>
                <w:szCs w:val="12"/>
                <w:u w:val="none"/>
              </w:rPr>
            </w:pPr>
          </w:p>
        </w:tc>
      </w:tr>
      <w:tr w14:paraId="71383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C067F">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3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3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887E">
            <w:pPr>
              <w:jc w:val="center"/>
              <w:rPr>
                <w:rFonts w:hint="eastAsia" w:ascii="宋体" w:hAnsi="宋体" w:eastAsia="宋体" w:cs="宋体"/>
                <w:i w:val="0"/>
                <w:iCs w:val="0"/>
                <w:color w:val="000000"/>
                <w:sz w:val="18"/>
                <w:szCs w:val="18"/>
                <w:u w:val="none"/>
              </w:rPr>
            </w:pPr>
          </w:p>
        </w:tc>
        <w:tc>
          <w:tcPr>
            <w:tcW w:w="20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6BE1D3">
            <w:pPr>
              <w:jc w:val="cente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E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F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30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66D8D">
            <w:pPr>
              <w:rPr>
                <w:rFonts w:hint="eastAsia" w:ascii="黑体" w:hAnsi="黑体" w:eastAsia="黑体" w:cs="黑体"/>
                <w:i/>
                <w:iCs/>
                <w:color w:val="000000"/>
                <w:sz w:val="12"/>
                <w:szCs w:val="12"/>
                <w:u w:val="none"/>
              </w:rPr>
            </w:pPr>
          </w:p>
        </w:tc>
      </w:tr>
      <w:tr w14:paraId="784EE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4D392">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F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E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E8DA">
            <w:pPr>
              <w:jc w:val="center"/>
              <w:rPr>
                <w:rFonts w:hint="eastAsia" w:ascii="宋体" w:hAnsi="宋体" w:eastAsia="宋体" w:cs="宋体"/>
                <w:i w:val="0"/>
                <w:iCs w:val="0"/>
                <w:color w:val="000000"/>
                <w:sz w:val="18"/>
                <w:szCs w:val="18"/>
                <w:u w:val="none"/>
              </w:rPr>
            </w:pPr>
          </w:p>
        </w:tc>
        <w:tc>
          <w:tcPr>
            <w:tcW w:w="20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C5DE8E">
            <w:pPr>
              <w:jc w:val="cente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B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F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F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04F13">
            <w:pPr>
              <w:rPr>
                <w:rFonts w:hint="eastAsia" w:ascii="黑体" w:hAnsi="黑体" w:eastAsia="黑体" w:cs="黑体"/>
                <w:i/>
                <w:iCs/>
                <w:color w:val="000000"/>
                <w:sz w:val="12"/>
                <w:szCs w:val="12"/>
                <w:u w:val="none"/>
              </w:rPr>
            </w:pPr>
          </w:p>
        </w:tc>
      </w:tr>
      <w:tr w14:paraId="7E2D3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A57BA">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F7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CF9F">
            <w:pPr>
              <w:jc w:val="center"/>
              <w:rPr>
                <w:rFonts w:hint="eastAsia" w:ascii="微软雅黑" w:hAnsi="微软雅黑" w:eastAsia="微软雅黑" w:cs="微软雅黑"/>
                <w:i/>
                <w:iCs/>
                <w:color w:val="000000"/>
                <w:sz w:val="16"/>
                <w:szCs w:val="16"/>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5E3C">
            <w:pPr>
              <w:jc w:val="center"/>
              <w:rPr>
                <w:rFonts w:hint="eastAsia" w:ascii="微软雅黑" w:hAnsi="微软雅黑" w:eastAsia="微软雅黑" w:cs="微软雅黑"/>
                <w:i/>
                <w:iCs/>
                <w:color w:val="000000"/>
                <w:sz w:val="16"/>
                <w:szCs w:val="16"/>
                <w:u w:val="none"/>
              </w:rPr>
            </w:pPr>
          </w:p>
        </w:tc>
        <w:tc>
          <w:tcPr>
            <w:tcW w:w="20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A3815E">
            <w:pPr>
              <w:jc w:val="center"/>
              <w:rPr>
                <w:rFonts w:hint="eastAsia" w:ascii="微软雅黑" w:hAnsi="微软雅黑" w:eastAsia="微软雅黑" w:cs="微软雅黑"/>
                <w:i/>
                <w:iCs/>
                <w:color w:val="000000"/>
                <w:sz w:val="16"/>
                <w:szCs w:val="16"/>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FAD2">
            <w:pPr>
              <w:jc w:val="center"/>
              <w:rPr>
                <w:rFonts w:hint="eastAsia" w:ascii="微软雅黑" w:hAnsi="微软雅黑" w:eastAsia="微软雅黑" w:cs="微软雅黑"/>
                <w:i/>
                <w:iCs/>
                <w:color w:val="000000"/>
                <w:sz w:val="16"/>
                <w:szCs w:val="16"/>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0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6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F1607">
            <w:pPr>
              <w:rPr>
                <w:rFonts w:hint="eastAsia" w:ascii="黑体" w:hAnsi="黑体" w:eastAsia="黑体" w:cs="黑体"/>
                <w:i/>
                <w:iCs/>
                <w:color w:val="000000"/>
                <w:sz w:val="12"/>
                <w:szCs w:val="12"/>
                <w:u w:val="none"/>
              </w:rPr>
            </w:pPr>
          </w:p>
        </w:tc>
      </w:tr>
      <w:tr w14:paraId="6A6D7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56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6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97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4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DB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4E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AA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F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4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5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9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7CFA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53A22">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5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C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AA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实施基本药物制度的村卫生室占比</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23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Helvetica" w:hAnsi="Helvetica" w:eastAsia="Helvetica" w:cs="Helvetica"/>
                <w:i w:val="0"/>
                <w:iCs w:val="0"/>
                <w:color w:val="000000"/>
                <w:kern w:val="0"/>
                <w:sz w:val="19"/>
                <w:szCs w:val="19"/>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E67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C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416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360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9284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EA004">
            <w:pPr>
              <w:jc w:val="center"/>
              <w:rPr>
                <w:rFonts w:hint="eastAsia" w:ascii="宋体" w:hAnsi="宋体" w:eastAsia="宋体" w:cs="宋体"/>
                <w:i w:val="0"/>
                <w:iCs w:val="0"/>
                <w:color w:val="000000"/>
                <w:sz w:val="18"/>
                <w:szCs w:val="18"/>
                <w:u w:val="none"/>
              </w:rPr>
            </w:pPr>
          </w:p>
        </w:tc>
      </w:tr>
      <w:tr w14:paraId="42680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FEDC2">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B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DC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3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实施基本药物制度的政府办基层医疗卫生机构占比</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C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Helvetica" w:hAnsi="Helvetica" w:eastAsia="Helvetica" w:cs="Helvetica"/>
                <w:i w:val="0"/>
                <w:iCs w:val="0"/>
                <w:color w:val="000000"/>
                <w:kern w:val="0"/>
                <w:sz w:val="19"/>
                <w:szCs w:val="19"/>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452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2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8F0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AD5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232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D892">
            <w:pPr>
              <w:jc w:val="center"/>
              <w:rPr>
                <w:rFonts w:hint="eastAsia" w:ascii="宋体" w:hAnsi="宋体" w:eastAsia="宋体" w:cs="宋体"/>
                <w:i w:val="0"/>
                <w:iCs w:val="0"/>
                <w:color w:val="000000"/>
                <w:sz w:val="18"/>
                <w:szCs w:val="18"/>
                <w:u w:val="none"/>
              </w:rPr>
            </w:pPr>
          </w:p>
        </w:tc>
      </w:tr>
      <w:tr w14:paraId="3A6E1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D275D">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E6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A7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8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按时完成任务</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75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Helvetica" w:hAnsi="Helvetica" w:eastAsia="Helvetica" w:cs="Helvetica"/>
                <w:i w:val="0"/>
                <w:iCs w:val="0"/>
                <w:color w:val="000000"/>
                <w:kern w:val="0"/>
                <w:sz w:val="19"/>
                <w:szCs w:val="19"/>
                <w:u w:val="none"/>
                <w:lang w:val="en-US" w:eastAsia="zh-CN" w:bidi="ar"/>
              </w:rPr>
              <w:t>定性</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761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12</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D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月</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CC9E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508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F0F4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F46A">
            <w:pPr>
              <w:jc w:val="center"/>
              <w:rPr>
                <w:rFonts w:hint="eastAsia" w:ascii="宋体" w:hAnsi="宋体" w:eastAsia="宋体" w:cs="宋体"/>
                <w:i w:val="0"/>
                <w:iCs w:val="0"/>
                <w:color w:val="000000"/>
                <w:sz w:val="18"/>
                <w:szCs w:val="18"/>
                <w:u w:val="none"/>
              </w:rPr>
            </w:pPr>
          </w:p>
        </w:tc>
      </w:tr>
      <w:tr w14:paraId="727EC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B5FE1">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D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0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D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乡村医生收入</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1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Helvetica" w:hAnsi="Helvetica" w:eastAsia="Helvetica" w:cs="Helvetica"/>
                <w:i w:val="0"/>
                <w:iCs w:val="0"/>
                <w:color w:val="000000"/>
                <w:kern w:val="0"/>
                <w:sz w:val="19"/>
                <w:szCs w:val="19"/>
                <w:u w:val="none"/>
                <w:lang w:val="en-US" w:eastAsia="zh-CN" w:bidi="ar"/>
              </w:rPr>
              <w:t>定性</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1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Helvetica" w:hAnsi="Helvetica" w:eastAsia="Helvetica" w:cs="Helvetica"/>
                <w:i w:val="0"/>
                <w:iCs w:val="0"/>
                <w:color w:val="000000"/>
                <w:kern w:val="0"/>
                <w:sz w:val="19"/>
                <w:szCs w:val="19"/>
                <w:u w:val="none"/>
                <w:lang w:val="en-US" w:eastAsia="zh-CN" w:bidi="ar"/>
              </w:rPr>
              <w:t>保持稳定</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943F">
            <w:pPr>
              <w:jc w:val="cente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D6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Helvetica" w:hAnsi="Helvetica" w:eastAsia="Helvetica" w:cs="Helvetica"/>
                <w:i w:val="0"/>
                <w:iCs w:val="0"/>
                <w:color w:val="000000"/>
                <w:kern w:val="0"/>
                <w:sz w:val="19"/>
                <w:szCs w:val="19"/>
                <w:u w:val="none"/>
                <w:lang w:val="en-US" w:eastAsia="zh-CN" w:bidi="ar"/>
              </w:rPr>
              <w:t>保持稳定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17E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9DB4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F659">
            <w:pPr>
              <w:jc w:val="center"/>
              <w:rPr>
                <w:rFonts w:hint="eastAsia" w:ascii="宋体" w:hAnsi="宋体" w:eastAsia="宋体" w:cs="宋体"/>
                <w:i w:val="0"/>
                <w:iCs w:val="0"/>
                <w:color w:val="000000"/>
                <w:sz w:val="18"/>
                <w:szCs w:val="18"/>
                <w:u w:val="none"/>
              </w:rPr>
            </w:pPr>
          </w:p>
        </w:tc>
      </w:tr>
      <w:tr w14:paraId="1FD17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EE87B">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3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C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7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基本药物制度在基层持续实施</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0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Helvetica" w:hAnsi="Helvetica" w:eastAsia="Helvetica" w:cs="Helvetica"/>
                <w:i w:val="0"/>
                <w:iCs w:val="0"/>
                <w:color w:val="000000"/>
                <w:kern w:val="0"/>
                <w:sz w:val="19"/>
                <w:szCs w:val="19"/>
                <w:u w:val="none"/>
                <w:lang w:val="en-US" w:eastAsia="zh-CN" w:bidi="ar"/>
              </w:rPr>
              <w:t>定性</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3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Helvetica" w:hAnsi="Helvetica" w:eastAsia="Helvetica" w:cs="Helvetica"/>
                <w:i w:val="0"/>
                <w:iCs w:val="0"/>
                <w:color w:val="000000"/>
                <w:kern w:val="0"/>
                <w:sz w:val="19"/>
                <w:szCs w:val="19"/>
                <w:u w:val="none"/>
                <w:lang w:val="en-US" w:eastAsia="zh-CN" w:bidi="ar"/>
              </w:rPr>
              <w:t>中长期</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4FE1">
            <w:pPr>
              <w:jc w:val="cente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1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Helvetica" w:hAnsi="Helvetica" w:eastAsia="Helvetica" w:cs="Helvetica"/>
                <w:i w:val="0"/>
                <w:iCs w:val="0"/>
                <w:color w:val="000000"/>
                <w:kern w:val="0"/>
                <w:sz w:val="19"/>
                <w:szCs w:val="19"/>
                <w:u w:val="none"/>
                <w:lang w:val="en-US" w:eastAsia="zh-CN" w:bidi="ar"/>
              </w:rPr>
              <w:t>中长期</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4D75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A62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0B78">
            <w:pPr>
              <w:jc w:val="center"/>
              <w:rPr>
                <w:rFonts w:hint="eastAsia" w:ascii="宋体" w:hAnsi="宋体" w:eastAsia="宋体" w:cs="宋体"/>
                <w:i w:val="0"/>
                <w:iCs w:val="0"/>
                <w:color w:val="000000"/>
                <w:sz w:val="18"/>
                <w:szCs w:val="18"/>
                <w:u w:val="none"/>
              </w:rPr>
            </w:pPr>
          </w:p>
        </w:tc>
      </w:tr>
      <w:tr w14:paraId="468D5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AC383">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F5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B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E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对基本药物制度补助满意度</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B9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Helvetica" w:hAnsi="Helvetica" w:eastAsia="Helvetica" w:cs="Helvetica"/>
                <w:i w:val="0"/>
                <w:iCs w:val="0"/>
                <w:color w:val="000000"/>
                <w:kern w:val="0"/>
                <w:sz w:val="19"/>
                <w:szCs w:val="19"/>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706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80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7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B7E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B1D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F270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5</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65B8">
            <w:pPr>
              <w:jc w:val="center"/>
              <w:rPr>
                <w:rFonts w:hint="eastAsia" w:ascii="宋体" w:hAnsi="宋体" w:eastAsia="宋体" w:cs="宋体"/>
                <w:i w:val="0"/>
                <w:iCs w:val="0"/>
                <w:color w:val="000000"/>
                <w:sz w:val="18"/>
                <w:szCs w:val="18"/>
                <w:u w:val="none"/>
              </w:rPr>
            </w:pPr>
          </w:p>
        </w:tc>
      </w:tr>
      <w:tr w14:paraId="4B0C0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62D3D">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2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0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4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医院医务人员满意度</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4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Helvetica" w:hAnsi="Helvetica" w:eastAsia="Helvetica" w:cs="Helvetica"/>
                <w:i w:val="0"/>
                <w:iCs w:val="0"/>
                <w:color w:val="000000"/>
                <w:kern w:val="0"/>
                <w:sz w:val="19"/>
                <w:szCs w:val="19"/>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04F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1382">
            <w:pPr>
              <w:jc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A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Helvetica" w:hAnsi="Helvetica" w:eastAsia="Helvetica" w:cs="Helvetica"/>
                <w:i w:val="0"/>
                <w:iCs w:val="0"/>
                <w:color w:val="000000"/>
                <w:kern w:val="0"/>
                <w:sz w:val="19"/>
                <w:szCs w:val="19"/>
                <w:u w:val="none"/>
                <w:lang w:val="en-US" w:eastAsia="zh-CN" w:bidi="ar"/>
              </w:rPr>
              <w:t>较上一年提高</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1FA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3656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5</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3744">
            <w:pPr>
              <w:jc w:val="center"/>
              <w:rPr>
                <w:rFonts w:hint="eastAsia" w:ascii="宋体" w:hAnsi="宋体" w:eastAsia="宋体" w:cs="宋体"/>
                <w:i w:val="0"/>
                <w:iCs w:val="0"/>
                <w:color w:val="000000"/>
                <w:sz w:val="18"/>
                <w:szCs w:val="18"/>
                <w:u w:val="none"/>
              </w:rPr>
            </w:pPr>
          </w:p>
        </w:tc>
      </w:tr>
      <w:tr w14:paraId="3EDE5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BC1DA">
            <w:pPr>
              <w:jc w:val="center"/>
              <w:rPr>
                <w:rFonts w:hint="eastAsia" w:ascii="宋体" w:hAnsi="宋体" w:eastAsia="宋体" w:cs="宋体"/>
                <w:i w:val="0"/>
                <w:iCs w:val="0"/>
                <w:color w:val="000000"/>
                <w:sz w:val="18"/>
                <w:szCs w:val="18"/>
                <w:u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5248">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3BD7">
            <w:pPr>
              <w:jc w:val="center"/>
              <w:rPr>
                <w:rFonts w:hint="eastAsia" w:ascii="宋体" w:hAnsi="宋体" w:eastAsia="宋体" w:cs="宋体"/>
                <w:i w:val="0"/>
                <w:iCs w:val="0"/>
                <w:color w:val="000000"/>
                <w:sz w:val="18"/>
                <w:szCs w:val="18"/>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C80E">
            <w:pPr>
              <w:jc w:val="center"/>
              <w:rPr>
                <w:rFonts w:hint="eastAsia" w:ascii="宋体" w:hAnsi="宋体" w:eastAsia="宋体" w:cs="宋体"/>
                <w:i w:val="0"/>
                <w:iCs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A5E8">
            <w:pPr>
              <w:jc w:val="center"/>
              <w:rPr>
                <w:rFonts w:hint="eastAsia" w:ascii="宋体" w:hAnsi="宋体" w:eastAsia="宋体" w:cs="宋体"/>
                <w:i w:val="0"/>
                <w:iCs w:val="0"/>
                <w:color w:val="000000"/>
                <w:sz w:val="18"/>
                <w:szCs w:val="18"/>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F857">
            <w:pPr>
              <w:jc w:val="center"/>
              <w:rPr>
                <w:rFonts w:hint="eastAsia" w:ascii="宋体" w:hAnsi="宋体" w:eastAsia="宋体" w:cs="宋体"/>
                <w:i w:val="0"/>
                <w:iCs w:val="0"/>
                <w:color w:val="000000"/>
                <w:sz w:val="18"/>
                <w:szCs w:val="18"/>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6833">
            <w:pPr>
              <w:jc w:val="cente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50E2">
            <w:pPr>
              <w:jc w:val="center"/>
              <w:rPr>
                <w:rFonts w:hint="eastAsia" w:ascii="微软雅黑" w:hAnsi="微软雅黑" w:eastAsia="微软雅黑" w:cs="微软雅黑"/>
                <w:i/>
                <w:iCs/>
                <w:color w:val="000000"/>
                <w:sz w:val="16"/>
                <w:szCs w:val="16"/>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32E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29ED">
            <w:pPr>
              <w:jc w:val="center"/>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E41E1">
            <w:pPr>
              <w:jc w:val="center"/>
              <w:rPr>
                <w:rFonts w:hint="eastAsia" w:ascii="微软雅黑" w:hAnsi="微软雅黑" w:eastAsia="微软雅黑" w:cs="微软雅黑"/>
                <w:i/>
                <w:iCs/>
                <w:color w:val="000000"/>
                <w:sz w:val="16"/>
                <w:szCs w:val="16"/>
                <w:u w:val="none"/>
              </w:rPr>
            </w:pPr>
          </w:p>
        </w:tc>
      </w:tr>
      <w:tr w14:paraId="761E4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7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DC6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DB30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DFC9">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4A09">
            <w:pPr>
              <w:rPr>
                <w:rFonts w:hint="eastAsia" w:ascii="宋体" w:hAnsi="宋体" w:eastAsia="宋体" w:cs="宋体"/>
                <w:i w:val="0"/>
                <w:iCs w:val="0"/>
                <w:color w:val="000000"/>
                <w:sz w:val="18"/>
                <w:szCs w:val="18"/>
                <w:u w:val="none"/>
              </w:rPr>
            </w:pPr>
          </w:p>
        </w:tc>
      </w:tr>
      <w:tr w14:paraId="39317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C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65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6346D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切实缓解广大农牧民群众“因病致贫”、“因病返贫”问题的重要途径，就医经济负担有所减轻，农民得到了实实在在的好处，全面提升了广大农民的健康水平缩小城乡之间的差距</w:t>
            </w:r>
          </w:p>
        </w:tc>
      </w:tr>
      <w:tr w14:paraId="37741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9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65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547B6A">
            <w:pPr>
              <w:rPr>
                <w:rFonts w:hint="eastAsia" w:ascii="微软雅黑" w:hAnsi="微软雅黑" w:eastAsia="微软雅黑" w:cs="微软雅黑"/>
                <w:i/>
                <w:iCs/>
                <w:color w:val="000000"/>
                <w:sz w:val="16"/>
                <w:szCs w:val="16"/>
                <w:u w:val="none"/>
              </w:rPr>
            </w:pPr>
          </w:p>
        </w:tc>
      </w:tr>
      <w:tr w14:paraId="49E66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2E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65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BBD754">
            <w:pPr>
              <w:rPr>
                <w:rFonts w:hint="eastAsia" w:ascii="微软雅黑" w:hAnsi="微软雅黑" w:eastAsia="微软雅黑" w:cs="微软雅黑"/>
                <w:i/>
                <w:iCs/>
                <w:color w:val="000000"/>
                <w:sz w:val="16"/>
                <w:szCs w:val="16"/>
                <w:u w:val="none"/>
              </w:rPr>
            </w:pPr>
          </w:p>
        </w:tc>
      </w:tr>
      <w:tr w14:paraId="663BE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24C8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项目负责人：王平</w:t>
            </w:r>
          </w:p>
        </w:tc>
        <w:tc>
          <w:tcPr>
            <w:tcW w:w="51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5638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财务负责人：张澄</w:t>
            </w:r>
          </w:p>
        </w:tc>
      </w:tr>
    </w:tbl>
    <w:tbl>
      <w:tblPr>
        <w:tblStyle w:val="15"/>
        <w:tblpPr w:leftFromText="180" w:rightFromText="180" w:vertAnchor="text" w:horzAnchor="page" w:tblpX="1082" w:tblpY="1189"/>
        <w:tblOverlap w:val="never"/>
        <w:tblW w:w="103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1"/>
        <w:gridCol w:w="1291"/>
        <w:gridCol w:w="1263"/>
        <w:gridCol w:w="1907"/>
        <w:gridCol w:w="364"/>
        <w:gridCol w:w="1050"/>
        <w:gridCol w:w="460"/>
        <w:gridCol w:w="1079"/>
        <w:gridCol w:w="756"/>
        <w:gridCol w:w="791"/>
        <w:gridCol w:w="738"/>
      </w:tblGrid>
      <w:tr w14:paraId="1B44C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03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7B883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1BD9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0A3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40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F3B6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基本公共卫生服务项目</w:t>
            </w:r>
          </w:p>
        </w:tc>
      </w:tr>
      <w:tr w14:paraId="499C2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AC2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0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94F6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茂县卫生健康局</w:t>
            </w:r>
          </w:p>
        </w:tc>
        <w:tc>
          <w:tcPr>
            <w:tcW w:w="1079" w:type="dxa"/>
            <w:tcBorders>
              <w:top w:val="nil"/>
              <w:left w:val="nil"/>
              <w:bottom w:val="nil"/>
              <w:right w:val="nil"/>
            </w:tcBorders>
            <w:shd w:val="clear" w:color="auto" w:fill="auto"/>
            <w:vAlign w:val="center"/>
          </w:tcPr>
          <w:p w14:paraId="29B2803F">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B77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茂县凤仪镇社区                    卫生服务中心</w:t>
            </w:r>
          </w:p>
        </w:tc>
      </w:tr>
      <w:tr w14:paraId="75A18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954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EE2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0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CDC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3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42B58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10A3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36117">
            <w:pPr>
              <w:rPr>
                <w:rFonts w:hint="eastAsia" w:ascii="宋体" w:hAnsi="宋体" w:eastAsia="宋体" w:cs="宋体"/>
                <w:i w:val="0"/>
                <w:iCs w:val="0"/>
                <w:color w:val="000000"/>
                <w:sz w:val="18"/>
                <w:szCs w:val="18"/>
                <w:u w:val="none"/>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BD2AB">
            <w:pPr>
              <w:rPr>
                <w:rFonts w:hint="eastAsia" w:ascii="宋体" w:hAnsi="宋体" w:eastAsia="宋体" w:cs="宋体"/>
                <w:i w:val="0"/>
                <w:iCs w:val="0"/>
                <w:color w:val="000000"/>
                <w:sz w:val="18"/>
                <w:szCs w:val="18"/>
                <w:u w:val="none"/>
              </w:rPr>
            </w:pPr>
          </w:p>
        </w:tc>
        <w:tc>
          <w:tcPr>
            <w:tcW w:w="50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45BA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通过实施基本公共卫生服务项目，对影响居民健康的主要卫生问题实施干预，减少主要健康危险因素，有效预防和控制主要传染病及慢性病，使城乡居民逐步享有均等化的公共卫生服务。</w:t>
            </w:r>
          </w:p>
        </w:tc>
        <w:tc>
          <w:tcPr>
            <w:tcW w:w="33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6EC30E">
            <w:pPr>
              <w:keepNext w:val="0"/>
              <w:keepLines w:val="0"/>
              <w:widowControl/>
              <w:suppressLineNumbers w:val="0"/>
              <w:jc w:val="left"/>
              <w:textAlignment w:val="center"/>
              <w:rPr>
                <w:rFonts w:hint="eastAsia" w:ascii="黑体" w:hAnsi="黑体" w:eastAsia="黑体" w:cs="黑体"/>
                <w:i w:val="0"/>
                <w:iCs w:val="0"/>
                <w:color w:val="000000"/>
                <w:sz w:val="12"/>
                <w:szCs w:val="12"/>
                <w:u w:val="none"/>
              </w:rPr>
            </w:pPr>
            <w:r>
              <w:rPr>
                <w:rFonts w:hint="eastAsia" w:ascii="宋体" w:hAnsi="宋体" w:eastAsia="宋体" w:cs="宋体"/>
                <w:i w:val="0"/>
                <w:iCs w:val="0"/>
                <w:color w:val="000000"/>
                <w:kern w:val="0"/>
                <w:sz w:val="18"/>
                <w:szCs w:val="18"/>
                <w:u w:val="none"/>
                <w:lang w:val="en-US" w:eastAsia="zh-CN" w:bidi="ar"/>
              </w:rPr>
              <w:t>通过项目实施，保障部分慢性病（如高血压、糖尿病）、65岁以上老年人、0-6岁儿童、孕产妇、结核病、重性精神疾病患者等重点人群能得到规范化、系统化的管理、治疗，有效防控了相关疾病，从而大幅度提高了广大人群平均期望寿命，继实施新农合政策后的又一项医疗卫生民生工程，它改变了病人的求医理念，从过去传统的被动就医到现在的主动就诊、求治</w:t>
            </w:r>
            <w:r>
              <w:rPr>
                <w:rFonts w:hint="eastAsia" w:ascii="宋体" w:hAnsi="宋体" w:cs="宋体"/>
                <w:i w:val="0"/>
                <w:iCs w:val="0"/>
                <w:color w:val="000000"/>
                <w:kern w:val="0"/>
                <w:sz w:val="18"/>
                <w:szCs w:val="18"/>
                <w:u w:val="none"/>
                <w:lang w:val="en-US" w:eastAsia="zh-CN" w:bidi="ar"/>
              </w:rPr>
              <w:t>。</w:t>
            </w:r>
          </w:p>
        </w:tc>
      </w:tr>
      <w:tr w14:paraId="382EB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E6C65">
            <w:pP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6BF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40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9AEA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项目实施，保障部分慢性病（如高血压、糖尿病）、65岁以上老年人、0-6岁儿童、孕产妇、结核病、重性精神疾病患者等重点人群能得到规范化、系统化的管理、治疗，有效防控了相关疾病，从而大幅度提高了广大人群平均期望寿命，继实施新农合政策后的又一项医疗卫生民生工程，它改变了病人的求医理念，从过去传统的被动就医到现在的主动就诊、求治.</w:t>
            </w:r>
          </w:p>
        </w:tc>
      </w:tr>
      <w:tr w14:paraId="6F2F4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F0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7EC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年度预算数（万元）</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F87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年初预算</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19A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调整后预算数</w:t>
            </w:r>
          </w:p>
        </w:tc>
        <w:tc>
          <w:tcPr>
            <w:tcW w:w="187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31D04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预算执行数</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38DF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2FB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650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1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D3B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14939">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1C1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总额</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09D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29.09</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097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326.38</w:t>
            </w:r>
          </w:p>
        </w:tc>
        <w:tc>
          <w:tcPr>
            <w:tcW w:w="187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1EB9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326.38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864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BF5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4F0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r>
              <w:rPr>
                <w:rFonts w:hint="eastAsia" w:ascii="宋体" w:hAnsi="宋体" w:eastAsia="宋体" w:cs="宋体"/>
                <w:i w:val="0"/>
                <w:iCs w:val="0"/>
                <w:color w:val="000000"/>
                <w:kern w:val="0"/>
                <w:sz w:val="18"/>
                <w:szCs w:val="18"/>
                <w:u w:val="none"/>
                <w:lang w:val="en-US" w:eastAsia="zh-CN" w:bidi="ar"/>
              </w:rPr>
              <w:t>.00</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9BF9D">
            <w:pPr>
              <w:keepNext w:val="0"/>
              <w:keepLines w:val="0"/>
              <w:widowControl/>
              <w:suppressLineNumbers w:val="0"/>
              <w:jc w:val="left"/>
              <w:textAlignment w:val="center"/>
              <w:rPr>
                <w:rFonts w:hint="eastAsia" w:ascii="黑体" w:hAnsi="黑体" w:eastAsia="黑体" w:cs="黑体"/>
                <w:i/>
                <w:iCs/>
                <w:color w:val="000000"/>
                <w:sz w:val="12"/>
                <w:szCs w:val="12"/>
                <w:u w:val="none"/>
              </w:rPr>
            </w:pPr>
          </w:p>
        </w:tc>
      </w:tr>
      <w:tr w14:paraId="4192D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EBEE1">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8F9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其中：财政资金</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4AD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29.09</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A98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326.38</w:t>
            </w:r>
          </w:p>
        </w:tc>
        <w:tc>
          <w:tcPr>
            <w:tcW w:w="187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C62A0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326.38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C28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D8F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860C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8891C">
            <w:pPr>
              <w:rPr>
                <w:rFonts w:hint="eastAsia" w:ascii="黑体" w:hAnsi="黑体" w:eastAsia="黑体" w:cs="黑体"/>
                <w:i/>
                <w:iCs/>
                <w:color w:val="000000"/>
                <w:sz w:val="12"/>
                <w:szCs w:val="12"/>
                <w:u w:val="none"/>
              </w:rPr>
            </w:pPr>
          </w:p>
        </w:tc>
      </w:tr>
      <w:tr w14:paraId="24DD9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B236E">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15424">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财政专户管理资金</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581D">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5F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87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7760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471A2">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4F5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AE00">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9E37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336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00AB6">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CD2D">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单位资金</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47A9">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F9C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87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B47AC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94CF">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B9FF">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1C06">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1FDC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1CD0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FB987">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7CD6">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其他资金</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8A0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EB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87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27B5B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570E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B44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4284">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15AC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C782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64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3087">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一级指标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F8B42">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2039">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三级指标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B578F">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指标性质</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BE7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指标值</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BC4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度量单位</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E6CC">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完成值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C3A0">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权重</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61A4">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得分</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049CC">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未完成原因分析</w:t>
            </w:r>
          </w:p>
        </w:tc>
      </w:tr>
      <w:tr w14:paraId="30668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F049">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79B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D700">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1D516">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2型糖尿病患者管理人数（全县）</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5278">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034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982.00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EF4D">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人</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B1F5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982.00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BBE0">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E581">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90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C74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60"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A432">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C40E">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E850">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14DC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老年人中医药健康管理率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CB40">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22A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75.00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818A">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36A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75.00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8B2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117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319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797C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1F95">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CDEE">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852E">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0879">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高血压患者管理人数（全县）</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847A">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719A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2229.00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7A8B3">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人</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965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2229.00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AAB0">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0BE15">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5102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3093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51F0">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ABDF">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6F6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B43F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65岁及以上失能老年人健康服务目标任务完成率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2CC82">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022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0AE4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746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12653">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F5A6">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05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5E3F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2"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8501F">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E262">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F9F28">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DEF9">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居民规范化电子健康档案覆盖率、高血压患者基层规范管理服务率、型糖尿病患者基层规范管理服务率、65岁及以上老年人城乡社区规范健康管理服务率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33E2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AE1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65.00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8626">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57D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65.00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E612C">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BC11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218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0E5B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E0D7">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A37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DA4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F78D">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项目完成时间</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DDB6C">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FF0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11月底</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10081">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A69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11月底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A4F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A2F9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A02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B372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3D90F">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3BBA">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产出指标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F064">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27B8">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传染病和突发公共卫生事件报告率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E6801">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A6C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96.00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7B0D">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E11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96.00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D4AA">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374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CF73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456C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518BA">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BB7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294A">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C883">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城乡居民公共卫生差距</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C4CA">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AB6B9">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不断</w:t>
            </w:r>
            <w:r>
              <w:rPr>
                <w:rFonts w:hint="eastAsia" w:ascii="宋体" w:hAnsi="宋体" w:eastAsia="宋体" w:cs="宋体"/>
                <w:i w:val="0"/>
                <w:iCs w:val="0"/>
                <w:color w:val="000000"/>
                <w:kern w:val="0"/>
                <w:sz w:val="18"/>
                <w:szCs w:val="18"/>
                <w:u w:val="none"/>
                <w:lang w:val="en-US" w:eastAsia="zh-CN" w:bidi="ar"/>
              </w:rPr>
              <w:t>缩小</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C54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A66DD">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不断</w:t>
            </w:r>
            <w:r>
              <w:rPr>
                <w:rFonts w:hint="eastAsia" w:ascii="宋体" w:hAnsi="宋体" w:eastAsia="宋体" w:cs="宋体"/>
                <w:i w:val="0"/>
                <w:iCs w:val="0"/>
                <w:color w:val="000000"/>
                <w:kern w:val="0"/>
                <w:sz w:val="18"/>
                <w:szCs w:val="18"/>
                <w:u w:val="none"/>
                <w:lang w:val="en-US" w:eastAsia="zh-CN" w:bidi="ar"/>
              </w:rPr>
              <w:t>缩小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A1A3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490D">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r>
              <w:rPr>
                <w:rFonts w:ascii="宋体" w:hAnsi="宋体" w:eastAsia="宋体" w:cs="宋体"/>
                <w:i w:val="0"/>
                <w:iCs w:val="0"/>
                <w:color w:val="000000"/>
                <w:kern w:val="0"/>
                <w:sz w:val="18"/>
                <w:szCs w:val="18"/>
                <w:u w:val="none"/>
                <w:lang w:val="en-US" w:eastAsia="zh-CN" w:bidi="ar"/>
              </w:rPr>
              <w:t>.00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F9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EAAB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1EA6B">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126A9">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6158">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4EF28">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404F">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0037">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95.00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0C0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E48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9DD3">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3D5B">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25D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BAFB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8B91">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53B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03F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431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3岁以下儿童系统管理率、社区在册居家严重精神障碍患者健康管理率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83A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EA92">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85.00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2BA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D34C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32AC">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1363B">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09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68BA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2C58">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E0B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CD7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4C62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7岁以下儿童健康管理率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2A55">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51C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465E">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6F4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746B5">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A2B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7DC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5428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98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17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A2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BB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孕产妇系统管理率、卫生监督协管各专业每年巡查(访)2次完成率、肺结核患者管理率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60B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19C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85.00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81A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F9D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09C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8F05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56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DA8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BA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78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1B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6D7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基本公共卫生服务水平</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0AF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225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不断提高</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9F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A4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不断提高</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A928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EC66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7C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7357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C931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F8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1B1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11B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374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ED3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0F1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E7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5A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D79C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D4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4E3F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8F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评价结论</w:t>
            </w:r>
          </w:p>
        </w:tc>
        <w:tc>
          <w:tcPr>
            <w:tcW w:w="969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2A96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通过实施基本公共卫生服务项目，对影响居民健康的主要卫生问题实施干预，减少主要健康危险因素，有效预防和控制主要传染病及慢性病，使城乡居民逐步享有均等化的公共卫生服务。</w:t>
            </w:r>
          </w:p>
        </w:tc>
      </w:tr>
      <w:tr w14:paraId="64629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65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存在问题</w:t>
            </w:r>
          </w:p>
        </w:tc>
        <w:tc>
          <w:tcPr>
            <w:tcW w:w="969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824B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F1A4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E6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969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79E3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D35D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4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F4AD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项目负责人：王平</w:t>
            </w:r>
          </w:p>
        </w:tc>
        <w:tc>
          <w:tcPr>
            <w:tcW w:w="487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54CE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财务负责人：张澄</w:t>
            </w:r>
          </w:p>
        </w:tc>
      </w:tr>
    </w:tbl>
    <w:p w14:paraId="26F356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p w14:paraId="388DDE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bookmarkStart w:id="82" w:name="_Toc18335"/>
    </w:p>
    <w:p w14:paraId="4B770665">
      <w:pPr>
        <w:spacing w:line="600" w:lineRule="exact"/>
        <w:jc w:val="center"/>
        <w:outlineLvl w:val="0"/>
        <w:rPr>
          <w:rFonts w:hint="eastAsia" w:ascii="黑体" w:hAnsi="黑体" w:eastAsia="黑体"/>
          <w:sz w:val="44"/>
          <w:szCs w:val="44"/>
        </w:rPr>
      </w:pPr>
    </w:p>
    <w:p w14:paraId="52FCFB12">
      <w:pPr>
        <w:spacing w:line="600" w:lineRule="exact"/>
        <w:jc w:val="center"/>
        <w:outlineLvl w:val="0"/>
        <w:rPr>
          <w:rFonts w:hint="eastAsia" w:ascii="黑体" w:hAnsi="黑体" w:eastAsia="黑体"/>
          <w:sz w:val="44"/>
          <w:szCs w:val="44"/>
        </w:rPr>
      </w:pPr>
    </w:p>
    <w:p w14:paraId="5E87DF7D">
      <w:pPr>
        <w:spacing w:line="600" w:lineRule="exact"/>
        <w:jc w:val="center"/>
        <w:outlineLvl w:val="0"/>
        <w:rPr>
          <w:rFonts w:hint="eastAsia" w:ascii="黑体" w:hAnsi="黑体" w:eastAsia="黑体"/>
          <w:sz w:val="44"/>
          <w:szCs w:val="44"/>
        </w:rPr>
      </w:pPr>
    </w:p>
    <w:p w14:paraId="68C713FF">
      <w:pPr>
        <w:spacing w:line="600" w:lineRule="exact"/>
        <w:jc w:val="center"/>
        <w:outlineLvl w:val="0"/>
        <w:rPr>
          <w:rFonts w:hint="eastAsia" w:ascii="黑体" w:hAnsi="黑体" w:eastAsia="黑体"/>
          <w:sz w:val="44"/>
          <w:szCs w:val="44"/>
        </w:rPr>
      </w:pPr>
    </w:p>
    <w:p w14:paraId="746ECA8E">
      <w:pPr>
        <w:spacing w:line="600" w:lineRule="exact"/>
        <w:jc w:val="center"/>
        <w:outlineLvl w:val="0"/>
        <w:rPr>
          <w:rFonts w:hint="eastAsia" w:ascii="黑体" w:hAnsi="黑体" w:eastAsia="黑体"/>
          <w:sz w:val="44"/>
          <w:szCs w:val="44"/>
        </w:rPr>
      </w:pPr>
    </w:p>
    <w:p w14:paraId="0C78696F">
      <w:pPr>
        <w:spacing w:line="600" w:lineRule="exact"/>
        <w:jc w:val="center"/>
        <w:outlineLvl w:val="0"/>
        <w:rPr>
          <w:rFonts w:hint="eastAsia" w:ascii="黑体" w:hAnsi="黑体" w:eastAsia="黑体"/>
          <w:sz w:val="44"/>
          <w:szCs w:val="44"/>
        </w:rPr>
      </w:pPr>
    </w:p>
    <w:p w14:paraId="58F5ED8B">
      <w:pPr>
        <w:spacing w:line="600" w:lineRule="exact"/>
        <w:jc w:val="center"/>
        <w:outlineLvl w:val="0"/>
        <w:rPr>
          <w:rFonts w:hint="eastAsia" w:ascii="黑体" w:hAnsi="黑体" w:eastAsia="黑体"/>
          <w:sz w:val="44"/>
          <w:szCs w:val="44"/>
        </w:rPr>
      </w:pPr>
    </w:p>
    <w:p w14:paraId="6DDF4CCE">
      <w:pPr>
        <w:spacing w:line="600" w:lineRule="exact"/>
        <w:jc w:val="center"/>
        <w:outlineLvl w:val="0"/>
        <w:rPr>
          <w:rFonts w:hint="eastAsia" w:ascii="黑体" w:hAnsi="黑体" w:eastAsia="黑体"/>
          <w:sz w:val="44"/>
          <w:szCs w:val="44"/>
        </w:rPr>
      </w:pPr>
    </w:p>
    <w:p w14:paraId="3FFE5F9E">
      <w:pPr>
        <w:spacing w:line="600" w:lineRule="exact"/>
        <w:jc w:val="center"/>
        <w:outlineLvl w:val="0"/>
        <w:rPr>
          <w:rFonts w:hint="eastAsia" w:ascii="黑体" w:hAnsi="黑体" w:eastAsia="黑体"/>
          <w:sz w:val="44"/>
          <w:szCs w:val="44"/>
        </w:rPr>
      </w:pPr>
    </w:p>
    <w:p w14:paraId="0BFC2406">
      <w:pPr>
        <w:spacing w:line="600" w:lineRule="exact"/>
        <w:jc w:val="center"/>
        <w:outlineLvl w:val="0"/>
        <w:rPr>
          <w:rFonts w:hint="eastAsia" w:ascii="黑体" w:hAnsi="黑体" w:eastAsia="黑体"/>
          <w:sz w:val="44"/>
          <w:szCs w:val="44"/>
        </w:rPr>
      </w:pPr>
    </w:p>
    <w:p w14:paraId="3249B061">
      <w:pPr>
        <w:spacing w:line="600" w:lineRule="exact"/>
        <w:jc w:val="center"/>
        <w:outlineLvl w:val="0"/>
        <w:rPr>
          <w:rFonts w:hint="eastAsia" w:ascii="黑体" w:hAnsi="黑体" w:eastAsia="黑体"/>
          <w:sz w:val="44"/>
          <w:szCs w:val="44"/>
        </w:rPr>
      </w:pPr>
    </w:p>
    <w:p w14:paraId="251899E3">
      <w:pPr>
        <w:spacing w:line="600" w:lineRule="exact"/>
        <w:jc w:val="center"/>
        <w:outlineLvl w:val="0"/>
        <w:rPr>
          <w:rFonts w:hint="eastAsia" w:ascii="黑体" w:hAnsi="黑体" w:eastAsia="黑体"/>
          <w:sz w:val="44"/>
          <w:szCs w:val="44"/>
        </w:rPr>
      </w:pPr>
    </w:p>
    <w:p w14:paraId="4317D45F">
      <w:pPr>
        <w:spacing w:line="600" w:lineRule="exact"/>
        <w:jc w:val="center"/>
        <w:outlineLvl w:val="0"/>
        <w:rPr>
          <w:rFonts w:hint="eastAsia" w:ascii="黑体" w:hAnsi="黑体" w:eastAsia="黑体"/>
          <w:sz w:val="44"/>
          <w:szCs w:val="44"/>
        </w:rPr>
      </w:pPr>
    </w:p>
    <w:p w14:paraId="065719A9">
      <w:pPr>
        <w:spacing w:line="600" w:lineRule="exact"/>
        <w:jc w:val="center"/>
        <w:outlineLvl w:val="0"/>
        <w:rPr>
          <w:rFonts w:hint="eastAsia" w:ascii="黑体" w:hAnsi="黑体" w:eastAsia="黑体"/>
          <w:sz w:val="44"/>
          <w:szCs w:val="44"/>
        </w:rPr>
      </w:pPr>
    </w:p>
    <w:p w14:paraId="20246A29">
      <w:pPr>
        <w:spacing w:line="600" w:lineRule="exact"/>
        <w:jc w:val="center"/>
        <w:outlineLvl w:val="0"/>
        <w:rPr>
          <w:rFonts w:hint="eastAsia" w:ascii="黑体" w:hAnsi="黑体" w:eastAsia="黑体"/>
          <w:sz w:val="44"/>
          <w:szCs w:val="44"/>
        </w:rPr>
      </w:pPr>
    </w:p>
    <w:p w14:paraId="3BD96B08">
      <w:pPr>
        <w:spacing w:line="600" w:lineRule="exact"/>
        <w:jc w:val="center"/>
        <w:outlineLvl w:val="0"/>
        <w:rPr>
          <w:rStyle w:val="28"/>
          <w:rFonts w:hint="eastAsia" w:ascii="黑体" w:hAnsi="黑体" w:eastAsia="黑体"/>
          <w:b w:val="0"/>
        </w:rPr>
      </w:pPr>
      <w:r>
        <w:rPr>
          <w:rFonts w:hint="eastAsia" w:ascii="黑体" w:hAnsi="黑体" w:eastAsia="黑体"/>
          <w:sz w:val="44"/>
          <w:szCs w:val="44"/>
        </w:rPr>
        <w:t>第</w:t>
      </w:r>
      <w:r>
        <w:rPr>
          <w:rStyle w:val="28"/>
          <w:rFonts w:hint="eastAsia" w:ascii="黑体" w:hAnsi="黑体" w:eastAsia="黑体"/>
          <w:b w:val="0"/>
        </w:rPr>
        <w:t>五部分 附表</w:t>
      </w:r>
      <w:bookmarkEnd w:id="74"/>
      <w:bookmarkEnd w:id="81"/>
      <w:bookmarkEnd w:id="82"/>
      <w:bookmarkStart w:id="83" w:name="_Toc6926"/>
      <w:bookmarkStart w:id="84" w:name="_Toc15396619"/>
    </w:p>
    <w:p w14:paraId="202DE233">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一、收入支出决算总表</w:t>
      </w:r>
      <w:bookmarkEnd w:id="83"/>
      <w:bookmarkEnd w:id="84"/>
    </w:p>
    <w:p w14:paraId="3618420D">
      <w:pPr>
        <w:spacing w:line="600" w:lineRule="exact"/>
        <w:ind w:firstLine="640" w:firstLineChars="200"/>
        <w:rPr>
          <w:rFonts w:hint="eastAsia" w:ascii="仿宋_GB2312" w:eastAsia="仿宋_GB2312"/>
          <w:sz w:val="32"/>
          <w:szCs w:val="32"/>
        </w:rPr>
      </w:pPr>
      <w:bookmarkStart w:id="85" w:name="_Toc15396620"/>
      <w:bookmarkStart w:id="86" w:name="_Toc1427"/>
      <w:r>
        <w:rPr>
          <w:rFonts w:hint="eastAsia" w:ascii="仿宋_GB2312" w:eastAsia="仿宋_GB2312"/>
          <w:sz w:val="32"/>
          <w:szCs w:val="32"/>
        </w:rPr>
        <w:t>二、收入决算表</w:t>
      </w:r>
      <w:bookmarkEnd w:id="85"/>
      <w:bookmarkEnd w:id="86"/>
    </w:p>
    <w:p w14:paraId="672DEF38">
      <w:pPr>
        <w:spacing w:line="600" w:lineRule="exact"/>
        <w:ind w:firstLine="640" w:firstLineChars="200"/>
        <w:rPr>
          <w:rFonts w:hint="eastAsia" w:ascii="仿宋_GB2312" w:eastAsia="仿宋_GB2312"/>
          <w:sz w:val="32"/>
          <w:szCs w:val="32"/>
          <w:lang w:val="en-US" w:eastAsia="zh-CN"/>
        </w:rPr>
      </w:pPr>
      <w:bookmarkStart w:id="87" w:name="_Toc3068"/>
      <w:bookmarkStart w:id="88" w:name="_Toc15396621"/>
      <w:r>
        <w:rPr>
          <w:rFonts w:hint="eastAsia" w:ascii="仿宋_GB2312" w:eastAsia="仿宋_GB2312"/>
          <w:sz w:val="32"/>
          <w:szCs w:val="32"/>
          <w:lang w:val="en-US" w:eastAsia="zh-CN"/>
        </w:rPr>
        <w:t>三、支出决算表</w:t>
      </w:r>
      <w:bookmarkEnd w:id="87"/>
      <w:bookmarkEnd w:id="88"/>
    </w:p>
    <w:p w14:paraId="240D53D4">
      <w:pPr>
        <w:spacing w:line="600" w:lineRule="exact"/>
        <w:ind w:firstLine="640" w:firstLineChars="200"/>
        <w:rPr>
          <w:rFonts w:hint="eastAsia" w:ascii="仿宋_GB2312" w:eastAsia="仿宋_GB2312"/>
          <w:sz w:val="32"/>
          <w:szCs w:val="32"/>
          <w:lang w:val="en-US" w:eastAsia="zh-CN"/>
        </w:rPr>
      </w:pPr>
      <w:bookmarkStart w:id="89" w:name="_Toc15396622"/>
      <w:bookmarkStart w:id="90" w:name="_Toc2439"/>
      <w:r>
        <w:rPr>
          <w:rFonts w:hint="eastAsia" w:ascii="仿宋_GB2312" w:eastAsia="仿宋_GB2312"/>
          <w:sz w:val="32"/>
          <w:szCs w:val="32"/>
          <w:lang w:val="en-US" w:eastAsia="zh-CN"/>
        </w:rPr>
        <w:t>四、财政拨款收入支出决算总表</w:t>
      </w:r>
      <w:bookmarkEnd w:id="89"/>
      <w:bookmarkEnd w:id="90"/>
    </w:p>
    <w:p w14:paraId="35344DE4">
      <w:pPr>
        <w:spacing w:line="600" w:lineRule="exact"/>
        <w:ind w:firstLine="640" w:firstLineChars="200"/>
        <w:rPr>
          <w:rFonts w:hint="eastAsia" w:ascii="仿宋_GB2312" w:eastAsia="仿宋_GB2312"/>
          <w:sz w:val="32"/>
          <w:szCs w:val="32"/>
          <w:lang w:val="en-US" w:eastAsia="zh-CN"/>
        </w:rPr>
      </w:pPr>
      <w:bookmarkStart w:id="91" w:name="_Toc15396623"/>
      <w:bookmarkStart w:id="92" w:name="_Toc30341"/>
      <w:r>
        <w:rPr>
          <w:rFonts w:hint="eastAsia" w:ascii="仿宋_GB2312" w:eastAsia="仿宋_GB2312"/>
          <w:sz w:val="32"/>
          <w:szCs w:val="32"/>
          <w:lang w:val="en-US" w:eastAsia="zh-CN"/>
        </w:rPr>
        <w:t>五、财政拨款支出决算明细表</w:t>
      </w:r>
      <w:bookmarkEnd w:id="91"/>
      <w:bookmarkEnd w:id="92"/>
      <w:bookmarkStart w:id="93" w:name="_Toc15396624"/>
    </w:p>
    <w:p w14:paraId="72401499">
      <w:pPr>
        <w:spacing w:line="600" w:lineRule="exact"/>
        <w:ind w:firstLine="640" w:firstLineChars="200"/>
        <w:rPr>
          <w:rFonts w:hint="eastAsia" w:ascii="仿宋_GB2312" w:eastAsia="仿宋_GB2312"/>
          <w:sz w:val="32"/>
          <w:szCs w:val="32"/>
          <w:lang w:val="en-US" w:eastAsia="zh-CN"/>
        </w:rPr>
      </w:pPr>
      <w:bookmarkStart w:id="94" w:name="_Toc30426"/>
      <w:r>
        <w:rPr>
          <w:rFonts w:hint="eastAsia" w:ascii="仿宋_GB2312" w:eastAsia="仿宋_GB2312"/>
          <w:sz w:val="32"/>
          <w:szCs w:val="32"/>
          <w:lang w:val="en-US" w:eastAsia="zh-CN"/>
        </w:rPr>
        <w:t>六、一般公共预算财政拨款支出决算表</w:t>
      </w:r>
      <w:bookmarkEnd w:id="93"/>
      <w:bookmarkEnd w:id="94"/>
    </w:p>
    <w:p w14:paraId="6DF99802">
      <w:pPr>
        <w:spacing w:line="600" w:lineRule="exact"/>
        <w:ind w:firstLine="640" w:firstLineChars="200"/>
        <w:rPr>
          <w:rFonts w:hint="eastAsia" w:ascii="仿宋_GB2312" w:eastAsia="仿宋_GB2312"/>
          <w:sz w:val="32"/>
          <w:szCs w:val="32"/>
          <w:lang w:val="en-US" w:eastAsia="zh-CN"/>
        </w:rPr>
      </w:pPr>
      <w:bookmarkStart w:id="95" w:name="_Toc15396625"/>
      <w:bookmarkStart w:id="96" w:name="_Toc30557"/>
      <w:r>
        <w:rPr>
          <w:rFonts w:hint="eastAsia" w:ascii="仿宋_GB2312" w:eastAsia="仿宋_GB2312"/>
          <w:sz w:val="32"/>
          <w:szCs w:val="32"/>
          <w:lang w:val="en-US" w:eastAsia="zh-CN"/>
        </w:rPr>
        <w:t>七、一般公共预算财政拨款支出决算明细表</w:t>
      </w:r>
      <w:bookmarkEnd w:id="95"/>
      <w:bookmarkEnd w:id="96"/>
    </w:p>
    <w:p w14:paraId="1642E603">
      <w:pPr>
        <w:spacing w:line="600" w:lineRule="exact"/>
        <w:ind w:firstLine="640" w:firstLineChars="200"/>
        <w:rPr>
          <w:rFonts w:hint="eastAsia" w:ascii="仿宋_GB2312" w:eastAsia="仿宋_GB2312"/>
          <w:sz w:val="32"/>
          <w:szCs w:val="32"/>
          <w:lang w:val="en-US" w:eastAsia="zh-CN"/>
        </w:rPr>
      </w:pPr>
      <w:bookmarkStart w:id="97" w:name="_Toc15396626"/>
      <w:bookmarkStart w:id="98" w:name="_Toc11005"/>
      <w:r>
        <w:rPr>
          <w:rFonts w:hint="eastAsia" w:ascii="仿宋_GB2312" w:eastAsia="仿宋_GB2312"/>
          <w:sz w:val="32"/>
          <w:szCs w:val="32"/>
          <w:lang w:val="en-US" w:eastAsia="zh-CN"/>
        </w:rPr>
        <w:t>八、一般公共预算财政拨款基本支出决算表</w:t>
      </w:r>
      <w:bookmarkEnd w:id="97"/>
      <w:bookmarkEnd w:id="98"/>
    </w:p>
    <w:p w14:paraId="0F22BFE3">
      <w:pPr>
        <w:spacing w:line="600" w:lineRule="exact"/>
        <w:ind w:firstLine="640" w:firstLineChars="200"/>
        <w:rPr>
          <w:rFonts w:hint="eastAsia" w:ascii="仿宋_GB2312" w:eastAsia="仿宋_GB2312"/>
          <w:sz w:val="32"/>
          <w:szCs w:val="32"/>
          <w:lang w:val="en-US" w:eastAsia="zh-CN"/>
        </w:rPr>
      </w:pPr>
      <w:bookmarkStart w:id="99" w:name="_Toc918"/>
      <w:bookmarkStart w:id="100" w:name="_Toc15396627"/>
      <w:r>
        <w:rPr>
          <w:rFonts w:hint="eastAsia" w:ascii="仿宋_GB2312" w:eastAsia="仿宋_GB2312"/>
          <w:sz w:val="32"/>
          <w:szCs w:val="32"/>
          <w:lang w:val="en-US" w:eastAsia="zh-CN"/>
        </w:rPr>
        <w:t>九、一般公共预算财政拨款项目支出决算表</w:t>
      </w:r>
      <w:bookmarkEnd w:id="99"/>
      <w:bookmarkEnd w:id="100"/>
    </w:p>
    <w:p w14:paraId="398A93F9">
      <w:pPr>
        <w:spacing w:line="600" w:lineRule="exact"/>
        <w:ind w:firstLine="640" w:firstLineChars="200"/>
        <w:rPr>
          <w:rFonts w:hint="eastAsia" w:ascii="仿宋_GB2312" w:eastAsia="仿宋_GB2312"/>
          <w:sz w:val="32"/>
          <w:szCs w:val="32"/>
          <w:lang w:val="en-US" w:eastAsia="zh-CN"/>
        </w:rPr>
      </w:pPr>
      <w:bookmarkStart w:id="101" w:name="_Toc15396628"/>
      <w:bookmarkStart w:id="102" w:name="_Toc9874"/>
      <w:r>
        <w:rPr>
          <w:rFonts w:hint="eastAsia" w:ascii="仿宋_GB2312" w:eastAsia="仿宋_GB2312"/>
          <w:sz w:val="32"/>
          <w:szCs w:val="32"/>
          <w:lang w:val="en-US" w:eastAsia="zh-CN"/>
        </w:rPr>
        <w:t>十、</w:t>
      </w:r>
      <w:bookmarkEnd w:id="101"/>
      <w:r>
        <w:rPr>
          <w:rFonts w:hint="eastAsia" w:ascii="仿宋_GB2312" w:eastAsia="仿宋_GB2312"/>
          <w:sz w:val="32"/>
          <w:szCs w:val="32"/>
          <w:lang w:val="en-US" w:eastAsia="zh-CN"/>
        </w:rPr>
        <w:t>政府性基金预算财政拨款收入支出决算表</w:t>
      </w:r>
      <w:bookmarkEnd w:id="102"/>
    </w:p>
    <w:p w14:paraId="6758187F">
      <w:pPr>
        <w:spacing w:line="600" w:lineRule="exact"/>
        <w:ind w:firstLine="640" w:firstLineChars="200"/>
        <w:rPr>
          <w:rFonts w:hint="eastAsia" w:ascii="仿宋_GB2312" w:eastAsia="仿宋_GB2312"/>
          <w:sz w:val="32"/>
          <w:szCs w:val="32"/>
          <w:lang w:val="en-US" w:eastAsia="zh-CN"/>
        </w:rPr>
      </w:pPr>
      <w:bookmarkStart w:id="103" w:name="_Toc15396629"/>
      <w:bookmarkStart w:id="104" w:name="_Toc25016"/>
      <w:r>
        <w:rPr>
          <w:rFonts w:hint="eastAsia" w:ascii="仿宋_GB2312" w:eastAsia="仿宋_GB2312"/>
          <w:sz w:val="32"/>
          <w:szCs w:val="32"/>
          <w:lang w:val="en-US" w:eastAsia="zh-CN"/>
        </w:rPr>
        <w:t>十一、</w:t>
      </w:r>
      <w:bookmarkEnd w:id="103"/>
      <w:r>
        <w:rPr>
          <w:rFonts w:hint="eastAsia" w:ascii="仿宋_GB2312" w:eastAsia="仿宋_GB2312"/>
          <w:sz w:val="32"/>
          <w:szCs w:val="32"/>
          <w:lang w:val="en-US" w:eastAsia="zh-CN"/>
        </w:rPr>
        <w:t>国有资本经营预算财政拨款收入支出决算表</w:t>
      </w:r>
      <w:bookmarkEnd w:id="104"/>
    </w:p>
    <w:p w14:paraId="18032E42">
      <w:pPr>
        <w:spacing w:line="600" w:lineRule="exact"/>
        <w:ind w:firstLine="640" w:firstLineChars="200"/>
        <w:rPr>
          <w:rFonts w:hint="eastAsia" w:ascii="仿宋_GB2312" w:eastAsia="仿宋_GB2312"/>
          <w:sz w:val="32"/>
          <w:szCs w:val="32"/>
          <w:lang w:val="en-US" w:eastAsia="zh-CN"/>
        </w:rPr>
      </w:pPr>
      <w:bookmarkStart w:id="105" w:name="_Toc15396630"/>
      <w:bookmarkStart w:id="106" w:name="_Toc1196"/>
      <w:r>
        <w:rPr>
          <w:rFonts w:hint="eastAsia" w:ascii="仿宋_GB2312" w:eastAsia="仿宋_GB2312"/>
          <w:sz w:val="32"/>
          <w:szCs w:val="32"/>
          <w:lang w:val="en-US" w:eastAsia="zh-CN"/>
        </w:rPr>
        <w:t>十二、</w:t>
      </w:r>
      <w:bookmarkEnd w:id="105"/>
      <w:r>
        <w:rPr>
          <w:rFonts w:hint="eastAsia" w:ascii="仿宋_GB2312" w:eastAsia="仿宋_GB2312"/>
          <w:sz w:val="32"/>
          <w:szCs w:val="32"/>
          <w:lang w:val="en-US" w:eastAsia="zh-CN"/>
        </w:rPr>
        <w:t>国有资本经营预算财政拨款支出决算表</w:t>
      </w:r>
      <w:bookmarkEnd w:id="106"/>
    </w:p>
    <w:p w14:paraId="5EE3628F">
      <w:pPr>
        <w:spacing w:line="600" w:lineRule="exact"/>
        <w:ind w:firstLine="640" w:firstLineChars="200"/>
        <w:rPr>
          <w:rFonts w:hint="eastAsia" w:ascii="仿宋_GB2312" w:eastAsia="仿宋_GB2312"/>
          <w:sz w:val="32"/>
          <w:szCs w:val="32"/>
          <w:lang w:val="en-US" w:eastAsia="zh-CN"/>
        </w:rPr>
      </w:pPr>
      <w:bookmarkStart w:id="107" w:name="_Toc15396631"/>
      <w:bookmarkStart w:id="108" w:name="_Toc7306"/>
      <w:r>
        <w:rPr>
          <w:rFonts w:hint="eastAsia" w:ascii="仿宋_GB2312" w:eastAsia="仿宋_GB2312"/>
          <w:sz w:val="32"/>
          <w:szCs w:val="32"/>
          <w:lang w:val="en-US" w:eastAsia="zh-CN"/>
        </w:rPr>
        <w:t>十三、</w:t>
      </w:r>
      <w:bookmarkEnd w:id="107"/>
      <w:r>
        <w:rPr>
          <w:rFonts w:hint="eastAsia" w:ascii="仿宋_GB2312" w:eastAsia="仿宋_GB2312"/>
          <w:sz w:val="32"/>
          <w:szCs w:val="32"/>
          <w:lang w:val="en-US" w:eastAsia="zh-CN"/>
        </w:rPr>
        <w:t>财政拨款“三公”经费支出决算表</w:t>
      </w:r>
      <w:bookmarkEnd w:id="108"/>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553700D8">
        <w:pPr>
          <w:pStyle w:val="11"/>
          <w:jc w:val="center"/>
        </w:pPr>
        <w:r>
          <w:fldChar w:fldCharType="begin"/>
        </w:r>
        <w:r>
          <w:instrText xml:space="preserve">PAGE   \* MERGEFORMAT</w:instrText>
        </w:r>
        <w:r>
          <w:fldChar w:fldCharType="separate"/>
        </w:r>
        <w:r>
          <w:rPr>
            <w:lang w:val="zh-CN"/>
          </w:rPr>
          <w:t>15</w:t>
        </w:r>
        <w:r>
          <w:fldChar w:fldCharType="end"/>
        </w:r>
      </w:p>
    </w:sdtContent>
  </w:sdt>
  <w:p w14:paraId="6EE9C7F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05D9F">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5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5FEB06AE"/>
    <w:multiLevelType w:val="singleLevel"/>
    <w:tmpl w:val="5FEB06AE"/>
    <w:lvl w:ilvl="0" w:tentative="0">
      <w:start w:val="1"/>
      <w:numFmt w:val="decimal"/>
      <w:suff w:val="space"/>
      <w:lvlText w:val="%1."/>
      <w:lvlJc w:val="left"/>
      <w:pPr>
        <w:ind w:left="0" w:firstLine="0"/>
      </w:pPr>
      <w:rPr>
        <w:rFonts w:hint="default" w:ascii="Times New Roman" w:hAnsi="Times New Roman" w:cs="Times New Roman"/>
        <w:sz w:val="32"/>
        <w:szCs w:val="32"/>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hMmY5NDQ0MDdhZjA5ZjBjNzVhNDc1NTQ3MzgyMj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0C6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7533C"/>
    <w:rsid w:val="015E2524"/>
    <w:rsid w:val="037248ED"/>
    <w:rsid w:val="03DC2831"/>
    <w:rsid w:val="04245B63"/>
    <w:rsid w:val="05C3315A"/>
    <w:rsid w:val="05C607A0"/>
    <w:rsid w:val="05F477B7"/>
    <w:rsid w:val="062A31D9"/>
    <w:rsid w:val="06AD7222"/>
    <w:rsid w:val="06FB1442"/>
    <w:rsid w:val="074513EE"/>
    <w:rsid w:val="081B5E94"/>
    <w:rsid w:val="08675A67"/>
    <w:rsid w:val="095163D2"/>
    <w:rsid w:val="09684744"/>
    <w:rsid w:val="09DF09FE"/>
    <w:rsid w:val="0A2032A3"/>
    <w:rsid w:val="0B8A37D8"/>
    <w:rsid w:val="0BCD7F1E"/>
    <w:rsid w:val="0C272694"/>
    <w:rsid w:val="0DF522C3"/>
    <w:rsid w:val="0EC00B7E"/>
    <w:rsid w:val="0F5FFB2F"/>
    <w:rsid w:val="0FFFCF60"/>
    <w:rsid w:val="10C055FF"/>
    <w:rsid w:val="11072C0C"/>
    <w:rsid w:val="118107EC"/>
    <w:rsid w:val="11DD6519"/>
    <w:rsid w:val="122F6D00"/>
    <w:rsid w:val="14276FAA"/>
    <w:rsid w:val="14801713"/>
    <w:rsid w:val="160B0931"/>
    <w:rsid w:val="1615724E"/>
    <w:rsid w:val="16BB723D"/>
    <w:rsid w:val="16C32C88"/>
    <w:rsid w:val="170F26A3"/>
    <w:rsid w:val="1791130A"/>
    <w:rsid w:val="17A60298"/>
    <w:rsid w:val="17B571D1"/>
    <w:rsid w:val="18015F3F"/>
    <w:rsid w:val="18FB0307"/>
    <w:rsid w:val="19185113"/>
    <w:rsid w:val="19216C57"/>
    <w:rsid w:val="1BE7774A"/>
    <w:rsid w:val="1BE8440E"/>
    <w:rsid w:val="1D155CEE"/>
    <w:rsid w:val="1E6B2EDB"/>
    <w:rsid w:val="1E911BEF"/>
    <w:rsid w:val="1FDBBF84"/>
    <w:rsid w:val="1FE65307"/>
    <w:rsid w:val="20F57F95"/>
    <w:rsid w:val="215533A8"/>
    <w:rsid w:val="221B014E"/>
    <w:rsid w:val="222D7E81"/>
    <w:rsid w:val="22562F4E"/>
    <w:rsid w:val="237D0994"/>
    <w:rsid w:val="240371BF"/>
    <w:rsid w:val="255C14CA"/>
    <w:rsid w:val="25711CC6"/>
    <w:rsid w:val="25C741E6"/>
    <w:rsid w:val="27607A4B"/>
    <w:rsid w:val="276F80C0"/>
    <w:rsid w:val="27842671"/>
    <w:rsid w:val="28FE60D3"/>
    <w:rsid w:val="29FD04D3"/>
    <w:rsid w:val="2A585CB7"/>
    <w:rsid w:val="2A69499E"/>
    <w:rsid w:val="2ABE7A3E"/>
    <w:rsid w:val="2AFC7D87"/>
    <w:rsid w:val="2AFF09B6"/>
    <w:rsid w:val="2BFE22A5"/>
    <w:rsid w:val="2CA234A8"/>
    <w:rsid w:val="2CDA0C05"/>
    <w:rsid w:val="2E3E7DDE"/>
    <w:rsid w:val="2EFA178C"/>
    <w:rsid w:val="2EFDF86C"/>
    <w:rsid w:val="2F633134"/>
    <w:rsid w:val="2F9D17E1"/>
    <w:rsid w:val="2FB90FA6"/>
    <w:rsid w:val="2FBE7E66"/>
    <w:rsid w:val="2FDC0125"/>
    <w:rsid w:val="306B04F2"/>
    <w:rsid w:val="30B46D73"/>
    <w:rsid w:val="30C81CF4"/>
    <w:rsid w:val="319F7F4E"/>
    <w:rsid w:val="327D275F"/>
    <w:rsid w:val="32AE46C6"/>
    <w:rsid w:val="3341553A"/>
    <w:rsid w:val="33B36456"/>
    <w:rsid w:val="33F162E8"/>
    <w:rsid w:val="356A28F1"/>
    <w:rsid w:val="357C035A"/>
    <w:rsid w:val="359E1F38"/>
    <w:rsid w:val="368E000D"/>
    <w:rsid w:val="36A3143F"/>
    <w:rsid w:val="36B81FB7"/>
    <w:rsid w:val="372E5DD5"/>
    <w:rsid w:val="373B6744"/>
    <w:rsid w:val="379A16BD"/>
    <w:rsid w:val="383D272C"/>
    <w:rsid w:val="39AE70AB"/>
    <w:rsid w:val="3A4DCE41"/>
    <w:rsid w:val="3A8723CC"/>
    <w:rsid w:val="3B3D0CDD"/>
    <w:rsid w:val="3BCB56FA"/>
    <w:rsid w:val="3C0C0783"/>
    <w:rsid w:val="3D0F484A"/>
    <w:rsid w:val="3D275604"/>
    <w:rsid w:val="3D8C29B9"/>
    <w:rsid w:val="3DA8464D"/>
    <w:rsid w:val="3DC34A98"/>
    <w:rsid w:val="3DEB4A20"/>
    <w:rsid w:val="3EE7C2F4"/>
    <w:rsid w:val="3F371B56"/>
    <w:rsid w:val="3F792ED8"/>
    <w:rsid w:val="3F9F3A96"/>
    <w:rsid w:val="3FECA4B2"/>
    <w:rsid w:val="3FF58C48"/>
    <w:rsid w:val="3FF62EC1"/>
    <w:rsid w:val="42424E2B"/>
    <w:rsid w:val="42FF4201"/>
    <w:rsid w:val="42FF6694"/>
    <w:rsid w:val="43BB2A91"/>
    <w:rsid w:val="44AC7558"/>
    <w:rsid w:val="46495E11"/>
    <w:rsid w:val="46747AF7"/>
    <w:rsid w:val="469742E1"/>
    <w:rsid w:val="46FC6DAA"/>
    <w:rsid w:val="47273495"/>
    <w:rsid w:val="48035F79"/>
    <w:rsid w:val="48A27727"/>
    <w:rsid w:val="48BF60AB"/>
    <w:rsid w:val="490E5C98"/>
    <w:rsid w:val="493C27E9"/>
    <w:rsid w:val="496F39ED"/>
    <w:rsid w:val="49961FD3"/>
    <w:rsid w:val="49C97A9C"/>
    <w:rsid w:val="49FF41D3"/>
    <w:rsid w:val="4A3640A9"/>
    <w:rsid w:val="4BA32DDE"/>
    <w:rsid w:val="4BAE072C"/>
    <w:rsid w:val="4BB858AB"/>
    <w:rsid w:val="4BE068DB"/>
    <w:rsid w:val="4BF6002B"/>
    <w:rsid w:val="4BFFC6BE"/>
    <w:rsid w:val="4CC27294"/>
    <w:rsid w:val="4D203FBB"/>
    <w:rsid w:val="4D32758C"/>
    <w:rsid w:val="4D8E7176"/>
    <w:rsid w:val="4DF3347D"/>
    <w:rsid w:val="4ECE2238"/>
    <w:rsid w:val="4EF31987"/>
    <w:rsid w:val="4EFA2326"/>
    <w:rsid w:val="4F043B94"/>
    <w:rsid w:val="4FAD5FDA"/>
    <w:rsid w:val="50B25281"/>
    <w:rsid w:val="51DB0FB6"/>
    <w:rsid w:val="51DB4B86"/>
    <w:rsid w:val="51F64DB0"/>
    <w:rsid w:val="53540967"/>
    <w:rsid w:val="536A2433"/>
    <w:rsid w:val="538916F6"/>
    <w:rsid w:val="53C843B2"/>
    <w:rsid w:val="53FD0190"/>
    <w:rsid w:val="55333C3E"/>
    <w:rsid w:val="562C0486"/>
    <w:rsid w:val="59A246C1"/>
    <w:rsid w:val="5A3C190B"/>
    <w:rsid w:val="5AFA22EF"/>
    <w:rsid w:val="5DCE4638"/>
    <w:rsid w:val="5DF7C7AE"/>
    <w:rsid w:val="5E2A6A47"/>
    <w:rsid w:val="5E582DFB"/>
    <w:rsid w:val="5F3A0F0C"/>
    <w:rsid w:val="5F3D09FC"/>
    <w:rsid w:val="5F67802D"/>
    <w:rsid w:val="5F7DC4F2"/>
    <w:rsid w:val="5FB36814"/>
    <w:rsid w:val="5FBB8E56"/>
    <w:rsid w:val="5FD75678"/>
    <w:rsid w:val="5FFB5535"/>
    <w:rsid w:val="602E0CC5"/>
    <w:rsid w:val="607C0A7A"/>
    <w:rsid w:val="60D25143"/>
    <w:rsid w:val="612215BD"/>
    <w:rsid w:val="61A46B11"/>
    <w:rsid w:val="625A57A9"/>
    <w:rsid w:val="63A64DC2"/>
    <w:rsid w:val="644B4AAD"/>
    <w:rsid w:val="64CA39A1"/>
    <w:rsid w:val="67B22471"/>
    <w:rsid w:val="685C7E37"/>
    <w:rsid w:val="6887018B"/>
    <w:rsid w:val="69630ADE"/>
    <w:rsid w:val="69BD5F13"/>
    <w:rsid w:val="69FB0B4B"/>
    <w:rsid w:val="6AF64881"/>
    <w:rsid w:val="6B1940CB"/>
    <w:rsid w:val="6BF25B97"/>
    <w:rsid w:val="6BFFE1FB"/>
    <w:rsid w:val="6C4A05C8"/>
    <w:rsid w:val="6C690A66"/>
    <w:rsid w:val="6CDE3A47"/>
    <w:rsid w:val="6D280E93"/>
    <w:rsid w:val="6D3B1A89"/>
    <w:rsid w:val="6DB7D8A3"/>
    <w:rsid w:val="6EC78701"/>
    <w:rsid w:val="6F7A5481"/>
    <w:rsid w:val="6FFE07A9"/>
    <w:rsid w:val="707029DF"/>
    <w:rsid w:val="708C3591"/>
    <w:rsid w:val="71542301"/>
    <w:rsid w:val="71BF4EC2"/>
    <w:rsid w:val="720A0C12"/>
    <w:rsid w:val="72734D90"/>
    <w:rsid w:val="730F76ED"/>
    <w:rsid w:val="73E75B71"/>
    <w:rsid w:val="73F617D0"/>
    <w:rsid w:val="73FD7457"/>
    <w:rsid w:val="73FE44A6"/>
    <w:rsid w:val="7412278C"/>
    <w:rsid w:val="743E36A0"/>
    <w:rsid w:val="749649DF"/>
    <w:rsid w:val="75640639"/>
    <w:rsid w:val="75DDCDA9"/>
    <w:rsid w:val="75FF44B1"/>
    <w:rsid w:val="76592168"/>
    <w:rsid w:val="76C43A85"/>
    <w:rsid w:val="77460CC4"/>
    <w:rsid w:val="77670518"/>
    <w:rsid w:val="777FA627"/>
    <w:rsid w:val="77DF1B5F"/>
    <w:rsid w:val="77DFCC8B"/>
    <w:rsid w:val="77EF2D9D"/>
    <w:rsid w:val="77F5B210"/>
    <w:rsid w:val="77FE500E"/>
    <w:rsid w:val="788F4D40"/>
    <w:rsid w:val="78AA2807"/>
    <w:rsid w:val="79E7B28D"/>
    <w:rsid w:val="7AC6154D"/>
    <w:rsid w:val="7ACFF0C2"/>
    <w:rsid w:val="7AFB9108"/>
    <w:rsid w:val="7BB045D8"/>
    <w:rsid w:val="7BD5340C"/>
    <w:rsid w:val="7BFB19D2"/>
    <w:rsid w:val="7BFD1750"/>
    <w:rsid w:val="7BFDAA1B"/>
    <w:rsid w:val="7C136915"/>
    <w:rsid w:val="7CDF9A82"/>
    <w:rsid w:val="7CFFA1BD"/>
    <w:rsid w:val="7D2E3F7A"/>
    <w:rsid w:val="7D4E40A8"/>
    <w:rsid w:val="7DBBF436"/>
    <w:rsid w:val="7DED9490"/>
    <w:rsid w:val="7DFF4872"/>
    <w:rsid w:val="7E7487E6"/>
    <w:rsid w:val="7E7C2A54"/>
    <w:rsid w:val="7EEEFD72"/>
    <w:rsid w:val="7EFE078A"/>
    <w:rsid w:val="7F1D517C"/>
    <w:rsid w:val="7F5DA057"/>
    <w:rsid w:val="7F6C2237"/>
    <w:rsid w:val="7F7F319B"/>
    <w:rsid w:val="7F9F20EE"/>
    <w:rsid w:val="7FBBE890"/>
    <w:rsid w:val="7FBC2ABD"/>
    <w:rsid w:val="7FBF5D48"/>
    <w:rsid w:val="7FCCFC01"/>
    <w:rsid w:val="7FDD1748"/>
    <w:rsid w:val="7FE769C6"/>
    <w:rsid w:val="7FF7824A"/>
    <w:rsid w:val="7FFD083E"/>
    <w:rsid w:val="7FFF9372"/>
    <w:rsid w:val="84BF1F3B"/>
    <w:rsid w:val="8F55B106"/>
    <w:rsid w:val="8FEC6764"/>
    <w:rsid w:val="95DF317D"/>
    <w:rsid w:val="97E77C70"/>
    <w:rsid w:val="9E3A10E2"/>
    <w:rsid w:val="9FB91FBD"/>
    <w:rsid w:val="9FD54998"/>
    <w:rsid w:val="A671883B"/>
    <w:rsid w:val="A7EFD17F"/>
    <w:rsid w:val="A7FFE43F"/>
    <w:rsid w:val="B57BC5F8"/>
    <w:rsid w:val="B7CF8DBE"/>
    <w:rsid w:val="BDFEA317"/>
    <w:rsid w:val="BFD6982F"/>
    <w:rsid w:val="CD9BBABB"/>
    <w:rsid w:val="CF99F292"/>
    <w:rsid w:val="D5DA60B3"/>
    <w:rsid w:val="D7C6F579"/>
    <w:rsid w:val="D8FECA92"/>
    <w:rsid w:val="DAFFBE66"/>
    <w:rsid w:val="DD2C0BFE"/>
    <w:rsid w:val="DDDF59B1"/>
    <w:rsid w:val="DDF9F59E"/>
    <w:rsid w:val="DE3F332B"/>
    <w:rsid w:val="DE6F4A3D"/>
    <w:rsid w:val="DF69F8B0"/>
    <w:rsid w:val="DFC71555"/>
    <w:rsid w:val="DFFC559C"/>
    <w:rsid w:val="DFFEDFAE"/>
    <w:rsid w:val="DFFFB5EB"/>
    <w:rsid w:val="E4B33E57"/>
    <w:rsid w:val="E5BF946A"/>
    <w:rsid w:val="E7356D05"/>
    <w:rsid w:val="EB39BD45"/>
    <w:rsid w:val="EB94B505"/>
    <w:rsid w:val="EBCF1FC2"/>
    <w:rsid w:val="EBD18F66"/>
    <w:rsid w:val="ED17392C"/>
    <w:rsid w:val="ED9FFD9A"/>
    <w:rsid w:val="EDB7968B"/>
    <w:rsid w:val="EDFA2507"/>
    <w:rsid w:val="EEF73F60"/>
    <w:rsid w:val="EFED9E42"/>
    <w:rsid w:val="EFFFB194"/>
    <w:rsid w:val="F2E1F9D4"/>
    <w:rsid w:val="F5FF1BF5"/>
    <w:rsid w:val="F5FF7449"/>
    <w:rsid w:val="F7880819"/>
    <w:rsid w:val="F7AF180D"/>
    <w:rsid w:val="F7BDBFA7"/>
    <w:rsid w:val="F7FAD68F"/>
    <w:rsid w:val="F7FB14CF"/>
    <w:rsid w:val="FA4D60FB"/>
    <w:rsid w:val="FB3FC69C"/>
    <w:rsid w:val="FBDFF225"/>
    <w:rsid w:val="FBF7AB63"/>
    <w:rsid w:val="FC2F3373"/>
    <w:rsid w:val="FCF51535"/>
    <w:rsid w:val="FD77F6B8"/>
    <w:rsid w:val="FDD69328"/>
    <w:rsid w:val="FDDFEC0E"/>
    <w:rsid w:val="FDE58BDD"/>
    <w:rsid w:val="FDEC7001"/>
    <w:rsid w:val="FDFE94F2"/>
    <w:rsid w:val="FEDFE87F"/>
    <w:rsid w:val="FEF1D25B"/>
    <w:rsid w:val="FF3EF90F"/>
    <w:rsid w:val="FF6FFBDD"/>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5"/>
    <w:qFormat/>
    <w:uiPriority w:val="9"/>
    <w:rPr>
      <w:rFonts w:ascii="Times New Roman" w:hAnsi="Times New Roman"/>
      <w:b/>
      <w:bCs/>
      <w:kern w:val="44"/>
      <w:sz w:val="44"/>
      <w:szCs w:val="44"/>
    </w:rPr>
  </w:style>
  <w:style w:type="character" w:customStyle="1" w:styleId="29">
    <w:name w:val="标题 2 字符"/>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10"/>
    <w:semiHidden/>
    <w:qFormat/>
    <w:uiPriority w:val="99"/>
    <w:rPr>
      <w:rFonts w:ascii="Times New Roman" w:hAnsi="Times New Roman"/>
      <w:kern w:val="2"/>
      <w:sz w:val="18"/>
      <w:szCs w:val="18"/>
    </w:rPr>
  </w:style>
  <w:style w:type="character" w:customStyle="1" w:styleId="32">
    <w:name w:val="标题 3 字符"/>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WPSOffice手动目录 1"/>
    <w:qFormat/>
    <w:uiPriority w:val="0"/>
    <w:pPr>
      <w:ind w:leftChars="0"/>
    </w:pPr>
    <w:rPr>
      <w:rFonts w:ascii="Times New Roman" w:hAnsi="Times New Roman" w:eastAsia="宋体" w:cs="Times New Roman"/>
      <w:sz w:val="20"/>
      <w:szCs w:val="20"/>
    </w:rPr>
  </w:style>
  <w:style w:type="paragraph" w:customStyle="1" w:styleId="35">
    <w:name w:val="WPSOffice手动目录 2"/>
    <w:qFormat/>
    <w:uiPriority w:val="0"/>
    <w:pPr>
      <w:ind w:leftChars="200"/>
    </w:pPr>
    <w:rPr>
      <w:rFonts w:ascii="Times New Roman" w:hAnsi="Times New Roman" w:eastAsia="宋体" w:cs="Times New Roman"/>
      <w:sz w:val="20"/>
      <w:szCs w:val="20"/>
    </w:rPr>
  </w:style>
  <w:style w:type="character" w:customStyle="1" w:styleId="36">
    <w:name w:val="font71"/>
    <w:basedOn w:val="16"/>
    <w:qFormat/>
    <w:uiPriority w:val="0"/>
    <w:rPr>
      <w:rFonts w:ascii="Helvetica" w:hAnsi="Helvetica" w:eastAsia="Helvetica" w:cs="Helvetica"/>
      <w:color w:val="000000"/>
      <w:sz w:val="19"/>
      <w:szCs w:val="19"/>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kylin/MOMO/&#26700;&#38754;&#36164;&#26009;/2024&#24180;&#36164;&#26009;/2023&#20915;&#31639;&#20844;&#24320;&#34920;&#20462;&#25913;&#26368;&#32456;&#29256;/&#22270;&#34920;&#27169;&#22411;/&#22270;&#26631;%20-%20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edia/kylin/MOMO/&#26700;&#38754;&#36164;&#26009;/2024&#24180;&#36164;&#26009;/2023&#20915;&#31639;&#20844;&#24320;&#34920;&#20462;&#25913;&#26368;&#32456;&#29256;/&#22270;&#34920;&#27169;&#22411;/&#22270;&#2663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kylin/MOMO/&#26700;&#38754;&#36164;&#26009;/2024&#24180;&#36164;&#26009;/2023&#20915;&#31639;&#20844;&#24320;&#34920;&#20462;&#25913;&#26368;&#32456;&#29256;/&#22270;&#34920;&#27169;&#22411;/&#22270;&#2663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kylin/MOMO/&#26700;&#38754;&#36164;&#26009;/2024&#24180;&#36164;&#26009;/2023&#20915;&#31639;&#20844;&#24320;&#34920;&#20462;&#25913;&#26368;&#32456;&#29256;/&#22270;&#34920;&#27169;&#22411;/&#22270;&#26631;%20-%20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edia/kylin/MOMO/&#26700;&#38754;&#36164;&#26009;/2024&#24180;&#36164;&#26009;/2023&#20915;&#31639;&#20844;&#24320;&#34920;&#20462;&#25913;&#26368;&#32456;&#29256;/&#22270;&#34920;&#27169;&#22411;/&#22270;&#26631;%20-%20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kylin/MOMO/&#26700;&#38754;&#36164;&#26009;/2024&#24180;&#36164;&#26009;/2023&#20915;&#31639;&#20844;&#24320;&#34920;&#20462;&#25913;&#26368;&#32456;&#29256;/&#22270;&#34920;&#27169;&#22411;/&#22270;&#26631;.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edia/kylin/MOMO/&#26700;&#38754;&#36164;&#26009;/2024&#24180;&#36164;&#26009;/2023&#20915;&#31639;&#20844;&#24320;&#34920;&#20462;&#25913;&#26368;&#32456;&#29256;/&#22270;&#34920;&#27169;&#22411;/&#22270;&#2663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 - 1.xls]Sheet2'!$A$3:$A$4</c:f>
              <c:strCache>
                <c:ptCount val="2"/>
                <c:pt idx="0">
                  <c:v>2025年度收、支总计</c:v>
                </c:pt>
                <c:pt idx="1">
                  <c:v>2024年度收、支总计</c:v>
                </c:pt>
              </c:strCache>
            </c:strRef>
          </c:cat>
          <c:val>
            <c:numRef>
              <c:f>'[图标 - 1.xls]Sheet2'!$B$3:$B$4</c:f>
              <c:numCache>
                <c:formatCode>0.00_ </c:formatCode>
                <c:ptCount val="2"/>
                <c:pt idx="0">
                  <c:v>1779.55</c:v>
                </c:pt>
                <c:pt idx="1" c:formatCode="General">
                  <c:v>1710.66</c:v>
                </c:pt>
              </c:numCache>
            </c:numRef>
          </c:val>
        </c:ser>
        <c:dLbls>
          <c:showLegendKey val="0"/>
          <c:showVal val="1"/>
          <c:showCatName val="0"/>
          <c:showSerName val="0"/>
          <c:showPercent val="0"/>
          <c:showBubbleSize val="0"/>
        </c:dLbls>
        <c:gapWidth val="219"/>
        <c:overlap val="-27"/>
        <c:axId val="824236608"/>
        <c:axId val="471188235"/>
      </c:barChart>
      <c:catAx>
        <c:axId val="824236608"/>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71188235"/>
        <c:crosses val="autoZero"/>
        <c:auto val="1"/>
        <c:lblAlgn val="ctr"/>
        <c:lblOffset val="100"/>
        <c:noMultiLvlLbl val="0"/>
      </c:catAx>
      <c:valAx>
        <c:axId val="471188235"/>
        <c:scaling>
          <c:orientation val="minMax"/>
          <c:max val="1800"/>
          <c:min val="1600"/>
        </c:scaling>
        <c:delete val="0"/>
        <c:axPos val="l"/>
        <c:majorGridlines/>
        <c:numFmt formatCode="0.00_ "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24236608"/>
        <c:crosses val="autoZero"/>
        <c:crossBetween val="between"/>
      </c:valAx>
    </c:plotArea>
    <c:plotVisOnly val="1"/>
    <c:dispBlanksAs val="gap"/>
    <c:showDLblsOverMax val="0"/>
    <c:extLst>
      <c:ext uri="{0b15fc19-7d7d-44ad-8c2d-2c3a37ce22c3}">
        <chartProps xmlns="https://web.wps.cn/et/2018/main" chartId="{860b3a6f-f473-4324-aeaf-96fda93da134}"/>
      </c:ext>
    </c:extLst>
  </c:chart>
  <c:spPr>
    <a:solidFill>
      <a:schemeClr val="bg1"/>
    </a:solidFill>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dLbl>
              <c:idx val="0"/>
              <c:layout>
                <c:manualLayout>
                  <c:x val="-0.00197342454940139"/>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1475.51</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万元，</a:t>
                    </a: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82.91</a:t>
                    </a:r>
                    <a:r>
                      <a:rPr lang="en-US" altLang="zh-CN" sz="10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a:t>
                    </a:r>
                    <a:endParaRPr lang="en-US" altLang="zh-CN"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304.04</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万元，</a:t>
                    </a: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17.09</a:t>
                    </a:r>
                    <a:r>
                      <a:rPr lang="en-US" altLang="zh-CN" sz="10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a:t>
                    </a:r>
                    <a:endParaRPr lang="en-US" altLang="zh-CN"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[图标.xls]Sheet2!$A$1:$A$2</c:f>
              <c:strCache>
                <c:ptCount val="2"/>
                <c:pt idx="0">
                  <c:v>一般公共预算财政拨款收入</c:v>
                </c:pt>
                <c:pt idx="1">
                  <c:v>事业收入</c:v>
                </c:pt>
              </c:strCache>
            </c:strRef>
          </c:cat>
          <c:val>
            <c:numRef>
              <c:f>[图标.xls]Sheet2!$B$1:$B$2</c:f>
              <c:numCache>
                <c:formatCode>General</c:formatCode>
                <c:ptCount val="2"/>
                <c:pt idx="0">
                  <c:v>1475.51</c:v>
                </c:pt>
                <c:pt idx="1">
                  <c:v>304.04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815730330328007"/>
          <c:y val="0.212946284386973"/>
          <c:w val="0.1125"/>
          <c:h val="0.53182917002417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3ca8c58-6533-4d26-be9d-0437ffb1f04c}"/>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dLbl>
              <c:idx val="0"/>
              <c:layout>
                <c:manualLayout>
                  <c:x val="-0.00197342454940139"/>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1142.23</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万元，</a:t>
                    </a: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71.91</a:t>
                    </a:r>
                    <a:r>
                      <a:rPr lang="en-US" altLang="zh-CN" sz="10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a:t>
                    </a:r>
                    <a:endParaRPr lang="en-US" altLang="zh-CN"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446.12</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万元，</a:t>
                    </a: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28.09</a:t>
                    </a:r>
                    <a:r>
                      <a:rPr lang="en-US" altLang="zh-CN" sz="10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a:t>
                    </a:r>
                    <a:endParaRPr lang="en-US" altLang="zh-CN"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[图标.xls]Sheet2!$A$1:$A$2</c:f>
              <c:strCache>
                <c:ptCount val="2"/>
                <c:pt idx="0">
                  <c:v>基本支出</c:v>
                </c:pt>
                <c:pt idx="1">
                  <c:v>项目支出</c:v>
                </c:pt>
              </c:strCache>
            </c:strRef>
          </c:cat>
          <c:val>
            <c:numRef>
              <c:f>[图标.xls]Sheet2!$B$1:$B$2</c:f>
              <c:numCache>
                <c:formatCode>General</c:formatCode>
                <c:ptCount val="2"/>
                <c:pt idx="0">
                  <c:v>1142.23</c:v>
                </c:pt>
                <c:pt idx="1">
                  <c:v>446.12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821710526315789"/>
          <c:y val="0.207292506043513"/>
          <c:w val="0.1125"/>
          <c:h val="0.53182917002417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82bcb58-07ff-41bd-aecc-8d1b4babbbf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 - 1.xls]Sheet2'!$A$3:$A$4</c:f>
              <c:strCache>
                <c:ptCount val="2"/>
                <c:pt idx="0">
                  <c:v>2025年度收、支总计</c:v>
                </c:pt>
                <c:pt idx="1">
                  <c:v>2024年度收、支总计</c:v>
                </c:pt>
              </c:strCache>
            </c:strRef>
          </c:cat>
          <c:val>
            <c:numRef>
              <c:f>'[图标 - 1.xls]Sheet2'!$B$3:$B$4</c:f>
              <c:numCache>
                <c:formatCode>0.00_ </c:formatCode>
                <c:ptCount val="2"/>
                <c:pt idx="0">
                  <c:v>1475.51</c:v>
                </c:pt>
                <c:pt idx="1" c:formatCode="General">
                  <c:v>1386.4</c:v>
                </c:pt>
              </c:numCache>
            </c:numRef>
          </c:val>
        </c:ser>
        <c:dLbls>
          <c:showLegendKey val="0"/>
          <c:showVal val="1"/>
          <c:showCatName val="0"/>
          <c:showSerName val="0"/>
          <c:showPercent val="0"/>
          <c:showBubbleSize val="0"/>
        </c:dLbls>
        <c:gapWidth val="219"/>
        <c:overlap val="-27"/>
        <c:axId val="824236608"/>
        <c:axId val="471188235"/>
      </c:barChart>
      <c:catAx>
        <c:axId val="824236608"/>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71188235"/>
        <c:crosses val="autoZero"/>
        <c:auto val="1"/>
        <c:lblAlgn val="ctr"/>
        <c:lblOffset val="100"/>
        <c:noMultiLvlLbl val="0"/>
      </c:catAx>
      <c:valAx>
        <c:axId val="471188235"/>
        <c:scaling>
          <c:orientation val="minMax"/>
          <c:max val="1500"/>
          <c:min val="1300"/>
        </c:scaling>
        <c:delete val="0"/>
        <c:axPos val="l"/>
        <c:majorGridlines/>
        <c:numFmt formatCode="0.00_ "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24236608"/>
        <c:crosses val="autoZero"/>
        <c:crossBetween val="between"/>
      </c:valAx>
    </c:plotArea>
    <c:plotVisOnly val="1"/>
    <c:dispBlanksAs val="gap"/>
    <c:showDLblsOverMax val="0"/>
    <c:extLst>
      <c:ext uri="{0b15fc19-7d7d-44ad-8c2d-2c3a37ce22c3}">
        <chartProps xmlns="https://web.wps.cn/et/2018/main" chartId="{7bc9abd4-fa86-40f5-8862-d71402321292}"/>
      </c:ext>
    </c:extLst>
  </c:chart>
  <c:spPr>
    <a:solidFill>
      <a:schemeClr val="bg1"/>
    </a:solidFill>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 - 1.xls]Sheet2'!$A$3:$A$4</c:f>
              <c:strCache>
                <c:ptCount val="2"/>
                <c:pt idx="0">
                  <c:v>2025年度一般公共预算财政拨款</c:v>
                </c:pt>
                <c:pt idx="1">
                  <c:v>2024年度一般公共预算财政拨款</c:v>
                </c:pt>
              </c:strCache>
            </c:strRef>
          </c:cat>
          <c:val>
            <c:numRef>
              <c:f>'[图标 - 1.xls]Sheet2'!$B$3:$B$4</c:f>
              <c:numCache>
                <c:formatCode>0.00_ </c:formatCode>
                <c:ptCount val="2"/>
                <c:pt idx="0">
                  <c:v>1475.51</c:v>
                </c:pt>
                <c:pt idx="1" c:formatCode="General">
                  <c:v>1386.4</c:v>
                </c:pt>
              </c:numCache>
            </c:numRef>
          </c:val>
        </c:ser>
        <c:dLbls>
          <c:showLegendKey val="0"/>
          <c:showVal val="1"/>
          <c:showCatName val="0"/>
          <c:showSerName val="0"/>
          <c:showPercent val="0"/>
          <c:showBubbleSize val="0"/>
        </c:dLbls>
        <c:gapWidth val="219"/>
        <c:overlap val="-27"/>
        <c:axId val="824236608"/>
        <c:axId val="471188235"/>
      </c:barChart>
      <c:catAx>
        <c:axId val="824236608"/>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71188235"/>
        <c:crosses val="autoZero"/>
        <c:auto val="1"/>
        <c:lblAlgn val="ctr"/>
        <c:lblOffset val="100"/>
        <c:noMultiLvlLbl val="0"/>
      </c:catAx>
      <c:valAx>
        <c:axId val="471188235"/>
        <c:scaling>
          <c:orientation val="minMax"/>
          <c:max val="1500"/>
          <c:min val="1300"/>
        </c:scaling>
        <c:delete val="0"/>
        <c:axPos val="l"/>
        <c:majorGridlines/>
        <c:numFmt formatCode="0.00_ "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24236608"/>
        <c:crosses val="autoZero"/>
        <c:crossBetween val="between"/>
      </c:valAx>
    </c:plotArea>
    <c:plotVisOnly val="1"/>
    <c:dispBlanksAs val="gap"/>
    <c:showDLblsOverMax val="0"/>
    <c:extLst>
      <c:ext uri="{0b15fc19-7d7d-44ad-8c2d-2c3a37ce22c3}">
        <chartProps xmlns="https://web.wps.cn/et/2018/main" chartId="{11edef74-129f-4607-b729-44dd68abdbc9}"/>
      </c:ext>
    </c:extLst>
  </c:chart>
  <c:spPr>
    <a:solidFill>
      <a:schemeClr val="bg1"/>
    </a:solidFill>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Pt>
            <c:idx val="2"/>
            <c:bubble3D val="0"/>
          </c:dPt>
          <c:dLbls>
            <c:dLbl>
              <c:idx val="0"/>
              <c:layout>
                <c:manualLayout>
                  <c:x val="-0.00197342454940139"/>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146.88</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万元，</a:t>
                    </a: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9.95</a:t>
                    </a:r>
                    <a:r>
                      <a:rPr lang="en-US" altLang="zh-CN" sz="10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a:t>
                    </a:r>
                    <a:endParaRPr lang="en-US" altLang="zh-CN"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1251.53</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万元，</a:t>
                    </a: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84.82</a:t>
                    </a:r>
                    <a:r>
                      <a:rPr lang="en-US" altLang="zh-CN" sz="10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a:t>
                    </a:r>
                    <a:endParaRPr lang="en-US" altLang="zh-CN"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0690698592290488"/>
                  <c:y val="-0.057413376309427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77.1万元，</a:t>
                    </a:r>
                    <a:r>
                      <a:rPr lang="en-US" altLang="zh-CN"/>
                      <a:t>5.23%</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[图标.xls]Sheet2!$A$1:$A$3</c:f>
              <c:strCache>
                <c:ptCount val="3"/>
                <c:pt idx="0">
                  <c:v>社会保障和就业支出</c:v>
                </c:pt>
                <c:pt idx="1">
                  <c:v>卫生健康支出</c:v>
                </c:pt>
                <c:pt idx="2">
                  <c:v>住房保障支出</c:v>
                </c:pt>
              </c:strCache>
            </c:strRef>
          </c:cat>
          <c:val>
            <c:numRef>
              <c:f>[图标.xls]Sheet2!$B$1:$B$3</c:f>
              <c:numCache>
                <c:formatCode>General</c:formatCode>
                <c:ptCount val="3"/>
                <c:pt idx="0">
                  <c:v>146.88</c:v>
                </c:pt>
                <c:pt idx="1">
                  <c:v>1251.53</c:v>
                </c:pt>
                <c:pt idx="2">
                  <c:v>77.1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821710526315789"/>
          <c:y val="0.207292506043513"/>
          <c:w val="0.1125"/>
          <c:h val="0.53182917002417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29554fb-96ff-4d6e-8653-a36464799c3e}"/>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a:solidFill>
                  <a:schemeClr val="bg1"/>
                </a:solidFill>
              </a:ln>
              <a:effectLst/>
            </c:spPr>
          </c:dPt>
          <c:dLbls>
            <c:dLbl>
              <c:idx val="0"/>
              <c:layout>
                <c:manualLayout>
                  <c:x val="-0.00394684909880279"/>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1.66</a:t>
                    </a:r>
                    <a:r>
                      <a:rPr sz="1000" b="0" i="0" u="none" strike="noStrike" baseline="0">
                        <a:solidFill>
                          <a:srgbClr val="333333"/>
                        </a:solidFill>
                        <a:latin typeface="宋体" panose="02010600030101010101" charset="-122"/>
                        <a:ea typeface="宋体" panose="02010600030101010101" charset="-122"/>
                        <a:cs typeface="宋体" panose="02010600030101010101" charset="-122"/>
                      </a:rPr>
                      <a:t>万元，</a:t>
                    </a:r>
                    <a:r>
                      <a:rPr lang="en-US" altLang="zh-CN" sz="1000" b="0" i="0" u="none" strike="noStrike" baseline="0">
                        <a:solidFill>
                          <a:srgbClr val="333333"/>
                        </a:solidFill>
                        <a:latin typeface="宋体" panose="02010600030101010101" charset="-122"/>
                        <a:ea typeface="宋体" panose="02010600030101010101" charset="-122"/>
                        <a:cs typeface="宋体" panose="02010600030101010101" charset="-122"/>
                      </a:rPr>
                      <a:t>100</a:t>
                    </a:r>
                    <a:r>
                      <a:rPr lang="en-US" altLang="zh-CN" sz="10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a:t>
                    </a:r>
                    <a:endParaRPr lang="en-US" altLang="zh-CN"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[图标.xls]Sheet2!$A$1</c:f>
              <c:strCache>
                <c:ptCount val="1"/>
                <c:pt idx="0">
                  <c:v>“三公”经费财政拨款支出</c:v>
                </c:pt>
              </c:strCache>
            </c:strRef>
          </c:cat>
          <c:val>
            <c:numRef>
              <c:f>[图标.xls]Sheet2!$B$1</c:f>
              <c:numCache>
                <c:formatCode>General</c:formatCode>
                <c:ptCount val="1"/>
                <c:pt idx="0">
                  <c:v>1.66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821710526315789"/>
          <c:y val="0.207292506043513"/>
          <c:w val="0.1125"/>
          <c:h val="0.53182917002417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636fa65-bc51-446c-9393-66041bfd6df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5676</Words>
  <Characters>6607</Characters>
  <Lines>54</Lines>
  <Paragraphs>15</Paragraphs>
  <TotalTime>12</TotalTime>
  <ScaleCrop>false</ScaleCrop>
  <LinksUpToDate>false</LinksUpToDate>
  <CharactersWithSpaces>6782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2020-08-11T01:49:00Z</dcterms:created>
  <dc:creator>曹颖</dc:creator>
  <cp:lastModifiedBy>kylin</cp:lastModifiedBy>
  <cp:lastPrinted>2024-09-23T01:57:00Z</cp:lastPrinted>
  <dcterms:modified xsi:type="dcterms:W3CDTF">2026-09-02T09:40:09Z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E13EF520D2EE5673DAA68E6A7683D11C_43</vt:lpwstr>
  </property>
  <property fmtid="{D5CDD505-2E9C-101B-9397-08002B2CF9AE}" pid="4" name="KSOTemplateDocerSaveRecord">
    <vt:lpwstr>eyJoZGlkIjoiMmQ0M2ZiMGQ3ZmM3MzJjYzViMmE5M2ZhZDRlMDc0NmMiLCJ1c2VySWQiOiI0NDA1MzkyNTUifQ==</vt:lpwstr>
  </property>
</Properties>
</file>