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24F07">
      <w:pPr>
        <w:pStyle w:val="3"/>
        <w:keepLines w:val="0"/>
        <w:pageBreakBefore w:val="0"/>
        <w:widowControl/>
        <w:kinsoku/>
        <w:wordWrap/>
        <w:overflowPunct/>
        <w:topLinePunct w:val="0"/>
        <w:autoSpaceDE/>
        <w:autoSpaceDN/>
        <w:bidi w:val="0"/>
        <w:adjustRightInd/>
        <w:snapToGrid/>
        <w:spacing w:line="360" w:lineRule="auto"/>
        <w:jc w:val="both"/>
        <w:textAlignment w:val="auto"/>
        <w:rPr>
          <w:rFonts w:hint="eastAsia" w:ascii="方正小标宋简体" w:hAnsi="方正小标宋简体" w:eastAsia="方正小标宋简体" w:cs="方正小标宋简体"/>
          <w:b w:val="0"/>
          <w:bCs w:val="0"/>
          <w:i w:val="0"/>
          <w:iCs w:val="0"/>
          <w:sz w:val="44"/>
          <w:szCs w:val="44"/>
        </w:rPr>
      </w:pPr>
    </w:p>
    <w:p w14:paraId="01D3E971">
      <w:pPr>
        <w:pStyle w:val="3"/>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i w:val="0"/>
          <w:iCs w:val="0"/>
          <w:sz w:val="44"/>
          <w:szCs w:val="44"/>
        </w:rPr>
      </w:pPr>
      <w:r>
        <w:rPr>
          <w:rFonts w:hint="eastAsia" w:ascii="方正小标宋简体" w:hAnsi="方正小标宋简体" w:eastAsia="方正小标宋简体" w:cs="方正小标宋简体"/>
          <w:b w:val="0"/>
          <w:bCs w:val="0"/>
          <w:i w:val="0"/>
          <w:iCs w:val="0"/>
          <w:sz w:val="44"/>
          <w:szCs w:val="44"/>
        </w:rPr>
        <w:t>202</w:t>
      </w:r>
      <w:r>
        <w:rPr>
          <w:rFonts w:hint="eastAsia" w:ascii="方正小标宋简体" w:hAnsi="方正小标宋简体" w:eastAsia="方正小标宋简体" w:cs="方正小标宋简体"/>
          <w:b w:val="0"/>
          <w:bCs w:val="0"/>
          <w:i w:val="0"/>
          <w:iCs w:val="0"/>
          <w:sz w:val="44"/>
          <w:szCs w:val="44"/>
          <w:lang w:val="en-US" w:eastAsia="zh-CN"/>
        </w:rPr>
        <w:t>5</w:t>
      </w:r>
      <w:r>
        <w:rPr>
          <w:rFonts w:hint="eastAsia" w:ascii="方正小标宋简体" w:hAnsi="方正小标宋简体" w:eastAsia="方正小标宋简体" w:cs="方正小标宋简体"/>
          <w:b w:val="0"/>
          <w:bCs w:val="0"/>
          <w:i w:val="0"/>
          <w:iCs w:val="0"/>
          <w:sz w:val="44"/>
          <w:szCs w:val="44"/>
        </w:rPr>
        <w:t>年度</w:t>
      </w:r>
    </w:p>
    <w:p w14:paraId="166F3E5A">
      <w:pPr>
        <w:pStyle w:val="3"/>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阿坝州茂县</w:t>
      </w:r>
      <w:r>
        <w:rPr>
          <w:rFonts w:hint="eastAsia" w:ascii="方正小标宋简体" w:hAnsi="方正小标宋简体" w:eastAsia="方正小标宋简体" w:cs="方正小标宋简体"/>
          <w:b w:val="0"/>
          <w:bCs w:val="0"/>
          <w:sz w:val="44"/>
          <w:szCs w:val="44"/>
          <w:lang w:val="en-US" w:eastAsia="zh-CN"/>
        </w:rPr>
        <w:t>森林草原防灭火应急服务中心</w:t>
      </w:r>
    </w:p>
    <w:p w14:paraId="26BA42B7">
      <w:pPr>
        <w:pStyle w:val="3"/>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i w:val="0"/>
          <w:iCs w:val="0"/>
          <w:sz w:val="44"/>
          <w:szCs w:val="44"/>
        </w:rPr>
      </w:pPr>
      <w:r>
        <w:rPr>
          <w:rFonts w:hint="eastAsia" w:ascii="方正小标宋简体" w:hAnsi="方正小标宋简体" w:eastAsia="方正小标宋简体" w:cs="方正小标宋简体"/>
          <w:b w:val="0"/>
          <w:bCs w:val="0"/>
          <w:i w:val="0"/>
          <w:color w:val="auto"/>
          <w:sz w:val="44"/>
          <w:szCs w:val="44"/>
          <w:u w:val="none"/>
        </w:rPr>
        <w:t>单位决算</w:t>
      </w:r>
    </w:p>
    <w:p w14:paraId="4E8845D0">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i w:val="0"/>
          <w:iCs w:val="0"/>
          <w:sz w:val="24"/>
          <w:szCs w:val="24"/>
        </w:rPr>
        <w:br w:type="textWrapping"/>
      </w:r>
      <w:r>
        <w:rPr>
          <w:rFonts w:ascii="Times New Roman" w:hAnsi="Times New Roman" w:eastAsia="Times New Roman" w:cs="Times New Roman"/>
          <w:i w:val="0"/>
          <w:iCs w:val="0"/>
          <w:sz w:val="24"/>
          <w:szCs w:val="24"/>
        </w:rPr>
        <w:t> </w:t>
      </w:r>
    </w:p>
    <w:p w14:paraId="230C47F7">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1740D3E0">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7CDA4743">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278A1873">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7705327E">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 </w:t>
      </w:r>
    </w:p>
    <w:p w14:paraId="21FCB54F">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0075688D">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583624DE">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02FDE0CC">
      <w:pPr>
        <w:pStyle w:val="5"/>
        <w:ind w:firstLine="1396" w:firstLineChars="582"/>
        <w:rPr>
          <w:rFonts w:hint="eastAsia" w:ascii="仿宋_GB2312" w:hAnsi="仿宋_GB2312" w:eastAsia="仿宋_GB2312" w:cs="仿宋_GB2312"/>
          <w:sz w:val="32"/>
          <w:szCs w:val="32"/>
        </w:rPr>
      </w:pPr>
      <w:r>
        <w:rPr>
          <w:rFonts w:ascii="Times New Roman" w:hAnsi="Times New Roman" w:eastAsia="Times New Roman" w:cs="Times New Roman"/>
          <w:i w:val="0"/>
          <w:iCs w:val="0"/>
          <w:sz w:val="24"/>
          <w:szCs w:val="24"/>
        </w:rPr>
        <w:t> </w:t>
      </w:r>
      <w:r>
        <w:rPr>
          <w:rFonts w:hint="eastAsia" w:ascii="仿宋_GB2312" w:hAnsi="仿宋_GB2312" w:eastAsia="仿宋_GB2312" w:cs="仿宋_GB2312"/>
          <w:sz w:val="32"/>
          <w:szCs w:val="32"/>
        </w:rPr>
        <w:t>已经保密审查，内容审定，同意对外公开</w:t>
      </w:r>
    </w:p>
    <w:p w14:paraId="0D1123CF">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1511EAA3">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57868AE4">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71BADFFB">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3743624E">
      <w:pPr>
        <w:pStyle w:val="3"/>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pPr>
    </w:p>
    <w:p w14:paraId="3AA8B4A0">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352EA92D">
      <w:pPr>
        <w:pStyle w:val="3"/>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7CC4D3C2">
      <w:pPr>
        <w:pStyle w:val="3"/>
        <w:keepLines w:val="0"/>
        <w:pageBreakBefore w:val="0"/>
        <w:widowControl/>
        <w:kinsoku/>
        <w:wordWrap/>
        <w:overflowPunct/>
        <w:topLinePunct w:val="0"/>
        <w:autoSpaceDE/>
        <w:autoSpaceDN/>
        <w:bidi w:val="0"/>
        <w:adjustRightInd/>
        <w:snapToGrid/>
        <w:spacing w:line="360" w:lineRule="auto"/>
        <w:jc w:val="center"/>
        <w:textAlignment w:val="auto"/>
        <w:rPr>
          <w:rFonts w:ascii="Times New Roman" w:hAnsi="Times New Roman" w:eastAsia="Times New Roman" w:cs="Times New Roman"/>
          <w:i w:val="0"/>
          <w:iCs w:val="0"/>
          <w:sz w:val="24"/>
          <w:szCs w:val="24"/>
        </w:rPr>
      </w:pPr>
    </w:p>
    <w:p w14:paraId="42ECA897">
      <w:pPr>
        <w:pStyle w:val="3"/>
        <w:keepLines w:val="0"/>
        <w:pageBreakBefore w:val="0"/>
        <w:widowControl/>
        <w:kinsoku/>
        <w:wordWrap/>
        <w:overflowPunct/>
        <w:topLinePunct w:val="0"/>
        <w:autoSpaceDE/>
        <w:autoSpaceDN/>
        <w:bidi w:val="0"/>
        <w:adjustRightInd/>
        <w:snapToGrid/>
        <w:spacing w:line="360" w:lineRule="auto"/>
        <w:jc w:val="center"/>
        <w:textAlignment w:val="auto"/>
        <w:rPr>
          <w:rFonts w:ascii="Times New Roman" w:hAnsi="Times New Roman" w:eastAsia="Times New Roman" w:cs="Times New Roman"/>
          <w:i w:val="0"/>
          <w:iCs w:val="0"/>
          <w:sz w:val="24"/>
          <w:szCs w:val="24"/>
        </w:rPr>
      </w:pPr>
    </w:p>
    <w:p w14:paraId="57A5256E">
      <w:pPr>
        <w:pStyle w:val="3"/>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eastAsia="Times New Roman" w:cs="Times New Roman"/>
          <w:i w:val="0"/>
          <w:iCs w:val="0"/>
          <w:sz w:val="24"/>
          <w:szCs w:val="24"/>
        </w:rPr>
      </w:pPr>
    </w:p>
    <w:p w14:paraId="449BB2D9">
      <w:pPr>
        <w:pStyle w:val="3"/>
        <w:keepLines w:val="0"/>
        <w:pageBreakBefore w:val="0"/>
        <w:widowControl/>
        <w:kinsoku/>
        <w:wordWrap/>
        <w:overflowPunct/>
        <w:topLinePunct w:val="0"/>
        <w:autoSpaceDE/>
        <w:autoSpaceDN/>
        <w:bidi w:val="0"/>
        <w:adjustRightInd/>
        <w:snapToGrid/>
        <w:spacing w:line="360" w:lineRule="auto"/>
        <w:jc w:val="center"/>
        <w:textAlignment w:val="auto"/>
        <w:rPr>
          <w:i w:val="0"/>
          <w:iCs w:val="0"/>
          <w:sz w:val="48"/>
          <w:szCs w:val="48"/>
        </w:rPr>
      </w:pPr>
      <w:r>
        <w:rPr>
          <w:rFonts w:ascii="黑体" w:hAnsi="黑体" w:eastAsia="黑体" w:cs="黑体"/>
          <w:i w:val="0"/>
          <w:iCs w:val="0"/>
          <w:sz w:val="48"/>
          <w:szCs w:val="48"/>
        </w:rPr>
        <w:t>目录</w:t>
      </w:r>
    </w:p>
    <w:p w14:paraId="12E83F30">
      <w:pPr>
        <w:pStyle w:val="8"/>
        <w:tabs>
          <w:tab w:val="right" w:leader="dot" w:pos="8296"/>
        </w:tabs>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公开</w:t>
      </w:r>
      <w:r>
        <w:rPr>
          <w:rFonts w:hint="eastAsia" w:ascii="仿宋" w:hAnsi="仿宋" w:eastAsia="仿宋" w:cs="仿宋"/>
          <w:color w:val="auto"/>
          <w:sz w:val="32"/>
          <w:szCs w:val="32"/>
          <w:highlight w:val="none"/>
          <w:lang w:val="en-US" w:eastAsia="zh-CN"/>
        </w:rPr>
        <w:t>时间</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年</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日</w:t>
      </w:r>
    </w:p>
    <w:p w14:paraId="6D581FDA">
      <w:pPr>
        <w:pStyle w:val="3"/>
        <w:keepLines w:val="0"/>
        <w:pageBreakBefore w:val="0"/>
        <w:widowControl/>
        <w:kinsoku/>
        <w:wordWrap/>
        <w:overflowPunct/>
        <w:topLinePunct w:val="0"/>
        <w:autoSpaceDE/>
        <w:autoSpaceDN/>
        <w:bidi w:val="0"/>
        <w:adjustRightInd/>
        <w:snapToGrid/>
        <w:spacing w:line="360" w:lineRule="auto"/>
        <w:jc w:val="both"/>
        <w:textAlignment w:val="auto"/>
        <w:rPr>
          <w:i w:val="0"/>
          <w:iCs w:val="0"/>
          <w:sz w:val="32"/>
          <w:szCs w:val="32"/>
        </w:rPr>
      </w:pPr>
      <w:r>
        <w:rPr>
          <w:rFonts w:ascii="Times New Roman" w:hAnsi="Times New Roman" w:eastAsia="Times New Roman" w:cs="Times New Roman"/>
          <w:i w:val="0"/>
          <w:iCs w:val="0"/>
          <w:sz w:val="32"/>
          <w:szCs w:val="32"/>
        </w:rPr>
        <w:t> </w:t>
      </w:r>
    </w:p>
    <w:sdt>
      <w:sdtPr>
        <w:rPr>
          <w:rFonts w:ascii="宋体" w:hAnsi="宋体" w:eastAsia="宋体" w:cs="Times New Roman"/>
          <w:sz w:val="32"/>
          <w:szCs w:val="32"/>
          <w:lang w:val="en-US" w:eastAsia="en-US" w:bidi="ar-SA"/>
        </w:rPr>
        <w:id w:val="147454269"/>
        <w15:color w:val="DBDBDB"/>
        <w:docPartObj>
          <w:docPartGallery w:val="Table of Contents"/>
          <w:docPartUnique/>
        </w:docPartObj>
      </w:sdtPr>
      <w:sdtEndPr>
        <w:rPr>
          <w:rFonts w:ascii="Times New Roman" w:hAnsi="Times New Roman" w:eastAsia="Times New Roman" w:cs="Times New Roman"/>
          <w:i w:val="0"/>
          <w:iCs w:val="0"/>
          <w:sz w:val="24"/>
          <w:szCs w:val="32"/>
          <w:lang w:val="en-US" w:eastAsia="en-US" w:bidi="ar-SA"/>
        </w:rPr>
      </w:sdtEndPr>
      <w:sdtContent>
        <w:p w14:paraId="2CB9A4F0">
          <w:pPr>
            <w:pStyle w:val="3"/>
            <w:spacing w:before="0" w:beforeLines="0" w:after="0" w:afterLines="0" w:line="240" w:lineRule="auto"/>
            <w:ind w:left="0" w:leftChars="0" w:right="0" w:rightChars="0" w:firstLine="0" w:firstLineChars="0"/>
            <w:jc w:val="center"/>
            <w:rPr>
              <w:sz w:val="32"/>
              <w:szCs w:val="32"/>
            </w:rPr>
          </w:pPr>
        </w:p>
        <w:p w14:paraId="740817FE">
          <w:pPr>
            <w:pStyle w:val="8"/>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i w:val="0"/>
              <w:iCs w:val="0"/>
              <w:sz w:val="32"/>
              <w:szCs w:val="32"/>
            </w:rPr>
            <w:fldChar w:fldCharType="begin"/>
          </w:r>
          <w:r>
            <w:rPr>
              <w:i w:val="0"/>
              <w:iCs w:val="0"/>
              <w:sz w:val="32"/>
              <w:szCs w:val="32"/>
            </w:rPr>
            <w:instrText xml:space="preserve">TOC \o "1-2" \h \u</w:instrText>
          </w:r>
          <w:r>
            <w:rPr>
              <w:i w:val="0"/>
              <w:iCs w:val="0"/>
              <w:sz w:val="32"/>
              <w:szCs w:val="32"/>
            </w:rPr>
            <w:fldChar w:fldCharType="separate"/>
          </w:r>
          <w:r>
            <w:rPr>
              <w:sz w:val="32"/>
              <w:szCs w:val="32"/>
            </w:rPr>
            <w:fldChar w:fldCharType="begin"/>
          </w:r>
          <w:r>
            <w:rPr>
              <w:sz w:val="32"/>
              <w:szCs w:val="32"/>
            </w:rPr>
            <w:instrText xml:space="preserve"> HYPERLINK \l "_Toc6788" </w:instrText>
          </w:r>
          <w:r>
            <w:rPr>
              <w:sz w:val="32"/>
              <w:szCs w:val="32"/>
            </w:rPr>
            <w:fldChar w:fldCharType="separate"/>
          </w:r>
          <w:r>
            <w:rPr>
              <w:rFonts w:hint="eastAsia" w:ascii="方正小标宋简体" w:hAnsi="方正小标宋简体" w:eastAsia="方正小标宋简体" w:cs="方正小标宋简体"/>
              <w:i w:val="0"/>
              <w:iCs w:val="0"/>
              <w:sz w:val="32"/>
              <w:szCs w:val="32"/>
            </w:rPr>
            <w:t xml:space="preserve">第一部分 </w:t>
          </w:r>
          <w:r>
            <w:rPr>
              <w:rFonts w:hint="eastAsia" w:ascii="方正小标宋简体" w:hAnsi="方正小标宋简体" w:eastAsia="方正小标宋简体" w:cs="方正小标宋简体"/>
              <w:i w:val="0"/>
              <w:iCs w:val="0"/>
              <w:sz w:val="32"/>
              <w:szCs w:val="32"/>
              <w:lang w:val="en-US" w:eastAsia="zh-CN"/>
            </w:rPr>
            <w:t>单位</w:t>
          </w:r>
          <w:r>
            <w:rPr>
              <w:rFonts w:hint="eastAsia" w:ascii="方正小标宋简体" w:hAnsi="方正小标宋简体" w:eastAsia="方正小标宋简体" w:cs="方正小标宋简体"/>
              <w:i w:val="0"/>
              <w:iCs w:val="0"/>
              <w:sz w:val="32"/>
              <w:szCs w:val="32"/>
            </w:rPr>
            <w:t>概况</w:t>
          </w:r>
          <w:r>
            <w:rPr>
              <w:sz w:val="32"/>
              <w:szCs w:val="32"/>
            </w:rPr>
            <w:tab/>
          </w:r>
          <w:r>
            <w:rPr>
              <w:rFonts w:hint="eastAsia" w:eastAsia="宋体"/>
              <w:sz w:val="32"/>
              <w:szCs w:val="32"/>
              <w:lang w:val="en-US" w:eastAsia="zh-CN"/>
            </w:rPr>
            <w:t>4</w:t>
          </w:r>
          <w:r>
            <w:rPr>
              <w:sz w:val="32"/>
              <w:szCs w:val="32"/>
            </w:rPr>
            <w:fldChar w:fldCharType="end"/>
          </w:r>
        </w:p>
        <w:p w14:paraId="5D0AEFC4">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"_Toc8060" </w:instrText>
          </w:r>
          <w:r>
            <w:rPr>
              <w:sz w:val="32"/>
              <w:szCs w:val="32"/>
            </w:rPr>
            <w:fldChar w:fldCharType="separate"/>
          </w:r>
          <w:r>
            <w:rPr>
              <w:rFonts w:hint="eastAsia" w:ascii="仿宋" w:hAnsi="仿宋" w:eastAsia="仿宋" w:cs="仿宋"/>
              <w:bCs w:val="0"/>
              <w:i w:val="0"/>
              <w:iCs w:val="0"/>
              <w:sz w:val="32"/>
              <w:szCs w:val="32"/>
            </w:rPr>
            <w:t>一、</w:t>
          </w:r>
          <w:r>
            <w:rPr>
              <w:rFonts w:hint="eastAsia" w:ascii="仿宋" w:hAnsi="仿宋" w:eastAsia="仿宋" w:cs="仿宋"/>
              <w:bCs w:val="0"/>
              <w:i w:val="0"/>
              <w:iCs w:val="0"/>
              <w:sz w:val="32"/>
              <w:szCs w:val="32"/>
              <w:lang w:val="en-US" w:eastAsia="zh-CN"/>
            </w:rPr>
            <w:t>主要</w:t>
          </w:r>
          <w:r>
            <w:rPr>
              <w:rFonts w:hint="eastAsia" w:ascii="仿宋" w:hAnsi="仿宋" w:eastAsia="仿宋" w:cs="仿宋"/>
              <w:bCs w:val="0"/>
              <w:i w:val="0"/>
              <w:iCs w:val="0"/>
              <w:sz w:val="32"/>
              <w:szCs w:val="32"/>
            </w:rPr>
            <w:t>职责</w:t>
          </w:r>
          <w:r>
            <w:rPr>
              <w:rFonts w:hint="eastAsia" w:ascii="仿宋" w:hAnsi="仿宋" w:eastAsia="仿宋" w:cs="仿宋"/>
              <w:sz w:val="32"/>
              <w:szCs w:val="32"/>
            </w:rPr>
            <w:tab/>
          </w:r>
          <w:r>
            <w:rPr>
              <w:rFonts w:hint="eastAsia" w:ascii="仿宋" w:hAnsi="仿宋" w:eastAsia="仿宋" w:cs="仿宋"/>
              <w:sz w:val="32"/>
              <w:szCs w:val="32"/>
              <w:lang w:val="en-US" w:eastAsia="zh-CN"/>
            </w:rPr>
            <w:t>4</w:t>
          </w:r>
          <w:r>
            <w:rPr>
              <w:rFonts w:hint="eastAsia" w:ascii="仿宋" w:hAnsi="仿宋" w:eastAsia="仿宋" w:cs="仿宋"/>
              <w:sz w:val="32"/>
              <w:szCs w:val="32"/>
            </w:rPr>
            <w:fldChar w:fldCharType="end"/>
          </w:r>
        </w:p>
        <w:p w14:paraId="1C1FE0A5">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"_Toc10263" </w:instrText>
          </w:r>
          <w:r>
            <w:rPr>
              <w:sz w:val="32"/>
              <w:szCs w:val="32"/>
            </w:rPr>
            <w:fldChar w:fldCharType="separate"/>
          </w:r>
          <w:r>
            <w:rPr>
              <w:rFonts w:hint="eastAsia" w:ascii="仿宋" w:hAnsi="仿宋" w:eastAsia="仿宋" w:cs="仿宋"/>
              <w:bCs w:val="0"/>
              <w:i w:val="0"/>
              <w:iCs w:val="0"/>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_Toc10263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38918AA">
          <w:pPr>
            <w:pStyle w:val="8"/>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"_Toc24432" </w:instrText>
          </w:r>
          <w:r>
            <w:rPr>
              <w:sz w:val="32"/>
              <w:szCs w:val="32"/>
            </w:rPr>
            <w:fldChar w:fldCharType="separate"/>
          </w:r>
          <w:r>
            <w:rPr>
              <w:rFonts w:hint="eastAsia" w:ascii="方正小标宋简体" w:hAnsi="方正小标宋简体" w:eastAsia="方正小标宋简体" w:cs="方正小标宋简体"/>
              <w:bCs/>
              <w:i w:val="0"/>
              <w:iCs w:val="0"/>
              <w:kern w:val="32"/>
              <w:sz w:val="32"/>
              <w:szCs w:val="32"/>
              <w:lang w:val="en-US" w:eastAsia="en-US" w:bidi="ar-SA"/>
            </w:rPr>
            <w:t>第二部分 2025年度</w:t>
          </w:r>
          <w:r>
            <w:rPr>
              <w:rFonts w:hint="eastAsia" w:ascii="方正小标宋简体" w:hAnsi="方正小标宋简体" w:eastAsia="方正小标宋简体" w:cs="方正小标宋简体"/>
              <w:bCs/>
              <w:i w:val="0"/>
              <w:iCs w:val="0"/>
              <w:kern w:val="32"/>
              <w:sz w:val="32"/>
              <w:szCs w:val="32"/>
              <w:lang w:val="en-US" w:eastAsia="zh-CN" w:bidi="ar-SA"/>
            </w:rPr>
            <w:t>单位</w:t>
          </w:r>
          <w:r>
            <w:rPr>
              <w:rFonts w:hint="eastAsia" w:ascii="方正小标宋简体" w:hAnsi="方正小标宋简体" w:eastAsia="方正小标宋简体" w:cs="方正小标宋简体"/>
              <w:bCs/>
              <w:i w:val="0"/>
              <w:iCs w:val="0"/>
              <w:kern w:val="32"/>
              <w:sz w:val="32"/>
              <w:szCs w:val="32"/>
              <w:lang w:val="en-US" w:eastAsia="en-US" w:bidi="ar-SA"/>
            </w:rPr>
            <w:t>决算情况说明</w:t>
          </w:r>
          <w:r>
            <w:rPr>
              <w:rFonts w:ascii="Times New Roman" w:hAnsi="Times New Roman" w:eastAsia="Times New Roman" w:cs="Times New Roman"/>
              <w:i w:val="0"/>
              <w:iCs w:val="0"/>
              <w:sz w:val="32"/>
              <w:szCs w:val="32"/>
            </w:rPr>
            <w:t> </w:t>
          </w:r>
          <w:r>
            <w:rPr>
              <w:sz w:val="32"/>
              <w:szCs w:val="32"/>
            </w:rPr>
            <w:tab/>
          </w:r>
          <w:r>
            <w:rPr>
              <w:rFonts w:hint="eastAsia" w:eastAsia="宋体"/>
              <w:sz w:val="32"/>
              <w:szCs w:val="32"/>
              <w:lang w:val="en-US" w:eastAsia="zh-CN"/>
            </w:rPr>
            <w:t>5</w:t>
          </w:r>
          <w:r>
            <w:rPr>
              <w:sz w:val="32"/>
              <w:szCs w:val="32"/>
            </w:rPr>
            <w:fldChar w:fldCharType="end"/>
          </w:r>
        </w:p>
        <w:p w14:paraId="4909C610">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"_Toc16089" </w:instrText>
          </w:r>
          <w:r>
            <w:rPr>
              <w:sz w:val="32"/>
              <w:szCs w:val="32"/>
            </w:rPr>
            <w:fldChar w:fldCharType="separate"/>
          </w:r>
          <w:r>
            <w:rPr>
              <w:rFonts w:hint="eastAsia" w:ascii="仿宋" w:hAnsi="仿宋" w:eastAsia="仿宋" w:cs="仿宋"/>
              <w:bCs w:val="0"/>
              <w:i w:val="0"/>
              <w:iCs w:val="0"/>
              <w:sz w:val="32"/>
              <w:szCs w:val="32"/>
            </w:rPr>
            <w:t>一、收入支出决算总体情况说明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_Toc16089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546D4AA">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"_Toc25971" </w:instrText>
          </w:r>
          <w:r>
            <w:rPr>
              <w:sz w:val="32"/>
              <w:szCs w:val="32"/>
            </w:rPr>
            <w:fldChar w:fldCharType="separate"/>
          </w:r>
          <w:r>
            <w:rPr>
              <w:rFonts w:hint="eastAsia" w:ascii="仿宋" w:hAnsi="仿宋" w:eastAsia="仿宋" w:cs="仿宋"/>
              <w:bCs w:val="0"/>
              <w:i w:val="0"/>
              <w:iCs w:val="0"/>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_Toc25971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E327283">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"_Toc25493" </w:instrText>
          </w:r>
          <w:r>
            <w:rPr>
              <w:sz w:val="32"/>
              <w:szCs w:val="32"/>
            </w:rPr>
            <w:fldChar w:fldCharType="separate"/>
          </w:r>
          <w:r>
            <w:rPr>
              <w:rFonts w:hint="eastAsia" w:ascii="仿宋" w:hAnsi="仿宋" w:eastAsia="仿宋" w:cs="仿宋"/>
              <w:bCs w:val="0"/>
              <w:i w:val="0"/>
              <w:iCs w:val="0"/>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_Toc25493 \h </w:instrText>
          </w:r>
          <w:r>
            <w:rPr>
              <w:rFonts w:hint="eastAsia" w:ascii="仿宋" w:hAnsi="仿宋" w:eastAsia="仿宋" w:cs="仿宋"/>
              <w:sz w:val="32"/>
              <w:szCs w:val="32"/>
            </w:rPr>
            <w:fldChar w:fldCharType="separate"/>
          </w:r>
          <w:r>
            <w:rPr>
              <w:rFonts w:hint="eastAsia" w:ascii="仿宋" w:hAnsi="仿宋" w:eastAsia="仿宋" w:cs="仿宋"/>
              <w:sz w:val="32"/>
              <w:szCs w:val="32"/>
            </w:rPr>
            <w:t>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713FD14">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"_Toc4623" </w:instrText>
          </w:r>
          <w:r>
            <w:rPr>
              <w:sz w:val="32"/>
              <w:szCs w:val="32"/>
            </w:rPr>
            <w:fldChar w:fldCharType="separate"/>
          </w:r>
          <w:r>
            <w:rPr>
              <w:rFonts w:hint="eastAsia" w:ascii="仿宋" w:hAnsi="仿宋" w:eastAsia="仿宋" w:cs="仿宋"/>
              <w:bCs w:val="0"/>
              <w:i w:val="0"/>
              <w:iCs w:val="0"/>
              <w:sz w:val="32"/>
              <w:szCs w:val="32"/>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_Toc4623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0D4939A">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"_Toc20463" </w:instrText>
          </w:r>
          <w:r>
            <w:rPr>
              <w:sz w:val="32"/>
              <w:szCs w:val="32"/>
            </w:rPr>
            <w:fldChar w:fldCharType="separate"/>
          </w:r>
          <w:r>
            <w:rPr>
              <w:rFonts w:hint="eastAsia" w:ascii="仿宋" w:hAnsi="仿宋" w:eastAsia="仿宋" w:cs="仿宋"/>
              <w:bCs w:val="0"/>
              <w:i w:val="0"/>
              <w:iCs w:val="0"/>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_Toc20463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2F48A0B">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"_Toc11922" </w:instrText>
          </w:r>
          <w:r>
            <w:rPr>
              <w:sz w:val="32"/>
              <w:szCs w:val="32"/>
            </w:rPr>
            <w:fldChar w:fldCharType="separate"/>
          </w:r>
          <w:r>
            <w:rPr>
              <w:rFonts w:hint="eastAsia" w:ascii="仿宋" w:hAnsi="仿宋" w:eastAsia="仿宋" w:cs="仿宋"/>
              <w:bCs w:val="0"/>
              <w:i w:val="0"/>
              <w:iCs w:val="0"/>
              <w:sz w:val="32"/>
              <w:szCs w:val="32"/>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_Toc11922 \h </w:instrText>
          </w:r>
          <w:r>
            <w:rPr>
              <w:rFonts w:hint="eastAsia" w:ascii="仿宋" w:hAnsi="仿宋" w:eastAsia="仿宋" w:cs="仿宋"/>
              <w:sz w:val="32"/>
              <w:szCs w:val="32"/>
            </w:rPr>
            <w:fldChar w:fldCharType="separate"/>
          </w:r>
          <w:r>
            <w:rPr>
              <w:rFonts w:hint="eastAsia" w:ascii="仿宋" w:hAnsi="仿宋" w:eastAsia="仿宋" w:cs="仿宋"/>
              <w:sz w:val="32"/>
              <w:szCs w:val="32"/>
            </w:rPr>
            <w:t>11</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D0C907C">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"_Toc11602" </w:instrText>
          </w:r>
          <w:r>
            <w:rPr>
              <w:sz w:val="32"/>
              <w:szCs w:val="32"/>
            </w:rPr>
            <w:fldChar w:fldCharType="separate"/>
          </w:r>
          <w:r>
            <w:rPr>
              <w:rFonts w:hint="eastAsia" w:ascii="仿宋" w:hAnsi="仿宋" w:eastAsia="仿宋" w:cs="仿宋"/>
              <w:bCs w:val="0"/>
              <w:i w:val="0"/>
              <w:iCs w:val="0"/>
              <w:sz w:val="32"/>
              <w:szCs w:val="32"/>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_Toc11602 \h </w:instrText>
          </w:r>
          <w:r>
            <w:rPr>
              <w:rFonts w:hint="eastAsia" w:ascii="仿宋" w:hAnsi="仿宋" w:eastAsia="仿宋" w:cs="仿宋"/>
              <w:sz w:val="32"/>
              <w:szCs w:val="32"/>
            </w:rPr>
            <w:fldChar w:fldCharType="separate"/>
          </w:r>
          <w:r>
            <w:rPr>
              <w:rFonts w:hint="eastAsia" w:ascii="仿宋" w:hAnsi="仿宋" w:eastAsia="仿宋" w:cs="仿宋"/>
              <w:sz w:val="32"/>
              <w:szCs w:val="32"/>
            </w:rPr>
            <w:t>11</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C56BB8A">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"_Toc30406" </w:instrText>
          </w:r>
          <w:r>
            <w:rPr>
              <w:sz w:val="32"/>
              <w:szCs w:val="32"/>
            </w:rPr>
            <w:fldChar w:fldCharType="separate"/>
          </w:r>
          <w:r>
            <w:rPr>
              <w:rFonts w:hint="eastAsia" w:ascii="仿宋" w:hAnsi="仿宋" w:eastAsia="仿宋" w:cs="仿宋"/>
              <w:bCs w:val="0"/>
              <w:i w:val="0"/>
              <w:iCs w:val="0"/>
              <w:sz w:val="32"/>
              <w:szCs w:val="32"/>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_Toc30406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8ACF4FF">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"_Toc18496" </w:instrText>
          </w:r>
          <w:r>
            <w:rPr>
              <w:sz w:val="32"/>
              <w:szCs w:val="32"/>
            </w:rPr>
            <w:fldChar w:fldCharType="separate"/>
          </w:r>
          <w:r>
            <w:rPr>
              <w:rFonts w:hint="eastAsia" w:ascii="仿宋" w:hAnsi="仿宋" w:eastAsia="仿宋" w:cs="仿宋"/>
              <w:bCs w:val="0"/>
              <w:i w:val="0"/>
              <w:iCs w:val="0"/>
              <w:sz w:val="32"/>
              <w:szCs w:val="32"/>
            </w:rPr>
            <w:t>九、国有资本经营预算支出决算情况说明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_Toc18496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3C100F9">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"_Toc3455" </w:instrText>
          </w:r>
          <w:r>
            <w:rPr>
              <w:sz w:val="32"/>
              <w:szCs w:val="32"/>
            </w:rPr>
            <w:fldChar w:fldCharType="separate"/>
          </w:r>
          <w:r>
            <w:rPr>
              <w:rFonts w:hint="eastAsia" w:ascii="仿宋" w:hAnsi="仿宋" w:eastAsia="仿宋" w:cs="仿宋"/>
              <w:bCs w:val="0"/>
              <w:i w:val="0"/>
              <w:iCs w:val="0"/>
              <w:sz w:val="32"/>
              <w:szCs w:val="32"/>
            </w:rPr>
            <w:t>十、其他重要事项的情况说明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_Toc3455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E315B77">
          <w:pPr>
            <w:pStyle w:val="8"/>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"_Toc1841" </w:instrText>
          </w:r>
          <w:r>
            <w:rPr>
              <w:sz w:val="32"/>
              <w:szCs w:val="32"/>
            </w:rPr>
            <w:fldChar w:fldCharType="separate"/>
          </w:r>
          <w:r>
            <w:rPr>
              <w:rFonts w:ascii="黑体" w:hAnsi="黑体" w:eastAsia="黑体" w:cs="黑体"/>
              <w:i w:val="0"/>
              <w:iCs w:val="0"/>
              <w:sz w:val="32"/>
              <w:szCs w:val="32"/>
            </w:rPr>
            <w:t>第三部分</w:t>
          </w:r>
          <w:r>
            <w:rPr>
              <w:rFonts w:ascii="Calibri" w:hAnsi="Calibri" w:eastAsia="Calibri" w:cs="Calibri"/>
              <w:i w:val="0"/>
              <w:iCs w:val="0"/>
              <w:sz w:val="32"/>
              <w:szCs w:val="32"/>
            </w:rPr>
            <w:t> </w:t>
          </w:r>
          <w:r>
            <w:rPr>
              <w:rFonts w:ascii="黑体" w:hAnsi="黑体" w:eastAsia="黑体" w:cs="黑体"/>
              <w:i w:val="0"/>
              <w:iCs w:val="0"/>
              <w:sz w:val="32"/>
              <w:szCs w:val="32"/>
            </w:rPr>
            <w:t>名词解释</w:t>
          </w:r>
          <w:r>
            <w:rPr>
              <w:sz w:val="32"/>
              <w:szCs w:val="32"/>
            </w:rPr>
            <w:tab/>
          </w:r>
          <w:r>
            <w:rPr>
              <w:sz w:val="32"/>
              <w:szCs w:val="32"/>
            </w:rPr>
            <w:fldChar w:fldCharType="begin"/>
          </w:r>
          <w:r>
            <w:rPr>
              <w:sz w:val="32"/>
              <w:szCs w:val="32"/>
            </w:rPr>
            <w:instrText xml:space="preserve"> PAGEREF _Toc1841 \h </w:instrText>
          </w:r>
          <w:r>
            <w:rPr>
              <w:sz w:val="32"/>
              <w:szCs w:val="32"/>
            </w:rPr>
            <w:fldChar w:fldCharType="separate"/>
          </w:r>
          <w:r>
            <w:rPr>
              <w:sz w:val="32"/>
              <w:szCs w:val="32"/>
            </w:rPr>
            <w:t>15</w:t>
          </w:r>
          <w:r>
            <w:rPr>
              <w:sz w:val="32"/>
              <w:szCs w:val="32"/>
            </w:rPr>
            <w:fldChar w:fldCharType="end"/>
          </w:r>
          <w:r>
            <w:rPr>
              <w:sz w:val="32"/>
              <w:szCs w:val="32"/>
            </w:rPr>
            <w:fldChar w:fldCharType="end"/>
          </w:r>
        </w:p>
        <w:p w14:paraId="3D5C57E2">
          <w:pPr>
            <w:pStyle w:val="8"/>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"_Toc6779" </w:instrText>
          </w:r>
          <w:r>
            <w:rPr>
              <w:sz w:val="32"/>
              <w:szCs w:val="32"/>
            </w:rPr>
            <w:fldChar w:fldCharType="separate"/>
          </w:r>
          <w:r>
            <w:rPr>
              <w:rFonts w:ascii="黑体" w:hAnsi="黑体" w:eastAsia="黑体" w:cs="黑体"/>
              <w:i w:val="0"/>
              <w:iCs w:val="0"/>
              <w:sz w:val="32"/>
              <w:szCs w:val="32"/>
            </w:rPr>
            <w:t>第四部分 附件</w:t>
          </w:r>
          <w:r>
            <w:rPr>
              <w:sz w:val="32"/>
              <w:szCs w:val="32"/>
            </w:rPr>
            <w:tab/>
          </w:r>
          <w:r>
            <w:rPr>
              <w:sz w:val="32"/>
              <w:szCs w:val="32"/>
            </w:rPr>
            <w:fldChar w:fldCharType="begin"/>
          </w:r>
          <w:r>
            <w:rPr>
              <w:sz w:val="32"/>
              <w:szCs w:val="32"/>
            </w:rPr>
            <w:instrText xml:space="preserve"> PAGEREF _Toc6779 \h </w:instrText>
          </w:r>
          <w:r>
            <w:rPr>
              <w:sz w:val="32"/>
              <w:szCs w:val="32"/>
            </w:rPr>
            <w:fldChar w:fldCharType="separate"/>
          </w:r>
          <w:r>
            <w:rPr>
              <w:sz w:val="32"/>
              <w:szCs w:val="32"/>
            </w:rPr>
            <w:t>18</w:t>
          </w:r>
          <w:r>
            <w:rPr>
              <w:sz w:val="32"/>
              <w:szCs w:val="32"/>
            </w:rPr>
            <w:fldChar w:fldCharType="end"/>
          </w:r>
          <w:r>
            <w:rPr>
              <w:sz w:val="32"/>
              <w:szCs w:val="32"/>
            </w:rPr>
            <w:fldChar w:fldCharType="end"/>
          </w:r>
        </w:p>
        <w:p w14:paraId="04EB5B0D">
          <w:pPr>
            <w:pStyle w:val="8"/>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"_Toc2410" </w:instrText>
          </w:r>
          <w:r>
            <w:rPr>
              <w:sz w:val="32"/>
              <w:szCs w:val="32"/>
            </w:rPr>
            <w:fldChar w:fldCharType="separate"/>
          </w:r>
          <w:r>
            <w:rPr>
              <w:rFonts w:ascii="黑体" w:hAnsi="黑体" w:eastAsia="黑体" w:cs="黑体"/>
              <w:i w:val="0"/>
              <w:iCs w:val="0"/>
              <w:sz w:val="32"/>
              <w:szCs w:val="32"/>
            </w:rPr>
            <w:t>第五部分 附表</w:t>
          </w:r>
          <w:r>
            <w:rPr>
              <w:sz w:val="32"/>
              <w:szCs w:val="32"/>
            </w:rPr>
            <w:tab/>
          </w:r>
          <w:r>
            <w:rPr>
              <w:sz w:val="32"/>
              <w:szCs w:val="32"/>
            </w:rPr>
            <w:fldChar w:fldCharType="begin"/>
          </w:r>
          <w:r>
            <w:rPr>
              <w:sz w:val="32"/>
              <w:szCs w:val="32"/>
            </w:rPr>
            <w:instrText xml:space="preserve"> PAGEREF _Toc2410 \h </w:instrText>
          </w:r>
          <w:r>
            <w:rPr>
              <w:sz w:val="32"/>
              <w:szCs w:val="32"/>
            </w:rPr>
            <w:fldChar w:fldCharType="separate"/>
          </w:r>
          <w:r>
            <w:rPr>
              <w:sz w:val="32"/>
              <w:szCs w:val="32"/>
            </w:rPr>
            <w:t>19</w:t>
          </w:r>
          <w:r>
            <w:rPr>
              <w:sz w:val="32"/>
              <w:szCs w:val="32"/>
            </w:rPr>
            <w:fldChar w:fldCharType="end"/>
          </w:r>
          <w:r>
            <w:rPr>
              <w:sz w:val="32"/>
              <w:szCs w:val="32"/>
            </w:rPr>
            <w:fldChar w:fldCharType="end"/>
          </w:r>
        </w:p>
        <w:p w14:paraId="20DC51CA">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"_Toc1132" </w:instrText>
          </w:r>
          <w:r>
            <w:rPr>
              <w:sz w:val="32"/>
              <w:szCs w:val="32"/>
            </w:rPr>
            <w:fldChar w:fldCharType="separate"/>
          </w:r>
          <w:r>
            <w:rPr>
              <w:rFonts w:ascii="仿宋" w:hAnsi="仿宋" w:eastAsia="仿宋" w:cs="仿宋"/>
              <w:bCs w:val="0"/>
              <w:i w:val="0"/>
              <w:iCs w:val="0"/>
              <w:sz w:val="32"/>
              <w:szCs w:val="32"/>
            </w:rPr>
            <w:t>一、收入支出决算总表</w:t>
          </w:r>
          <w:r>
            <w:rPr>
              <w:sz w:val="32"/>
              <w:szCs w:val="32"/>
            </w:rPr>
            <w:tab/>
          </w:r>
          <w:r>
            <w:rPr>
              <w:sz w:val="32"/>
              <w:szCs w:val="32"/>
            </w:rPr>
            <w:fldChar w:fldCharType="begin"/>
          </w:r>
          <w:r>
            <w:rPr>
              <w:sz w:val="32"/>
              <w:szCs w:val="32"/>
            </w:rPr>
            <w:instrText xml:space="preserve"> PAGEREF _Toc1132 \h </w:instrText>
          </w:r>
          <w:r>
            <w:rPr>
              <w:sz w:val="32"/>
              <w:szCs w:val="32"/>
            </w:rPr>
            <w:fldChar w:fldCharType="separate"/>
          </w:r>
          <w:r>
            <w:rPr>
              <w:sz w:val="32"/>
              <w:szCs w:val="32"/>
            </w:rPr>
            <w:t>19</w:t>
          </w:r>
          <w:r>
            <w:rPr>
              <w:sz w:val="32"/>
              <w:szCs w:val="32"/>
            </w:rPr>
            <w:fldChar w:fldCharType="end"/>
          </w:r>
          <w:r>
            <w:rPr>
              <w:sz w:val="32"/>
              <w:szCs w:val="32"/>
            </w:rPr>
            <w:fldChar w:fldCharType="end"/>
          </w:r>
        </w:p>
        <w:p w14:paraId="24C2729C">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"_Toc13670" </w:instrText>
          </w:r>
          <w:r>
            <w:rPr>
              <w:sz w:val="32"/>
              <w:szCs w:val="32"/>
            </w:rPr>
            <w:fldChar w:fldCharType="separate"/>
          </w:r>
          <w:r>
            <w:rPr>
              <w:rFonts w:ascii="仿宋" w:hAnsi="仿宋" w:eastAsia="仿宋" w:cs="仿宋"/>
              <w:bCs w:val="0"/>
              <w:i w:val="0"/>
              <w:iCs w:val="0"/>
              <w:sz w:val="32"/>
              <w:szCs w:val="32"/>
            </w:rPr>
            <w:t>二、收入决算表</w:t>
          </w:r>
          <w:r>
            <w:rPr>
              <w:sz w:val="32"/>
              <w:szCs w:val="32"/>
            </w:rPr>
            <w:tab/>
          </w:r>
          <w:r>
            <w:rPr>
              <w:sz w:val="32"/>
              <w:szCs w:val="32"/>
            </w:rPr>
            <w:fldChar w:fldCharType="begin"/>
          </w:r>
          <w:r>
            <w:rPr>
              <w:sz w:val="32"/>
              <w:szCs w:val="32"/>
            </w:rPr>
            <w:instrText xml:space="preserve"> PAGEREF _Toc13670 \h </w:instrText>
          </w:r>
          <w:r>
            <w:rPr>
              <w:sz w:val="32"/>
              <w:szCs w:val="32"/>
            </w:rPr>
            <w:fldChar w:fldCharType="separate"/>
          </w:r>
          <w:r>
            <w:rPr>
              <w:sz w:val="32"/>
              <w:szCs w:val="32"/>
            </w:rPr>
            <w:t>19</w:t>
          </w:r>
          <w:r>
            <w:rPr>
              <w:sz w:val="32"/>
              <w:szCs w:val="32"/>
            </w:rPr>
            <w:fldChar w:fldCharType="end"/>
          </w:r>
          <w:r>
            <w:rPr>
              <w:sz w:val="32"/>
              <w:szCs w:val="32"/>
            </w:rPr>
            <w:fldChar w:fldCharType="end"/>
          </w:r>
        </w:p>
        <w:p w14:paraId="0D25D4A2">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"_Toc4132" </w:instrText>
          </w:r>
          <w:r>
            <w:rPr>
              <w:sz w:val="32"/>
              <w:szCs w:val="32"/>
            </w:rPr>
            <w:fldChar w:fldCharType="separate"/>
          </w:r>
          <w:r>
            <w:rPr>
              <w:rFonts w:ascii="仿宋" w:hAnsi="仿宋" w:eastAsia="仿宋" w:cs="仿宋"/>
              <w:bCs w:val="0"/>
              <w:i w:val="0"/>
              <w:iCs w:val="0"/>
              <w:sz w:val="32"/>
              <w:szCs w:val="32"/>
            </w:rPr>
            <w:t>三、支出决算表</w:t>
          </w:r>
          <w:r>
            <w:rPr>
              <w:sz w:val="32"/>
              <w:szCs w:val="32"/>
            </w:rPr>
            <w:tab/>
          </w:r>
          <w:r>
            <w:rPr>
              <w:sz w:val="32"/>
              <w:szCs w:val="32"/>
            </w:rPr>
            <w:fldChar w:fldCharType="begin"/>
          </w:r>
          <w:r>
            <w:rPr>
              <w:sz w:val="32"/>
              <w:szCs w:val="32"/>
            </w:rPr>
            <w:instrText xml:space="preserve"> PAGEREF _Toc4132 \h </w:instrText>
          </w:r>
          <w:r>
            <w:rPr>
              <w:sz w:val="32"/>
              <w:szCs w:val="32"/>
            </w:rPr>
            <w:fldChar w:fldCharType="separate"/>
          </w:r>
          <w:r>
            <w:rPr>
              <w:sz w:val="32"/>
              <w:szCs w:val="32"/>
            </w:rPr>
            <w:t>19</w:t>
          </w:r>
          <w:r>
            <w:rPr>
              <w:sz w:val="32"/>
              <w:szCs w:val="32"/>
            </w:rPr>
            <w:fldChar w:fldCharType="end"/>
          </w:r>
          <w:r>
            <w:rPr>
              <w:sz w:val="32"/>
              <w:szCs w:val="32"/>
            </w:rPr>
            <w:fldChar w:fldCharType="end"/>
          </w:r>
        </w:p>
        <w:p w14:paraId="67B9184E">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"_Toc31701" </w:instrText>
          </w:r>
          <w:r>
            <w:rPr>
              <w:sz w:val="32"/>
              <w:szCs w:val="32"/>
            </w:rPr>
            <w:fldChar w:fldCharType="separate"/>
          </w:r>
          <w:r>
            <w:rPr>
              <w:rFonts w:ascii="仿宋" w:hAnsi="仿宋" w:eastAsia="仿宋" w:cs="仿宋"/>
              <w:bCs w:val="0"/>
              <w:i w:val="0"/>
              <w:iCs w:val="0"/>
              <w:sz w:val="32"/>
              <w:szCs w:val="32"/>
            </w:rPr>
            <w:t>四、财政拨款收入支出决算总表</w:t>
          </w:r>
          <w:r>
            <w:rPr>
              <w:sz w:val="32"/>
              <w:szCs w:val="32"/>
            </w:rPr>
            <w:tab/>
          </w:r>
          <w:r>
            <w:rPr>
              <w:sz w:val="32"/>
              <w:szCs w:val="32"/>
            </w:rPr>
            <w:fldChar w:fldCharType="begin"/>
          </w:r>
          <w:r>
            <w:rPr>
              <w:sz w:val="32"/>
              <w:szCs w:val="32"/>
            </w:rPr>
            <w:instrText xml:space="preserve"> PAGEREF _Toc31701 \h </w:instrText>
          </w:r>
          <w:r>
            <w:rPr>
              <w:sz w:val="32"/>
              <w:szCs w:val="32"/>
            </w:rPr>
            <w:fldChar w:fldCharType="separate"/>
          </w:r>
          <w:r>
            <w:rPr>
              <w:sz w:val="32"/>
              <w:szCs w:val="32"/>
            </w:rPr>
            <w:t>19</w:t>
          </w:r>
          <w:r>
            <w:rPr>
              <w:sz w:val="32"/>
              <w:szCs w:val="32"/>
            </w:rPr>
            <w:fldChar w:fldCharType="end"/>
          </w:r>
          <w:r>
            <w:rPr>
              <w:sz w:val="32"/>
              <w:szCs w:val="32"/>
            </w:rPr>
            <w:fldChar w:fldCharType="end"/>
          </w:r>
        </w:p>
        <w:p w14:paraId="4ECC19D5">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"_Toc13876" </w:instrText>
          </w:r>
          <w:r>
            <w:rPr>
              <w:sz w:val="32"/>
              <w:szCs w:val="32"/>
            </w:rPr>
            <w:fldChar w:fldCharType="separate"/>
          </w:r>
          <w:r>
            <w:rPr>
              <w:rFonts w:ascii="仿宋" w:hAnsi="仿宋" w:eastAsia="仿宋" w:cs="仿宋"/>
              <w:bCs w:val="0"/>
              <w:i w:val="0"/>
              <w:iCs w:val="0"/>
              <w:sz w:val="32"/>
              <w:szCs w:val="32"/>
            </w:rPr>
            <w:t>五、财政拨款支出决算明细表</w:t>
          </w:r>
          <w:r>
            <w:rPr>
              <w:sz w:val="32"/>
              <w:szCs w:val="32"/>
            </w:rPr>
            <w:tab/>
          </w:r>
          <w:r>
            <w:rPr>
              <w:sz w:val="32"/>
              <w:szCs w:val="32"/>
            </w:rPr>
            <w:fldChar w:fldCharType="begin"/>
          </w:r>
          <w:r>
            <w:rPr>
              <w:sz w:val="32"/>
              <w:szCs w:val="32"/>
            </w:rPr>
            <w:instrText xml:space="preserve"> PAGEREF _Toc13876 \h </w:instrText>
          </w:r>
          <w:r>
            <w:rPr>
              <w:sz w:val="32"/>
              <w:szCs w:val="32"/>
            </w:rPr>
            <w:fldChar w:fldCharType="separate"/>
          </w:r>
          <w:r>
            <w:rPr>
              <w:sz w:val="32"/>
              <w:szCs w:val="32"/>
            </w:rPr>
            <w:t>19</w:t>
          </w:r>
          <w:r>
            <w:rPr>
              <w:sz w:val="32"/>
              <w:szCs w:val="32"/>
            </w:rPr>
            <w:fldChar w:fldCharType="end"/>
          </w:r>
          <w:r>
            <w:rPr>
              <w:sz w:val="32"/>
              <w:szCs w:val="32"/>
            </w:rPr>
            <w:fldChar w:fldCharType="end"/>
          </w:r>
        </w:p>
        <w:p w14:paraId="3BA36CDD">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"_Toc31542" </w:instrText>
          </w:r>
          <w:r>
            <w:rPr>
              <w:sz w:val="32"/>
              <w:szCs w:val="32"/>
            </w:rPr>
            <w:fldChar w:fldCharType="separate"/>
          </w:r>
          <w:r>
            <w:rPr>
              <w:rFonts w:ascii="仿宋" w:hAnsi="仿宋" w:eastAsia="仿宋" w:cs="仿宋"/>
              <w:bCs w:val="0"/>
              <w:i w:val="0"/>
              <w:iCs w:val="0"/>
              <w:sz w:val="32"/>
              <w:szCs w:val="32"/>
            </w:rPr>
            <w:t>六、一般公共预算财政拨款支出决算表</w:t>
          </w:r>
          <w:r>
            <w:rPr>
              <w:sz w:val="32"/>
              <w:szCs w:val="32"/>
            </w:rPr>
            <w:tab/>
          </w:r>
          <w:r>
            <w:rPr>
              <w:sz w:val="32"/>
              <w:szCs w:val="32"/>
            </w:rPr>
            <w:fldChar w:fldCharType="begin"/>
          </w:r>
          <w:r>
            <w:rPr>
              <w:sz w:val="32"/>
              <w:szCs w:val="32"/>
            </w:rPr>
            <w:instrText xml:space="preserve"> PAGEREF _Toc31542 \h </w:instrText>
          </w:r>
          <w:r>
            <w:rPr>
              <w:sz w:val="32"/>
              <w:szCs w:val="32"/>
            </w:rPr>
            <w:fldChar w:fldCharType="separate"/>
          </w:r>
          <w:r>
            <w:rPr>
              <w:sz w:val="32"/>
              <w:szCs w:val="32"/>
            </w:rPr>
            <w:t>19</w:t>
          </w:r>
          <w:r>
            <w:rPr>
              <w:sz w:val="32"/>
              <w:szCs w:val="32"/>
            </w:rPr>
            <w:fldChar w:fldCharType="end"/>
          </w:r>
          <w:r>
            <w:rPr>
              <w:sz w:val="32"/>
              <w:szCs w:val="32"/>
            </w:rPr>
            <w:fldChar w:fldCharType="end"/>
          </w:r>
        </w:p>
        <w:p w14:paraId="4A793209">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"_Toc19074" </w:instrText>
          </w:r>
          <w:r>
            <w:rPr>
              <w:sz w:val="32"/>
              <w:szCs w:val="32"/>
            </w:rPr>
            <w:fldChar w:fldCharType="separate"/>
          </w:r>
          <w:r>
            <w:rPr>
              <w:rFonts w:ascii="仿宋" w:hAnsi="仿宋" w:eastAsia="仿宋" w:cs="仿宋"/>
              <w:bCs w:val="0"/>
              <w:i w:val="0"/>
              <w:iCs w:val="0"/>
              <w:sz w:val="32"/>
              <w:szCs w:val="32"/>
            </w:rPr>
            <w:t>七、一般公共预算财政拨款支出决算明细表</w:t>
          </w:r>
          <w:r>
            <w:rPr>
              <w:sz w:val="32"/>
              <w:szCs w:val="32"/>
            </w:rPr>
            <w:tab/>
          </w:r>
          <w:r>
            <w:rPr>
              <w:sz w:val="32"/>
              <w:szCs w:val="32"/>
            </w:rPr>
            <w:fldChar w:fldCharType="begin"/>
          </w:r>
          <w:r>
            <w:rPr>
              <w:sz w:val="32"/>
              <w:szCs w:val="32"/>
            </w:rPr>
            <w:instrText xml:space="preserve"> PAGEREF _Toc19074 \h </w:instrText>
          </w:r>
          <w:r>
            <w:rPr>
              <w:sz w:val="32"/>
              <w:szCs w:val="32"/>
            </w:rPr>
            <w:fldChar w:fldCharType="separate"/>
          </w:r>
          <w:r>
            <w:rPr>
              <w:sz w:val="32"/>
              <w:szCs w:val="32"/>
            </w:rPr>
            <w:t>19</w:t>
          </w:r>
          <w:r>
            <w:rPr>
              <w:sz w:val="32"/>
              <w:szCs w:val="32"/>
            </w:rPr>
            <w:fldChar w:fldCharType="end"/>
          </w:r>
          <w:r>
            <w:rPr>
              <w:sz w:val="32"/>
              <w:szCs w:val="32"/>
            </w:rPr>
            <w:fldChar w:fldCharType="end"/>
          </w:r>
        </w:p>
        <w:p w14:paraId="17C2E8BA">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"_Toc20886" </w:instrText>
          </w:r>
          <w:r>
            <w:rPr>
              <w:sz w:val="32"/>
              <w:szCs w:val="32"/>
            </w:rPr>
            <w:fldChar w:fldCharType="separate"/>
          </w:r>
          <w:r>
            <w:rPr>
              <w:rFonts w:ascii="仿宋" w:hAnsi="仿宋" w:eastAsia="仿宋" w:cs="仿宋"/>
              <w:bCs w:val="0"/>
              <w:i w:val="0"/>
              <w:iCs w:val="0"/>
              <w:sz w:val="32"/>
              <w:szCs w:val="32"/>
            </w:rPr>
            <w:t>八、一般公共预算财政拨款基本支出决算明细表</w:t>
          </w:r>
          <w:r>
            <w:rPr>
              <w:sz w:val="32"/>
              <w:szCs w:val="32"/>
            </w:rPr>
            <w:tab/>
          </w:r>
          <w:r>
            <w:rPr>
              <w:sz w:val="32"/>
              <w:szCs w:val="32"/>
            </w:rPr>
            <w:fldChar w:fldCharType="begin"/>
          </w:r>
          <w:r>
            <w:rPr>
              <w:sz w:val="32"/>
              <w:szCs w:val="32"/>
            </w:rPr>
            <w:instrText xml:space="preserve"> PAGEREF _Toc20886 \h </w:instrText>
          </w:r>
          <w:r>
            <w:rPr>
              <w:sz w:val="32"/>
              <w:szCs w:val="32"/>
            </w:rPr>
            <w:fldChar w:fldCharType="separate"/>
          </w:r>
          <w:r>
            <w:rPr>
              <w:sz w:val="32"/>
              <w:szCs w:val="32"/>
            </w:rPr>
            <w:t>19</w:t>
          </w:r>
          <w:r>
            <w:rPr>
              <w:sz w:val="32"/>
              <w:szCs w:val="32"/>
            </w:rPr>
            <w:fldChar w:fldCharType="end"/>
          </w:r>
          <w:r>
            <w:rPr>
              <w:sz w:val="32"/>
              <w:szCs w:val="32"/>
            </w:rPr>
            <w:fldChar w:fldCharType="end"/>
          </w:r>
        </w:p>
        <w:p w14:paraId="5A0C2C4B">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"_Toc11686" </w:instrText>
          </w:r>
          <w:r>
            <w:rPr>
              <w:sz w:val="32"/>
              <w:szCs w:val="32"/>
            </w:rPr>
            <w:fldChar w:fldCharType="separate"/>
          </w:r>
          <w:r>
            <w:rPr>
              <w:rFonts w:ascii="仿宋" w:hAnsi="仿宋" w:eastAsia="仿宋" w:cs="仿宋"/>
              <w:bCs w:val="0"/>
              <w:i w:val="0"/>
              <w:iCs w:val="0"/>
              <w:sz w:val="32"/>
              <w:szCs w:val="32"/>
            </w:rPr>
            <w:t>九、一般公共预算财政拨款项目支出决算表</w:t>
          </w:r>
          <w:r>
            <w:rPr>
              <w:sz w:val="32"/>
              <w:szCs w:val="32"/>
            </w:rPr>
            <w:tab/>
          </w:r>
          <w:r>
            <w:rPr>
              <w:sz w:val="32"/>
              <w:szCs w:val="32"/>
            </w:rPr>
            <w:fldChar w:fldCharType="begin"/>
          </w:r>
          <w:r>
            <w:rPr>
              <w:sz w:val="32"/>
              <w:szCs w:val="32"/>
            </w:rPr>
            <w:instrText xml:space="preserve"> PAGEREF _Toc11686 \h </w:instrText>
          </w:r>
          <w:r>
            <w:rPr>
              <w:sz w:val="32"/>
              <w:szCs w:val="32"/>
            </w:rPr>
            <w:fldChar w:fldCharType="separate"/>
          </w:r>
          <w:r>
            <w:rPr>
              <w:sz w:val="32"/>
              <w:szCs w:val="32"/>
            </w:rPr>
            <w:t>19</w:t>
          </w:r>
          <w:r>
            <w:rPr>
              <w:sz w:val="32"/>
              <w:szCs w:val="32"/>
            </w:rPr>
            <w:fldChar w:fldCharType="end"/>
          </w:r>
          <w:r>
            <w:rPr>
              <w:sz w:val="32"/>
              <w:szCs w:val="32"/>
            </w:rPr>
            <w:fldChar w:fldCharType="end"/>
          </w:r>
        </w:p>
        <w:p w14:paraId="51ABD99B">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"_Toc5374" </w:instrText>
          </w:r>
          <w:r>
            <w:rPr>
              <w:sz w:val="32"/>
              <w:szCs w:val="32"/>
            </w:rPr>
            <w:fldChar w:fldCharType="separate"/>
          </w:r>
          <w:r>
            <w:rPr>
              <w:rFonts w:ascii="仿宋" w:hAnsi="仿宋" w:eastAsia="仿宋" w:cs="仿宋"/>
              <w:bCs w:val="0"/>
              <w:i w:val="0"/>
              <w:iCs w:val="0"/>
              <w:sz w:val="32"/>
              <w:szCs w:val="32"/>
            </w:rPr>
            <w:t>十、政府性基金预算财政拨款收入支出决算表</w:t>
          </w:r>
          <w:r>
            <w:rPr>
              <w:sz w:val="32"/>
              <w:szCs w:val="32"/>
            </w:rPr>
            <w:tab/>
          </w:r>
          <w:r>
            <w:rPr>
              <w:sz w:val="32"/>
              <w:szCs w:val="32"/>
            </w:rPr>
            <w:fldChar w:fldCharType="begin"/>
          </w:r>
          <w:r>
            <w:rPr>
              <w:sz w:val="32"/>
              <w:szCs w:val="32"/>
            </w:rPr>
            <w:instrText xml:space="preserve"> PAGEREF _Toc5374 \h </w:instrText>
          </w:r>
          <w:r>
            <w:rPr>
              <w:sz w:val="32"/>
              <w:szCs w:val="32"/>
            </w:rPr>
            <w:fldChar w:fldCharType="separate"/>
          </w:r>
          <w:r>
            <w:rPr>
              <w:sz w:val="32"/>
              <w:szCs w:val="32"/>
            </w:rPr>
            <w:t>19</w:t>
          </w:r>
          <w:r>
            <w:rPr>
              <w:sz w:val="32"/>
              <w:szCs w:val="32"/>
            </w:rPr>
            <w:fldChar w:fldCharType="end"/>
          </w:r>
          <w:r>
            <w:rPr>
              <w:sz w:val="32"/>
              <w:szCs w:val="32"/>
            </w:rPr>
            <w:fldChar w:fldCharType="end"/>
          </w:r>
        </w:p>
        <w:p w14:paraId="4B87ABD5">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"_Toc15883" </w:instrText>
          </w:r>
          <w:r>
            <w:rPr>
              <w:sz w:val="32"/>
              <w:szCs w:val="32"/>
            </w:rPr>
            <w:fldChar w:fldCharType="separate"/>
          </w:r>
          <w:r>
            <w:rPr>
              <w:rFonts w:ascii="仿宋" w:hAnsi="仿宋" w:eastAsia="仿宋" w:cs="仿宋"/>
              <w:bCs w:val="0"/>
              <w:i w:val="0"/>
              <w:iCs w:val="0"/>
              <w:sz w:val="32"/>
              <w:szCs w:val="32"/>
            </w:rPr>
            <w:t>十一、国有资本经营预算财政拨款收入支出决算表</w:t>
          </w:r>
          <w:r>
            <w:rPr>
              <w:sz w:val="32"/>
              <w:szCs w:val="32"/>
            </w:rPr>
            <w:tab/>
          </w:r>
          <w:r>
            <w:rPr>
              <w:sz w:val="32"/>
              <w:szCs w:val="32"/>
            </w:rPr>
            <w:fldChar w:fldCharType="begin"/>
          </w:r>
          <w:r>
            <w:rPr>
              <w:sz w:val="32"/>
              <w:szCs w:val="32"/>
            </w:rPr>
            <w:instrText xml:space="preserve"> PAGEREF _Toc15883 \h </w:instrText>
          </w:r>
          <w:r>
            <w:rPr>
              <w:sz w:val="32"/>
              <w:szCs w:val="32"/>
            </w:rPr>
            <w:fldChar w:fldCharType="separate"/>
          </w:r>
          <w:r>
            <w:rPr>
              <w:sz w:val="32"/>
              <w:szCs w:val="32"/>
            </w:rPr>
            <w:t>19</w:t>
          </w:r>
          <w:r>
            <w:rPr>
              <w:sz w:val="32"/>
              <w:szCs w:val="32"/>
            </w:rPr>
            <w:fldChar w:fldCharType="end"/>
          </w:r>
          <w:r>
            <w:rPr>
              <w:sz w:val="32"/>
              <w:szCs w:val="32"/>
            </w:rPr>
            <w:fldChar w:fldCharType="end"/>
          </w:r>
        </w:p>
        <w:p w14:paraId="7E71DFE8">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"_Toc28819" </w:instrText>
          </w:r>
          <w:r>
            <w:rPr>
              <w:sz w:val="32"/>
              <w:szCs w:val="32"/>
            </w:rPr>
            <w:fldChar w:fldCharType="separate"/>
          </w:r>
          <w:r>
            <w:rPr>
              <w:rFonts w:ascii="仿宋" w:hAnsi="仿宋" w:eastAsia="仿宋" w:cs="仿宋"/>
              <w:bCs w:val="0"/>
              <w:i w:val="0"/>
              <w:iCs w:val="0"/>
              <w:sz w:val="32"/>
              <w:szCs w:val="32"/>
            </w:rPr>
            <w:t>十二、国有资本经营预算财政拨款支出决算表</w:t>
          </w:r>
          <w:r>
            <w:rPr>
              <w:sz w:val="32"/>
              <w:szCs w:val="32"/>
            </w:rPr>
            <w:tab/>
          </w:r>
          <w:r>
            <w:rPr>
              <w:sz w:val="32"/>
              <w:szCs w:val="32"/>
            </w:rPr>
            <w:fldChar w:fldCharType="begin"/>
          </w:r>
          <w:r>
            <w:rPr>
              <w:sz w:val="32"/>
              <w:szCs w:val="32"/>
            </w:rPr>
            <w:instrText xml:space="preserve"> PAGEREF _Toc28819 \h </w:instrText>
          </w:r>
          <w:r>
            <w:rPr>
              <w:sz w:val="32"/>
              <w:szCs w:val="32"/>
            </w:rPr>
            <w:fldChar w:fldCharType="separate"/>
          </w:r>
          <w:r>
            <w:rPr>
              <w:sz w:val="32"/>
              <w:szCs w:val="32"/>
            </w:rPr>
            <w:t>19</w:t>
          </w:r>
          <w:r>
            <w:rPr>
              <w:sz w:val="32"/>
              <w:szCs w:val="32"/>
            </w:rPr>
            <w:fldChar w:fldCharType="end"/>
          </w:r>
          <w:r>
            <w:rPr>
              <w:sz w:val="32"/>
              <w:szCs w:val="32"/>
            </w:rPr>
            <w:fldChar w:fldCharType="end"/>
          </w:r>
        </w:p>
        <w:p w14:paraId="0A1FEBEC">
          <w:pPr>
            <w:pStyle w:val="10"/>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"_Toc12064" </w:instrText>
          </w:r>
          <w:r>
            <w:rPr>
              <w:sz w:val="32"/>
              <w:szCs w:val="32"/>
            </w:rPr>
            <w:fldChar w:fldCharType="separate"/>
          </w:r>
          <w:r>
            <w:rPr>
              <w:rFonts w:ascii="仿宋" w:hAnsi="仿宋" w:eastAsia="仿宋" w:cs="仿宋"/>
              <w:bCs w:val="0"/>
              <w:i w:val="0"/>
              <w:iCs w:val="0"/>
              <w:sz w:val="32"/>
              <w:szCs w:val="32"/>
            </w:rPr>
            <w:t>十三、财政拨款“三公”经费支出决算表</w:t>
          </w:r>
          <w:r>
            <w:rPr>
              <w:sz w:val="32"/>
              <w:szCs w:val="32"/>
            </w:rPr>
            <w:tab/>
          </w:r>
          <w:r>
            <w:rPr>
              <w:sz w:val="32"/>
              <w:szCs w:val="32"/>
            </w:rPr>
            <w:fldChar w:fldCharType="begin"/>
          </w:r>
          <w:r>
            <w:rPr>
              <w:sz w:val="32"/>
              <w:szCs w:val="32"/>
            </w:rPr>
            <w:instrText xml:space="preserve"> PAGEREF _Toc12064 \h </w:instrText>
          </w:r>
          <w:r>
            <w:rPr>
              <w:sz w:val="32"/>
              <w:szCs w:val="32"/>
            </w:rPr>
            <w:fldChar w:fldCharType="separate"/>
          </w:r>
          <w:r>
            <w:rPr>
              <w:sz w:val="32"/>
              <w:szCs w:val="32"/>
            </w:rPr>
            <w:t>19</w:t>
          </w:r>
          <w:r>
            <w:rPr>
              <w:sz w:val="32"/>
              <w:szCs w:val="32"/>
            </w:rPr>
            <w:fldChar w:fldCharType="end"/>
          </w:r>
          <w:r>
            <w:rPr>
              <w:sz w:val="32"/>
              <w:szCs w:val="32"/>
            </w:rPr>
            <w:fldChar w:fldCharType="end"/>
          </w:r>
        </w:p>
        <w:p w14:paraId="0399D67D">
          <w:pPr>
            <w:pStyle w:val="3"/>
            <w:keepNext w:val="0"/>
            <w:keepLines w:val="0"/>
            <w:pageBreakBefore w:val="0"/>
            <w:widowControl/>
            <w:kinsoku/>
            <w:wordWrap/>
            <w:overflowPunct/>
            <w:topLinePunct w:val="0"/>
            <w:autoSpaceDE/>
            <w:autoSpaceDN/>
            <w:bidi w:val="0"/>
            <w:adjustRightInd/>
            <w:snapToGrid/>
            <w:spacing w:line="360" w:lineRule="auto"/>
            <w:ind w:left="420"/>
            <w:textAlignment w:val="auto"/>
            <w:rPr>
              <w:rFonts w:ascii="Times New Roman" w:hAnsi="Times New Roman" w:eastAsia="Times New Roman" w:cs="Times New Roman"/>
              <w:i w:val="0"/>
              <w:iCs w:val="0"/>
              <w:sz w:val="24"/>
              <w:szCs w:val="32"/>
              <w:lang w:val="en-US" w:eastAsia="en-US" w:bidi="ar-SA"/>
            </w:rPr>
          </w:pPr>
          <w:r>
            <w:rPr>
              <w:i w:val="0"/>
              <w:iCs w:val="0"/>
              <w:sz w:val="32"/>
              <w:szCs w:val="32"/>
            </w:rPr>
            <w:fldChar w:fldCharType="end"/>
          </w:r>
        </w:p>
      </w:sdtContent>
    </w:sdt>
    <w:p w14:paraId="1DBAB74E">
      <w:pPr>
        <w:pStyle w:val="3"/>
        <w:keepLines w:val="0"/>
        <w:pageBreakBefore w:val="0"/>
        <w:widowControl/>
        <w:kinsoku/>
        <w:wordWrap/>
        <w:overflowPunct/>
        <w:topLinePunct w:val="0"/>
        <w:autoSpaceDE/>
        <w:autoSpaceDN/>
        <w:bidi w:val="0"/>
        <w:adjustRightInd/>
        <w:snapToGrid/>
        <w:spacing w:line="360" w:lineRule="auto"/>
        <w:ind w:left="420"/>
        <w:textAlignment w:val="auto"/>
        <w:rPr>
          <w:rFonts w:ascii="Times New Roman" w:hAnsi="Times New Roman" w:eastAsia="Times New Roman" w:cs="Times New Roman"/>
          <w:i w:val="0"/>
          <w:iCs w:val="0"/>
          <w:sz w:val="24"/>
          <w:szCs w:val="32"/>
          <w:lang w:val="en-US" w:eastAsia="en-US" w:bidi="ar-SA"/>
        </w:rPr>
        <w:sectPr>
          <w:pgSz w:w="12240" w:h="15840"/>
          <w:pgMar w:top="1440" w:right="1804" w:bottom="1440" w:left="1804" w:header="708" w:footer="708" w:gutter="0"/>
          <w:cols w:space="708" w:num="1"/>
          <w:docGrid w:linePitch="360" w:charSpace="0"/>
        </w:sectPr>
      </w:pPr>
    </w:p>
    <w:p w14:paraId="07140AC0">
      <w:pPr>
        <w:pStyle w:val="3"/>
        <w:keepLines w:val="0"/>
        <w:pageBreakBefore w:val="0"/>
        <w:widowControl/>
        <w:kinsoku/>
        <w:wordWrap/>
        <w:overflowPunct/>
        <w:topLinePunct w:val="0"/>
        <w:autoSpaceDE/>
        <w:autoSpaceDN/>
        <w:bidi w:val="0"/>
        <w:adjustRightInd/>
        <w:snapToGrid/>
        <w:spacing w:line="360" w:lineRule="auto"/>
        <w:ind w:left="420"/>
        <w:textAlignment w:val="auto"/>
        <w:rPr>
          <w:rFonts w:ascii="Times New Roman" w:hAnsi="Times New Roman" w:eastAsia="Times New Roman" w:cs="Times New Roman"/>
          <w:i w:val="0"/>
          <w:iCs w:val="0"/>
          <w:sz w:val="24"/>
          <w:szCs w:val="32"/>
          <w:lang w:val="en-US" w:eastAsia="en-US" w:bidi="ar-SA"/>
        </w:rPr>
        <w:sectPr>
          <w:type w:val="continuous"/>
          <w:pgSz w:w="12240" w:h="15840"/>
          <w:pgMar w:top="1440" w:right="1804" w:bottom="1440" w:left="1804" w:header="708" w:footer="708" w:gutter="0"/>
          <w:cols w:space="708" w:num="1"/>
          <w:docGrid w:linePitch="360" w:charSpace="0"/>
        </w:sectPr>
      </w:pPr>
    </w:p>
    <w:p w14:paraId="385F515A">
      <w:pPr>
        <w:pStyle w:val="2"/>
        <w:bidi w:val="0"/>
        <w:rPr>
          <w:rFonts w:hint="default"/>
          <w:lang w:val="en-US" w:eastAsia="zh-CN"/>
        </w:rPr>
        <w:sectPr>
          <w:pgSz w:w="12240" w:h="15840"/>
          <w:pgMar w:top="1440" w:right="1804" w:bottom="1440" w:left="1804" w:header="708" w:footer="708" w:gutter="0"/>
          <w:cols w:space="708" w:num="1"/>
          <w:docGrid w:linePitch="360" w:charSpace="0"/>
        </w:sectPr>
      </w:pPr>
      <w:r>
        <w:t>第一部分 单位概况</w:t>
      </w:r>
    </w:p>
    <w:p w14:paraId="03BCB15B">
      <w:pPr>
        <w:pStyle w:val="4"/>
        <w:bidi w:val="0"/>
        <w:rPr>
          <w:rFonts w:hint="eastAsia" w:ascii="Times New Roman" w:hAnsi="Times New Roman" w:eastAsia="仿宋_GB2312" w:cs="仿宋_GB2312"/>
          <w:color w:val="auto"/>
          <w:sz w:val="32"/>
          <w:szCs w:val="32"/>
          <w:highlight w:val="none"/>
          <w:lang w:val="en-US" w:eastAsia="zh-CN"/>
        </w:rPr>
      </w:pPr>
      <w:r>
        <w:t>一、</w:t>
      </w:r>
      <w:r>
        <w:rPr>
          <w:rFonts w:hint="eastAsia"/>
          <w:lang w:val="en-US" w:eastAsia="zh-CN"/>
        </w:rPr>
        <w:t>主要</w:t>
      </w:r>
      <w:r>
        <w:t>职责</w:t>
      </w:r>
    </w:p>
    <w:p w14:paraId="531BF3FD">
      <w:pPr>
        <w:keepNext w:val="0"/>
        <w:keepLines w:val="0"/>
        <w:pageBreakBefore w:val="0"/>
        <w:widowControl w:val="0"/>
        <w:kinsoku/>
        <w:wordWrap/>
        <w:overflowPunct/>
        <w:topLinePunct w:val="0"/>
        <w:autoSpaceDE/>
        <w:autoSpaceDN/>
        <w:bidi w:val="0"/>
        <w:adjustRightInd/>
        <w:snapToGrid/>
        <w:spacing w:line="576" w:lineRule="exact"/>
        <w:ind w:left="-480" w:leftChars="-200" w:firstLine="640" w:firstLineChars="200"/>
        <w:jc w:val="both"/>
        <w:textAlignment w:val="auto"/>
        <w:outlineLvl w:val="2"/>
        <w:rPr>
          <w:rFonts w:hint="eastAsia" w:ascii="仿宋_GB2312" w:hAnsi="仿宋_GB2312" w:eastAsia="仿宋_GB2312" w:cs="仿宋_GB2312"/>
          <w:sz w:val="32"/>
          <w:szCs w:val="32"/>
        </w:rPr>
      </w:pPr>
      <w:bookmarkStart w:id="0" w:name="_Toc10263"/>
      <w:r>
        <w:rPr>
          <w:rFonts w:hint="eastAsia" w:ascii="仿宋" w:hAnsi="仿宋" w:eastAsia="仿宋" w:cs="仿宋"/>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负责全县减灾协调工作，负责自然灾害综合风险与减灾能力调查评估工作。</w:t>
      </w:r>
    </w:p>
    <w:p w14:paraId="1B6D9C64">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统筹应急预案体系建设，负责各类应急预案衔接协调，负责预案演练的组织实施和指导监督工作。</w:t>
      </w:r>
    </w:p>
    <w:p w14:paraId="111CED8E">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负责协调有关部门开展森林和草原火灾、水旱、地震、地质灾害防治，重要江河湖泊和重要水工程实施防御洪水、抗御旱灾调度以及应急水量调度工作。</w:t>
      </w:r>
    </w:p>
    <w:p w14:paraId="56270E6A">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负责协调应急管理、安全生产重大科学技术推广工作。</w:t>
      </w:r>
    </w:p>
    <w:p w14:paraId="73007AF1">
      <w:pPr>
        <w:pStyle w:val="4"/>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黑体" w:hAnsi="黑体" w:eastAsia="黑体" w:cs="黑体"/>
          <w:b w:val="0"/>
          <w:bCs w:val="0"/>
          <w:i w:val="0"/>
          <w:iCs w:val="0"/>
          <w:sz w:val="32"/>
          <w:szCs w:val="32"/>
        </w:rPr>
      </w:pPr>
      <w:r>
        <w:rPr>
          <w:rFonts w:hint="eastAsia" w:ascii="仿宋_GB2312" w:hAnsi="仿宋_GB2312" w:eastAsia="仿宋_GB2312" w:cs="仿宋_GB2312"/>
          <w:color w:val="000000"/>
          <w:sz w:val="32"/>
          <w:szCs w:val="32"/>
          <w:lang w:bidi="ar-SA"/>
        </w:rPr>
        <w:t xml:space="preserve"> </w:t>
      </w:r>
      <w:r>
        <w:rPr>
          <w:rFonts w:hint="eastAsia" w:ascii="黑体" w:hAnsi="黑体" w:eastAsia="黑体" w:cs="黑体"/>
          <w:b w:val="0"/>
          <w:bCs w:val="0"/>
          <w:i w:val="0"/>
          <w:iCs w:val="0"/>
          <w:sz w:val="32"/>
          <w:szCs w:val="32"/>
        </w:rPr>
        <w:t>二、机构设置</w:t>
      </w:r>
      <w:bookmarkEnd w:id="0"/>
    </w:p>
    <w:p w14:paraId="07A3CBE2">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四川省阿坝州茂县森林草原防灭火中心</w:t>
      </w:r>
      <w:r>
        <w:rPr>
          <w:rFonts w:hint="eastAsia" w:ascii="仿宋_GB2312" w:hAnsi="仿宋_GB2312" w:eastAsia="仿宋_GB2312" w:cs="仿宋_GB2312"/>
          <w:sz w:val="32"/>
          <w:szCs w:val="32"/>
        </w:rPr>
        <w:t>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个，其中行政单位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个，参照公务员法管理的事业单位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p>
    <w:p w14:paraId="6CF37F60">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纳入四川省阿坝州茂县</w:t>
      </w:r>
      <w:r>
        <w:rPr>
          <w:rFonts w:hint="eastAsia" w:ascii="仿宋_GB2312" w:hAnsi="仿宋_GB2312" w:eastAsia="仿宋_GB2312" w:cs="仿宋_GB2312"/>
          <w:sz w:val="32"/>
          <w:szCs w:val="32"/>
          <w:lang w:val="en-US" w:eastAsia="zh-CN"/>
        </w:rPr>
        <w:t>森林草原防灭火中心</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w:t>
      </w:r>
      <w:r>
        <w:rPr>
          <w:rFonts w:hint="eastAsia" w:ascii="仿宋_GB2312" w:hAnsi="仿宋_GB2312" w:eastAsia="仿宋_GB2312" w:cs="仿宋_GB2312"/>
          <w:sz w:val="32"/>
          <w:szCs w:val="32"/>
        </w:rPr>
        <w:t>部门决算编制范围的二级预算单位包括：</w:t>
      </w:r>
    </w:p>
    <w:p w14:paraId="0194E4A9">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1.阿坝州茂县森林草原防灭火中心。</w:t>
      </w:r>
    </w:p>
    <w:p w14:paraId="0FAD7C4B">
      <w:pPr>
        <w:pStyle w:val="3"/>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 w:hAnsi="仿宋" w:eastAsia="仿宋" w:cs="仿宋"/>
          <w:sz w:val="32"/>
          <w:szCs w:val="32"/>
        </w:rPr>
      </w:pPr>
    </w:p>
    <w:p w14:paraId="3F2BE2C9">
      <w:pPr>
        <w:pStyle w:val="2"/>
        <w:bidi w:val="0"/>
      </w:pPr>
      <w:r>
        <w:t>第二部分 2025年度单位决算情况说明 </w:t>
      </w:r>
    </w:p>
    <w:p w14:paraId="47849E7F">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1" w:name="_Toc16089"/>
      <w:r>
        <w:rPr>
          <w:rFonts w:hint="eastAsia" w:ascii="黑体" w:hAnsi="黑体" w:eastAsia="黑体" w:cs="黑体"/>
          <w:b w:val="0"/>
          <w:bCs w:val="0"/>
          <w:i w:val="0"/>
          <w:iCs w:val="0"/>
          <w:sz w:val="32"/>
          <w:szCs w:val="32"/>
        </w:rPr>
        <w:t>一、收入支出决算总体情况说明</w:t>
      </w:r>
      <w:bookmarkEnd w:id="1"/>
    </w:p>
    <w:p w14:paraId="10FBD143">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2025年度收、支总计均为116.11万元。与2024年度相比，收、支总计各减少44.4万元，下降27.7%。主要变动原因是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支出减少。</w:t>
      </w:r>
    </w:p>
    <w:p w14:paraId="5890080D">
      <w:pPr>
        <w:pStyle w:val="3"/>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1" name="图表 10000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33D4C803">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2" w:name="_Toc25971"/>
      <w:r>
        <w:rPr>
          <w:rFonts w:hint="eastAsia" w:ascii="黑体" w:hAnsi="黑体" w:eastAsia="黑体" w:cs="黑体"/>
          <w:b w:val="0"/>
          <w:bCs w:val="0"/>
          <w:i w:val="0"/>
          <w:iCs w:val="0"/>
          <w:sz w:val="32"/>
          <w:szCs w:val="32"/>
        </w:rPr>
        <w:t>二、收入决算情况说明</w:t>
      </w:r>
      <w:bookmarkEnd w:id="2"/>
    </w:p>
    <w:p w14:paraId="74A4E34E">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2025年度本年收入合计116.11万元，其中:一般公共预算财政拨款收入116.11万元，占100%。</w:t>
      </w:r>
    </w:p>
    <w:p w14:paraId="2C30ACF3">
      <w:pPr>
        <w:pStyle w:val="3"/>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2" name="图表 10000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1CE4E0B">
      <w:pPr>
        <w:pStyle w:val="3"/>
        <w:keepLines w:val="0"/>
        <w:pageBreakBefore w:val="0"/>
        <w:widowControl/>
        <w:kinsoku/>
        <w:wordWrap/>
        <w:overflowPunct/>
        <w:topLinePunct w:val="0"/>
        <w:autoSpaceDE/>
        <w:autoSpaceDN/>
        <w:bidi w:val="0"/>
        <w:adjustRightInd/>
        <w:snapToGrid/>
        <w:spacing w:line="360" w:lineRule="auto"/>
        <w:jc w:val="center"/>
        <w:textAlignment w:val="auto"/>
        <w:rPr>
          <w:i w:val="0"/>
          <w:iCs w:val="0"/>
          <w:sz w:val="24"/>
          <w:szCs w:val="24"/>
        </w:rPr>
      </w:pPr>
      <w:r>
        <w:rPr>
          <w:rFonts w:ascii="Times New Roman" w:hAnsi="Times New Roman" w:eastAsia="Times New Roman" w:cs="Times New Roman"/>
          <w:i w:val="0"/>
          <w:iCs w:val="0"/>
          <w:sz w:val="24"/>
          <w:szCs w:val="24"/>
        </w:rPr>
        <w:t> </w:t>
      </w:r>
    </w:p>
    <w:p w14:paraId="64AE95B0">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3" w:name="_Toc25493"/>
      <w:r>
        <w:rPr>
          <w:rFonts w:hint="eastAsia" w:ascii="黑体" w:hAnsi="黑体" w:eastAsia="黑体" w:cs="黑体"/>
          <w:b w:val="0"/>
          <w:bCs w:val="0"/>
          <w:i w:val="0"/>
          <w:iCs w:val="0"/>
          <w:sz w:val="32"/>
          <w:szCs w:val="32"/>
        </w:rPr>
        <w:t>三、支出决算情况说明</w:t>
      </w:r>
      <w:bookmarkEnd w:id="3"/>
    </w:p>
    <w:p w14:paraId="6D7D7351">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2025年度本年支出合计116.11万元，其中:基本支出116.11万元，占100%。</w:t>
      </w:r>
    </w:p>
    <w:p w14:paraId="5AF176BE">
      <w:pPr>
        <w:pStyle w:val="3"/>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3" name="图表 10000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6216464">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4" w:name="_Toc4623"/>
      <w:r>
        <w:rPr>
          <w:rFonts w:hint="eastAsia" w:ascii="黑体" w:hAnsi="黑体" w:eastAsia="黑体" w:cs="黑体"/>
          <w:b w:val="0"/>
          <w:bCs w:val="0"/>
          <w:i w:val="0"/>
          <w:iCs w:val="0"/>
          <w:sz w:val="32"/>
          <w:szCs w:val="32"/>
        </w:rPr>
        <w:t>四、财政拨款收入支出决算总体情况说明</w:t>
      </w:r>
      <w:bookmarkEnd w:id="4"/>
    </w:p>
    <w:p w14:paraId="4C771225">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_GB2312" w:hAnsi="仿宋_GB2312" w:eastAsia="仿宋_GB2312" w:cs="仿宋_GB2312"/>
          <w:b w:val="0"/>
          <w:i w:val="0"/>
          <w:color w:val="auto"/>
          <w:sz w:val="32"/>
          <w:u w:val="none"/>
        </w:rPr>
        <w:t>2025年度财政拨款收、支总计均为116.11万元。与2024年度相比，财政拨款收、支总计各减少44.4万元，下降27.7%。主要变动原因是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支出减少</w:t>
      </w:r>
      <w:r>
        <w:rPr>
          <w:rFonts w:hint="eastAsia" w:ascii="仿宋_GB2312" w:hAnsi="仿宋_GB2312" w:eastAsia="仿宋_GB2312" w:cs="仿宋_GB2312"/>
          <w:b w:val="0"/>
          <w:i w:val="0"/>
          <w:color w:val="auto"/>
          <w:sz w:val="32"/>
          <w:u w:val="none"/>
          <w:lang w:eastAsia="zh-CN"/>
        </w:rPr>
        <w:t>。</w:t>
      </w:r>
    </w:p>
    <w:p w14:paraId="553B8E64">
      <w:pPr>
        <w:pStyle w:val="3"/>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4" name="图表 100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C7575DA">
      <w:pPr>
        <w:pStyle w:val="3"/>
        <w:keepLines w:val="0"/>
        <w:pageBreakBefore w:val="0"/>
        <w:widowControl/>
        <w:kinsoku/>
        <w:wordWrap/>
        <w:overflowPunct/>
        <w:topLinePunct w:val="0"/>
        <w:autoSpaceDE/>
        <w:autoSpaceDN/>
        <w:bidi w:val="0"/>
        <w:adjustRightInd/>
        <w:snapToGrid/>
        <w:spacing w:line="360" w:lineRule="auto"/>
        <w:ind w:firstLine="640"/>
        <w:jc w:val="center"/>
        <w:textAlignment w:val="auto"/>
        <w:rPr>
          <w:i w:val="0"/>
          <w:iCs w:val="0"/>
        </w:rPr>
      </w:pPr>
    </w:p>
    <w:p w14:paraId="46240066">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5" w:name="_Toc20463"/>
      <w:r>
        <w:rPr>
          <w:rFonts w:hint="eastAsia" w:ascii="黑体" w:hAnsi="黑体" w:eastAsia="黑体" w:cs="黑体"/>
          <w:b w:val="0"/>
          <w:bCs w:val="0"/>
          <w:i w:val="0"/>
          <w:iCs w:val="0"/>
          <w:sz w:val="32"/>
          <w:szCs w:val="32"/>
        </w:rPr>
        <w:t>五、一般公共预算财政拨款支出决算情况说明</w:t>
      </w:r>
      <w:bookmarkEnd w:id="5"/>
    </w:p>
    <w:p w14:paraId="315B6EEE">
      <w:pPr>
        <w:pStyle w:val="3"/>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i w:val="0"/>
          <w:iCs w:val="0"/>
        </w:rPr>
      </w:pPr>
      <w:r>
        <w:rPr>
          <w:rFonts w:ascii="楷体_GB2312" w:hAnsi="楷体_GB2312" w:eastAsia="楷体_GB2312" w:cs="楷体_GB2312"/>
          <w:b/>
          <w:bCs/>
          <w:i w:val="0"/>
          <w:iCs w:val="0"/>
          <w:sz w:val="32"/>
          <w:szCs w:val="32"/>
        </w:rPr>
        <w:t>（一）一般公共预算财政拨款支出决算总体情况</w:t>
      </w:r>
    </w:p>
    <w:p w14:paraId="5E7B1E38">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_GB2312" w:hAnsi="仿宋_GB2312" w:eastAsia="仿宋_GB2312" w:cs="仿宋_GB2312"/>
          <w:b w:val="0"/>
          <w:i w:val="0"/>
          <w:color w:val="auto"/>
          <w:sz w:val="32"/>
          <w:u w:val="none"/>
        </w:rPr>
        <w:t>2025年度一般公共预算财政拨款支出116.11万元，占本年支出合计的100%。与2024年度相比，一般公共预算财政拨款减少44.4万元，下降27.7%。主要变动原因是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支出减少。</w:t>
      </w:r>
    </w:p>
    <w:p w14:paraId="63ED859B">
      <w:pPr>
        <w:pStyle w:val="3"/>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5" name="图表 10000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396C6C">
      <w:pPr>
        <w:pStyle w:val="3"/>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i w:val="0"/>
          <w:iCs w:val="0"/>
        </w:rPr>
      </w:pPr>
      <w:r>
        <w:rPr>
          <w:rFonts w:ascii="楷体_GB2312" w:hAnsi="楷体_GB2312" w:eastAsia="楷体_GB2312" w:cs="楷体_GB2312"/>
          <w:b/>
          <w:bCs/>
          <w:i w:val="0"/>
          <w:iCs w:val="0"/>
          <w:sz w:val="32"/>
          <w:szCs w:val="32"/>
        </w:rPr>
        <w:t>（二）一般公共预算财政拨款支出决算结构情况</w:t>
      </w:r>
    </w:p>
    <w:p w14:paraId="5032A886">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z w:val="32"/>
          <w:szCs w:val="32"/>
        </w:rPr>
      </w:pPr>
      <w:r>
        <w:rPr>
          <w:rFonts w:hint="eastAsia" w:ascii="仿宋_GB2312" w:hAnsi="仿宋_GB2312" w:eastAsia="仿宋_GB2312" w:cs="仿宋_GB2312"/>
          <w:b w:val="0"/>
          <w:i w:val="0"/>
          <w:color w:val="auto"/>
          <w:sz w:val="32"/>
          <w:u w:val="none"/>
        </w:rPr>
        <w:t>2025年度一般公共预算财政拨款支出116.11万元，主要用于以下方面:社会保障和就业支出12.42万元，占10.7%；卫生健康支出7.25万元，占6.2%；住房保障支出5.06万元，占4.4%；灾害防治及应急管理支出91.37万元，占78.7%</w:t>
      </w:r>
      <w:r>
        <w:rPr>
          <w:rFonts w:ascii="仿宋" w:hAnsi="仿宋" w:eastAsia="仿宋" w:cs="仿宋"/>
          <w:b w:val="0"/>
          <w:i w:val="0"/>
          <w:color w:val="auto"/>
          <w:sz w:val="32"/>
          <w:u w:val="none"/>
        </w:rPr>
        <w:t>。</w:t>
      </w:r>
    </w:p>
    <w:p w14:paraId="3836A475">
      <w:pPr>
        <w:pStyle w:val="3"/>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6" name="图表 10000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E3C4B9">
      <w:pPr>
        <w:pStyle w:val="3"/>
        <w:keepLines w:val="0"/>
        <w:pageBreakBefore w:val="0"/>
        <w:widowControl/>
        <w:kinsoku/>
        <w:wordWrap/>
        <w:overflowPunct/>
        <w:topLinePunct w:val="0"/>
        <w:autoSpaceDE/>
        <w:autoSpaceDN/>
        <w:bidi w:val="0"/>
        <w:adjustRightInd/>
        <w:snapToGrid/>
        <w:spacing w:line="360" w:lineRule="auto"/>
        <w:jc w:val="center"/>
        <w:textAlignment w:val="auto"/>
        <w:rPr>
          <w:i w:val="0"/>
          <w:iCs w:val="0"/>
        </w:rPr>
      </w:pPr>
      <w:r>
        <w:rPr>
          <w:rFonts w:ascii="楷体_GB2312" w:hAnsi="楷体_GB2312" w:eastAsia="楷体_GB2312" w:cs="楷体_GB2312"/>
          <w:b/>
          <w:bCs/>
          <w:i w:val="0"/>
          <w:iCs w:val="0"/>
          <w:sz w:val="32"/>
          <w:szCs w:val="32"/>
        </w:rPr>
        <w:t>（三）一般公共预算财政拨款支出决算具体情况</w:t>
      </w:r>
    </w:p>
    <w:p w14:paraId="170ECDE2">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2025年度一般公共预算支出决算数为116.11万元，完成预算100%。其中：</w:t>
      </w:r>
    </w:p>
    <w:p w14:paraId="41D09C99">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1.社会保障和就业支出（类）行政事业单位养老支出（款）机关事业单位基本养老保险缴费支出（项）：支出决算为8.54万元，完成预算100%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决算数与预算数持平</w:t>
      </w:r>
      <w:r>
        <w:rPr>
          <w:rFonts w:hint="eastAsia" w:ascii="仿宋_GB2312" w:hAnsi="仿宋_GB2312" w:eastAsia="仿宋_GB2312" w:cs="仿宋_GB2312"/>
          <w:b w:val="0"/>
          <w:i w:val="0"/>
          <w:color w:val="auto"/>
          <w:sz w:val="32"/>
          <w:u w:val="none"/>
          <w:lang w:eastAsia="zh-CN"/>
        </w:rPr>
        <w:t>。</w:t>
      </w:r>
    </w:p>
    <w:p w14:paraId="6906CEFF">
      <w:pPr>
        <w:pStyle w:val="3"/>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2.社会保障和就业支出（类）行政事业单位养老支出（款）机关事业单位职业年金缴费支出（项）：支出决算为3.88万元，完成预算100%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决算数与预算数持平</w:t>
      </w:r>
      <w:r>
        <w:rPr>
          <w:rFonts w:hint="eastAsia" w:ascii="仿宋_GB2312" w:hAnsi="仿宋_GB2312" w:eastAsia="仿宋_GB2312" w:cs="仿宋_GB2312"/>
          <w:b w:val="0"/>
          <w:i w:val="0"/>
          <w:color w:val="auto"/>
          <w:sz w:val="32"/>
          <w:u w:val="none"/>
          <w:lang w:eastAsia="zh-CN"/>
        </w:rPr>
        <w:t>。</w:t>
      </w:r>
    </w:p>
    <w:p w14:paraId="2EDE4B04">
      <w:pPr>
        <w:pStyle w:val="3"/>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3.卫生健康支出（类）行政事业单位医疗（款）事业单位医疗（项）：支出决算为7.25万元，完成预算100%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决算数与预算数持平</w:t>
      </w:r>
      <w:r>
        <w:rPr>
          <w:rFonts w:hint="eastAsia" w:ascii="仿宋_GB2312" w:hAnsi="仿宋_GB2312" w:eastAsia="仿宋_GB2312" w:cs="仿宋_GB2312"/>
          <w:b w:val="0"/>
          <w:i w:val="0"/>
          <w:color w:val="auto"/>
          <w:sz w:val="32"/>
          <w:u w:val="none"/>
          <w:lang w:eastAsia="zh-CN"/>
        </w:rPr>
        <w:t>。</w:t>
      </w:r>
    </w:p>
    <w:p w14:paraId="44A178F6">
      <w:pPr>
        <w:pStyle w:val="3"/>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4.住房保障支出（类）住房改革支出（款）住房公积金（项）：支出决算为5.06万元，完成预算100%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决算数与预算数持平</w:t>
      </w:r>
      <w:r>
        <w:rPr>
          <w:rFonts w:hint="eastAsia" w:ascii="仿宋_GB2312" w:hAnsi="仿宋_GB2312" w:eastAsia="仿宋_GB2312" w:cs="仿宋_GB2312"/>
          <w:b w:val="0"/>
          <w:i w:val="0"/>
          <w:color w:val="auto"/>
          <w:sz w:val="32"/>
          <w:u w:val="none"/>
          <w:lang w:eastAsia="zh-CN"/>
        </w:rPr>
        <w:t>。</w:t>
      </w:r>
    </w:p>
    <w:p w14:paraId="73BAABB6">
      <w:pPr>
        <w:pStyle w:val="3"/>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5.灾害防治及应急管理支出（类）应急管理事务（款）事业运行（项）：支出决算为91.37万元，完成预算100%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决算数与预算数持平</w:t>
      </w:r>
      <w:r>
        <w:rPr>
          <w:rFonts w:hint="eastAsia" w:ascii="仿宋_GB2312" w:hAnsi="仿宋_GB2312" w:eastAsia="仿宋_GB2312" w:cs="仿宋_GB2312"/>
          <w:b w:val="0"/>
          <w:i w:val="0"/>
          <w:color w:val="auto"/>
          <w:sz w:val="32"/>
          <w:u w:val="none"/>
          <w:lang w:eastAsia="zh-CN"/>
        </w:rPr>
        <w:t>。</w:t>
      </w:r>
    </w:p>
    <w:p w14:paraId="69FB6ED9">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6" w:name="_Toc11922"/>
      <w:r>
        <w:rPr>
          <w:rFonts w:hint="eastAsia" w:ascii="黑体" w:hAnsi="黑体" w:eastAsia="黑体" w:cs="黑体"/>
          <w:b w:val="0"/>
          <w:bCs w:val="0"/>
          <w:i w:val="0"/>
          <w:iCs w:val="0"/>
          <w:sz w:val="32"/>
          <w:szCs w:val="32"/>
        </w:rPr>
        <w:t>六、一般公共预算财政拨款基本支出决算情况说明</w:t>
      </w:r>
      <w:bookmarkEnd w:id="6"/>
    </w:p>
    <w:p w14:paraId="5D538AFA">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2025年度一般公共预算财政拨款基本支出116.11万元，其中：</w:t>
      </w:r>
    </w:p>
    <w:p w14:paraId="2441C11F">
      <w:pPr>
        <w:pStyle w:val="3"/>
        <w:spacing w:before="0" w:after="0"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人员经费100.</w:t>
      </w:r>
      <w:r>
        <w:rPr>
          <w:rFonts w:hint="eastAsia" w:ascii="仿宋_GB2312" w:hAnsi="仿宋_GB2312" w:eastAsia="仿宋_GB2312" w:cs="仿宋_GB2312"/>
          <w:b w:val="0"/>
          <w:i w:val="0"/>
          <w:color w:val="auto"/>
          <w:sz w:val="32"/>
          <w:u w:val="none"/>
          <w:lang w:val="en-US" w:eastAsia="zh-CN"/>
        </w:rPr>
        <w:t>30</w:t>
      </w:r>
      <w:r>
        <w:rPr>
          <w:rFonts w:hint="eastAsia" w:ascii="仿宋_GB2312" w:hAnsi="仿宋_GB2312" w:eastAsia="仿宋_GB2312" w:cs="仿宋_GB2312"/>
          <w:b w:val="0"/>
          <w:i w:val="0"/>
          <w:color w:val="auto"/>
          <w:sz w:val="32"/>
          <w:u w:val="none"/>
        </w:rPr>
        <w:t>万元，主要包括：基本工资、津贴补贴、绩效工资、机关事业单位基本养老保险缴费、职业年金缴费、职工基本医疗保险缴费、其他社会保障缴费、住房公积金、医疗费、奖励金。</w:t>
      </w:r>
    </w:p>
    <w:p w14:paraId="5469D2A8">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公用经费15.81万元，主要包括：办公费、差旅费、其他商品和服务支出</w:t>
      </w:r>
      <w:r>
        <w:rPr>
          <w:rFonts w:hint="eastAsia" w:ascii="仿宋_GB2312" w:hAnsi="仿宋_GB2312" w:eastAsia="仿宋_GB2312" w:cs="仿宋_GB2312"/>
          <w:b w:val="0"/>
          <w:i w:val="0"/>
          <w:color w:val="auto"/>
          <w:sz w:val="32"/>
          <w:u w:val="none"/>
          <w:lang w:eastAsia="zh-CN"/>
        </w:rPr>
        <w:t>。</w:t>
      </w:r>
    </w:p>
    <w:p w14:paraId="6A866B1A">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7" w:name="_Toc11602"/>
      <w:r>
        <w:rPr>
          <w:rFonts w:hint="eastAsia" w:ascii="黑体" w:hAnsi="黑体" w:eastAsia="黑体" w:cs="黑体"/>
          <w:b w:val="0"/>
          <w:bCs w:val="0"/>
          <w:i w:val="0"/>
          <w:iCs w:val="0"/>
          <w:sz w:val="32"/>
          <w:szCs w:val="32"/>
        </w:rPr>
        <w:t>七、</w:t>
      </w:r>
      <w:bookmarkEnd w:id="7"/>
      <w:r>
        <w:rPr>
          <w:rFonts w:hint="eastAsia" w:ascii="黑体" w:hAnsi="黑体" w:eastAsia="黑体" w:cs="黑体"/>
          <w:b w:val="0"/>
          <w:bCs w:val="0"/>
          <w:i w:val="0"/>
          <w:iCs w:val="0"/>
          <w:sz w:val="32"/>
          <w:szCs w:val="32"/>
        </w:rPr>
        <w:t>财政拨款“三公”经费支出决算情况说明</w:t>
      </w:r>
    </w:p>
    <w:p w14:paraId="12988E76">
      <w:pPr>
        <w:pStyle w:val="3"/>
        <w:keepLines w:val="0"/>
        <w:pageBreakBefore w:val="0"/>
        <w:widowControl/>
        <w:kinsoku/>
        <w:wordWrap/>
        <w:overflowPunct/>
        <w:topLinePunct w:val="0"/>
        <w:autoSpaceDE/>
        <w:autoSpaceDN/>
        <w:bidi w:val="0"/>
        <w:adjustRightInd/>
        <w:snapToGrid/>
        <w:spacing w:line="360" w:lineRule="auto"/>
        <w:ind w:firstLine="640"/>
        <w:textAlignment w:val="auto"/>
        <w:rPr>
          <w:b/>
          <w:bCs/>
          <w:i w:val="0"/>
          <w:iCs w:val="0"/>
        </w:rPr>
      </w:pPr>
      <w:r>
        <w:rPr>
          <w:rFonts w:ascii="楷体_GB2312" w:hAnsi="楷体_GB2312" w:eastAsia="楷体_GB2312" w:cs="楷体_GB2312"/>
          <w:b/>
          <w:bCs/>
          <w:i w:val="0"/>
          <w:iCs w:val="0"/>
          <w:sz w:val="32"/>
          <w:szCs w:val="32"/>
        </w:rPr>
        <w:t>（一）</w:t>
      </w:r>
      <w:r>
        <w:rPr>
          <w:rFonts w:ascii="Calibri" w:hAnsi="Calibri" w:eastAsia="Calibri" w:cs="Calibri"/>
          <w:b/>
          <w:bCs/>
          <w:i w:val="0"/>
          <w:iCs w:val="0"/>
          <w:sz w:val="32"/>
          <w:szCs w:val="32"/>
        </w:rPr>
        <w:t>“</w:t>
      </w:r>
      <w:r>
        <w:rPr>
          <w:rFonts w:ascii="楷体_GB2312" w:hAnsi="楷体_GB2312" w:eastAsia="楷体_GB2312" w:cs="楷体_GB2312"/>
          <w:b/>
          <w:bCs/>
          <w:i w:val="0"/>
          <w:iCs w:val="0"/>
          <w:sz w:val="32"/>
          <w:szCs w:val="32"/>
        </w:rPr>
        <w:t>三公</w:t>
      </w:r>
      <w:r>
        <w:rPr>
          <w:rFonts w:ascii="Calibri" w:hAnsi="Calibri" w:eastAsia="Calibri" w:cs="Calibri"/>
          <w:b/>
          <w:bCs/>
          <w:i w:val="0"/>
          <w:iCs w:val="0"/>
          <w:sz w:val="32"/>
          <w:szCs w:val="32"/>
        </w:rPr>
        <w:t>”</w:t>
      </w:r>
      <w:r>
        <w:rPr>
          <w:rFonts w:ascii="楷体_GB2312" w:hAnsi="楷体_GB2312" w:eastAsia="楷体_GB2312" w:cs="楷体_GB2312"/>
          <w:b/>
          <w:bCs/>
          <w:i w:val="0"/>
          <w:iCs w:val="0"/>
          <w:sz w:val="32"/>
          <w:szCs w:val="32"/>
        </w:rPr>
        <w:t>经费财政拨款支出决算总体情况说明</w:t>
      </w:r>
    </w:p>
    <w:p w14:paraId="71708C5E">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2025年度“三公”经费财政拨款支出决算为0万元</w:t>
      </w:r>
      <w:bookmarkStart w:id="29" w:name="_GoBack"/>
      <w:bookmarkEnd w:id="29"/>
      <w:r>
        <w:rPr>
          <w:rFonts w:hint="eastAsia" w:ascii="仿宋_GB2312" w:hAnsi="仿宋_GB2312" w:eastAsia="仿宋_GB2312" w:cs="仿宋_GB2312"/>
          <w:b w:val="0"/>
          <w:i w:val="0"/>
          <w:color w:val="auto"/>
          <w:sz w:val="32"/>
          <w:u w:val="none"/>
          <w:lang w:val="en-US" w:eastAsia="zh-CN"/>
        </w:rPr>
        <w:t>。</w:t>
      </w:r>
    </w:p>
    <w:p w14:paraId="5A27057D">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ascii="楷体_GB2312" w:hAnsi="楷体_GB2312" w:eastAsia="楷体_GB2312" w:cs="楷体_GB2312"/>
          <w:b/>
          <w:bCs/>
          <w:i w:val="0"/>
          <w:iCs w:val="0"/>
          <w:sz w:val="32"/>
          <w:szCs w:val="32"/>
        </w:rPr>
      </w:pPr>
      <w:r>
        <w:rPr>
          <w:rFonts w:ascii="楷体_GB2312" w:hAnsi="楷体_GB2312" w:eastAsia="楷体_GB2312" w:cs="楷体_GB2312"/>
          <w:b/>
          <w:bCs/>
          <w:i w:val="0"/>
          <w:iCs w:val="0"/>
          <w:sz w:val="32"/>
          <w:szCs w:val="32"/>
        </w:rPr>
        <w:t>（二）“三公”经费财政拨款支出决算具体情况说明</w:t>
      </w:r>
    </w:p>
    <w:p w14:paraId="4148C5AE">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2025年度“三公”经费财政拨款支出决算中，因公出国（境）费支出决算0万元；公务用车购置及运行维护费支出决算0万元；公务接待费支出决算0万元。具体情况如下：</w:t>
      </w:r>
    </w:p>
    <w:p w14:paraId="210BABC8">
      <w:pPr>
        <w:spacing w:line="600" w:lineRule="exact"/>
        <w:ind w:firstLine="640"/>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i w:val="0"/>
          <w:color w:val="auto"/>
          <w:sz w:val="32"/>
          <w:u w:val="none"/>
        </w:rPr>
        <w:t>1.因公出国（境）经费支出</w:t>
      </w:r>
      <w:r>
        <w:rPr>
          <w:rFonts w:hint="eastAsia" w:ascii="仿宋_GB2312" w:hAnsi="仿宋_GB2312" w:eastAsia="仿宋_GB2312" w:cs="仿宋_GB2312"/>
          <w:b w:val="0"/>
          <w:bCs/>
          <w:i w:val="0"/>
          <w:color w:val="auto"/>
          <w:sz w:val="32"/>
          <w:u w:val="none"/>
        </w:rPr>
        <w:t>0万元,完成预算0%。</w:t>
      </w:r>
      <w:r>
        <w:rPr>
          <w:rFonts w:hint="eastAsia" w:ascii="仿宋_GB2312" w:hAnsi="仿宋_GB2312" w:eastAsia="仿宋_GB2312" w:cs="仿宋_GB2312"/>
          <w:b w:val="0"/>
          <w:bCs/>
          <w:color w:val="000000"/>
          <w:sz w:val="32"/>
          <w:u w:color="auto"/>
        </w:rPr>
        <w:t xml:space="preserve"> </w:t>
      </w:r>
    </w:p>
    <w:p w14:paraId="689EDD94">
      <w:pPr>
        <w:spacing w:line="600" w:lineRule="exact"/>
        <w:ind w:firstLine="643"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i w:val="0"/>
          <w:color w:val="auto"/>
          <w:sz w:val="32"/>
          <w:u w:val="none"/>
        </w:rPr>
        <w:t>2.公务用车购置及运行维护费支出</w:t>
      </w:r>
      <w:r>
        <w:rPr>
          <w:rFonts w:hint="eastAsia" w:ascii="仿宋_GB2312" w:hAnsi="仿宋_GB2312" w:eastAsia="仿宋_GB2312" w:cs="仿宋_GB2312"/>
          <w:b w:val="0"/>
          <w:bCs/>
          <w:i w:val="0"/>
          <w:color w:val="auto"/>
          <w:sz w:val="32"/>
          <w:u w:val="none"/>
        </w:rPr>
        <w:t>0万元,完成预算0%。</w:t>
      </w:r>
      <w:r>
        <w:rPr>
          <w:rFonts w:hint="eastAsia" w:ascii="仿宋_GB2312" w:hAnsi="仿宋_GB2312" w:eastAsia="仿宋_GB2312" w:cs="仿宋_GB2312"/>
          <w:color w:val="000000"/>
          <w:sz w:val="32"/>
          <w:u w:color="auto"/>
        </w:rPr>
        <w:t xml:space="preserve">。 </w:t>
      </w:r>
    </w:p>
    <w:p w14:paraId="1F2D989D">
      <w:pPr>
        <w:pStyle w:val="3"/>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i w:val="0"/>
          <w:color w:val="auto"/>
          <w:sz w:val="32"/>
          <w:u w:val="none"/>
        </w:rPr>
      </w:pPr>
      <w:r>
        <w:rPr>
          <w:rFonts w:hint="eastAsia" w:ascii="仿宋_GB2312" w:hAnsi="仿宋_GB2312" w:eastAsia="仿宋_GB2312" w:cs="仿宋_GB2312"/>
          <w:b/>
          <w:i w:val="0"/>
          <w:color w:val="auto"/>
          <w:sz w:val="32"/>
          <w:u w:val="none"/>
          <w:lang w:val="en-US" w:eastAsia="zh-CN"/>
        </w:rPr>
        <w:t>3.</w:t>
      </w:r>
      <w:r>
        <w:rPr>
          <w:rFonts w:hint="eastAsia" w:ascii="仿宋_GB2312" w:hAnsi="仿宋_GB2312" w:eastAsia="仿宋_GB2312" w:cs="仿宋_GB2312"/>
          <w:b/>
          <w:i w:val="0"/>
          <w:color w:val="auto"/>
          <w:sz w:val="32"/>
          <w:u w:val="none"/>
        </w:rPr>
        <w:t>接待费支出</w:t>
      </w:r>
      <w:r>
        <w:rPr>
          <w:rFonts w:hint="eastAsia" w:ascii="仿宋_GB2312" w:hAnsi="仿宋_GB2312" w:eastAsia="仿宋_GB2312" w:cs="仿宋_GB2312"/>
          <w:b w:val="0"/>
          <w:bCs/>
          <w:i w:val="0"/>
          <w:color w:val="auto"/>
          <w:sz w:val="32"/>
          <w:u w:val="none"/>
        </w:rPr>
        <w:t>0万元，完成预算0%。</w:t>
      </w:r>
    </w:p>
    <w:p w14:paraId="439F502F">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b w:val="0"/>
          <w:bCs w:val="0"/>
          <w:i w:val="0"/>
          <w:iCs w:val="0"/>
          <w:sz w:val="32"/>
          <w:szCs w:val="32"/>
        </w:rPr>
      </w:pPr>
      <w:bookmarkStart w:id="8" w:name="_Toc30406"/>
      <w:r>
        <w:rPr>
          <w:rFonts w:ascii="黑体" w:hAnsi="黑体" w:eastAsia="黑体" w:cs="黑体"/>
          <w:b w:val="0"/>
          <w:bCs w:val="0"/>
          <w:i w:val="0"/>
          <w:iCs w:val="0"/>
          <w:sz w:val="32"/>
          <w:szCs w:val="32"/>
        </w:rPr>
        <w:t>八、政府性基金预算支出决算情况说明</w:t>
      </w:r>
      <w:bookmarkEnd w:id="8"/>
    </w:p>
    <w:p w14:paraId="2ED2B55D">
      <w:pPr>
        <w:pStyle w:val="3"/>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i w:val="0"/>
          <w:iCs w:val="0"/>
          <w:sz w:val="24"/>
          <w:szCs w:val="24"/>
        </w:rPr>
      </w:pPr>
      <w:r>
        <w:rPr>
          <w:rFonts w:hint="eastAsia" w:ascii="仿宋_GB2312" w:hAnsi="仿宋_GB2312" w:eastAsia="仿宋_GB2312" w:cs="仿宋_GB2312"/>
          <w:b w:val="0"/>
          <w:i w:val="0"/>
          <w:color w:val="auto"/>
          <w:sz w:val="30"/>
          <w:u w:val="none"/>
        </w:rPr>
        <w:t>2025</w:t>
      </w:r>
      <w:r>
        <w:rPr>
          <w:rFonts w:hint="eastAsia" w:ascii="仿宋_GB2312" w:hAnsi="仿宋_GB2312" w:eastAsia="仿宋_GB2312" w:cs="仿宋_GB2312"/>
          <w:color w:val="000000"/>
          <w:sz w:val="32"/>
          <w:szCs w:val="32"/>
          <w:lang w:val="en-US" w:eastAsia="zh-CN"/>
        </w:rPr>
        <w:t>年度无</w:t>
      </w:r>
      <w:r>
        <w:rPr>
          <w:rFonts w:hint="eastAsia" w:ascii="仿宋_GB2312" w:hAnsi="仿宋_GB2312" w:eastAsia="仿宋_GB2312" w:cs="仿宋_GB2312"/>
          <w:color w:val="000000"/>
          <w:sz w:val="32"/>
          <w:szCs w:val="32"/>
        </w:rPr>
        <w:t>政府性基金支出。</w:t>
      </w:r>
    </w:p>
    <w:p w14:paraId="62A51791">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bookmarkStart w:id="9" w:name="_Toc18496"/>
      <w:r>
        <w:rPr>
          <w:rFonts w:ascii="黑体" w:hAnsi="黑体" w:eastAsia="黑体" w:cs="黑体"/>
          <w:b w:val="0"/>
          <w:bCs w:val="0"/>
          <w:i w:val="0"/>
          <w:iCs w:val="0"/>
          <w:sz w:val="32"/>
          <w:szCs w:val="32"/>
        </w:rPr>
        <w:t>九、国有资本经营预算支出决算情况说明</w:t>
      </w:r>
      <w:bookmarkEnd w:id="9"/>
    </w:p>
    <w:p w14:paraId="1FE1ABAD">
      <w:pPr>
        <w:pageBreakBefore w:val="0"/>
        <w:widowControl w:val="0"/>
        <w:kinsoku/>
        <w:wordWrap/>
        <w:overflowPunct/>
        <w:topLinePunct w:val="0"/>
        <w:autoSpaceDE/>
        <w:autoSpaceDN/>
        <w:bidi w:val="0"/>
        <w:adjustRightInd/>
        <w:snapToGrid/>
        <w:spacing w:line="360" w:lineRule="auto"/>
        <w:ind w:firstLine="640"/>
        <w:textAlignment w:val="auto"/>
        <w:rPr>
          <w:i w:val="0"/>
          <w:iCs w:val="0"/>
          <w:sz w:val="24"/>
          <w:szCs w:val="24"/>
        </w:rPr>
      </w:pPr>
      <w:r>
        <w:rPr>
          <w:rFonts w:hint="eastAsia" w:ascii="仿宋_GB2312" w:hAnsi="仿宋_GB2312" w:eastAsia="仿宋_GB2312" w:cs="仿宋_GB2312"/>
          <w:b w:val="0"/>
          <w:i w:val="0"/>
          <w:color w:val="auto"/>
          <w:sz w:val="30"/>
          <w:u w:val="none"/>
        </w:rPr>
        <w:t>2025</w:t>
      </w:r>
      <w:r>
        <w:rPr>
          <w:rFonts w:hint="eastAsia" w:ascii="仿宋_GB2312" w:hAnsi="仿宋_GB2312" w:eastAsia="仿宋_GB2312" w:cs="仿宋_GB2312"/>
          <w:color w:val="000000"/>
          <w:sz w:val="32"/>
          <w:szCs w:val="32"/>
          <w:lang w:val="en-US" w:eastAsia="zh-CN"/>
        </w:rPr>
        <w:t>年度无</w:t>
      </w:r>
      <w:r>
        <w:rPr>
          <w:rFonts w:hint="eastAsia" w:ascii="仿宋_GB2312" w:hAnsi="仿宋_GB2312" w:eastAsia="仿宋_GB2312" w:cs="仿宋_GB2312"/>
          <w:color w:val="000000"/>
          <w:sz w:val="32"/>
          <w:szCs w:val="32"/>
        </w:rPr>
        <w:t>国有资本经营预算支出。</w:t>
      </w:r>
      <w:r>
        <w:rPr>
          <w:rFonts w:hint="eastAsia" w:ascii="仿宋_GB2312" w:hAnsi="仿宋_GB2312" w:eastAsia="仿宋_GB2312" w:cs="仿宋_GB2312"/>
          <w:color w:val="000000"/>
          <w:sz w:val="32"/>
          <w:u w:color="auto"/>
        </w:rPr>
        <w:t xml:space="preserve"> </w:t>
      </w:r>
    </w:p>
    <w:p w14:paraId="5486D1D9">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bookmarkStart w:id="10" w:name="_Toc3455"/>
      <w:r>
        <w:rPr>
          <w:rFonts w:ascii="黑体" w:hAnsi="黑体" w:eastAsia="黑体" w:cs="黑体"/>
          <w:b w:val="0"/>
          <w:bCs w:val="0"/>
          <w:i w:val="0"/>
          <w:iCs w:val="0"/>
          <w:sz w:val="32"/>
          <w:szCs w:val="32"/>
        </w:rPr>
        <w:t>十、其他重要事项的情况说明</w:t>
      </w:r>
      <w:bookmarkEnd w:id="10"/>
    </w:p>
    <w:p w14:paraId="404B3B1D">
      <w:pPr>
        <w:pStyle w:val="3"/>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（一）机关运行经费支出情况</w:t>
      </w:r>
    </w:p>
    <w:p w14:paraId="1F1F0399">
      <w:pPr>
        <w:spacing w:line="600" w:lineRule="exact"/>
        <w:ind w:firstLine="640"/>
        <w:rPr>
          <w:rFonts w:hint="default" w:ascii="方正仿宋_GB2312" w:hAnsi="方正仿宋_GB2312" w:eastAsia="仿宋_GB2312" w:cs="方正仿宋_GB2312"/>
          <w:color w:val="000000"/>
          <w:sz w:val="32"/>
          <w:u w:color="auto"/>
          <w:lang w:val="en-US" w:eastAsia="zh-CN"/>
        </w:rPr>
      </w:pPr>
      <w:r>
        <w:rPr>
          <w:rFonts w:hint="eastAsia" w:ascii="仿宋_GB2312" w:hAnsi="仿宋_GB2312" w:eastAsia="仿宋_GB2312" w:cs="仿宋_GB2312"/>
          <w:b w:val="0"/>
          <w:i w:val="0"/>
          <w:color w:val="auto"/>
          <w:sz w:val="32"/>
          <w:szCs w:val="32"/>
          <w:u w:val="none"/>
        </w:rPr>
        <w:t>2025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机关运行经费</w:t>
      </w:r>
      <w:r>
        <w:rPr>
          <w:rFonts w:hint="eastAsia" w:ascii="仿宋_GB2312" w:hAnsi="仿宋_GB2312" w:eastAsia="仿宋_GB2312" w:cs="仿宋_GB2312"/>
          <w:color w:val="000000"/>
          <w:sz w:val="32"/>
          <w:szCs w:val="32"/>
          <w:lang w:val="en-US" w:eastAsia="zh-CN"/>
        </w:rPr>
        <w:t>支出15.81万元</w:t>
      </w:r>
      <w:r>
        <w:rPr>
          <w:rFonts w:hint="eastAsia" w:ascii="仿宋_GB2312" w:hAnsi="仿宋_GB2312" w:eastAsia="仿宋_GB2312" w:cs="仿宋_GB2312"/>
          <w:color w:val="000000"/>
          <w:sz w:val="32"/>
          <w:szCs w:val="32"/>
          <w:u w:color="auto"/>
        </w:rPr>
        <w:t>。</w:t>
      </w:r>
      <w:r>
        <w:rPr>
          <w:rFonts w:hint="eastAsia" w:ascii="仿宋_GB2312" w:hAnsi="仿宋_GB2312" w:eastAsia="仿宋_GB2312" w:cs="仿宋_GB2312"/>
          <w:color w:val="000000"/>
          <w:sz w:val="32"/>
          <w:szCs w:val="32"/>
          <w:u w:color="auto"/>
          <w:lang w:val="en-US" w:eastAsia="zh-CN"/>
        </w:rPr>
        <w:t>与2024年相比增加20.77%，增加的主要原因是：本年度下乡次数增加，支出费用增加。</w:t>
      </w:r>
    </w:p>
    <w:p w14:paraId="57975E1C">
      <w:pPr>
        <w:pStyle w:val="3"/>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（二）政府采购支出情况</w:t>
      </w:r>
    </w:p>
    <w:p w14:paraId="54D91C83">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szCs w:val="32"/>
          <w:u w:val="none"/>
        </w:rPr>
        <w:t>2025年度，政府采购支出总额0万元。</w:t>
      </w:r>
    </w:p>
    <w:p w14:paraId="2C7E9855">
      <w:pPr>
        <w:pStyle w:val="3"/>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（三）国有资产占有使用情况</w:t>
      </w:r>
    </w:p>
    <w:p w14:paraId="7227176A">
      <w:pPr>
        <w:pStyle w:val="3"/>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sz w:val="24"/>
          <w:szCs w:val="24"/>
        </w:rPr>
      </w:pPr>
      <w:r>
        <w:rPr>
          <w:rFonts w:hint="eastAsia" w:ascii="仿宋_GB2312" w:hAnsi="仿宋_GB2312" w:eastAsia="仿宋_GB2312" w:cs="仿宋_GB2312"/>
          <w:b w:val="0"/>
          <w:i w:val="0"/>
          <w:color w:val="auto"/>
          <w:sz w:val="32"/>
          <w:szCs w:val="32"/>
          <w:u w:val="none"/>
        </w:rPr>
        <w:t>截至2025年12月31日，</w:t>
      </w:r>
      <w:r>
        <w:rPr>
          <w:rFonts w:hint="eastAsia" w:ascii="仿宋_GB2312" w:hAnsi="仿宋_GB2312" w:eastAsia="仿宋_GB2312" w:cs="仿宋_GB2312"/>
          <w:color w:val="000000"/>
          <w:sz w:val="32"/>
          <w:szCs w:val="32"/>
          <w:lang w:bidi="ar-SA"/>
        </w:rPr>
        <w:t>共有车辆0辆</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单价50万元以上通用设备0台（套），单价100万元以上专用设备0台（套）。</w:t>
      </w:r>
    </w:p>
    <w:p w14:paraId="70193EE6">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32"/>
          <w:szCs w:val="32"/>
        </w:rPr>
      </w:pPr>
      <w:r>
        <w:rPr>
          <w:rFonts w:ascii="楷体_GB2312" w:hAnsi="楷体_GB2312" w:eastAsia="楷体_GB2312" w:cs="楷体_GB2312"/>
          <w:b/>
          <w:bCs/>
          <w:i w:val="0"/>
          <w:iCs w:val="0"/>
          <w:sz w:val="32"/>
          <w:szCs w:val="32"/>
        </w:rPr>
        <w:t>        （四）预算绩效管理情况</w:t>
      </w:r>
    </w:p>
    <w:p w14:paraId="36F9830D">
      <w:pPr>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根据预算绩效管理要求，本</w:t>
      </w:r>
      <w:r>
        <w:rPr>
          <w:rFonts w:hint="eastAsia" w:ascii="仿宋_GB2312" w:hAnsi="仿宋_GB2312" w:eastAsia="仿宋_GB2312" w:cs="仿宋_GB2312"/>
          <w:color w:val="auto"/>
          <w:sz w:val="32"/>
          <w:szCs w:val="32"/>
          <w:highlight w:val="none"/>
          <w:lang w:val="en-US" w:eastAsia="zh-CN"/>
        </w:rPr>
        <w:t>部门</w:t>
      </w:r>
      <w:r>
        <w:rPr>
          <w:rFonts w:hint="eastAsia" w:ascii="仿宋_GB2312" w:hAnsi="仿宋_GB2312" w:eastAsia="仿宋_GB2312" w:cs="仿宋_GB2312"/>
          <w:color w:val="auto"/>
          <w:sz w:val="32"/>
          <w:szCs w:val="32"/>
          <w:highlight w:val="none"/>
          <w:lang w:eastAsia="zh-CN"/>
        </w:rPr>
        <w:t>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lang w:eastAsia="zh-CN"/>
        </w:rPr>
        <w:t>预算编制阶段，组织对</w:t>
      </w:r>
      <w:r>
        <w:rPr>
          <w:rFonts w:hint="eastAsia" w:ascii="仿宋_GB2312" w:hAnsi="仿宋_GB2312" w:eastAsia="仿宋_GB2312" w:cs="仿宋_GB2312"/>
          <w:color w:val="auto"/>
          <w:sz w:val="32"/>
          <w:szCs w:val="32"/>
          <w:highlight w:val="none"/>
          <w:lang w:val="en-US" w:eastAsia="zh-CN"/>
        </w:rPr>
        <w:t>0个</w:t>
      </w:r>
      <w:r>
        <w:rPr>
          <w:rFonts w:hint="eastAsia" w:ascii="仿宋_GB2312" w:hAnsi="仿宋_GB2312" w:eastAsia="仿宋_GB2312" w:cs="仿宋_GB2312"/>
          <w:color w:val="auto"/>
          <w:sz w:val="32"/>
          <w:szCs w:val="32"/>
          <w:highlight w:val="none"/>
          <w:lang w:eastAsia="zh-CN"/>
        </w:rPr>
        <w:t>项目开展了预算事前绩效评估，对</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lang w:eastAsia="zh-CN"/>
        </w:rPr>
        <w:t>个项目编制了绩效目标，预算执行过程中，选取</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lang w:eastAsia="zh-CN"/>
        </w:rPr>
        <w:t>个项目开展绩效监控，组织对</w:t>
      </w:r>
      <w:r>
        <w:rPr>
          <w:rFonts w:hint="eastAsia" w:ascii="仿宋_GB2312" w:hAnsi="仿宋_GB2312" w:eastAsia="仿宋_GB2312" w:cs="仿宋_GB2312"/>
          <w:color w:val="auto"/>
          <w:sz w:val="32"/>
          <w:szCs w:val="32"/>
          <w:highlight w:val="none"/>
          <w:lang w:val="en-US" w:eastAsia="zh-CN"/>
        </w:rPr>
        <w:t>0个项目开展绩效自评，绩效自评表详见第四部分附件。</w:t>
      </w:r>
    </w:p>
    <w:p w14:paraId="626F4899">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03A1B015">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5B1680EB">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048EFCFB">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669C571D">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5EC02EF1">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06BE95A0">
      <w:pPr>
        <w:pStyle w:val="3"/>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7A2131B5">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18A98383">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5C09E9F0">
      <w:pPr>
        <w:pStyle w:val="2"/>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bookmarkStart w:id="11" w:name="_Toc1841"/>
      <w:r>
        <w:rPr>
          <w:rFonts w:ascii="黑体" w:hAnsi="黑体" w:eastAsia="黑体" w:cs="黑体"/>
          <w:i w:val="0"/>
          <w:iCs w:val="0"/>
          <w:sz w:val="44"/>
          <w:szCs w:val="44"/>
        </w:rPr>
        <w:t>第三部分</w:t>
      </w:r>
      <w:r>
        <w:rPr>
          <w:rFonts w:ascii="Calibri" w:hAnsi="Calibri" w:eastAsia="Calibri" w:cs="Calibri"/>
          <w:i w:val="0"/>
          <w:iCs w:val="0"/>
          <w:sz w:val="44"/>
          <w:szCs w:val="44"/>
        </w:rPr>
        <w:t> </w:t>
      </w:r>
      <w:r>
        <w:rPr>
          <w:rFonts w:ascii="黑体" w:hAnsi="黑体" w:eastAsia="黑体" w:cs="黑体"/>
          <w:i w:val="0"/>
          <w:iCs w:val="0"/>
          <w:sz w:val="44"/>
          <w:szCs w:val="44"/>
        </w:rPr>
        <w:t>名词解释</w:t>
      </w:r>
      <w:bookmarkEnd w:id="11"/>
    </w:p>
    <w:p w14:paraId="65011E5B">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1.财政拨款收入：指单位从同级财政部门取得的财政预算资金。</w:t>
      </w:r>
    </w:p>
    <w:p w14:paraId="45723920">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2.事业收入：指事业单位开展专业业务活动及辅助活动取得的收入。</w:t>
      </w:r>
    </w:p>
    <w:p w14:paraId="5C92CBAE">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3.经营收入：指事业单位在专业业务活动及其辅助活动之外开展非独立核算经营活动取得的收入</w:t>
      </w:r>
    </w:p>
    <w:p w14:paraId="613758C0">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4.其他收入：指单位取得的除上述收入以外的各项收入。</w:t>
      </w:r>
    </w:p>
    <w:p w14:paraId="59A8AE39">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5.使用非财政拨款结余（含专用结余）：指事业单位使用以前年度积累的非财政拨款结余弥补当年收支差额的金额。</w:t>
      </w:r>
    </w:p>
    <w:p w14:paraId="315A85E9">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6.年初结转和结余：指以前年度尚未完成、结转到本年按有关规定继续使用的资金。</w:t>
      </w:r>
    </w:p>
    <w:p w14:paraId="183E7805">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7.结余分配：指事业单位按照会计制度规定缴纳的所得税、提取的专用结余以及转入非财政拨款结余的金额等。</w:t>
      </w:r>
    </w:p>
    <w:p w14:paraId="12F7ABDA">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8.年末结转和结余：指单位按有关规定结转到下年或以后年度继续使用的资金。</w:t>
      </w:r>
    </w:p>
    <w:p w14:paraId="6CBBE153">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9.社会保障和就业支出（类）行政事业单位养老支出（款）机关事业单位基本养老保险缴费支出（项）：反映机关事业单位实施养老保险制度由单位缴纳的基本养老保险费支出。</w:t>
      </w:r>
    </w:p>
    <w:p w14:paraId="5110AF4F">
      <w:pPr>
        <w:pStyle w:val="3"/>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10.社会保障和就业支出（类）行政事业单位养老支出（款）机关事业单位职业年金缴费支出（项）：反映机关事业单位实施养老保险制度由单位实际缴纳的职业年金支出。</w:t>
      </w:r>
    </w:p>
    <w:p w14:paraId="1150C868">
      <w:pPr>
        <w:pStyle w:val="3"/>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11.卫生健康支出（类）行政事业单位医疗（款）事业单位医疗（项）：反映行政事业单位医疗方面的支出。</w:t>
      </w:r>
    </w:p>
    <w:p w14:paraId="4A3B053F">
      <w:pPr>
        <w:pStyle w:val="3"/>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12.住房保障支出（类）住房改革支出（款）住房公积金（项）：反映行政事业单位按人力资源和社会保障部、财政部规定的基本工资和津贴补贴以及规定比例为职工缴纳的住房公积金。</w:t>
      </w:r>
    </w:p>
    <w:p w14:paraId="6C6C7011">
      <w:pPr>
        <w:pStyle w:val="3"/>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13.灾害防治及应急管理支出（类）应急管理事务（款）事业运行（项）：反映事业单位的基本支出，不包括行政单位（包括实行公务员管理的事业单位）后勤服务中心、医务室等附属事业单位。</w:t>
      </w:r>
    </w:p>
    <w:p w14:paraId="6F265731">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14.基本支出：指为保障机构正常运转、完成日常工作任务而发生的人员支出和公用支出。</w:t>
      </w:r>
    </w:p>
    <w:p w14:paraId="113ABA52">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15.项目支出：指在基本支出之外为完成特定行政任务和事业发展目标所发生的支出。</w:t>
      </w:r>
    </w:p>
    <w:p w14:paraId="2457834B">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16.经营支出：指事业单位在专业业务活动及其辅助活动之外开展非独立核算经营活动发生的支出。</w:t>
      </w:r>
    </w:p>
    <w:p w14:paraId="732E04CB">
      <w:pPr>
        <w:pStyle w:val="3"/>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i w:val="0"/>
          <w:iCs w:val="0"/>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03115FE">
      <w:pPr>
        <w:pStyle w:val="2"/>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r>
        <w:br w:type="page"/>
      </w:r>
      <w:bookmarkStart w:id="12" w:name="_Toc6779"/>
      <w:r>
        <w:rPr>
          <w:rFonts w:ascii="黑体" w:hAnsi="黑体" w:eastAsia="黑体" w:cs="黑体"/>
          <w:i w:val="0"/>
          <w:iCs w:val="0"/>
          <w:sz w:val="44"/>
          <w:szCs w:val="44"/>
        </w:rPr>
        <w:t>第四部分 附件</w:t>
      </w:r>
      <w:bookmarkEnd w:id="12"/>
    </w:p>
    <w:p w14:paraId="1AD944F6">
      <w:pPr>
        <w:pStyle w:val="2"/>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bookmarkStart w:id="13" w:name="_Toc4905"/>
      <w:bookmarkStart w:id="14" w:name="_Toc30681"/>
      <w:r>
        <w:rPr>
          <w:rFonts w:hint="eastAsia" w:ascii="方正仿宋_GB2312" w:hAnsi="方正仿宋_GB2312" w:eastAsia="方正仿宋_GB2312" w:cs="方正仿宋_GB2312"/>
          <w:b w:val="0"/>
          <w:bCs/>
          <w:sz w:val="32"/>
          <w:szCs w:val="32"/>
        </w:rPr>
        <w:t>阿坝州茂县</w:t>
      </w:r>
      <w:r>
        <w:rPr>
          <w:rFonts w:hint="eastAsia" w:ascii="方正仿宋_GB2312" w:hAnsi="方正仿宋_GB2312" w:eastAsia="方正仿宋_GB2312" w:cs="方正仿宋_GB2312"/>
          <w:b w:val="0"/>
          <w:bCs/>
          <w:sz w:val="32"/>
          <w:szCs w:val="32"/>
          <w:lang w:val="en-US" w:eastAsia="zh-CN"/>
        </w:rPr>
        <w:t>森林草原防灭火应急服务中心</w:t>
      </w:r>
      <w:r>
        <w:rPr>
          <w:rFonts w:hint="eastAsia" w:ascii="方正仿宋_GB2312" w:hAnsi="方正仿宋_GB2312" w:eastAsia="方正仿宋_GB2312" w:cs="方正仿宋_GB2312"/>
          <w:b w:val="0"/>
          <w:bCs/>
          <w:color w:val="auto"/>
          <w:sz w:val="32"/>
          <w:szCs w:val="32"/>
          <w:highlight w:val="none"/>
          <w:lang w:val="zh-CN" w:eastAsia="zh-CN" w:bidi="ar-SA"/>
        </w:rPr>
        <w:t>无</w:t>
      </w:r>
      <w:r>
        <w:rPr>
          <w:rFonts w:hint="eastAsia" w:ascii="方正仿宋_GB2312" w:hAnsi="方正仿宋_GB2312" w:eastAsia="方正仿宋_GB2312" w:cs="方正仿宋_GB2312"/>
          <w:b w:val="0"/>
          <w:bCs/>
          <w:color w:val="auto"/>
          <w:sz w:val="32"/>
          <w:szCs w:val="32"/>
          <w:highlight w:val="none"/>
          <w:lang w:val="en-US" w:eastAsia="zh-CN" w:bidi="ar-SA"/>
        </w:rPr>
        <w:t>预算项目支出绩效自评表。</w:t>
      </w:r>
      <w:bookmarkEnd w:id="13"/>
      <w:bookmarkEnd w:id="14"/>
      <w:r>
        <w:rPr>
          <w:rFonts w:hint="eastAsia" w:ascii="方正仿宋_GB2312" w:hAnsi="方正仿宋_GB2312" w:eastAsia="方正仿宋_GB2312" w:cs="方正仿宋_GB2312"/>
          <w:sz w:val="32"/>
          <w:szCs w:val="32"/>
        </w:rPr>
        <w:br w:type="page"/>
      </w:r>
      <w:bookmarkStart w:id="15" w:name="_Toc2410"/>
      <w:r>
        <w:rPr>
          <w:rFonts w:ascii="黑体" w:hAnsi="黑体" w:eastAsia="黑体" w:cs="黑体"/>
          <w:i w:val="0"/>
          <w:iCs w:val="0"/>
          <w:sz w:val="44"/>
          <w:szCs w:val="44"/>
        </w:rPr>
        <w:t>第五部分 附表</w:t>
      </w:r>
      <w:bookmarkEnd w:id="15"/>
    </w:p>
    <w:p w14:paraId="55BBEC75">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6" w:name="_Toc1132"/>
      <w:r>
        <w:rPr>
          <w:rFonts w:ascii="仿宋" w:hAnsi="仿宋" w:eastAsia="仿宋" w:cs="仿宋"/>
          <w:b w:val="0"/>
          <w:bCs w:val="0"/>
          <w:i w:val="0"/>
          <w:iCs w:val="0"/>
          <w:sz w:val="32"/>
          <w:szCs w:val="32"/>
        </w:rPr>
        <w:t>一、收入支出决算总表</w:t>
      </w:r>
      <w:bookmarkEnd w:id="16"/>
    </w:p>
    <w:p w14:paraId="4B7B61F6">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7" w:name="_Toc13670"/>
      <w:r>
        <w:rPr>
          <w:rFonts w:ascii="仿宋" w:hAnsi="仿宋" w:eastAsia="仿宋" w:cs="仿宋"/>
          <w:b w:val="0"/>
          <w:bCs w:val="0"/>
          <w:i w:val="0"/>
          <w:iCs w:val="0"/>
          <w:sz w:val="32"/>
          <w:szCs w:val="32"/>
        </w:rPr>
        <w:t>二、收入决算表</w:t>
      </w:r>
      <w:bookmarkEnd w:id="17"/>
    </w:p>
    <w:p w14:paraId="4FA0ECBF">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8" w:name="_Toc4132"/>
      <w:r>
        <w:rPr>
          <w:rFonts w:ascii="仿宋" w:hAnsi="仿宋" w:eastAsia="仿宋" w:cs="仿宋"/>
          <w:b w:val="0"/>
          <w:bCs w:val="0"/>
          <w:i w:val="0"/>
          <w:iCs w:val="0"/>
          <w:sz w:val="32"/>
          <w:szCs w:val="32"/>
        </w:rPr>
        <w:t>三、支出决算表</w:t>
      </w:r>
      <w:bookmarkEnd w:id="18"/>
    </w:p>
    <w:p w14:paraId="53904588">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9" w:name="_Toc31701"/>
      <w:r>
        <w:rPr>
          <w:rFonts w:ascii="仿宋" w:hAnsi="仿宋" w:eastAsia="仿宋" w:cs="仿宋"/>
          <w:b w:val="0"/>
          <w:bCs w:val="0"/>
          <w:i w:val="0"/>
          <w:iCs w:val="0"/>
          <w:sz w:val="32"/>
          <w:szCs w:val="32"/>
        </w:rPr>
        <w:t>四、财政拨款收入支出决算总表</w:t>
      </w:r>
      <w:bookmarkEnd w:id="19"/>
    </w:p>
    <w:p w14:paraId="2A2FE813">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0" w:name="_Toc13876"/>
      <w:r>
        <w:rPr>
          <w:rFonts w:ascii="仿宋" w:hAnsi="仿宋" w:eastAsia="仿宋" w:cs="仿宋"/>
          <w:b w:val="0"/>
          <w:bCs w:val="0"/>
          <w:i w:val="0"/>
          <w:iCs w:val="0"/>
          <w:sz w:val="32"/>
          <w:szCs w:val="32"/>
        </w:rPr>
        <w:t>五、财政拨款支出决算明细表</w:t>
      </w:r>
      <w:bookmarkEnd w:id="20"/>
    </w:p>
    <w:p w14:paraId="06DABDB6">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1" w:name="_Toc31542"/>
      <w:r>
        <w:rPr>
          <w:rFonts w:ascii="仿宋" w:hAnsi="仿宋" w:eastAsia="仿宋" w:cs="仿宋"/>
          <w:b w:val="0"/>
          <w:bCs w:val="0"/>
          <w:i w:val="0"/>
          <w:iCs w:val="0"/>
          <w:sz w:val="32"/>
          <w:szCs w:val="32"/>
        </w:rPr>
        <w:t>六、一般公共预算财政拨款支出决算表</w:t>
      </w:r>
      <w:bookmarkEnd w:id="21"/>
    </w:p>
    <w:p w14:paraId="257B6F52">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2" w:name="_Toc19074"/>
      <w:r>
        <w:rPr>
          <w:rFonts w:ascii="仿宋" w:hAnsi="仿宋" w:eastAsia="仿宋" w:cs="仿宋"/>
          <w:b w:val="0"/>
          <w:bCs w:val="0"/>
          <w:i w:val="0"/>
          <w:iCs w:val="0"/>
          <w:sz w:val="32"/>
          <w:szCs w:val="32"/>
        </w:rPr>
        <w:t>七、一般公共预算财政拨款支出决算明细表</w:t>
      </w:r>
      <w:bookmarkEnd w:id="22"/>
    </w:p>
    <w:p w14:paraId="5347E5A4">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3" w:name="_Toc20886"/>
      <w:r>
        <w:rPr>
          <w:rFonts w:ascii="仿宋" w:hAnsi="仿宋" w:eastAsia="仿宋" w:cs="仿宋"/>
          <w:b w:val="0"/>
          <w:bCs w:val="0"/>
          <w:i w:val="0"/>
          <w:iCs w:val="0"/>
          <w:sz w:val="32"/>
          <w:szCs w:val="32"/>
        </w:rPr>
        <w:t>八、一般公共预算财政拨款基本支出决算明细表</w:t>
      </w:r>
      <w:bookmarkEnd w:id="23"/>
    </w:p>
    <w:p w14:paraId="5B9DD13F">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4" w:name="_Toc11686"/>
      <w:r>
        <w:rPr>
          <w:rFonts w:ascii="仿宋" w:hAnsi="仿宋" w:eastAsia="仿宋" w:cs="仿宋"/>
          <w:b w:val="0"/>
          <w:bCs w:val="0"/>
          <w:i w:val="0"/>
          <w:iCs w:val="0"/>
          <w:sz w:val="32"/>
          <w:szCs w:val="32"/>
        </w:rPr>
        <w:t>九、一般公共预算财政拨款项目支出决算表</w:t>
      </w:r>
      <w:bookmarkEnd w:id="24"/>
    </w:p>
    <w:p w14:paraId="3063B74A">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5" w:name="_Toc5374"/>
      <w:r>
        <w:rPr>
          <w:rFonts w:ascii="仿宋" w:hAnsi="仿宋" w:eastAsia="仿宋" w:cs="仿宋"/>
          <w:b w:val="0"/>
          <w:bCs w:val="0"/>
          <w:i w:val="0"/>
          <w:iCs w:val="0"/>
          <w:sz w:val="32"/>
          <w:szCs w:val="32"/>
        </w:rPr>
        <w:t>十、政府性基金预算财政拨款收入支出决算表</w:t>
      </w:r>
      <w:bookmarkEnd w:id="25"/>
    </w:p>
    <w:p w14:paraId="7EBE4ED2">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6" w:name="_Toc15883"/>
      <w:r>
        <w:rPr>
          <w:rFonts w:ascii="仿宋" w:hAnsi="仿宋" w:eastAsia="仿宋" w:cs="仿宋"/>
          <w:b w:val="0"/>
          <w:bCs w:val="0"/>
          <w:i w:val="0"/>
          <w:iCs w:val="0"/>
          <w:sz w:val="32"/>
          <w:szCs w:val="32"/>
        </w:rPr>
        <w:t>十一、国有资本经营预算财政拨款收入支出决算表</w:t>
      </w:r>
      <w:bookmarkEnd w:id="26"/>
    </w:p>
    <w:p w14:paraId="66ADFB99">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7" w:name="_Toc28819"/>
      <w:r>
        <w:rPr>
          <w:rFonts w:ascii="仿宋" w:hAnsi="仿宋" w:eastAsia="仿宋" w:cs="仿宋"/>
          <w:b w:val="0"/>
          <w:bCs w:val="0"/>
          <w:i w:val="0"/>
          <w:iCs w:val="0"/>
          <w:sz w:val="32"/>
          <w:szCs w:val="32"/>
        </w:rPr>
        <w:t>十二、国有资本经营预算财政拨款支出决算表</w:t>
      </w:r>
      <w:bookmarkEnd w:id="27"/>
    </w:p>
    <w:p w14:paraId="4C9F0D8A">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8" w:name="_Toc12064"/>
      <w:r>
        <w:rPr>
          <w:rFonts w:ascii="仿宋" w:hAnsi="仿宋" w:eastAsia="仿宋" w:cs="仿宋"/>
          <w:b w:val="0"/>
          <w:bCs w:val="0"/>
          <w:i w:val="0"/>
          <w:iCs w:val="0"/>
          <w:sz w:val="32"/>
          <w:szCs w:val="32"/>
        </w:rPr>
        <w:t>十三、财政拨款“三公”经费支出决算表</w:t>
      </w:r>
      <w:bookmarkEnd w:id="28"/>
    </w:p>
    <w:p w14:paraId="64132F71">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2C927F6B">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00AA637F">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7E6487BA">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72918D60">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0689274B">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30DD8EEF">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1"/>
          <w:szCs w:val="21"/>
        </w:rPr>
      </w:pPr>
      <w:r>
        <w:rPr>
          <w:rFonts w:ascii="Calibri" w:hAnsi="Calibri" w:eastAsia="Calibri" w:cs="Calibri"/>
          <w:i w:val="0"/>
          <w:iCs w:val="0"/>
          <w:sz w:val="21"/>
          <w:szCs w:val="21"/>
        </w:rPr>
        <w:t> </w:t>
      </w:r>
    </w:p>
    <w:p w14:paraId="1CA9440E">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p>
    <w:p w14:paraId="4F91A116">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p>
    <w:p w14:paraId="759C00A7">
      <w:pPr>
        <w:pStyle w:val="3"/>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p>
    <w:sectPr>
      <w:type w:val="continuous"/>
      <w:pgSz w:w="12240" w:h="15840"/>
      <w:pgMar w:top="1440" w:right="1804" w:bottom="1440" w:left="180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A95A0D5-133F-4731-A077-43B99293CC1A}"/>
  </w:font>
  <w:font w:name="Arial">
    <w:panose1 w:val="020B0604020202020204"/>
    <w:charset w:val="01"/>
    <w:family w:val="swiss"/>
    <w:pitch w:val="default"/>
    <w:sig w:usb0="E0002EFF" w:usb1="C000785B" w:usb2="00000009" w:usb3="00000000" w:csb0="400001FF" w:csb1="FFFF0000"/>
    <w:embedRegular r:id="rId2" w:fontKey="{BBDC940E-615C-408B-A066-3DB25DE94C52}"/>
  </w:font>
  <w:font w:name="黑体">
    <w:panose1 w:val="02010609060101010101"/>
    <w:charset w:val="86"/>
    <w:family w:val="auto"/>
    <w:pitch w:val="default"/>
    <w:sig w:usb0="800002BF" w:usb1="38CF7CFA" w:usb2="00000016" w:usb3="00000000" w:csb0="00040001" w:csb1="00000000"/>
    <w:embedRegular r:id="rId3" w:fontKey="{87C7A788-C220-492A-9F00-E439F5D82DCC}"/>
  </w:font>
  <w:font w:name="Courier New">
    <w:panose1 w:val="02070309020205020404"/>
    <w:charset w:val="01"/>
    <w:family w:val="modern"/>
    <w:pitch w:val="default"/>
    <w:sig w:usb0="E0002EFF" w:usb1="C0007843" w:usb2="00000009" w:usb3="00000000" w:csb0="400001FF" w:csb1="FFFF0000"/>
    <w:embedRegular r:id="rId4" w:fontKey="{AF7552FD-D8C2-437D-BF28-DD8194AC5153}"/>
  </w:font>
  <w:font w:name="Symbol">
    <w:panose1 w:val="05050102010706020507"/>
    <w:charset w:val="02"/>
    <w:family w:val="roman"/>
    <w:pitch w:val="default"/>
    <w:sig w:usb0="00000000" w:usb1="00000000" w:usb2="00000000" w:usb3="00000000" w:csb0="80000000" w:csb1="00000000"/>
    <w:embedRegular r:id="rId5" w:fontKey="{992E996F-7B57-4135-98DA-774D06B6F411}"/>
  </w:font>
  <w:font w:name="Calibri">
    <w:panose1 w:val="020F0502020204030204"/>
    <w:charset w:val="00"/>
    <w:family w:val="swiss"/>
    <w:pitch w:val="default"/>
    <w:sig w:usb0="E4002EFF" w:usb1="C000247B" w:usb2="00000009" w:usb3="00000000" w:csb0="200001FF" w:csb1="00000000"/>
    <w:embedRegular r:id="rId6" w:fontKey="{C6F7C33A-A6F9-465E-AF2A-205D9367FD8F}"/>
  </w:font>
  <w:font w:name="仿宋_GB2312">
    <w:panose1 w:val="02010609030101010101"/>
    <w:charset w:val="86"/>
    <w:family w:val="auto"/>
    <w:pitch w:val="default"/>
    <w:sig w:usb0="00000001" w:usb1="080E0000" w:usb2="00000000" w:usb3="00000000" w:csb0="00040000" w:csb1="00000000"/>
    <w:embedRegular r:id="rId7" w:fontKey="{64C9BA88-DF11-4DEA-8228-1B1C4DA7C6FF}"/>
  </w:font>
  <w:font w:name="方正小标宋简体">
    <w:panose1 w:val="03000509000000000000"/>
    <w:charset w:val="86"/>
    <w:family w:val="auto"/>
    <w:pitch w:val="default"/>
    <w:sig w:usb0="00000001" w:usb1="080E0000" w:usb2="00000000" w:usb3="00000000" w:csb0="00040000" w:csb1="00000000"/>
    <w:embedRegular r:id="rId8" w:fontKey="{95C3E5BB-43B1-450C-B709-7514EB5CF0CE}"/>
  </w:font>
  <w:font w:name="仿宋">
    <w:panose1 w:val="02010609060101010101"/>
    <w:charset w:val="86"/>
    <w:family w:val="auto"/>
    <w:pitch w:val="default"/>
    <w:sig w:usb0="800002BF" w:usb1="38CF7CFA" w:usb2="00000016" w:usb3="00000000" w:csb0="00040001" w:csb1="00000000"/>
    <w:embedRegular r:id="rId9" w:fontKey="{728AC66A-56E9-4915-96F5-97FFE2934A2F}"/>
  </w:font>
  <w:font w:name="楷体_GB2312">
    <w:panose1 w:val="02010609030101010101"/>
    <w:charset w:val="86"/>
    <w:family w:val="auto"/>
    <w:pitch w:val="default"/>
    <w:sig w:usb0="00000001" w:usb1="080E0000" w:usb2="00000000" w:usb3="00000000" w:csb0="00040000" w:csb1="00000000"/>
    <w:embedRegular r:id="rId10" w:fontKey="{8BB246DE-BA8D-41E5-9102-22E329887299}"/>
  </w:font>
  <w:font w:name="方正仿宋_GB2312">
    <w:panose1 w:val="02000000000000000000"/>
    <w:charset w:val="86"/>
    <w:family w:val="auto"/>
    <w:pitch w:val="default"/>
    <w:sig w:usb0="A00002BF" w:usb1="184F6CFA" w:usb2="00000012" w:usb3="00000000" w:csb0="00040001" w:csb1="00000000"/>
    <w:embedRegular r:id="rId11" w:fontKey="{3852A7C1-7A21-4FB5-B8D8-7E9E82EEC52C}"/>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bordersDoNotSurroundHeader w:val="0"/>
  <w:bordersDoNotSurroundFooter w:val="0"/>
  <w:doNotTrackMoves/>
  <w:documentProtection w:enforcement="0"/>
  <w:defaultTabStop w:val="720"/>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150CCD"/>
    <w:rsid w:val="15E45940"/>
    <w:rsid w:val="398A616A"/>
    <w:rsid w:val="459D2428"/>
    <w:rsid w:val="4A62170C"/>
    <w:rsid w:val="51EE0023"/>
    <w:rsid w:val="55A25EB5"/>
    <w:rsid w:val="5A113609"/>
    <w:rsid w:val="5E547F68"/>
    <w:rsid w:val="5FB27283"/>
    <w:rsid w:val="662E4984"/>
    <w:rsid w:val="66CB66E9"/>
    <w:rsid w:val="67C512AA"/>
    <w:rsid w:val="6A463A0B"/>
    <w:rsid w:val="7A531DED"/>
    <w:rsid w:val="7FBF466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paragraph" w:styleId="2">
    <w:name w:val="heading 1"/>
    <w:basedOn w:val="3"/>
    <w:next w:val="3"/>
    <w:qFormat/>
    <w:uiPriority w:val="0"/>
    <w:pPr>
      <w:keepNext/>
      <w:spacing w:line="360" w:lineRule="auto"/>
      <w:ind w:firstLine="883" w:firstLineChars="200"/>
      <w:jc w:val="center"/>
      <w:outlineLvl w:val="0"/>
    </w:pPr>
    <w:rPr>
      <w:rFonts w:ascii="Arial" w:hAnsi="Arial" w:eastAsia="黑体" w:cs="Arial"/>
      <w:b/>
      <w:bCs/>
      <w:kern w:val="32"/>
      <w:sz w:val="44"/>
      <w:szCs w:val="32"/>
    </w:rPr>
  </w:style>
  <w:style w:type="paragraph" w:styleId="4">
    <w:name w:val="heading 2"/>
    <w:basedOn w:val="3"/>
    <w:next w:val="3"/>
    <w:qFormat/>
    <w:uiPriority w:val="0"/>
    <w:pPr>
      <w:keepNext/>
      <w:spacing w:line="360" w:lineRule="auto"/>
      <w:ind w:firstLine="883" w:firstLineChars="200"/>
      <w:outlineLvl w:val="1"/>
    </w:pPr>
    <w:rPr>
      <w:rFonts w:ascii="Arial" w:hAnsi="Arial" w:eastAsia="黑体" w:cs="Arial"/>
      <w:bCs/>
      <w:iCs/>
      <w:sz w:val="32"/>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3">
    <w:name w:val="Normal_0_0"/>
    <w:qFormat/>
    <w:uiPriority w:val="0"/>
    <w:rPr>
      <w:rFonts w:ascii="Times New Roman" w:hAnsi="Times New Roman" w:eastAsia="Times New Roman" w:cs="Times New Roman"/>
      <w:sz w:val="24"/>
      <w:szCs w:val="24"/>
      <w:lang w:val="en-US" w:eastAsia="en-US" w:bidi="ar-SA"/>
    </w:rPr>
  </w:style>
  <w:style w:type="paragraph" w:styleId="5">
    <w:name w:val="Normal Indent"/>
    <w:basedOn w:val="1"/>
    <w:next w:val="1"/>
    <w:qFormat/>
    <w:uiPriority w:val="0"/>
    <w:pPr>
      <w:ind w:firstLine="680"/>
    </w:p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1"/>
    <w:basedOn w:val="1"/>
    <w:next w:val="1"/>
    <w:qFormat/>
    <w:uiPriority w:val="0"/>
  </w:style>
  <w:style w:type="paragraph" w:styleId="9">
    <w:name w:val="footnote text"/>
    <w:basedOn w:val="1"/>
    <w:next w:val="7"/>
    <w:semiHidden/>
    <w:qFormat/>
    <w:uiPriority w:val="0"/>
    <w:pPr>
      <w:snapToGrid w:val="0"/>
      <w:jc w:val="left"/>
    </w:pPr>
    <w:rPr>
      <w:sz w:val="18"/>
      <w:szCs w:val="18"/>
    </w:rPr>
  </w:style>
  <w:style w:type="paragraph" w:styleId="10">
    <w:name w:val="toc 2"/>
    <w:basedOn w:val="3"/>
    <w:next w:val="3"/>
    <w:qFormat/>
    <w:uiPriority w:val="0"/>
    <w:pPr>
      <w:ind w:left="420" w:leftChars="200"/>
    </w:pPr>
  </w:style>
  <w:style w:type="table" w:styleId="12">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Normal_0"/>
    <w:qFormat/>
    <w:uiPriority w:val="0"/>
    <w:rPr>
      <w:rFonts w:ascii="Times New Roman" w:hAnsi="Times New Roman" w:eastAsia="Times New Roman" w:cs="Times New Roman"/>
      <w:sz w:val="24"/>
      <w:szCs w:val="24"/>
      <w:lang w:val="en-US" w:eastAsia="uk-UA" w:bidi="ar-SA"/>
    </w:rPr>
  </w:style>
  <w:style w:type="paragraph" w:customStyle="1" w:styleId="15">
    <w:name w:val="Normal_0_0_1"/>
    <w:qFormat/>
    <w:uiPriority w:val="0"/>
    <w:rPr>
      <w:rFonts w:ascii="Times New Roman" w:hAnsi="Times New Roman" w:eastAsia="Times New Roman" w:cs="Times New Roman"/>
      <w:sz w:val="24"/>
      <w:szCs w:val="24"/>
      <w:lang w:val="en-US" w:eastAsia="uk-UA" w:bidi="ar-SA"/>
    </w:rPr>
  </w:style>
  <w:style w:type="paragraph" w:customStyle="1" w:styleId="16">
    <w:name w:val="Normal_0_0_0"/>
    <w:qFormat/>
    <w:uiPriority w:val="0"/>
    <w:rPr>
      <w:rFonts w:ascii="Times New Roman" w:hAnsi="Times New Roman" w:eastAsia="Times New Roman" w:cs="Times New Roman"/>
      <w:sz w:val="24"/>
      <w:szCs w:val="24"/>
      <w:lang w:val="en-US" w:eastAsia="uk-UA"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收、支总计变动情况图</a:t>
            </a:r>
          </a:p>
        </c:rich>
      </c:tx>
      <c:layout/>
      <c:overlay val="0"/>
      <c:spPr>
        <a:noFill/>
        <a:ln>
          <a:noFill/>
        </a:ln>
        <a:effectLst/>
      </c:spPr>
    </c:title>
    <c:autoTitleDeleted val="0"/>
    <c:plotArea>
      <c:layout/>
      <c:barChart>
        <c:barDir val="col"/>
        <c:grouping val="clustered"/>
        <c:varyColors val="0"/>
        <c:ser>
          <c:idx val="0"/>
          <c:order val="0"/>
          <c:tx>
            <c:strRef>
              <c:f>收、支总计</c:f>
              <c:strCache>
                <c:ptCount val="1"/>
                <c:pt idx="0">
                  <c:v>收、支总计</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{"2025","2024"}</c:f>
              <c:strCache>
                <c:ptCount val="2"/>
                <c:pt idx="0">
                  <c:v>2025</c:v>
                </c:pt>
                <c:pt idx="1">
                  <c:v>2024</c:v>
                </c:pt>
              </c:strCache>
            </c:strRef>
          </c:cat>
          <c:val>
            <c:numRef>
              <c:f>{116.11,160.51}</c:f>
              <c:numCache>
                <c:formatCode>General</c:formatCode>
                <c:ptCount val="2"/>
                <c:pt idx="0">
                  <c:v>116.11</c:v>
                </c:pt>
                <c:pt idx="1">
                  <c:v>160.51</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b2ad9a-52f1-45a3-8ae9-539c3144a4a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收入决算结构图</c:f>
              <c:strCache>
                <c:ptCount val="1"/>
                <c:pt idx="0">
                  <c:v>收入决算结构图</c:v>
                </c:pt>
              </c:strCache>
            </c:strRef>
          </c:tx>
          <c:spPr>
            <a:ln w="19050">
              <a:solidFill>
                <a:schemeClr val="lt1"/>
              </a:solidFill>
            </a:ln>
          </c:spPr>
          <c:explosion val="0"/>
          <c:dPt>
            <c:idx val="0"/>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{"一般公共预算财政拨款"}</c:f>
              <c:strCache>
                <c:ptCount val="1"/>
                <c:pt idx="0">
                  <c:v>一般公共预算财政拨款</c:v>
                </c:pt>
              </c:strCache>
            </c:strRef>
          </c:cat>
          <c:val>
            <c:numRef>
              <c:f>{116.11}</c:f>
              <c:numCache>
                <c:formatCode>General</c:formatCode>
                <c:ptCount val="1"/>
                <c:pt idx="0">
                  <c:v>116.11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5471ec-fe16-487d-8c7f-2728bb622fc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支出决算结构图</c:f>
              <c:strCache>
                <c:ptCount val="1"/>
                <c:pt idx="0">
                  <c:v>支出决算结构图</c:v>
                </c:pt>
              </c:strCache>
            </c:strRef>
          </c:tx>
          <c:spPr>
            <a:ln w="19050">
              <a:solidFill>
                <a:schemeClr val="lt1"/>
              </a:solidFill>
            </a:ln>
          </c:spPr>
          <c:explosion val="0"/>
          <c:dPt>
            <c:idx val="0"/>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{"基本支出"}</c:f>
              <c:strCache>
                <c:ptCount val="1"/>
                <c:pt idx="0">
                  <c:v>基本支出</c:v>
                </c:pt>
              </c:strCache>
            </c:strRef>
          </c:cat>
          <c:val>
            <c:numRef>
              <c:f>{116.11}</c:f>
              <c:numCache>
                <c:formatCode>General</c:formatCode>
                <c:ptCount val="1"/>
                <c:pt idx="0">
                  <c:v>116.11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7e92447-c8e4-48ee-b34d-2f3df9ea52c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支出数</c:f>
              <c:strCache>
                <c:ptCount val="1"/>
                <c:pt idx="0">
                  <c:v>支出数</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{"2025年","2024年"}</c:f>
              <c:strCache>
                <c:ptCount val="2"/>
                <c:pt idx="0">
                  <c:v>2025年</c:v>
                </c:pt>
                <c:pt idx="1">
                  <c:v>2024年</c:v>
                </c:pt>
              </c:strCache>
            </c:strRef>
          </c:cat>
          <c:val>
            <c:numRef>
              <c:f>{116.11,160.51}</c:f>
              <c:numCache>
                <c:formatCode>General</c:formatCode>
                <c:ptCount val="2"/>
                <c:pt idx="0">
                  <c:v>116.11</c:v>
                </c:pt>
                <c:pt idx="1">
                  <c:v>160.51</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cb2c0d-b953-4658-846e-2674db4bb27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一般公共预算财政拨款支出决算变动图</a:t>
            </a:r>
          </a:p>
        </c:rich>
      </c:tx>
      <c:layout/>
      <c:overlay val="0"/>
      <c:spPr>
        <a:noFill/>
        <a:ln>
          <a:noFill/>
        </a:ln>
        <a:effectLst/>
      </c:spPr>
    </c:title>
    <c:autoTitleDeleted val="0"/>
    <c:plotArea>
      <c:layout/>
      <c:barChart>
        <c:barDir val="col"/>
        <c:grouping val="clustered"/>
        <c:varyColors val="0"/>
        <c:ser>
          <c:idx val="0"/>
          <c:order val="0"/>
          <c:tx>
            <c:strRef>
              <c:f>一般公共预算财政拨款支出</c:f>
              <c:strCache>
                <c:ptCount val="1"/>
                <c:pt idx="0">
                  <c:v>一般公共预算财政拨款支出</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{"2025","2024"}</c:f>
              <c:strCache>
                <c:ptCount val="2"/>
                <c:pt idx="0">
                  <c:v>2025</c:v>
                </c:pt>
                <c:pt idx="1">
                  <c:v>2024</c:v>
                </c:pt>
              </c:strCache>
            </c:strRef>
          </c:cat>
          <c:val>
            <c:numRef>
              <c:f>{116.11,160.51}</c:f>
              <c:numCache>
                <c:formatCode>General</c:formatCode>
                <c:ptCount val="2"/>
                <c:pt idx="0">
                  <c:v>116.11</c:v>
                </c:pt>
                <c:pt idx="1">
                  <c:v>160.51</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ed3d62f-01f9-4485-a5a6-164b2284def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一般公共预算财政拨款支出决算结构</c:f>
              <c:strCache>
                <c:ptCount val="1"/>
                <c:pt idx="0">
                  <c:v>一般公共预算财政拨款支出决算结构</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Pt>
            <c:idx val="2"/>
            <c:bubble3D val="0"/>
            <c:spPr>
              <a:ln w="19050">
                <a:solidFill>
                  <a:schemeClr val="lt1"/>
                </a:solidFill>
              </a:ln>
            </c:spPr>
          </c:dPt>
          <c:dPt>
            <c:idx val="3"/>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2"/>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3"/>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{"社会保障和就业支出","卫生健康支出","住房保障支出","灾害防治及应急管理支出"}</c:f>
              <c:strCache>
                <c:ptCount val="4"/>
                <c:pt idx="0">
                  <c:v>社会保障和就业支出</c:v>
                </c:pt>
                <c:pt idx="1">
                  <c:v>卫生健康支出</c:v>
                </c:pt>
                <c:pt idx="2">
                  <c:v>住房保障支出</c:v>
                </c:pt>
                <c:pt idx="3">
                  <c:v>灾害防治及应急管理支出</c:v>
                </c:pt>
              </c:strCache>
            </c:strRef>
          </c:cat>
          <c:val>
            <c:numRef>
              <c:f>{12.42,7.25,5.06,91.37}</c:f>
              <c:numCache>
                <c:formatCode>General</c:formatCode>
                <c:ptCount val="4"/>
                <c:pt idx="0">
                  <c:v>12.42</c:v>
                </c:pt>
                <c:pt idx="1">
                  <c:v>7.25</c:v>
                </c:pt>
                <c:pt idx="2">
                  <c:v>5.06</c:v>
                </c:pt>
                <c:pt idx="3">
                  <c:v>91.37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9570dc-ced0-4897-97a0-1e5f82e1e0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eyJoZGlkIjoiZjVhNGJiMWVmZTg4ZjFhYWZhYWFiMzBkODkwYWRkZmUiLCJ1c2VySWQiOiI0NjMwOTUwNjkifQ==</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Props1.xml><?xml version="1.0" encoding="utf-8"?>
<ds:datastoreItem xmlns:ds="http://schemas.openxmlformats.org/officeDocument/2006/customXml" ds:itemID="{5197f113-a493-4d9d-9b87-dedac223b9cc}">
  <ds:schemaRefs/>
</ds:datastoreItem>
</file>

<file path=customXml/itemProps2.xml><?xml version="1.0" encoding="utf-8"?>
<ds:datastoreItem xmlns:ds="http://schemas.openxmlformats.org/officeDocument/2006/customXml" ds:itemID="{1e68c870-4bb8-474e-9771-fd94dcab2854}">
  <ds:schemaRefs/>
</ds:datastoreItem>
</file>

<file path=customXml/itemProps3.xml><?xml version="1.0" encoding="utf-8"?>
<ds:datastoreItem xmlns:ds="http://schemas.openxmlformats.org/officeDocument/2006/customXml" ds:itemID="{107a7105-6167-4b40-8e31-26395508bb82}">
  <ds:schemaRefs/>
</ds:datastoreItem>
</file>

<file path=customXml/itemProps4.xml><?xml version="1.0" encoding="utf-8"?>
<ds:datastoreItem xmlns:ds="http://schemas.openxmlformats.org/officeDocument/2006/customXml" ds:itemID="{aba6c953-7665-4853-9241-5a1a698d3142}">
  <ds:schemaRefs/>
</ds:datastoreItem>
</file>

<file path=docProps/app.xml><?xml version="1.0" encoding="utf-8"?>
<Properties xmlns="http://schemas.openxmlformats.org/officeDocument/2006/extended-properties" xmlns:vt="http://schemas.openxmlformats.org/officeDocument/2006/docPropsVTypes">
  <Template>Normal.dot</Template>
  <Pages>18</Pages>
  <Words>3612</Words>
  <Characters>3921</Characters>
  <Lines>1</Lines>
  <Paragraphs>1</Paragraphs>
  <TotalTime>8</TotalTime>
  <ScaleCrop>false</ScaleCrop>
  <LinksUpToDate>false</LinksUpToDate>
  <CharactersWithSpaces>4059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2026-08-21T06:43:00Z</dcterms:created>
  <dc:creator>Administrator</dc:creator>
  <cp:lastModifiedBy>让幸福发生</cp:lastModifiedBy>
  <cp:lastPrinted>2026-09-03T05:20:00Z</cp:lastPrinted>
  <dcterms:modified xsi:type="dcterms:W3CDTF">2026-09-07T00:52:09Z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eyJoZGlkIjoiNDVjNDc5ZWIyMmE0ZjVkYTU4OTU2MDI3YTMzZjliODUiLCJ1c2VySWQiOiIyNjI3NjQ1NzIifQ==</vt:lpwstr>
  </property>
  <property fmtid="{D5CDD505-2E9C-101B-9397-08002B2CF9AE}" pid="3" name="KSOProductBuildVer">
    <vt:lpwstr>2052-12.1.0.28505</vt:lpwstr>
  </property>
  <property fmtid="{D5CDD505-2E9C-101B-9397-08002B2CF9AE}" pid="4" name="ICV">
    <vt:lpwstr>6DA6184D710A468C9AC09DA0C8A164A7_13</vt:lpwstr>
  </property>
</Properties>
</file>