
<file path=[Content_Types].xml><?xml version="1.0" encoding="utf-8"?>
<Types xmlns="http://schemas.openxmlformats.org/package/2006/content-types">
  <Default Extension="rels" ContentType="application/vnd.openxmlformats-package.relationships+xml"/>
  <Default Extension="xml" ContentType="application/xml"/>
  <Default Extension="emf" ContentType="image/emf"/>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21"/>
        <w:rPr>
          <w:rFonts w:ascii="Times New Roman" w:eastAsia="方正小标宋简体" w:cs="Times New Roman" w:hAnsi="Times New Roman" w:hint="eastAsia"/>
          <w:color w:val="auto"/>
          <w:kern w:val="2"/>
          <w:sz w:val="72"/>
          <w:szCs w:val="72"/>
          <w:lang w:val="en-US" w:eastAsia="zh-CN" w:bidi="ar-SA"/>
          <w:highlight w:val="auto"/>
        </w:rPr>
      </w:pPr>
      <w:bookmarkStart w:id="0" w:name="_Toc15396475"/>
      <w:bookmarkStart w:id="1" w:name="_Toc15377425"/>
      <w:bookmarkStart w:id="2" w:name="_Toc15306267"/>
      <w:bookmarkStart w:id="3" w:name="_Toc15378441"/>
      <w:bookmarkStart w:id="4" w:name="_Toc15396597"/>
      <w:bookmarkStart w:id="5" w:name="_Toc15377193"/>
    </w:p>
    <w:p>
      <w:pPr>
        <w:pStyle w:val="21"/>
        <w:rPr>
          <w:rFonts w:ascii="Times New Roman" w:eastAsia="方正小标宋简体" w:cs="Times New Roman" w:hAnsi="Times New Roman" w:hint="eastAsia"/>
          <w:color w:val="auto"/>
          <w:kern w:val="2"/>
          <w:sz w:val="72"/>
          <w:szCs w:val="72"/>
          <w:lang w:val="en-US" w:eastAsia="zh-CN" w:bidi="ar-SA"/>
          <w:highlight w:val="auto"/>
        </w:rPr>
      </w:pPr>
    </w:p>
    <w:p>
      <w:pPr>
        <w:pStyle w:val="21"/>
        <w:spacing w:line="576" w:lineRule="exact"/>
        <w:jc w:val="center"/>
        <w:rPr>
          <w:rFonts w:ascii="方正小标宋简体" w:eastAsia="方正小标宋简体" w:cs="Times New Roman" w:hint="eastAsia"/>
          <w:color w:val="auto"/>
          <w:kern w:val="2"/>
          <w:sz w:val="44"/>
          <w:szCs w:val="44"/>
          <w:lang w:val="en-US" w:eastAsia="zh-CN" w:bidi="ar-SA"/>
          <w:highlight w:val="auto"/>
        </w:rPr>
      </w:pPr>
      <w:r>
        <w:rPr>
          <w:rFonts w:ascii="方正小标宋简体" w:eastAsia="方正小标宋简体" w:cs="Times New Roman" w:hint="eastAsia"/>
          <w:color w:val="auto"/>
          <w:kern w:val="2"/>
          <w:sz w:val="44"/>
          <w:szCs w:val="44"/>
          <w:lang w:val="en-US" w:eastAsia="zh-CN" w:bidi="ar-SA"/>
          <w:highlight w:val="auto"/>
        </w:rPr>
        <w:t>2025年度四川省阿坝州茂县市场监督管理局部门决算</w:t>
      </w:r>
    </w:p>
    <w:p>
      <w:pPr>
        <w:spacing w:line="576" w:lineRule="exact"/>
        <w:rPr>
          <w:rFonts w:ascii="Times New Roman" w:hAnsi="Times New Roman"/>
        </w:rPr>
      </w:pPr>
    </w:p>
    <w:p>
      <w:pPr>
        <w:pStyle w:val="21"/>
        <w:spacing w:line="576" w:lineRule="exact"/>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21"/>
        <w:spacing w:line="576" w:lineRule="exact"/>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21"/>
        <w:spacing w:line="576" w:lineRule="exact"/>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21"/>
        <w:spacing w:line="576" w:lineRule="exact"/>
        <w:jc w:val="center"/>
        <w:rPr>
          <w:rFonts w:ascii="Times New Roman" w:eastAsia="方正小标宋简体" w:cs="Times New Roman" w:hAnsi="Times New Roman" w:hint="eastAsia"/>
          <w:color w:val="auto"/>
          <w:kern w:val="2"/>
          <w:sz w:val="44"/>
          <w:szCs w:val="44"/>
          <w:lang w:val="en-US" w:eastAsia="zh-CN" w:bidi="ar-SA"/>
          <w:highlight w:val="auto"/>
        </w:rPr>
      </w:pPr>
    </w:p>
    <w:p>
      <w:pPr>
        <w:widowControl/>
        <w:spacing w:line="576" w:lineRule="exact"/>
        <w:jc w:val="center"/>
        <w:rPr>
          <w:rFonts w:eastAsia="黑体"/>
          <w:sz w:val="48"/>
          <w:szCs w:val="48"/>
        </w:rPr>
      </w:pPr>
      <w:bookmarkEnd w:id="0"/>
      <w:bookmarkEnd w:id="1"/>
      <w:bookmarkEnd w:id="2"/>
      <w:bookmarkEnd w:id="3"/>
      <w:bookmarkEnd w:id="4"/>
      <w:bookmarkEnd w:id="5"/>
      <w:r>
        <w:rPr>
          <w:rFonts w:ascii="Times New Roman" w:eastAsia="方正小标宋简体" w:hAnsi="Times New Roman"/>
          <w:color w:val="auto"/>
          <w:sz w:val="36"/>
          <w:szCs w:val="36"/>
          <w:highlight w:val="auto"/>
        </w:rPr>
        <w:br w:type="page"/>
      </w:r>
      <w:r>
        <w:rPr>
          <w:rFonts w:ascii="Times New Roman" w:eastAsia="黑体" w:hAnsi="Times New Roman" w:hint="eastAsia"/>
          <w:color w:val="auto"/>
          <w:sz w:val="48"/>
          <w:szCs w:val="48"/>
          <w:highlight w:val="auto"/>
        </w:rPr>
        <w:t>目录</w:t>
      </w:r>
    </w:p>
    <w:p>
      <w:pPr>
        <w:pStyle w:val="28"/>
        <w:tabs>
          <w:tab w:val="right" w:leader="dot" w:pos="8296"/>
        </w:tabs>
        <w:spacing w:line="576" w:lineRule="exact"/>
        <w:jc w:val="center"/>
        <w:rPr>
          <w:rFonts w:ascii="仿宋_GB2312" w:eastAsia="仿宋_GB2312" w:cs="仿宋_GB2312" w:hint="eastAsia"/>
          <w:sz w:val="24"/>
          <w:szCs w:val="24"/>
          <w:lang w:bidi="ar-SA"/>
        </w:rPr>
      </w:pPr>
      <w:r>
        <w:rPr>
          <w:rFonts w:ascii="仿宋_GB2312" w:eastAsia="仿宋_GB2312" w:cs="仿宋_GB2312" w:hint="eastAsia"/>
          <w:color w:val="auto"/>
          <w:sz w:val="24"/>
          <w:szCs w:val="24"/>
          <w:lang w:bidi="ar-SA"/>
          <w:highlight w:val="auto"/>
        </w:rPr>
        <w:t>公开时间：20</w:t>
      </w:r>
      <w:r>
        <w:rPr>
          <w:rFonts w:ascii="仿宋_GB2312" w:eastAsia="仿宋_GB2312" w:cs="仿宋_GB2312" w:hint="eastAsia"/>
          <w:color w:val="auto"/>
          <w:sz w:val="24"/>
          <w:szCs w:val="24"/>
          <w:lang w:val="en-US" w:eastAsia="zh-CN" w:bidi="ar-SA"/>
          <w:highlight w:val="auto"/>
        </w:rPr>
        <w:t>26</w:t>
      </w:r>
      <w:r>
        <w:rPr>
          <w:rFonts w:ascii="仿宋_GB2312" w:eastAsia="仿宋_GB2312" w:cs="仿宋_GB2312" w:hint="eastAsia"/>
          <w:color w:val="auto"/>
          <w:sz w:val="24"/>
          <w:szCs w:val="24"/>
          <w:lang w:bidi="ar-SA"/>
          <w:highlight w:val="auto"/>
        </w:rPr>
        <w:t>年</w:t>
      </w:r>
      <w:r>
        <w:rPr>
          <w:rFonts w:ascii="仿宋_GB2312" w:eastAsia="仿宋_GB2312" w:cs="仿宋_GB2312" w:hint="eastAsia"/>
          <w:color w:val="auto"/>
          <w:sz w:val="24"/>
          <w:szCs w:val="24"/>
          <w:lang w:val="en-US" w:eastAsia="zh-CN" w:bidi="ar-SA"/>
          <w:highlight w:val="auto"/>
        </w:rPr>
        <w:t>9</w:t>
      </w:r>
      <w:r>
        <w:rPr>
          <w:rFonts w:ascii="仿宋_GB2312" w:eastAsia="仿宋_GB2312" w:cs="仿宋_GB2312" w:hint="eastAsia"/>
          <w:color w:val="auto"/>
          <w:sz w:val="24"/>
          <w:szCs w:val="24"/>
          <w:lang w:bidi="ar-SA"/>
          <w:highlight w:val="auto"/>
        </w:rPr>
        <w:t>月4日</w:t>
      </w:r>
      <w:bookmarkStart w:id="6" w:name="_Toc15377196"/>
      <w:bookmarkStart w:id="7" w:name="_Toc15396599"/>
    </w:p>
    <w:p>
      <w:pPr>
        <w:pStyle w:val="28"/>
        <w:tabs>
          <w:tab w:val="right" w:leader="dot" w:pos="8844"/>
        </w:tabs>
        <w:rPr>
          <w:rFonts w:ascii="仿宋_GB2312" w:eastAsia="仿宋_GB2312" w:hint="eastAsia"/>
          <w:sz w:val="28"/>
          <w:szCs w:val="28"/>
        </w:rPr>
      </w:pPr>
      <w:bookmarkStart w:id="8" w:name="_Toc75095923"/>
      <w:bookmarkStart w:id="9" w:name="_Toc75095806"/>
      <w:r>
        <w:rPr>
          <w:rFonts w:ascii="仿宋_GB2312" w:eastAsia="仿宋_GB2312" w:hint="eastAsia"/>
          <w:sz w:val="28"/>
          <w:szCs w:val="28"/>
        </w:rPr>
        <w:fldChar w:fldCharType="begin"/>
      </w:r>
      <w:r>
        <w:rPr>
          <w:rFonts w:ascii="仿宋_GB2312" w:eastAsia="仿宋_GB2312" w:hint="eastAsia"/>
          <w:sz w:val="28"/>
          <w:szCs w:val="28"/>
        </w:rPr>
        <w:instrText xml:space="preserve"> TOC \o "1-3" \h \u </w:instrText>
      </w:r>
      <w:r>
        <w:rPr>
          <w:rFonts w:ascii="仿宋_GB2312" w:eastAsia="仿宋_GB2312" w:hint="eastAsia"/>
          <w:sz w:val="28"/>
          <w:szCs w:val="28"/>
        </w:rPr>
        <w:fldChar w:fldCharType="separate"/>
      </w:r>
      <w:r>
        <w:rPr>
          <w:rFonts w:ascii="仿宋_GB2312" w:eastAsia="仿宋_GB2312" w:hint="eastAsia"/>
          <w:sz w:val="28"/>
          <w:szCs w:val="28"/>
        </w:rPr>
        <w:fldChar w:fldCharType="begin"/>
      </w:r>
      <w:r>
        <w:rPr>
          <w:rFonts w:ascii="仿宋_GB2312" w:eastAsia="仿宋_GB2312" w:hint="eastAsia"/>
          <w:sz w:val="28"/>
          <w:szCs w:val="28"/>
        </w:rPr>
        <w:instrText>Hyperlink \l "_Toc55224653"</w:instrText>
      </w:r>
      <w:r>
        <w:rPr>
          <w:rFonts w:ascii="仿宋_GB2312" w:eastAsia="仿宋_GB2312" w:hint="eastAsia"/>
          <w:sz w:val="28"/>
          <w:szCs w:val="28"/>
        </w:rPr>
        <w:fldChar w:fldCharType="separate"/>
      </w:r>
      <w:r>
        <w:rPr>
          <w:rFonts w:ascii="仿宋_GB2312" w:eastAsia="仿宋_GB2312" w:cs="方正小标宋简体" w:hint="eastAsia"/>
          <w:sz w:val="28"/>
          <w:szCs w:val="28"/>
          <w:lang w:bidi="ar-SA"/>
          <w:highlight w:val="auto"/>
        </w:rPr>
        <w:t>第一部分</w:t>
      </w:r>
      <w:r>
        <w:rPr>
          <w:rFonts w:ascii="仿宋_GB2312" w:eastAsia="仿宋_GB2312" w:cs="方正小标宋简体" w:hint="eastAsia"/>
          <w:sz w:val="28"/>
          <w:szCs w:val="28"/>
          <w:lang w:val="en-US" w:eastAsia="zh-CN" w:bidi="ar-SA"/>
          <w:highlight w:val="auto"/>
        </w:rPr>
        <w:t xml:space="preserve"> </w:t>
      </w:r>
      <w:r>
        <w:rPr>
          <w:rFonts w:ascii="仿宋_GB2312" w:eastAsia="仿宋_GB2312" w:cs="方正小标宋简体" w:hint="eastAsia"/>
          <w:sz w:val="28"/>
          <w:szCs w:val="28"/>
          <w:lang w:bidi="ar-SA"/>
          <w:highlight w:val="auto"/>
        </w:rPr>
        <w:t xml:space="preserve"> </w:t>
      </w:r>
      <w:r>
        <w:rPr>
          <w:rFonts w:ascii="仿宋_GB2312" w:eastAsia="仿宋_GB2312" w:cs="方正小标宋简体" w:hint="eastAsia"/>
          <w:kern w:val="44"/>
          <w:sz w:val="28"/>
          <w:szCs w:val="28"/>
          <w:lang w:val="en-US" w:eastAsia="zh-CN" w:bidi="ar-SA"/>
        </w:rPr>
        <w:t>部门概况</w:t>
      </w:r>
      <w:r>
        <w:rPr>
          <w:rFonts w:ascii="仿宋_GB2312" w:eastAsia="仿宋_GB2312" w:hint="eastAsia"/>
          <w:sz w:val="28"/>
          <w:szCs w:val="28"/>
        </w:rPr>
        <w:tab/>
        <w:t>4</w:t>
      </w:r>
      <w:r>
        <w:rPr>
          <w:rFonts w:ascii="仿宋_GB2312" w:eastAsia="仿宋_GB2312" w:hint="eastAsia"/>
          <w:sz w:val="28"/>
          <w:szCs w:val="28"/>
        </w:rPr>
        <w:fldChar w:fldCharType="end"/>
      </w:r>
    </w:p>
    <w:p>
      <w:pPr>
        <w:pStyle w:val="26"/>
        <w:tabs>
          <w:tab w:val="right" w:leader="dot" w:pos="8844"/>
        </w:tabs>
        <w:rPr>
          <w:rFonts w:ascii="仿宋_GB2312" w:eastAsia="仿宋_GB2312" w:hint="eastAsia"/>
          <w:sz w:val="28"/>
          <w:szCs w:val="28"/>
        </w:rPr>
      </w:pPr>
      <w:r>
        <w:rPr>
          <w:rFonts w:ascii="仿宋_GB2312" w:eastAsia="仿宋_GB2312" w:hint="eastAsia"/>
          <w:sz w:val="28"/>
          <w:szCs w:val="28"/>
        </w:rPr>
        <w:fldChar w:fldCharType="begin"/>
      </w:r>
      <w:r>
        <w:rPr>
          <w:rFonts w:ascii="仿宋_GB2312" w:eastAsia="仿宋_GB2312" w:hint="eastAsia"/>
          <w:sz w:val="28"/>
          <w:szCs w:val="28"/>
        </w:rPr>
        <w:instrText>Hyperlink \l "_Toc55224654"</w:instrText>
      </w:r>
      <w:r>
        <w:rPr>
          <w:rFonts w:ascii="仿宋_GB2312" w:eastAsia="仿宋_GB2312" w:hint="eastAsia"/>
          <w:sz w:val="28"/>
          <w:szCs w:val="28"/>
        </w:rPr>
        <w:fldChar w:fldCharType="separate"/>
      </w:r>
      <w:r>
        <w:rPr>
          <w:rFonts w:ascii="仿宋_GB2312" w:eastAsia="仿宋_GB2312" w:hint="eastAsia"/>
          <w:sz w:val="28"/>
          <w:szCs w:val="28"/>
          <w:lang w:eastAsia="zh-CN"/>
          <w:highlight w:val="auto"/>
        </w:rPr>
        <w:t>一、部门职责</w:t>
      </w:r>
      <w:r>
        <w:rPr>
          <w:rFonts w:ascii="仿宋_GB2312" w:eastAsia="仿宋_GB2312" w:hint="eastAsia"/>
          <w:sz w:val="28"/>
          <w:szCs w:val="28"/>
        </w:rPr>
        <w:tab/>
      </w:r>
      <w:r>
        <w:rPr>
          <w:rFonts w:ascii="仿宋_GB2312" w:eastAsia="仿宋_GB2312" w:hint="eastAsia"/>
          <w:sz w:val="28"/>
          <w:szCs w:val="28"/>
          <w:lang w:val="en-US" w:eastAsia="zh-CN"/>
        </w:rPr>
        <w:t>4</w:t>
      </w:r>
      <w:r>
        <w:rPr>
          <w:rFonts w:ascii="仿宋_GB2312" w:eastAsia="仿宋_GB2312" w:hint="eastAsia"/>
          <w:sz w:val="28"/>
          <w:szCs w:val="28"/>
        </w:rPr>
        <w:fldChar w:fldCharType="end"/>
      </w:r>
    </w:p>
    <w:p>
      <w:pPr>
        <w:pStyle w:val="26"/>
        <w:tabs>
          <w:tab w:val="right" w:leader="dot" w:pos="8844"/>
        </w:tabs>
        <w:rPr>
          <w:rFonts w:ascii="仿宋_GB2312" w:eastAsia="仿宋_GB2312" w:hint="eastAsia"/>
          <w:sz w:val="28"/>
          <w:szCs w:val="28"/>
        </w:rPr>
      </w:pPr>
      <w:r>
        <w:rPr>
          <w:rFonts w:ascii="仿宋_GB2312" w:eastAsia="仿宋_GB2312" w:hint="eastAsia"/>
          <w:sz w:val="28"/>
          <w:szCs w:val="28"/>
        </w:rPr>
        <w:fldChar w:fldCharType="begin"/>
      </w:r>
      <w:r>
        <w:rPr>
          <w:rFonts w:ascii="仿宋_GB2312" w:eastAsia="仿宋_GB2312" w:hint="eastAsia"/>
          <w:sz w:val="28"/>
          <w:szCs w:val="28"/>
        </w:rPr>
        <w:instrText>Hyperlink \l "_Toc55224654"</w:instrText>
      </w:r>
      <w:r>
        <w:rPr>
          <w:rFonts w:ascii="仿宋_GB2312" w:eastAsia="仿宋_GB2312" w:hint="eastAsia"/>
          <w:sz w:val="28"/>
          <w:szCs w:val="28"/>
        </w:rPr>
        <w:fldChar w:fldCharType="separate"/>
      </w:r>
      <w:r>
        <w:rPr>
          <w:rFonts w:ascii="仿宋_GB2312" w:eastAsia="仿宋_GB2312" w:hint="eastAsia"/>
          <w:sz w:val="28"/>
          <w:szCs w:val="28"/>
        </w:rPr>
        <w:t>二、机构设置</w:t>
      </w:r>
      <w:r>
        <w:rPr>
          <w:rFonts w:ascii="仿宋_GB2312" w:eastAsia="仿宋_GB2312" w:hint="eastAsia"/>
          <w:sz w:val="28"/>
          <w:szCs w:val="28"/>
        </w:rPr>
        <w:fldChar w:fldCharType="end"/>
      </w:r>
      <w:r>
        <w:rPr>
          <w:rFonts w:ascii="仿宋_GB2312" w:eastAsia="仿宋_GB2312" w:hint="eastAsia"/>
          <w:sz w:val="28"/>
          <w:szCs w:val="28"/>
        </w:rPr>
        <w:tab/>
        <w:t>5</w:t>
      </w:r>
    </w:p>
    <w:p>
      <w:pPr>
        <w:pStyle w:val="28"/>
        <w:tabs>
          <w:tab w:val="right" w:leader="dot" w:pos="8844"/>
        </w:tabs>
        <w:rPr>
          <w:rFonts w:ascii="仿宋_GB2312" w:eastAsia="仿宋_GB2312" w:hint="eastAsia"/>
          <w:sz w:val="28"/>
          <w:szCs w:val="28"/>
        </w:rPr>
      </w:pPr>
      <w:r>
        <w:rPr>
          <w:rFonts w:ascii="仿宋_GB2312" w:eastAsia="仿宋_GB2312" w:hint="eastAsia"/>
          <w:sz w:val="28"/>
          <w:szCs w:val="28"/>
        </w:rPr>
        <w:fldChar w:fldCharType="begin"/>
      </w:r>
      <w:r>
        <w:rPr>
          <w:rFonts w:ascii="仿宋_GB2312" w:eastAsia="仿宋_GB2312" w:hint="eastAsia"/>
          <w:sz w:val="28"/>
          <w:szCs w:val="28"/>
        </w:rPr>
        <w:instrText>Hyperlink \l "_Toc55224655"</w:instrText>
      </w:r>
      <w:r>
        <w:rPr>
          <w:rFonts w:ascii="仿宋_GB2312" w:eastAsia="仿宋_GB2312" w:hint="eastAsia"/>
          <w:sz w:val="28"/>
          <w:szCs w:val="28"/>
        </w:rPr>
        <w:fldChar w:fldCharType="separate"/>
      </w:r>
      <w:r>
        <w:rPr>
          <w:rFonts w:ascii="仿宋_GB2312" w:eastAsia="仿宋_GB2312" w:cs="方正小标宋简体" w:hint="eastAsia"/>
          <w:sz w:val="28"/>
          <w:szCs w:val="28"/>
          <w:lang w:bidi="ar-SA"/>
          <w:highlight w:val="auto"/>
        </w:rPr>
        <w:t>第二部分</w:t>
      </w:r>
      <w:r>
        <w:rPr>
          <w:rFonts w:ascii="仿宋_GB2312" w:eastAsia="仿宋_GB2312" w:cs="方正小标宋简体" w:hint="eastAsia"/>
          <w:sz w:val="28"/>
          <w:szCs w:val="28"/>
          <w:lang w:val="en-US" w:eastAsia="zh-CN" w:bidi="ar-SA"/>
          <w:highlight w:val="auto"/>
        </w:rPr>
        <w:t>2025年度</w:t>
      </w:r>
      <w:r>
        <w:rPr>
          <w:rFonts w:ascii="仿宋_GB2312" w:eastAsia="仿宋_GB2312" w:cs="方正小标宋简体" w:hint="eastAsia"/>
          <w:sz w:val="28"/>
          <w:szCs w:val="28"/>
          <w:lang w:bidi="ar-SA"/>
          <w:highlight w:val="auto"/>
        </w:rPr>
        <w:t>部门决算情况说明</w:t>
      </w:r>
      <w:r>
        <w:rPr>
          <w:rFonts w:ascii="仿宋_GB2312" w:eastAsia="仿宋_GB2312" w:hint="eastAsia"/>
          <w:sz w:val="28"/>
          <w:szCs w:val="28"/>
        </w:rPr>
        <w:tab/>
        <w:t>6</w:t>
      </w:r>
      <w:r>
        <w:rPr>
          <w:rFonts w:ascii="仿宋_GB2312" w:eastAsia="仿宋_GB2312" w:hint="eastAsia"/>
          <w:sz w:val="28"/>
          <w:szCs w:val="28"/>
        </w:rPr>
        <w:fldChar w:fldCharType="end"/>
      </w:r>
    </w:p>
    <w:p>
      <w:pPr>
        <w:pStyle w:val="26"/>
        <w:tabs>
          <w:tab w:val="right" w:leader="dot" w:pos="8844"/>
        </w:tabs>
        <w:rPr>
          <w:rFonts w:ascii="仿宋_GB2312" w:eastAsia="仿宋_GB2312" w:hint="eastAsia"/>
          <w:sz w:val="28"/>
          <w:szCs w:val="28"/>
        </w:rPr>
      </w:pPr>
      <w:r>
        <w:rPr>
          <w:rFonts w:ascii="仿宋_GB2312" w:eastAsia="仿宋_GB2312" w:hint="eastAsia"/>
          <w:sz w:val="28"/>
          <w:szCs w:val="28"/>
        </w:rPr>
        <w:fldChar w:fldCharType="begin"/>
      </w:r>
      <w:r>
        <w:rPr>
          <w:rFonts w:ascii="仿宋_GB2312" w:eastAsia="仿宋_GB2312" w:hint="eastAsia"/>
          <w:sz w:val="28"/>
          <w:szCs w:val="28"/>
        </w:rPr>
        <w:instrText>Hyperlink \l "_Toc55224656"</w:instrText>
      </w:r>
      <w:r>
        <w:rPr>
          <w:rFonts w:ascii="仿宋_GB2312" w:eastAsia="仿宋_GB2312" w:hint="eastAsia"/>
          <w:sz w:val="28"/>
          <w:szCs w:val="28"/>
        </w:rPr>
        <w:fldChar w:fldCharType="separate"/>
      </w:r>
      <w:r>
        <w:rPr>
          <w:rFonts w:ascii="仿宋_GB2312" w:eastAsia="仿宋_GB2312" w:hint="eastAsia"/>
          <w:sz w:val="28"/>
          <w:szCs w:val="28"/>
          <w:lang w:eastAsia="zh-CN"/>
          <w:highlight w:val="auto"/>
        </w:rPr>
        <w:t>一、</w:t>
      </w:r>
      <w:r>
        <w:rPr>
          <w:rFonts w:ascii="仿宋_GB2312" w:eastAsia="仿宋_GB2312" w:hint="eastAsia"/>
          <w:sz w:val="28"/>
          <w:szCs w:val="28"/>
          <w:highlight w:val="auto"/>
        </w:rPr>
        <w:t>收</w:t>
      </w:r>
      <w:r>
        <w:rPr>
          <w:rFonts w:ascii="仿宋_GB2312" w:eastAsia="仿宋_GB2312" w:cs="Times New Roman" w:hint="eastAsia"/>
          <w:kern w:val="2"/>
          <w:sz w:val="28"/>
          <w:szCs w:val="28"/>
          <w:lang w:val="en-US" w:eastAsia="zh-CN" w:bidi="ar-SA"/>
        </w:rPr>
        <w:t>入支出决算总体情况说明</w:t>
      </w:r>
      <w:r>
        <w:rPr>
          <w:rFonts w:ascii="仿宋_GB2312" w:eastAsia="仿宋_GB2312" w:hint="eastAsia"/>
          <w:sz w:val="28"/>
          <w:szCs w:val="28"/>
        </w:rPr>
        <w:tab/>
        <w:t>6</w:t>
      </w:r>
      <w:r>
        <w:rPr>
          <w:rFonts w:ascii="仿宋_GB2312" w:eastAsia="仿宋_GB2312" w:hint="eastAsia"/>
          <w:sz w:val="28"/>
          <w:szCs w:val="28"/>
        </w:rPr>
        <w:fldChar w:fldCharType="end"/>
      </w:r>
    </w:p>
    <w:p>
      <w:pPr>
        <w:pStyle w:val="26"/>
        <w:tabs>
          <w:tab w:val="right" w:leader="dot" w:pos="8844"/>
        </w:tabs>
        <w:rPr>
          <w:rFonts w:ascii="仿宋_GB2312" w:eastAsia="仿宋_GB2312" w:hint="eastAsia"/>
          <w:sz w:val="28"/>
          <w:szCs w:val="28"/>
        </w:rPr>
      </w:pPr>
      <w:r>
        <w:rPr>
          <w:rFonts w:ascii="仿宋_GB2312" w:eastAsia="仿宋_GB2312" w:hint="eastAsia"/>
          <w:sz w:val="28"/>
          <w:szCs w:val="28"/>
        </w:rPr>
        <w:fldChar w:fldCharType="begin"/>
      </w:r>
      <w:r>
        <w:rPr>
          <w:rFonts w:ascii="仿宋_GB2312" w:eastAsia="仿宋_GB2312" w:hint="eastAsia"/>
          <w:sz w:val="28"/>
          <w:szCs w:val="28"/>
        </w:rPr>
        <w:instrText>Hyperlink \l "_Toc55224657"</w:instrText>
      </w:r>
      <w:r>
        <w:rPr>
          <w:rFonts w:ascii="仿宋_GB2312" w:eastAsia="仿宋_GB2312" w:hint="eastAsia"/>
          <w:sz w:val="28"/>
          <w:szCs w:val="28"/>
        </w:rPr>
        <w:fldChar w:fldCharType="separate"/>
      </w:r>
      <w:r>
        <w:rPr>
          <w:rFonts w:ascii="仿宋_GB2312" w:eastAsia="仿宋_GB2312" w:hint="eastAsia"/>
          <w:sz w:val="28"/>
          <w:szCs w:val="28"/>
          <w:lang w:eastAsia="zh-CN"/>
          <w:highlight w:val="auto"/>
        </w:rPr>
        <w:t>二、收入决算情况说明</w:t>
      </w:r>
      <w:r>
        <w:rPr>
          <w:rFonts w:ascii="仿宋_GB2312" w:eastAsia="仿宋_GB2312" w:hint="eastAsia"/>
          <w:sz w:val="28"/>
          <w:szCs w:val="28"/>
        </w:rPr>
        <w:tab/>
        <w:t>6</w:t>
      </w:r>
      <w:r>
        <w:rPr>
          <w:rFonts w:ascii="仿宋_GB2312" w:eastAsia="仿宋_GB2312" w:hint="eastAsia"/>
          <w:sz w:val="28"/>
          <w:szCs w:val="28"/>
        </w:rPr>
        <w:fldChar w:fldCharType="end"/>
      </w:r>
    </w:p>
    <w:p>
      <w:pPr>
        <w:pStyle w:val="26"/>
        <w:tabs>
          <w:tab w:val="right" w:leader="dot" w:pos="8844"/>
        </w:tabs>
        <w:rPr>
          <w:rFonts w:ascii="仿宋_GB2312" w:eastAsia="仿宋_GB2312" w:hint="eastAsia"/>
          <w:sz w:val="28"/>
          <w:szCs w:val="28"/>
        </w:rPr>
      </w:pPr>
      <w:r>
        <w:rPr>
          <w:rFonts w:ascii="仿宋_GB2312" w:eastAsia="仿宋_GB2312" w:hint="eastAsia"/>
          <w:sz w:val="28"/>
          <w:szCs w:val="28"/>
        </w:rPr>
        <w:fldChar w:fldCharType="begin"/>
      </w:r>
      <w:r>
        <w:rPr>
          <w:rFonts w:ascii="仿宋_GB2312" w:eastAsia="仿宋_GB2312" w:hint="eastAsia"/>
          <w:sz w:val="28"/>
          <w:szCs w:val="28"/>
        </w:rPr>
        <w:instrText>Hyperlink \l "_Toc55224659"</w:instrText>
      </w:r>
      <w:r>
        <w:rPr>
          <w:rFonts w:ascii="仿宋_GB2312" w:eastAsia="仿宋_GB2312" w:hint="eastAsia"/>
          <w:sz w:val="28"/>
          <w:szCs w:val="28"/>
        </w:rPr>
        <w:fldChar w:fldCharType="separate"/>
      </w:r>
      <w:r>
        <w:rPr>
          <w:rFonts w:ascii="仿宋_GB2312" w:eastAsia="仿宋_GB2312" w:hint="eastAsia"/>
          <w:sz w:val="28"/>
          <w:szCs w:val="28"/>
          <w:lang w:eastAsia="zh-CN"/>
          <w:highlight w:val="auto"/>
        </w:rPr>
        <w:t>三、</w:t>
      </w:r>
      <w:r>
        <w:rPr>
          <w:rFonts w:ascii="仿宋_GB2312" w:eastAsia="仿宋_GB2312" w:hint="eastAsia"/>
          <w:sz w:val="28"/>
          <w:szCs w:val="28"/>
          <w:highlight w:val="auto"/>
        </w:rPr>
        <w:t>支</w:t>
      </w:r>
      <w:r>
        <w:rPr>
          <w:rFonts w:ascii="仿宋_GB2312" w:eastAsia="仿宋_GB2312" w:cs="Times New Roman" w:hint="eastAsia"/>
          <w:kern w:val="2"/>
          <w:sz w:val="28"/>
          <w:szCs w:val="28"/>
          <w:lang w:val="en-US" w:eastAsia="zh-CN" w:bidi="ar-SA"/>
        </w:rPr>
        <w:t>出决算情况说明</w:t>
      </w:r>
      <w:r>
        <w:rPr>
          <w:rFonts w:ascii="仿宋_GB2312" w:eastAsia="仿宋_GB2312" w:hint="eastAsia"/>
          <w:sz w:val="28"/>
          <w:szCs w:val="28"/>
        </w:rPr>
        <w:tab/>
        <w:t>7</w:t>
      </w:r>
      <w:r>
        <w:rPr>
          <w:rFonts w:ascii="仿宋_GB2312" w:eastAsia="仿宋_GB2312" w:hint="eastAsia"/>
          <w:sz w:val="28"/>
          <w:szCs w:val="28"/>
        </w:rPr>
        <w:fldChar w:fldCharType="end"/>
      </w:r>
    </w:p>
    <w:p>
      <w:pPr>
        <w:pStyle w:val="26"/>
        <w:tabs>
          <w:tab w:val="right" w:leader="dot" w:pos="8844"/>
        </w:tabs>
        <w:rPr>
          <w:rFonts w:ascii="仿宋_GB2312" w:eastAsia="仿宋_GB2312" w:hint="eastAsia"/>
          <w:sz w:val="28"/>
          <w:szCs w:val="28"/>
        </w:rPr>
      </w:pPr>
      <w:r>
        <w:rPr>
          <w:rFonts w:ascii="仿宋_GB2312" w:eastAsia="仿宋_GB2312" w:hint="eastAsia"/>
          <w:sz w:val="28"/>
          <w:szCs w:val="28"/>
        </w:rPr>
        <w:fldChar w:fldCharType="begin"/>
      </w:r>
      <w:r>
        <w:rPr>
          <w:rFonts w:ascii="仿宋_GB2312" w:eastAsia="仿宋_GB2312" w:hint="eastAsia"/>
          <w:sz w:val="28"/>
          <w:szCs w:val="28"/>
        </w:rPr>
        <w:instrText>Hyperlink \l "_Toc55224661"</w:instrText>
      </w:r>
      <w:r>
        <w:rPr>
          <w:rFonts w:ascii="仿宋_GB2312" w:eastAsia="仿宋_GB2312" w:hint="eastAsia"/>
          <w:sz w:val="28"/>
          <w:szCs w:val="28"/>
        </w:rPr>
        <w:fldChar w:fldCharType="separate"/>
      </w:r>
      <w:r>
        <w:rPr>
          <w:rFonts w:ascii="仿宋_GB2312" w:eastAsia="仿宋_GB2312" w:hint="eastAsia"/>
          <w:sz w:val="28"/>
          <w:szCs w:val="28"/>
          <w:highlight w:val="auto"/>
        </w:rPr>
        <w:t>四、财</w:t>
      </w:r>
      <w:r>
        <w:rPr>
          <w:rFonts w:ascii="仿宋_GB2312" w:eastAsia="仿宋_GB2312" w:cs="Times New Roman" w:hint="eastAsia"/>
          <w:kern w:val="2"/>
          <w:sz w:val="28"/>
          <w:szCs w:val="28"/>
          <w:lang w:val="en-US" w:eastAsia="zh-CN" w:bidi="ar-SA"/>
        </w:rPr>
        <w:t>政拨款收入支出决算总体情况说明</w:t>
      </w:r>
      <w:r>
        <w:rPr>
          <w:rFonts w:ascii="仿宋_GB2312" w:eastAsia="仿宋_GB2312" w:hint="eastAsia"/>
          <w:sz w:val="28"/>
          <w:szCs w:val="28"/>
        </w:rPr>
        <w:tab/>
        <w:t>7</w:t>
      </w:r>
      <w:r>
        <w:rPr>
          <w:rFonts w:ascii="仿宋_GB2312" w:eastAsia="仿宋_GB2312" w:hint="eastAsia"/>
          <w:sz w:val="28"/>
          <w:szCs w:val="28"/>
        </w:rPr>
        <w:fldChar w:fldCharType="end"/>
      </w:r>
    </w:p>
    <w:p>
      <w:pPr>
        <w:pStyle w:val="26"/>
        <w:tabs>
          <w:tab w:val="right" w:leader="dot" w:pos="8844"/>
        </w:tabs>
        <w:rPr>
          <w:rFonts w:ascii="仿宋_GB2312" w:eastAsia="仿宋_GB2312" w:hint="eastAsia"/>
          <w:sz w:val="28"/>
          <w:szCs w:val="28"/>
        </w:rPr>
      </w:pPr>
      <w:r>
        <w:rPr>
          <w:rFonts w:ascii="仿宋_GB2312" w:eastAsia="仿宋_GB2312" w:hint="eastAsia"/>
          <w:sz w:val="28"/>
          <w:szCs w:val="28"/>
        </w:rPr>
        <w:fldChar w:fldCharType="begin"/>
      </w:r>
      <w:r>
        <w:rPr>
          <w:rFonts w:ascii="仿宋_GB2312" w:eastAsia="仿宋_GB2312" w:hint="eastAsia"/>
          <w:sz w:val="28"/>
          <w:szCs w:val="28"/>
        </w:rPr>
        <w:instrText>Hyperlink \l "_Toc55224662"</w:instrText>
      </w:r>
      <w:r>
        <w:rPr>
          <w:rFonts w:ascii="仿宋_GB2312" w:eastAsia="仿宋_GB2312" w:hint="eastAsia"/>
          <w:sz w:val="28"/>
          <w:szCs w:val="28"/>
        </w:rPr>
        <w:fldChar w:fldCharType="separate"/>
      </w:r>
      <w:r>
        <w:rPr>
          <w:rFonts w:ascii="仿宋_GB2312" w:eastAsia="仿宋_GB2312" w:hint="eastAsia"/>
          <w:sz w:val="28"/>
          <w:szCs w:val="28"/>
          <w:highlight w:val="auto"/>
        </w:rPr>
        <w:t>五、一</w:t>
      </w:r>
      <w:r>
        <w:rPr>
          <w:rFonts w:ascii="仿宋_GB2312" w:eastAsia="仿宋_GB2312" w:cs="Times New Roman" w:hint="eastAsia"/>
          <w:kern w:val="2"/>
          <w:sz w:val="28"/>
          <w:szCs w:val="28"/>
          <w:lang w:val="en-US" w:eastAsia="zh-CN" w:bidi="ar-SA"/>
        </w:rPr>
        <w:t>般公共预算财政拨款支出决算情况说明</w:t>
      </w:r>
      <w:r>
        <w:rPr>
          <w:rFonts w:ascii="仿宋_GB2312" w:eastAsia="仿宋_GB2312" w:hint="eastAsia"/>
          <w:sz w:val="28"/>
          <w:szCs w:val="28"/>
        </w:rPr>
        <w:tab/>
        <w:t>7</w:t>
      </w:r>
      <w:r>
        <w:rPr>
          <w:rFonts w:ascii="仿宋_GB2312" w:eastAsia="仿宋_GB2312" w:hint="eastAsia"/>
          <w:sz w:val="28"/>
          <w:szCs w:val="28"/>
        </w:rPr>
        <w:fldChar w:fldCharType="end"/>
      </w:r>
    </w:p>
    <w:p>
      <w:pPr>
        <w:pStyle w:val="23"/>
        <w:tabs>
          <w:tab w:val="right" w:leader="dot" w:pos="8844"/>
        </w:tabs>
        <w:rPr>
          <w:rFonts w:ascii="仿宋_GB2312" w:eastAsia="仿宋_GB2312" w:hint="eastAsia"/>
          <w:i w:val="0"/>
          <w:iCs/>
          <w:sz w:val="28"/>
          <w:szCs w:val="28"/>
        </w:rPr>
      </w:pPr>
      <w:r>
        <w:rPr>
          <w:rFonts w:ascii="仿宋_GB2312" w:eastAsia="仿宋_GB2312" w:hint="eastAsia"/>
          <w:i w:val="0"/>
          <w:iCs/>
          <w:sz w:val="28"/>
          <w:szCs w:val="28"/>
        </w:rPr>
        <w:fldChar w:fldCharType="begin"/>
      </w:r>
      <w:r>
        <w:rPr>
          <w:rFonts w:ascii="仿宋_GB2312" w:eastAsia="仿宋_GB2312" w:hint="eastAsia"/>
          <w:i w:val="0"/>
          <w:iCs/>
          <w:sz w:val="28"/>
          <w:szCs w:val="28"/>
        </w:rPr>
        <w:instrText>Hyperlink \l "_Toc55224663"</w:instrText>
      </w:r>
      <w:r>
        <w:rPr>
          <w:rFonts w:ascii="仿宋_GB2312" w:eastAsia="仿宋_GB2312" w:hint="eastAsia"/>
          <w:i w:val="0"/>
          <w:iCs/>
          <w:sz w:val="28"/>
          <w:szCs w:val="28"/>
        </w:rPr>
        <w:fldChar w:fldCharType="separate"/>
      </w:r>
      <w:r>
        <w:rPr>
          <w:rFonts w:ascii="仿宋_GB2312" w:eastAsia="仿宋_GB2312" w:cs="楷体_GB2312" w:hint="eastAsia"/>
          <w:i w:val="0"/>
          <w:iCs/>
          <w:sz w:val="28"/>
          <w:szCs w:val="28"/>
          <w:lang w:bidi="ar-SA"/>
          <w:highlight w:val="auto"/>
        </w:rPr>
        <w:t>（一）一般公共预算财政拨款支出决算总体情况</w:t>
      </w:r>
      <w:r>
        <w:rPr>
          <w:rFonts w:ascii="仿宋_GB2312" w:eastAsia="仿宋_GB2312" w:hint="eastAsia"/>
          <w:i w:val="0"/>
          <w:iCs/>
          <w:sz w:val="28"/>
          <w:szCs w:val="28"/>
        </w:rPr>
        <w:tab/>
        <w:t>8</w:t>
      </w:r>
      <w:r>
        <w:rPr>
          <w:rFonts w:ascii="仿宋_GB2312" w:eastAsia="仿宋_GB2312" w:hint="eastAsia"/>
          <w:i w:val="0"/>
          <w:iCs/>
          <w:sz w:val="28"/>
          <w:szCs w:val="28"/>
        </w:rPr>
        <w:fldChar w:fldCharType="end"/>
      </w:r>
    </w:p>
    <w:p>
      <w:pPr>
        <w:pStyle w:val="23"/>
        <w:tabs>
          <w:tab w:val="right" w:leader="dot" w:pos="8844"/>
        </w:tabs>
        <w:rPr>
          <w:rFonts w:ascii="仿宋_GB2312" w:eastAsia="仿宋_GB2312" w:hint="eastAsia"/>
          <w:i w:val="0"/>
          <w:iCs/>
          <w:sz w:val="28"/>
          <w:szCs w:val="28"/>
        </w:rPr>
      </w:pPr>
      <w:r>
        <w:rPr>
          <w:rFonts w:ascii="仿宋_GB2312" w:eastAsia="仿宋_GB2312" w:hint="eastAsia"/>
          <w:i w:val="0"/>
          <w:iCs/>
          <w:sz w:val="28"/>
          <w:szCs w:val="28"/>
        </w:rPr>
        <w:fldChar w:fldCharType="begin"/>
      </w:r>
      <w:r>
        <w:rPr>
          <w:rFonts w:ascii="仿宋_GB2312" w:eastAsia="仿宋_GB2312" w:hint="eastAsia"/>
          <w:i w:val="0"/>
          <w:iCs/>
          <w:sz w:val="28"/>
          <w:szCs w:val="28"/>
        </w:rPr>
        <w:instrText>Hyperlink \l "_Toc55224664"</w:instrText>
      </w:r>
      <w:r>
        <w:rPr>
          <w:rFonts w:ascii="仿宋_GB2312" w:eastAsia="仿宋_GB2312" w:hint="eastAsia"/>
          <w:i w:val="0"/>
          <w:iCs/>
          <w:sz w:val="28"/>
          <w:szCs w:val="28"/>
        </w:rPr>
        <w:fldChar w:fldCharType="separate"/>
      </w:r>
      <w:r>
        <w:rPr>
          <w:rFonts w:ascii="仿宋_GB2312" w:eastAsia="仿宋_GB2312" w:cs="楷体_GB2312" w:hint="eastAsia"/>
          <w:i w:val="0"/>
          <w:iCs/>
          <w:sz w:val="28"/>
          <w:szCs w:val="28"/>
          <w:lang w:bidi="ar-SA"/>
          <w:highlight w:val="auto"/>
        </w:rPr>
        <w:t>（二）一般公共预算财政拨款支出决算结构情况</w:t>
      </w:r>
      <w:r>
        <w:rPr>
          <w:rFonts w:ascii="仿宋_GB2312" w:eastAsia="仿宋_GB2312" w:hint="eastAsia"/>
          <w:i w:val="0"/>
          <w:iCs/>
          <w:sz w:val="28"/>
          <w:szCs w:val="28"/>
        </w:rPr>
        <w:tab/>
        <w:t>8</w:t>
      </w:r>
      <w:r>
        <w:rPr>
          <w:rFonts w:ascii="仿宋_GB2312" w:eastAsia="仿宋_GB2312" w:hint="eastAsia"/>
          <w:i w:val="0"/>
          <w:iCs/>
          <w:sz w:val="28"/>
          <w:szCs w:val="28"/>
        </w:rPr>
        <w:fldChar w:fldCharType="end"/>
      </w:r>
    </w:p>
    <w:p>
      <w:pPr>
        <w:pStyle w:val="23"/>
        <w:tabs>
          <w:tab w:val="right" w:leader="dot" w:pos="8844"/>
        </w:tabs>
        <w:rPr>
          <w:rFonts w:ascii="仿宋_GB2312" w:eastAsia="仿宋_GB2312" w:hint="eastAsia"/>
          <w:i w:val="0"/>
          <w:iCs/>
          <w:sz w:val="28"/>
          <w:szCs w:val="28"/>
        </w:rPr>
      </w:pPr>
      <w:r>
        <w:rPr>
          <w:rFonts w:ascii="仿宋_GB2312" w:eastAsia="仿宋_GB2312" w:hint="eastAsia"/>
          <w:i w:val="0"/>
          <w:iCs/>
          <w:sz w:val="28"/>
          <w:szCs w:val="28"/>
        </w:rPr>
        <w:fldChar w:fldCharType="begin"/>
      </w:r>
      <w:r>
        <w:rPr>
          <w:rFonts w:ascii="仿宋_GB2312" w:eastAsia="仿宋_GB2312" w:hint="eastAsia"/>
          <w:i w:val="0"/>
          <w:iCs/>
          <w:sz w:val="28"/>
          <w:szCs w:val="28"/>
        </w:rPr>
        <w:instrText>Hyperlink \l "_Toc55224665"</w:instrText>
      </w:r>
      <w:r>
        <w:rPr>
          <w:rFonts w:ascii="仿宋_GB2312" w:eastAsia="仿宋_GB2312" w:hint="eastAsia"/>
          <w:i w:val="0"/>
          <w:iCs/>
          <w:sz w:val="28"/>
          <w:szCs w:val="28"/>
        </w:rPr>
        <w:fldChar w:fldCharType="separate"/>
      </w:r>
      <w:r>
        <w:rPr>
          <w:rFonts w:ascii="仿宋_GB2312" w:eastAsia="仿宋_GB2312" w:cs="楷体_GB2312" w:hint="eastAsia"/>
          <w:i w:val="0"/>
          <w:iCs/>
          <w:sz w:val="28"/>
          <w:szCs w:val="28"/>
          <w:lang w:bidi="ar-SA"/>
          <w:highlight w:val="auto"/>
        </w:rPr>
        <w:t>（三）一般公共预算财政拨款支出决算具体情况</w:t>
      </w:r>
      <w:r>
        <w:rPr>
          <w:rFonts w:ascii="仿宋_GB2312" w:eastAsia="仿宋_GB2312" w:hint="eastAsia"/>
          <w:i w:val="0"/>
          <w:iCs/>
          <w:sz w:val="28"/>
          <w:szCs w:val="28"/>
        </w:rPr>
        <w:tab/>
        <w:t>9</w:t>
      </w:r>
      <w:r>
        <w:rPr>
          <w:rFonts w:ascii="仿宋_GB2312" w:eastAsia="仿宋_GB2312" w:hint="eastAsia"/>
          <w:i w:val="0"/>
          <w:iCs/>
          <w:sz w:val="28"/>
          <w:szCs w:val="28"/>
        </w:rPr>
        <w:fldChar w:fldCharType="end"/>
      </w:r>
    </w:p>
    <w:p>
      <w:pPr>
        <w:pStyle w:val="26"/>
        <w:tabs>
          <w:tab w:val="right" w:leader="dot" w:pos="8844"/>
        </w:tabs>
        <w:rPr>
          <w:rFonts w:ascii="仿宋_GB2312" w:eastAsia="仿宋_GB2312" w:hint="eastAsia"/>
          <w:sz w:val="28"/>
          <w:szCs w:val="28"/>
        </w:rPr>
      </w:pPr>
      <w:r>
        <w:rPr>
          <w:rFonts w:ascii="仿宋_GB2312" w:eastAsia="仿宋_GB2312" w:hint="eastAsia"/>
          <w:sz w:val="28"/>
          <w:szCs w:val="28"/>
        </w:rPr>
        <w:fldChar w:fldCharType="begin"/>
      </w:r>
      <w:r>
        <w:rPr>
          <w:rFonts w:ascii="仿宋_GB2312" w:eastAsia="仿宋_GB2312" w:hint="eastAsia"/>
          <w:sz w:val="28"/>
          <w:szCs w:val="28"/>
        </w:rPr>
        <w:instrText>Hyperlink \l "_Toc55224676"</w:instrText>
      </w:r>
      <w:r>
        <w:rPr>
          <w:rFonts w:ascii="仿宋_GB2312" w:eastAsia="仿宋_GB2312" w:hint="eastAsia"/>
          <w:sz w:val="28"/>
          <w:szCs w:val="28"/>
        </w:rPr>
        <w:fldChar w:fldCharType="separate"/>
      </w:r>
      <w:r>
        <w:rPr>
          <w:rFonts w:ascii="仿宋_GB2312" w:eastAsia="仿宋_GB2312" w:hint="eastAsia"/>
          <w:sz w:val="28"/>
          <w:szCs w:val="28"/>
          <w:highlight w:val="auto"/>
        </w:rPr>
        <w:t>六、一</w:t>
      </w:r>
      <w:r>
        <w:rPr>
          <w:rFonts w:ascii="仿宋_GB2312" w:eastAsia="仿宋_GB2312" w:cs="Times New Roman" w:hint="eastAsia"/>
          <w:kern w:val="2"/>
          <w:sz w:val="28"/>
          <w:szCs w:val="28"/>
          <w:lang w:val="en-US" w:eastAsia="zh-CN" w:bidi="ar-SA"/>
        </w:rPr>
        <w:t>般公共预算财政拨款基本支出决算情况说明</w:t>
      </w:r>
      <w:r>
        <w:rPr>
          <w:rFonts w:ascii="仿宋_GB2312" w:eastAsia="仿宋_GB2312" w:hint="eastAsia"/>
          <w:sz w:val="28"/>
          <w:szCs w:val="28"/>
        </w:rPr>
        <w:tab/>
        <w:t>1</w:t>
      </w:r>
      <w:r>
        <w:rPr>
          <w:rFonts w:ascii="仿宋_GB2312" w:eastAsia="仿宋_GB2312" w:hint="eastAsia"/>
          <w:sz w:val="28"/>
          <w:szCs w:val="28"/>
        </w:rPr>
        <w:fldChar w:fldCharType="end"/>
      </w:r>
      <w:r>
        <w:rPr>
          <w:rFonts w:ascii="仿宋_GB2312" w:eastAsia="仿宋_GB2312" w:hint="eastAsia"/>
          <w:sz w:val="28"/>
          <w:szCs w:val="28"/>
        </w:rPr>
        <w:t>0</w:t>
      </w:r>
    </w:p>
    <w:p>
      <w:pPr>
        <w:pStyle w:val="26"/>
        <w:tabs>
          <w:tab w:val="right" w:leader="dot" w:pos="8844"/>
        </w:tabs>
        <w:rPr>
          <w:rFonts w:ascii="仿宋_GB2312" w:eastAsia="仿宋_GB2312" w:hint="eastAsia"/>
          <w:sz w:val="28"/>
          <w:szCs w:val="28"/>
        </w:rPr>
      </w:pPr>
      <w:r>
        <w:rPr>
          <w:rFonts w:ascii="仿宋_GB2312" w:eastAsia="仿宋_GB2312" w:hint="eastAsia"/>
          <w:sz w:val="28"/>
          <w:szCs w:val="28"/>
        </w:rPr>
        <w:fldChar w:fldCharType="begin"/>
      </w:r>
      <w:r>
        <w:rPr>
          <w:rFonts w:ascii="仿宋_GB2312" w:eastAsia="仿宋_GB2312" w:hint="eastAsia"/>
          <w:sz w:val="28"/>
          <w:szCs w:val="28"/>
        </w:rPr>
        <w:instrText>Hyperlink \l "_Toc55224677"</w:instrText>
      </w:r>
      <w:r>
        <w:rPr>
          <w:rFonts w:ascii="仿宋_GB2312" w:eastAsia="仿宋_GB2312" w:hint="eastAsia"/>
          <w:sz w:val="28"/>
          <w:szCs w:val="28"/>
        </w:rPr>
        <w:fldChar w:fldCharType="separate"/>
      </w:r>
      <w:r>
        <w:rPr>
          <w:rFonts w:ascii="仿宋_GB2312" w:eastAsia="仿宋_GB2312" w:hint="eastAsia"/>
          <w:sz w:val="28"/>
          <w:szCs w:val="28"/>
          <w:highlight w:val="auto"/>
        </w:rPr>
        <w:t>七、</w:t>
      </w:r>
      <w:r>
        <w:rPr>
          <w:rFonts w:ascii="仿宋_GB2312" w:eastAsia="仿宋_GB2312" w:cs="Times New Roman" w:hint="eastAsia"/>
          <w:kern w:val="2"/>
          <w:sz w:val="28"/>
          <w:szCs w:val="28"/>
          <w:lang w:val="en-US" w:eastAsia="zh-CN" w:bidi="ar-SA"/>
        </w:rPr>
        <w:t>财政拨款“三公”经费支出决算情况说明</w:t>
      </w:r>
      <w:r>
        <w:rPr>
          <w:rFonts w:ascii="仿宋_GB2312" w:eastAsia="仿宋_GB2312" w:hint="eastAsia"/>
          <w:sz w:val="28"/>
          <w:szCs w:val="28"/>
        </w:rPr>
        <w:tab/>
        <w:t>1</w:t>
      </w:r>
      <w:r>
        <w:rPr>
          <w:rFonts w:ascii="仿宋_GB2312" w:eastAsia="仿宋_GB2312" w:hint="eastAsia"/>
          <w:sz w:val="28"/>
          <w:szCs w:val="28"/>
        </w:rPr>
        <w:fldChar w:fldCharType="end"/>
      </w:r>
      <w:r>
        <w:rPr>
          <w:rFonts w:ascii="仿宋_GB2312" w:eastAsia="仿宋_GB2312" w:hint="eastAsia"/>
          <w:sz w:val="28"/>
          <w:szCs w:val="28"/>
        </w:rPr>
        <w:t>1</w:t>
      </w:r>
    </w:p>
    <w:p>
      <w:pPr>
        <w:pStyle w:val="23"/>
        <w:tabs>
          <w:tab w:val="right" w:leader="dot" w:pos="8844"/>
        </w:tabs>
        <w:rPr>
          <w:rFonts w:ascii="仿宋_GB2312" w:eastAsia="仿宋_GB2312" w:hint="eastAsia"/>
          <w:i w:val="0"/>
          <w:iCs/>
          <w:sz w:val="28"/>
          <w:szCs w:val="28"/>
        </w:rPr>
      </w:pPr>
      <w:r>
        <w:rPr>
          <w:rFonts w:ascii="仿宋_GB2312" w:eastAsia="仿宋_GB2312" w:hint="eastAsia"/>
          <w:i w:val="0"/>
          <w:iCs/>
          <w:sz w:val="28"/>
          <w:szCs w:val="28"/>
        </w:rPr>
        <w:fldChar w:fldCharType="begin"/>
      </w:r>
      <w:r>
        <w:rPr>
          <w:rFonts w:ascii="仿宋_GB2312" w:eastAsia="仿宋_GB2312" w:hint="eastAsia"/>
          <w:i w:val="0"/>
          <w:iCs/>
          <w:sz w:val="28"/>
          <w:szCs w:val="28"/>
        </w:rPr>
        <w:instrText>Hyperlink \l "_Toc55224678"</w:instrText>
      </w:r>
      <w:r>
        <w:rPr>
          <w:rFonts w:ascii="仿宋_GB2312" w:eastAsia="仿宋_GB2312" w:hint="eastAsia"/>
          <w:i w:val="0"/>
          <w:iCs/>
          <w:sz w:val="28"/>
          <w:szCs w:val="28"/>
        </w:rPr>
        <w:fldChar w:fldCharType="separate"/>
      </w:r>
      <w:r>
        <w:rPr>
          <w:rFonts w:ascii="仿宋_GB2312" w:eastAsia="仿宋_GB2312" w:cs="楷体_GB2312" w:hint="eastAsia"/>
          <w:i w:val="0"/>
          <w:iCs/>
          <w:sz w:val="28"/>
          <w:szCs w:val="28"/>
          <w:lang w:bidi="ar-SA"/>
          <w:highlight w:val="auto"/>
        </w:rPr>
        <w:t>（一）“三公”经费财政拨款支出决算总体情况说明</w:t>
      </w:r>
      <w:r>
        <w:rPr>
          <w:rFonts w:ascii="仿宋_GB2312" w:eastAsia="仿宋_GB2312" w:hint="eastAsia"/>
          <w:i w:val="0"/>
          <w:iCs/>
          <w:sz w:val="28"/>
          <w:szCs w:val="28"/>
        </w:rPr>
        <w:tab/>
        <w:t>1</w:t>
      </w:r>
      <w:r>
        <w:rPr>
          <w:rFonts w:ascii="仿宋_GB2312" w:eastAsia="仿宋_GB2312" w:hint="eastAsia"/>
          <w:i w:val="0"/>
          <w:iCs/>
          <w:sz w:val="28"/>
          <w:szCs w:val="28"/>
        </w:rPr>
        <w:fldChar w:fldCharType="end"/>
      </w:r>
      <w:r>
        <w:rPr>
          <w:rFonts w:ascii="仿宋_GB2312" w:eastAsia="仿宋_GB2312" w:hint="eastAsia"/>
          <w:i w:val="0"/>
          <w:iCs/>
          <w:sz w:val="28"/>
          <w:szCs w:val="28"/>
        </w:rPr>
        <w:t>1</w:t>
      </w:r>
    </w:p>
    <w:p>
      <w:pPr>
        <w:pStyle w:val="23"/>
        <w:tabs>
          <w:tab w:val="right" w:leader="dot" w:pos="8844"/>
        </w:tabs>
        <w:rPr>
          <w:rFonts w:ascii="仿宋_GB2312" w:eastAsia="仿宋_GB2312" w:hint="eastAsia"/>
          <w:i w:val="0"/>
          <w:iCs/>
          <w:sz w:val="28"/>
          <w:szCs w:val="28"/>
        </w:rPr>
      </w:pPr>
      <w:r>
        <w:rPr>
          <w:rFonts w:ascii="仿宋_GB2312" w:eastAsia="仿宋_GB2312" w:hint="eastAsia"/>
          <w:i w:val="0"/>
          <w:iCs/>
          <w:sz w:val="28"/>
          <w:szCs w:val="28"/>
        </w:rPr>
        <w:fldChar w:fldCharType="begin"/>
      </w:r>
      <w:r>
        <w:rPr>
          <w:rFonts w:ascii="仿宋_GB2312" w:eastAsia="仿宋_GB2312" w:hint="eastAsia"/>
          <w:i w:val="0"/>
          <w:iCs/>
          <w:sz w:val="28"/>
          <w:szCs w:val="28"/>
        </w:rPr>
        <w:instrText>Hyperlink \l "_Toc55224679"</w:instrText>
      </w:r>
      <w:r>
        <w:rPr>
          <w:rFonts w:ascii="仿宋_GB2312" w:eastAsia="仿宋_GB2312" w:hint="eastAsia"/>
          <w:i w:val="0"/>
          <w:iCs/>
          <w:sz w:val="28"/>
          <w:szCs w:val="28"/>
        </w:rPr>
        <w:fldChar w:fldCharType="separate"/>
      </w:r>
      <w:r>
        <w:rPr>
          <w:rFonts w:ascii="仿宋_GB2312" w:eastAsia="仿宋_GB2312" w:cs="楷体_GB2312" w:hint="eastAsia"/>
          <w:i w:val="0"/>
          <w:iCs/>
          <w:sz w:val="28"/>
          <w:szCs w:val="28"/>
          <w:lang w:bidi="ar-SA"/>
          <w:highlight w:val="auto"/>
        </w:rPr>
        <w:t>（二）“三公”经费财政拨款支出决算具体情况说明</w:t>
      </w:r>
      <w:r>
        <w:rPr>
          <w:rFonts w:ascii="仿宋_GB2312" w:eastAsia="仿宋_GB2312" w:hint="eastAsia"/>
          <w:i w:val="0"/>
          <w:iCs/>
          <w:sz w:val="28"/>
          <w:szCs w:val="28"/>
        </w:rPr>
        <w:tab/>
        <w:t>1</w:t>
      </w:r>
      <w:r>
        <w:rPr>
          <w:rFonts w:ascii="仿宋_GB2312" w:eastAsia="仿宋_GB2312" w:hint="eastAsia"/>
          <w:i w:val="0"/>
          <w:iCs/>
          <w:sz w:val="28"/>
          <w:szCs w:val="28"/>
        </w:rPr>
        <w:fldChar w:fldCharType="end"/>
      </w:r>
      <w:r>
        <w:rPr>
          <w:rFonts w:ascii="仿宋_GB2312" w:eastAsia="仿宋_GB2312" w:hint="eastAsia"/>
          <w:i w:val="0"/>
          <w:iCs/>
          <w:sz w:val="28"/>
          <w:szCs w:val="28"/>
        </w:rPr>
        <w:t>1</w:t>
      </w:r>
    </w:p>
    <w:p>
      <w:pPr>
        <w:pStyle w:val="26"/>
        <w:tabs>
          <w:tab w:val="right" w:leader="dot" w:pos="8844"/>
        </w:tabs>
        <w:rPr>
          <w:rFonts w:ascii="仿宋_GB2312" w:eastAsia="仿宋_GB2312" w:hint="eastAsia"/>
          <w:sz w:val="28"/>
          <w:szCs w:val="28"/>
        </w:rPr>
      </w:pPr>
      <w:r>
        <w:rPr>
          <w:rFonts w:ascii="仿宋_GB2312" w:eastAsia="仿宋_GB2312" w:hint="eastAsia"/>
          <w:sz w:val="28"/>
          <w:szCs w:val="28"/>
        </w:rPr>
        <w:fldChar w:fldCharType="begin"/>
      </w:r>
      <w:r>
        <w:rPr>
          <w:rFonts w:ascii="仿宋_GB2312" w:eastAsia="仿宋_GB2312" w:hint="eastAsia"/>
          <w:sz w:val="28"/>
          <w:szCs w:val="28"/>
        </w:rPr>
        <w:instrText>Hyperlink \l "_Toc55224680"</w:instrText>
      </w:r>
      <w:r>
        <w:rPr>
          <w:rFonts w:ascii="仿宋_GB2312" w:eastAsia="仿宋_GB2312" w:hint="eastAsia"/>
          <w:sz w:val="28"/>
          <w:szCs w:val="28"/>
        </w:rPr>
        <w:fldChar w:fldCharType="separate"/>
      </w:r>
      <w:r>
        <w:rPr>
          <w:rFonts w:ascii="仿宋_GB2312" w:eastAsia="仿宋_GB2312" w:hint="eastAsia"/>
          <w:sz w:val="28"/>
          <w:szCs w:val="28"/>
          <w:highlight w:val="auto"/>
        </w:rPr>
        <w:t>八、</w:t>
      </w:r>
      <w:r>
        <w:rPr>
          <w:rFonts w:ascii="仿宋_GB2312" w:eastAsia="仿宋_GB2312" w:cs="Times New Roman" w:hint="eastAsia"/>
          <w:kern w:val="2"/>
          <w:sz w:val="28"/>
          <w:szCs w:val="28"/>
          <w:lang w:val="en-US" w:eastAsia="zh-CN" w:bidi="ar-SA"/>
        </w:rPr>
        <w:t>政府性基金预算支出决算情况说明</w:t>
      </w:r>
      <w:r>
        <w:rPr>
          <w:rFonts w:ascii="仿宋_GB2312" w:eastAsia="仿宋_GB2312" w:hint="eastAsia"/>
          <w:sz w:val="28"/>
          <w:szCs w:val="28"/>
        </w:rPr>
        <w:tab/>
        <w:t>1</w:t>
      </w:r>
      <w:r>
        <w:rPr>
          <w:rFonts w:ascii="仿宋_GB2312" w:eastAsia="仿宋_GB2312" w:hint="eastAsia"/>
          <w:sz w:val="28"/>
          <w:szCs w:val="28"/>
        </w:rPr>
        <w:fldChar w:fldCharType="end"/>
      </w:r>
      <w:r>
        <w:rPr>
          <w:rFonts w:ascii="仿宋_GB2312" w:eastAsia="仿宋_GB2312" w:hint="eastAsia"/>
          <w:sz w:val="28"/>
          <w:szCs w:val="28"/>
        </w:rPr>
        <w:t>2</w:t>
      </w:r>
    </w:p>
    <w:p>
      <w:pPr>
        <w:pStyle w:val="26"/>
        <w:tabs>
          <w:tab w:val="right" w:leader="dot" w:pos="8844"/>
        </w:tabs>
        <w:rPr>
          <w:rFonts w:ascii="仿宋_GB2312" w:eastAsia="仿宋_GB2312" w:hint="eastAsia"/>
          <w:sz w:val="28"/>
          <w:szCs w:val="28"/>
        </w:rPr>
      </w:pPr>
      <w:r>
        <w:rPr>
          <w:rFonts w:ascii="仿宋_GB2312" w:eastAsia="仿宋_GB2312" w:hint="eastAsia"/>
          <w:sz w:val="28"/>
          <w:szCs w:val="28"/>
        </w:rPr>
        <w:fldChar w:fldCharType="begin"/>
      </w:r>
      <w:r>
        <w:rPr>
          <w:rFonts w:ascii="仿宋_GB2312" w:eastAsia="仿宋_GB2312" w:hint="eastAsia"/>
          <w:sz w:val="28"/>
          <w:szCs w:val="28"/>
        </w:rPr>
        <w:instrText>Hyperlink \l "_Toc55224681"</w:instrText>
      </w:r>
      <w:r>
        <w:rPr>
          <w:rFonts w:ascii="仿宋_GB2312" w:eastAsia="仿宋_GB2312" w:hint="eastAsia"/>
          <w:sz w:val="28"/>
          <w:szCs w:val="28"/>
        </w:rPr>
        <w:fldChar w:fldCharType="separate"/>
      </w:r>
      <w:r>
        <w:rPr>
          <w:rFonts w:ascii="仿宋_GB2312" w:eastAsia="仿宋_GB2312" w:cs="Times New Roman" w:hint="eastAsia"/>
          <w:kern w:val="2"/>
          <w:sz w:val="28"/>
          <w:szCs w:val="28"/>
          <w:lang w:val="en-US" w:eastAsia="zh-CN" w:bidi="ar-SA"/>
        </w:rPr>
        <w:t>九、国有资本经营预算支出决算情况说明</w:t>
      </w:r>
      <w:r>
        <w:rPr>
          <w:rFonts w:ascii="仿宋_GB2312" w:eastAsia="仿宋_GB2312" w:hint="eastAsia"/>
          <w:sz w:val="28"/>
          <w:szCs w:val="28"/>
        </w:rPr>
        <w:tab/>
        <w:t>1</w:t>
      </w:r>
      <w:r>
        <w:rPr>
          <w:rFonts w:ascii="仿宋_GB2312" w:eastAsia="仿宋_GB2312" w:hint="eastAsia"/>
          <w:sz w:val="28"/>
          <w:szCs w:val="28"/>
        </w:rPr>
        <w:fldChar w:fldCharType="end"/>
      </w:r>
      <w:r>
        <w:rPr>
          <w:rFonts w:ascii="仿宋_GB2312" w:eastAsia="仿宋_GB2312" w:hint="eastAsia"/>
          <w:sz w:val="28"/>
          <w:szCs w:val="28"/>
        </w:rPr>
        <w:t>2</w:t>
      </w:r>
    </w:p>
    <w:p>
      <w:pPr>
        <w:pStyle w:val="26"/>
        <w:tabs>
          <w:tab w:val="right" w:leader="dot" w:pos="8844"/>
        </w:tabs>
        <w:rPr>
          <w:rFonts w:ascii="仿宋_GB2312" w:eastAsia="仿宋_GB2312" w:hint="eastAsia"/>
          <w:sz w:val="28"/>
          <w:szCs w:val="28"/>
        </w:rPr>
      </w:pPr>
      <w:r>
        <w:rPr>
          <w:rFonts w:ascii="仿宋_GB2312" w:eastAsia="仿宋_GB2312" w:hint="eastAsia"/>
          <w:sz w:val="28"/>
          <w:szCs w:val="28"/>
        </w:rPr>
        <w:fldChar w:fldCharType="begin"/>
      </w:r>
      <w:r>
        <w:rPr>
          <w:rFonts w:ascii="仿宋_GB2312" w:eastAsia="仿宋_GB2312" w:hint="eastAsia"/>
          <w:sz w:val="28"/>
          <w:szCs w:val="28"/>
        </w:rPr>
        <w:instrText>Hyperlink \l "_Toc55224682"</w:instrText>
      </w:r>
      <w:r>
        <w:rPr>
          <w:rFonts w:ascii="仿宋_GB2312" w:eastAsia="仿宋_GB2312" w:hint="eastAsia"/>
          <w:sz w:val="28"/>
          <w:szCs w:val="28"/>
        </w:rPr>
        <w:fldChar w:fldCharType="separate"/>
      </w:r>
      <w:r>
        <w:rPr>
          <w:rFonts w:ascii="仿宋_GB2312" w:eastAsia="仿宋_GB2312" w:cs="Times New Roman" w:hint="eastAsia"/>
          <w:kern w:val="2"/>
          <w:sz w:val="28"/>
          <w:szCs w:val="28"/>
          <w:lang w:val="en-US" w:eastAsia="zh-CN" w:bidi="ar-SA"/>
        </w:rPr>
        <w:t>十、其他重要事项的情况说明</w:t>
      </w:r>
      <w:r>
        <w:rPr>
          <w:rFonts w:ascii="仿宋_GB2312" w:eastAsia="仿宋_GB2312" w:hint="eastAsia"/>
          <w:sz w:val="28"/>
          <w:szCs w:val="28"/>
        </w:rPr>
        <w:tab/>
        <w:t>1</w:t>
      </w:r>
      <w:r>
        <w:rPr>
          <w:rFonts w:ascii="仿宋_GB2312" w:eastAsia="仿宋_GB2312" w:hint="eastAsia"/>
          <w:sz w:val="28"/>
          <w:szCs w:val="28"/>
        </w:rPr>
        <w:fldChar w:fldCharType="end"/>
      </w:r>
      <w:r>
        <w:rPr>
          <w:rFonts w:ascii="仿宋_GB2312" w:eastAsia="仿宋_GB2312" w:hint="eastAsia"/>
          <w:sz w:val="28"/>
          <w:szCs w:val="28"/>
        </w:rPr>
        <w:t>2</w:t>
      </w:r>
    </w:p>
    <w:p>
      <w:pPr>
        <w:pStyle w:val="23"/>
        <w:tabs>
          <w:tab w:val="right" w:leader="dot" w:pos="8844"/>
        </w:tabs>
        <w:rPr>
          <w:rFonts w:ascii="仿宋_GB2312" w:eastAsia="仿宋_GB2312" w:hint="eastAsia"/>
          <w:i w:val="0"/>
          <w:iCs/>
          <w:sz w:val="28"/>
          <w:szCs w:val="28"/>
        </w:rPr>
      </w:pPr>
      <w:r>
        <w:rPr>
          <w:rFonts w:ascii="仿宋_GB2312" w:eastAsia="仿宋_GB2312" w:hint="eastAsia"/>
          <w:i w:val="0"/>
          <w:iCs/>
          <w:sz w:val="28"/>
          <w:szCs w:val="28"/>
        </w:rPr>
        <w:fldChar w:fldCharType="begin"/>
      </w:r>
      <w:r>
        <w:rPr>
          <w:rFonts w:ascii="仿宋_GB2312" w:eastAsia="仿宋_GB2312" w:hint="eastAsia"/>
          <w:i w:val="0"/>
          <w:iCs/>
          <w:sz w:val="28"/>
          <w:szCs w:val="28"/>
        </w:rPr>
        <w:instrText>Hyperlink \l "_Toc55224683"</w:instrText>
      </w:r>
      <w:r>
        <w:rPr>
          <w:rFonts w:ascii="仿宋_GB2312" w:eastAsia="仿宋_GB2312" w:hint="eastAsia"/>
          <w:i w:val="0"/>
          <w:iCs/>
          <w:sz w:val="28"/>
          <w:szCs w:val="28"/>
        </w:rPr>
        <w:fldChar w:fldCharType="separate"/>
      </w:r>
      <w:r>
        <w:rPr>
          <w:rFonts w:ascii="仿宋_GB2312" w:eastAsia="仿宋_GB2312" w:hint="eastAsia"/>
          <w:i w:val="0"/>
          <w:iCs/>
          <w:sz w:val="28"/>
          <w:szCs w:val="28"/>
          <w:highlight w:val="auto"/>
        </w:rPr>
        <w:t>（一）机关运行经费情况</w:t>
      </w:r>
      <w:r>
        <w:rPr>
          <w:rFonts w:ascii="仿宋_GB2312" w:eastAsia="仿宋_GB2312" w:hint="eastAsia"/>
          <w:i w:val="0"/>
          <w:iCs/>
          <w:sz w:val="28"/>
          <w:szCs w:val="28"/>
        </w:rPr>
        <w:tab/>
        <w:t>1</w:t>
      </w:r>
      <w:r>
        <w:rPr>
          <w:rFonts w:ascii="仿宋_GB2312" w:eastAsia="仿宋_GB2312" w:hint="eastAsia"/>
          <w:i w:val="0"/>
          <w:iCs/>
          <w:sz w:val="28"/>
          <w:szCs w:val="28"/>
        </w:rPr>
        <w:fldChar w:fldCharType="end"/>
      </w:r>
      <w:r>
        <w:rPr>
          <w:rFonts w:ascii="仿宋_GB2312" w:eastAsia="仿宋_GB2312" w:hint="eastAsia"/>
          <w:i w:val="0"/>
          <w:iCs/>
          <w:sz w:val="28"/>
          <w:szCs w:val="28"/>
        </w:rPr>
        <w:t>2</w:t>
      </w:r>
    </w:p>
    <w:p>
      <w:pPr>
        <w:pStyle w:val="23"/>
        <w:tabs>
          <w:tab w:val="right" w:leader="dot" w:pos="8844"/>
        </w:tabs>
        <w:rPr>
          <w:rFonts w:ascii="仿宋_GB2312" w:eastAsia="仿宋_GB2312" w:hint="eastAsia"/>
          <w:i w:val="0"/>
          <w:iCs/>
          <w:sz w:val="28"/>
          <w:szCs w:val="28"/>
          <w:lang w:val="en-US" w:eastAsia="zh-CN"/>
        </w:rPr>
      </w:pPr>
      <w:r>
        <w:rPr>
          <w:rFonts w:ascii="仿宋_GB2312" w:eastAsia="仿宋_GB2312" w:hint="eastAsia"/>
          <w:i w:val="0"/>
          <w:iCs/>
          <w:sz w:val="28"/>
          <w:szCs w:val="28"/>
        </w:rPr>
        <w:fldChar w:fldCharType="begin"/>
      </w:r>
      <w:r>
        <w:rPr>
          <w:rFonts w:ascii="仿宋_GB2312" w:eastAsia="仿宋_GB2312" w:hint="eastAsia"/>
          <w:i w:val="0"/>
          <w:iCs/>
          <w:sz w:val="28"/>
          <w:szCs w:val="28"/>
        </w:rPr>
        <w:instrText>Hyperlink \l "_Toc55224683"</w:instrText>
      </w:r>
      <w:r>
        <w:rPr>
          <w:rFonts w:ascii="仿宋_GB2312" w:eastAsia="仿宋_GB2312" w:hint="eastAsia"/>
          <w:i w:val="0"/>
          <w:iCs/>
          <w:sz w:val="28"/>
          <w:szCs w:val="28"/>
        </w:rPr>
        <w:fldChar w:fldCharType="separate"/>
      </w:r>
      <w:r>
        <w:rPr>
          <w:rFonts w:ascii="仿宋_GB2312" w:eastAsia="仿宋_GB2312" w:hint="eastAsia"/>
          <w:i w:val="0"/>
          <w:iCs/>
          <w:sz w:val="28"/>
          <w:szCs w:val="28"/>
          <w:highlight w:val="auto"/>
        </w:rPr>
        <w:t>（二）政府采购支出情况</w:t>
      </w:r>
      <w:r>
        <w:rPr>
          <w:rFonts w:ascii="仿宋_GB2312" w:eastAsia="仿宋_GB2312" w:hint="eastAsia"/>
          <w:i w:val="0"/>
          <w:iCs/>
          <w:sz w:val="28"/>
          <w:szCs w:val="28"/>
        </w:rPr>
        <w:tab/>
      </w:r>
      <w:r>
        <w:rPr>
          <w:rFonts w:ascii="仿宋_GB2312" w:eastAsia="仿宋_GB2312" w:hint="eastAsia"/>
          <w:i w:val="0"/>
          <w:iCs/>
          <w:sz w:val="28"/>
          <w:szCs w:val="28"/>
          <w:lang w:val="en-US" w:eastAsia="zh-CN"/>
        </w:rPr>
        <w:t>1</w:t>
      </w:r>
      <w:r>
        <w:rPr>
          <w:rFonts w:ascii="仿宋_GB2312" w:eastAsia="仿宋_GB2312" w:hint="eastAsia"/>
          <w:i w:val="0"/>
          <w:iCs/>
          <w:sz w:val="28"/>
          <w:szCs w:val="28"/>
        </w:rPr>
        <w:fldChar w:fldCharType="end"/>
      </w:r>
      <w:r>
        <w:rPr>
          <w:rFonts w:ascii="仿宋_GB2312" w:eastAsia="仿宋_GB2312" w:hint="eastAsia"/>
          <w:i w:val="0"/>
          <w:iCs/>
          <w:sz w:val="28"/>
          <w:szCs w:val="28"/>
          <w:lang w:val="en-US" w:eastAsia="zh-CN"/>
        </w:rPr>
        <w:t>2</w:t>
      </w:r>
    </w:p>
    <w:p>
      <w:pPr>
        <w:pStyle w:val="23"/>
        <w:tabs>
          <w:tab w:val="right" w:leader="dot" w:pos="8844"/>
        </w:tabs>
        <w:rPr>
          <w:rFonts w:ascii="仿宋_GB2312" w:eastAsia="仿宋_GB2312" w:hint="eastAsia"/>
          <w:i w:val="0"/>
          <w:iCs/>
          <w:sz w:val="28"/>
          <w:szCs w:val="28"/>
        </w:rPr>
      </w:pPr>
      <w:r>
        <w:rPr>
          <w:rFonts w:ascii="仿宋_GB2312" w:eastAsia="仿宋_GB2312" w:hint="eastAsia"/>
          <w:i w:val="0"/>
          <w:iCs/>
          <w:sz w:val="28"/>
          <w:szCs w:val="28"/>
        </w:rPr>
        <w:fldChar w:fldCharType="begin"/>
      </w:r>
      <w:r>
        <w:rPr>
          <w:rFonts w:ascii="仿宋_GB2312" w:eastAsia="仿宋_GB2312" w:hint="eastAsia"/>
          <w:i w:val="0"/>
          <w:iCs/>
          <w:sz w:val="28"/>
          <w:szCs w:val="28"/>
        </w:rPr>
        <w:instrText>Hyperlink \l "_Toc55224684"</w:instrText>
      </w:r>
      <w:r>
        <w:rPr>
          <w:rFonts w:ascii="仿宋_GB2312" w:eastAsia="仿宋_GB2312" w:hint="eastAsia"/>
          <w:i w:val="0"/>
          <w:iCs/>
          <w:sz w:val="28"/>
          <w:szCs w:val="28"/>
        </w:rPr>
        <w:fldChar w:fldCharType="separate"/>
      </w:r>
      <w:r>
        <w:rPr>
          <w:rFonts w:ascii="仿宋_GB2312" w:eastAsia="仿宋_GB2312" w:hint="eastAsia"/>
          <w:i w:val="0"/>
          <w:iCs/>
          <w:sz w:val="28"/>
          <w:szCs w:val="28"/>
          <w:highlight w:val="auto"/>
        </w:rPr>
        <w:t>（三）国有资产占有使用情况</w:t>
      </w:r>
      <w:r>
        <w:rPr>
          <w:rFonts w:ascii="仿宋_GB2312" w:eastAsia="仿宋_GB2312" w:hint="eastAsia"/>
          <w:i w:val="0"/>
          <w:iCs/>
          <w:sz w:val="28"/>
          <w:szCs w:val="28"/>
        </w:rPr>
        <w:tab/>
        <w:t>1</w:t>
      </w:r>
      <w:r>
        <w:rPr>
          <w:rFonts w:ascii="仿宋_GB2312" w:eastAsia="仿宋_GB2312" w:hint="eastAsia"/>
          <w:i w:val="0"/>
          <w:iCs/>
          <w:sz w:val="28"/>
          <w:szCs w:val="28"/>
        </w:rPr>
        <w:fldChar w:fldCharType="end"/>
      </w:r>
      <w:r>
        <w:rPr>
          <w:rFonts w:ascii="仿宋_GB2312" w:eastAsia="仿宋_GB2312" w:hint="eastAsia"/>
          <w:i w:val="0"/>
          <w:iCs/>
          <w:sz w:val="28"/>
          <w:szCs w:val="28"/>
        </w:rPr>
        <w:t>2</w:t>
      </w:r>
    </w:p>
    <w:p>
      <w:pPr>
        <w:pStyle w:val="23"/>
        <w:tabs>
          <w:tab w:val="right" w:leader="dot" w:pos="8844"/>
        </w:tabs>
        <w:rPr>
          <w:rFonts w:ascii="仿宋_GB2312" w:eastAsia="仿宋_GB2312" w:hint="eastAsia"/>
          <w:i w:val="0"/>
          <w:iCs/>
          <w:sz w:val="28"/>
          <w:szCs w:val="28"/>
        </w:rPr>
      </w:pPr>
      <w:r>
        <w:rPr>
          <w:rFonts w:ascii="仿宋_GB2312" w:eastAsia="仿宋_GB2312" w:hint="eastAsia"/>
          <w:i w:val="0"/>
          <w:iCs/>
          <w:sz w:val="28"/>
          <w:szCs w:val="28"/>
        </w:rPr>
        <w:fldChar w:fldCharType="begin"/>
      </w:r>
      <w:r>
        <w:rPr>
          <w:rFonts w:ascii="仿宋_GB2312" w:eastAsia="仿宋_GB2312" w:hint="eastAsia"/>
          <w:i w:val="0"/>
          <w:iCs/>
          <w:sz w:val="28"/>
          <w:szCs w:val="28"/>
        </w:rPr>
        <w:instrText>Hyperlink \l "_Toc55224685"</w:instrText>
      </w:r>
      <w:r>
        <w:rPr>
          <w:rFonts w:ascii="仿宋_GB2312" w:eastAsia="仿宋_GB2312" w:hint="eastAsia"/>
          <w:i w:val="0"/>
          <w:iCs/>
          <w:sz w:val="28"/>
          <w:szCs w:val="28"/>
        </w:rPr>
        <w:fldChar w:fldCharType="separate"/>
      </w:r>
      <w:r>
        <w:rPr>
          <w:rFonts w:ascii="仿宋_GB2312" w:eastAsia="仿宋_GB2312" w:hint="eastAsia"/>
          <w:i w:val="0"/>
          <w:iCs/>
          <w:sz w:val="28"/>
          <w:szCs w:val="28"/>
          <w:highlight w:val="auto"/>
        </w:rPr>
        <w:t>（四）预算绩效管理情况</w:t>
      </w:r>
      <w:r>
        <w:rPr>
          <w:rFonts w:ascii="仿宋_GB2312" w:eastAsia="仿宋_GB2312" w:hint="eastAsia"/>
          <w:i w:val="0"/>
          <w:iCs/>
          <w:sz w:val="28"/>
          <w:szCs w:val="28"/>
        </w:rPr>
        <w:tab/>
        <w:t>1</w:t>
      </w:r>
      <w:r>
        <w:rPr>
          <w:rFonts w:ascii="仿宋_GB2312" w:eastAsia="仿宋_GB2312" w:hint="eastAsia"/>
          <w:i w:val="0"/>
          <w:iCs/>
          <w:sz w:val="28"/>
          <w:szCs w:val="28"/>
        </w:rPr>
        <w:fldChar w:fldCharType="end"/>
      </w:r>
      <w:r>
        <w:rPr>
          <w:rFonts w:ascii="仿宋_GB2312" w:eastAsia="仿宋_GB2312" w:hint="eastAsia"/>
          <w:i w:val="0"/>
          <w:iCs/>
          <w:sz w:val="28"/>
          <w:szCs w:val="28"/>
        </w:rPr>
        <w:t>3</w:t>
      </w:r>
    </w:p>
    <w:p>
      <w:pPr>
        <w:pStyle w:val="28"/>
        <w:tabs>
          <w:tab w:val="right" w:leader="dot" w:pos="8844"/>
        </w:tabs>
        <w:rPr>
          <w:rFonts w:ascii="仿宋_GB2312" w:eastAsia="仿宋_GB2312" w:hint="eastAsia"/>
          <w:sz w:val="28"/>
          <w:szCs w:val="28"/>
        </w:rPr>
      </w:pPr>
      <w:r>
        <w:rPr>
          <w:rFonts w:ascii="仿宋_GB2312" w:eastAsia="仿宋_GB2312" w:hint="eastAsia"/>
          <w:sz w:val="28"/>
          <w:szCs w:val="28"/>
        </w:rPr>
        <w:fldChar w:fldCharType="begin"/>
      </w:r>
      <w:r>
        <w:rPr>
          <w:rFonts w:ascii="仿宋_GB2312" w:eastAsia="仿宋_GB2312" w:hint="eastAsia"/>
          <w:sz w:val="28"/>
          <w:szCs w:val="28"/>
        </w:rPr>
        <w:instrText>Hyperlink \l "_Toc55224686"</w:instrText>
      </w:r>
      <w:r>
        <w:rPr>
          <w:rFonts w:ascii="仿宋_GB2312" w:eastAsia="仿宋_GB2312" w:hint="eastAsia"/>
          <w:sz w:val="28"/>
          <w:szCs w:val="28"/>
        </w:rPr>
        <w:fldChar w:fldCharType="separate"/>
      </w:r>
      <w:r>
        <w:rPr>
          <w:rFonts w:ascii="仿宋_GB2312" w:eastAsia="仿宋_GB2312" w:hint="eastAsia"/>
          <w:sz w:val="28"/>
          <w:szCs w:val="28"/>
          <w:highlight w:val="auto"/>
        </w:rPr>
        <w:t>第</w:t>
      </w:r>
      <w:r>
        <w:rPr>
          <w:rFonts w:ascii="仿宋_GB2312" w:eastAsia="仿宋_GB2312" w:hint="eastAsia"/>
          <w:sz w:val="28"/>
          <w:szCs w:val="28"/>
          <w:lang w:eastAsia="zh-CN"/>
          <w:highlight w:val="auto"/>
        </w:rPr>
        <w:t>三</w:t>
      </w:r>
      <w:r>
        <w:rPr>
          <w:rFonts w:ascii="仿宋_GB2312" w:eastAsia="仿宋_GB2312" w:hint="eastAsia"/>
          <w:sz w:val="28"/>
          <w:szCs w:val="28"/>
          <w:highlight w:val="auto"/>
        </w:rPr>
        <w:t>部分</w:t>
      </w:r>
      <w:r>
        <w:rPr>
          <w:rFonts w:ascii="仿宋_GB2312" w:eastAsia="仿宋_GB2312" w:hint="eastAsia"/>
          <w:sz w:val="28"/>
          <w:szCs w:val="28"/>
          <w:lang w:val="en-US" w:eastAsia="zh-CN"/>
          <w:highlight w:val="auto"/>
        </w:rPr>
        <w:t xml:space="preserve">  </w:t>
      </w:r>
      <w:r>
        <w:rPr>
          <w:rFonts w:ascii="仿宋_GB2312" w:eastAsia="仿宋_GB2312" w:hint="eastAsia"/>
          <w:sz w:val="28"/>
          <w:szCs w:val="28"/>
          <w:highlight w:val="auto"/>
        </w:rPr>
        <w:t>名词解释</w:t>
      </w:r>
      <w:r>
        <w:rPr>
          <w:rFonts w:ascii="仿宋_GB2312" w:eastAsia="仿宋_GB2312" w:hint="eastAsia"/>
          <w:sz w:val="28"/>
          <w:szCs w:val="28"/>
        </w:rPr>
        <w:tab/>
        <w:t>1</w:t>
      </w:r>
      <w:r>
        <w:rPr>
          <w:rFonts w:ascii="仿宋_GB2312" w:eastAsia="仿宋_GB2312" w:hint="eastAsia"/>
          <w:sz w:val="28"/>
          <w:szCs w:val="28"/>
        </w:rPr>
        <w:fldChar w:fldCharType="end"/>
      </w:r>
      <w:r>
        <w:rPr>
          <w:rFonts w:ascii="仿宋_GB2312" w:eastAsia="仿宋_GB2312" w:hint="eastAsia"/>
          <w:sz w:val="28"/>
          <w:szCs w:val="28"/>
        </w:rPr>
        <w:t>4</w:t>
      </w:r>
    </w:p>
    <w:p>
      <w:pPr>
        <w:pStyle w:val="28"/>
        <w:tabs>
          <w:tab w:val="right" w:leader="dot" w:pos="8844"/>
        </w:tabs>
        <w:rPr>
          <w:rFonts w:ascii="仿宋_GB2312" w:eastAsia="仿宋_GB2312" w:hint="eastAsia"/>
          <w:sz w:val="28"/>
          <w:szCs w:val="28"/>
        </w:rPr>
      </w:pPr>
      <w:r>
        <w:rPr>
          <w:rFonts w:ascii="仿宋_GB2312" w:eastAsia="仿宋_GB2312" w:hint="eastAsia"/>
          <w:sz w:val="28"/>
          <w:szCs w:val="28"/>
        </w:rPr>
        <w:fldChar w:fldCharType="begin"/>
      </w:r>
      <w:r>
        <w:rPr>
          <w:rFonts w:ascii="仿宋_GB2312" w:eastAsia="仿宋_GB2312" w:hint="eastAsia"/>
          <w:sz w:val="28"/>
          <w:szCs w:val="28"/>
        </w:rPr>
        <w:instrText>Hyperlink \l "_Toc55224687"</w:instrText>
      </w:r>
      <w:r>
        <w:rPr>
          <w:rFonts w:ascii="仿宋_GB2312" w:eastAsia="仿宋_GB2312" w:hint="eastAsia"/>
          <w:sz w:val="28"/>
          <w:szCs w:val="28"/>
        </w:rPr>
        <w:fldChar w:fldCharType="separate"/>
      </w:r>
      <w:r>
        <w:rPr>
          <w:rFonts w:ascii="仿宋_GB2312" w:eastAsia="仿宋_GB2312" w:hint="eastAsia"/>
          <w:sz w:val="28"/>
          <w:szCs w:val="28"/>
          <w:highlight w:val="auto"/>
        </w:rPr>
        <w:t>第四部分</w:t>
      </w:r>
      <w:r>
        <w:rPr>
          <w:rFonts w:ascii="仿宋_GB2312" w:eastAsia="仿宋_GB2312" w:hint="eastAsia"/>
          <w:sz w:val="28"/>
          <w:szCs w:val="28"/>
          <w:lang w:val="en-US" w:eastAsia="zh-CN"/>
          <w:highlight w:val="auto"/>
        </w:rPr>
        <w:t xml:space="preserve"> </w:t>
      </w:r>
      <w:r>
        <w:rPr>
          <w:rFonts w:ascii="仿宋_GB2312" w:eastAsia="仿宋_GB2312" w:hint="eastAsia"/>
          <w:sz w:val="28"/>
          <w:szCs w:val="28"/>
          <w:highlight w:val="auto"/>
        </w:rPr>
        <w:t xml:space="preserve"> 附件</w:t>
      </w:r>
      <w:r>
        <w:rPr>
          <w:rFonts w:ascii="仿宋_GB2312" w:eastAsia="仿宋_GB2312" w:hint="eastAsia"/>
          <w:sz w:val="28"/>
          <w:szCs w:val="28"/>
        </w:rPr>
        <w:tab/>
        <w:t>1</w:t>
      </w:r>
      <w:r>
        <w:rPr>
          <w:rFonts w:ascii="仿宋_GB2312" w:eastAsia="仿宋_GB2312" w:hint="eastAsia"/>
          <w:sz w:val="28"/>
          <w:szCs w:val="28"/>
        </w:rPr>
        <w:fldChar w:fldCharType="end"/>
      </w:r>
      <w:r>
        <w:rPr>
          <w:rFonts w:ascii="仿宋_GB2312" w:eastAsia="仿宋_GB2312" w:hint="eastAsia"/>
          <w:sz w:val="28"/>
          <w:szCs w:val="28"/>
        </w:rPr>
        <w:t>8</w:t>
      </w:r>
    </w:p>
    <w:p>
      <w:pPr>
        <w:pStyle w:val="28"/>
        <w:tabs>
          <w:tab w:val="right" w:leader="dot" w:pos="8844"/>
        </w:tabs>
        <w:rPr>
          <w:rFonts w:ascii="仿宋_GB2312" w:eastAsia="仿宋_GB2312" w:hint="eastAsia"/>
          <w:sz w:val="28"/>
          <w:szCs w:val="28"/>
          <w:lang w:eastAsia="zh-CN"/>
        </w:rPr>
      </w:pPr>
      <w:r>
        <w:rPr>
          <w:rFonts w:ascii="仿宋_GB2312" w:eastAsia="仿宋_GB2312" w:hint="eastAsia"/>
          <w:sz w:val="28"/>
          <w:szCs w:val="28"/>
        </w:rPr>
        <w:fldChar w:fldCharType="begin"/>
      </w:r>
      <w:r>
        <w:rPr>
          <w:rFonts w:ascii="仿宋_GB2312" w:eastAsia="仿宋_GB2312" w:hint="eastAsia"/>
          <w:sz w:val="28"/>
          <w:szCs w:val="28"/>
        </w:rPr>
        <w:instrText>Hyperlink \l "_Toc55224688"</w:instrText>
      </w:r>
      <w:r>
        <w:rPr>
          <w:rFonts w:ascii="仿宋_GB2312" w:eastAsia="仿宋_GB2312" w:hint="eastAsia"/>
          <w:sz w:val="28"/>
          <w:szCs w:val="28"/>
        </w:rPr>
        <w:fldChar w:fldCharType="separate"/>
      </w:r>
      <w:r>
        <w:rPr>
          <w:rFonts w:ascii="仿宋_GB2312" w:eastAsia="仿宋_GB2312" w:hint="eastAsia"/>
          <w:sz w:val="28"/>
          <w:szCs w:val="28"/>
          <w:highlight w:val="auto"/>
        </w:rPr>
        <w:t>第五部分 附表</w:t>
      </w:r>
      <w:r>
        <w:rPr>
          <w:rFonts w:ascii="仿宋_GB2312" w:eastAsia="仿宋_GB2312" w:hint="eastAsia"/>
          <w:sz w:val="28"/>
          <w:szCs w:val="28"/>
        </w:rPr>
        <w:tab/>
        <w:t>3</w:t>
      </w:r>
      <w:r>
        <w:rPr>
          <w:rFonts w:ascii="仿宋_GB2312" w:eastAsia="仿宋_GB2312" w:hint="eastAsia"/>
          <w:sz w:val="28"/>
          <w:szCs w:val="28"/>
        </w:rPr>
        <w:fldChar w:fldCharType="end"/>
      </w:r>
      <w:r>
        <w:rPr>
          <w:rFonts w:ascii="仿宋_GB2312" w:eastAsia="仿宋_GB2312" w:hint="eastAsia"/>
          <w:sz w:val="28"/>
          <w:szCs w:val="28"/>
          <w:lang w:val="en-US" w:eastAsia="zh-CN"/>
        </w:rPr>
        <w:t>0</w:t>
      </w:r>
    </w:p>
    <w:p>
      <w:pPr>
        <w:pStyle w:val="26"/>
        <w:tabs>
          <w:tab w:val="right" w:leader="dot" w:pos="8844"/>
        </w:tabs>
        <w:rPr>
          <w:rFonts w:ascii="仿宋_GB2312" w:eastAsia="仿宋_GB2312" w:hint="eastAsia"/>
          <w:sz w:val="28"/>
          <w:szCs w:val="28"/>
          <w:lang w:val="en-US" w:eastAsia="zh-CN"/>
        </w:rPr>
      </w:pPr>
      <w:r>
        <w:rPr>
          <w:rFonts w:ascii="仿宋_GB2312" w:eastAsia="仿宋_GB2312" w:hint="eastAsia"/>
          <w:sz w:val="28"/>
          <w:szCs w:val="28"/>
        </w:rPr>
        <w:fldChar w:fldCharType="begin"/>
      </w:r>
      <w:r>
        <w:rPr>
          <w:rFonts w:ascii="仿宋_GB2312" w:eastAsia="仿宋_GB2312" w:hint="eastAsia"/>
          <w:sz w:val="28"/>
          <w:szCs w:val="28"/>
        </w:rPr>
        <w:instrText>Hyperlink \l "_Toc55224689"</w:instrText>
      </w:r>
      <w:r>
        <w:rPr>
          <w:rFonts w:ascii="仿宋_GB2312" w:eastAsia="仿宋_GB2312" w:hint="eastAsia"/>
          <w:sz w:val="28"/>
          <w:szCs w:val="28"/>
        </w:rPr>
        <w:fldChar w:fldCharType="separate"/>
      </w:r>
      <w:r>
        <w:rPr>
          <w:rFonts w:ascii="仿宋_GB2312" w:eastAsia="仿宋_GB2312" w:cs="仿宋_GB2312" w:hint="eastAsia"/>
          <w:sz w:val="28"/>
          <w:szCs w:val="28"/>
          <w:lang w:bidi="ar-SA"/>
          <w:highlight w:val="auto"/>
        </w:rPr>
        <w:t>一、收入支出决算总表</w:t>
      </w:r>
      <w:r>
        <w:rPr>
          <w:rFonts w:ascii="仿宋_GB2312" w:eastAsia="仿宋_GB2312" w:hint="eastAsia"/>
          <w:sz w:val="28"/>
          <w:szCs w:val="28"/>
        </w:rPr>
        <w:tab/>
        <w:t>3</w:t>
      </w:r>
      <w:r>
        <w:rPr>
          <w:rFonts w:ascii="仿宋_GB2312" w:eastAsia="仿宋_GB2312" w:hint="eastAsia"/>
          <w:sz w:val="28"/>
          <w:szCs w:val="28"/>
        </w:rPr>
        <w:fldChar w:fldCharType="end"/>
      </w:r>
      <w:r>
        <w:rPr>
          <w:rFonts w:ascii="仿宋_GB2312" w:eastAsia="仿宋_GB2312" w:hint="eastAsia"/>
          <w:sz w:val="28"/>
          <w:szCs w:val="28"/>
          <w:lang w:val="en-US" w:eastAsia="zh-CN"/>
        </w:rPr>
        <w:t>0</w:t>
      </w:r>
    </w:p>
    <w:p>
      <w:pPr>
        <w:pStyle w:val="26"/>
        <w:tabs>
          <w:tab w:val="right" w:leader="dot" w:pos="8844"/>
        </w:tabs>
        <w:rPr>
          <w:rFonts w:ascii="仿宋_GB2312" w:eastAsia="仿宋_GB2312" w:hint="eastAsia"/>
          <w:sz w:val="28"/>
          <w:szCs w:val="28"/>
          <w:lang w:eastAsia="zh-CN"/>
        </w:rPr>
      </w:pPr>
      <w:r>
        <w:rPr>
          <w:rFonts w:ascii="仿宋_GB2312" w:eastAsia="仿宋_GB2312" w:hint="eastAsia"/>
          <w:sz w:val="28"/>
          <w:szCs w:val="28"/>
        </w:rPr>
        <w:fldChar w:fldCharType="begin"/>
      </w:r>
      <w:r>
        <w:rPr>
          <w:rFonts w:ascii="仿宋_GB2312" w:eastAsia="仿宋_GB2312" w:hint="eastAsia"/>
          <w:sz w:val="28"/>
          <w:szCs w:val="28"/>
        </w:rPr>
        <w:instrText>Hyperlink \l "_Toc55224690"</w:instrText>
      </w:r>
      <w:r>
        <w:rPr>
          <w:rFonts w:ascii="仿宋_GB2312" w:eastAsia="仿宋_GB2312" w:hint="eastAsia"/>
          <w:sz w:val="28"/>
          <w:szCs w:val="28"/>
        </w:rPr>
        <w:fldChar w:fldCharType="separate"/>
      </w:r>
      <w:r>
        <w:rPr>
          <w:rFonts w:ascii="仿宋_GB2312" w:eastAsia="仿宋_GB2312" w:cs="仿宋_GB2312" w:hint="eastAsia"/>
          <w:sz w:val="28"/>
          <w:szCs w:val="28"/>
          <w:lang w:bidi="ar-SA"/>
          <w:highlight w:val="auto"/>
        </w:rPr>
        <w:t>二、收入决算表</w:t>
      </w:r>
      <w:r>
        <w:rPr>
          <w:rFonts w:ascii="仿宋_GB2312" w:eastAsia="仿宋_GB2312" w:hint="eastAsia"/>
          <w:sz w:val="28"/>
          <w:szCs w:val="28"/>
        </w:rPr>
        <w:tab/>
        <w:t>3</w:t>
      </w:r>
      <w:r>
        <w:rPr>
          <w:rFonts w:ascii="仿宋_GB2312" w:eastAsia="仿宋_GB2312" w:hint="eastAsia"/>
          <w:sz w:val="28"/>
          <w:szCs w:val="28"/>
        </w:rPr>
        <w:fldChar w:fldCharType="end"/>
      </w:r>
      <w:r>
        <w:rPr>
          <w:rFonts w:ascii="仿宋_GB2312" w:eastAsia="仿宋_GB2312" w:hint="eastAsia"/>
          <w:sz w:val="28"/>
          <w:szCs w:val="28"/>
          <w:lang w:val="en-US" w:eastAsia="zh-CN"/>
        </w:rPr>
        <w:t>0</w:t>
      </w:r>
    </w:p>
    <w:p>
      <w:pPr>
        <w:pStyle w:val="26"/>
        <w:tabs>
          <w:tab w:val="right" w:leader="dot" w:pos="8844"/>
        </w:tabs>
        <w:rPr>
          <w:rFonts w:ascii="仿宋_GB2312" w:eastAsia="仿宋_GB2312" w:hint="eastAsia"/>
          <w:sz w:val="28"/>
          <w:szCs w:val="28"/>
          <w:lang w:val="en-US" w:eastAsia="zh-CN"/>
        </w:rPr>
      </w:pPr>
      <w:r>
        <w:rPr>
          <w:rFonts w:ascii="仿宋_GB2312" w:eastAsia="仿宋_GB2312" w:hint="eastAsia"/>
          <w:sz w:val="28"/>
          <w:szCs w:val="28"/>
        </w:rPr>
        <w:fldChar w:fldCharType="begin"/>
      </w:r>
      <w:r>
        <w:rPr>
          <w:rFonts w:ascii="仿宋_GB2312" w:eastAsia="仿宋_GB2312" w:hint="eastAsia"/>
          <w:sz w:val="28"/>
          <w:szCs w:val="28"/>
        </w:rPr>
        <w:instrText>Hyperlink \l "_Toc55224691"</w:instrText>
      </w:r>
      <w:r>
        <w:rPr>
          <w:rFonts w:ascii="仿宋_GB2312" w:eastAsia="仿宋_GB2312" w:hint="eastAsia"/>
          <w:sz w:val="28"/>
          <w:szCs w:val="28"/>
        </w:rPr>
        <w:fldChar w:fldCharType="separate"/>
      </w:r>
      <w:r>
        <w:rPr>
          <w:rFonts w:ascii="仿宋_GB2312" w:eastAsia="仿宋_GB2312" w:cs="仿宋_GB2312" w:hint="eastAsia"/>
          <w:sz w:val="28"/>
          <w:szCs w:val="28"/>
          <w:lang w:bidi="ar-SA"/>
          <w:highlight w:val="auto"/>
        </w:rPr>
        <w:t>三、支出决算表</w:t>
      </w:r>
      <w:r>
        <w:rPr>
          <w:rFonts w:ascii="仿宋_GB2312" w:eastAsia="仿宋_GB2312" w:hint="eastAsia"/>
          <w:sz w:val="28"/>
          <w:szCs w:val="28"/>
        </w:rPr>
        <w:tab/>
        <w:t>3</w:t>
      </w:r>
      <w:r>
        <w:rPr>
          <w:rFonts w:ascii="仿宋_GB2312" w:eastAsia="仿宋_GB2312" w:hint="eastAsia"/>
          <w:sz w:val="28"/>
          <w:szCs w:val="28"/>
        </w:rPr>
        <w:fldChar w:fldCharType="end"/>
      </w:r>
      <w:r>
        <w:rPr>
          <w:rFonts w:ascii="仿宋_GB2312" w:eastAsia="仿宋_GB2312" w:hint="eastAsia"/>
          <w:sz w:val="28"/>
          <w:szCs w:val="28"/>
          <w:lang w:val="en-US" w:eastAsia="zh-CN"/>
        </w:rPr>
        <w:t>0</w:t>
      </w:r>
    </w:p>
    <w:p>
      <w:pPr>
        <w:pStyle w:val="26"/>
        <w:tabs>
          <w:tab w:val="right" w:leader="dot" w:pos="8844"/>
        </w:tabs>
        <w:rPr>
          <w:rFonts w:ascii="仿宋_GB2312" w:eastAsia="仿宋_GB2312" w:hint="eastAsia"/>
          <w:sz w:val="28"/>
          <w:szCs w:val="28"/>
          <w:lang w:eastAsia="zh-CN"/>
        </w:rPr>
      </w:pPr>
      <w:r>
        <w:rPr>
          <w:rFonts w:ascii="仿宋_GB2312" w:eastAsia="仿宋_GB2312" w:hint="eastAsia"/>
          <w:sz w:val="28"/>
          <w:szCs w:val="28"/>
        </w:rPr>
        <w:fldChar w:fldCharType="begin"/>
      </w:r>
      <w:r>
        <w:rPr>
          <w:rFonts w:ascii="仿宋_GB2312" w:eastAsia="仿宋_GB2312" w:hint="eastAsia"/>
          <w:sz w:val="28"/>
          <w:szCs w:val="28"/>
        </w:rPr>
        <w:instrText>Hyperlink \l "_Toc55224692"</w:instrText>
      </w:r>
      <w:r>
        <w:rPr>
          <w:rFonts w:ascii="仿宋_GB2312" w:eastAsia="仿宋_GB2312" w:hint="eastAsia"/>
          <w:sz w:val="28"/>
          <w:szCs w:val="28"/>
        </w:rPr>
        <w:fldChar w:fldCharType="separate"/>
      </w:r>
      <w:r>
        <w:rPr>
          <w:rFonts w:ascii="仿宋_GB2312" w:eastAsia="仿宋_GB2312" w:cs="仿宋_GB2312" w:hint="eastAsia"/>
          <w:sz w:val="28"/>
          <w:szCs w:val="28"/>
          <w:lang w:bidi="ar-SA"/>
          <w:highlight w:val="auto"/>
        </w:rPr>
        <w:t>四、财政拨款收入支出决算总表</w:t>
      </w:r>
      <w:r>
        <w:rPr>
          <w:rFonts w:ascii="仿宋_GB2312" w:eastAsia="仿宋_GB2312" w:hint="eastAsia"/>
          <w:sz w:val="28"/>
          <w:szCs w:val="28"/>
        </w:rPr>
        <w:tab/>
        <w:t>3</w:t>
      </w:r>
      <w:r>
        <w:rPr>
          <w:rFonts w:ascii="仿宋_GB2312" w:eastAsia="仿宋_GB2312" w:hint="eastAsia"/>
          <w:sz w:val="28"/>
          <w:szCs w:val="28"/>
        </w:rPr>
        <w:fldChar w:fldCharType="end"/>
      </w:r>
      <w:r>
        <w:rPr>
          <w:rFonts w:ascii="仿宋_GB2312" w:eastAsia="仿宋_GB2312" w:hint="eastAsia"/>
          <w:sz w:val="28"/>
          <w:szCs w:val="28"/>
          <w:lang w:val="en-US" w:eastAsia="zh-CN"/>
        </w:rPr>
        <w:t>0</w:t>
      </w:r>
    </w:p>
    <w:p>
      <w:pPr>
        <w:pStyle w:val="26"/>
        <w:tabs>
          <w:tab w:val="right" w:leader="dot" w:pos="8844"/>
        </w:tabs>
        <w:rPr>
          <w:rFonts w:ascii="仿宋_GB2312" w:eastAsia="仿宋_GB2312" w:hint="eastAsia"/>
          <w:sz w:val="28"/>
          <w:szCs w:val="28"/>
          <w:lang w:val="en-US" w:eastAsia="zh-CN"/>
        </w:rPr>
      </w:pPr>
      <w:r>
        <w:rPr>
          <w:rFonts w:ascii="仿宋_GB2312" w:eastAsia="仿宋_GB2312" w:hint="eastAsia"/>
          <w:sz w:val="28"/>
          <w:szCs w:val="28"/>
        </w:rPr>
        <w:fldChar w:fldCharType="begin"/>
      </w:r>
      <w:r>
        <w:rPr>
          <w:rFonts w:ascii="仿宋_GB2312" w:eastAsia="仿宋_GB2312" w:hint="eastAsia"/>
          <w:sz w:val="28"/>
          <w:szCs w:val="28"/>
        </w:rPr>
        <w:instrText>Hyperlink \l "_Toc55224693"</w:instrText>
      </w:r>
      <w:r>
        <w:rPr>
          <w:rFonts w:ascii="仿宋_GB2312" w:eastAsia="仿宋_GB2312" w:hint="eastAsia"/>
          <w:sz w:val="28"/>
          <w:szCs w:val="28"/>
        </w:rPr>
        <w:fldChar w:fldCharType="separate"/>
      </w:r>
      <w:r>
        <w:rPr>
          <w:rFonts w:ascii="仿宋_GB2312" w:eastAsia="仿宋_GB2312" w:cs="仿宋_GB2312" w:hint="eastAsia"/>
          <w:sz w:val="28"/>
          <w:szCs w:val="28"/>
          <w:lang w:bidi="ar-SA"/>
          <w:highlight w:val="auto"/>
        </w:rPr>
        <w:t>五、财政拨款支出决算明细表</w:t>
      </w:r>
      <w:r>
        <w:rPr>
          <w:rFonts w:ascii="仿宋_GB2312" w:eastAsia="仿宋_GB2312" w:hint="eastAsia"/>
          <w:sz w:val="28"/>
          <w:szCs w:val="28"/>
        </w:rPr>
        <w:tab/>
        <w:t>3</w:t>
      </w:r>
      <w:r>
        <w:rPr>
          <w:rFonts w:ascii="仿宋_GB2312" w:eastAsia="仿宋_GB2312" w:hint="eastAsia"/>
          <w:sz w:val="28"/>
          <w:szCs w:val="28"/>
        </w:rPr>
        <w:fldChar w:fldCharType="end"/>
      </w:r>
      <w:r>
        <w:rPr>
          <w:rFonts w:ascii="仿宋_GB2312" w:eastAsia="仿宋_GB2312" w:hint="eastAsia"/>
          <w:sz w:val="28"/>
          <w:szCs w:val="28"/>
          <w:lang w:val="en-US" w:eastAsia="zh-CN"/>
        </w:rPr>
        <w:t>0</w:t>
      </w:r>
    </w:p>
    <w:p>
      <w:pPr>
        <w:pStyle w:val="26"/>
        <w:tabs>
          <w:tab w:val="right" w:leader="dot" w:pos="8844"/>
        </w:tabs>
        <w:rPr>
          <w:rFonts w:ascii="仿宋_GB2312" w:eastAsia="仿宋_GB2312" w:hint="eastAsia"/>
          <w:sz w:val="28"/>
          <w:szCs w:val="28"/>
          <w:lang w:eastAsia="zh-CN"/>
        </w:rPr>
      </w:pPr>
      <w:r>
        <w:rPr>
          <w:rFonts w:ascii="仿宋_GB2312" w:eastAsia="仿宋_GB2312" w:hint="eastAsia"/>
          <w:sz w:val="28"/>
          <w:szCs w:val="28"/>
        </w:rPr>
        <w:fldChar w:fldCharType="begin"/>
      </w:r>
      <w:r>
        <w:rPr>
          <w:rFonts w:ascii="仿宋_GB2312" w:eastAsia="仿宋_GB2312" w:hint="eastAsia"/>
          <w:sz w:val="28"/>
          <w:szCs w:val="28"/>
        </w:rPr>
        <w:instrText>Hyperlink \l "_Toc55224694"</w:instrText>
      </w:r>
      <w:r>
        <w:rPr>
          <w:rFonts w:ascii="仿宋_GB2312" w:eastAsia="仿宋_GB2312" w:hint="eastAsia"/>
          <w:sz w:val="28"/>
          <w:szCs w:val="28"/>
        </w:rPr>
        <w:fldChar w:fldCharType="separate"/>
      </w:r>
      <w:r>
        <w:rPr>
          <w:rFonts w:ascii="仿宋_GB2312" w:eastAsia="仿宋_GB2312" w:cs="仿宋_GB2312" w:hint="eastAsia"/>
          <w:sz w:val="28"/>
          <w:szCs w:val="28"/>
          <w:lang w:bidi="ar-SA"/>
          <w:highlight w:val="auto"/>
        </w:rPr>
        <w:t>六、一般公共预算财政拨款支出决算表</w:t>
      </w:r>
      <w:r>
        <w:rPr>
          <w:rFonts w:ascii="仿宋_GB2312" w:eastAsia="仿宋_GB2312" w:hint="eastAsia"/>
          <w:sz w:val="28"/>
          <w:szCs w:val="28"/>
        </w:rPr>
        <w:tab/>
        <w:t>3</w:t>
      </w:r>
      <w:r>
        <w:rPr>
          <w:rFonts w:ascii="仿宋_GB2312" w:eastAsia="仿宋_GB2312" w:hint="eastAsia"/>
          <w:sz w:val="28"/>
          <w:szCs w:val="28"/>
        </w:rPr>
        <w:fldChar w:fldCharType="end"/>
      </w:r>
      <w:r>
        <w:rPr>
          <w:rFonts w:ascii="仿宋_GB2312" w:eastAsia="仿宋_GB2312" w:hint="eastAsia"/>
          <w:sz w:val="28"/>
          <w:szCs w:val="28"/>
          <w:lang w:val="en-US" w:eastAsia="zh-CN"/>
        </w:rPr>
        <w:t>0</w:t>
      </w:r>
    </w:p>
    <w:p>
      <w:pPr>
        <w:pStyle w:val="26"/>
        <w:tabs>
          <w:tab w:val="right" w:leader="dot" w:pos="8844"/>
        </w:tabs>
        <w:rPr>
          <w:rFonts w:ascii="仿宋_GB2312" w:eastAsia="仿宋_GB2312" w:hint="eastAsia"/>
          <w:sz w:val="28"/>
          <w:szCs w:val="28"/>
          <w:lang w:eastAsia="zh-CN"/>
        </w:rPr>
      </w:pPr>
      <w:r>
        <w:rPr>
          <w:rFonts w:ascii="仿宋_GB2312" w:eastAsia="仿宋_GB2312" w:hint="eastAsia"/>
          <w:sz w:val="28"/>
          <w:szCs w:val="28"/>
        </w:rPr>
        <w:fldChar w:fldCharType="begin"/>
      </w:r>
      <w:r>
        <w:rPr>
          <w:rFonts w:ascii="仿宋_GB2312" w:eastAsia="仿宋_GB2312" w:hint="eastAsia"/>
          <w:sz w:val="28"/>
          <w:szCs w:val="28"/>
        </w:rPr>
        <w:instrText>Hyperlink \l "_Toc55224695"</w:instrText>
      </w:r>
      <w:r>
        <w:rPr>
          <w:rFonts w:ascii="仿宋_GB2312" w:eastAsia="仿宋_GB2312" w:hint="eastAsia"/>
          <w:sz w:val="28"/>
          <w:szCs w:val="28"/>
        </w:rPr>
        <w:fldChar w:fldCharType="separate"/>
      </w:r>
      <w:r>
        <w:rPr>
          <w:rFonts w:ascii="仿宋_GB2312" w:eastAsia="仿宋_GB2312" w:cs="仿宋_GB2312" w:hint="eastAsia"/>
          <w:sz w:val="28"/>
          <w:szCs w:val="28"/>
          <w:lang w:bidi="ar-SA"/>
          <w:highlight w:val="auto"/>
        </w:rPr>
        <w:t>七、一般公共预算财政拨款支出决算明细表</w:t>
      </w:r>
      <w:r>
        <w:rPr>
          <w:rFonts w:ascii="仿宋_GB2312" w:eastAsia="仿宋_GB2312" w:hint="eastAsia"/>
          <w:sz w:val="28"/>
          <w:szCs w:val="28"/>
        </w:rPr>
        <w:tab/>
        <w:t>3</w:t>
      </w:r>
      <w:r>
        <w:rPr>
          <w:rFonts w:ascii="仿宋_GB2312" w:eastAsia="仿宋_GB2312" w:hint="eastAsia"/>
          <w:sz w:val="28"/>
          <w:szCs w:val="28"/>
        </w:rPr>
        <w:fldChar w:fldCharType="end"/>
      </w:r>
      <w:r>
        <w:rPr>
          <w:rFonts w:ascii="仿宋_GB2312" w:eastAsia="仿宋_GB2312" w:hint="eastAsia"/>
          <w:sz w:val="28"/>
          <w:szCs w:val="28"/>
          <w:lang w:val="en-US" w:eastAsia="zh-CN"/>
        </w:rPr>
        <w:t>0</w:t>
      </w:r>
    </w:p>
    <w:p>
      <w:pPr>
        <w:pStyle w:val="26"/>
        <w:tabs>
          <w:tab w:val="right" w:leader="dot" w:pos="8844"/>
        </w:tabs>
        <w:rPr>
          <w:rFonts w:ascii="仿宋_GB2312" w:eastAsia="仿宋_GB2312" w:hint="eastAsia"/>
          <w:sz w:val="28"/>
          <w:szCs w:val="28"/>
          <w:lang w:val="en-US" w:eastAsia="zh-CN"/>
        </w:rPr>
      </w:pPr>
      <w:r>
        <w:rPr>
          <w:rFonts w:ascii="仿宋_GB2312" w:eastAsia="仿宋_GB2312" w:hint="eastAsia"/>
          <w:sz w:val="28"/>
          <w:szCs w:val="28"/>
        </w:rPr>
        <w:fldChar w:fldCharType="begin"/>
      </w:r>
      <w:r>
        <w:rPr>
          <w:rFonts w:ascii="仿宋_GB2312" w:eastAsia="仿宋_GB2312" w:hint="eastAsia"/>
          <w:sz w:val="28"/>
          <w:szCs w:val="28"/>
        </w:rPr>
        <w:instrText>Hyperlink \l "_Toc55224696"</w:instrText>
      </w:r>
      <w:r>
        <w:rPr>
          <w:rFonts w:ascii="仿宋_GB2312" w:eastAsia="仿宋_GB2312" w:hint="eastAsia"/>
          <w:sz w:val="28"/>
          <w:szCs w:val="28"/>
        </w:rPr>
        <w:fldChar w:fldCharType="separate"/>
      </w:r>
      <w:r>
        <w:rPr>
          <w:rFonts w:ascii="仿宋_GB2312" w:eastAsia="仿宋_GB2312" w:cs="仿宋_GB2312" w:hint="eastAsia"/>
          <w:sz w:val="28"/>
          <w:szCs w:val="28"/>
          <w:lang w:bidi="ar-SA"/>
          <w:highlight w:val="auto"/>
        </w:rPr>
        <w:t>八、一般公共预算财政拨款基本支出决算表</w:t>
      </w:r>
      <w:r>
        <w:rPr>
          <w:rFonts w:ascii="仿宋_GB2312" w:eastAsia="仿宋_GB2312" w:hint="eastAsia"/>
          <w:sz w:val="28"/>
          <w:szCs w:val="28"/>
        </w:rPr>
        <w:tab/>
        <w:t>3</w:t>
      </w:r>
      <w:r>
        <w:rPr>
          <w:rFonts w:ascii="仿宋_GB2312" w:eastAsia="仿宋_GB2312" w:hint="eastAsia"/>
          <w:sz w:val="28"/>
          <w:szCs w:val="28"/>
        </w:rPr>
        <w:fldChar w:fldCharType="end"/>
      </w:r>
      <w:r>
        <w:rPr>
          <w:rFonts w:ascii="仿宋_GB2312" w:eastAsia="仿宋_GB2312" w:hint="eastAsia"/>
          <w:sz w:val="28"/>
          <w:szCs w:val="28"/>
          <w:lang w:val="en-US" w:eastAsia="zh-CN"/>
        </w:rPr>
        <w:t>0</w:t>
      </w:r>
    </w:p>
    <w:p>
      <w:pPr>
        <w:pStyle w:val="26"/>
        <w:tabs>
          <w:tab w:val="right" w:leader="dot" w:pos="8844"/>
        </w:tabs>
        <w:rPr>
          <w:rFonts w:ascii="仿宋_GB2312" w:eastAsia="仿宋_GB2312" w:hint="eastAsia"/>
          <w:sz w:val="28"/>
          <w:szCs w:val="28"/>
          <w:lang w:eastAsia="zh-CN"/>
        </w:rPr>
      </w:pPr>
      <w:r>
        <w:rPr>
          <w:rFonts w:ascii="仿宋_GB2312" w:eastAsia="仿宋_GB2312" w:hint="eastAsia"/>
          <w:sz w:val="28"/>
          <w:szCs w:val="28"/>
        </w:rPr>
        <w:fldChar w:fldCharType="begin"/>
      </w:r>
      <w:r>
        <w:rPr>
          <w:rFonts w:ascii="仿宋_GB2312" w:eastAsia="仿宋_GB2312" w:hint="eastAsia"/>
          <w:sz w:val="28"/>
          <w:szCs w:val="28"/>
        </w:rPr>
        <w:instrText>Hyperlink \l "_Toc55224697"</w:instrText>
      </w:r>
      <w:r>
        <w:rPr>
          <w:rFonts w:ascii="仿宋_GB2312" w:eastAsia="仿宋_GB2312" w:hint="eastAsia"/>
          <w:sz w:val="28"/>
          <w:szCs w:val="28"/>
        </w:rPr>
        <w:fldChar w:fldCharType="separate"/>
      </w:r>
      <w:r>
        <w:rPr>
          <w:rFonts w:ascii="仿宋_GB2312" w:eastAsia="仿宋_GB2312" w:cs="仿宋_GB2312" w:hint="eastAsia"/>
          <w:sz w:val="28"/>
          <w:szCs w:val="28"/>
          <w:lang w:bidi="ar-SA"/>
          <w:highlight w:val="auto"/>
        </w:rPr>
        <w:t>九、一般公共预算财政拨款项目支出决算表</w:t>
      </w:r>
      <w:r>
        <w:rPr>
          <w:rFonts w:ascii="仿宋_GB2312" w:eastAsia="仿宋_GB2312" w:hint="eastAsia"/>
          <w:sz w:val="28"/>
          <w:szCs w:val="28"/>
        </w:rPr>
        <w:tab/>
        <w:t>3</w:t>
      </w:r>
      <w:r>
        <w:rPr>
          <w:rFonts w:ascii="仿宋_GB2312" w:eastAsia="仿宋_GB2312" w:hint="eastAsia"/>
          <w:sz w:val="28"/>
          <w:szCs w:val="28"/>
        </w:rPr>
        <w:fldChar w:fldCharType="end"/>
      </w:r>
      <w:r>
        <w:rPr>
          <w:rFonts w:ascii="仿宋_GB2312" w:eastAsia="仿宋_GB2312" w:hint="eastAsia"/>
          <w:sz w:val="28"/>
          <w:szCs w:val="28"/>
          <w:lang w:val="en-US" w:eastAsia="zh-CN"/>
        </w:rPr>
        <w:t>0</w:t>
      </w:r>
    </w:p>
    <w:p>
      <w:pPr>
        <w:pStyle w:val="26"/>
        <w:tabs>
          <w:tab w:val="right" w:leader="dot" w:pos="8844"/>
        </w:tabs>
        <w:rPr>
          <w:rFonts w:ascii="仿宋_GB2312" w:eastAsia="仿宋_GB2312" w:hint="eastAsia"/>
          <w:sz w:val="28"/>
          <w:szCs w:val="28"/>
          <w:lang w:eastAsia="zh-CN"/>
        </w:rPr>
      </w:pPr>
      <w:r>
        <w:rPr>
          <w:rFonts w:ascii="仿宋_GB2312" w:eastAsia="仿宋_GB2312" w:hint="eastAsia"/>
          <w:sz w:val="28"/>
          <w:szCs w:val="28"/>
        </w:rPr>
        <w:fldChar w:fldCharType="begin"/>
      </w:r>
      <w:r>
        <w:rPr>
          <w:rFonts w:ascii="仿宋_GB2312" w:eastAsia="仿宋_GB2312" w:hint="eastAsia"/>
          <w:sz w:val="28"/>
          <w:szCs w:val="28"/>
        </w:rPr>
        <w:instrText>Hyperlink \l "_Toc55224698"</w:instrText>
      </w:r>
      <w:r>
        <w:rPr>
          <w:rFonts w:ascii="仿宋_GB2312" w:eastAsia="仿宋_GB2312" w:hint="eastAsia"/>
          <w:sz w:val="28"/>
          <w:szCs w:val="28"/>
        </w:rPr>
        <w:fldChar w:fldCharType="separate"/>
      </w:r>
      <w:r>
        <w:rPr>
          <w:rFonts w:ascii="仿宋_GB2312" w:eastAsia="仿宋_GB2312" w:cs="仿宋_GB2312" w:hint="eastAsia"/>
          <w:sz w:val="28"/>
          <w:szCs w:val="28"/>
          <w:lang w:bidi="ar-SA"/>
          <w:highlight w:val="auto"/>
        </w:rPr>
        <w:t>十、政府性基金预算财政拨款收入支出决算表</w:t>
      </w:r>
      <w:r>
        <w:rPr>
          <w:rFonts w:ascii="仿宋_GB2312" w:eastAsia="仿宋_GB2312" w:hint="eastAsia"/>
          <w:sz w:val="28"/>
          <w:szCs w:val="28"/>
        </w:rPr>
        <w:tab/>
        <w:t>3</w:t>
      </w:r>
      <w:r>
        <w:rPr>
          <w:rFonts w:ascii="仿宋_GB2312" w:eastAsia="仿宋_GB2312" w:hint="eastAsia"/>
          <w:sz w:val="28"/>
          <w:szCs w:val="28"/>
        </w:rPr>
        <w:fldChar w:fldCharType="end"/>
      </w:r>
      <w:r>
        <w:rPr>
          <w:rFonts w:ascii="仿宋_GB2312" w:eastAsia="仿宋_GB2312" w:hint="eastAsia"/>
          <w:sz w:val="28"/>
          <w:szCs w:val="28"/>
          <w:lang w:val="en-US" w:eastAsia="zh-CN"/>
        </w:rPr>
        <w:t>0</w:t>
      </w:r>
    </w:p>
    <w:p>
      <w:pPr>
        <w:pStyle w:val="26"/>
        <w:tabs>
          <w:tab w:val="right" w:leader="dot" w:pos="8844"/>
        </w:tabs>
        <w:rPr>
          <w:rFonts w:ascii="仿宋_GB2312" w:eastAsia="仿宋_GB2312" w:hint="eastAsia"/>
          <w:sz w:val="28"/>
          <w:szCs w:val="28"/>
          <w:lang w:eastAsia="zh-CN"/>
        </w:rPr>
      </w:pPr>
      <w:r>
        <w:rPr>
          <w:rFonts w:ascii="仿宋_GB2312" w:eastAsia="仿宋_GB2312" w:hint="eastAsia"/>
          <w:sz w:val="28"/>
          <w:szCs w:val="28"/>
        </w:rPr>
        <w:fldChar w:fldCharType="begin"/>
      </w:r>
      <w:r>
        <w:rPr>
          <w:rFonts w:ascii="仿宋_GB2312" w:eastAsia="仿宋_GB2312" w:hint="eastAsia"/>
          <w:sz w:val="28"/>
          <w:szCs w:val="28"/>
        </w:rPr>
        <w:instrText>Hyperlink \l "_Toc55224699"</w:instrText>
      </w:r>
      <w:r>
        <w:rPr>
          <w:rFonts w:ascii="仿宋_GB2312" w:eastAsia="仿宋_GB2312" w:hint="eastAsia"/>
          <w:sz w:val="28"/>
          <w:szCs w:val="28"/>
        </w:rPr>
        <w:fldChar w:fldCharType="separate"/>
      </w:r>
      <w:r>
        <w:rPr>
          <w:rFonts w:ascii="仿宋_GB2312" w:eastAsia="仿宋_GB2312" w:cs="仿宋_GB2312" w:hint="eastAsia"/>
          <w:sz w:val="28"/>
          <w:szCs w:val="28"/>
          <w:lang w:bidi="ar-SA"/>
          <w:highlight w:val="auto"/>
        </w:rPr>
        <w:t>十一、国有资本经营预算财政拨款收入支出决算表</w:t>
      </w:r>
      <w:r>
        <w:rPr>
          <w:rFonts w:ascii="仿宋_GB2312" w:eastAsia="仿宋_GB2312" w:hint="eastAsia"/>
          <w:sz w:val="28"/>
          <w:szCs w:val="28"/>
        </w:rPr>
        <w:tab/>
        <w:t>3</w:t>
      </w:r>
      <w:r>
        <w:rPr>
          <w:rFonts w:ascii="仿宋_GB2312" w:eastAsia="仿宋_GB2312" w:hint="eastAsia"/>
          <w:sz w:val="28"/>
          <w:szCs w:val="28"/>
        </w:rPr>
        <w:fldChar w:fldCharType="end"/>
      </w:r>
      <w:r>
        <w:rPr>
          <w:rFonts w:ascii="仿宋_GB2312" w:eastAsia="仿宋_GB2312" w:hint="eastAsia"/>
          <w:sz w:val="28"/>
          <w:szCs w:val="28"/>
          <w:lang w:val="en-US" w:eastAsia="zh-CN"/>
        </w:rPr>
        <w:t>0</w:t>
      </w:r>
    </w:p>
    <w:p>
      <w:pPr>
        <w:pStyle w:val="26"/>
        <w:tabs>
          <w:tab w:val="right" w:leader="dot" w:pos="8844"/>
        </w:tabs>
        <w:rPr>
          <w:rFonts w:ascii="仿宋_GB2312" w:eastAsia="仿宋_GB2312" w:hint="eastAsia"/>
          <w:sz w:val="28"/>
          <w:szCs w:val="28"/>
          <w:lang w:eastAsia="zh-CN"/>
        </w:rPr>
      </w:pPr>
      <w:r>
        <w:rPr>
          <w:rFonts w:ascii="仿宋_GB2312" w:eastAsia="仿宋_GB2312" w:hint="eastAsia"/>
          <w:sz w:val="28"/>
          <w:szCs w:val="28"/>
        </w:rPr>
        <w:fldChar w:fldCharType="begin"/>
      </w:r>
      <w:r>
        <w:rPr>
          <w:rFonts w:ascii="仿宋_GB2312" w:eastAsia="仿宋_GB2312" w:hint="eastAsia"/>
          <w:sz w:val="28"/>
          <w:szCs w:val="28"/>
        </w:rPr>
        <w:instrText>Hyperlink \l "_Toc55224700"</w:instrText>
      </w:r>
      <w:r>
        <w:rPr>
          <w:rFonts w:ascii="仿宋_GB2312" w:eastAsia="仿宋_GB2312" w:hint="eastAsia"/>
          <w:sz w:val="28"/>
          <w:szCs w:val="28"/>
        </w:rPr>
        <w:fldChar w:fldCharType="separate"/>
      </w:r>
      <w:r>
        <w:rPr>
          <w:rFonts w:ascii="仿宋_GB2312" w:eastAsia="仿宋_GB2312" w:cs="仿宋_GB2312" w:hint="eastAsia"/>
          <w:sz w:val="28"/>
          <w:szCs w:val="28"/>
          <w:lang w:bidi="ar-SA"/>
          <w:highlight w:val="auto"/>
        </w:rPr>
        <w:t>十二、国有资本经营预算财政拨款支出决算表</w:t>
      </w:r>
      <w:r>
        <w:rPr>
          <w:rFonts w:ascii="仿宋_GB2312" w:eastAsia="仿宋_GB2312" w:hint="eastAsia"/>
          <w:sz w:val="28"/>
          <w:szCs w:val="28"/>
        </w:rPr>
        <w:tab/>
        <w:t>3</w:t>
      </w:r>
      <w:r>
        <w:rPr>
          <w:rFonts w:ascii="仿宋_GB2312" w:eastAsia="仿宋_GB2312" w:hint="eastAsia"/>
          <w:sz w:val="28"/>
          <w:szCs w:val="28"/>
        </w:rPr>
        <w:fldChar w:fldCharType="end"/>
      </w:r>
      <w:r>
        <w:rPr>
          <w:rFonts w:ascii="仿宋_GB2312" w:eastAsia="仿宋_GB2312" w:hint="eastAsia"/>
          <w:sz w:val="28"/>
          <w:szCs w:val="28"/>
          <w:lang w:val="en-US" w:eastAsia="zh-CN"/>
        </w:rPr>
        <w:t>0</w:t>
      </w:r>
    </w:p>
    <w:p>
      <w:pPr>
        <w:pStyle w:val="26"/>
        <w:tabs>
          <w:tab w:val="right" w:leader="dot" w:pos="8844"/>
        </w:tabs>
        <w:rPr>
          <w:rFonts w:ascii="仿宋_GB2312" w:eastAsia="仿宋_GB2312" w:hint="eastAsia"/>
          <w:sz w:val="28"/>
          <w:szCs w:val="28"/>
          <w:lang w:eastAsia="zh-CN"/>
        </w:rPr>
      </w:pPr>
      <w:r>
        <w:rPr>
          <w:rFonts w:ascii="仿宋_GB2312" w:eastAsia="仿宋_GB2312" w:hint="eastAsia"/>
          <w:sz w:val="28"/>
          <w:szCs w:val="28"/>
        </w:rPr>
        <w:fldChar w:fldCharType="begin"/>
      </w:r>
      <w:r>
        <w:rPr>
          <w:rFonts w:ascii="仿宋_GB2312" w:eastAsia="仿宋_GB2312" w:hint="eastAsia"/>
          <w:sz w:val="28"/>
          <w:szCs w:val="28"/>
        </w:rPr>
        <w:instrText>Hyperlink \l "_Toc55224701"</w:instrText>
      </w:r>
      <w:r>
        <w:rPr>
          <w:rFonts w:ascii="仿宋_GB2312" w:eastAsia="仿宋_GB2312" w:hint="eastAsia"/>
          <w:sz w:val="28"/>
          <w:szCs w:val="28"/>
        </w:rPr>
        <w:fldChar w:fldCharType="separate"/>
      </w:r>
      <w:r>
        <w:rPr>
          <w:rFonts w:ascii="仿宋_GB2312" w:eastAsia="仿宋_GB2312" w:cs="仿宋_GB2312" w:hint="eastAsia"/>
          <w:sz w:val="28"/>
          <w:szCs w:val="28"/>
          <w:lang w:bidi="ar-SA"/>
          <w:highlight w:val="auto"/>
        </w:rPr>
        <w:t>十三、财政拨款“三公”经费支出决算表</w:t>
      </w:r>
      <w:r>
        <w:rPr>
          <w:rFonts w:ascii="仿宋_GB2312" w:eastAsia="仿宋_GB2312" w:hint="eastAsia"/>
          <w:sz w:val="28"/>
          <w:szCs w:val="28"/>
        </w:rPr>
        <w:tab/>
        <w:t>3</w:t>
      </w:r>
      <w:r>
        <w:rPr>
          <w:rFonts w:ascii="仿宋_GB2312" w:eastAsia="仿宋_GB2312" w:hint="eastAsia"/>
          <w:sz w:val="28"/>
          <w:szCs w:val="28"/>
        </w:rPr>
        <w:fldChar w:fldCharType="end"/>
      </w:r>
      <w:r>
        <w:rPr>
          <w:rFonts w:ascii="仿宋_GB2312" w:eastAsia="仿宋_GB2312" w:hint="eastAsia"/>
          <w:sz w:val="28"/>
          <w:szCs w:val="28"/>
        </w:rPr>
        <w:fldChar w:fldCharType="end"/>
      </w:r>
      <w:r>
        <w:rPr>
          <w:rFonts w:ascii="仿宋_GB2312" w:eastAsia="仿宋_GB2312" w:hint="eastAsia"/>
          <w:sz w:val="28"/>
          <w:szCs w:val="28"/>
          <w:lang w:val="en-US" w:eastAsia="zh-CN"/>
        </w:rPr>
        <w:t>0</w:t>
      </w:r>
    </w:p>
    <w:p>
      <w:pPr>
        <w:pStyle w:val="1"/>
        <w:spacing w:line="576" w:lineRule="exact"/>
        <w:jc w:val="center"/>
        <w:rPr>
          <w:rStyle w:val="1Char"/>
          <w:rFonts w:eastAsia="方正小标宋简体" w:cs="方正小标宋简体" w:hint="eastAsia"/>
          <w:b/>
          <w:bCs/>
          <w:lang w:bidi="ar-SA"/>
        </w:rPr>
      </w:pPr>
      <w:bookmarkStart w:id="10" w:name="_Toc55224224"/>
      <w:bookmarkStart w:id="11" w:name="_Toc88111009"/>
      <w:bookmarkStart w:id="12" w:name="_Toc55224653"/>
      <w:bookmarkStart w:id="13" w:name="_Toc55224555"/>
      <w:bookmarkStart w:id="14" w:name="_Toc55224368"/>
      <w:bookmarkStart w:id="15" w:name="_Toc55224457"/>
      <w:bookmarkStart w:id="16" w:name="_Toc55224320"/>
      <w:r>
        <w:rPr>
          <w:rFonts w:ascii="Times New Roman" w:eastAsia="方正小标宋简体" w:cs="方正小标宋简体" w:hAnsi="Times New Roman" w:hint="eastAsia"/>
          <w:b w:val="0"/>
          <w:color w:val="auto"/>
          <w:lang w:bidi="ar-SA"/>
          <w:highlight w:val="auto"/>
        </w:rPr>
        <w:t>第一部分</w:t>
      </w:r>
      <w:r>
        <w:rPr>
          <w:rFonts w:ascii="Times New Roman" w:eastAsia="方正小标宋简体" w:cs="方正小标宋简体" w:hAnsi="Times New Roman" w:hint="eastAsia"/>
          <w:b w:val="0"/>
          <w:color w:val="auto"/>
          <w:lang w:val="en-US" w:eastAsia="zh-CN" w:bidi="ar-SA"/>
          <w:highlight w:val="auto"/>
        </w:rPr>
        <w:t xml:space="preserve"> </w:t>
      </w:r>
      <w:r>
        <w:rPr>
          <w:rFonts w:ascii="Times New Roman" w:eastAsia="方正小标宋简体" w:cs="方正小标宋简体" w:hAnsi="Times New Roman" w:hint="eastAsia"/>
          <w:b w:val="0"/>
          <w:color w:val="auto"/>
          <w:lang w:bidi="ar-SA"/>
          <w:highlight w:val="auto"/>
        </w:rPr>
        <w:t xml:space="preserve"> </w:t>
      </w:r>
      <w:r>
        <w:rPr>
          <w:rStyle w:val="1Char"/>
          <w:rFonts w:ascii="Times New Roman" w:eastAsia="方正小标宋简体" w:cs="方正小标宋简体" w:hAnsi="Times New Roman" w:hint="eastAsia"/>
          <w:b/>
          <w:bCs/>
          <w:color w:val="auto"/>
          <w:lang w:bidi="ar-SA"/>
          <w:highlight w:val="auto"/>
        </w:rPr>
        <w:t>部门概况</w:t>
      </w:r>
      <w:bookmarkEnd w:id="6"/>
      <w:bookmarkEnd w:id="7"/>
      <w:bookmarkEnd w:id="8"/>
      <w:bookmarkEnd w:id="9"/>
      <w:bookmarkEnd w:id="10"/>
      <w:bookmarkEnd w:id="11"/>
      <w:bookmarkEnd w:id="12"/>
      <w:bookmarkEnd w:id="13"/>
      <w:bookmarkEnd w:id="14"/>
      <w:bookmarkEnd w:id="15"/>
      <w:bookmarkEnd w:id="16"/>
    </w:p>
    <w:p>
      <w:pPr>
        <w:pStyle w:val="2"/>
        <w:spacing w:line="576" w:lineRule="exact"/>
        <w:ind w:firstLineChars="200" w:firstLine="640"/>
        <w:rPr>
          <w:rFonts w:eastAsia="黑体" w:hint="eastAsia"/>
          <w:b w:val="0"/>
          <w:sz w:val="32"/>
          <w:szCs w:val="32"/>
        </w:rPr>
      </w:pPr>
      <w:bookmarkStart w:id="17" w:name="_Toc15396600"/>
      <w:bookmarkStart w:id="18" w:name="_Toc15377197"/>
      <w:bookmarkStart w:id="19" w:name="_Toc75095807"/>
      <w:bookmarkStart w:id="20" w:name="_Toc55224321"/>
      <w:bookmarkStart w:id="21" w:name="_Toc55224458"/>
      <w:bookmarkStart w:id="22" w:name="_Toc75095924"/>
      <w:bookmarkStart w:id="23" w:name="_Toc88111010"/>
      <w:bookmarkStart w:id="24" w:name="_Toc55224369"/>
      <w:bookmarkStart w:id="25" w:name="_Toc55224225"/>
      <w:bookmarkStart w:id="26" w:name="_Toc55224556"/>
      <w:bookmarkStart w:id="27" w:name="_Toc55224654"/>
      <w:bookmarkEnd w:id="17"/>
      <w:bookmarkEnd w:id="18"/>
      <w:r>
        <w:rPr>
          <w:rFonts w:eastAsia="黑体" w:hint="eastAsia"/>
          <w:b w:val="0"/>
          <w:sz w:val="32"/>
          <w:szCs w:val="32"/>
          <w:lang w:eastAsia="zh-CN"/>
          <w:highlight w:val="auto"/>
        </w:rPr>
        <w:t>一、部门职责</w:t>
      </w:r>
      <w:bookmarkEnd w:id="19"/>
      <w:bookmarkEnd w:id="20"/>
      <w:bookmarkEnd w:id="21"/>
      <w:bookmarkEnd w:id="22"/>
      <w:bookmarkEnd w:id="23"/>
      <w:bookmarkEnd w:id="24"/>
      <w:bookmarkEnd w:id="25"/>
      <w:bookmarkEnd w:id="26"/>
      <w:bookmarkEnd w:id="27"/>
    </w:p>
    <w:p>
      <w:pPr>
        <w:spacing w:line="576" w:lineRule="exact"/>
        <w:ind w:firstLineChars="200" w:firstLine="640"/>
        <w:rPr>
          <w:rFonts w:ascii="仿宋_GB2312" w:eastAsia="仿宋_GB2312" w:hint="eastAsia"/>
          <w:bCs/>
          <w:sz w:val="32"/>
          <w:szCs w:val="32"/>
        </w:rPr>
      </w:pPr>
      <w:r>
        <w:rPr>
          <w:rFonts w:ascii="仿宋_GB2312" w:eastAsia="仿宋_GB2312" w:hint="eastAsia"/>
          <w:bCs/>
          <w:sz w:val="32"/>
          <w:szCs w:val="32"/>
        </w:rPr>
        <w:t>1.负责全县市场综合监督管理工作。</w:t>
      </w:r>
    </w:p>
    <w:p>
      <w:pPr>
        <w:spacing w:line="576" w:lineRule="exact"/>
        <w:ind w:firstLineChars="200" w:firstLine="640"/>
        <w:rPr>
          <w:rFonts w:ascii="仿宋_GB2312" w:eastAsia="仿宋_GB2312" w:hint="eastAsia"/>
          <w:bCs/>
          <w:sz w:val="32"/>
          <w:szCs w:val="32"/>
        </w:rPr>
      </w:pPr>
      <w:r>
        <w:rPr>
          <w:rFonts w:ascii="仿宋_GB2312" w:eastAsia="仿宋_GB2312" w:hint="eastAsia"/>
          <w:bCs/>
          <w:sz w:val="32"/>
          <w:szCs w:val="32"/>
        </w:rPr>
        <w:t>2.负责全县市场主体统一登记注册。</w:t>
      </w:r>
    </w:p>
    <w:p>
      <w:pPr>
        <w:spacing w:line="576" w:lineRule="exact"/>
        <w:ind w:firstLineChars="200" w:firstLine="640"/>
        <w:rPr>
          <w:rFonts w:ascii="仿宋_GB2312" w:eastAsia="仿宋_GB2312" w:hint="eastAsia"/>
          <w:bCs/>
          <w:sz w:val="32"/>
          <w:szCs w:val="32"/>
        </w:rPr>
      </w:pPr>
      <w:r>
        <w:rPr>
          <w:rFonts w:ascii="仿宋_GB2312" w:eastAsia="仿宋_GB2312" w:hint="eastAsia"/>
          <w:bCs/>
          <w:sz w:val="32"/>
          <w:szCs w:val="32"/>
        </w:rPr>
        <w:t>3.负责监督管理全县市场秩序。</w:t>
      </w:r>
    </w:p>
    <w:p>
      <w:pPr>
        <w:spacing w:line="576" w:lineRule="exact"/>
        <w:ind w:firstLineChars="200" w:firstLine="640"/>
        <w:rPr>
          <w:rFonts w:ascii="仿宋_GB2312" w:eastAsia="仿宋_GB2312" w:hint="eastAsia"/>
          <w:bCs/>
          <w:sz w:val="32"/>
          <w:szCs w:val="32"/>
        </w:rPr>
      </w:pPr>
      <w:r>
        <w:rPr>
          <w:rFonts w:ascii="仿宋_GB2312" w:eastAsia="仿宋_GB2312" w:hint="eastAsia"/>
          <w:bCs/>
          <w:sz w:val="32"/>
          <w:szCs w:val="32"/>
        </w:rPr>
        <w:t>4.负责全县宏观质量管理。</w:t>
      </w:r>
    </w:p>
    <w:p>
      <w:pPr>
        <w:spacing w:line="576" w:lineRule="exact"/>
        <w:ind w:firstLineChars="200" w:firstLine="640"/>
        <w:rPr>
          <w:rFonts w:ascii="仿宋_GB2312" w:eastAsia="仿宋_GB2312" w:hint="eastAsia"/>
          <w:sz w:val="32"/>
          <w:szCs w:val="32"/>
        </w:rPr>
      </w:pPr>
      <w:r>
        <w:rPr>
          <w:rFonts w:ascii="仿宋_GB2312" w:eastAsia="仿宋_GB2312" w:hint="eastAsia"/>
          <w:sz w:val="32"/>
          <w:szCs w:val="32"/>
        </w:rPr>
        <w:t>5.负责全县产品质量安全监督管理。</w:t>
      </w:r>
    </w:p>
    <w:p>
      <w:pPr>
        <w:spacing w:line="576" w:lineRule="exact"/>
        <w:ind w:firstLineChars="200" w:firstLine="640"/>
        <w:rPr>
          <w:rFonts w:ascii="仿宋_GB2312" w:eastAsia="仿宋_GB2312" w:hint="eastAsia"/>
          <w:sz w:val="32"/>
          <w:szCs w:val="32"/>
        </w:rPr>
      </w:pPr>
      <w:r>
        <w:rPr>
          <w:rFonts w:ascii="仿宋_GB2312" w:eastAsia="仿宋_GB2312" w:hint="eastAsia"/>
          <w:sz w:val="32"/>
          <w:szCs w:val="32"/>
        </w:rPr>
        <w:t>6.负责全县特种设备安全监督管理。</w:t>
      </w:r>
    </w:p>
    <w:p>
      <w:pPr>
        <w:spacing w:line="576" w:lineRule="exact"/>
        <w:ind w:firstLineChars="200" w:firstLine="640"/>
        <w:rPr>
          <w:rFonts w:ascii="仿宋_GB2312" w:eastAsia="仿宋_GB2312" w:hint="eastAsia"/>
          <w:sz w:val="32"/>
          <w:szCs w:val="32"/>
        </w:rPr>
      </w:pPr>
      <w:r>
        <w:rPr>
          <w:rFonts w:ascii="仿宋_GB2312" w:eastAsia="仿宋_GB2312" w:hint="eastAsia"/>
          <w:sz w:val="32"/>
          <w:szCs w:val="32"/>
        </w:rPr>
        <w:t>7.负责全县食品安全监督管理综合协调。</w:t>
      </w:r>
    </w:p>
    <w:p>
      <w:pPr>
        <w:spacing w:line="576" w:lineRule="exact"/>
        <w:ind w:firstLineChars="200" w:firstLine="640"/>
        <w:rPr>
          <w:rFonts w:ascii="仿宋_GB2312" w:eastAsia="仿宋_GB2312" w:hint="eastAsia"/>
          <w:sz w:val="32"/>
          <w:szCs w:val="32"/>
        </w:rPr>
      </w:pPr>
      <w:r>
        <w:rPr>
          <w:rFonts w:ascii="仿宋_GB2312" w:eastAsia="仿宋_GB2312" w:hint="eastAsia"/>
          <w:sz w:val="32"/>
          <w:szCs w:val="32"/>
        </w:rPr>
        <w:t>8.负责全县食品安全监督管理。</w:t>
      </w:r>
    </w:p>
    <w:p>
      <w:pPr>
        <w:spacing w:line="576" w:lineRule="exact"/>
        <w:ind w:firstLineChars="200" w:firstLine="640"/>
        <w:rPr>
          <w:rFonts w:ascii="仿宋_GB2312" w:eastAsia="仿宋_GB2312" w:hint="eastAsia"/>
          <w:sz w:val="32"/>
          <w:szCs w:val="32"/>
        </w:rPr>
      </w:pPr>
      <w:r>
        <w:rPr>
          <w:rFonts w:ascii="仿宋_GB2312" w:eastAsia="仿宋_GB2312" w:hint="eastAsia"/>
          <w:sz w:val="32"/>
          <w:szCs w:val="32"/>
        </w:rPr>
        <w:t>9.负责全县药品、医疗器械和化妆品安全的方针政策和法律法规。</w:t>
      </w:r>
    </w:p>
    <w:p>
      <w:pPr>
        <w:spacing w:line="576" w:lineRule="exact"/>
        <w:ind w:firstLineChars="200" w:firstLine="640"/>
        <w:rPr>
          <w:rFonts w:ascii="仿宋_GB2312" w:eastAsia="仿宋_GB2312" w:hint="eastAsia"/>
          <w:sz w:val="32"/>
          <w:szCs w:val="32"/>
        </w:rPr>
      </w:pPr>
      <w:r>
        <w:rPr>
          <w:rFonts w:ascii="仿宋_GB2312" w:eastAsia="仿宋_GB2312" w:hint="eastAsia"/>
          <w:sz w:val="32"/>
          <w:szCs w:val="32"/>
        </w:rPr>
        <w:t>10.负责监督全县药品、医疗器械和化妆品标准执行和分类管理。</w:t>
      </w:r>
    </w:p>
    <w:p>
      <w:pPr>
        <w:spacing w:line="576" w:lineRule="exact"/>
        <w:ind w:firstLineChars="200" w:firstLine="640"/>
        <w:rPr>
          <w:rFonts w:ascii="仿宋_GB2312" w:eastAsia="仿宋_GB2312" w:hint="eastAsia"/>
          <w:sz w:val="32"/>
          <w:szCs w:val="32"/>
        </w:rPr>
      </w:pPr>
      <w:r>
        <w:rPr>
          <w:rFonts w:ascii="仿宋_GB2312" w:eastAsia="仿宋_GB2312" w:hint="eastAsia"/>
          <w:sz w:val="32"/>
          <w:szCs w:val="32"/>
        </w:rPr>
        <w:t>11.负责全县药品、医疗器械和化妆品质量管理。</w:t>
      </w:r>
    </w:p>
    <w:p>
      <w:pPr>
        <w:spacing w:line="576" w:lineRule="exact"/>
        <w:ind w:firstLineChars="200" w:firstLine="640"/>
        <w:rPr>
          <w:rFonts w:ascii="仿宋_GB2312" w:eastAsia="仿宋_GB2312" w:hint="eastAsia"/>
          <w:sz w:val="32"/>
          <w:szCs w:val="32"/>
        </w:rPr>
      </w:pPr>
      <w:r>
        <w:rPr>
          <w:rFonts w:ascii="仿宋_GB2312" w:eastAsia="仿宋_GB2312" w:hint="eastAsia"/>
          <w:sz w:val="32"/>
          <w:szCs w:val="32"/>
        </w:rPr>
        <w:t>12.负责全县药品、医疗器械和化妆品监督管理。</w:t>
      </w:r>
    </w:p>
    <w:p>
      <w:pPr>
        <w:spacing w:line="576" w:lineRule="exact"/>
        <w:ind w:firstLineChars="200" w:firstLine="640"/>
        <w:rPr>
          <w:rFonts w:ascii="仿宋_GB2312" w:eastAsia="仿宋_GB2312" w:hint="eastAsia"/>
          <w:sz w:val="32"/>
          <w:szCs w:val="32"/>
        </w:rPr>
      </w:pPr>
      <w:r>
        <w:rPr>
          <w:rFonts w:ascii="仿宋_GB2312" w:eastAsia="仿宋_GB2312" w:hint="eastAsia"/>
          <w:sz w:val="32"/>
          <w:szCs w:val="32"/>
        </w:rPr>
        <w:t>13.负责全县药品、医疗器械和化妆品风险管理。</w:t>
      </w:r>
    </w:p>
    <w:p>
      <w:pPr>
        <w:spacing w:line="576" w:lineRule="exact"/>
        <w:ind w:firstLineChars="200" w:firstLine="640"/>
        <w:rPr>
          <w:rFonts w:ascii="仿宋_GB2312" w:eastAsia="仿宋_GB2312" w:hint="eastAsia"/>
          <w:sz w:val="32"/>
          <w:szCs w:val="32"/>
        </w:rPr>
      </w:pPr>
      <w:r>
        <w:rPr>
          <w:rFonts w:ascii="仿宋_GB2312" w:eastAsia="仿宋_GB2312" w:hint="eastAsia"/>
          <w:sz w:val="32"/>
          <w:szCs w:val="32"/>
        </w:rPr>
        <w:t>14.依法依授权贯彻执行执业药师相关管理制度。</w:t>
      </w:r>
    </w:p>
    <w:p>
      <w:pPr>
        <w:spacing w:line="576" w:lineRule="exact"/>
        <w:ind w:firstLineChars="200" w:firstLine="640"/>
        <w:rPr>
          <w:rFonts w:ascii="仿宋_GB2312" w:eastAsia="仿宋_GB2312" w:hint="eastAsia"/>
          <w:sz w:val="32"/>
          <w:szCs w:val="32"/>
        </w:rPr>
      </w:pPr>
      <w:r>
        <w:rPr>
          <w:rFonts w:ascii="仿宋_GB2312" w:eastAsia="仿宋_GB2312" w:hint="eastAsia"/>
          <w:sz w:val="32"/>
          <w:szCs w:val="32"/>
        </w:rPr>
        <w:t>15.负责统一管理全县计量工作。</w:t>
      </w:r>
    </w:p>
    <w:p>
      <w:pPr>
        <w:spacing w:line="576" w:lineRule="exact"/>
        <w:ind w:firstLineChars="200" w:firstLine="640"/>
        <w:rPr>
          <w:rFonts w:ascii="仿宋_GB2312" w:eastAsia="仿宋_GB2312" w:hint="eastAsia"/>
          <w:sz w:val="32"/>
          <w:szCs w:val="32"/>
        </w:rPr>
      </w:pPr>
      <w:r>
        <w:rPr>
          <w:rFonts w:ascii="仿宋_GB2312" w:eastAsia="仿宋_GB2312" w:hint="eastAsia"/>
          <w:sz w:val="32"/>
          <w:szCs w:val="32"/>
        </w:rPr>
        <w:t>16.负责统一管理全县标准化工作。</w:t>
      </w:r>
    </w:p>
    <w:p>
      <w:pPr>
        <w:spacing w:line="576" w:lineRule="exact"/>
        <w:ind w:firstLineChars="200" w:firstLine="640"/>
        <w:rPr>
          <w:rFonts w:ascii="仿宋_GB2312" w:eastAsia="仿宋_GB2312" w:hint="eastAsia"/>
          <w:sz w:val="32"/>
          <w:szCs w:val="32"/>
        </w:rPr>
      </w:pPr>
      <w:r>
        <w:rPr>
          <w:rFonts w:ascii="仿宋_GB2312" w:eastAsia="仿宋_GB2312" w:hint="eastAsia"/>
          <w:sz w:val="32"/>
          <w:szCs w:val="32"/>
        </w:rPr>
        <w:t>17.负责统一管理全县认证认可工作。</w:t>
      </w:r>
    </w:p>
    <w:p>
      <w:pPr>
        <w:spacing w:line="576" w:lineRule="exact"/>
        <w:ind w:firstLineChars="200" w:firstLine="640"/>
        <w:rPr>
          <w:rFonts w:ascii="仿宋_GB2312" w:eastAsia="仿宋_GB2312" w:hint="eastAsia"/>
          <w:sz w:val="32"/>
          <w:szCs w:val="32"/>
        </w:rPr>
      </w:pPr>
      <w:r>
        <w:rPr>
          <w:rFonts w:ascii="仿宋_GB2312" w:eastAsia="仿宋_GB2312" w:hint="eastAsia"/>
          <w:sz w:val="32"/>
          <w:szCs w:val="32"/>
        </w:rPr>
        <w:t>18</w:t>
      </w:r>
      <w:bookmarkStart w:id="28" w:name="_Toc14543844"/>
      <w:bookmarkStart w:id="29" w:name="_Toc14543886"/>
      <w:r>
        <w:rPr>
          <w:rFonts w:ascii="仿宋_GB2312" w:eastAsia="仿宋_GB2312" w:hint="eastAsia"/>
          <w:sz w:val="32"/>
          <w:szCs w:val="32"/>
        </w:rPr>
        <w:t>.负责市场监</w:t>
      </w:r>
      <w:bookmarkEnd w:id="28"/>
      <w:bookmarkEnd w:id="29"/>
      <w:r>
        <w:rPr>
          <w:rFonts w:ascii="仿宋_GB2312" w:eastAsia="仿宋_GB2312" w:hint="eastAsia"/>
          <w:sz w:val="32"/>
          <w:szCs w:val="32"/>
        </w:rPr>
        <w:t>督管理科技和信息化建设。</w:t>
      </w:r>
    </w:p>
    <w:p>
      <w:pPr>
        <w:spacing w:line="576" w:lineRule="exact"/>
        <w:ind w:firstLineChars="200" w:firstLine="640"/>
        <w:rPr>
          <w:rFonts w:ascii="仿宋_GB2312" w:eastAsia="仿宋_GB2312" w:hint="eastAsia"/>
          <w:sz w:val="32"/>
          <w:szCs w:val="32"/>
        </w:rPr>
      </w:pPr>
      <w:r>
        <w:rPr>
          <w:rFonts w:ascii="仿宋_GB2312" w:eastAsia="仿宋_GB2312" w:hint="eastAsia"/>
          <w:sz w:val="32"/>
          <w:szCs w:val="32"/>
        </w:rPr>
        <w:t>19.负责促进全县民营经济发展。</w:t>
      </w:r>
    </w:p>
    <w:p>
      <w:pPr>
        <w:spacing w:line="576" w:lineRule="exact"/>
        <w:ind w:firstLineChars="200" w:firstLine="640"/>
        <w:rPr>
          <w:rFonts w:ascii="仿宋_GB2312" w:eastAsia="仿宋_GB2312" w:hint="eastAsia"/>
          <w:sz w:val="32"/>
          <w:szCs w:val="32"/>
        </w:rPr>
      </w:pPr>
      <w:r>
        <w:rPr>
          <w:rFonts w:ascii="仿宋_GB2312" w:eastAsia="仿宋_GB2312" w:hint="eastAsia"/>
          <w:sz w:val="32"/>
          <w:szCs w:val="32"/>
        </w:rPr>
        <w:t>20.负</w:t>
      </w:r>
      <w:bookmarkStart w:id="30" w:name="_Toc78611602"/>
      <w:r>
        <w:rPr>
          <w:rFonts w:ascii="仿宋_GB2312" w:eastAsia="仿宋_GB2312" w:hint="eastAsia"/>
          <w:sz w:val="32"/>
          <w:szCs w:val="32"/>
        </w:rPr>
        <w:t>责监督规范全</w:t>
      </w:r>
      <w:bookmarkEnd w:id="30"/>
      <w:r>
        <w:rPr>
          <w:rFonts w:ascii="仿宋_GB2312" w:eastAsia="仿宋_GB2312" w:hint="eastAsia"/>
          <w:sz w:val="32"/>
          <w:szCs w:val="32"/>
        </w:rPr>
        <w:t>县检验检测市场。</w:t>
      </w:r>
    </w:p>
    <w:p>
      <w:pPr>
        <w:spacing w:line="576" w:lineRule="exact"/>
        <w:ind w:firstLineChars="200" w:firstLine="640"/>
        <w:rPr>
          <w:rFonts w:ascii="仿宋_GB2312" w:eastAsia="仿宋_GB2312" w:hint="eastAsia"/>
          <w:sz w:val="32"/>
          <w:szCs w:val="32"/>
        </w:rPr>
      </w:pPr>
      <w:r>
        <w:rPr>
          <w:rFonts w:ascii="仿宋_GB2312" w:eastAsia="仿宋_GB2312" w:hint="eastAsia"/>
          <w:sz w:val="32"/>
          <w:szCs w:val="32"/>
        </w:rPr>
        <w:t>21.负责职责</w:t>
      </w:r>
      <w:bookmarkStart w:id="31" w:name="_Toc7680"/>
      <w:bookmarkStart w:id="32" w:name="_Toc44872190"/>
      <w:bookmarkStart w:id="33" w:name="_Toc4557"/>
      <w:bookmarkStart w:id="34" w:name="_Ref82792652"/>
      <w:bookmarkStart w:id="35" w:name="_Toc22714"/>
      <w:r>
        <w:rPr>
          <w:rFonts w:ascii="仿宋_GB2312" w:eastAsia="仿宋_GB2312" w:hint="eastAsia"/>
          <w:sz w:val="32"/>
          <w:szCs w:val="32"/>
        </w:rPr>
        <w:t>范围内的安全生产和职业健</w:t>
      </w:r>
      <w:bookmarkEnd w:id="31"/>
      <w:bookmarkEnd w:id="32"/>
      <w:bookmarkEnd w:id="33"/>
      <w:bookmarkEnd w:id="34"/>
      <w:bookmarkEnd w:id="35"/>
      <w:r>
        <w:rPr>
          <w:rFonts w:ascii="仿宋_GB2312" w:eastAsia="仿宋_GB2312" w:hint="eastAsia"/>
          <w:sz w:val="32"/>
          <w:szCs w:val="32"/>
        </w:rPr>
        <w:t>康、生</w:t>
      </w:r>
      <w:bookmarkStart w:id="36" w:name="_Toc5715"/>
      <w:r>
        <w:rPr>
          <w:rFonts w:ascii="仿宋_GB2312" w:eastAsia="仿宋_GB2312" w:hint="eastAsia"/>
          <w:sz w:val="32"/>
          <w:szCs w:val="32"/>
        </w:rPr>
        <w:t>态环境</w:t>
      </w:r>
      <w:bookmarkStart w:id="37" w:name="_Toc73331649"/>
      <w:r>
        <w:rPr>
          <w:rFonts w:ascii="仿宋_GB2312" w:eastAsia="仿宋_GB2312" w:hint="eastAsia"/>
          <w:sz w:val="32"/>
          <w:szCs w:val="32"/>
        </w:rPr>
        <w:t>保护、应急联</w:t>
      </w:r>
      <w:bookmarkEnd w:id="37"/>
      <w:r>
        <w:rPr>
          <w:rFonts w:ascii="仿宋_GB2312" w:eastAsia="仿宋_GB2312" w:hint="eastAsia"/>
          <w:sz w:val="32"/>
          <w:szCs w:val="32"/>
        </w:rPr>
        <w:t>动、审批服务便民化等</w:t>
      </w:r>
      <w:bookmarkEnd w:id="36"/>
      <w:r>
        <w:rPr>
          <w:rFonts w:ascii="仿宋_GB2312" w:eastAsia="仿宋_GB2312" w:hint="eastAsia"/>
          <w:sz w:val="32"/>
          <w:szCs w:val="32"/>
        </w:rPr>
        <w:t>工作</w:t>
      </w:r>
      <w:bookmarkStart w:id="38" w:name="_Toc16672"/>
      <w:r>
        <w:rPr>
          <w:rFonts w:ascii="仿宋_GB2312" w:eastAsia="仿宋_GB2312" w:hint="eastAsia"/>
          <w:sz w:val="32"/>
          <w:szCs w:val="32"/>
        </w:rPr>
        <w:t>。</w:t>
      </w:r>
    </w:p>
    <w:p>
      <w:pPr>
        <w:spacing w:line="576" w:lineRule="exact"/>
        <w:ind w:firstLineChars="200" w:firstLine="640"/>
        <w:rPr>
          <w:rFonts w:ascii="仿宋_GB2312" w:eastAsia="仿宋_GB2312" w:cs="Times New Roman" w:hint="eastAsia"/>
          <w:sz w:val="32"/>
          <w:szCs w:val="32"/>
          <w:lang w:val="en-US" w:eastAsia="zh-CN" w:bidi="ar-SA"/>
        </w:rPr>
      </w:pPr>
      <w:r>
        <w:rPr>
          <w:rFonts w:ascii="仿宋_GB2312" w:eastAsia="仿宋_GB2312" w:hint="eastAsia"/>
          <w:sz w:val="32"/>
          <w:szCs w:val="32"/>
        </w:rPr>
        <w:t>22.</w:t>
      </w:r>
      <w:r>
        <w:rPr>
          <w:rFonts w:ascii="仿宋_GB2312" w:eastAsia="仿宋_GB2312" w:cs="Times New Roman" w:hint="eastAsia"/>
          <w:sz w:val="32"/>
          <w:szCs w:val="32"/>
          <w:lang w:val="en-US" w:eastAsia="zh-CN" w:bidi="ar-SA"/>
        </w:rPr>
        <w:t>承担消费者管理</w:t>
      </w:r>
      <w:bookmarkEnd w:id="38"/>
      <w:r>
        <w:rPr>
          <w:rFonts w:ascii="仿宋_GB2312" w:eastAsia="仿宋_GB2312" w:cs="Times New Roman" w:hint="eastAsia"/>
          <w:sz w:val="32"/>
          <w:szCs w:val="32"/>
          <w:lang w:val="en-US" w:eastAsia="zh-CN" w:bidi="ar-SA"/>
        </w:rPr>
        <w:t>服务中心相关职责。</w:t>
      </w:r>
      <w:bookmarkStart w:id="39" w:name="_Toc14543845"/>
      <w:bookmarkStart w:id="40" w:name="_Toc14543887"/>
    </w:p>
    <w:p>
      <w:pPr>
        <w:spacing w:line="576" w:lineRule="exact"/>
        <w:ind w:firstLineChars="200" w:firstLine="640"/>
        <w:rPr>
          <w:rFonts w:ascii="仿宋_GB2312" w:eastAsia="仿宋_GB2312" w:hint="eastAsia"/>
          <w:sz w:val="32"/>
          <w:szCs w:val="32"/>
        </w:rPr>
      </w:pPr>
      <w:r>
        <w:rPr>
          <w:rFonts w:ascii="仿宋_GB2312" w:eastAsia="仿宋_GB2312" w:hint="eastAsia"/>
          <w:sz w:val="32"/>
          <w:szCs w:val="32"/>
        </w:rPr>
        <w:t>23.</w:t>
      </w:r>
      <w:r>
        <w:rPr>
          <w:rFonts w:ascii="仿宋_GB2312" w:eastAsia="仿宋_GB2312" w:hint="eastAsia"/>
          <w:sz w:val="32"/>
          <w:szCs w:val="32"/>
          <w:lang w:bidi="ar-SA"/>
        </w:rPr>
        <w:t>完成县委、县政府交办的其他任务</w:t>
      </w:r>
      <w:bookmarkEnd w:id="39"/>
      <w:bookmarkEnd w:id="40"/>
      <w:r>
        <w:rPr>
          <w:rFonts w:ascii="仿宋_GB2312" w:eastAsia="仿宋_GB2312" w:hint="eastAsia"/>
          <w:sz w:val="32"/>
          <w:szCs w:val="32"/>
          <w:lang w:bidi="ar-SA"/>
        </w:rPr>
        <w:t>。</w:t>
      </w:r>
    </w:p>
    <w:p>
      <w:pPr>
        <w:spacing w:line="576" w:lineRule="exact"/>
        <w:ind w:firstLineChars="200" w:firstLine="640"/>
        <w:rPr>
          <w:rFonts w:ascii="黑体" w:eastAsia="黑体" w:hint="eastAsia"/>
          <w:sz w:val="32"/>
          <w:szCs w:val="32"/>
          <w:highlight w:val="auto"/>
        </w:rPr>
      </w:pPr>
      <w:bookmarkStart w:id="41" w:name="_Toc15396601"/>
      <w:bookmarkStart w:id="42" w:name="_Toc75095808"/>
      <w:bookmarkStart w:id="43" w:name="_Toc15377200"/>
      <w:bookmarkStart w:id="44" w:name="_Toc75095925"/>
      <w:r>
        <w:rPr>
          <w:rFonts w:ascii="黑体" w:eastAsia="黑体" w:hint="eastAsia"/>
          <w:sz w:val="32"/>
          <w:szCs w:val="32"/>
          <w:highlight w:val="auto"/>
        </w:rPr>
        <w:t>二、机构设置</w:t>
      </w:r>
      <w:bookmarkEnd w:id="41"/>
      <w:bookmarkEnd w:id="42"/>
      <w:bookmarkEnd w:id="43"/>
      <w:bookmarkEnd w:id="44"/>
    </w:p>
    <w:p>
      <w:pPr>
        <w:spacing w:line="576" w:lineRule="exact"/>
        <w:ind w:firstLineChars="200" w:firstLine="640"/>
        <w:rPr>
          <w:rFonts w:ascii="仿宋_GB2312" w:eastAsia="仿宋_GB2312" w:hint="eastAsia"/>
          <w:sz w:val="32"/>
          <w:szCs w:val="32"/>
        </w:rPr>
      </w:pPr>
      <w:bookmarkStart w:id="45" w:name="_Toc15396602"/>
      <w:bookmarkStart w:id="46" w:name="_Toc15377204"/>
      <w:r>
        <w:rPr>
          <w:rFonts w:ascii="仿宋_GB2312" w:eastAsia="仿宋_GB2312" w:hint="eastAsia"/>
          <w:sz w:val="32"/>
          <w:szCs w:val="32"/>
        </w:rPr>
        <w:t>茂县市场监督</w:t>
      </w:r>
      <w:bookmarkStart w:id="47" w:name="_Toc78611603"/>
      <w:r>
        <w:rPr>
          <w:rFonts w:ascii="仿宋_GB2312" w:eastAsia="仿宋_GB2312" w:hint="eastAsia"/>
          <w:sz w:val="32"/>
          <w:szCs w:val="32"/>
        </w:rPr>
        <w:t>管理局下属二级</w:t>
      </w:r>
      <w:bookmarkEnd w:id="47"/>
      <w:r>
        <w:rPr>
          <w:rFonts w:ascii="仿宋_GB2312" w:eastAsia="仿宋_GB2312" w:hint="eastAsia"/>
          <w:sz w:val="32"/>
          <w:szCs w:val="32"/>
        </w:rPr>
        <w:t>单</w:t>
      </w:r>
      <w:bookmarkStart w:id="48" w:name="_Toc78611604"/>
      <w:r>
        <w:rPr>
          <w:rFonts w:ascii="仿宋_GB2312" w:eastAsia="仿宋_GB2312" w:hint="eastAsia"/>
          <w:sz w:val="32"/>
          <w:szCs w:val="32"/>
        </w:rPr>
        <w:t>位2个，其中行政单位1个</w:t>
      </w:r>
      <w:bookmarkEnd w:id="48"/>
      <w:r>
        <w:rPr>
          <w:rFonts w:ascii="仿宋_GB2312" w:eastAsia="仿宋_GB2312" w:hint="eastAsia"/>
          <w:sz w:val="32"/>
          <w:szCs w:val="32"/>
        </w:rPr>
        <w:t>，其他事业单位1个</w:t>
      </w:r>
      <w:bookmarkStart w:id="49" w:name="_Toc24777"/>
      <w:r>
        <w:rPr>
          <w:rFonts w:ascii="仿宋_GB2312" w:eastAsia="仿宋_GB2312" w:hint="eastAsia"/>
          <w:sz w:val="32"/>
          <w:szCs w:val="32"/>
        </w:rPr>
        <w:t>。</w:t>
      </w:r>
      <w:bookmarkStart w:id="50" w:name="_Toc73331650"/>
    </w:p>
    <w:p>
      <w:pPr>
        <w:spacing w:line="576" w:lineRule="exact"/>
        <w:ind w:firstLineChars="200" w:firstLine="640"/>
        <w:rPr>
          <w:rFonts w:ascii="仿宋_GB2312" w:eastAsia="仿宋_GB2312" w:hint="eastAsia"/>
          <w:sz w:val="32"/>
          <w:szCs w:val="32"/>
        </w:rPr>
      </w:pPr>
      <w:r>
        <w:rPr>
          <w:rFonts w:ascii="仿宋_GB2312" w:eastAsia="仿宋_GB2312" w:hint="eastAsia"/>
          <w:sz w:val="32"/>
          <w:szCs w:val="32"/>
        </w:rPr>
        <w:t>纳入</w:t>
      </w:r>
      <w:bookmarkStart w:id="51" w:name="_Toc1556"/>
      <w:bookmarkEnd w:id="49"/>
      <w:r>
        <w:rPr>
          <w:rFonts w:ascii="仿宋_GB2312" w:eastAsia="仿宋_GB2312" w:hint="eastAsia"/>
          <w:sz w:val="32"/>
          <w:szCs w:val="32"/>
        </w:rPr>
        <w:t>茂县</w:t>
      </w:r>
      <w:r>
        <w:rPr>
          <w:rFonts w:ascii="仿宋_GB2312" w:eastAsia="仿宋_GB2312" w:hint="eastAsia"/>
          <w:sz w:val="32"/>
          <w:szCs w:val="32"/>
          <w:lang w:eastAsia="zh-CN"/>
        </w:rPr>
        <w:t>市场监督管理局</w:t>
      </w:r>
      <w:r>
        <w:rPr>
          <w:rFonts w:ascii="仿宋_GB2312" w:eastAsia="仿宋_GB2312" w:hint="eastAsia"/>
          <w:sz w:val="32"/>
          <w:szCs w:val="32"/>
        </w:rPr>
        <w:t>2</w:t>
      </w:r>
      <w:bookmarkEnd w:id="50"/>
      <w:r>
        <w:rPr>
          <w:rFonts w:ascii="仿宋_GB2312" w:eastAsia="仿宋_GB2312" w:hint="eastAsia"/>
          <w:sz w:val="32"/>
          <w:szCs w:val="32"/>
        </w:rPr>
        <w:t>0</w:t>
      </w:r>
      <w:bookmarkStart w:id="52" w:name="_Toc73331651"/>
      <w:r>
        <w:rPr>
          <w:rFonts w:ascii="仿宋_GB2312" w:eastAsia="仿宋_GB2312" w:hint="eastAsia"/>
          <w:sz w:val="32"/>
          <w:szCs w:val="32"/>
        </w:rPr>
        <w:t>2</w:t>
      </w:r>
      <w:r>
        <w:rPr>
          <w:rFonts w:ascii="仿宋_GB2312" w:eastAsia="仿宋_GB2312" w:hint="eastAsia"/>
          <w:sz w:val="32"/>
          <w:szCs w:val="32"/>
          <w:lang w:val="en-US" w:eastAsia="zh-CN"/>
        </w:rPr>
        <w:t>5</w:t>
      </w:r>
      <w:r>
        <w:rPr>
          <w:rFonts w:ascii="仿宋_GB2312" w:eastAsia="仿宋_GB2312" w:hint="eastAsia"/>
          <w:sz w:val="32"/>
          <w:szCs w:val="32"/>
        </w:rPr>
        <w:t>年度部门决算范围的</w:t>
      </w:r>
      <w:bookmarkEnd w:id="52"/>
      <w:r>
        <w:rPr>
          <w:rFonts w:ascii="仿宋_GB2312" w:eastAsia="仿宋_GB2312" w:hint="eastAsia"/>
          <w:sz w:val="32"/>
          <w:szCs w:val="32"/>
        </w:rPr>
        <w:t>预算单位包</w:t>
      </w:r>
      <w:bookmarkStart w:id="53" w:name="_Toc14543889"/>
      <w:bookmarkStart w:id="54" w:name="_Toc14543847"/>
      <w:r>
        <w:rPr>
          <w:rFonts w:ascii="仿宋_GB2312" w:eastAsia="仿宋_GB2312" w:hint="eastAsia"/>
          <w:sz w:val="32"/>
          <w:szCs w:val="32"/>
        </w:rPr>
        <w:t>括：</w:t>
      </w:r>
    </w:p>
    <w:p>
      <w:pPr>
        <w:spacing w:line="576" w:lineRule="exact"/>
        <w:ind w:firstLineChars="200" w:firstLine="640"/>
        <w:rPr>
          <w:rFonts w:ascii="仿宋_GB2312" w:eastAsia="仿宋_GB2312" w:hint="eastAsia"/>
          <w:sz w:val="32"/>
          <w:szCs w:val="32"/>
        </w:rPr>
      </w:pPr>
      <w:r>
        <w:rPr>
          <w:rFonts w:ascii="仿宋_GB2312" w:eastAsia="仿宋_GB2312" w:hint="eastAsia"/>
          <w:sz w:val="32"/>
          <w:szCs w:val="32"/>
        </w:rPr>
        <w:t>1.市场监督管理局（本级）。</w:t>
      </w:r>
    </w:p>
    <w:p>
      <w:pPr>
        <w:spacing w:line="576" w:lineRule="exact"/>
        <w:ind w:firstLineChars="200" w:firstLine="640"/>
        <w:rPr>
          <w:rFonts w:ascii="仿宋_GB2312" w:eastAsia="仿宋_GB2312" w:hint="eastAsia"/>
          <w:sz w:val="32"/>
          <w:szCs w:val="32"/>
        </w:rPr>
      </w:pPr>
      <w:bookmarkStart w:id="55" w:name="_Toc75095848"/>
      <w:bookmarkStart w:id="56" w:name="_Toc75095984"/>
      <w:bookmarkStart w:id="57" w:name="_Toc17578378"/>
      <w:bookmarkStart w:id="58" w:name="_Toc38849462"/>
      <w:bookmarkStart w:id="59" w:name="_Toc44445304"/>
      <w:bookmarkStart w:id="60" w:name="_Toc38849421"/>
      <w:bookmarkStart w:id="61" w:name="_Toc17578432"/>
      <w:bookmarkStart w:id="62" w:name="_Toc75095809"/>
      <w:r>
        <w:rPr>
          <w:rFonts w:ascii="仿宋_GB2312" w:eastAsia="仿宋_GB2312" w:hint="eastAsia"/>
          <w:sz w:val="32"/>
          <w:szCs w:val="32"/>
        </w:rPr>
        <w:t>2.茂县消委会</w:t>
      </w:r>
      <w:bookmarkEnd w:id="53"/>
      <w:bookmarkEnd w:id="54"/>
      <w:r>
        <w:rPr>
          <w:rFonts w:ascii="仿宋_GB2312" w:eastAsia="仿宋_GB2312" w:hint="eastAsia"/>
          <w:sz w:val="32"/>
          <w:szCs w:val="32"/>
        </w:rPr>
        <w:t>管理服务中心。</w:t>
      </w:r>
      <w:bookmarkEnd w:id="55"/>
      <w:bookmarkEnd w:id="56"/>
      <w:bookmarkEnd w:id="57"/>
      <w:bookmarkEnd w:id="58"/>
      <w:bookmarkEnd w:id="59"/>
      <w:bookmarkEnd w:id="60"/>
      <w:bookmarkEnd w:id="61"/>
      <w:bookmarkEnd w:id="62"/>
    </w:p>
    <w:p>
      <w:pPr>
        <w:spacing w:line="576" w:lineRule="exact"/>
        <w:ind w:firstLineChars="200" w:firstLine="640"/>
        <w:rPr>
          <w:rFonts w:ascii="仿宋_GB2312" w:eastAsia="仿宋_GB2312" w:hint="eastAsia"/>
          <w:sz w:val="32"/>
          <w:szCs w:val="32"/>
          <w:highlight w:val="auto"/>
        </w:rPr>
      </w:pPr>
    </w:p>
    <w:p>
      <w:pPr>
        <w:pStyle w:val="1"/>
        <w:spacing w:line="576" w:lineRule="exact"/>
        <w:rPr>
          <w:rFonts w:ascii="Times New Roman" w:eastAsia="方正小标宋简体" w:cs="方正小标宋简体" w:hAnsi="Times New Roman"/>
          <w:b w:val="0"/>
          <w:color w:val="auto"/>
          <w:lang w:bidi="ar-SA"/>
          <w:highlight w:val="auto"/>
        </w:rPr>
      </w:pPr>
      <w:bookmarkEnd w:id="51"/>
    </w:p>
    <w:p>
      <w:pPr>
        <w:spacing w:line="576" w:lineRule="exact"/>
      </w:pPr>
    </w:p>
    <w:p>
      <w:pPr>
        <w:pStyle w:val="19"/>
        <w:spacing w:line="576" w:lineRule="exact"/>
      </w:pPr>
    </w:p>
    <w:p>
      <w:pPr>
        <w:spacing w:line="576" w:lineRule="exact"/>
      </w:pPr>
    </w:p>
    <w:p>
      <w:pPr>
        <w:spacing w:line="576" w:lineRule="exact"/>
      </w:pPr>
    </w:p>
    <w:p>
      <w:pPr>
        <w:pStyle w:val="1"/>
        <w:spacing w:line="576" w:lineRule="exact"/>
        <w:jc w:val="center"/>
        <w:rPr>
          <w:rFonts w:eastAsia="方正小标宋简体" w:cs="方正小标宋简体" w:hint="eastAsia"/>
          <w:b w:val="0"/>
          <w:lang w:bidi="ar-SA"/>
        </w:rPr>
      </w:pPr>
      <w:bookmarkStart w:id="63" w:name="_Toc75095810"/>
      <w:bookmarkStart w:id="64" w:name="_Toc75095926"/>
      <w:bookmarkStart w:id="65" w:name="_Toc55224655"/>
      <w:bookmarkStart w:id="66" w:name="_Toc55224370"/>
      <w:bookmarkStart w:id="67" w:name="_Toc55224322"/>
      <w:bookmarkStart w:id="68" w:name="_Toc88111011"/>
      <w:bookmarkStart w:id="69" w:name="_Toc55224459"/>
      <w:bookmarkStart w:id="70" w:name="_Toc55224226"/>
      <w:bookmarkStart w:id="71" w:name="_Toc55224557"/>
      <w:r>
        <w:rPr>
          <w:rFonts w:ascii="Times New Roman" w:eastAsia="方正小标宋简体" w:cs="方正小标宋简体" w:hAnsi="Times New Roman" w:hint="eastAsia"/>
          <w:b w:val="0"/>
          <w:color w:val="auto"/>
          <w:lang w:bidi="ar-SA"/>
          <w:highlight w:val="auto"/>
        </w:rPr>
        <w:t>第二部分</w:t>
      </w:r>
      <w:r>
        <w:rPr>
          <w:rFonts w:ascii="Times New Roman" w:eastAsia="方正小标宋简体" w:cs="方正小标宋简体" w:hAnsi="Times New Roman" w:hint="eastAsia"/>
          <w:b w:val="0"/>
          <w:color w:val="auto"/>
          <w:lang w:val="en-US" w:eastAsia="zh-CN" w:bidi="ar-SA"/>
          <w:highlight w:val="auto"/>
        </w:rPr>
        <w:t xml:space="preserve"> </w:t>
      </w:r>
      <w:r>
        <w:rPr>
          <w:rFonts w:ascii="Times New Roman" w:eastAsia="方正小标宋简体" w:cs="方正小标宋简体" w:hAnsi="Times New Roman" w:hint="eastAsia"/>
          <w:b w:val="0"/>
          <w:color w:val="auto"/>
          <w:lang w:bidi="ar-SA"/>
          <w:highlight w:val="auto"/>
        </w:rPr>
        <w:t xml:space="preserve"> </w:t>
      </w:r>
      <w:r>
        <w:rPr>
          <w:rFonts w:ascii="Times New Roman" w:eastAsia="方正小标宋简体" w:cs="方正小标宋简体" w:hAnsi="Times New Roman" w:hint="eastAsia"/>
          <w:b w:val="0"/>
          <w:color w:val="auto"/>
          <w:lang w:val="en-US" w:eastAsia="zh-CN" w:bidi="ar-SA"/>
          <w:highlight w:val="auto"/>
        </w:rPr>
        <w:t>202</w:t>
      </w:r>
      <w:r>
        <w:rPr>
          <w:rFonts w:ascii="Times New Roman" w:eastAsia="方正小标宋简体" w:cs="方正小标宋简体" w:hAnsi="Times New Roman"/>
          <w:b w:val="0"/>
          <w:color w:val="auto"/>
          <w:lang w:val="en-US" w:eastAsia="zh-CN" w:bidi="ar-SA"/>
          <w:highlight w:val="auto"/>
        </w:rPr>
        <w:t>5</w:t>
      </w:r>
      <w:r>
        <w:rPr>
          <w:rFonts w:ascii="Times New Roman" w:eastAsia="方正小标宋简体" w:cs="方正小标宋简体" w:hAnsi="Times New Roman" w:hint="eastAsia"/>
          <w:b w:val="0"/>
          <w:color w:val="auto"/>
          <w:lang w:val="en-US" w:eastAsia="zh-CN" w:bidi="ar-SA"/>
          <w:highlight w:val="auto"/>
        </w:rPr>
        <w:t>年度</w:t>
      </w:r>
      <w:r>
        <w:rPr>
          <w:rFonts w:ascii="Times New Roman" w:eastAsia="方正小标宋简体" w:cs="方正小标宋简体" w:hAnsi="Times New Roman" w:hint="eastAsia"/>
          <w:b w:val="0"/>
          <w:color w:val="auto"/>
          <w:lang w:bidi="ar-SA"/>
          <w:highlight w:val="auto"/>
        </w:rPr>
        <w:t>部门决算情况说明</w:t>
      </w:r>
      <w:bookmarkEnd w:id="45"/>
      <w:bookmarkEnd w:id="46"/>
      <w:bookmarkEnd w:id="63"/>
      <w:bookmarkEnd w:id="64"/>
      <w:bookmarkEnd w:id="65"/>
      <w:bookmarkEnd w:id="66"/>
      <w:bookmarkEnd w:id="67"/>
      <w:bookmarkEnd w:id="68"/>
      <w:bookmarkEnd w:id="69"/>
      <w:bookmarkEnd w:id="70"/>
      <w:bookmarkEnd w:id="71"/>
    </w:p>
    <w:p>
      <w:pPr>
        <w:pStyle w:val="37"/>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72" w:name="_Toc55224371"/>
      <w:bookmarkStart w:id="73" w:name="_Toc55224227"/>
      <w:bookmarkStart w:id="74" w:name="_Toc88111012"/>
      <w:bookmarkStart w:id="75" w:name="_Toc55224558"/>
      <w:bookmarkStart w:id="76" w:name="_Toc55224323"/>
      <w:bookmarkStart w:id="77" w:name="_Toc15396603"/>
      <w:bookmarkStart w:id="78" w:name="_Toc75095927"/>
      <w:bookmarkStart w:id="79" w:name="_Toc15377205"/>
      <w:bookmarkStart w:id="80" w:name="_Toc75095811"/>
      <w:bookmarkStart w:id="81" w:name="_Toc55224656"/>
      <w:bookmarkStart w:id="82" w:name="_Toc55224460"/>
      <w:r>
        <w:rPr>
          <w:rFonts w:ascii="Times New Roman" w:eastAsia="黑体" w:hAnsi="Times New Roman" w:hint="eastAsia"/>
          <w:color w:val="auto"/>
          <w:sz w:val="32"/>
          <w:szCs w:val="32"/>
          <w:lang w:eastAsia="zh-CN"/>
          <w:highlight w:val="auto"/>
        </w:rPr>
        <w:t>一、</w:t>
      </w:r>
      <w:r>
        <w:rPr>
          <w:rFonts w:ascii="Times New Roman" w:eastAsia="黑体" w:hAnsi="Times New Roman" w:hint="eastAsia"/>
          <w:color w:val="auto"/>
          <w:sz w:val="32"/>
          <w:szCs w:val="32"/>
          <w:highlight w:val="auto"/>
        </w:rPr>
        <w:t>收</w:t>
      </w:r>
      <w:r>
        <w:rPr>
          <w:rStyle w:val="2Char"/>
          <w:rFonts w:ascii="Times New Roman" w:eastAsia="黑体" w:hAnsi="Times New Roman" w:hint="eastAsia"/>
          <w:b w:val="0"/>
          <w:color w:val="auto"/>
          <w:highlight w:val="auto"/>
        </w:rPr>
        <w:t>入支出决算总体情况说明</w:t>
      </w:r>
      <w:bookmarkEnd w:id="72"/>
      <w:bookmarkEnd w:id="73"/>
      <w:bookmarkEnd w:id="74"/>
      <w:bookmarkEnd w:id="75"/>
      <w:bookmarkEnd w:id="76"/>
      <w:bookmarkEnd w:id="77"/>
      <w:bookmarkEnd w:id="78"/>
      <w:bookmarkEnd w:id="79"/>
      <w:bookmarkEnd w:id="80"/>
      <w:bookmarkEnd w:id="81"/>
      <w:bookmarkEnd w:id="82"/>
    </w:p>
    <w:p>
      <w:pPr>
        <w:spacing w:line="576" w:lineRule="exact"/>
        <w:ind w:firstLineChars="200" w:firstLine="640"/>
        <w:rPr>
          <w:rFonts w:ascii="Times New Roman" w:eastAsia="黑体" w:hAnsi="Times New Roman" w:hint="eastAsia"/>
          <w:color w:val="auto"/>
          <w:sz w:val="32"/>
          <w:szCs w:val="32"/>
          <w:lang w:eastAsia="zh-CN"/>
          <w:highlight w:val="auto"/>
        </w:rPr>
      </w:pPr>
      <w:r>
        <w:rPr>
          <w:rFonts w:ascii="Times New Roman" w:eastAsia="仿宋_GB2312" w:cs="仿宋_GB2312" w:hAnsi="Times New Roman" w:hint="eastAsia"/>
          <w:color w:val="auto"/>
          <w:sz w:val="32"/>
          <w:szCs w:val="32"/>
          <w:lang w:eastAsia="zh-CN" w:bidi="ar-SA"/>
          <w:highlight w:val="auto"/>
        </w:rPr>
        <w:t>202</w:t>
      </w:r>
      <w:r>
        <w:rPr>
          <w:rFonts w:ascii="Times New Roman" w:eastAsia="仿宋_GB2312" w:cs="仿宋_GB2312" w:hAnsi="Times New Roman"/>
          <w:color w:val="auto"/>
          <w:sz w:val="32"/>
          <w:szCs w:val="32"/>
          <w:lang w:eastAsia="zh-CN" w:bidi="ar-SA"/>
          <w:highlight w:val="auto"/>
        </w:rPr>
        <w:t>5</w:t>
      </w:r>
      <w:r>
        <w:rPr>
          <w:rFonts w:ascii="Times New Roman" w:eastAsia="仿宋_GB2312" w:cs="仿宋_GB2312" w:hAnsi="Times New Roman" w:hint="eastAsia"/>
          <w:color w:val="auto"/>
          <w:sz w:val="32"/>
          <w:szCs w:val="32"/>
          <w:lang w:eastAsia="zh-CN" w:bidi="ar-SA"/>
          <w:highlight w:val="auto"/>
        </w:rPr>
        <w:t>年度收入</w:t>
      </w:r>
      <w:r>
        <w:rPr>
          <w:rFonts w:ascii="Times New Roman" w:eastAsia="仿宋_GB2312" w:cs="仿宋_GB2312" w:hAnsi="Times New Roman" w:hint="eastAsia"/>
          <w:color w:val="auto"/>
          <w:sz w:val="32"/>
          <w:szCs w:val="32"/>
          <w:lang w:bidi="ar-SA"/>
          <w:highlight w:val="auto"/>
        </w:rPr>
        <w:t>、</w:t>
      </w:r>
      <w:r>
        <w:rPr>
          <w:rFonts w:ascii="Times New Roman" w:eastAsia="仿宋_GB2312" w:cs="仿宋_GB2312" w:hAnsi="Times New Roman" w:hint="eastAsia"/>
          <w:color w:val="auto"/>
          <w:sz w:val="32"/>
          <w:szCs w:val="32"/>
          <w:lang w:eastAsia="zh-CN" w:bidi="ar-SA"/>
          <w:highlight w:val="auto"/>
        </w:rPr>
        <w:t>支出</w:t>
      </w:r>
      <w:r>
        <w:rPr>
          <w:rFonts w:ascii="Times New Roman" w:eastAsia="仿宋_GB2312" w:cs="仿宋_GB2312" w:hAnsi="Times New Roman" w:hint="eastAsia"/>
          <w:color w:val="auto"/>
          <w:sz w:val="32"/>
          <w:szCs w:val="32"/>
          <w:lang w:bidi="ar-SA"/>
          <w:highlight w:val="auto"/>
        </w:rPr>
        <w:t>总计</w:t>
      </w:r>
      <w:r>
        <w:rPr>
          <w:rFonts w:ascii="Times New Roman" w:eastAsia="仿宋_GB2312" w:cs="仿宋_GB2312" w:hAnsi="Times New Roman" w:hint="eastAsia"/>
          <w:color w:val="auto"/>
          <w:sz w:val="32"/>
          <w:szCs w:val="32"/>
          <w:lang w:eastAsia="zh-CN" w:bidi="ar-SA"/>
          <w:highlight w:val="auto"/>
        </w:rPr>
        <w:t>均为</w:t>
      </w:r>
      <w:r>
        <w:rPr>
          <w:rFonts w:ascii="仿宋_GB2312" w:eastAsia="仿宋_GB2312" w:cs="仿宋_GB2312" w:hint="eastAsia"/>
          <w:sz w:val="32"/>
          <w:szCs w:val="32"/>
          <w:lang w:bidi="ar-SA"/>
        </w:rPr>
        <w:t>838.18</w:t>
      </w:r>
      <w:r>
        <w:rPr>
          <w:rFonts w:ascii="Times New Roman" w:eastAsia="仿宋_GB2312" w:cs="仿宋_GB2312" w:hAnsi="Times New Roman" w:hint="eastAsia"/>
          <w:color w:val="auto"/>
          <w:sz w:val="32"/>
          <w:szCs w:val="32"/>
          <w:lang w:bidi="ar-SA"/>
          <w:highlight w:val="auto"/>
        </w:rPr>
        <w:t>万元。</w:t>
      </w:r>
      <w:r>
        <w:rPr>
          <w:rFonts w:ascii="Times New Roman" w:eastAsia="仿宋_GB2312" w:cs="仿宋_GB2312" w:hAnsi="Times New Roman"/>
          <w:color w:val="auto"/>
          <w:sz w:val="32"/>
          <w:szCs w:val="32"/>
          <w:lang w:bidi="ar-SA"/>
          <w:highlight w:val="auto"/>
        </w:rPr>
        <w:t>与上</w:t>
      </w:r>
      <w:r>
        <w:rPr>
          <w:rFonts w:ascii="Times New Roman" w:eastAsia="仿宋_GB2312" w:cs="仿宋_GB2312" w:hAnsi="Times New Roman" w:hint="eastAsia"/>
          <w:color w:val="auto"/>
          <w:sz w:val="32"/>
          <w:szCs w:val="32"/>
          <w:lang w:bidi="ar-SA"/>
          <w:highlight w:val="auto"/>
        </w:rPr>
        <w:t>年</w:t>
      </w:r>
      <w:r>
        <w:rPr>
          <w:rFonts w:ascii="Times New Roman" w:eastAsia="仿宋_GB2312" w:cs="仿宋_GB2312" w:hAnsi="Times New Roman" w:hint="eastAsia"/>
          <w:color w:val="auto"/>
          <w:sz w:val="32"/>
          <w:szCs w:val="32"/>
          <w:lang w:eastAsia="zh-CN" w:bidi="ar-SA"/>
          <w:highlight w:val="auto"/>
        </w:rPr>
        <w:t>度</w:t>
      </w:r>
      <w:r>
        <w:rPr>
          <w:rFonts w:ascii="Times New Roman" w:eastAsia="仿宋_GB2312" w:cs="仿宋_GB2312" w:hAnsi="Times New Roman" w:hint="eastAsia"/>
          <w:color w:val="auto"/>
          <w:sz w:val="32"/>
          <w:szCs w:val="32"/>
          <w:lang w:bidi="ar-SA"/>
          <w:highlight w:val="auto"/>
        </w:rPr>
        <w:t>相比，</w:t>
      </w:r>
      <w:r>
        <w:rPr>
          <w:rFonts w:ascii="Times New Roman" w:eastAsia="仿宋_GB2312" w:cs="仿宋_GB2312" w:hAnsi="Times New Roman" w:hint="eastAsia"/>
          <w:color w:val="auto"/>
          <w:sz w:val="32"/>
          <w:szCs w:val="32"/>
          <w:lang w:eastAsia="zh-CN" w:bidi="ar-SA"/>
          <w:highlight w:val="auto"/>
        </w:rPr>
        <w:t>收入</w:t>
      </w:r>
      <w:r>
        <w:rPr>
          <w:rFonts w:ascii="Times New Roman" w:eastAsia="仿宋_GB2312" w:cs="仿宋_GB2312" w:hAnsi="Times New Roman" w:hint="eastAsia"/>
          <w:color w:val="auto"/>
          <w:sz w:val="32"/>
          <w:szCs w:val="32"/>
          <w:lang w:bidi="ar-SA"/>
          <w:highlight w:val="auto"/>
        </w:rPr>
        <w:t>、</w:t>
      </w:r>
      <w:r>
        <w:rPr>
          <w:rFonts w:ascii="Times New Roman" w:eastAsia="仿宋_GB2312" w:cs="仿宋_GB2312" w:hAnsi="Times New Roman" w:hint="eastAsia"/>
          <w:color w:val="auto"/>
          <w:sz w:val="32"/>
          <w:szCs w:val="32"/>
          <w:lang w:eastAsia="zh-CN" w:bidi="ar-SA"/>
          <w:highlight w:val="auto"/>
        </w:rPr>
        <w:t>支出</w:t>
      </w:r>
      <w:r>
        <w:rPr>
          <w:rFonts w:ascii="Times New Roman" w:eastAsia="仿宋_GB2312" w:cs="仿宋_GB2312" w:hAnsi="Times New Roman" w:hint="eastAsia"/>
          <w:color w:val="auto"/>
          <w:sz w:val="32"/>
          <w:szCs w:val="32"/>
          <w:lang w:bidi="ar-SA"/>
          <w:highlight w:val="auto"/>
        </w:rPr>
        <w:t>总计各增加</w:t>
      </w:r>
      <w:r>
        <w:rPr>
          <w:rFonts w:ascii="Times New Roman" w:eastAsia="仿宋_GB2312" w:cs="仿宋_GB2312" w:hAnsi="Times New Roman"/>
          <w:color w:val="auto"/>
          <w:sz w:val="32"/>
          <w:szCs w:val="32"/>
          <w:lang w:bidi="ar-SA"/>
          <w:highlight w:val="auto"/>
        </w:rPr>
        <w:t>33.14</w:t>
      </w:r>
      <w:r>
        <w:rPr>
          <w:rFonts w:ascii="Times New Roman" w:eastAsia="仿宋_GB2312" w:cs="仿宋_GB2312" w:hAnsi="Times New Roman" w:hint="eastAsia"/>
          <w:color w:val="auto"/>
          <w:sz w:val="32"/>
          <w:szCs w:val="32"/>
          <w:lang w:bidi="ar-SA"/>
          <w:highlight w:val="auto"/>
        </w:rPr>
        <w:t>万元，增长</w:t>
      </w:r>
      <w:r>
        <w:rPr>
          <w:rFonts w:ascii="Times New Roman" w:eastAsia="仿宋_GB2312" w:cs="仿宋_GB2312" w:hAnsi="Times New Roman"/>
          <w:color w:val="auto"/>
          <w:sz w:val="32"/>
          <w:szCs w:val="32"/>
          <w:lang w:bidi="ar-SA"/>
          <w:highlight w:val="auto"/>
        </w:rPr>
        <w:t>4.12</w:t>
      </w:r>
      <w:r>
        <w:rPr>
          <w:rFonts w:ascii="Times New Roman" w:eastAsia="仿宋_GB2312" w:cs="仿宋_GB2312" w:hAnsi="Times New Roman" w:hint="eastAsia"/>
          <w:color w:val="auto"/>
          <w:sz w:val="32"/>
          <w:szCs w:val="32"/>
          <w:lang w:bidi="ar-SA"/>
          <w:highlight w:val="auto"/>
        </w:rPr>
        <w:t>%。主要变动原因是</w:t>
      </w:r>
      <w:r>
        <w:rPr>
          <w:rFonts w:ascii="Times New Roman" w:eastAsia="仿宋_GB2312" w:cs="仿宋_GB2312" w:hAnsi="Times New Roman"/>
          <w:color w:val="auto"/>
          <w:sz w:val="32"/>
          <w:szCs w:val="32"/>
          <w:lang w:bidi="ar-SA"/>
          <w:highlight w:val="auto"/>
        </w:rPr>
        <w:t>：</w:t>
      </w:r>
      <w:r>
        <w:rPr>
          <w:rFonts w:ascii="仿宋" w:eastAsia="仿宋" w:hint="eastAsia"/>
          <w:color w:val="auto"/>
          <w:sz w:val="32"/>
          <w:szCs w:val="32"/>
          <w:lang w:eastAsia="zh-CN"/>
          <w:highlight w:val="auto"/>
        </w:rPr>
        <w:t>职工工资、五险一金预算增加。</w:t>
      </w:r>
      <w:bookmarkStart w:id="83" w:name="_Toc15396604"/>
      <w:bookmarkStart w:id="84" w:name="_Toc55224657"/>
      <w:bookmarkStart w:id="85" w:name="_Toc55224228"/>
      <w:bookmarkStart w:id="86" w:name="_Toc15377206"/>
      <w:bookmarkStart w:id="87" w:name="_Toc75095812"/>
      <w:bookmarkStart w:id="88" w:name="_Toc55224324"/>
      <w:bookmarkStart w:id="89" w:name="_Toc88111013"/>
      <w:bookmarkStart w:id="90" w:name="_Toc55224559"/>
      <w:bookmarkStart w:id="91" w:name="_Toc55224461"/>
      <w:bookmarkStart w:id="92" w:name="_Toc55224372"/>
      <w:bookmarkStart w:id="93" w:name="_Toc75095928"/>
    </w:p>
    <w:p>
      <w:pPr>
        <w:pStyle w:val="37"/>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outlineLvl w:val="1"/>
        <w:rPr>
          <w:rFonts w:ascii="Times New Roman" w:eastAsia="黑体" w:hAnsi="Times New Roman"/>
          <w:color w:val="auto"/>
          <w:sz w:val="32"/>
          <w:szCs w:val="32"/>
          <w:lang w:eastAsia="zh-CN"/>
          <w:highlight w:val="auto"/>
        </w:rPr>
      </w:pPr>
    </w:p>
    <w:p>
      <w:pPr>
        <w:pStyle w:val="37"/>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outlineLvl w:val="1"/>
        <w:rPr>
          <w:rFonts w:ascii="Times New Roman" w:eastAsia="黑体" w:hAnsi="Times New Roman"/>
          <w:color w:val="auto"/>
          <w:sz w:val="32"/>
          <w:szCs w:val="32"/>
          <w:lang w:eastAsia="zh-CN"/>
          <w:highlight w:val="auto"/>
        </w:rPr>
      </w:pPr>
    </w:p>
    <w:p>
      <w:pPr>
        <w:pStyle w:val="37"/>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outlineLvl w:val="1"/>
        <w:rPr>
          <w:rFonts w:ascii="Times New Roman" w:eastAsia="黑体" w:hAnsi="Times New Roman"/>
          <w:color w:val="auto"/>
          <w:sz w:val="32"/>
          <w:szCs w:val="32"/>
          <w:lang w:eastAsia="zh-CN"/>
          <w:highlight w:val="auto"/>
        </w:rPr>
      </w:pPr>
    </w:p>
    <w:p>
      <w:pPr>
        <w:pStyle w:val="37"/>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outlineLvl w:val="1"/>
        <w:rPr>
          <w:rFonts w:ascii="Times New Roman" w:eastAsia="黑体" w:hAnsi="Times New Roman"/>
          <w:color w:val="auto"/>
          <w:sz w:val="32"/>
          <w:szCs w:val="32"/>
          <w:lang w:eastAsia="zh-CN"/>
          <w:highlight w:val="auto"/>
        </w:rPr>
      </w:pPr>
    </w:p>
    <w:p>
      <w:pPr>
        <w:pStyle w:val="37"/>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outlineLvl w:val="1"/>
        <w:rPr>
          <w:rFonts w:ascii="Times New Roman" w:eastAsia="黑体" w:hAnsi="Times New Roman"/>
          <w:color w:val="auto"/>
          <w:sz w:val="32"/>
          <w:szCs w:val="32"/>
          <w:lang w:eastAsia="zh-CN"/>
          <w:highlight w:val="auto"/>
        </w:rPr>
      </w:pPr>
    </w:p>
    <w:p>
      <w:pPr>
        <w:pStyle w:val="37"/>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outlineLvl w:val="1"/>
        <w:rPr>
          <w:rFonts w:ascii="Times New Roman" w:eastAsia="黑体" w:hAnsi="Times New Roman"/>
          <w:color w:val="auto"/>
          <w:sz w:val="32"/>
          <w:szCs w:val="32"/>
          <w:lang w:eastAsia="zh-CN"/>
          <w:highlight w:val="auto"/>
        </w:rPr>
      </w:pPr>
    </w:p>
    <w:p>
      <w:pPr>
        <w:pStyle w:val="37"/>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outlineLvl w:val="1"/>
        <w:rPr>
          <w:rFonts w:ascii="Times New Roman" w:eastAsia="黑体" w:hAnsi="Times New Roman"/>
          <w:color w:val="auto"/>
          <w:sz w:val="32"/>
          <w:szCs w:val="32"/>
          <w:lang w:eastAsia="zh-CN"/>
          <w:highlight w:val="auto"/>
        </w:rPr>
      </w:pPr>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420"/>
        <w:outlineLvl w:val="1"/>
        <w:rPr>
          <w:rFonts w:eastAsia="黑体" w:hint="eastAsia"/>
          <w:sz w:val="32"/>
          <w:szCs w:val="32"/>
        </w:rPr>
      </w:pPr>
      <w:r>
        <w:rPr>
          <w:rFonts w:ascii="仿宋_GB2312" w:eastAsia="仿宋_GB2312" w:cs="仿宋_GB2312" w:hint="eastAsia"/>
        </w:rPr>
        <w:drawing>
          <wp:anchor distT="0" distB="0" distL="114300" distR="114300" simplePos="0" relativeHeight="18" behindDoc="0" locked="0" layoutInCell="1" hidden="0" allowOverlap="1">
            <wp:simplePos x="0" y="0"/>
            <wp:positionH relativeFrom="page">
              <wp:posOffset>1472565</wp:posOffset>
            </wp:positionH>
            <wp:positionV relativeFrom="page">
              <wp:posOffset>3527425</wp:posOffset>
            </wp:positionV>
            <wp:extent cx="4799965" cy="2171064"/>
            <wp:effectExtent l="0" t="0" r="0" b="0"/>
            <wp:wrapSquare wrapText="bothSides"/>
            <wp:docPr id="1" name="Object 4"/>
            <wp:cNvGraphicFramePr>
              <a:graphicFrameLocks noChangeAspect="1"/>
            </wp:cNvGraphicFramePr>
            <a:graphic>
              <a:graphicData uri="http://schemas.openxmlformats.org/drawingml/2006/picture">
                <pic:pic>
                  <pic:nvPicPr>
                    <pic:cNvPr id="3" name="Object 4 3"/>
                    <pic:cNvPicPr/>
                  </pic:nvPicPr>
                  <pic:blipFill>
                    <a:blip r:embed="rId3"/>
                    <a:stretch>
                      <a:fillRect/>
                    </a:stretch>
                  </pic:blipFill>
                  <pic:spPr>
                    <a:xfrm rot="0">
                      <a:off x="0" y="0"/>
                      <a:ext cx="4799965" cy="2171064"/>
                    </a:xfrm>
                    <a:prstGeom prst="rect"/>
                    <a:noFill/>
                    <a:ln w="9525" cmpd="sng" cap="flat">
                      <a:noFill/>
                      <a:prstDash val="solid"/>
                      <a:miter/>
                    </a:ln>
                  </pic:spPr>
                </pic:pic>
              </a:graphicData>
            </a:graphic>
          </wp:anchor>
        </w:drawing>
      </w:r>
      <w:r>
        <w:rPr>
          <w:rFonts w:ascii="Times New Roman" w:eastAsia="黑体" w:hAnsi="Times New Roman" w:hint="eastAsia"/>
          <w:color w:val="auto"/>
          <w:sz w:val="32"/>
          <w:szCs w:val="32"/>
          <w:lang w:eastAsia="zh-CN"/>
          <w:highlight w:val="auto"/>
        </w:rPr>
        <w:t>二、收入决算情况说明</w:t>
      </w:r>
      <w:bookmarkStart w:id="94" w:name="_Toc55224373"/>
      <w:bookmarkStart w:id="95" w:name="_Toc75095813"/>
      <w:bookmarkStart w:id="96" w:name="_Toc88111014"/>
      <w:bookmarkStart w:id="97" w:name="_Toc55224229"/>
      <w:bookmarkStart w:id="98" w:name="_Toc38849425"/>
      <w:bookmarkStart w:id="99" w:name="_Toc75095929"/>
      <w:bookmarkStart w:id="100" w:name="_Toc38849466"/>
      <w:bookmarkStart w:id="101" w:name="_Toc55224609"/>
      <w:bookmarkStart w:id="102" w:name="_Toc44445308"/>
      <w:bookmarkStart w:id="103" w:name="_Toc55224658"/>
      <w:bookmarkStart w:id="104" w:name="_Toc55224462"/>
      <w:bookmarkStart w:id="105" w:name="_Toc55224325"/>
      <w:bookmarkStart w:id="106" w:name="_Toc55224560"/>
      <w:bookmarkStart w:id="107" w:name="_Toc55224421"/>
      <w:bookmarkStart w:id="108" w:name="_Toc75095958"/>
      <w:bookmarkStart w:id="109" w:name="_Toc75095852"/>
      <w:bookmarkStart w:id="110" w:name="_Toc75095988"/>
      <w:bookmarkEnd w:id="83"/>
      <w:bookmarkEnd w:id="84"/>
      <w:bookmarkEnd w:id="85"/>
      <w:bookmarkEnd w:id="86"/>
      <w:bookmarkEnd w:id="87"/>
      <w:bookmarkEnd w:id="88"/>
      <w:bookmarkEnd w:id="89"/>
      <w:bookmarkEnd w:id="90"/>
      <w:bookmarkEnd w:id="91"/>
      <w:bookmarkEnd w:id="92"/>
      <w:bookmarkEnd w:id="93"/>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640"/>
        <w:jc w:val="left"/>
        <w:outlineLvl w:val="1"/>
        <w:rPr>
          <w:rFonts w:ascii="仿宋_GB2312" w:eastAsia="仿宋_GB2312" w:cs="仿宋_GB2312" w:hint="eastAsia"/>
          <w:sz w:val="32"/>
          <w:szCs w:val="32"/>
        </w:rPr>
      </w:pPr>
      <w:r>
        <w:rPr>
          <w:rFonts w:ascii="仿宋_GB2312" w:eastAsia="仿宋_GB2312" w:cs="仿宋_GB2312" w:hint="eastAsia"/>
          <w:color w:val="auto"/>
          <w:sz w:val="32"/>
          <w:szCs w:val="32"/>
          <w:lang w:eastAsia="zh-CN" w:bidi="ar-SA"/>
          <w:highlight w:val="auto"/>
        </w:rPr>
        <w:t>2025年度本年收入合计</w:t>
      </w:r>
      <w:r>
        <w:rPr>
          <w:rFonts w:ascii="仿宋_GB2312" w:eastAsia="仿宋_GB2312" w:cs="仿宋_GB2312" w:hint="eastAsia"/>
          <w:sz w:val="32"/>
          <w:szCs w:val="32"/>
          <w:lang w:bidi="ar-SA"/>
        </w:rPr>
        <w:t>838.18万元，其中：一般公共预算财政拨款收入838.18</w:t>
      </w:r>
      <w:r>
        <w:rPr>
          <w:rFonts w:ascii="仿宋_GB2312" w:eastAsia="仿宋_GB2312" w:cs="仿宋_GB2312" w:hint="eastAsia"/>
          <w:color w:val="auto"/>
          <w:sz w:val="32"/>
          <w:szCs w:val="32"/>
          <w:lang w:eastAsia="zh-CN" w:bidi="ar-SA"/>
          <w:highlight w:val="auto"/>
        </w:rPr>
        <w:t>万元，占</w:t>
      </w:r>
      <w:r>
        <w:rPr>
          <w:rFonts w:ascii="仿宋_GB2312" w:eastAsia="仿宋_GB2312" w:cs="仿宋_GB2312" w:hint="eastAsia"/>
          <w:sz w:val="32"/>
          <w:szCs w:val="32"/>
          <w:lang w:bidi="ar-SA"/>
        </w:rPr>
        <w:t>100</w:t>
      </w:r>
      <w:r>
        <w:rPr>
          <w:rFonts w:ascii="仿宋_GB2312" w:eastAsia="仿宋_GB2312" w:cs="仿宋_GB2312" w:hint="eastAsia"/>
          <w:color w:val="auto"/>
          <w:sz w:val="32"/>
          <w:szCs w:val="32"/>
          <w:lang w:eastAsia="zh-CN" w:bidi="ar-SA"/>
          <w:highlight w:val="auto"/>
        </w:rPr>
        <w:t>%。</w:t>
      </w:r>
      <w:bookmarkStart w:id="111" w:name="_Toc15396605"/>
      <w:bookmarkStart w:id="112" w:name="_Toc15377207"/>
      <w:bookmarkStart w:id="113" w:name="_Toc75095930"/>
      <w:bookmarkStart w:id="114" w:name="_Toc88111015"/>
      <w:bookmarkStart w:id="115" w:name="_Toc75095814"/>
      <w:bookmarkStart w:id="116" w:name="_Toc55224374"/>
      <w:bookmarkStart w:id="117" w:name="_Toc55224326"/>
      <w:bookmarkStart w:id="118" w:name="_Toc55224659"/>
      <w:bookmarkStart w:id="119" w:name="_Toc55224463"/>
      <w:bookmarkStart w:id="120" w:name="_Toc55224561"/>
      <w:bookmarkStart w:id="121" w:name="_Toc55224230"/>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37"/>
        <w:keepNext w:val="0"/>
        <w:keepLines w:val="0"/>
        <w:pageBreakBefore w:val="0"/>
        <w:widowControl w:val="0"/>
        <w:kinsoku/>
        <w:wordWrap/>
        <w:overflowPunct/>
        <w:topLinePunct w:val="0"/>
        <w:autoSpaceDE/>
        <w:autoSpaceDN/>
        <w:bidi w:val="0"/>
        <w:adjustRightInd/>
        <w:snapToGrid/>
        <w:spacing w:line="576" w:lineRule="exact"/>
        <w:ind w:firstLineChars="200" w:firstLine="420"/>
        <w:textAlignment w:val="auto"/>
        <w:outlineLvl w:val="1"/>
        <w:rPr>
          <w:rFonts w:ascii="Times New Roman" w:eastAsia="黑体" w:hAnsi="Times New Roman"/>
          <w:color w:val="auto"/>
          <w:sz w:val="32"/>
          <w:szCs w:val="32"/>
          <w:lang w:eastAsia="zh-CN"/>
          <w:highlight w:val="auto"/>
        </w:rPr>
      </w:pPr>
      <w:r>
        <w:rPr>
          <w:rFonts w:ascii="仿宋_GB2312" w:eastAsia="仿宋_GB2312" w:cs="仿宋_GB2312" w:hint="eastAsia"/>
        </w:rPr>
        <w:drawing>
          <wp:anchor distT="0" distB="0" distL="114300" distR="114300" simplePos="0" relativeHeight="20" behindDoc="0" locked="0" layoutInCell="1" hidden="0" allowOverlap="1">
            <wp:simplePos x="0" y="0"/>
            <wp:positionH relativeFrom="page">
              <wp:posOffset>1811649</wp:posOffset>
            </wp:positionH>
            <wp:positionV relativeFrom="page">
              <wp:posOffset>7145229</wp:posOffset>
            </wp:positionV>
            <wp:extent cx="3363521" cy="1809723"/>
            <wp:effectExtent l="0" t="0" r="0" b="0"/>
            <wp:wrapSquare wrapText="bothSides"/>
            <wp:docPr id="4" name="Object 5"/>
            <wp:cNvGraphicFramePr>
              <a:graphicFrameLocks noChangeAspect="1"/>
            </wp:cNvGraphicFramePr>
            <a:graphic>
              <a:graphicData uri="http://schemas.openxmlformats.org/drawingml/2006/picture">
                <pic:pic>
                  <pic:nvPicPr>
                    <pic:cNvPr id="6" name="Object 5 6"/>
                    <pic:cNvPicPr/>
                  </pic:nvPicPr>
                  <pic:blipFill>
                    <a:blip r:embed="rId4"/>
                    <a:stretch>
                      <a:fillRect/>
                    </a:stretch>
                  </pic:blipFill>
                  <pic:spPr>
                    <a:xfrm rot="0">
                      <a:off x="0" y="0"/>
                      <a:ext cx="3363521" cy="1809723"/>
                    </a:xfrm>
                    <a:prstGeom prst="rect"/>
                    <a:noFill/>
                    <a:ln w="9525" cmpd="sng" cap="flat">
                      <a:noFill/>
                      <a:prstDash val="solid"/>
                      <a:miter/>
                    </a:ln>
                  </pic:spPr>
                </pic:pic>
              </a:graphicData>
            </a:graphic>
          </wp:anchor>
        </w:drawing>
      </w:r>
    </w:p>
    <w:p>
      <w:pPr>
        <w:pStyle w:val="37"/>
        <w:keepNext w:val="0"/>
        <w:keepLines w:val="0"/>
        <w:pageBreakBefore w:val="0"/>
        <w:widowControl w:val="0"/>
        <w:kinsoku/>
        <w:wordWrap/>
        <w:overflowPunct/>
        <w:topLinePunct w:val="0"/>
        <w:autoSpaceDE/>
        <w:autoSpaceDN/>
        <w:bidi w:val="0"/>
        <w:adjustRightInd/>
        <w:snapToGrid/>
        <w:spacing w:line="576" w:lineRule="exact"/>
        <w:ind w:firstLineChars="200" w:firstLine="640"/>
        <w:textAlignment w:val="auto"/>
        <w:outlineLvl w:val="1"/>
        <w:rPr>
          <w:rFonts w:ascii="Times New Roman" w:eastAsia="黑体" w:hAnsi="Times New Roman"/>
          <w:color w:val="auto"/>
          <w:sz w:val="32"/>
          <w:szCs w:val="32"/>
          <w:lang w:eastAsia="zh-CN"/>
          <w:highlight w:val="auto"/>
        </w:rPr>
      </w:pPr>
    </w:p>
    <w:p>
      <w:pPr>
        <w:pStyle w:val="37"/>
        <w:keepNext w:val="0"/>
        <w:keepLines w:val="0"/>
        <w:pageBreakBefore w:val="0"/>
        <w:widowControl w:val="0"/>
        <w:kinsoku/>
        <w:wordWrap/>
        <w:overflowPunct/>
        <w:topLinePunct w:val="0"/>
        <w:autoSpaceDE/>
        <w:autoSpaceDN/>
        <w:bidi w:val="0"/>
        <w:adjustRightInd/>
        <w:snapToGrid/>
        <w:spacing w:line="576" w:lineRule="exact"/>
        <w:ind w:firstLineChars="200" w:firstLine="640"/>
        <w:textAlignment w:val="auto"/>
        <w:outlineLvl w:val="1"/>
        <w:rPr>
          <w:rFonts w:ascii="Times New Roman" w:eastAsia="黑体" w:hAnsi="Times New Roman"/>
          <w:color w:val="auto"/>
          <w:sz w:val="32"/>
          <w:szCs w:val="32"/>
          <w:lang w:eastAsia="zh-CN"/>
          <w:highlight w:val="auto"/>
        </w:rPr>
      </w:pPr>
    </w:p>
    <w:p>
      <w:pPr>
        <w:pStyle w:val="37"/>
        <w:keepNext w:val="0"/>
        <w:keepLines w:val="0"/>
        <w:pageBreakBefore w:val="0"/>
        <w:widowControl w:val="0"/>
        <w:kinsoku/>
        <w:wordWrap/>
        <w:overflowPunct/>
        <w:topLinePunct w:val="0"/>
        <w:autoSpaceDE/>
        <w:autoSpaceDN/>
        <w:bidi w:val="0"/>
        <w:adjustRightInd/>
        <w:snapToGrid/>
        <w:spacing w:line="576" w:lineRule="exact"/>
        <w:ind w:left="0" w:firstLineChars="0" w:firstLine="0"/>
        <w:textAlignment w:val="auto"/>
        <w:outlineLvl w:val="1"/>
        <w:rPr>
          <w:rFonts w:ascii="Times New Roman" w:eastAsia="黑体" w:hAnsi="Times New Roman"/>
          <w:color w:val="auto"/>
          <w:sz w:val="32"/>
          <w:szCs w:val="32"/>
          <w:lang w:eastAsia="zh-CN"/>
          <w:highlight w:val="auto"/>
        </w:rPr>
      </w:pPr>
    </w:p>
    <w:p>
      <w:pPr>
        <w:pStyle w:val="37"/>
        <w:keepNext w:val="0"/>
        <w:keepLines w:val="0"/>
        <w:pageBreakBefore w:val="0"/>
        <w:widowControl w:val="0"/>
        <w:kinsoku/>
        <w:wordWrap/>
        <w:overflowPunct/>
        <w:topLinePunct w:val="0"/>
        <w:autoSpaceDE/>
        <w:autoSpaceDN/>
        <w:bidi w:val="0"/>
        <w:adjustRightInd/>
        <w:snapToGrid/>
        <w:spacing w:line="576" w:lineRule="exact"/>
        <w:ind w:left="0" w:firstLineChars="0" w:firstLine="0"/>
        <w:textAlignment w:val="auto"/>
        <w:outlineLvl w:val="1"/>
        <w:rPr>
          <w:rFonts w:ascii="Times New Roman" w:eastAsia="黑体" w:hAnsi="Times New Roman"/>
          <w:color w:val="auto"/>
          <w:sz w:val="32"/>
          <w:szCs w:val="32"/>
          <w:lang w:eastAsia="zh-CN"/>
          <w:highlight w:val="auto"/>
        </w:rPr>
      </w:pPr>
    </w:p>
    <w:p>
      <w:pPr>
        <w:pStyle w:val="37"/>
        <w:keepNext w:val="0"/>
        <w:keepLines w:val="0"/>
        <w:pageBreakBefore w:val="0"/>
        <w:widowControl w:val="0"/>
        <w:kinsoku/>
        <w:wordWrap/>
        <w:overflowPunct/>
        <w:topLinePunct w:val="0"/>
        <w:autoSpaceDE/>
        <w:autoSpaceDN/>
        <w:bidi w:val="0"/>
        <w:adjustRightInd/>
        <w:snapToGrid/>
        <w:spacing w:line="576" w:lineRule="exact"/>
        <w:ind w:left="0" w:firstLineChars="0" w:firstLine="0"/>
        <w:textAlignment w:val="auto"/>
        <w:outlineLvl w:val="1"/>
        <w:rPr>
          <w:rFonts w:ascii="Times New Roman" w:eastAsia="黑体" w:hAnsi="Times New Roman"/>
          <w:color w:val="auto"/>
          <w:sz w:val="32"/>
          <w:szCs w:val="32"/>
          <w:lang w:eastAsia="zh-CN"/>
          <w:highlight w:val="auto"/>
        </w:rPr>
      </w:pPr>
    </w:p>
    <w:p>
      <w:pPr>
        <w:pStyle w:val="37"/>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outlineLvl w:val="1"/>
        <w:rPr>
          <w:rStyle w:val="2Char"/>
          <w:rFonts w:ascii="Times New Roman" w:eastAsia="黑体" w:hAnsi="Times New Roman" w:hint="eastAsia"/>
          <w:b w:val="0"/>
          <w:color w:val="auto"/>
          <w:highlight w:val="auto"/>
        </w:rPr>
      </w:pPr>
      <w:r>
        <w:rPr>
          <w:rFonts w:ascii="Times New Roman" w:eastAsia="黑体" w:hAnsi="Times New Roman"/>
          <w:color w:val="auto"/>
          <w:sz w:val="32"/>
          <w:szCs w:val="32"/>
          <w:lang w:eastAsia="zh-CN"/>
          <w:highlight w:val="auto"/>
        </w:rPr>
        <w:t>三</w:t>
      </w:r>
      <w:r>
        <w:rPr>
          <w:rFonts w:ascii="Times New Roman" w:eastAsia="黑体" w:hAnsi="Times New Roman" w:hint="eastAsia"/>
          <w:color w:val="auto"/>
          <w:sz w:val="32"/>
          <w:szCs w:val="32"/>
          <w:lang w:eastAsia="zh-CN"/>
          <w:highlight w:val="auto"/>
        </w:rPr>
        <w:t>、</w:t>
      </w:r>
      <w:r>
        <w:rPr>
          <w:rFonts w:ascii="Times New Roman" w:eastAsia="黑体" w:hAnsi="Times New Roman" w:hint="eastAsia"/>
          <w:color w:val="auto"/>
          <w:sz w:val="32"/>
          <w:szCs w:val="32"/>
          <w:highlight w:val="auto"/>
        </w:rPr>
        <w:t>支</w:t>
      </w:r>
      <w:r>
        <w:rPr>
          <w:rStyle w:val="2Char"/>
          <w:rFonts w:ascii="Times New Roman" w:eastAsia="黑体" w:hAnsi="Times New Roman" w:hint="eastAsia"/>
          <w:b w:val="0"/>
          <w:color w:val="auto"/>
          <w:highlight w:val="auto"/>
        </w:rPr>
        <w:t>出决算</w:t>
      </w:r>
      <w:bookmarkEnd w:id="111"/>
      <w:bookmarkEnd w:id="112"/>
      <w:r>
        <w:rPr>
          <w:rStyle w:val="2Char"/>
          <w:rFonts w:ascii="Times New Roman" w:eastAsia="黑体" w:hAnsi="Times New Roman" w:hint="eastAsia"/>
          <w:b w:val="0"/>
          <w:color w:val="auto"/>
          <w:highlight w:val="auto"/>
        </w:rPr>
        <w:t>情况说明</w:t>
      </w:r>
      <w:bookmarkEnd w:id="113"/>
      <w:bookmarkEnd w:id="114"/>
      <w:bookmarkEnd w:id="115"/>
      <w:bookmarkEnd w:id="116"/>
      <w:bookmarkEnd w:id="117"/>
      <w:bookmarkEnd w:id="118"/>
      <w:bookmarkEnd w:id="119"/>
      <w:bookmarkEnd w:id="120"/>
      <w:bookmarkEnd w:id="121"/>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420"/>
        <w:jc w:val="left"/>
        <w:outlineLvl w:val="1"/>
        <w:rPr>
          <w:rFonts w:ascii="仿宋_GB2312" w:eastAsia="仿宋_GB2312" w:cs="仿宋_GB2312" w:hint="eastAsia"/>
          <w:sz w:val="32"/>
          <w:szCs w:val="32"/>
        </w:rPr>
      </w:pPr>
      <w:bookmarkStart w:id="122" w:name="_Toc55224375"/>
      <w:bookmarkStart w:id="123" w:name="_Toc55224660"/>
      <w:bookmarkStart w:id="124" w:name="_Toc55224464"/>
      <w:bookmarkStart w:id="125" w:name="_Toc55224423"/>
      <w:bookmarkStart w:id="126" w:name="_Toc75095931"/>
      <w:bookmarkStart w:id="127" w:name="_Toc38849468"/>
      <w:bookmarkStart w:id="128" w:name="_Toc55224562"/>
      <w:bookmarkStart w:id="129" w:name="_Toc44445310"/>
      <w:bookmarkStart w:id="130" w:name="_Toc88111016"/>
      <w:bookmarkStart w:id="131" w:name="_Toc75095815"/>
      <w:bookmarkStart w:id="132" w:name="_Toc55224327"/>
      <w:bookmarkStart w:id="133" w:name="_Toc75095990"/>
      <w:bookmarkStart w:id="134" w:name="_Toc75095960"/>
      <w:bookmarkStart w:id="135" w:name="_Toc38849427"/>
      <w:bookmarkStart w:id="136" w:name="_Toc55224231"/>
      <w:r>
        <w:rPr>
          <w:rFonts w:ascii="仿宋_GB2312" w:eastAsia="仿宋_GB2312" w:cs="仿宋_GB2312" w:hint="eastAsia"/>
        </w:rPr>
        <w:drawing>
          <wp:anchor distT="0" distB="0" distL="114300" distR="114300" simplePos="0" relativeHeight="22" behindDoc="0" locked="0" layoutInCell="1" hidden="0" allowOverlap="1">
            <wp:simplePos x="0" y="0"/>
            <wp:positionH relativeFrom="page">
              <wp:posOffset>1334136</wp:posOffset>
            </wp:positionH>
            <wp:positionV relativeFrom="page">
              <wp:posOffset>2572384</wp:posOffset>
            </wp:positionV>
            <wp:extent cx="4384674" cy="2148840"/>
            <wp:effectExtent l="0" t="0" r="0" b="0"/>
            <wp:wrapSquare wrapText="bothSides"/>
            <wp:docPr id="7" name="Object 6"/>
            <wp:cNvGraphicFramePr>
              <a:graphicFrameLocks noChangeAspect="1"/>
            </wp:cNvGraphicFramePr>
            <a:graphic>
              <a:graphicData uri="http://schemas.openxmlformats.org/drawingml/2006/picture">
                <pic:pic>
                  <pic:nvPicPr>
                    <pic:cNvPr id="9" name="Object 6 9"/>
                    <pic:cNvPicPr/>
                  </pic:nvPicPr>
                  <pic:blipFill>
                    <a:blip r:embed="rId5"/>
                    <a:stretch>
                      <a:fillRect/>
                    </a:stretch>
                  </pic:blipFill>
                  <pic:spPr>
                    <a:xfrm rot="0">
                      <a:off x="0" y="0"/>
                      <a:ext cx="4384674" cy="2148840"/>
                    </a:xfrm>
                    <a:prstGeom prst="rect"/>
                    <a:noFill/>
                    <a:ln w="9525" cmpd="sng" cap="flat">
                      <a:noFill/>
                      <a:prstDash val="solid"/>
                      <a:miter/>
                    </a:ln>
                  </pic:spPr>
                </pic:pic>
              </a:graphicData>
            </a:graphic>
          </wp:anchor>
        </w:drawing>
      </w:r>
      <w:r>
        <w:rPr>
          <w:rFonts w:ascii="仿宋_GB2312" w:eastAsia="仿宋_GB2312" w:cs="仿宋_GB2312" w:hint="eastAsia"/>
          <w:color w:val="auto"/>
          <w:sz w:val="32"/>
          <w:szCs w:val="32"/>
          <w:lang w:eastAsia="zh-CN" w:bidi="ar-SA"/>
          <w:highlight w:val="auto"/>
        </w:rPr>
        <w:t>2025年度本年支出合计838.18万元，其中：基本支出</w:t>
      </w:r>
      <w:r>
        <w:rPr>
          <w:rFonts w:ascii="仿宋_GB2312" w:eastAsia="仿宋_GB2312" w:cs="仿宋_GB2312" w:hint="eastAsia"/>
          <w:sz w:val="32"/>
          <w:szCs w:val="32"/>
          <w:lang w:bidi="ar-SA"/>
        </w:rPr>
        <w:t>771.1</w:t>
      </w:r>
      <w:r>
        <w:rPr>
          <w:rFonts w:ascii="仿宋_GB2312" w:eastAsia="仿宋_GB2312" w:cs="仿宋_GB2312" w:hint="eastAsia"/>
          <w:color w:val="auto"/>
          <w:sz w:val="32"/>
          <w:szCs w:val="32"/>
          <w:lang w:eastAsia="zh-CN" w:bidi="ar-SA"/>
          <w:highlight w:val="auto"/>
        </w:rPr>
        <w:t>万元，占</w:t>
      </w:r>
      <w:r>
        <w:rPr>
          <w:rFonts w:ascii="仿宋_GB2312" w:eastAsia="仿宋_GB2312" w:cs="仿宋_GB2312" w:hint="eastAsia"/>
          <w:sz w:val="32"/>
          <w:szCs w:val="32"/>
          <w:lang w:bidi="ar-SA"/>
        </w:rPr>
        <w:t>92</w:t>
      </w:r>
      <w:r>
        <w:rPr>
          <w:rFonts w:ascii="仿宋_GB2312" w:eastAsia="仿宋_GB2312" w:cs="仿宋_GB2312" w:hint="eastAsia"/>
          <w:color w:val="auto"/>
          <w:sz w:val="32"/>
          <w:szCs w:val="32"/>
          <w:lang w:eastAsia="zh-CN" w:bidi="ar-SA"/>
          <w:highlight w:val="auto"/>
        </w:rPr>
        <w:t>%；项目支出</w:t>
      </w:r>
      <w:r>
        <w:rPr>
          <w:rFonts w:ascii="仿宋_GB2312" w:eastAsia="仿宋_GB2312" w:cs="仿宋_GB2312" w:hint="eastAsia"/>
          <w:sz w:val="32"/>
          <w:szCs w:val="32"/>
          <w:lang w:bidi="ar-SA"/>
        </w:rPr>
        <w:t>67.08</w:t>
      </w:r>
      <w:r>
        <w:rPr>
          <w:rFonts w:ascii="仿宋_GB2312" w:eastAsia="仿宋_GB2312" w:cs="仿宋_GB2312" w:hint="eastAsia"/>
          <w:color w:val="auto"/>
          <w:sz w:val="32"/>
          <w:szCs w:val="32"/>
          <w:lang w:eastAsia="zh-CN" w:bidi="ar-SA"/>
          <w:highlight w:val="auto"/>
        </w:rPr>
        <w:t>万元，占</w:t>
      </w:r>
      <w:r>
        <w:rPr>
          <w:rFonts w:ascii="仿宋_GB2312" w:eastAsia="仿宋_GB2312" w:cs="仿宋_GB2312" w:hint="eastAsia"/>
          <w:sz w:val="32"/>
          <w:szCs w:val="32"/>
          <w:lang w:bidi="ar-SA"/>
        </w:rPr>
        <w:t>8</w:t>
      </w:r>
      <w:r>
        <w:rPr>
          <w:rFonts w:ascii="仿宋_GB2312" w:eastAsia="仿宋_GB2312" w:cs="仿宋_GB2312" w:hint="eastAsia"/>
          <w:color w:val="auto"/>
          <w:sz w:val="32"/>
          <w:szCs w:val="32"/>
          <w:lang w:eastAsia="zh-CN" w:bidi="ar-SA"/>
          <w:highlight w:val="auto"/>
        </w:rPr>
        <w:t>%</w:t>
      </w:r>
      <w:bookmarkStart w:id="137" w:name="_Toc15377208"/>
      <w:bookmarkStart w:id="138" w:name="_Toc15396606"/>
      <w:r>
        <w:rPr>
          <w:rFonts w:ascii="仿宋_GB2312" w:eastAsia="仿宋_GB2312" w:cs="仿宋_GB2312" w:hint="eastAsia"/>
          <w:color w:val="auto"/>
          <w:sz w:val="32"/>
          <w:szCs w:val="32"/>
          <w:lang w:eastAsia="zh-CN" w:bidi="ar-SA"/>
          <w:highlight w:val="auto"/>
        </w:rPr>
        <w:t>。</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37"/>
        <w:keepNext w:val="0"/>
        <w:keepLines w:val="0"/>
        <w:pageBreakBefore w:val="0"/>
        <w:widowControl w:val="0"/>
        <w:kinsoku/>
        <w:wordWrap/>
        <w:overflowPunct/>
        <w:topLinePunct w:val="0"/>
        <w:autoSpaceDE/>
        <w:autoSpaceDN/>
        <w:adjustRightInd/>
        <w:snapToGrid/>
        <w:spacing w:line="576" w:lineRule="exact"/>
        <w:ind w:left="0" w:firstLineChars="0" w:firstLine="0"/>
        <w:outlineLvl w:val="1"/>
        <w:rPr>
          <w:rFonts w:eastAsia="黑体" w:hint="eastAsia"/>
          <w:sz w:val="32"/>
          <w:szCs w:val="32"/>
          <w:highlight w:val="auto"/>
        </w:rPr>
      </w:pPr>
      <w:bookmarkStart w:id="139" w:name="_Toc55224465"/>
      <w:bookmarkStart w:id="140" w:name="_Toc75095932"/>
      <w:bookmarkStart w:id="141" w:name="_Toc55224661"/>
      <w:bookmarkStart w:id="142" w:name="_Toc55224563"/>
      <w:bookmarkStart w:id="143" w:name="_Toc75095816"/>
      <w:bookmarkStart w:id="144" w:name="_Toc88111017"/>
    </w:p>
    <w:p>
      <w:pPr>
        <w:pStyle w:val="37"/>
        <w:keepNext w:val="0"/>
        <w:keepLines w:val="0"/>
        <w:pageBreakBefore w:val="0"/>
        <w:widowControl w:val="0"/>
        <w:kinsoku/>
        <w:wordWrap/>
        <w:overflowPunct/>
        <w:topLinePunct w:val="0"/>
        <w:autoSpaceDE/>
        <w:autoSpaceDN/>
        <w:adjustRightInd/>
        <w:snapToGrid/>
        <w:spacing w:line="576" w:lineRule="exact"/>
        <w:ind w:left="0" w:firstLineChars="0" w:firstLine="0"/>
        <w:outlineLvl w:val="1"/>
        <w:rPr>
          <w:rFonts w:eastAsia="黑体" w:hint="eastAsia"/>
          <w:sz w:val="32"/>
          <w:szCs w:val="32"/>
          <w:highlight w:val="auto"/>
        </w:rPr>
      </w:pPr>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eastAsia="黑体"/>
          <w:sz w:val="32"/>
          <w:szCs w:val="32"/>
          <w:highlight w:val="auto"/>
        </w:rPr>
      </w:pPr>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eastAsia="黑体"/>
          <w:sz w:val="32"/>
          <w:szCs w:val="32"/>
          <w:highlight w:val="auto"/>
        </w:rPr>
      </w:pPr>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eastAsia="黑体"/>
          <w:sz w:val="32"/>
          <w:szCs w:val="32"/>
          <w:highlight w:val="auto"/>
        </w:rPr>
      </w:pPr>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eastAsia="黑体"/>
          <w:sz w:val="32"/>
          <w:szCs w:val="32"/>
          <w:highlight w:val="auto"/>
        </w:rPr>
      </w:pPr>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eastAsia="黑体"/>
          <w:sz w:val="32"/>
          <w:szCs w:val="32"/>
          <w:highlight w:val="auto"/>
        </w:rPr>
      </w:pPr>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eastAsia="黑体" w:hint="eastAsia"/>
          <w:bCs/>
          <w:sz w:val="32"/>
          <w:szCs w:val="32"/>
          <w:highlight w:val="auto"/>
        </w:rPr>
      </w:pPr>
      <w:r>
        <w:rPr>
          <w:rFonts w:eastAsia="黑体" w:hint="eastAsia"/>
          <w:sz w:val="32"/>
          <w:szCs w:val="32"/>
          <w:highlight w:val="auto"/>
        </w:rPr>
        <w:t>四、财</w:t>
      </w:r>
      <w:r>
        <w:rPr>
          <w:rFonts w:eastAsia="黑体" w:hint="eastAsia"/>
          <w:bCs/>
          <w:sz w:val="32"/>
          <w:szCs w:val="32"/>
          <w:highlight w:val="auto"/>
        </w:rPr>
        <w:t>政拨款收入支出决算总体</w:t>
      </w:r>
      <w:bookmarkEnd w:id="137"/>
      <w:bookmarkEnd w:id="138"/>
      <w:r>
        <w:rPr>
          <w:rFonts w:eastAsia="黑体" w:hint="eastAsia"/>
          <w:bCs/>
          <w:sz w:val="32"/>
          <w:szCs w:val="32"/>
          <w:highlight w:val="auto"/>
        </w:rPr>
        <w:t>情况说明</w:t>
      </w:r>
      <w:bookmarkEnd w:id="139"/>
      <w:bookmarkEnd w:id="140"/>
      <w:bookmarkEnd w:id="141"/>
      <w:bookmarkEnd w:id="142"/>
      <w:bookmarkEnd w:id="143"/>
      <w:bookmarkEnd w:id="144"/>
    </w:p>
    <w:p>
      <w:pPr>
        <w:spacing w:line="576" w:lineRule="exact"/>
        <w:ind w:firstLineChars="200" w:firstLine="420"/>
      </w:pPr>
      <w:r>
        <w:rPr>
          <w:rFonts w:ascii="仿宋_GB2312" w:eastAsia="仿宋_GB2312" w:cs="仿宋_GB2312" w:hint="eastAsia"/>
        </w:rPr>
        <w:drawing>
          <wp:anchor distT="0" distB="0" distL="114300" distR="114300" simplePos="0" relativeHeight="24" behindDoc="0" locked="0" layoutInCell="1" hidden="0" allowOverlap="1">
            <wp:simplePos x="0" y="0"/>
            <wp:positionH relativeFrom="page">
              <wp:posOffset>1474470</wp:posOffset>
            </wp:positionH>
            <wp:positionV relativeFrom="page">
              <wp:posOffset>6739890</wp:posOffset>
            </wp:positionV>
            <wp:extent cx="4799965" cy="2352039"/>
            <wp:effectExtent l="0" t="0" r="0" b="0"/>
            <wp:wrapSquare wrapText="bothSides"/>
            <wp:docPr id="10" name="Object 7"/>
            <wp:cNvGraphicFramePr>
              <a:graphicFrameLocks noChangeAspect="1"/>
            </wp:cNvGraphicFramePr>
            <a:graphic>
              <a:graphicData uri="http://schemas.openxmlformats.org/drawingml/2006/picture">
                <pic:pic>
                  <pic:nvPicPr>
                    <pic:cNvPr id="12" name="Object 7 12"/>
                    <pic:cNvPicPr/>
                  </pic:nvPicPr>
                  <pic:blipFill>
                    <a:blip r:embed="rId6"/>
                    <a:stretch>
                      <a:fillRect/>
                    </a:stretch>
                  </pic:blipFill>
                  <pic:spPr>
                    <a:xfrm rot="0">
                      <a:off x="0" y="0"/>
                      <a:ext cx="4799965" cy="2352039"/>
                    </a:xfrm>
                    <a:prstGeom prst="rect"/>
                    <a:noFill/>
                    <a:ln w="9525" cmpd="sng" cap="flat">
                      <a:noFill/>
                      <a:prstDash val="solid"/>
                      <a:miter/>
                    </a:ln>
                  </pic:spPr>
                </pic:pic>
              </a:graphicData>
            </a:graphic>
          </wp:anchor>
        </w:drawing>
      </w: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年度财政拨款收入、支出总计均为</w:t>
      </w:r>
      <w:r>
        <w:rPr>
          <w:rFonts w:ascii="仿宋_GB2312" w:eastAsia="仿宋_GB2312" w:cs="仿宋_GB2312" w:hint="eastAsia"/>
          <w:sz w:val="32"/>
          <w:szCs w:val="32"/>
          <w:lang w:bidi="ar-SA"/>
        </w:rPr>
        <w:t>838.18</w:t>
      </w:r>
      <w:r>
        <w:rPr>
          <w:rFonts w:ascii="Times New Roman" w:eastAsia="仿宋_GB2312" w:cs="仿宋_GB2312" w:hAnsi="Times New Roman" w:hint="eastAsia"/>
          <w:color w:val="auto"/>
          <w:kern w:val="2"/>
          <w:sz w:val="32"/>
          <w:szCs w:val="32"/>
          <w:lang w:val="en-US" w:eastAsia="zh-CN" w:bidi="ar-SA"/>
          <w:highlight w:val="auto"/>
        </w:rPr>
        <w:t>万元。</w:t>
      </w:r>
      <w:r>
        <w:rPr>
          <w:rFonts w:ascii="Times New Roman" w:eastAsia="仿宋_GB2312" w:cs="仿宋_GB2312" w:hAnsi="Times New Roman"/>
          <w:color w:val="auto"/>
          <w:kern w:val="2"/>
          <w:sz w:val="32"/>
          <w:szCs w:val="32"/>
          <w:lang w:val="en-US" w:eastAsia="zh-CN" w:bidi="ar-SA"/>
          <w:highlight w:val="auto"/>
        </w:rPr>
        <w:t>与上</w:t>
      </w:r>
      <w:r>
        <w:rPr>
          <w:rFonts w:ascii="Times New Roman" w:eastAsia="仿宋_GB2312" w:cs="仿宋_GB2312" w:hAnsi="Times New Roman" w:hint="eastAsia"/>
          <w:color w:val="auto"/>
          <w:kern w:val="2"/>
          <w:sz w:val="32"/>
          <w:szCs w:val="32"/>
          <w:lang w:val="en-US" w:eastAsia="zh-CN" w:bidi="ar-SA"/>
          <w:highlight w:val="auto"/>
        </w:rPr>
        <w:t>年度相比，财政拨款收入、支出总计各增加</w:t>
      </w:r>
      <w:r>
        <w:rPr>
          <w:rFonts w:ascii="Times New Roman" w:eastAsia="仿宋_GB2312" w:cs="仿宋_GB2312" w:hAnsi="Times New Roman"/>
          <w:color w:val="auto"/>
          <w:kern w:val="2"/>
          <w:sz w:val="32"/>
          <w:szCs w:val="32"/>
          <w:lang w:val="en-US" w:eastAsia="zh-CN" w:bidi="ar-SA"/>
          <w:highlight w:val="auto"/>
        </w:rPr>
        <w:t>33.14</w:t>
      </w:r>
      <w:r>
        <w:rPr>
          <w:rFonts w:ascii="Times New Roman" w:eastAsia="仿宋_GB2312" w:cs="仿宋_GB2312" w:hAnsi="Times New Roman" w:hint="eastAsia"/>
          <w:color w:val="auto"/>
          <w:kern w:val="2"/>
          <w:sz w:val="32"/>
          <w:szCs w:val="32"/>
          <w:lang w:val="en-US" w:eastAsia="zh-CN" w:bidi="ar-SA"/>
          <w:highlight w:val="auto"/>
        </w:rPr>
        <w:t>万元，</w:t>
      </w:r>
      <w:r>
        <w:rPr>
          <w:rFonts w:ascii="Times New Roman" w:eastAsia="仿宋_GB2312" w:cs="仿宋_GB2312" w:hAnsi="Times New Roman" w:hint="eastAsia"/>
          <w:color w:val="auto"/>
          <w:sz w:val="32"/>
          <w:szCs w:val="32"/>
          <w:lang w:bidi="ar-SA"/>
          <w:highlight w:val="auto"/>
        </w:rPr>
        <w:t>增长</w:t>
      </w:r>
      <w:r>
        <w:rPr>
          <w:rFonts w:ascii="Times New Roman" w:eastAsia="仿宋_GB2312" w:cs="仿宋_GB2312" w:hAnsi="Times New Roman"/>
          <w:color w:val="auto"/>
          <w:sz w:val="32"/>
          <w:szCs w:val="32"/>
          <w:lang w:bidi="ar-SA"/>
          <w:highlight w:val="auto"/>
        </w:rPr>
        <w:t>4.12</w:t>
      </w:r>
      <w:r>
        <w:rPr>
          <w:rFonts w:ascii="Times New Roman" w:eastAsia="仿宋_GB2312" w:cs="仿宋_GB2312" w:hAnsi="Times New Roman" w:hint="eastAsia"/>
          <w:color w:val="auto"/>
          <w:sz w:val="32"/>
          <w:szCs w:val="32"/>
          <w:lang w:bidi="ar-SA"/>
          <w:highlight w:val="auto"/>
        </w:rPr>
        <w:t>%。主要变动原因是</w:t>
      </w:r>
      <w:r>
        <w:rPr>
          <w:rFonts w:ascii="Times New Roman" w:eastAsia="仿宋_GB2312" w:cs="仿宋_GB2312" w:hAnsi="Times New Roman"/>
          <w:color w:val="auto"/>
          <w:sz w:val="32"/>
          <w:szCs w:val="32"/>
          <w:lang w:bidi="ar-SA"/>
          <w:highlight w:val="auto"/>
        </w:rPr>
        <w:t>：</w:t>
      </w:r>
      <w:r>
        <w:rPr>
          <w:rFonts w:ascii="仿宋" w:eastAsia="仿宋" w:hint="eastAsia"/>
          <w:color w:val="auto"/>
          <w:sz w:val="32"/>
          <w:szCs w:val="32"/>
          <w:lang w:eastAsia="zh-CN"/>
          <w:highlight w:val="auto"/>
        </w:rPr>
        <w:t>职工工资、五险一金预算增加。</w:t>
      </w:r>
    </w:p>
    <w:p>
      <w:pPr>
        <w:spacing w:line="576" w:lineRule="exact"/>
        <w:ind w:firstLineChars="150" w:firstLine="480"/>
        <w:outlineLvl w:val="1"/>
        <w:rPr>
          <w:rStyle w:val="2Char"/>
          <w:rFonts w:ascii="Times New Roman" w:eastAsia="黑体" w:hAnsi="Times New Roman"/>
          <w:b w:val="0"/>
          <w:color w:val="auto"/>
          <w:highlight w:val="auto"/>
        </w:rPr>
      </w:pPr>
      <w:bookmarkStart w:id="145" w:name="_Toc15396607"/>
      <w:bookmarkStart w:id="146" w:name="_Toc15377209"/>
      <w:bookmarkStart w:id="147" w:name="_Toc75095933"/>
      <w:bookmarkStart w:id="148" w:name="_Toc75095817"/>
      <w:bookmarkStart w:id="149" w:name="_Toc55224662"/>
      <w:bookmarkStart w:id="150" w:name="_Toc55224376"/>
      <w:bookmarkStart w:id="151" w:name="_Toc55224328"/>
      <w:bookmarkStart w:id="152" w:name="_Toc55224564"/>
      <w:bookmarkStart w:id="153" w:name="_Toc88111018"/>
      <w:bookmarkStart w:id="154" w:name="_Toc55224232"/>
      <w:bookmarkStart w:id="155" w:name="_Toc55224466"/>
      <w:r>
        <w:rPr>
          <w:rFonts w:ascii="Times New Roman" w:eastAsia="黑体" w:hAnsi="Times New Roman" w:hint="eastAsia"/>
          <w:color w:val="auto"/>
          <w:sz w:val="32"/>
          <w:szCs w:val="32"/>
          <w:highlight w:val="auto"/>
        </w:rPr>
        <w:t>五、</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般公共预算财政拨款支出决算</w:t>
      </w:r>
      <w:bookmarkEnd w:id="145"/>
      <w:bookmarkEnd w:id="146"/>
      <w:r>
        <w:rPr>
          <w:rStyle w:val="2Char"/>
          <w:rFonts w:ascii="Times New Roman" w:eastAsia="黑体" w:hAnsi="Times New Roman" w:hint="eastAsia"/>
          <w:b w:val="0"/>
          <w:color w:val="auto"/>
          <w:highlight w:val="auto"/>
        </w:rPr>
        <w:t>情</w:t>
      </w:r>
      <w:bookmarkStart w:id="156" w:name="_Toc15377210"/>
      <w:r>
        <w:rPr>
          <w:rStyle w:val="2Char"/>
          <w:rFonts w:ascii="Times New Roman" w:eastAsia="黑体" w:hAnsi="Times New Roman" w:hint="eastAsia"/>
          <w:b w:val="0"/>
          <w:color w:val="auto"/>
          <w:highlight w:val="auto"/>
        </w:rPr>
        <w:t>况说明</w:t>
      </w:r>
      <w:bookmarkEnd w:id="147"/>
      <w:bookmarkEnd w:id="148"/>
      <w:bookmarkEnd w:id="149"/>
      <w:bookmarkEnd w:id="150"/>
      <w:bookmarkEnd w:id="151"/>
      <w:bookmarkEnd w:id="152"/>
      <w:bookmarkEnd w:id="153"/>
      <w:bookmarkEnd w:id="154"/>
      <w:bookmarkEnd w:id="155"/>
    </w:p>
    <w:p>
      <w:pPr>
        <w:spacing w:line="576" w:lineRule="exact"/>
        <w:ind w:firstLineChars="200" w:firstLine="640"/>
        <w:outlineLvl w:val="2"/>
        <w:rPr>
          <w:rFonts w:ascii="Times New Roman" w:eastAsia="楷体_GB2312" w:cs="楷体_GB2312" w:hAnsi="Times New Roman" w:hint="eastAsia"/>
          <w:b/>
          <w:color w:val="auto"/>
          <w:sz w:val="32"/>
          <w:szCs w:val="32"/>
          <w:lang w:bidi="ar-SA"/>
          <w:highlight w:val="auto"/>
        </w:rPr>
      </w:pPr>
      <w:bookmarkStart w:id="157" w:name="_Toc88111019"/>
      <w:bookmarkStart w:id="158" w:name="_Toc55224565"/>
      <w:bookmarkStart w:id="159" w:name="_Toc75095818"/>
      <w:bookmarkStart w:id="160" w:name="_Toc55224329"/>
      <w:bookmarkStart w:id="161" w:name="_Toc55224663"/>
      <w:bookmarkStart w:id="162" w:name="_Toc55224377"/>
      <w:bookmarkStart w:id="163" w:name="_Toc55224467"/>
      <w:bookmarkStart w:id="164" w:name="_Toc44445313"/>
      <w:bookmarkStart w:id="165" w:name="_Toc38849471"/>
      <w:bookmarkStart w:id="166" w:name="_Toc55224233"/>
      <w:bookmarkStart w:id="167" w:name="_Toc38849430"/>
      <w:r>
        <w:rPr>
          <w:rFonts w:ascii="Times New Roman" w:eastAsia="楷体_GB2312" w:cs="楷体_GB2312" w:hAnsi="Times New Roman" w:hint="eastAsia"/>
          <w:b/>
          <w:color w:val="auto"/>
          <w:sz w:val="32"/>
          <w:szCs w:val="32"/>
          <w:lang w:bidi="ar-SA"/>
          <w:highlight w:val="auto"/>
        </w:rPr>
        <w:t>（一）一般公共预算财政拨款支出决算</w:t>
      </w:r>
      <w:bookmarkEnd w:id="156"/>
      <w:r>
        <w:rPr>
          <w:rFonts w:ascii="Times New Roman" w:eastAsia="楷体_GB2312" w:cs="楷体_GB2312" w:hAnsi="Times New Roman" w:hint="eastAsia"/>
          <w:b/>
          <w:color w:val="auto"/>
          <w:sz w:val="32"/>
          <w:szCs w:val="32"/>
          <w:lang w:bidi="ar-SA"/>
          <w:highlight w:val="auto"/>
        </w:rPr>
        <w:t>总体情况</w:t>
      </w:r>
      <w:bookmarkEnd w:id="157"/>
      <w:bookmarkEnd w:id="158"/>
      <w:bookmarkEnd w:id="159"/>
      <w:bookmarkEnd w:id="160"/>
      <w:bookmarkEnd w:id="161"/>
      <w:bookmarkEnd w:id="162"/>
      <w:bookmarkEnd w:id="163"/>
      <w:bookmarkEnd w:id="164"/>
      <w:bookmarkEnd w:id="165"/>
      <w:bookmarkEnd w:id="166"/>
      <w:bookmarkEnd w:id="167"/>
    </w:p>
    <w:p>
      <w:pPr>
        <w:spacing w:line="576" w:lineRule="exact"/>
        <w:ind w:firstLineChars="200" w:firstLine="640"/>
      </w:pPr>
      <w:r>
        <w:rPr>
          <w:rFonts w:ascii="仿宋_GB2312" w:eastAsia="仿宋_GB2312" w:cs="仿宋_GB2312" w:hint="eastAsia"/>
          <w:color w:val="auto"/>
          <w:kern w:val="2"/>
          <w:sz w:val="32"/>
          <w:szCs w:val="32"/>
          <w:lang w:val="en-US" w:eastAsia="zh-CN" w:bidi="ar-SA"/>
          <w:highlight w:val="auto"/>
        </w:rPr>
        <w:t>2025年度一般公共预算财政拨款支出</w:t>
      </w:r>
      <w:r>
        <w:rPr>
          <w:rFonts w:ascii="仿宋_GB2312" w:eastAsia="仿宋_GB2312" w:cs="仿宋_GB2312" w:hint="eastAsia"/>
          <w:sz w:val="32"/>
          <w:szCs w:val="32"/>
          <w:lang w:bidi="ar-SA"/>
        </w:rPr>
        <w:t>838.18</w:t>
      </w:r>
      <w:r>
        <w:rPr>
          <w:rFonts w:ascii="仿宋_GB2312" w:eastAsia="仿宋_GB2312" w:cs="仿宋_GB2312"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lang w:bidi="ar-SA"/>
        </w:rPr>
        <w:t>100</w:t>
      </w:r>
      <w:r>
        <w:rPr>
          <w:rFonts w:ascii="仿宋_GB2312" w:eastAsia="仿宋_GB2312" w:cs="仿宋_GB2312" w:hint="eastAsia"/>
          <w:color w:val="auto"/>
          <w:kern w:val="2"/>
          <w:sz w:val="32"/>
          <w:szCs w:val="32"/>
          <w:lang w:val="en-US" w:eastAsia="zh-CN" w:bidi="ar-SA"/>
          <w:highlight w:val="auto"/>
        </w:rPr>
        <w:t>%。与上年度相比，一般公共预算财政拨款支出增加33.14万元，增</w:t>
      </w:r>
      <w:r>
        <w:rPr>
          <w:rFonts w:ascii="Times New Roman" w:eastAsia="仿宋_GB2312" w:cs="仿宋_GB2312" w:hAnsi="Times New Roman" w:hint="eastAsia"/>
          <w:color w:val="auto"/>
          <w:sz w:val="32"/>
          <w:szCs w:val="32"/>
          <w:lang w:bidi="ar-SA"/>
          <w:highlight w:val="auto"/>
        </w:rPr>
        <w:t>长</w:t>
      </w:r>
      <w:r>
        <w:rPr>
          <w:rFonts w:ascii="Times New Roman" w:eastAsia="仿宋_GB2312" w:cs="仿宋_GB2312" w:hAnsi="Times New Roman"/>
          <w:color w:val="auto"/>
          <w:sz w:val="32"/>
          <w:szCs w:val="32"/>
          <w:lang w:bidi="ar-SA"/>
          <w:highlight w:val="auto"/>
        </w:rPr>
        <w:t>4.12</w:t>
      </w:r>
      <w:r>
        <w:rPr>
          <w:rFonts w:ascii="Times New Roman" w:eastAsia="仿宋_GB2312" w:cs="仿宋_GB2312" w:hAnsi="Times New Roman" w:hint="eastAsia"/>
          <w:color w:val="auto"/>
          <w:sz w:val="32"/>
          <w:szCs w:val="32"/>
          <w:lang w:bidi="ar-SA"/>
          <w:highlight w:val="auto"/>
        </w:rPr>
        <w:t>%。主要变动原因是</w:t>
      </w:r>
      <w:r>
        <w:rPr>
          <w:rFonts w:ascii="Times New Roman" w:eastAsia="仿宋_GB2312" w:cs="仿宋_GB2312" w:hAnsi="Times New Roman"/>
          <w:color w:val="auto"/>
          <w:sz w:val="32"/>
          <w:szCs w:val="32"/>
          <w:lang w:bidi="ar-SA"/>
          <w:highlight w:val="auto"/>
        </w:rPr>
        <w:t>：</w:t>
      </w:r>
      <w:r>
        <w:rPr>
          <w:rFonts w:ascii="仿宋" w:eastAsia="仿宋" w:hint="eastAsia"/>
          <w:color w:val="auto"/>
          <w:sz w:val="32"/>
          <w:szCs w:val="32"/>
          <w:lang w:eastAsia="zh-CN"/>
          <w:highlight w:val="auto"/>
        </w:rPr>
        <w:t>职工工资、五险一金预算增加。</w:t>
      </w:r>
    </w:p>
    <w:p>
      <w:pPr>
        <w:spacing w:line="576" w:lineRule="exact"/>
        <w:ind w:left="0" w:firstLineChars="150" w:firstLine="315"/>
        <w:outlineLvl w:val="2"/>
        <w:rPr>
          <w:rFonts w:ascii="Times New Roman" w:eastAsia="楷体_GB2312" w:cs="楷体_GB2312" w:hAnsi="Times New Roman" w:hint="eastAsia"/>
          <w:b/>
          <w:color w:val="auto"/>
          <w:sz w:val="32"/>
          <w:szCs w:val="32"/>
          <w:lang w:bidi="ar-SA"/>
          <w:highlight w:val="auto"/>
        </w:rPr>
      </w:pPr>
      <w:bookmarkStart w:id="168" w:name="_Toc75095819"/>
      <w:bookmarkStart w:id="169" w:name="_Toc55224468"/>
      <w:bookmarkStart w:id="170" w:name="_Toc44445314"/>
      <w:bookmarkStart w:id="171" w:name="_Toc55224566"/>
      <w:bookmarkStart w:id="172" w:name="_Toc38849472"/>
      <w:bookmarkStart w:id="173" w:name="_Toc55224234"/>
      <w:bookmarkStart w:id="174" w:name="_Toc38849431"/>
      <w:bookmarkStart w:id="175" w:name="_Toc55224330"/>
      <w:bookmarkStart w:id="176" w:name="_Toc55224664"/>
      <w:bookmarkStart w:id="177" w:name="_Toc88111020"/>
      <w:bookmarkStart w:id="178" w:name="_Toc55224378"/>
      <w:r>
        <w:rPr>
          <w:rFonts w:ascii="仿宋_GB2312" w:eastAsia="仿宋_GB2312" w:cs="仿宋_GB2312" w:hint="eastAsia"/>
        </w:rPr>
        <w:drawing>
          <wp:anchor distT="0" distB="0" distL="114300" distR="114300" simplePos="0" relativeHeight="26" behindDoc="0" locked="0" layoutInCell="1" hidden="0" allowOverlap="1">
            <wp:simplePos x="0" y="0"/>
            <wp:positionH relativeFrom="page">
              <wp:posOffset>1472247</wp:posOffset>
            </wp:positionH>
            <wp:positionV relativeFrom="page">
              <wp:posOffset>3602040</wp:posOffset>
            </wp:positionV>
            <wp:extent cx="4799965" cy="2352039"/>
            <wp:effectExtent l="0" t="0" r="0" b="0"/>
            <wp:wrapSquare wrapText="bothSides"/>
            <wp:docPr id="13" name="Object 8"/>
            <wp:cNvGraphicFramePr>
              <a:graphicFrameLocks noChangeAspect="1"/>
            </wp:cNvGraphicFramePr>
            <a:graphic>
              <a:graphicData uri="http://schemas.openxmlformats.org/drawingml/2006/picture">
                <pic:pic>
                  <pic:nvPicPr>
                    <pic:cNvPr id="15" name="Object 8 15"/>
                    <pic:cNvPicPr/>
                  </pic:nvPicPr>
                  <pic:blipFill>
                    <a:blip r:embed="rId7"/>
                    <a:stretch>
                      <a:fillRect/>
                    </a:stretch>
                  </pic:blipFill>
                  <pic:spPr>
                    <a:xfrm rot="0">
                      <a:off x="0" y="0"/>
                      <a:ext cx="4799965" cy="2352039"/>
                    </a:xfrm>
                    <a:prstGeom prst="rect"/>
                    <a:noFill/>
                    <a:ln w="9525" cmpd="sng" cap="flat">
                      <a:noFill/>
                      <a:prstDash val="solid"/>
                      <a:miter/>
                    </a:ln>
                  </pic:spPr>
                </pic:pic>
              </a:graphicData>
            </a:graphic>
          </wp:anchor>
        </w:drawing>
      </w:r>
      <w:r>
        <w:rPr>
          <w:rFonts w:ascii="Times New Roman" w:eastAsia="楷体_GB2312" w:cs="楷体_GB2312" w:hAnsi="Times New Roman" w:hint="eastAsia"/>
          <w:b/>
          <w:color w:val="auto"/>
          <w:sz w:val="32"/>
          <w:szCs w:val="32"/>
          <w:lang w:bidi="ar-SA"/>
          <w:highlight w:val="auto"/>
        </w:rPr>
        <w:t>（二）一般公共预算财政拨款支出决算结构情况</w:t>
      </w:r>
      <w:bookmarkEnd w:id="168"/>
      <w:bookmarkEnd w:id="169"/>
      <w:bookmarkEnd w:id="170"/>
      <w:bookmarkEnd w:id="171"/>
      <w:bookmarkEnd w:id="172"/>
      <w:bookmarkEnd w:id="173"/>
      <w:bookmarkEnd w:id="174"/>
      <w:bookmarkEnd w:id="175"/>
      <w:bookmarkEnd w:id="176"/>
      <w:bookmarkEnd w:id="177"/>
      <w:bookmarkEnd w:id="178"/>
    </w:p>
    <w:p>
      <w:pPr>
        <w:spacing w:line="576" w:lineRule="exact"/>
        <w:ind w:firstLineChars="200" w:firstLine="420"/>
        <w:rPr>
          <w:rFonts w:ascii="仿宋_GB2312" w:eastAsia="仿宋_GB2312" w:cs="仿宋_GB2312" w:hint="eastAsia"/>
          <w:sz w:val="32"/>
          <w:szCs w:val="32"/>
          <w:lang w:bidi="ar-SA"/>
          <w:highlight w:val="auto"/>
        </w:rPr>
      </w:pPr>
      <w:r>
        <w:rPr>
          <w:rFonts w:ascii="仿宋_GB2312" w:eastAsia="仿宋_GB2312" w:cs="仿宋_GB2312" w:hint="eastAsia"/>
        </w:rPr>
        <w:drawing>
          <wp:anchor distT="0" distB="0" distL="114300" distR="114300" simplePos="0" relativeHeight="28" behindDoc="0" locked="0" layoutInCell="1" hidden="0" allowOverlap="1">
            <wp:simplePos x="0" y="0"/>
            <wp:positionH relativeFrom="page">
              <wp:posOffset>1804665</wp:posOffset>
            </wp:positionH>
            <wp:positionV relativeFrom="page">
              <wp:posOffset>8154999</wp:posOffset>
            </wp:positionV>
            <wp:extent cx="4208780" cy="1749424"/>
            <wp:effectExtent l="0" t="0" r="0" b="0"/>
            <wp:wrapSquare wrapText="bothSides"/>
            <wp:docPr id="16" name="Object 9"/>
            <wp:cNvGraphicFramePr>
              <a:graphicFrameLocks noChangeAspect="1"/>
            </wp:cNvGraphicFramePr>
            <a:graphic>
              <a:graphicData uri="http://schemas.openxmlformats.org/drawingml/2006/picture">
                <pic:pic>
                  <pic:nvPicPr>
                    <pic:cNvPr id="18" name="Object 9 18"/>
                    <pic:cNvPicPr/>
                  </pic:nvPicPr>
                  <pic:blipFill>
                    <a:blip r:embed="rId8"/>
                    <a:stretch>
                      <a:fillRect/>
                    </a:stretch>
                  </pic:blipFill>
                  <pic:spPr>
                    <a:xfrm rot="0">
                      <a:off x="0" y="0"/>
                      <a:ext cx="4208780" cy="1749424"/>
                    </a:xfrm>
                    <a:prstGeom prst="rect"/>
                    <a:noFill/>
                    <a:ln w="9525" cmpd="sng" cap="flat">
                      <a:noFill/>
                      <a:prstDash val="solid"/>
                      <a:miter/>
                    </a:ln>
                  </pic:spPr>
                </pic:pic>
              </a:graphicData>
            </a:graphic>
          </wp:anchor>
        </w:drawing>
      </w:r>
      <w:r>
        <w:rPr>
          <w:rFonts w:ascii="仿宋_GB2312" w:eastAsia="仿宋_GB2312" w:cs="仿宋_GB2312" w:hint="eastAsia"/>
          <w:color w:val="auto"/>
          <w:kern w:val="2"/>
          <w:sz w:val="32"/>
          <w:szCs w:val="32"/>
          <w:lang w:val="en-US" w:eastAsia="zh-CN" w:bidi="ar-SA"/>
          <w:highlight w:val="auto"/>
        </w:rPr>
        <w:t>2025年度一般公共预算财政拨款支出</w:t>
      </w:r>
      <w:r>
        <w:rPr>
          <w:rFonts w:ascii="仿宋_GB2312" w:eastAsia="仿宋_GB2312" w:cs="仿宋_GB2312" w:hint="eastAsia"/>
          <w:sz w:val="32"/>
          <w:szCs w:val="32"/>
          <w:lang w:bidi="ar-SA"/>
        </w:rPr>
        <w:t>838.18</w:t>
      </w:r>
      <w:r>
        <w:rPr>
          <w:rFonts w:ascii="仿宋_GB2312" w:eastAsia="仿宋_GB2312" w:cs="仿宋_GB2312" w:hint="eastAsia"/>
          <w:color w:val="auto"/>
          <w:kern w:val="2"/>
          <w:sz w:val="32"/>
          <w:szCs w:val="32"/>
          <w:lang w:val="en-US" w:eastAsia="zh-CN" w:bidi="ar-SA"/>
          <w:highlight w:val="auto"/>
        </w:rPr>
        <w:t>万元，主要用于以下方面：一般公共服务支出626.03万元，占74.69%；社会保障和就业支出101.61万元，占12.12%；卫生健康支出43.85万元，占5.23%；</w:t>
      </w:r>
      <w:r>
        <w:rPr>
          <w:rFonts w:ascii="仿宋_GB2312" w:eastAsia="仿宋_GB2312" w:cs="Times New Roman" w:hint="eastAsia"/>
          <w:color w:val="auto"/>
          <w:sz w:val="32"/>
          <w:szCs w:val="32"/>
          <w:lang w:eastAsia="zh-CN" w:bidi="ar-SA"/>
          <w:highlight w:val="auto"/>
        </w:rPr>
        <w:t>资源勘探工业信息等支出10.8</w:t>
      </w:r>
      <w:r>
        <w:rPr>
          <w:rFonts w:ascii="仿宋_GB2312" w:eastAsia="仿宋_GB2312" w:cs="Times New Roman" w:hint="eastAsia"/>
          <w:color w:val="auto"/>
          <w:sz w:val="32"/>
          <w:szCs w:val="32"/>
          <w:lang w:val="en-US" w:eastAsia="zh-CN" w:bidi="ar-SA"/>
          <w:highlight w:val="auto"/>
        </w:rPr>
        <w:t>万元，占1.29%</w:t>
      </w:r>
      <w:r>
        <w:rPr>
          <w:rFonts w:ascii="仿宋_GB2312" w:eastAsia="仿宋_GB2312" w:cs="仿宋_GB2312" w:hint="eastAsia"/>
          <w:sz w:val="32"/>
          <w:szCs w:val="32"/>
          <w:lang w:bidi="ar-SA"/>
          <w:highlight w:val="auto"/>
        </w:rPr>
        <w:t>；</w:t>
      </w:r>
      <w:r>
        <w:rPr>
          <w:rFonts w:ascii="仿宋_GB2312" w:eastAsia="仿宋_GB2312" w:cs="仿宋_GB2312" w:hint="eastAsia"/>
          <w:bCs/>
          <w:sz w:val="32"/>
          <w:szCs w:val="32"/>
          <w:lang w:bidi="ar-SA"/>
          <w:highlight w:val="auto"/>
        </w:rPr>
        <w:t>住房保障支出55.88</w:t>
      </w:r>
      <w:r>
        <w:rPr>
          <w:rFonts w:ascii="仿宋_GB2312" w:eastAsia="仿宋_GB2312" w:cs="仿宋_GB2312" w:hint="eastAsia"/>
          <w:sz w:val="32"/>
          <w:szCs w:val="32"/>
          <w:lang w:bidi="ar-SA"/>
          <w:highlight w:val="auto"/>
        </w:rPr>
        <w:t>万元，占6.67%</w:t>
      </w:r>
      <w:bookmarkStart w:id="179" w:name="_Toc15377212"/>
      <w:r>
        <w:rPr>
          <w:rFonts w:ascii="仿宋_GB2312" w:eastAsia="仿宋_GB2312" w:cs="仿宋_GB2312" w:hint="eastAsia"/>
          <w:sz w:val="32"/>
          <w:szCs w:val="32"/>
          <w:lang w:bidi="ar-SA"/>
          <w:highlight w:val="auto"/>
        </w:rPr>
        <w:t>。</w:t>
      </w:r>
    </w:p>
    <w:p>
      <w:pPr>
        <w:pStyle w:val="19"/>
        <w:spacing w:line="576" w:lineRule="exact"/>
        <w:ind w:left="0"/>
      </w:pPr>
    </w:p>
    <w:p>
      <w:pPr>
        <w:spacing w:line="576" w:lineRule="exact"/>
        <w:ind w:left="0" w:firstLineChars="200" w:firstLine="640"/>
        <w:outlineLvl w:val="2"/>
        <w:rPr>
          <w:rFonts w:ascii="Times New Roman" w:eastAsia="楷体_GB2312" w:cs="楷体_GB2312" w:hAnsi="Times New Roman" w:hint="eastAsia"/>
          <w:b/>
          <w:color w:val="auto"/>
          <w:sz w:val="32"/>
          <w:szCs w:val="32"/>
          <w:lang w:bidi="ar-SA"/>
          <w:highlight w:val="auto"/>
        </w:rPr>
      </w:pPr>
      <w:bookmarkStart w:id="180" w:name="_Toc55224235"/>
      <w:bookmarkStart w:id="181" w:name="_Toc75095820"/>
      <w:bookmarkStart w:id="182" w:name="_Toc55224379"/>
      <w:bookmarkStart w:id="183" w:name="_Toc55224665"/>
      <w:bookmarkStart w:id="184" w:name="_Toc38849473"/>
      <w:bookmarkStart w:id="185" w:name="_Toc44445315"/>
      <w:bookmarkStart w:id="186" w:name="_Toc88111021"/>
      <w:bookmarkStart w:id="187" w:name="_Toc55224331"/>
      <w:bookmarkStart w:id="188" w:name="_Toc38849432"/>
      <w:bookmarkStart w:id="189" w:name="_Toc55224469"/>
      <w:bookmarkStart w:id="190" w:name="_Toc55224567"/>
      <w:r>
        <w:rPr>
          <w:rFonts w:ascii="Times New Roman" w:eastAsia="楷体_GB2312" w:cs="楷体_GB2312" w:hAnsi="Times New Roman" w:hint="eastAsia"/>
          <w:b/>
          <w:color w:val="auto"/>
          <w:sz w:val="32"/>
          <w:szCs w:val="32"/>
          <w:lang w:bidi="ar-SA"/>
          <w:highlight w:val="auto"/>
        </w:rPr>
        <w:t>（三）一般公共预算财政拨款支出决</w:t>
      </w:r>
      <w:bookmarkEnd w:id="179"/>
      <w:r>
        <w:rPr>
          <w:rFonts w:ascii="Times New Roman" w:eastAsia="楷体_GB2312" w:cs="楷体_GB2312" w:hAnsi="Times New Roman" w:hint="eastAsia"/>
          <w:b/>
          <w:color w:val="auto"/>
          <w:sz w:val="32"/>
          <w:szCs w:val="32"/>
          <w:lang w:bidi="ar-SA"/>
          <w:highlight w:val="auto"/>
        </w:rPr>
        <w:t>算</w:t>
      </w:r>
      <w:bookmarkStart w:id="191" w:name="_Toc15377444"/>
      <w:bookmarkStart w:id="192" w:name="_Toc15377213"/>
      <w:bookmarkStart w:id="193" w:name="_Toc15378460"/>
      <w:r>
        <w:rPr>
          <w:rFonts w:ascii="Times New Roman" w:eastAsia="楷体_GB2312" w:cs="楷体_GB2312" w:hAnsi="Times New Roman" w:hint="eastAsia"/>
          <w:b/>
          <w:color w:val="auto"/>
          <w:sz w:val="32"/>
          <w:szCs w:val="32"/>
          <w:lang w:bidi="ar-SA"/>
          <w:highlight w:val="auto"/>
        </w:rPr>
        <w:t>具体情况</w:t>
      </w:r>
      <w:bookmarkEnd w:id="180"/>
      <w:bookmarkEnd w:id="181"/>
      <w:bookmarkEnd w:id="182"/>
      <w:bookmarkEnd w:id="183"/>
      <w:bookmarkEnd w:id="184"/>
      <w:bookmarkEnd w:id="185"/>
      <w:bookmarkEnd w:id="186"/>
      <w:bookmarkEnd w:id="187"/>
      <w:bookmarkEnd w:id="188"/>
      <w:bookmarkEnd w:id="189"/>
      <w:bookmarkEnd w:id="190"/>
    </w:p>
    <w:p>
      <w:pPr>
        <w:spacing w:line="576" w:lineRule="exact"/>
        <w:ind w:firstLine="640"/>
        <w:rPr>
          <w:rFonts w:eastAsia="仿宋_GB2312" w:cs="仿宋_GB2312" w:hint="eastAsia"/>
          <w:sz w:val="32"/>
          <w:szCs w:val="32"/>
        </w:rPr>
      </w:pP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年度一般公共预算财政拨款支出决算数为</w:t>
      </w:r>
      <w:r>
        <w:rPr>
          <w:rFonts w:ascii="仿宋_GB2312" w:eastAsia="仿宋_GB2312" w:cs="仿宋_GB2312" w:hint="eastAsia"/>
          <w:sz w:val="32"/>
          <w:szCs w:val="32"/>
          <w:lang w:bidi="ar-SA"/>
        </w:rPr>
        <w:t>838.18万元</w:t>
      </w:r>
      <w:r>
        <w:rPr>
          <w:rFonts w:ascii="仿宋_GB2312"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完成预算</w:t>
      </w:r>
      <w:r>
        <w:rPr>
          <w:rFonts w:ascii="Times New Roman" w:eastAsia="仿宋_GB2312" w:cs="仿宋_GB2312" w:hAnsi="Times New Roman"/>
          <w:color w:val="auto"/>
          <w:kern w:val="2"/>
          <w:sz w:val="32"/>
          <w:szCs w:val="32"/>
          <w:lang w:val="en-US" w:eastAsia="zh-CN" w:bidi="ar-SA"/>
          <w:highlight w:val="auto"/>
        </w:rPr>
        <w:t>100</w:t>
      </w:r>
      <w:bookmarkEnd w:id="191"/>
      <w:bookmarkEnd w:id="192"/>
      <w:bookmarkEnd w:id="193"/>
      <w:r>
        <w:rPr>
          <w:rFonts w:ascii="Times New Roman" w:eastAsia="仿宋_GB2312" w:cs="仿宋_GB2312" w:hAnsi="Times New Roman" w:hint="eastAsia"/>
          <w:color w:val="auto"/>
          <w:kern w:val="2"/>
          <w:sz w:val="32"/>
          <w:szCs w:val="32"/>
          <w:lang w:val="en-US" w:eastAsia="zh-CN" w:bidi="ar-SA"/>
          <w:highlight w:val="auto"/>
        </w:rPr>
        <w:t>%</w:t>
      </w:r>
      <w:bookmarkStart w:id="194" w:name="_Toc955"/>
      <w:bookmarkStart w:id="195" w:name="_Toc9211"/>
      <w:bookmarkStart w:id="196" w:name="_Toc51662770"/>
      <w:bookmarkStart w:id="197" w:name="_Toc1118"/>
      <w:bookmarkStart w:id="198" w:name="_Toc51662582"/>
      <w:bookmarkStart w:id="199" w:name="_Toc4007"/>
      <w:bookmarkStart w:id="200" w:name="_Toc10524"/>
      <w:bookmarkStart w:id="201" w:name="_Toc44872206"/>
      <w:bookmarkStart w:id="202" w:name="_Toc18956"/>
      <w:r>
        <w:rPr>
          <w:rFonts w:ascii="Times New Roman" w:eastAsia="仿宋_GB2312" w:cs="仿宋_GB2312" w:hAnsi="Times New Roman" w:hint="eastAsia"/>
          <w:color w:val="auto"/>
          <w:kern w:val="2"/>
          <w:sz w:val="32"/>
          <w:szCs w:val="32"/>
          <w:lang w:val="en-US" w:eastAsia="zh-CN" w:bidi="ar-SA"/>
          <w:highlight w:val="auto"/>
        </w:rPr>
        <w:t>。其中：</w:t>
      </w:r>
      <w:bookmarkStart w:id="203" w:name="_Toc75095996"/>
      <w:bookmarkStart w:id="204" w:name="_Toc75095934"/>
      <w:bookmarkStart w:id="205" w:name="_Toc75095821"/>
      <w:bookmarkStart w:id="206" w:name="_Toc55224666"/>
      <w:bookmarkStart w:id="207" w:name="_Toc55224568"/>
      <w:bookmarkStart w:id="208" w:name="_Toc38849433"/>
      <w:bookmarkStart w:id="209" w:name="_Toc88111022"/>
      <w:bookmarkStart w:id="210" w:name="_Toc38849474"/>
      <w:bookmarkStart w:id="211" w:name="_Toc44445316"/>
      <w:bookmarkStart w:id="212" w:name="_Toc55224380"/>
      <w:bookmarkStart w:id="213" w:name="_Toc55224470"/>
      <w:bookmarkStart w:id="214" w:name="_Toc55224236"/>
      <w:bookmarkStart w:id="215" w:name="_Toc55224332"/>
    </w:p>
    <w:p>
      <w:pPr>
        <w:spacing w:line="576" w:lineRule="exact"/>
        <w:ind w:firstLineChars="200" w:firstLine="640"/>
        <w:outlineLvl w:val="1"/>
        <w:rPr>
          <w:rFonts w:ascii="仿宋_GB2312" w:eastAsia="仿宋_GB2312" w:hint="eastAsia"/>
          <w:color w:val="000000"/>
          <w:sz w:val="32"/>
          <w:szCs w:val="32"/>
        </w:rPr>
      </w:pPr>
      <w:r>
        <w:rPr>
          <w:rFonts w:ascii="仿宋_GB2312" w:eastAsia="仿宋_GB2312" w:hint="eastAsia"/>
          <w:color w:val="000000"/>
          <w:sz w:val="32"/>
          <w:szCs w:val="32"/>
        </w:rPr>
        <w:t>1.一般公共服务（</w:t>
      </w:r>
      <w:r>
        <w:rPr>
          <w:rFonts w:ascii="仿宋_GB2312" w:eastAsia="仿宋_GB2312" w:hint="eastAsia"/>
          <w:color w:val="000000"/>
          <w:sz w:val="32"/>
          <w:szCs w:val="32"/>
          <w:lang w:eastAsia="zh-CN"/>
        </w:rPr>
        <w:t>类</w:t>
      </w:r>
      <w:r>
        <w:rPr>
          <w:rFonts w:ascii="仿宋_GB2312" w:eastAsia="仿宋_GB2312" w:hint="eastAsia"/>
          <w:color w:val="000000"/>
          <w:sz w:val="32"/>
          <w:szCs w:val="32"/>
        </w:rPr>
        <w:t>）市场监督管理事务（</w:t>
      </w:r>
      <w:r>
        <w:rPr>
          <w:rFonts w:ascii="仿宋_GB2312" w:eastAsia="仿宋_GB2312" w:hint="eastAsia"/>
          <w:color w:val="000000"/>
          <w:sz w:val="32"/>
          <w:szCs w:val="32"/>
          <w:lang w:eastAsia="zh-CN"/>
        </w:rPr>
        <w:t>款</w:t>
      </w:r>
      <w:r>
        <w:rPr>
          <w:rFonts w:ascii="仿宋_GB2312" w:eastAsia="仿宋_GB2312" w:hint="eastAsia"/>
          <w:color w:val="000000"/>
          <w:sz w:val="32"/>
          <w:szCs w:val="32"/>
        </w:rPr>
        <w:t>）行政运行（</w:t>
      </w:r>
      <w:r>
        <w:rPr>
          <w:rFonts w:ascii="仿宋_GB2312" w:eastAsia="仿宋_GB2312" w:hint="eastAsia"/>
          <w:color w:val="000000"/>
          <w:sz w:val="32"/>
          <w:szCs w:val="32"/>
          <w:lang w:eastAsia="zh-CN"/>
        </w:rPr>
        <w:t>项</w:t>
      </w:r>
      <w:r>
        <w:rPr>
          <w:rFonts w:ascii="仿宋_GB2312" w:eastAsia="仿宋_GB2312" w:hint="eastAsia"/>
          <w:color w:val="000000"/>
          <w:sz w:val="32"/>
          <w:szCs w:val="32"/>
        </w:rPr>
        <w:t>）: 支出决算为</w:t>
      </w:r>
      <w:r>
        <w:rPr>
          <w:rFonts w:ascii="仿宋_GB2312" w:eastAsia="仿宋_GB2312" w:hint="eastAsia"/>
          <w:color w:val="000000"/>
          <w:sz w:val="32"/>
          <w:szCs w:val="32"/>
          <w:lang w:val="en-US" w:eastAsia="zh-CN"/>
        </w:rPr>
        <w:t>397.36</w:t>
      </w:r>
      <w:r>
        <w:rPr>
          <w:rFonts w:ascii="仿宋_GB2312" w:eastAsia="仿宋_GB2312" w:hint="eastAsia"/>
          <w:color w:val="000000"/>
          <w:sz w:val="32"/>
          <w:szCs w:val="32"/>
        </w:rPr>
        <w:t>万元，完成预</w:t>
      </w:r>
      <w:bookmarkEnd w:id="194"/>
      <w:bookmarkEnd w:id="195"/>
      <w:bookmarkEnd w:id="196"/>
      <w:bookmarkEnd w:id="197"/>
      <w:bookmarkEnd w:id="198"/>
      <w:bookmarkEnd w:id="199"/>
      <w:bookmarkEnd w:id="200"/>
      <w:bookmarkEnd w:id="201"/>
      <w:bookmarkEnd w:id="202"/>
      <w:r>
        <w:rPr>
          <w:rFonts w:ascii="仿宋_GB2312" w:eastAsia="仿宋_GB2312" w:hint="eastAsia"/>
          <w:color w:val="000000"/>
          <w:sz w:val="32"/>
          <w:szCs w:val="32"/>
        </w:rPr>
        <w:t>算</w:t>
      </w:r>
      <w:bookmarkStart w:id="216" w:name="_Toc21145"/>
      <w:bookmarkStart w:id="217" w:name="_Toc44872207"/>
      <w:bookmarkStart w:id="218" w:name="_Toc31710"/>
      <w:bookmarkStart w:id="219" w:name="_Toc51662771"/>
      <w:bookmarkStart w:id="220" w:name="_Toc51662583"/>
      <w:bookmarkStart w:id="221" w:name="_Toc24304"/>
      <w:bookmarkStart w:id="222" w:name="_Toc5560"/>
      <w:bookmarkStart w:id="223" w:name="_Toc29674"/>
      <w:bookmarkStart w:id="224" w:name="_Toc8809"/>
      <w:r>
        <w:rPr>
          <w:rFonts w:ascii="仿宋_GB2312" w:eastAsia="仿宋_GB2312" w:hint="eastAsia"/>
          <w:color w:val="000000"/>
          <w:sz w:val="32"/>
          <w:szCs w:val="32"/>
        </w:rPr>
        <w:t>100%。</w:t>
      </w:r>
      <w:bookmarkEnd w:id="203"/>
      <w:bookmarkEnd w:id="204"/>
      <w:bookmarkEnd w:id="205"/>
      <w:r>
        <w:rPr>
          <w:rFonts w:ascii="仿宋_GB2312" w:eastAsia="仿宋_GB2312" w:hint="eastAsia"/>
          <w:color w:val="000000"/>
          <w:sz w:val="32"/>
          <w:szCs w:val="32"/>
        </w:rPr>
        <w:t>决算数与预算数持平。</w:t>
      </w:r>
      <w:bookmarkEnd w:id="206"/>
      <w:bookmarkEnd w:id="207"/>
      <w:bookmarkEnd w:id="208"/>
      <w:bookmarkEnd w:id="209"/>
      <w:bookmarkEnd w:id="210"/>
      <w:bookmarkEnd w:id="211"/>
      <w:bookmarkEnd w:id="212"/>
      <w:bookmarkEnd w:id="213"/>
      <w:bookmarkEnd w:id="214"/>
      <w:bookmarkEnd w:id="215"/>
    </w:p>
    <w:p>
      <w:pPr>
        <w:spacing w:line="576" w:lineRule="exact"/>
        <w:ind w:firstLineChars="200" w:firstLine="640"/>
        <w:outlineLvl w:val="1"/>
        <w:rPr>
          <w:rFonts w:ascii="仿宋_GB2312" w:eastAsia="仿宋_GB2312" w:hint="eastAsia"/>
          <w:color w:val="000000"/>
          <w:sz w:val="32"/>
          <w:szCs w:val="32"/>
        </w:rPr>
      </w:pPr>
      <w:bookmarkStart w:id="225" w:name="_Toc75095822"/>
      <w:bookmarkStart w:id="226" w:name="_Toc75095997"/>
      <w:bookmarkStart w:id="227" w:name="_Toc75095935"/>
      <w:bookmarkStart w:id="228" w:name="_Toc44445317"/>
      <w:bookmarkStart w:id="229" w:name="_Toc55224381"/>
      <w:bookmarkStart w:id="230" w:name="_Toc55224569"/>
      <w:bookmarkStart w:id="231" w:name="_Toc38849475"/>
      <w:bookmarkStart w:id="232" w:name="_Toc88111023"/>
      <w:bookmarkStart w:id="233" w:name="_Toc55224426"/>
      <w:bookmarkStart w:id="234" w:name="_Toc55224471"/>
      <w:bookmarkStart w:id="235" w:name="_Toc55224333"/>
      <w:bookmarkStart w:id="236" w:name="_Toc38849434"/>
      <w:bookmarkStart w:id="237" w:name="_Toc55224237"/>
      <w:bookmarkStart w:id="238" w:name="_Toc55224667"/>
      <w:r>
        <w:rPr>
          <w:rFonts w:ascii="仿宋_GB2312" w:eastAsia="仿宋_GB2312" w:hint="eastAsia"/>
          <w:color w:val="000000"/>
          <w:sz w:val="32"/>
          <w:szCs w:val="32"/>
        </w:rPr>
        <w:t>2. 一般公共服务（</w:t>
      </w:r>
      <w:r>
        <w:rPr>
          <w:rFonts w:ascii="仿宋_GB2312" w:eastAsia="仿宋_GB2312" w:hint="eastAsia"/>
          <w:color w:val="000000"/>
          <w:sz w:val="32"/>
          <w:szCs w:val="32"/>
          <w:lang w:eastAsia="zh-CN"/>
        </w:rPr>
        <w:t>类</w:t>
      </w:r>
      <w:r>
        <w:rPr>
          <w:rFonts w:ascii="仿宋_GB2312" w:eastAsia="仿宋_GB2312" w:hint="eastAsia"/>
          <w:color w:val="000000"/>
          <w:sz w:val="32"/>
          <w:szCs w:val="32"/>
        </w:rPr>
        <w:t>）市场监督管理事务（</w:t>
      </w:r>
      <w:r>
        <w:rPr>
          <w:rFonts w:ascii="仿宋_GB2312" w:eastAsia="仿宋_GB2312" w:hint="eastAsia"/>
          <w:color w:val="000000"/>
          <w:sz w:val="32"/>
          <w:szCs w:val="32"/>
          <w:lang w:eastAsia="zh-CN"/>
        </w:rPr>
        <w:t>款</w:t>
      </w:r>
      <w:r>
        <w:rPr>
          <w:rFonts w:ascii="仿宋_GB2312" w:eastAsia="仿宋_GB2312" w:hint="eastAsia"/>
          <w:color w:val="000000"/>
          <w:sz w:val="32"/>
          <w:szCs w:val="32"/>
        </w:rPr>
        <w:t>）药品事务（</w:t>
      </w:r>
      <w:r>
        <w:rPr>
          <w:rFonts w:ascii="仿宋_GB2312" w:eastAsia="仿宋_GB2312" w:hint="eastAsia"/>
          <w:color w:val="000000"/>
          <w:sz w:val="32"/>
          <w:szCs w:val="32"/>
          <w:lang w:eastAsia="zh-CN"/>
        </w:rPr>
        <w:t>项</w:t>
      </w:r>
      <w:r>
        <w:rPr>
          <w:rFonts w:ascii="仿宋_GB2312" w:eastAsia="仿宋_GB2312" w:hint="eastAsia"/>
          <w:color w:val="000000"/>
          <w:sz w:val="32"/>
          <w:szCs w:val="32"/>
        </w:rPr>
        <w:t>）: 支出决算为</w:t>
      </w:r>
      <w:r>
        <w:rPr>
          <w:rFonts w:ascii="仿宋_GB2312" w:eastAsia="仿宋_GB2312" w:hint="eastAsia"/>
          <w:color w:val="000000"/>
          <w:sz w:val="32"/>
          <w:szCs w:val="32"/>
          <w:lang w:val="en-US" w:eastAsia="zh-CN"/>
        </w:rPr>
        <w:t>10.32</w:t>
      </w:r>
      <w:r>
        <w:rPr>
          <w:rFonts w:ascii="仿宋_GB2312" w:eastAsia="仿宋_GB2312" w:hint="eastAsia"/>
          <w:color w:val="000000"/>
          <w:sz w:val="32"/>
          <w:szCs w:val="32"/>
        </w:rPr>
        <w:t>万元，完成预算100%。</w:t>
      </w:r>
      <w:bookmarkEnd w:id="225"/>
      <w:bookmarkEnd w:id="226"/>
      <w:bookmarkEnd w:id="227"/>
      <w:r>
        <w:rPr>
          <w:rFonts w:ascii="仿宋_GB2312" w:eastAsia="仿宋_GB2312" w:hint="eastAsia"/>
          <w:color w:val="000000"/>
          <w:sz w:val="32"/>
          <w:szCs w:val="32"/>
        </w:rPr>
        <w:t>决算数与预算数持平。</w:t>
      </w:r>
      <w:bookmarkEnd w:id="228"/>
      <w:bookmarkEnd w:id="229"/>
      <w:bookmarkEnd w:id="230"/>
      <w:bookmarkEnd w:id="231"/>
      <w:bookmarkEnd w:id="232"/>
      <w:bookmarkEnd w:id="233"/>
      <w:bookmarkEnd w:id="234"/>
      <w:bookmarkEnd w:id="235"/>
      <w:bookmarkEnd w:id="236"/>
      <w:bookmarkEnd w:id="237"/>
      <w:bookmarkEnd w:id="238"/>
    </w:p>
    <w:p>
      <w:pPr>
        <w:spacing w:line="576" w:lineRule="exact"/>
        <w:ind w:firstLineChars="200" w:firstLine="640"/>
        <w:outlineLvl w:val="1"/>
        <w:rPr>
          <w:rFonts w:ascii="仿宋_GB2312" w:eastAsia="仿宋_GB2312" w:hint="eastAsia"/>
          <w:color w:val="000000"/>
          <w:sz w:val="32"/>
          <w:szCs w:val="32"/>
        </w:rPr>
      </w:pPr>
      <w:bookmarkStart w:id="239" w:name="_Toc75095823"/>
      <w:bookmarkStart w:id="240" w:name="_Toc75095998"/>
      <w:bookmarkStart w:id="241" w:name="_Toc75095936"/>
      <w:bookmarkStart w:id="242" w:name="_Toc55224472"/>
      <w:bookmarkStart w:id="243" w:name="_Toc38849476"/>
      <w:bookmarkStart w:id="244" w:name="_Toc55224427"/>
      <w:bookmarkStart w:id="245" w:name="_Toc55224668"/>
      <w:bookmarkStart w:id="246" w:name="_Toc38849435"/>
      <w:bookmarkStart w:id="247" w:name="_Toc55224570"/>
      <w:bookmarkStart w:id="248" w:name="_Toc88111024"/>
      <w:bookmarkStart w:id="249" w:name="_Toc55224382"/>
      <w:bookmarkStart w:id="250" w:name="_Toc55224238"/>
      <w:bookmarkStart w:id="251" w:name="_Toc55224334"/>
      <w:bookmarkStart w:id="252" w:name="_Toc44445318"/>
      <w:r>
        <w:rPr>
          <w:rFonts w:ascii="仿宋_GB2312" w:eastAsia="仿宋_GB2312" w:hint="eastAsia"/>
          <w:color w:val="000000"/>
          <w:sz w:val="32"/>
          <w:szCs w:val="32"/>
        </w:rPr>
        <w:t>3.一般公共服务（</w:t>
      </w:r>
      <w:r>
        <w:rPr>
          <w:rFonts w:ascii="仿宋_GB2312" w:eastAsia="仿宋_GB2312" w:hint="eastAsia"/>
          <w:color w:val="000000"/>
          <w:sz w:val="32"/>
          <w:szCs w:val="32"/>
          <w:lang w:eastAsia="zh-CN"/>
        </w:rPr>
        <w:t>类</w:t>
      </w:r>
      <w:r>
        <w:rPr>
          <w:rFonts w:ascii="仿宋_GB2312" w:eastAsia="仿宋_GB2312" w:hint="eastAsia"/>
          <w:color w:val="000000"/>
          <w:sz w:val="32"/>
          <w:szCs w:val="32"/>
        </w:rPr>
        <w:t>）市场监督管理事务（</w:t>
      </w:r>
      <w:r>
        <w:rPr>
          <w:rFonts w:ascii="仿宋_GB2312" w:eastAsia="仿宋_GB2312" w:hint="eastAsia"/>
          <w:color w:val="000000"/>
          <w:sz w:val="32"/>
          <w:szCs w:val="32"/>
          <w:lang w:eastAsia="zh-CN"/>
        </w:rPr>
        <w:t>款</w:t>
      </w:r>
      <w:r>
        <w:rPr>
          <w:rFonts w:ascii="仿宋_GB2312" w:eastAsia="仿宋_GB2312" w:hint="eastAsia"/>
          <w:color w:val="000000"/>
          <w:sz w:val="32"/>
          <w:szCs w:val="32"/>
        </w:rPr>
        <w:t>）事业运行（</w:t>
      </w:r>
      <w:r>
        <w:rPr>
          <w:rFonts w:ascii="仿宋_GB2312" w:eastAsia="仿宋_GB2312" w:hint="eastAsia"/>
          <w:color w:val="000000"/>
          <w:sz w:val="32"/>
          <w:szCs w:val="32"/>
          <w:lang w:eastAsia="zh-CN"/>
        </w:rPr>
        <w:t>项</w:t>
      </w:r>
      <w:r>
        <w:rPr>
          <w:rFonts w:ascii="仿宋_GB2312" w:eastAsia="仿宋_GB2312" w:hint="eastAsia"/>
          <w:color w:val="000000"/>
          <w:sz w:val="32"/>
          <w:szCs w:val="32"/>
        </w:rPr>
        <w:t>）: 支出决算为172.39万元，完成预算1</w:t>
      </w:r>
      <w:bookmarkStart w:id="253" w:name="_Toc8341"/>
      <w:bookmarkStart w:id="254" w:name="_Toc32243"/>
      <w:bookmarkStart w:id="255" w:name="_Toc17036"/>
      <w:bookmarkStart w:id="256" w:name="_Toc51662776"/>
      <w:bookmarkStart w:id="257" w:name="_Toc51662588"/>
      <w:bookmarkStart w:id="258" w:name="_Toc29289"/>
      <w:bookmarkStart w:id="259" w:name="_Toc44872211"/>
      <w:bookmarkStart w:id="260" w:name="_Toc5886"/>
      <w:bookmarkEnd w:id="216"/>
      <w:bookmarkEnd w:id="217"/>
      <w:bookmarkEnd w:id="218"/>
      <w:bookmarkEnd w:id="219"/>
      <w:bookmarkEnd w:id="220"/>
      <w:bookmarkEnd w:id="221"/>
      <w:bookmarkEnd w:id="222"/>
      <w:bookmarkEnd w:id="223"/>
      <w:r>
        <w:rPr>
          <w:rFonts w:ascii="仿宋_GB2312" w:eastAsia="仿宋_GB2312" w:hint="eastAsia"/>
          <w:color w:val="000000"/>
          <w:sz w:val="32"/>
          <w:szCs w:val="32"/>
        </w:rPr>
        <w:t>00%。</w:t>
      </w:r>
      <w:bookmarkEnd w:id="239"/>
      <w:bookmarkEnd w:id="240"/>
      <w:bookmarkEnd w:id="241"/>
      <w:r>
        <w:rPr>
          <w:rFonts w:ascii="仿宋_GB2312" w:eastAsia="仿宋_GB2312" w:hint="eastAsia"/>
          <w:color w:val="000000"/>
          <w:sz w:val="32"/>
          <w:szCs w:val="32"/>
        </w:rPr>
        <w:t>决算数与预算数持平。</w:t>
      </w:r>
      <w:bookmarkEnd w:id="242"/>
      <w:bookmarkEnd w:id="243"/>
      <w:bookmarkEnd w:id="244"/>
      <w:bookmarkEnd w:id="245"/>
      <w:bookmarkEnd w:id="246"/>
      <w:bookmarkEnd w:id="247"/>
      <w:bookmarkEnd w:id="248"/>
      <w:bookmarkEnd w:id="249"/>
      <w:bookmarkEnd w:id="250"/>
      <w:bookmarkEnd w:id="251"/>
      <w:bookmarkEnd w:id="252"/>
    </w:p>
    <w:p>
      <w:pPr>
        <w:spacing w:line="576" w:lineRule="exact"/>
        <w:ind w:firstLineChars="200" w:firstLine="640"/>
        <w:outlineLvl w:val="1"/>
        <w:rPr>
          <w:rFonts w:ascii="仿宋_GB2312" w:eastAsia="仿宋_GB2312" w:hint="eastAsia"/>
          <w:color w:val="000000"/>
          <w:sz w:val="32"/>
          <w:szCs w:val="32"/>
        </w:rPr>
      </w:pPr>
      <w:bookmarkStart w:id="261" w:name="_Toc75095999"/>
      <w:bookmarkStart w:id="262" w:name="_Toc75095824"/>
      <w:bookmarkStart w:id="263" w:name="_Toc75095937"/>
      <w:bookmarkStart w:id="264" w:name="_Toc55224428"/>
      <w:bookmarkStart w:id="265" w:name="_Toc55224571"/>
      <w:bookmarkStart w:id="266" w:name="_Toc38849436"/>
      <w:bookmarkStart w:id="267" w:name="_Toc38849477"/>
      <w:bookmarkStart w:id="268" w:name="_Toc44445319"/>
      <w:bookmarkStart w:id="269" w:name="_Toc55224335"/>
      <w:bookmarkStart w:id="270" w:name="_Toc55224239"/>
      <w:bookmarkStart w:id="271" w:name="_Toc88111025"/>
      <w:bookmarkStart w:id="272" w:name="_Toc55224669"/>
      <w:bookmarkStart w:id="273" w:name="_Toc55224473"/>
      <w:bookmarkStart w:id="274" w:name="_Toc55224383"/>
      <w:r>
        <w:rPr>
          <w:rFonts w:ascii="仿宋_GB2312" w:eastAsia="仿宋_GB2312" w:hint="eastAsia"/>
          <w:color w:val="000000"/>
          <w:sz w:val="32"/>
          <w:szCs w:val="32"/>
        </w:rPr>
        <w:t>4. 一般公共服务（</w:t>
      </w:r>
      <w:r>
        <w:rPr>
          <w:rFonts w:ascii="仿宋_GB2312" w:eastAsia="仿宋_GB2312" w:hint="eastAsia"/>
          <w:color w:val="000000"/>
          <w:sz w:val="32"/>
          <w:szCs w:val="32"/>
          <w:lang w:eastAsia="zh-CN"/>
        </w:rPr>
        <w:t>类</w:t>
      </w:r>
      <w:r>
        <w:rPr>
          <w:rFonts w:ascii="仿宋_GB2312" w:eastAsia="仿宋_GB2312" w:hint="eastAsia"/>
          <w:color w:val="000000"/>
          <w:sz w:val="32"/>
          <w:szCs w:val="32"/>
        </w:rPr>
        <w:t>）市场监督管理事务（</w:t>
      </w:r>
      <w:r>
        <w:rPr>
          <w:rFonts w:ascii="仿宋_GB2312" w:eastAsia="仿宋_GB2312" w:hint="eastAsia"/>
          <w:color w:val="000000"/>
          <w:sz w:val="32"/>
          <w:szCs w:val="32"/>
          <w:lang w:eastAsia="zh-CN"/>
        </w:rPr>
        <w:t>款</w:t>
      </w:r>
      <w:r>
        <w:rPr>
          <w:rFonts w:ascii="仿宋_GB2312" w:eastAsia="仿宋_GB2312" w:hint="eastAsia"/>
          <w:color w:val="000000"/>
          <w:sz w:val="32"/>
          <w:szCs w:val="32"/>
        </w:rPr>
        <w:t>）其他市场监督管理事务（</w:t>
      </w:r>
      <w:r>
        <w:rPr>
          <w:rFonts w:ascii="仿宋_GB2312" w:eastAsia="仿宋_GB2312" w:hint="eastAsia"/>
          <w:color w:val="000000"/>
          <w:sz w:val="32"/>
          <w:szCs w:val="32"/>
          <w:lang w:eastAsia="zh-CN"/>
        </w:rPr>
        <w:t>项</w:t>
      </w:r>
      <w:r>
        <w:rPr>
          <w:rFonts w:ascii="仿宋_GB2312" w:eastAsia="仿宋_GB2312" w:hint="eastAsia"/>
          <w:color w:val="000000"/>
          <w:sz w:val="32"/>
          <w:szCs w:val="32"/>
        </w:rPr>
        <w:t>）: 支出决算为</w:t>
      </w:r>
      <w:bookmarkStart w:id="275" w:name="_Toc24776"/>
      <w:bookmarkStart w:id="276" w:name="_Toc22240"/>
      <w:bookmarkStart w:id="277" w:name="_Toc51662777"/>
      <w:bookmarkStart w:id="278" w:name="_Toc6664"/>
      <w:bookmarkStart w:id="279" w:name="_Toc15905"/>
      <w:bookmarkStart w:id="280" w:name="_Toc51662589"/>
      <w:bookmarkEnd w:id="253"/>
      <w:bookmarkEnd w:id="254"/>
      <w:bookmarkEnd w:id="255"/>
      <w:bookmarkEnd w:id="256"/>
      <w:bookmarkEnd w:id="257"/>
      <w:bookmarkEnd w:id="258"/>
      <w:r>
        <w:rPr>
          <w:rFonts w:ascii="仿宋_GB2312" w:eastAsia="仿宋_GB2312" w:hint="eastAsia"/>
          <w:color w:val="000000"/>
          <w:sz w:val="32"/>
          <w:szCs w:val="32"/>
          <w:lang w:val="en-US" w:eastAsia="zh-CN"/>
        </w:rPr>
        <w:t>45.96</w:t>
      </w:r>
      <w:r>
        <w:rPr>
          <w:rFonts w:ascii="仿宋_GB2312" w:eastAsia="仿宋_GB2312" w:hint="eastAsia"/>
          <w:color w:val="000000"/>
          <w:sz w:val="32"/>
          <w:szCs w:val="32"/>
        </w:rPr>
        <w:t>万元，完成预</w:t>
      </w:r>
      <w:bookmarkEnd w:id="224"/>
      <w:bookmarkEnd w:id="259"/>
      <w:bookmarkEnd w:id="260"/>
      <w:r>
        <w:rPr>
          <w:rFonts w:ascii="仿宋_GB2312" w:eastAsia="仿宋_GB2312" w:hint="eastAsia"/>
          <w:color w:val="000000"/>
          <w:sz w:val="32"/>
          <w:szCs w:val="32"/>
        </w:rPr>
        <w:t>算</w:t>
      </w:r>
      <w:bookmarkStart w:id="281" w:name="_Toc44872212"/>
      <w:bookmarkStart w:id="282" w:name="_Toc12714"/>
      <w:bookmarkStart w:id="283" w:name="_Toc22041"/>
      <w:r>
        <w:rPr>
          <w:rFonts w:ascii="仿宋_GB2312" w:eastAsia="仿宋_GB2312" w:hint="eastAsia"/>
          <w:color w:val="000000"/>
          <w:sz w:val="32"/>
          <w:szCs w:val="32"/>
        </w:rPr>
        <w:t>100%。</w:t>
      </w:r>
      <w:bookmarkEnd w:id="261"/>
      <w:bookmarkEnd w:id="262"/>
      <w:bookmarkEnd w:id="263"/>
      <w:r>
        <w:rPr>
          <w:rFonts w:ascii="仿宋_GB2312" w:eastAsia="仿宋_GB2312" w:hint="eastAsia"/>
          <w:color w:val="000000"/>
          <w:sz w:val="32"/>
          <w:szCs w:val="32"/>
        </w:rPr>
        <w:t>决算数与预算数持平。</w:t>
      </w:r>
      <w:bookmarkEnd w:id="264"/>
      <w:bookmarkEnd w:id="265"/>
      <w:bookmarkEnd w:id="266"/>
      <w:bookmarkEnd w:id="267"/>
      <w:bookmarkEnd w:id="268"/>
      <w:bookmarkEnd w:id="269"/>
      <w:bookmarkEnd w:id="270"/>
      <w:bookmarkEnd w:id="271"/>
      <w:bookmarkEnd w:id="272"/>
      <w:bookmarkEnd w:id="273"/>
      <w:bookmarkEnd w:id="274"/>
    </w:p>
    <w:p>
      <w:pPr>
        <w:spacing w:line="576" w:lineRule="exact"/>
        <w:ind w:firstLineChars="200" w:firstLine="640"/>
        <w:outlineLvl w:val="1"/>
        <w:rPr>
          <w:rFonts w:ascii="仿宋_GB2312" w:eastAsia="仿宋_GB2312" w:hint="eastAsia"/>
          <w:color w:val="000000"/>
          <w:sz w:val="32"/>
          <w:szCs w:val="32"/>
        </w:rPr>
      </w:pPr>
      <w:bookmarkStart w:id="284" w:name="_Toc75095825"/>
      <w:bookmarkStart w:id="285" w:name="_Toc75095938"/>
      <w:bookmarkStart w:id="286" w:name="_Toc75096000"/>
      <w:bookmarkStart w:id="287" w:name="_Toc55224572"/>
      <w:bookmarkStart w:id="288" w:name="_Toc88111026"/>
      <w:bookmarkStart w:id="289" w:name="_Toc38849478"/>
      <w:bookmarkStart w:id="290" w:name="_Toc44445320"/>
      <w:bookmarkStart w:id="291" w:name="_Toc55224474"/>
      <w:bookmarkStart w:id="292" w:name="_Toc55224670"/>
      <w:bookmarkStart w:id="293" w:name="_Toc55224336"/>
      <w:bookmarkStart w:id="294" w:name="_Toc55224240"/>
      <w:bookmarkStart w:id="295" w:name="_Toc55224384"/>
      <w:bookmarkStart w:id="296" w:name="_Toc55224429"/>
      <w:bookmarkStart w:id="297" w:name="_Toc38849437"/>
      <w:r>
        <w:rPr>
          <w:rFonts w:ascii="仿宋_GB2312" w:eastAsia="仿宋_GB2312" w:hint="eastAsia"/>
          <w:color w:val="000000"/>
          <w:sz w:val="32"/>
          <w:szCs w:val="32"/>
          <w:lang w:val="en-US" w:eastAsia="zh-CN"/>
        </w:rPr>
        <w:t>5</w:t>
      </w:r>
      <w:r>
        <w:rPr>
          <w:rFonts w:ascii="仿宋_GB2312" w:eastAsia="仿宋_GB2312" w:hint="eastAsia"/>
          <w:color w:val="000000"/>
          <w:sz w:val="32"/>
          <w:szCs w:val="32"/>
        </w:rPr>
        <w:t>.社会保障和就业（</w:t>
      </w:r>
      <w:r>
        <w:rPr>
          <w:rFonts w:ascii="仿宋_GB2312" w:eastAsia="仿宋_GB2312" w:hint="eastAsia"/>
          <w:color w:val="000000"/>
          <w:sz w:val="32"/>
          <w:szCs w:val="32"/>
          <w:lang w:eastAsia="zh-CN"/>
        </w:rPr>
        <w:t>类</w:t>
      </w:r>
      <w:r>
        <w:rPr>
          <w:rFonts w:ascii="仿宋_GB2312" w:eastAsia="仿宋_GB2312" w:hint="eastAsia"/>
          <w:color w:val="000000"/>
          <w:sz w:val="32"/>
          <w:szCs w:val="32"/>
        </w:rPr>
        <w:t>）行政事业单位养老支出（</w:t>
      </w:r>
      <w:r>
        <w:rPr>
          <w:rFonts w:ascii="仿宋_GB2312" w:eastAsia="仿宋_GB2312" w:hint="eastAsia"/>
          <w:color w:val="000000"/>
          <w:sz w:val="32"/>
          <w:szCs w:val="32"/>
          <w:lang w:eastAsia="zh-CN"/>
        </w:rPr>
        <w:t>款</w:t>
      </w:r>
      <w:r>
        <w:rPr>
          <w:rFonts w:ascii="仿宋_GB2312" w:eastAsia="仿宋_GB2312" w:hint="eastAsia"/>
          <w:color w:val="000000"/>
          <w:sz w:val="32"/>
          <w:szCs w:val="32"/>
        </w:rPr>
        <w:t>）机关事业单位基本养老保险缴费支出（</w:t>
      </w:r>
      <w:r>
        <w:rPr>
          <w:rFonts w:ascii="仿宋_GB2312" w:eastAsia="仿宋_GB2312" w:hint="eastAsia"/>
          <w:color w:val="000000"/>
          <w:sz w:val="32"/>
          <w:szCs w:val="32"/>
          <w:lang w:eastAsia="zh-CN"/>
        </w:rPr>
        <w:t>项</w:t>
      </w:r>
      <w:r>
        <w:rPr>
          <w:rFonts w:ascii="仿宋_GB2312" w:eastAsia="仿宋_GB2312" w:hint="eastAsia"/>
          <w:color w:val="000000"/>
          <w:sz w:val="32"/>
          <w:szCs w:val="32"/>
        </w:rPr>
        <w:t>）: 支出决算为</w:t>
      </w:r>
      <w:r>
        <w:rPr>
          <w:rFonts w:ascii="仿宋_GB2312" w:eastAsia="仿宋_GB2312" w:hint="eastAsia"/>
          <w:color w:val="000000"/>
          <w:sz w:val="32"/>
          <w:szCs w:val="32"/>
          <w:lang w:val="en-US" w:eastAsia="zh-CN"/>
        </w:rPr>
        <w:t>67.74</w:t>
      </w:r>
      <w:r>
        <w:rPr>
          <w:rFonts w:ascii="仿宋_GB2312" w:eastAsia="仿宋_GB2312" w:hint="eastAsia"/>
          <w:color w:val="000000"/>
          <w:sz w:val="32"/>
          <w:szCs w:val="32"/>
        </w:rPr>
        <w:t>万元，完成预</w:t>
      </w:r>
      <w:bookmarkStart w:id="298" w:name="_Toc51662778"/>
      <w:bookmarkStart w:id="299" w:name="_Toc24373"/>
      <w:bookmarkStart w:id="300" w:name="_Toc51662590"/>
      <w:bookmarkEnd w:id="275"/>
      <w:bookmarkEnd w:id="276"/>
      <w:bookmarkEnd w:id="277"/>
      <w:bookmarkEnd w:id="278"/>
      <w:bookmarkEnd w:id="279"/>
      <w:bookmarkEnd w:id="280"/>
      <w:bookmarkEnd w:id="281"/>
      <w:bookmarkEnd w:id="282"/>
      <w:bookmarkEnd w:id="283"/>
      <w:r>
        <w:rPr>
          <w:rFonts w:ascii="仿宋_GB2312" w:eastAsia="仿宋_GB2312" w:hint="eastAsia"/>
          <w:color w:val="000000"/>
          <w:sz w:val="32"/>
          <w:szCs w:val="32"/>
        </w:rPr>
        <w:t>算</w:t>
      </w:r>
      <w:bookmarkStart w:id="301" w:name="_Toc408"/>
      <w:bookmarkStart w:id="302" w:name="_Toc9285"/>
      <w:bookmarkStart w:id="303" w:name="_Toc2641"/>
      <w:bookmarkStart w:id="304" w:name="_Toc44872213"/>
      <w:bookmarkStart w:id="305" w:name="_Toc29453"/>
      <w:bookmarkStart w:id="306" w:name="_Toc12067"/>
      <w:r>
        <w:rPr>
          <w:rFonts w:ascii="仿宋_GB2312" w:eastAsia="仿宋_GB2312" w:hint="eastAsia"/>
          <w:color w:val="000000"/>
          <w:sz w:val="32"/>
          <w:szCs w:val="32"/>
        </w:rPr>
        <w:t>100%。</w:t>
      </w:r>
      <w:bookmarkEnd w:id="284"/>
      <w:bookmarkEnd w:id="285"/>
      <w:bookmarkEnd w:id="286"/>
      <w:r>
        <w:rPr>
          <w:rFonts w:ascii="仿宋_GB2312" w:eastAsia="仿宋_GB2312" w:hint="eastAsia"/>
          <w:color w:val="000000"/>
          <w:sz w:val="32"/>
          <w:szCs w:val="32"/>
        </w:rPr>
        <w:t>决算数与预算数持平。</w:t>
      </w:r>
      <w:bookmarkEnd w:id="287"/>
      <w:bookmarkEnd w:id="288"/>
      <w:bookmarkEnd w:id="289"/>
      <w:bookmarkEnd w:id="290"/>
      <w:bookmarkEnd w:id="291"/>
      <w:bookmarkEnd w:id="292"/>
      <w:bookmarkEnd w:id="293"/>
      <w:bookmarkEnd w:id="294"/>
      <w:bookmarkEnd w:id="295"/>
      <w:bookmarkEnd w:id="296"/>
      <w:bookmarkEnd w:id="297"/>
    </w:p>
    <w:p>
      <w:pPr>
        <w:spacing w:line="576" w:lineRule="exact"/>
        <w:ind w:firstLineChars="200" w:firstLine="640"/>
        <w:outlineLvl w:val="1"/>
        <w:rPr>
          <w:rFonts w:ascii="仿宋_GB2312" w:eastAsia="仿宋_GB2312" w:hint="eastAsia"/>
          <w:color w:val="000000"/>
          <w:sz w:val="32"/>
          <w:szCs w:val="32"/>
        </w:rPr>
      </w:pPr>
      <w:bookmarkStart w:id="307" w:name="_Toc75095826"/>
      <w:bookmarkStart w:id="308" w:name="_Toc75095939"/>
      <w:bookmarkStart w:id="309" w:name="_Toc75096001"/>
      <w:bookmarkStart w:id="310" w:name="_Toc55224385"/>
      <w:bookmarkStart w:id="311" w:name="_Toc55224671"/>
      <w:bookmarkStart w:id="312" w:name="_Toc38849438"/>
      <w:bookmarkStart w:id="313" w:name="_Toc55224475"/>
      <w:bookmarkStart w:id="314" w:name="_Toc44445321"/>
      <w:bookmarkStart w:id="315" w:name="_Toc55224430"/>
      <w:bookmarkStart w:id="316" w:name="_Toc55224573"/>
      <w:bookmarkStart w:id="317" w:name="_Toc88111027"/>
      <w:bookmarkStart w:id="318" w:name="_Toc55224241"/>
      <w:bookmarkStart w:id="319" w:name="_Toc55224337"/>
      <w:bookmarkStart w:id="320" w:name="_Toc38849479"/>
      <w:r>
        <w:rPr>
          <w:rFonts w:ascii="仿宋_GB2312" w:eastAsia="仿宋_GB2312" w:hint="eastAsia"/>
          <w:color w:val="000000"/>
          <w:sz w:val="32"/>
          <w:szCs w:val="32"/>
          <w:lang w:val="en-US" w:eastAsia="zh-CN"/>
        </w:rPr>
        <w:t>6</w:t>
      </w:r>
      <w:r>
        <w:rPr>
          <w:rFonts w:ascii="仿宋_GB2312" w:eastAsia="仿宋_GB2312" w:hint="eastAsia"/>
          <w:color w:val="000000"/>
          <w:sz w:val="32"/>
          <w:szCs w:val="32"/>
        </w:rPr>
        <w:t>.社会保障和就业（</w:t>
      </w:r>
      <w:r>
        <w:rPr>
          <w:rFonts w:ascii="仿宋_GB2312" w:eastAsia="仿宋_GB2312" w:hint="eastAsia"/>
          <w:color w:val="000000"/>
          <w:sz w:val="32"/>
          <w:szCs w:val="32"/>
          <w:lang w:eastAsia="zh-CN"/>
        </w:rPr>
        <w:t>类</w:t>
      </w:r>
      <w:r>
        <w:rPr>
          <w:rFonts w:ascii="仿宋_GB2312" w:eastAsia="仿宋_GB2312" w:hint="eastAsia"/>
          <w:color w:val="000000"/>
          <w:sz w:val="32"/>
          <w:szCs w:val="32"/>
        </w:rPr>
        <w:t>）行政事业单位养老支出（</w:t>
      </w:r>
      <w:r>
        <w:rPr>
          <w:rFonts w:ascii="仿宋_GB2312" w:eastAsia="仿宋_GB2312" w:hint="eastAsia"/>
          <w:color w:val="000000"/>
          <w:sz w:val="32"/>
          <w:szCs w:val="32"/>
          <w:lang w:eastAsia="zh-CN"/>
        </w:rPr>
        <w:t>款</w:t>
      </w:r>
      <w:r>
        <w:rPr>
          <w:rFonts w:ascii="仿宋_GB2312" w:eastAsia="仿宋_GB2312" w:hint="eastAsia"/>
          <w:color w:val="000000"/>
          <w:sz w:val="32"/>
          <w:szCs w:val="32"/>
        </w:rPr>
        <w:t>）机关事业单位职业年金缴费出（</w:t>
      </w:r>
      <w:r>
        <w:rPr>
          <w:rFonts w:ascii="仿宋_GB2312" w:eastAsia="仿宋_GB2312" w:hint="eastAsia"/>
          <w:color w:val="000000"/>
          <w:sz w:val="32"/>
          <w:szCs w:val="32"/>
          <w:lang w:eastAsia="zh-CN"/>
        </w:rPr>
        <w:t>项</w:t>
      </w:r>
      <w:r>
        <w:rPr>
          <w:rFonts w:ascii="仿宋_GB2312" w:eastAsia="仿宋_GB2312" w:hint="eastAsia"/>
          <w:color w:val="000000"/>
          <w:sz w:val="32"/>
          <w:szCs w:val="32"/>
        </w:rPr>
        <w:t>）: 支出决算为</w:t>
      </w:r>
      <w:r>
        <w:rPr>
          <w:rFonts w:ascii="仿宋_GB2312" w:eastAsia="仿宋_GB2312" w:hint="eastAsia"/>
          <w:color w:val="000000"/>
          <w:sz w:val="32"/>
          <w:szCs w:val="32"/>
          <w:lang w:val="en-US" w:eastAsia="zh-CN"/>
        </w:rPr>
        <w:t>33.87</w:t>
      </w:r>
      <w:r>
        <w:rPr>
          <w:rFonts w:ascii="仿宋_GB2312" w:eastAsia="仿宋_GB2312" w:hint="eastAsia"/>
          <w:color w:val="000000"/>
          <w:sz w:val="32"/>
          <w:szCs w:val="32"/>
        </w:rPr>
        <w:t>万元，完成预</w:t>
      </w:r>
      <w:bookmarkEnd w:id="298"/>
      <w:bookmarkEnd w:id="299"/>
      <w:bookmarkEnd w:id="300"/>
      <w:bookmarkEnd w:id="301"/>
      <w:bookmarkEnd w:id="302"/>
      <w:bookmarkEnd w:id="303"/>
      <w:bookmarkEnd w:id="304"/>
      <w:bookmarkEnd w:id="305"/>
      <w:bookmarkEnd w:id="306"/>
      <w:r>
        <w:rPr>
          <w:rFonts w:ascii="仿宋_GB2312" w:eastAsia="仿宋_GB2312" w:hint="eastAsia"/>
          <w:color w:val="000000"/>
          <w:sz w:val="32"/>
          <w:szCs w:val="32"/>
        </w:rPr>
        <w:t>算</w:t>
      </w:r>
      <w:bookmarkStart w:id="321" w:name="_Toc20470"/>
      <w:bookmarkStart w:id="322" w:name="_Toc11819"/>
      <w:bookmarkStart w:id="323" w:name="_Toc44872214"/>
      <w:bookmarkStart w:id="324" w:name="_Toc14725"/>
      <w:bookmarkStart w:id="325" w:name="_Toc2155"/>
      <w:bookmarkStart w:id="326" w:name="_Toc51662780"/>
      <w:bookmarkStart w:id="327" w:name="_Toc13125"/>
      <w:bookmarkStart w:id="328" w:name="_Toc51662592"/>
      <w:bookmarkStart w:id="329" w:name="_Toc27775"/>
      <w:r>
        <w:rPr>
          <w:rFonts w:ascii="仿宋_GB2312" w:eastAsia="仿宋_GB2312" w:hint="eastAsia"/>
          <w:color w:val="000000"/>
          <w:sz w:val="32"/>
          <w:szCs w:val="32"/>
        </w:rPr>
        <w:t>100%。</w:t>
      </w:r>
      <w:bookmarkEnd w:id="307"/>
      <w:bookmarkEnd w:id="308"/>
      <w:bookmarkEnd w:id="309"/>
      <w:r>
        <w:rPr>
          <w:rFonts w:ascii="仿宋_GB2312" w:eastAsia="仿宋_GB2312" w:hint="eastAsia"/>
          <w:color w:val="000000"/>
          <w:sz w:val="32"/>
          <w:szCs w:val="32"/>
        </w:rPr>
        <w:t>决算数与预算数持平。</w:t>
      </w:r>
      <w:bookmarkEnd w:id="310"/>
      <w:bookmarkEnd w:id="311"/>
      <w:bookmarkEnd w:id="312"/>
      <w:bookmarkEnd w:id="313"/>
      <w:bookmarkEnd w:id="314"/>
      <w:bookmarkEnd w:id="315"/>
      <w:bookmarkEnd w:id="316"/>
      <w:bookmarkEnd w:id="317"/>
      <w:bookmarkEnd w:id="318"/>
      <w:bookmarkEnd w:id="319"/>
      <w:bookmarkEnd w:id="320"/>
    </w:p>
    <w:p>
      <w:pPr>
        <w:spacing w:line="576" w:lineRule="exact"/>
        <w:ind w:firstLineChars="200" w:firstLine="640"/>
        <w:outlineLvl w:val="1"/>
        <w:rPr>
          <w:rFonts w:ascii="仿宋_GB2312" w:eastAsia="仿宋_GB2312" w:hint="eastAsia"/>
          <w:color w:val="000000"/>
          <w:sz w:val="32"/>
          <w:szCs w:val="32"/>
        </w:rPr>
      </w:pPr>
      <w:bookmarkStart w:id="330" w:name="_Toc75095827"/>
      <w:bookmarkStart w:id="331" w:name="_Toc75095940"/>
      <w:bookmarkStart w:id="332" w:name="_Toc75096002"/>
      <w:bookmarkStart w:id="333" w:name="_Toc88111028"/>
      <w:bookmarkStart w:id="334" w:name="_Toc55224242"/>
      <w:bookmarkStart w:id="335" w:name="_Toc44445322"/>
      <w:bookmarkStart w:id="336" w:name="_Toc55224476"/>
      <w:bookmarkStart w:id="337" w:name="_Toc38849439"/>
      <w:bookmarkStart w:id="338" w:name="_Toc38849480"/>
      <w:bookmarkStart w:id="339" w:name="_Toc55224338"/>
      <w:bookmarkStart w:id="340" w:name="_Toc55224386"/>
      <w:bookmarkStart w:id="341" w:name="_Toc55224574"/>
      <w:bookmarkStart w:id="342" w:name="_Toc55224672"/>
      <w:bookmarkStart w:id="343" w:name="_Toc55224431"/>
      <w:r>
        <w:rPr>
          <w:rFonts w:ascii="仿宋_GB2312" w:eastAsia="仿宋_GB2312" w:hint="eastAsia"/>
          <w:color w:val="000000"/>
          <w:sz w:val="32"/>
          <w:szCs w:val="32"/>
          <w:lang w:val="en-US" w:eastAsia="zh-CN"/>
        </w:rPr>
        <w:t>7</w:t>
      </w:r>
      <w:r>
        <w:rPr>
          <w:rFonts w:ascii="仿宋_GB2312" w:eastAsia="仿宋_GB2312" w:hint="eastAsia"/>
          <w:color w:val="000000"/>
          <w:sz w:val="32"/>
          <w:szCs w:val="32"/>
        </w:rPr>
        <w:t>.卫生健康（</w:t>
      </w:r>
      <w:r>
        <w:rPr>
          <w:rFonts w:ascii="仿宋_GB2312" w:eastAsia="仿宋_GB2312" w:hint="eastAsia"/>
          <w:color w:val="000000"/>
          <w:sz w:val="32"/>
          <w:szCs w:val="32"/>
          <w:lang w:eastAsia="zh-CN"/>
        </w:rPr>
        <w:t>类</w:t>
      </w:r>
      <w:r>
        <w:rPr>
          <w:rFonts w:ascii="仿宋_GB2312" w:eastAsia="仿宋_GB2312" w:hint="eastAsia"/>
          <w:color w:val="000000"/>
          <w:sz w:val="32"/>
          <w:szCs w:val="32"/>
        </w:rPr>
        <w:t>）行政事业单位医疗（</w:t>
      </w:r>
      <w:r>
        <w:rPr>
          <w:rFonts w:ascii="仿宋_GB2312" w:eastAsia="仿宋_GB2312" w:hint="eastAsia"/>
          <w:color w:val="000000"/>
          <w:sz w:val="32"/>
          <w:szCs w:val="32"/>
          <w:lang w:eastAsia="zh-CN"/>
        </w:rPr>
        <w:t>款</w:t>
      </w:r>
      <w:r>
        <w:rPr>
          <w:rFonts w:ascii="仿宋_GB2312" w:eastAsia="仿宋_GB2312" w:hint="eastAsia"/>
          <w:color w:val="000000"/>
          <w:sz w:val="32"/>
          <w:szCs w:val="32"/>
        </w:rPr>
        <w:t>）行政单位医疗（</w:t>
      </w:r>
      <w:r>
        <w:rPr>
          <w:rFonts w:ascii="仿宋_GB2312" w:eastAsia="仿宋_GB2312" w:hint="eastAsia"/>
          <w:color w:val="000000"/>
          <w:sz w:val="32"/>
          <w:szCs w:val="32"/>
          <w:lang w:eastAsia="zh-CN"/>
        </w:rPr>
        <w:t>项</w:t>
      </w:r>
      <w:r>
        <w:rPr>
          <w:rFonts w:ascii="仿宋_GB2312" w:eastAsia="仿宋_GB2312" w:hint="eastAsia"/>
          <w:color w:val="000000"/>
          <w:sz w:val="32"/>
          <w:szCs w:val="32"/>
        </w:rPr>
        <w:t>）：支出决算为30.64万元，完成预</w:t>
      </w:r>
      <w:bookmarkEnd w:id="321"/>
      <w:bookmarkEnd w:id="322"/>
      <w:bookmarkEnd w:id="323"/>
      <w:bookmarkEnd w:id="324"/>
      <w:bookmarkEnd w:id="325"/>
      <w:bookmarkEnd w:id="326"/>
      <w:bookmarkEnd w:id="327"/>
      <w:bookmarkEnd w:id="328"/>
      <w:bookmarkEnd w:id="329"/>
      <w:r>
        <w:rPr>
          <w:rFonts w:ascii="仿宋_GB2312" w:eastAsia="仿宋_GB2312" w:hint="eastAsia"/>
          <w:color w:val="000000"/>
          <w:sz w:val="32"/>
          <w:szCs w:val="32"/>
        </w:rPr>
        <w:t>算</w:t>
      </w:r>
      <w:bookmarkStart w:id="344" w:name="_Toc15046"/>
      <w:bookmarkStart w:id="345" w:name="_Toc18304"/>
      <w:bookmarkStart w:id="346" w:name="_Toc51662782"/>
      <w:bookmarkStart w:id="347" w:name="_Toc3135"/>
      <w:bookmarkStart w:id="348" w:name="_Toc19789"/>
      <w:bookmarkStart w:id="349" w:name="_Toc44872216"/>
      <w:bookmarkStart w:id="350" w:name="_Toc31046"/>
      <w:bookmarkStart w:id="351" w:name="_Toc18770"/>
      <w:bookmarkStart w:id="352" w:name="_Toc51662594"/>
      <w:r>
        <w:rPr>
          <w:rFonts w:ascii="仿宋_GB2312" w:eastAsia="仿宋_GB2312" w:hint="eastAsia"/>
          <w:color w:val="000000"/>
          <w:sz w:val="32"/>
          <w:szCs w:val="32"/>
        </w:rPr>
        <w:t>100%。</w:t>
      </w:r>
      <w:bookmarkEnd w:id="330"/>
      <w:bookmarkEnd w:id="331"/>
      <w:bookmarkEnd w:id="332"/>
      <w:r>
        <w:rPr>
          <w:rFonts w:ascii="仿宋_GB2312" w:eastAsia="仿宋_GB2312" w:hint="eastAsia"/>
          <w:color w:val="000000"/>
          <w:sz w:val="32"/>
          <w:szCs w:val="32"/>
        </w:rPr>
        <w:t>决算数与预算数持平。</w:t>
      </w:r>
      <w:bookmarkEnd w:id="333"/>
      <w:bookmarkEnd w:id="334"/>
      <w:bookmarkEnd w:id="335"/>
      <w:bookmarkEnd w:id="336"/>
      <w:bookmarkEnd w:id="337"/>
      <w:bookmarkEnd w:id="338"/>
      <w:bookmarkEnd w:id="339"/>
      <w:bookmarkEnd w:id="340"/>
      <w:bookmarkEnd w:id="341"/>
      <w:bookmarkEnd w:id="342"/>
      <w:bookmarkEnd w:id="343"/>
    </w:p>
    <w:p>
      <w:pPr>
        <w:spacing w:line="576" w:lineRule="exact"/>
        <w:ind w:firstLineChars="200" w:firstLine="640"/>
        <w:outlineLvl w:val="1"/>
        <w:rPr>
          <w:rFonts w:ascii="仿宋_GB2312" w:eastAsia="仿宋_GB2312" w:hint="eastAsia"/>
          <w:color w:val="000000"/>
          <w:sz w:val="32"/>
          <w:szCs w:val="32"/>
        </w:rPr>
      </w:pPr>
      <w:bookmarkStart w:id="353" w:name="_Toc75096003"/>
      <w:bookmarkStart w:id="354" w:name="_Toc75095941"/>
      <w:bookmarkStart w:id="355" w:name="_Toc75095828"/>
      <w:bookmarkStart w:id="356" w:name="_Toc55224432"/>
      <w:bookmarkStart w:id="357" w:name="_Toc55224575"/>
      <w:bookmarkStart w:id="358" w:name="_Toc38849440"/>
      <w:bookmarkStart w:id="359" w:name="_Toc55224477"/>
      <w:bookmarkStart w:id="360" w:name="_Toc55224243"/>
      <w:bookmarkStart w:id="361" w:name="_Toc88111029"/>
      <w:bookmarkStart w:id="362" w:name="_Toc55224673"/>
      <w:bookmarkStart w:id="363" w:name="_Toc55224339"/>
      <w:bookmarkStart w:id="364" w:name="_Toc55224387"/>
      <w:bookmarkStart w:id="365" w:name="_Toc44445323"/>
      <w:bookmarkStart w:id="366" w:name="_Toc38849481"/>
      <w:r>
        <w:rPr>
          <w:rFonts w:ascii="仿宋_GB2312" w:eastAsia="仿宋_GB2312" w:hint="eastAsia"/>
          <w:color w:val="000000"/>
          <w:sz w:val="32"/>
          <w:szCs w:val="32"/>
          <w:lang w:val="en-US" w:eastAsia="zh-CN"/>
        </w:rPr>
        <w:t>8</w:t>
      </w:r>
      <w:r>
        <w:rPr>
          <w:rFonts w:ascii="仿宋_GB2312" w:eastAsia="仿宋_GB2312" w:hint="eastAsia"/>
          <w:color w:val="000000"/>
          <w:sz w:val="32"/>
          <w:szCs w:val="32"/>
        </w:rPr>
        <w:t>.卫生健康（</w:t>
      </w:r>
      <w:r>
        <w:rPr>
          <w:rFonts w:ascii="仿宋_GB2312" w:eastAsia="仿宋_GB2312" w:hint="eastAsia"/>
          <w:color w:val="000000"/>
          <w:sz w:val="32"/>
          <w:szCs w:val="32"/>
          <w:lang w:eastAsia="zh-CN"/>
        </w:rPr>
        <w:t>类</w:t>
      </w:r>
      <w:r>
        <w:rPr>
          <w:rFonts w:ascii="仿宋_GB2312" w:eastAsia="仿宋_GB2312" w:hint="eastAsia"/>
          <w:color w:val="000000"/>
          <w:sz w:val="32"/>
          <w:szCs w:val="32"/>
        </w:rPr>
        <w:t>）行政事业单位医疗（</w:t>
      </w:r>
      <w:r>
        <w:rPr>
          <w:rFonts w:ascii="仿宋_GB2312" w:eastAsia="仿宋_GB2312" w:hint="eastAsia"/>
          <w:color w:val="000000"/>
          <w:sz w:val="32"/>
          <w:szCs w:val="32"/>
          <w:lang w:eastAsia="zh-CN"/>
        </w:rPr>
        <w:t>款</w:t>
      </w:r>
      <w:r>
        <w:rPr>
          <w:rFonts w:ascii="仿宋_GB2312" w:eastAsia="仿宋_GB2312" w:hint="eastAsia"/>
          <w:color w:val="000000"/>
          <w:sz w:val="32"/>
          <w:szCs w:val="32"/>
        </w:rPr>
        <w:t>）事业单位医疗（</w:t>
      </w:r>
      <w:r>
        <w:rPr>
          <w:rFonts w:ascii="仿宋_GB2312" w:eastAsia="仿宋_GB2312" w:hint="eastAsia"/>
          <w:color w:val="000000"/>
          <w:sz w:val="32"/>
          <w:szCs w:val="32"/>
          <w:lang w:eastAsia="zh-CN"/>
        </w:rPr>
        <w:t>项</w:t>
      </w:r>
      <w:r>
        <w:rPr>
          <w:rFonts w:ascii="仿宋_GB2312" w:eastAsia="仿宋_GB2312" w:hint="eastAsia"/>
          <w:color w:val="000000"/>
          <w:sz w:val="32"/>
          <w:szCs w:val="32"/>
        </w:rPr>
        <w:t>）：支出决算为13.12万元，完成预算100%。</w:t>
      </w:r>
      <w:bookmarkEnd w:id="353"/>
      <w:bookmarkEnd w:id="354"/>
      <w:bookmarkEnd w:id="355"/>
      <w:r>
        <w:rPr>
          <w:rFonts w:ascii="仿宋_GB2312" w:eastAsia="仿宋_GB2312" w:hint="eastAsia"/>
          <w:color w:val="000000"/>
          <w:sz w:val="32"/>
          <w:szCs w:val="32"/>
        </w:rPr>
        <w:t>决算数与预算数持平。</w:t>
      </w:r>
      <w:bookmarkEnd w:id="356"/>
      <w:bookmarkEnd w:id="357"/>
      <w:bookmarkEnd w:id="358"/>
      <w:bookmarkEnd w:id="359"/>
      <w:bookmarkEnd w:id="360"/>
      <w:bookmarkEnd w:id="361"/>
      <w:bookmarkEnd w:id="362"/>
      <w:bookmarkEnd w:id="363"/>
      <w:bookmarkEnd w:id="364"/>
      <w:bookmarkEnd w:id="365"/>
      <w:bookmarkEnd w:id="366"/>
    </w:p>
    <w:p>
      <w:pPr>
        <w:spacing w:line="576" w:lineRule="exact"/>
        <w:ind w:left="0" w:firstLineChars="200" w:firstLine="640"/>
        <w:outlineLvl w:val="1"/>
        <w:rPr>
          <w:rFonts w:ascii="仿宋_GB2312" w:eastAsia="仿宋_GB2312" w:hint="eastAsia"/>
          <w:color w:val="000000"/>
          <w:sz w:val="32"/>
          <w:szCs w:val="32"/>
        </w:rPr>
      </w:pPr>
      <w:bookmarkStart w:id="367" w:name="_Toc75096004"/>
      <w:bookmarkStart w:id="368" w:name="_Toc75095829"/>
      <w:bookmarkStart w:id="369" w:name="_Toc75095942"/>
      <w:bookmarkStart w:id="370" w:name="_Toc44445324"/>
      <w:bookmarkStart w:id="371" w:name="_Toc55224576"/>
      <w:bookmarkStart w:id="372" w:name="_Toc88111030"/>
      <w:bookmarkStart w:id="373" w:name="_Toc55224340"/>
      <w:bookmarkStart w:id="374" w:name="_Toc55224244"/>
      <w:bookmarkStart w:id="375" w:name="_Toc38849482"/>
      <w:bookmarkStart w:id="376" w:name="_Toc55224433"/>
      <w:bookmarkStart w:id="377" w:name="_Toc55224478"/>
      <w:bookmarkStart w:id="378" w:name="_Toc38849441"/>
      <w:bookmarkStart w:id="379" w:name="_Toc55224674"/>
      <w:bookmarkStart w:id="380" w:name="_Toc55224388"/>
      <w:r>
        <w:rPr>
          <w:rFonts w:ascii="仿宋_GB2312" w:eastAsia="仿宋_GB2312" w:hint="eastAsia"/>
          <w:color w:val="000000"/>
          <w:sz w:val="32"/>
          <w:szCs w:val="32"/>
          <w:lang w:val="en-US" w:eastAsia="zh-CN"/>
        </w:rPr>
        <w:t>9</w:t>
      </w:r>
      <w:r>
        <w:rPr>
          <w:rFonts w:ascii="仿宋_GB2312" w:eastAsia="仿宋_GB2312" w:hint="eastAsia"/>
          <w:color w:val="000000"/>
          <w:sz w:val="32"/>
          <w:szCs w:val="32"/>
        </w:rPr>
        <w:t>.</w:t>
      </w:r>
      <w:r>
        <w:rPr>
          <w:rFonts w:ascii="仿宋_GB2312" w:eastAsia="仿宋_GB2312" w:hint="eastAsia"/>
          <w:color w:val="000000"/>
          <w:sz w:val="32"/>
          <w:szCs w:val="32"/>
          <w:lang w:eastAsia="zh-CN"/>
        </w:rPr>
        <w:t>资源勘探工业信息等支出</w:t>
      </w:r>
      <w:r>
        <w:rPr>
          <w:rFonts w:ascii="仿宋_GB2312" w:eastAsia="仿宋_GB2312" w:hint="eastAsia"/>
          <w:color w:val="000000"/>
          <w:sz w:val="32"/>
          <w:szCs w:val="32"/>
        </w:rPr>
        <w:t>（</w:t>
      </w:r>
      <w:r>
        <w:rPr>
          <w:rFonts w:ascii="仿宋_GB2312" w:eastAsia="仿宋_GB2312" w:hint="eastAsia"/>
          <w:color w:val="000000"/>
          <w:sz w:val="32"/>
          <w:szCs w:val="32"/>
          <w:lang w:eastAsia="zh-CN"/>
        </w:rPr>
        <w:t>类</w:t>
      </w:r>
      <w:r>
        <w:rPr>
          <w:rFonts w:ascii="仿宋_GB2312" w:eastAsia="仿宋_GB2312" w:hint="eastAsia"/>
          <w:color w:val="000000"/>
          <w:sz w:val="32"/>
          <w:szCs w:val="32"/>
        </w:rPr>
        <w:t>）</w:t>
      </w:r>
      <w:r>
        <w:rPr>
          <w:rFonts w:ascii="仿宋_GB2312" w:eastAsia="仿宋_GB2312" w:hint="eastAsia"/>
          <w:color w:val="000000"/>
          <w:sz w:val="32"/>
          <w:szCs w:val="32"/>
          <w:lang w:eastAsia="zh-CN"/>
        </w:rPr>
        <w:t>其他资源勘探工业信息等支出</w:t>
      </w:r>
      <w:r>
        <w:rPr>
          <w:rFonts w:ascii="仿宋_GB2312" w:eastAsia="仿宋_GB2312" w:hint="eastAsia"/>
          <w:color w:val="000000"/>
          <w:sz w:val="32"/>
          <w:szCs w:val="32"/>
        </w:rPr>
        <w:t>（</w:t>
      </w:r>
      <w:r>
        <w:rPr>
          <w:rFonts w:ascii="仿宋_GB2312" w:eastAsia="仿宋_GB2312" w:hint="eastAsia"/>
          <w:color w:val="000000"/>
          <w:sz w:val="32"/>
          <w:szCs w:val="32"/>
          <w:lang w:eastAsia="zh-CN"/>
        </w:rPr>
        <w:t>款</w:t>
      </w:r>
      <w:r>
        <w:rPr>
          <w:rFonts w:ascii="仿宋_GB2312" w:eastAsia="仿宋_GB2312" w:hint="eastAsia"/>
          <w:color w:val="000000"/>
          <w:sz w:val="32"/>
          <w:szCs w:val="32"/>
        </w:rPr>
        <w:t>）</w:t>
      </w:r>
      <w:r>
        <w:rPr>
          <w:rFonts w:ascii="仿宋_GB2312" w:eastAsia="仿宋_GB2312" w:hint="eastAsia"/>
          <w:color w:val="000000"/>
          <w:sz w:val="32"/>
          <w:szCs w:val="32"/>
          <w:lang w:eastAsia="zh-CN"/>
        </w:rPr>
        <w:t>其他资源勘探工业信息等支出</w:t>
      </w:r>
      <w:r>
        <w:rPr>
          <w:rFonts w:ascii="仿宋_GB2312" w:eastAsia="仿宋_GB2312" w:hint="eastAsia"/>
          <w:color w:val="000000"/>
          <w:sz w:val="32"/>
          <w:szCs w:val="32"/>
        </w:rPr>
        <w:t>（</w:t>
      </w:r>
      <w:r>
        <w:rPr>
          <w:rFonts w:ascii="仿宋_GB2312" w:eastAsia="仿宋_GB2312" w:hint="eastAsia"/>
          <w:color w:val="000000"/>
          <w:sz w:val="32"/>
          <w:szCs w:val="32"/>
          <w:lang w:eastAsia="zh-CN"/>
        </w:rPr>
        <w:t>项</w:t>
      </w:r>
      <w:r>
        <w:rPr>
          <w:rFonts w:ascii="仿宋_GB2312" w:eastAsia="仿宋_GB2312" w:hint="eastAsia"/>
          <w:color w:val="000000"/>
          <w:sz w:val="32"/>
          <w:szCs w:val="32"/>
        </w:rPr>
        <w:t>）：支出决算为10.8万元，完成预</w:t>
      </w:r>
      <w:bookmarkEnd w:id="344"/>
      <w:bookmarkEnd w:id="345"/>
      <w:bookmarkEnd w:id="346"/>
      <w:bookmarkEnd w:id="347"/>
      <w:bookmarkEnd w:id="348"/>
      <w:bookmarkEnd w:id="349"/>
      <w:bookmarkEnd w:id="350"/>
      <w:bookmarkEnd w:id="351"/>
      <w:bookmarkEnd w:id="352"/>
      <w:r>
        <w:rPr>
          <w:rFonts w:ascii="仿宋_GB2312" w:eastAsia="仿宋_GB2312" w:hint="eastAsia"/>
          <w:color w:val="000000"/>
          <w:sz w:val="32"/>
          <w:szCs w:val="32"/>
        </w:rPr>
        <w:t>算</w:t>
      </w:r>
      <w:bookmarkStart w:id="381" w:name="_Toc25985"/>
      <w:bookmarkStart w:id="382" w:name="_Toc1155"/>
      <w:bookmarkStart w:id="383" w:name="_Toc44872217"/>
      <w:bookmarkStart w:id="384" w:name="_Toc15934"/>
      <w:bookmarkStart w:id="385" w:name="_Toc51662595"/>
      <w:bookmarkStart w:id="386" w:name="_Toc51662783"/>
      <w:bookmarkStart w:id="387" w:name="_Toc21155"/>
      <w:bookmarkStart w:id="388" w:name="_Toc29583"/>
      <w:bookmarkStart w:id="389" w:name="_Toc27255"/>
      <w:r>
        <w:rPr>
          <w:rFonts w:ascii="仿宋_GB2312" w:eastAsia="仿宋_GB2312" w:hint="eastAsia"/>
          <w:color w:val="000000"/>
          <w:sz w:val="32"/>
          <w:szCs w:val="32"/>
        </w:rPr>
        <w:t>100%。</w:t>
      </w:r>
      <w:bookmarkEnd w:id="367"/>
      <w:bookmarkEnd w:id="368"/>
      <w:bookmarkEnd w:id="369"/>
      <w:r>
        <w:rPr>
          <w:rFonts w:ascii="仿宋_GB2312" w:eastAsia="仿宋_GB2312" w:hint="eastAsia"/>
          <w:color w:val="000000"/>
          <w:sz w:val="32"/>
          <w:szCs w:val="32"/>
        </w:rPr>
        <w:t>决算数与预算数持平。</w:t>
      </w:r>
      <w:bookmarkEnd w:id="370"/>
      <w:bookmarkEnd w:id="371"/>
      <w:bookmarkEnd w:id="372"/>
      <w:bookmarkEnd w:id="373"/>
      <w:bookmarkEnd w:id="374"/>
      <w:bookmarkEnd w:id="375"/>
      <w:bookmarkEnd w:id="376"/>
      <w:bookmarkEnd w:id="377"/>
      <w:bookmarkEnd w:id="378"/>
      <w:bookmarkEnd w:id="379"/>
      <w:bookmarkEnd w:id="380"/>
    </w:p>
    <w:p>
      <w:pPr>
        <w:spacing w:line="576" w:lineRule="exact"/>
        <w:ind w:firstLineChars="200" w:firstLine="640"/>
        <w:outlineLvl w:val="1"/>
        <w:rPr>
          <w:rFonts w:ascii="仿宋_GB2312" w:eastAsia="仿宋_GB2312" w:hint="eastAsia"/>
          <w:color w:val="000000"/>
          <w:sz w:val="32"/>
          <w:szCs w:val="32"/>
        </w:rPr>
      </w:pPr>
      <w:bookmarkStart w:id="390" w:name="_Toc75095831"/>
      <w:bookmarkStart w:id="391" w:name="_Toc75095944"/>
      <w:bookmarkStart w:id="392" w:name="_Toc75096006"/>
      <w:bookmarkStart w:id="393" w:name="_Toc55224434"/>
      <w:bookmarkStart w:id="394" w:name="_Toc38849443"/>
      <w:bookmarkStart w:id="395" w:name="_Toc55224389"/>
      <w:bookmarkStart w:id="396" w:name="_Toc55224577"/>
      <w:bookmarkStart w:id="397" w:name="_Toc38849484"/>
      <w:bookmarkStart w:id="398" w:name="_Toc55224675"/>
      <w:bookmarkStart w:id="399" w:name="_Toc55224341"/>
      <w:bookmarkStart w:id="400" w:name="_Toc88111032"/>
      <w:bookmarkStart w:id="401" w:name="_Toc55224479"/>
      <w:bookmarkStart w:id="402" w:name="_Toc44445326"/>
      <w:bookmarkStart w:id="403" w:name="_Toc55224245"/>
      <w:r>
        <w:rPr>
          <w:rFonts w:ascii="仿宋_GB2312" w:eastAsia="仿宋_GB2312" w:hint="eastAsia"/>
          <w:color w:val="000000"/>
          <w:sz w:val="32"/>
          <w:szCs w:val="32"/>
          <w:lang w:val="en-US" w:eastAsia="zh-CN"/>
        </w:rPr>
        <w:t>10</w:t>
      </w:r>
      <w:r>
        <w:rPr>
          <w:rFonts w:ascii="仿宋_GB2312" w:eastAsia="仿宋_GB2312" w:hint="eastAsia"/>
          <w:color w:val="000000"/>
          <w:sz w:val="32"/>
          <w:szCs w:val="32"/>
        </w:rPr>
        <w:t>.住房保障支出（</w:t>
      </w:r>
      <w:r>
        <w:rPr>
          <w:rFonts w:ascii="仿宋_GB2312" w:eastAsia="仿宋_GB2312" w:hint="eastAsia"/>
          <w:color w:val="000000"/>
          <w:sz w:val="32"/>
          <w:szCs w:val="32"/>
          <w:lang w:eastAsia="zh-CN"/>
        </w:rPr>
        <w:t>类</w:t>
      </w:r>
      <w:r>
        <w:rPr>
          <w:rFonts w:ascii="仿宋_GB2312" w:eastAsia="仿宋_GB2312" w:hint="eastAsia"/>
          <w:color w:val="000000"/>
          <w:sz w:val="32"/>
          <w:szCs w:val="32"/>
        </w:rPr>
        <w:t>）住房改革支出（</w:t>
      </w:r>
      <w:r>
        <w:rPr>
          <w:rFonts w:ascii="仿宋_GB2312" w:eastAsia="仿宋_GB2312" w:hint="eastAsia"/>
          <w:color w:val="000000"/>
          <w:sz w:val="32"/>
          <w:szCs w:val="32"/>
          <w:lang w:eastAsia="zh-CN"/>
        </w:rPr>
        <w:t>款</w:t>
      </w:r>
      <w:r>
        <w:rPr>
          <w:rFonts w:ascii="仿宋_GB2312" w:eastAsia="仿宋_GB2312" w:hint="eastAsia"/>
          <w:color w:val="000000"/>
          <w:sz w:val="32"/>
          <w:szCs w:val="32"/>
        </w:rPr>
        <w:t>）住房公积金（</w:t>
      </w:r>
      <w:r>
        <w:rPr>
          <w:rFonts w:ascii="仿宋_GB2312" w:eastAsia="仿宋_GB2312" w:hint="eastAsia"/>
          <w:color w:val="000000"/>
          <w:sz w:val="32"/>
          <w:szCs w:val="32"/>
          <w:lang w:eastAsia="zh-CN"/>
        </w:rPr>
        <w:t>项</w:t>
      </w:r>
      <w:r>
        <w:rPr>
          <w:rFonts w:ascii="仿宋_GB2312" w:eastAsia="仿宋_GB2312" w:hint="eastAsia"/>
          <w:color w:val="000000"/>
          <w:sz w:val="32"/>
          <w:szCs w:val="32"/>
        </w:rPr>
        <w:t>）：支出决算为</w:t>
      </w:r>
      <w:r>
        <w:rPr>
          <w:rFonts w:ascii="仿宋_GB2312" w:eastAsia="仿宋_GB2312" w:hint="eastAsia"/>
          <w:color w:val="000000"/>
          <w:sz w:val="32"/>
          <w:szCs w:val="32"/>
          <w:lang w:val="en-US" w:eastAsia="zh-CN"/>
        </w:rPr>
        <w:t>55.88</w:t>
      </w:r>
      <w:r>
        <w:rPr>
          <w:rFonts w:ascii="仿宋_GB2312" w:eastAsia="仿宋_GB2312" w:hint="eastAsia"/>
          <w:color w:val="000000"/>
          <w:sz w:val="32"/>
          <w:szCs w:val="32"/>
        </w:rPr>
        <w:t>万元，完成预</w:t>
      </w:r>
      <w:bookmarkEnd w:id="381"/>
      <w:bookmarkEnd w:id="382"/>
      <w:bookmarkEnd w:id="383"/>
      <w:bookmarkEnd w:id="384"/>
      <w:bookmarkEnd w:id="385"/>
      <w:bookmarkEnd w:id="386"/>
      <w:bookmarkEnd w:id="387"/>
      <w:bookmarkEnd w:id="388"/>
      <w:bookmarkEnd w:id="389"/>
      <w:r>
        <w:rPr>
          <w:rFonts w:ascii="仿宋_GB2312" w:eastAsia="仿宋_GB2312" w:hint="eastAsia"/>
          <w:color w:val="000000"/>
          <w:sz w:val="32"/>
          <w:szCs w:val="32"/>
        </w:rPr>
        <w:t>算</w:t>
      </w:r>
      <w:bookmarkStart w:id="404" w:name="_Toc13340"/>
      <w:bookmarkStart w:id="405" w:name="_Toc23019"/>
      <w:bookmarkStart w:id="406" w:name="_Toc44872218"/>
      <w:bookmarkStart w:id="407" w:name="_Toc3271"/>
      <w:bookmarkStart w:id="408" w:name="_Toc29535"/>
      <w:bookmarkStart w:id="409" w:name="_Toc14683"/>
      <w:bookmarkStart w:id="410" w:name="_Toc51662784"/>
      <w:bookmarkStart w:id="411" w:name="_Toc51662596"/>
      <w:bookmarkStart w:id="412" w:name="_Toc32360"/>
      <w:r>
        <w:rPr>
          <w:rFonts w:ascii="仿宋_GB2312" w:eastAsia="仿宋_GB2312" w:hint="eastAsia"/>
          <w:color w:val="000000"/>
          <w:sz w:val="32"/>
          <w:szCs w:val="32"/>
        </w:rPr>
        <w:t>100%。</w:t>
      </w:r>
      <w:bookmarkEnd w:id="390"/>
      <w:bookmarkEnd w:id="391"/>
      <w:bookmarkEnd w:id="392"/>
      <w:r>
        <w:rPr>
          <w:rFonts w:ascii="仿宋_GB2312" w:eastAsia="仿宋_GB2312" w:hint="eastAsia"/>
          <w:color w:val="000000"/>
          <w:sz w:val="32"/>
          <w:szCs w:val="32"/>
        </w:rPr>
        <w:t>决算数与预算数持平。</w:t>
      </w:r>
      <w:bookmarkEnd w:id="393"/>
      <w:bookmarkEnd w:id="394"/>
      <w:bookmarkEnd w:id="395"/>
      <w:bookmarkEnd w:id="396"/>
      <w:bookmarkEnd w:id="397"/>
      <w:bookmarkEnd w:id="398"/>
      <w:bookmarkEnd w:id="399"/>
      <w:bookmarkEnd w:id="400"/>
      <w:bookmarkEnd w:id="401"/>
      <w:bookmarkEnd w:id="402"/>
      <w:bookmarkEnd w:id="403"/>
    </w:p>
    <w:p>
      <w:pPr>
        <w:tabs>
          <w:tab w:val="right" w:pos="8306"/>
        </w:tabs>
        <w:spacing w:line="576" w:lineRule="exact"/>
        <w:ind w:firstLine="640"/>
        <w:outlineLvl w:val="1"/>
        <w:rPr>
          <w:rStyle w:val="2Char"/>
          <w:rFonts w:ascii="Times New Roman" w:hAnsi="Times New Roman"/>
          <w:color w:val="auto"/>
          <w:highlight w:val="auto"/>
        </w:rPr>
      </w:pPr>
      <w:bookmarkStart w:id="413" w:name="_Toc15396608"/>
      <w:bookmarkStart w:id="414" w:name="_Toc15377214"/>
      <w:bookmarkStart w:id="415" w:name="_Toc55224676"/>
      <w:bookmarkStart w:id="416" w:name="_Toc55224246"/>
      <w:bookmarkStart w:id="417" w:name="_Toc75095833"/>
      <w:bookmarkStart w:id="418" w:name="_Toc55224342"/>
      <w:bookmarkStart w:id="419" w:name="_Toc88111034"/>
      <w:bookmarkStart w:id="420" w:name="_Toc55224578"/>
      <w:bookmarkStart w:id="421" w:name="_Toc55224390"/>
      <w:bookmarkStart w:id="422" w:name="_Toc75095946"/>
      <w:bookmarkStart w:id="423" w:name="_Toc55224480"/>
      <w:bookmarkEnd w:id="404"/>
      <w:bookmarkEnd w:id="405"/>
      <w:bookmarkEnd w:id="406"/>
      <w:bookmarkEnd w:id="407"/>
      <w:bookmarkEnd w:id="408"/>
      <w:bookmarkEnd w:id="409"/>
      <w:bookmarkEnd w:id="410"/>
      <w:bookmarkEnd w:id="411"/>
      <w:bookmarkEnd w:id="412"/>
      <w:r>
        <w:rPr>
          <w:rFonts w:ascii="Times New Roman" w:eastAsia="黑体" w:hAnsi="Times New Roman" w:hint="eastAsia"/>
          <w:color w:val="auto"/>
          <w:sz w:val="32"/>
          <w:szCs w:val="32"/>
          <w:highlight w:val="auto"/>
        </w:rPr>
        <w:t>六</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般公共预算财政拨款基本支出决</w:t>
      </w:r>
      <w:bookmarkEnd w:id="413"/>
      <w:bookmarkEnd w:id="414"/>
      <w:r>
        <w:rPr>
          <w:rStyle w:val="2Char"/>
          <w:rFonts w:ascii="Times New Roman" w:eastAsia="黑体" w:hAnsi="Times New Roman" w:hint="eastAsia"/>
          <w:b w:val="0"/>
          <w:color w:val="auto"/>
          <w:highlight w:val="auto"/>
        </w:rPr>
        <w:t>算情况说明</w:t>
      </w:r>
      <w:r>
        <w:rPr>
          <w:rStyle w:val="2Char"/>
          <w:rFonts w:ascii="Times New Roman" w:eastAsia="黑体" w:hAnsi="Times New Roman"/>
          <w:b w:val="0"/>
          <w:color w:val="auto"/>
          <w:highlight w:val="auto"/>
        </w:rPr>
        <w:tab/>
      </w:r>
      <w:bookmarkEnd w:id="415"/>
      <w:bookmarkEnd w:id="416"/>
      <w:bookmarkEnd w:id="417"/>
      <w:bookmarkEnd w:id="418"/>
      <w:bookmarkEnd w:id="419"/>
      <w:bookmarkEnd w:id="420"/>
      <w:bookmarkEnd w:id="421"/>
      <w:bookmarkEnd w:id="422"/>
      <w:bookmarkEnd w:id="423"/>
    </w:p>
    <w:p>
      <w:pPr>
        <w:spacing w:line="576" w:lineRule="exact"/>
        <w:ind w:firstLine="640"/>
        <w:rPr>
          <w:rFonts w:ascii="仿宋_GB2312" w:eastAsia="仿宋_GB2312" w:cs="仿宋_GB2312" w:hint="eastAsia"/>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2025年度一般公共预算财政拨款基本支出</w:t>
      </w:r>
      <w:r>
        <w:rPr>
          <w:rFonts w:ascii="仿宋_GB2312" w:eastAsia="仿宋_GB2312" w:cs="仿宋_GB2312" w:hint="eastAsia"/>
          <w:sz w:val="32"/>
          <w:szCs w:val="32"/>
          <w:lang w:bidi="ar-SA"/>
        </w:rPr>
        <w:t>771.1</w:t>
      </w:r>
      <w:r>
        <w:rPr>
          <w:rFonts w:ascii="仿宋_GB2312" w:eastAsia="仿宋_GB2312" w:cs="仿宋_GB2312" w:hint="eastAsia"/>
          <w:color w:val="auto"/>
          <w:kern w:val="2"/>
          <w:sz w:val="32"/>
          <w:szCs w:val="32"/>
          <w:lang w:val="en-US" w:eastAsia="zh-CN" w:bidi="ar-SA"/>
          <w:highlight w:val="auto"/>
        </w:rPr>
        <w:t>万元，其中：</w:t>
      </w:r>
    </w:p>
    <w:p>
      <w:pPr>
        <w:spacing w:line="576" w:lineRule="exact"/>
        <w:ind w:firstLine="645"/>
        <w:rPr>
          <w:rFonts w:ascii="仿宋_GB2312" w:eastAsia="仿宋_GB2312" w:hint="eastAsia"/>
          <w:color w:val="000000"/>
          <w:sz w:val="32"/>
          <w:szCs w:val="32"/>
        </w:rPr>
      </w:pPr>
      <w:r>
        <w:rPr>
          <w:rFonts w:ascii="仿宋_GB2312" w:eastAsia="仿宋_GB2312" w:cs="仿宋_GB2312" w:hint="eastAsia"/>
          <w:color w:val="auto"/>
          <w:kern w:val="2"/>
          <w:sz w:val="32"/>
          <w:szCs w:val="32"/>
          <w:lang w:val="en-US" w:eastAsia="zh-CN" w:bidi="ar-SA"/>
          <w:highlight w:val="auto"/>
        </w:rPr>
        <w:t>人员经费</w:t>
      </w:r>
      <w:r>
        <w:rPr>
          <w:rFonts w:ascii="仿宋_GB2312" w:eastAsia="仿宋_GB2312" w:cs="仿宋_GB2312" w:hint="eastAsia"/>
          <w:sz w:val="32"/>
          <w:szCs w:val="32"/>
          <w:lang w:bidi="ar-SA"/>
        </w:rPr>
        <w:t>734</w:t>
      </w:r>
      <w:r>
        <w:rPr>
          <w:rFonts w:ascii="仿宋_GB2312" w:eastAsia="仿宋_GB2312" w:cs="仿宋_GB2312" w:hint="eastAsia"/>
          <w:color w:val="auto"/>
          <w:kern w:val="2"/>
          <w:sz w:val="32"/>
          <w:szCs w:val="32"/>
          <w:lang w:val="en-US" w:eastAsia="zh-CN" w:bidi="ar-SA"/>
          <w:highlight w:val="auto"/>
        </w:rPr>
        <w:t>万元，主要包括：</w:t>
      </w:r>
      <w:r>
        <w:rPr>
          <w:rFonts w:ascii="仿宋_GB2312" w:eastAsia="仿宋_GB2312" w:hint="eastAsia"/>
          <w:color w:val="auto"/>
          <w:sz w:val="32"/>
          <w:szCs w:val="32"/>
          <w:highlight w:val="auto"/>
        </w:rPr>
        <w:t>主要包括：</w:t>
      </w:r>
      <w:r>
        <w:rPr>
          <w:rFonts w:ascii="仿宋_GB2312" w:eastAsia="仿宋_GB2312" w:hint="eastAsia"/>
          <w:color w:val="000000"/>
          <w:sz w:val="32"/>
          <w:szCs w:val="32"/>
        </w:rPr>
        <w:t>主要包括：基本工资、津贴补贴、奖金、</w:t>
      </w:r>
      <w:bookmarkStart w:id="424" w:name="_Toc9060"/>
      <w:r>
        <w:rPr>
          <w:rFonts w:ascii="仿宋_GB2312" w:eastAsia="仿宋_GB2312" w:hint="eastAsia"/>
          <w:color w:val="000000"/>
          <w:sz w:val="32"/>
          <w:szCs w:val="32"/>
        </w:rPr>
        <w:t>伙食补助费、绩效工资、机关事业单位基本养</w:t>
      </w:r>
      <w:bookmarkEnd w:id="424"/>
      <w:r>
        <w:rPr>
          <w:rFonts w:ascii="仿宋_GB2312" w:eastAsia="仿宋_GB2312" w:hint="eastAsia"/>
          <w:color w:val="000000"/>
          <w:sz w:val="32"/>
          <w:szCs w:val="32"/>
        </w:rPr>
        <w:t>老</w:t>
      </w:r>
      <w:bookmarkStart w:id="425" w:name="_Toc23816"/>
      <w:r>
        <w:rPr>
          <w:rFonts w:ascii="仿宋_GB2312" w:eastAsia="仿宋_GB2312" w:hint="eastAsia"/>
          <w:color w:val="000000"/>
          <w:sz w:val="32"/>
          <w:szCs w:val="32"/>
        </w:rPr>
        <w:t>保险缴费、职业年金缴费、其他社会保障缴</w:t>
      </w:r>
      <w:bookmarkStart w:id="426" w:name="_Toc14543906"/>
      <w:bookmarkStart w:id="427" w:name="_Toc14543864"/>
      <w:r>
        <w:rPr>
          <w:rFonts w:ascii="仿宋_GB2312" w:eastAsia="仿宋_GB2312" w:hint="eastAsia"/>
          <w:color w:val="000000"/>
          <w:sz w:val="32"/>
          <w:szCs w:val="32"/>
        </w:rPr>
        <w:t>费、其他</w:t>
      </w:r>
      <w:bookmarkEnd w:id="425"/>
      <w:r>
        <w:rPr>
          <w:rFonts w:ascii="仿宋_GB2312" w:eastAsia="仿宋_GB2312" w:hint="eastAsia"/>
          <w:color w:val="000000"/>
          <w:sz w:val="32"/>
          <w:szCs w:val="32"/>
        </w:rPr>
        <w:t>工资福利支出、退休费、抚恤金、生</w:t>
      </w:r>
      <w:bookmarkEnd w:id="426"/>
      <w:bookmarkEnd w:id="427"/>
      <w:r>
        <w:rPr>
          <w:rFonts w:ascii="仿宋_GB2312" w:eastAsia="仿宋_GB2312" w:hint="eastAsia"/>
          <w:color w:val="000000"/>
          <w:sz w:val="32"/>
          <w:szCs w:val="32"/>
        </w:rPr>
        <w:t>活补助、医疗费补助、奖励金、住房公积金、</w:t>
      </w:r>
      <w:bookmarkStart w:id="428" w:name="_Toc78611622"/>
      <w:r>
        <w:rPr>
          <w:rFonts w:ascii="仿宋_GB2312" w:eastAsia="仿宋_GB2312" w:hint="eastAsia"/>
          <w:color w:val="000000"/>
          <w:sz w:val="32"/>
          <w:szCs w:val="32"/>
        </w:rPr>
        <w:t>其他对个人和家庭的补助支出等。</w:t>
      </w:r>
    </w:p>
    <w:p>
      <w:pPr>
        <w:spacing w:line="576" w:lineRule="exact"/>
        <w:ind w:firstLine="645"/>
        <w:rPr>
          <w:rFonts w:ascii="仿宋_GB2312" w:eastAsia="仿宋_GB2312" w:hint="eastAsia"/>
          <w:color w:val="000000"/>
          <w:sz w:val="32"/>
          <w:szCs w:val="32"/>
        </w:rPr>
      </w:pPr>
      <w:r>
        <w:rPr>
          <w:rFonts w:ascii="仿宋_GB2312" w:eastAsia="仿宋_GB2312" w:hint="eastAsia"/>
          <w:color w:val="000000"/>
          <w:sz w:val="32"/>
          <w:szCs w:val="32"/>
        </w:rPr>
        <w:t>日常公用</w:t>
      </w:r>
      <w:bookmarkEnd w:id="428"/>
      <w:r>
        <w:rPr>
          <w:rFonts w:ascii="仿宋_GB2312" w:eastAsia="仿宋_GB2312" w:hint="eastAsia"/>
          <w:color w:val="000000"/>
          <w:sz w:val="32"/>
          <w:szCs w:val="32"/>
        </w:rPr>
        <w:t>经费</w:t>
      </w:r>
      <w:r>
        <w:rPr>
          <w:rFonts w:ascii="仿宋_GB2312" w:eastAsia="仿宋_GB2312" w:hint="eastAsia"/>
          <w:color w:val="000000"/>
          <w:sz w:val="32"/>
          <w:szCs w:val="32"/>
          <w:lang w:val="en-US" w:eastAsia="zh-CN"/>
        </w:rPr>
        <w:t>37.1</w:t>
      </w:r>
      <w:r>
        <w:rPr>
          <w:rFonts w:ascii="仿宋_GB2312" w:eastAsia="仿宋_GB2312" w:hint="eastAsia"/>
          <w:color w:val="000000"/>
          <w:sz w:val="32"/>
          <w:szCs w:val="32"/>
        </w:rPr>
        <w:t>万元，主要包括：办公费、水</w:t>
      </w:r>
      <w:bookmarkStart w:id="429" w:name="_Toc73331669"/>
      <w:r>
        <w:rPr>
          <w:rFonts w:ascii="仿宋_GB2312" w:eastAsia="仿宋_GB2312" w:hint="eastAsia"/>
          <w:color w:val="000000"/>
          <w:sz w:val="32"/>
          <w:szCs w:val="32"/>
        </w:rPr>
        <w:t>费、电费、邮电费</w:t>
      </w:r>
      <w:bookmarkStart w:id="430" w:name="_Toc22549"/>
      <w:r>
        <w:rPr>
          <w:rFonts w:ascii="仿宋_GB2312" w:eastAsia="仿宋_GB2312" w:hint="eastAsia"/>
          <w:color w:val="000000"/>
          <w:sz w:val="32"/>
          <w:szCs w:val="32"/>
        </w:rPr>
        <w:t>、差旅费、租赁费、培训费</w:t>
      </w:r>
      <w:bookmarkEnd w:id="429"/>
      <w:r>
        <w:rPr>
          <w:rFonts w:ascii="仿宋_GB2312" w:eastAsia="仿宋_GB2312" w:hint="eastAsia"/>
          <w:color w:val="000000"/>
          <w:sz w:val="32"/>
          <w:szCs w:val="32"/>
        </w:rPr>
        <w:t>、公务接待费、劳务费、</w:t>
      </w:r>
      <w:bookmarkEnd w:id="430"/>
      <w:r>
        <w:rPr>
          <w:rFonts w:ascii="仿宋_GB2312" w:eastAsia="仿宋_GB2312" w:hint="eastAsia"/>
          <w:color w:val="000000"/>
          <w:sz w:val="32"/>
          <w:szCs w:val="32"/>
        </w:rPr>
        <w:t>公务用车运行维护费、其他交通费、其他商品和服务支出、办公设</w:t>
      </w:r>
      <w:bookmarkStart w:id="431" w:name="_Toc15396609"/>
      <w:bookmarkStart w:id="432" w:name="_Toc15377215"/>
      <w:r>
        <w:rPr>
          <w:rFonts w:ascii="仿宋_GB2312" w:eastAsia="仿宋_GB2312" w:hint="eastAsia"/>
          <w:color w:val="000000"/>
          <w:sz w:val="32"/>
          <w:szCs w:val="32"/>
        </w:rPr>
        <w:t>备购置。</w:t>
      </w:r>
    </w:p>
    <w:p>
      <w:pPr>
        <w:spacing w:line="576" w:lineRule="exact"/>
        <w:ind w:left="0" w:firstLineChars="200" w:firstLine="640"/>
        <w:outlineLvl w:val="1"/>
        <w:rPr>
          <w:rStyle w:val="2Char"/>
          <w:rFonts w:ascii="Times New Roman" w:eastAsia="黑体" w:hAnsi="Times New Roman"/>
          <w:b w:val="0"/>
          <w:color w:val="auto"/>
          <w:highlight w:val="auto"/>
        </w:rPr>
      </w:pPr>
      <w:bookmarkStart w:id="433" w:name="_Toc55224343"/>
      <w:bookmarkStart w:id="434" w:name="_Toc55224579"/>
      <w:bookmarkStart w:id="435" w:name="_Toc55224481"/>
      <w:bookmarkStart w:id="436" w:name="_Toc55224677"/>
      <w:bookmarkStart w:id="437" w:name="_Toc88111035"/>
      <w:bookmarkStart w:id="438" w:name="_Toc75095947"/>
      <w:bookmarkStart w:id="439" w:name="_Toc55224391"/>
      <w:bookmarkStart w:id="440" w:name="_Toc75095834"/>
      <w:bookmarkStart w:id="441" w:name="_Toc55224247"/>
      <w:r>
        <w:rPr>
          <w:rFonts w:ascii="Times New Roman" w:eastAsia="黑体" w:hAnsi="Times New Roman" w:hint="eastAsia"/>
          <w:color w:val="auto"/>
          <w:sz w:val="32"/>
          <w:szCs w:val="32"/>
          <w:highlight w:val="auto"/>
        </w:rPr>
        <w:t>七、</w:t>
      </w:r>
      <w:r>
        <w:rPr>
          <w:rStyle w:val="2Char"/>
          <w:rFonts w:ascii="Times New Roman" w:eastAsia="黑体" w:hAnsi="Times New Roman" w:hint="eastAsia"/>
          <w:b w:val="0"/>
          <w:color w:val="auto"/>
          <w:highlight w:val="auto"/>
        </w:rPr>
        <w:t>财政拨</w:t>
      </w:r>
      <w:r>
        <w:rPr>
          <w:rStyle w:val="2Char"/>
          <w:rFonts w:ascii="Times New Roman" w:eastAsia="黑体" w:cs="Times New Roman" w:hAnsi="Times New Roman" w:hint="eastAsia"/>
          <w:b/>
          <w:color w:val="auto"/>
          <w:highlight w:val="auto"/>
        </w:rPr>
        <w:t>款</w:t>
      </w:r>
      <w:r>
        <w:rPr>
          <w:rStyle w:val="2Char"/>
          <w:rFonts w:ascii="Times New Roman" w:eastAsia="黑体" w:cs="Times New Roman" w:hAnsi="Times New Roman" w:hint="eastAsia"/>
          <w:b/>
          <w:color w:val="auto"/>
          <w:lang w:eastAsia="zh-CN"/>
          <w:highlight w:val="auto"/>
        </w:rPr>
        <w:t>“</w:t>
      </w:r>
      <w:r>
        <w:rPr>
          <w:rStyle w:val="2Char"/>
          <w:rFonts w:ascii="Times New Roman" w:eastAsia="黑体" w:cs="Times New Roman" w:hAnsi="Times New Roman" w:hint="eastAsia"/>
          <w:b/>
          <w:color w:val="auto"/>
          <w:highlight w:val="auto"/>
        </w:rPr>
        <w:t>三公</w:t>
      </w:r>
      <w:r>
        <w:rPr>
          <w:rStyle w:val="2Char"/>
          <w:rFonts w:ascii="Times New Roman" w:eastAsia="黑体" w:cs="Times New Roman" w:hAnsi="Times New Roman" w:hint="eastAsia"/>
          <w:b/>
          <w:color w:val="auto"/>
          <w:lang w:eastAsia="zh-CN"/>
          <w:highlight w:val="auto"/>
        </w:rPr>
        <w:t>”</w:t>
      </w:r>
      <w:r>
        <w:rPr>
          <w:rStyle w:val="2Char"/>
          <w:rFonts w:ascii="Times New Roman" w:eastAsia="黑体" w:cs="Times New Roman" w:hAnsi="Times New Roman" w:hint="eastAsia"/>
          <w:b/>
          <w:color w:val="auto"/>
          <w:highlight w:val="auto"/>
        </w:rPr>
        <w:t>经费</w:t>
      </w:r>
      <w:r>
        <w:rPr>
          <w:rStyle w:val="2Char"/>
          <w:rFonts w:ascii="Times New Roman" w:eastAsia="黑体" w:hAnsi="Times New Roman" w:hint="eastAsia"/>
          <w:b w:val="0"/>
          <w:color w:val="auto"/>
          <w:highlight w:val="auto"/>
        </w:rPr>
        <w:t>支出决</w:t>
      </w:r>
      <w:bookmarkEnd w:id="431"/>
      <w:bookmarkEnd w:id="432"/>
      <w:r>
        <w:rPr>
          <w:rStyle w:val="2Char"/>
          <w:rFonts w:ascii="Times New Roman" w:eastAsia="黑体" w:hAnsi="Times New Roman" w:hint="eastAsia"/>
          <w:b w:val="0"/>
          <w:color w:val="auto"/>
          <w:highlight w:val="auto"/>
        </w:rPr>
        <w:t>算</w:t>
      </w:r>
      <w:bookmarkStart w:id="442" w:name="_Toc15377216"/>
      <w:r>
        <w:rPr>
          <w:rStyle w:val="2Char"/>
          <w:rFonts w:ascii="Times New Roman" w:eastAsia="黑体" w:hAnsi="Times New Roman" w:hint="eastAsia"/>
          <w:b w:val="0"/>
          <w:color w:val="auto"/>
          <w:highlight w:val="auto"/>
        </w:rPr>
        <w:t>情况说明</w:t>
      </w:r>
      <w:bookmarkEnd w:id="433"/>
      <w:bookmarkEnd w:id="434"/>
      <w:bookmarkEnd w:id="435"/>
      <w:bookmarkEnd w:id="436"/>
      <w:bookmarkEnd w:id="437"/>
      <w:bookmarkEnd w:id="438"/>
      <w:bookmarkEnd w:id="439"/>
      <w:bookmarkEnd w:id="440"/>
      <w:bookmarkEnd w:id="441"/>
    </w:p>
    <w:p>
      <w:pPr>
        <w:spacing w:line="576" w:lineRule="exact"/>
        <w:ind w:firstLineChars="200" w:firstLine="640"/>
        <w:outlineLvl w:val="2"/>
        <w:rPr>
          <w:rFonts w:ascii="Times New Roman" w:eastAsia="楷体_GB2312" w:cs="楷体_GB2312" w:hAnsi="Times New Roman" w:hint="eastAsia"/>
          <w:b/>
          <w:color w:val="auto"/>
          <w:sz w:val="32"/>
          <w:szCs w:val="32"/>
          <w:lang w:bidi="ar-SA"/>
          <w:highlight w:val="auto"/>
        </w:rPr>
      </w:pPr>
      <w:bookmarkStart w:id="443" w:name="_Toc55224392"/>
      <w:bookmarkStart w:id="444" w:name="_Toc38849447"/>
      <w:bookmarkStart w:id="445" w:name="_Toc88111036"/>
      <w:bookmarkStart w:id="446" w:name="_Toc55224580"/>
      <w:bookmarkStart w:id="447" w:name="_Toc55224678"/>
      <w:bookmarkStart w:id="448" w:name="_Toc55224248"/>
      <w:bookmarkStart w:id="449" w:name="_Toc38849488"/>
      <w:bookmarkStart w:id="450" w:name="_Toc44445330"/>
      <w:bookmarkStart w:id="451" w:name="_Toc55224344"/>
      <w:bookmarkStart w:id="452" w:name="_Toc75095835"/>
      <w:bookmarkStart w:id="453" w:name="_Toc55224482"/>
      <w:r>
        <w:rPr>
          <w:rFonts w:ascii="Times New Roman" w:eastAsia="楷体_GB2312" w:cs="楷体_GB2312" w:hAnsi="Times New Roman" w:hint="eastAsia"/>
          <w:b/>
          <w:color w:val="auto"/>
          <w:sz w:val="32"/>
          <w:szCs w:val="32"/>
          <w:lang w:bidi="ar-SA"/>
          <w:highlight w:val="auto"/>
        </w:rPr>
        <w:t>（一）“三公”经费财政拨款支出决算总</w:t>
      </w:r>
      <w:bookmarkEnd w:id="442"/>
      <w:r>
        <w:rPr>
          <w:rFonts w:ascii="Times New Roman" w:eastAsia="楷体_GB2312" w:cs="楷体_GB2312" w:hAnsi="Times New Roman" w:hint="eastAsia"/>
          <w:b/>
          <w:color w:val="auto"/>
          <w:sz w:val="32"/>
          <w:szCs w:val="32"/>
          <w:lang w:bidi="ar-SA"/>
          <w:highlight w:val="auto"/>
        </w:rPr>
        <w:t>体情况说明</w:t>
      </w:r>
      <w:bookmarkEnd w:id="443"/>
      <w:bookmarkEnd w:id="444"/>
      <w:bookmarkEnd w:id="445"/>
      <w:bookmarkEnd w:id="446"/>
      <w:bookmarkEnd w:id="447"/>
      <w:bookmarkEnd w:id="448"/>
      <w:bookmarkEnd w:id="449"/>
      <w:bookmarkEnd w:id="450"/>
      <w:bookmarkEnd w:id="451"/>
      <w:bookmarkEnd w:id="452"/>
      <w:bookmarkEnd w:id="453"/>
    </w:p>
    <w:p>
      <w:pPr>
        <w:spacing w:line="576" w:lineRule="exact"/>
        <w:ind w:firstLine="640"/>
        <w:rPr>
          <w:rFonts w:ascii="仿宋" w:eastAsia="仿宋" w:hint="eastAsia"/>
          <w:sz w:val="32"/>
          <w:szCs w:val="32"/>
        </w:rPr>
      </w:pPr>
      <w:bookmarkStart w:id="454" w:name="_Toc15377217"/>
      <w:bookmarkStart w:id="455" w:name="_Toc44445331"/>
      <w:bookmarkStart w:id="456" w:name="_Toc75095836"/>
      <w:bookmarkStart w:id="457" w:name="_Toc38849448"/>
      <w:bookmarkStart w:id="458" w:name="_Toc38849489"/>
      <w:bookmarkStart w:id="459" w:name="_Toc88111037"/>
      <w:r>
        <w:rPr>
          <w:rFonts w:ascii="仿宋" w:eastAsia="仿宋" w:hint="eastAsia"/>
          <w:color w:val="auto"/>
          <w:sz w:val="32"/>
          <w:szCs w:val="32"/>
          <w:lang w:eastAsia="zh-CN"/>
          <w:highlight w:val="auto"/>
        </w:rPr>
        <w:t>2025</w:t>
      </w:r>
      <w:r>
        <w:rPr>
          <w:rFonts w:ascii="仿宋" w:eastAsia="仿宋" w:hint="eastAsia"/>
          <w:color w:val="auto"/>
          <w:sz w:val="32"/>
          <w:szCs w:val="32"/>
          <w:highlight w:val="auto"/>
        </w:rPr>
        <w:t>年</w:t>
      </w:r>
      <w:r>
        <w:rPr>
          <w:rFonts w:ascii="仿宋" w:eastAsia="仿宋" w:hint="eastAsia"/>
          <w:color w:val="auto"/>
          <w:sz w:val="32"/>
          <w:szCs w:val="32"/>
          <w:lang w:eastAsia="zh-CN"/>
          <w:highlight w:val="auto"/>
        </w:rPr>
        <w:t>度</w:t>
      </w:r>
      <w:r>
        <w:rPr>
          <w:rFonts w:ascii="仿宋" w:eastAsia="仿宋" w:hint="eastAsia"/>
          <w:color w:val="auto"/>
          <w:sz w:val="32"/>
          <w:szCs w:val="32"/>
          <w:highlight w:val="auto"/>
        </w:rPr>
        <w:t>“三公”经费财政拨款支出决算为</w:t>
      </w:r>
      <w:r>
        <w:rPr>
          <w:rFonts w:ascii="仿宋" w:eastAsia="仿宋" w:hint="eastAsia"/>
          <w:color w:val="auto"/>
          <w:sz w:val="32"/>
          <w:szCs w:val="32"/>
          <w:lang w:val="en-US" w:eastAsia="zh-CN"/>
          <w:highlight w:val="auto"/>
        </w:rPr>
        <w:t>11.81</w:t>
      </w:r>
      <w:r>
        <w:rPr>
          <w:rFonts w:ascii="仿宋" w:eastAsia="仿宋" w:hint="eastAsia"/>
          <w:color w:val="auto"/>
          <w:sz w:val="32"/>
          <w:szCs w:val="32"/>
          <w:highlight w:val="auto"/>
        </w:rPr>
        <w:t>万元，完成预算</w:t>
      </w:r>
      <w:r>
        <w:rPr>
          <w:rFonts w:ascii="仿宋" w:eastAsia="仿宋" w:hint="eastAsia"/>
          <w:color w:val="auto"/>
          <w:sz w:val="32"/>
          <w:szCs w:val="32"/>
          <w:lang w:val="en-US" w:eastAsia="zh-CN"/>
          <w:highlight w:val="auto"/>
        </w:rPr>
        <w:t>100</w:t>
      </w:r>
      <w:r>
        <w:rPr>
          <w:rFonts w:ascii="仿宋" w:eastAsia="仿宋" w:hint="eastAsia"/>
          <w:color w:val="auto"/>
          <w:sz w:val="32"/>
          <w:szCs w:val="32"/>
          <w:highlight w:val="auto"/>
        </w:rPr>
        <w:t>%，与</w:t>
      </w:r>
      <w:r>
        <w:rPr>
          <w:rFonts w:ascii="仿宋" w:eastAsia="仿宋" w:hint="eastAsia"/>
          <w:color w:val="auto"/>
          <w:sz w:val="32"/>
          <w:szCs w:val="32"/>
          <w:lang w:eastAsia="zh-CN"/>
          <w:highlight w:val="auto"/>
        </w:rPr>
        <w:t>上年度相比</w:t>
      </w:r>
      <w:r>
        <w:rPr>
          <w:rFonts w:ascii="仿宋" w:eastAsia="仿宋" w:hint="eastAsia"/>
          <w:color w:val="auto"/>
          <w:sz w:val="32"/>
          <w:szCs w:val="32"/>
          <w:lang w:val="en-US" w:eastAsia="zh-CN"/>
          <w:highlight w:val="auto"/>
        </w:rPr>
        <w:t>增加4.63万元，增长64.48%。</w:t>
      </w:r>
      <w:r>
        <w:rPr>
          <w:rFonts w:ascii="仿宋" w:eastAsia="仿宋" w:hint="eastAsia"/>
          <w:color w:val="auto"/>
          <w:sz w:val="32"/>
          <w:szCs w:val="32"/>
          <w:highlight w:val="auto"/>
        </w:rPr>
        <w:t>主要原因是：</w:t>
      </w:r>
      <w:r>
        <w:rPr>
          <w:rFonts w:ascii="仿宋" w:eastAsia="仿宋" w:hint="eastAsia"/>
          <w:color w:val="auto"/>
          <w:sz w:val="32"/>
          <w:szCs w:val="32"/>
        </w:rPr>
        <w:t>单位公务车辆使用年限较长，零部件老化，日常维修、保养频次增多，维修保养费用上涨。</w:t>
      </w:r>
      <w:bookmarkStart w:id="460" w:name="_Toc55224393"/>
      <w:bookmarkStart w:id="461" w:name="_Toc55224345"/>
      <w:bookmarkStart w:id="462" w:name="_Toc55224581"/>
      <w:bookmarkStart w:id="463" w:name="_Toc55224679"/>
      <w:bookmarkStart w:id="464" w:name="_Toc55224249"/>
      <w:bookmarkStart w:id="465" w:name="_Toc55224483"/>
    </w:p>
    <w:p>
      <w:pPr>
        <w:spacing w:line="576" w:lineRule="exact"/>
        <w:ind w:firstLineChars="200" w:firstLine="640"/>
        <w:outlineLvl w:val="2"/>
        <w:rPr>
          <w:rFonts w:ascii="Times New Roman" w:eastAsia="楷体_GB2312" w:cs="楷体_GB2312" w:hAnsi="Times New Roman" w:hint="eastAsia"/>
          <w:b/>
          <w:color w:val="auto"/>
          <w:sz w:val="32"/>
          <w:szCs w:val="32"/>
          <w:lang w:bidi="ar-SA"/>
          <w:highlight w:val="auto"/>
        </w:rPr>
      </w:pPr>
      <w:r>
        <w:rPr>
          <w:rFonts w:ascii="Times New Roman" w:eastAsia="楷体_GB2312" w:cs="楷体_GB2312" w:hAnsi="Times New Roman" w:hint="eastAsia"/>
          <w:b/>
          <w:color w:val="auto"/>
          <w:sz w:val="32"/>
          <w:szCs w:val="32"/>
          <w:lang w:bidi="ar-SA"/>
          <w:highlight w:val="auto"/>
        </w:rPr>
        <w:t>（二）“三公”经费财政拨款支出决算具</w:t>
      </w:r>
      <w:bookmarkEnd w:id="454"/>
      <w:r>
        <w:rPr>
          <w:rFonts w:ascii="Times New Roman" w:eastAsia="楷体_GB2312" w:cs="楷体_GB2312" w:hAnsi="Times New Roman" w:hint="eastAsia"/>
          <w:b/>
          <w:color w:val="auto"/>
          <w:sz w:val="32"/>
          <w:szCs w:val="32"/>
          <w:lang w:bidi="ar-SA"/>
          <w:highlight w:val="auto"/>
        </w:rPr>
        <w:t>体情况说明</w:t>
      </w:r>
      <w:bookmarkEnd w:id="455"/>
      <w:bookmarkEnd w:id="456"/>
      <w:bookmarkEnd w:id="457"/>
      <w:bookmarkEnd w:id="458"/>
      <w:bookmarkEnd w:id="459"/>
      <w:bookmarkEnd w:id="460"/>
      <w:bookmarkEnd w:id="461"/>
      <w:bookmarkEnd w:id="462"/>
      <w:bookmarkEnd w:id="463"/>
      <w:bookmarkEnd w:id="464"/>
      <w:bookmarkEnd w:id="465"/>
    </w:p>
    <w:p>
      <w:pPr>
        <w:spacing w:line="576" w:lineRule="exact"/>
        <w:ind w:firstLine="640"/>
        <w:rPr>
          <w:rFonts w:ascii="仿宋" w:eastAsia="仿宋" w:hint="eastAsia"/>
          <w:sz w:val="32"/>
          <w:szCs w:val="32"/>
        </w:rPr>
      </w:pPr>
      <w:r>
        <w:rPr>
          <w:rFonts w:ascii="仿宋" w:eastAsia="仿宋" w:hint="eastAsia"/>
          <w:color w:val="auto"/>
          <w:sz w:val="32"/>
          <w:szCs w:val="32"/>
          <w:lang w:eastAsia="zh-CN"/>
          <w:highlight w:val="auto"/>
        </w:rPr>
        <w:t>2025</w:t>
      </w:r>
      <w:r>
        <w:rPr>
          <w:rFonts w:ascii="仿宋" w:eastAsia="仿宋" w:hint="eastAsia"/>
          <w:color w:val="auto"/>
          <w:sz w:val="32"/>
          <w:szCs w:val="32"/>
          <w:highlight w:val="auto"/>
        </w:rPr>
        <w:t>年</w:t>
      </w:r>
      <w:r>
        <w:rPr>
          <w:rFonts w:ascii="仿宋" w:eastAsia="仿宋" w:hint="eastAsia"/>
          <w:color w:val="auto"/>
          <w:sz w:val="32"/>
          <w:szCs w:val="32"/>
          <w:lang w:eastAsia="zh-CN"/>
          <w:highlight w:val="auto"/>
        </w:rPr>
        <w:t>度</w:t>
      </w:r>
      <w:r>
        <w:rPr>
          <w:rFonts w:ascii="仿宋" w:eastAsia="仿宋" w:hint="eastAsia"/>
          <w:color w:val="auto"/>
          <w:sz w:val="32"/>
          <w:szCs w:val="32"/>
          <w:highlight w:val="auto"/>
        </w:rPr>
        <w:t>“三公”经费财政拨款支出决算中，公务用车购置及运行维护费支出决算</w:t>
      </w:r>
      <w:r>
        <w:rPr>
          <w:rFonts w:ascii="仿宋" w:eastAsia="仿宋" w:hint="eastAsia"/>
          <w:color w:val="auto"/>
          <w:sz w:val="32"/>
          <w:szCs w:val="32"/>
          <w:lang w:val="en-US" w:eastAsia="zh-CN"/>
          <w:highlight w:val="auto"/>
        </w:rPr>
        <w:t>11.81</w:t>
      </w:r>
      <w:r>
        <w:rPr>
          <w:rFonts w:ascii="仿宋" w:eastAsia="仿宋" w:hint="eastAsia"/>
          <w:color w:val="auto"/>
          <w:sz w:val="32"/>
          <w:szCs w:val="32"/>
          <w:highlight w:val="auto"/>
        </w:rPr>
        <w:t>万元，占</w:t>
      </w:r>
      <w:r>
        <w:rPr>
          <w:rFonts w:ascii="仿宋" w:eastAsia="仿宋" w:hint="eastAsia"/>
          <w:color w:val="auto"/>
          <w:sz w:val="32"/>
          <w:szCs w:val="32"/>
          <w:lang w:val="en-US" w:eastAsia="zh-CN"/>
          <w:highlight w:val="auto"/>
        </w:rPr>
        <w:t>100%</w:t>
      </w:r>
      <w:r>
        <w:rPr>
          <w:rFonts w:ascii="仿宋" w:eastAsia="仿宋" w:hint="eastAsia"/>
          <w:color w:val="auto"/>
          <w:sz w:val="32"/>
          <w:szCs w:val="32"/>
          <w:highlight w:val="auto"/>
        </w:rPr>
        <w:t>；具体情况如下：</w:t>
      </w:r>
    </w:p>
    <w:p>
      <w:pPr>
        <w:spacing w:line="576" w:lineRule="exact"/>
        <w:jc w:val="center"/>
      </w:pPr>
      <w:r>
        <w:rPr>
          <w:rFonts w:ascii="仿宋_GB2312" w:eastAsia="仿宋_GB2312" w:cs="仿宋_GB2312" w:hint="eastAsia"/>
        </w:rPr>
        <w:drawing>
          <wp:anchor distT="0" distB="0" distL="114300" distR="114300" simplePos="0" relativeHeight="30" behindDoc="0" locked="0" layoutInCell="1" hidden="0" allowOverlap="1">
            <wp:simplePos x="0" y="0"/>
            <wp:positionH relativeFrom="page">
              <wp:posOffset>1517652</wp:posOffset>
            </wp:positionH>
            <wp:positionV relativeFrom="page">
              <wp:posOffset>3319782</wp:posOffset>
            </wp:positionV>
            <wp:extent cx="4123690" cy="2180821"/>
            <wp:effectExtent l="0" t="0" r="0" b="0"/>
            <wp:wrapSquare wrapText="bothSides"/>
            <wp:docPr id="19" name="Object 10"/>
            <wp:cNvGraphicFramePr>
              <a:graphicFrameLocks noChangeAspect="1"/>
            </wp:cNvGraphicFramePr>
            <a:graphic>
              <a:graphicData uri="http://schemas.openxmlformats.org/drawingml/2006/picture">
                <pic:pic>
                  <pic:nvPicPr>
                    <pic:cNvPr id="21" name="Object 10 21"/>
                    <pic:cNvPicPr/>
                  </pic:nvPicPr>
                  <pic:blipFill>
                    <a:blip r:embed="rId9"/>
                    <a:stretch>
                      <a:fillRect/>
                    </a:stretch>
                  </pic:blipFill>
                  <pic:spPr>
                    <a:xfrm rot="0">
                      <a:off x="0" y="0"/>
                      <a:ext cx="4123690" cy="2180821"/>
                    </a:xfrm>
                    <a:prstGeom prst="rect"/>
                    <a:noFill/>
                    <a:ln w="9525" cmpd="sng" cap="flat">
                      <a:noFill/>
                      <a:prstDash val="solid"/>
                      <a:miter/>
                    </a:ln>
                  </pic:spPr>
                </pic:pic>
              </a:graphicData>
            </a:graphic>
          </wp:anchor>
        </w:drawing>
      </w:r>
    </w:p>
    <w:p>
      <w:pPr>
        <w:spacing w:line="576" w:lineRule="exact"/>
        <w:ind w:firstLineChars="200" w:firstLine="640"/>
        <w:rPr>
          <w:rFonts w:ascii="Times New Roman" w:eastAsia="仿宋_GB2312" w:cs="仿宋_GB2312" w:hAnsi="Times New Roman" w:hint="eastAsia"/>
          <w:b/>
          <w:bCs/>
          <w:color w:val="auto"/>
          <w:kern w:val="2"/>
          <w:sz w:val="32"/>
          <w:szCs w:val="32"/>
          <w:lang w:val="en-US" w:eastAsia="zh-CN" w:bidi="ar-SA"/>
          <w:highlight w:val="auto"/>
        </w:rPr>
      </w:pPr>
    </w:p>
    <w:p>
      <w:pPr>
        <w:spacing w:line="576" w:lineRule="exact"/>
        <w:ind w:firstLineChars="200" w:firstLine="640"/>
        <w:rPr>
          <w:rFonts w:ascii="Times New Roman" w:eastAsia="仿宋_GB2312" w:cs="仿宋_GB2312" w:hAnsi="Times New Roman" w:hint="eastAsia"/>
          <w:b/>
          <w:bCs/>
          <w:color w:val="auto"/>
          <w:kern w:val="2"/>
          <w:sz w:val="32"/>
          <w:szCs w:val="32"/>
          <w:lang w:val="en-US" w:eastAsia="zh-CN" w:bidi="ar-SA"/>
          <w:highlight w:val="auto"/>
        </w:rPr>
      </w:pPr>
    </w:p>
    <w:p>
      <w:pPr>
        <w:spacing w:line="576" w:lineRule="exact"/>
        <w:ind w:firstLineChars="200" w:firstLine="640"/>
        <w:rPr>
          <w:rFonts w:ascii="Times New Roman" w:eastAsia="仿宋_GB2312" w:cs="仿宋_GB2312" w:hAnsi="Times New Roman" w:hint="eastAsia"/>
          <w:b/>
          <w:bCs/>
          <w:color w:val="auto"/>
          <w:kern w:val="2"/>
          <w:sz w:val="32"/>
          <w:szCs w:val="32"/>
          <w:lang w:val="en-US" w:eastAsia="zh-CN" w:bidi="ar-SA"/>
          <w:highlight w:val="auto"/>
        </w:rPr>
      </w:pPr>
    </w:p>
    <w:p>
      <w:pPr>
        <w:spacing w:line="576" w:lineRule="exact"/>
        <w:rPr>
          <w:rFonts w:ascii="Times New Roman" w:eastAsia="仿宋_GB2312" w:cs="仿宋_GB2312" w:hAnsi="Times New Roman" w:hint="eastAsia"/>
          <w:b/>
          <w:bCs/>
          <w:color w:val="auto"/>
          <w:kern w:val="2"/>
          <w:sz w:val="32"/>
          <w:szCs w:val="32"/>
          <w:lang w:val="en-US" w:eastAsia="zh-CN" w:bidi="ar-SA"/>
          <w:highlight w:val="auto"/>
        </w:rPr>
      </w:pPr>
    </w:p>
    <w:p>
      <w:pPr>
        <w:spacing w:line="576" w:lineRule="exact"/>
        <w:ind w:firstLineChars="200" w:firstLine="640"/>
        <w:rPr>
          <w:rFonts w:ascii="Times New Roman" w:eastAsia="仿宋_GB2312" w:cs="仿宋_GB2312" w:hAnsi="Times New Roman"/>
          <w:b/>
          <w:bCs/>
          <w:color w:val="auto"/>
          <w:kern w:val="2"/>
          <w:sz w:val="32"/>
          <w:szCs w:val="32"/>
          <w:lang w:val="en-US" w:eastAsia="zh-CN" w:bidi="ar-SA"/>
          <w:highlight w:val="auto"/>
        </w:rPr>
      </w:pPr>
    </w:p>
    <w:p>
      <w:pPr>
        <w:spacing w:line="576" w:lineRule="exact"/>
        <w:ind w:firstLineChars="200" w:firstLine="640"/>
        <w:rPr>
          <w:rFonts w:ascii="Times New Roman" w:eastAsia="仿宋_GB2312" w:cs="仿宋_GB2312" w:hAnsi="Times New Roman"/>
          <w:b/>
          <w:bCs/>
          <w:color w:val="auto"/>
          <w:kern w:val="2"/>
          <w:sz w:val="32"/>
          <w:szCs w:val="32"/>
          <w:lang w:val="en-US" w:eastAsia="zh-CN" w:bidi="ar-SA"/>
          <w:highlight w:val="auto"/>
        </w:rPr>
      </w:pPr>
    </w:p>
    <w:p>
      <w:pPr>
        <w:spacing w:line="576" w:lineRule="exact"/>
        <w:ind w:firstLineChars="200" w:firstLine="640"/>
        <w:rPr>
          <w:rFonts w:ascii="仿宋_GB2312" w:eastAsia="仿宋_GB2312" w:cs="仿宋_GB2312" w:hint="eastAsia"/>
          <w:sz w:val="32"/>
          <w:szCs w:val="32"/>
          <w:lang w:bidi="ar-SA"/>
        </w:rPr>
      </w:pPr>
      <w:r>
        <w:rPr>
          <w:rFonts w:ascii="Times New Roman" w:eastAsia="仿宋_GB2312" w:cs="仿宋_GB2312" w:hAnsi="Times New Roman" w:hint="eastAsia"/>
          <w:b/>
          <w:bCs/>
          <w:color w:val="auto"/>
          <w:kern w:val="2"/>
          <w:sz w:val="32"/>
          <w:szCs w:val="32"/>
          <w:lang w:val="en-US" w:eastAsia="zh-CN" w:bidi="ar-SA"/>
          <w:highlight w:val="auto"/>
        </w:rPr>
        <w:t>1.因公出国（境）经费支出</w:t>
      </w:r>
      <w:r>
        <w:rPr>
          <w:rFonts w:ascii="Times New Roman" w:eastAsia="仿宋_GB2312" w:cs="仿宋_GB2312" w:hAnsi="Times New Roman"/>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万元</w:t>
      </w:r>
      <w:r>
        <w:rPr>
          <w:rFonts w:ascii="Times New Roman" w:eastAsia="仿宋_GB2312" w:cs="仿宋_GB2312" w:hAnsi="Times New Roman"/>
          <w:b/>
          <w:bCs/>
          <w:color w:val="auto"/>
          <w:kern w:val="2"/>
          <w:sz w:val="32"/>
          <w:szCs w:val="32"/>
          <w:lang w:val="en-US" w:eastAsia="zh-CN" w:bidi="ar-SA"/>
          <w:highlight w:val="auto"/>
        </w:rPr>
        <w:t>。</w:t>
      </w:r>
    </w:p>
    <w:p>
      <w:pPr>
        <w:spacing w:line="576" w:lineRule="exact"/>
        <w:ind w:firstLine="640"/>
        <w:rPr>
          <w:rFonts w:ascii="仿宋" w:eastAsia="仿宋" w:hint="eastAsia"/>
          <w:color w:val="auto"/>
          <w:sz w:val="32"/>
          <w:szCs w:val="32"/>
        </w:rPr>
      </w:pPr>
      <w:r>
        <w:rPr>
          <w:rFonts w:ascii="仿宋_GB2312" w:eastAsia="仿宋_GB2312" w:hint="eastAsia"/>
          <w:b/>
          <w:color w:val="auto"/>
          <w:sz w:val="32"/>
          <w:szCs w:val="32"/>
          <w:highlight w:val="auto"/>
        </w:rPr>
        <w:t>2.公务用车购置及运行维护费支出11</w:t>
      </w:r>
      <w:r>
        <w:rPr>
          <w:rFonts w:ascii="仿宋_GB2312" w:eastAsia="仿宋_GB2312" w:hint="eastAsia"/>
          <w:b/>
          <w:sz w:val="32"/>
          <w:szCs w:val="32"/>
          <w:highlight w:val="auto"/>
        </w:rPr>
        <w:t>.81万元,</w:t>
      </w:r>
      <w:r>
        <w:rPr>
          <w:rFonts w:ascii="仿宋_GB2312" w:eastAsia="仿宋_GB2312" w:hint="eastAsia"/>
          <w:b/>
          <w:bCs/>
          <w:sz w:val="32"/>
          <w:szCs w:val="32"/>
          <w:highlight w:val="auto"/>
        </w:rPr>
        <w:t>完成预算</w:t>
      </w:r>
      <w:r>
        <w:rPr>
          <w:rFonts w:ascii="仿宋_GB2312" w:eastAsia="仿宋_GB2312" w:hint="eastAsia"/>
          <w:b/>
          <w:bCs/>
          <w:sz w:val="32"/>
          <w:szCs w:val="32"/>
          <w:lang w:val="en-US" w:eastAsia="zh-CN"/>
          <w:highlight w:val="auto"/>
        </w:rPr>
        <w:t>100</w:t>
      </w:r>
      <w:r>
        <w:rPr>
          <w:rFonts w:ascii="仿宋_GB2312" w:eastAsia="仿宋_GB2312" w:hint="eastAsia"/>
          <w:b/>
          <w:bCs/>
          <w:sz w:val="32"/>
          <w:szCs w:val="32"/>
          <w:highlight w:val="auto"/>
        </w:rPr>
        <w:t>%。</w:t>
      </w:r>
      <w:r>
        <w:rPr>
          <w:rFonts w:ascii="仿宋_GB2312" w:eastAsia="仿宋_GB2312" w:hint="eastAsia"/>
          <w:color w:val="auto"/>
          <w:sz w:val="32"/>
          <w:szCs w:val="32"/>
          <w:highlight w:val="auto"/>
        </w:rPr>
        <w:t>公务用车购置及运行维护费支出决算</w:t>
      </w:r>
      <w:r>
        <w:rPr>
          <w:rFonts w:ascii="仿宋_GB2312" w:eastAsia="仿宋_GB2312" w:hint="eastAsia"/>
          <w:color w:val="auto"/>
          <w:sz w:val="32"/>
          <w:szCs w:val="32"/>
          <w:lang w:eastAsia="zh-CN"/>
          <w:highlight w:val="auto"/>
        </w:rPr>
        <w:t>与</w:t>
      </w:r>
      <w:r>
        <w:rPr>
          <w:rFonts w:ascii="仿宋_GB2312" w:eastAsia="仿宋_GB2312" w:hint="eastAsia"/>
          <w:color w:val="auto"/>
          <w:sz w:val="32"/>
          <w:szCs w:val="32"/>
          <w:highlight w:val="auto"/>
        </w:rPr>
        <w:t>上年</w:t>
      </w:r>
      <w:r>
        <w:rPr>
          <w:rFonts w:ascii="仿宋_GB2312" w:eastAsia="仿宋_GB2312" w:hint="eastAsia"/>
          <w:color w:val="auto"/>
          <w:sz w:val="32"/>
          <w:szCs w:val="32"/>
          <w:lang w:eastAsia="zh-CN"/>
          <w:highlight w:val="auto"/>
        </w:rPr>
        <w:t>度相比增加</w:t>
      </w:r>
      <w:r>
        <w:rPr>
          <w:rFonts w:ascii="仿宋_GB2312" w:eastAsia="仿宋_GB2312" w:hint="eastAsia"/>
          <w:color w:val="auto"/>
          <w:sz w:val="32"/>
          <w:szCs w:val="32"/>
          <w:lang w:val="en-US" w:eastAsia="zh-CN"/>
          <w:highlight w:val="auto"/>
        </w:rPr>
        <w:t>4.63</w:t>
      </w:r>
      <w:r>
        <w:rPr>
          <w:rFonts w:ascii="仿宋_GB2312" w:eastAsia="仿宋_GB2312" w:hint="eastAsia"/>
          <w:color w:val="auto"/>
          <w:sz w:val="32"/>
          <w:szCs w:val="32"/>
          <w:highlight w:val="auto"/>
        </w:rPr>
        <w:t>万元，</w:t>
      </w:r>
      <w:r>
        <w:rPr>
          <w:rFonts w:ascii="仿宋_GB2312" w:eastAsia="仿宋_GB2312" w:hint="eastAsia"/>
          <w:color w:val="auto"/>
          <w:sz w:val="32"/>
          <w:szCs w:val="32"/>
          <w:lang w:eastAsia="zh-CN"/>
          <w:highlight w:val="auto"/>
        </w:rPr>
        <w:t>增长</w:t>
      </w:r>
      <w:r>
        <w:rPr>
          <w:rFonts w:ascii="仿宋_GB2312" w:eastAsia="仿宋_GB2312" w:hint="eastAsia"/>
          <w:color w:val="auto"/>
          <w:sz w:val="32"/>
          <w:szCs w:val="32"/>
          <w:highlight w:val="auto"/>
        </w:rPr>
        <w:t>64.48%。主要原因是：</w:t>
      </w:r>
      <w:r>
        <w:rPr>
          <w:rFonts w:ascii="仿宋" w:eastAsia="仿宋" w:hint="eastAsia"/>
          <w:color w:val="auto"/>
          <w:sz w:val="32"/>
          <w:szCs w:val="32"/>
        </w:rPr>
        <w:t>单位公务车辆使用年限较长，零部件老化，日常维修、保养频次增多，维修保养费用上涨。</w:t>
      </w:r>
    </w:p>
    <w:p>
      <w:pPr>
        <w:spacing w:line="576" w:lineRule="exact"/>
        <w:ind w:firstLineChars="200" w:firstLine="640"/>
        <w:rPr>
          <w:rFonts w:ascii="仿宋_GB2312" w:eastAsia="仿宋_GB2312" w:hint="eastAsia"/>
          <w:color w:val="auto"/>
          <w:sz w:val="32"/>
          <w:szCs w:val="32"/>
          <w:highlight w:val="auto"/>
        </w:rPr>
      </w:pPr>
      <w:r>
        <w:rPr>
          <w:rFonts w:ascii="仿宋_GB2312" w:eastAsia="仿宋_GB2312" w:hint="eastAsia"/>
          <w:color w:val="auto"/>
          <w:sz w:val="32"/>
          <w:szCs w:val="32"/>
          <w:highlight w:val="auto"/>
        </w:rPr>
        <w:t>截至</w:t>
      </w:r>
      <w:r>
        <w:rPr>
          <w:rFonts w:ascii="仿宋_GB2312" w:eastAsia="仿宋_GB2312" w:hint="eastAsia"/>
          <w:color w:val="auto"/>
          <w:sz w:val="32"/>
          <w:szCs w:val="32"/>
          <w:lang w:eastAsia="zh-CN"/>
          <w:highlight w:val="auto"/>
        </w:rPr>
        <w:t>2025</w:t>
      </w:r>
      <w:r>
        <w:rPr>
          <w:rFonts w:ascii="仿宋_GB2312" w:eastAsia="仿宋_GB2312" w:hint="eastAsia"/>
          <w:color w:val="auto"/>
          <w:sz w:val="32"/>
          <w:szCs w:val="32"/>
          <w:highlight w:val="auto"/>
        </w:rPr>
        <w:t>年12月31日，单位</w:t>
      </w:r>
      <w:r>
        <w:rPr>
          <w:rFonts w:ascii="仿宋_GB2312" w:eastAsia="仿宋_GB2312" w:cs="Times New Roman" w:hint="eastAsia"/>
          <w:color w:val="000000"/>
          <w:sz w:val="32"/>
          <w:szCs w:val="32"/>
          <w:lang w:val="en-US" w:eastAsia="zh-CN" w:bidi="ar-SA"/>
        </w:rPr>
        <w:t>共有车辆10辆，其中：应急保障用车4辆、</w:t>
      </w:r>
      <w:r>
        <w:rPr>
          <w:rFonts w:ascii="仿宋_GB2312" w:eastAsia="仿宋_GB2312" w:hint="eastAsia"/>
          <w:color w:val="000000"/>
          <w:sz w:val="32"/>
          <w:szCs w:val="32"/>
        </w:rPr>
        <w:t>执法执勤车辆6</w:t>
      </w:r>
      <w:r>
        <w:rPr>
          <w:rFonts w:ascii="仿宋_GB2312" w:eastAsia="仿宋_GB2312" w:hint="eastAsia"/>
          <w:color w:val="000000"/>
          <w:sz w:val="32"/>
          <w:szCs w:val="32"/>
          <w:lang w:eastAsia="zh-CN"/>
        </w:rPr>
        <w:t>辆。</w:t>
      </w:r>
    </w:p>
    <w:p>
      <w:pPr>
        <w:spacing w:line="576" w:lineRule="exact"/>
        <w:ind w:firstLine="640"/>
        <w:rPr>
          <w:rFonts w:ascii="仿宋_GB2312" w:eastAsia="仿宋_GB2312" w:hint="eastAsia"/>
          <w:b/>
          <w:sz w:val="32"/>
          <w:szCs w:val="32"/>
        </w:rPr>
      </w:pPr>
      <w:r>
        <w:rPr>
          <w:rFonts w:ascii="仿宋_GB2312" w:eastAsia="仿宋_GB2312" w:hint="eastAsia"/>
          <w:sz w:val="32"/>
          <w:szCs w:val="32"/>
          <w:highlight w:val="auto"/>
        </w:rPr>
        <w:t>公务用车运行维护费支出11.81万元。主要用于</w:t>
      </w:r>
      <w:r>
        <w:rPr>
          <w:rFonts w:ascii="仿宋_GB2312" w:eastAsia="仿宋_GB2312" w:hint="eastAsia"/>
          <w:sz w:val="32"/>
          <w:szCs w:val="32"/>
          <w:lang w:eastAsia="zh-CN"/>
          <w:highlight w:val="auto"/>
        </w:rPr>
        <w:t>全县市场执法检查工作、外出培训等</w:t>
      </w:r>
      <w:r>
        <w:rPr>
          <w:rFonts w:ascii="仿宋_GB2312" w:eastAsia="仿宋_GB2312" w:hint="eastAsia"/>
          <w:sz w:val="32"/>
          <w:szCs w:val="32"/>
          <w:highlight w:val="auto"/>
        </w:rPr>
        <w:t>所需的公务用车</w:t>
      </w:r>
      <w:r>
        <w:rPr>
          <w:rFonts w:ascii="仿宋_GB2312" w:eastAsia="仿宋_GB2312" w:hint="eastAsia"/>
          <w:color w:val="auto"/>
          <w:sz w:val="32"/>
          <w:szCs w:val="32"/>
          <w:highlight w:val="auto"/>
        </w:rPr>
        <w:t>燃料费、维修费、过路过桥费、保险费等支出</w:t>
      </w:r>
      <w:r>
        <w:rPr>
          <w:rFonts w:ascii="仿宋_GB2312" w:eastAsia="仿宋_GB2312" w:hint="eastAsia"/>
          <w:sz w:val="32"/>
          <w:szCs w:val="32"/>
          <w:highlight w:val="auto"/>
        </w:rPr>
        <w:t>。</w:t>
      </w:r>
    </w:p>
    <w:p>
      <w:pPr>
        <w:spacing w:line="576" w:lineRule="exact"/>
        <w:ind w:firstLine="640"/>
        <w:rPr>
          <w:rFonts w:ascii="仿宋_GB2312" w:eastAsia="仿宋_GB2312" w:hint="eastAsia"/>
          <w:color w:val="auto"/>
          <w:sz w:val="32"/>
          <w:szCs w:val="32"/>
          <w:highlight w:val="auto"/>
        </w:rPr>
      </w:pPr>
      <w:bookmarkStart w:id="466" w:name="_Toc15396610"/>
      <w:bookmarkStart w:id="467" w:name="_Toc15377218"/>
      <w:bookmarkStart w:id="468" w:name="_Toc88111038"/>
      <w:bookmarkStart w:id="469" w:name="_Toc75095948"/>
      <w:bookmarkStart w:id="470" w:name="_Toc75095837"/>
      <w:r>
        <w:rPr>
          <w:rFonts w:ascii="仿宋_GB2312" w:eastAsia="仿宋_GB2312" w:hint="eastAsia"/>
          <w:b/>
          <w:sz w:val="32"/>
          <w:szCs w:val="32"/>
          <w:highlight w:val="auto"/>
        </w:rPr>
        <w:t>3.公务接待费支出0万元</w:t>
      </w:r>
      <w:r>
        <w:rPr>
          <w:rFonts w:ascii="仿宋_GB2312" w:eastAsia="仿宋_GB2312" w:hint="eastAsia"/>
          <w:b/>
          <w:bCs/>
          <w:sz w:val="32"/>
          <w:szCs w:val="32"/>
          <w:highlight w:val="auto"/>
        </w:rPr>
        <w:t>。</w:t>
      </w:r>
    </w:p>
    <w:p>
      <w:pPr>
        <w:spacing w:line="576" w:lineRule="exact"/>
        <w:ind w:firstLine="640"/>
        <w:outlineLvl w:val="1"/>
        <w:rPr>
          <w:rStyle w:val="2Char"/>
          <w:rFonts w:ascii="Times New Roman" w:eastAsia="黑体" w:hAnsi="Times New Roman"/>
          <w:b w:val="0"/>
          <w:color w:val="auto"/>
          <w:highlight w:val="auto"/>
        </w:rPr>
      </w:pPr>
      <w:bookmarkStart w:id="471" w:name="_Toc55224680"/>
      <w:bookmarkStart w:id="472" w:name="_Toc55224250"/>
      <w:bookmarkStart w:id="473" w:name="_Toc55224484"/>
      <w:bookmarkStart w:id="474" w:name="_Toc55224394"/>
      <w:bookmarkStart w:id="475" w:name="_Toc55224582"/>
      <w:bookmarkStart w:id="476" w:name="_Toc55224346"/>
      <w:r>
        <w:rPr>
          <w:rFonts w:ascii="Times New Roman" w:eastAsia="黑体" w:hAnsi="Times New Roman" w:hint="eastAsia"/>
          <w:color w:val="auto"/>
          <w:sz w:val="32"/>
          <w:szCs w:val="32"/>
          <w:highlight w:val="auto"/>
        </w:rPr>
        <w:t>八、</w:t>
      </w:r>
      <w:r>
        <w:rPr>
          <w:rStyle w:val="2Char"/>
          <w:rFonts w:ascii="Times New Roman" w:eastAsia="黑体" w:hAnsi="Times New Roman" w:hint="eastAsia"/>
          <w:b w:val="0"/>
          <w:color w:val="auto"/>
          <w:highlight w:val="auto"/>
        </w:rPr>
        <w:t>政府性基金预算支出决</w:t>
      </w:r>
      <w:bookmarkEnd w:id="466"/>
      <w:bookmarkEnd w:id="467"/>
      <w:r>
        <w:rPr>
          <w:rStyle w:val="2Char"/>
          <w:rFonts w:ascii="Times New Roman" w:eastAsia="黑体" w:hAnsi="Times New Roman" w:hint="eastAsia"/>
          <w:b w:val="0"/>
          <w:color w:val="auto"/>
          <w:highlight w:val="auto"/>
        </w:rPr>
        <w:t>算情况说明</w:t>
      </w:r>
      <w:bookmarkEnd w:id="468"/>
      <w:bookmarkEnd w:id="469"/>
      <w:bookmarkEnd w:id="470"/>
      <w:bookmarkEnd w:id="471"/>
      <w:bookmarkEnd w:id="472"/>
      <w:bookmarkEnd w:id="473"/>
      <w:bookmarkEnd w:id="474"/>
      <w:bookmarkEnd w:id="475"/>
      <w:bookmarkEnd w:id="476"/>
    </w:p>
    <w:p>
      <w:pPr>
        <w:spacing w:line="576" w:lineRule="exact"/>
        <w:ind w:firstLine="640"/>
        <w:rPr>
          <w:rFonts w:ascii="仿宋_GB2312" w:eastAsia="仿宋_GB2312" w:hint="eastAsia"/>
          <w:color w:val="auto"/>
          <w:sz w:val="32"/>
          <w:szCs w:val="32"/>
          <w:highlight w:val="auto"/>
        </w:rPr>
      </w:pPr>
      <w:r>
        <w:rPr>
          <w:rFonts w:ascii="仿宋_GB2312" w:eastAsia="仿宋_GB2312" w:hint="eastAsia"/>
          <w:color w:val="auto"/>
          <w:sz w:val="32"/>
          <w:szCs w:val="32"/>
          <w:lang w:eastAsia="zh-CN"/>
          <w:highlight w:val="auto"/>
        </w:rPr>
        <w:t>2</w:t>
      </w:r>
      <w:bookmarkStart w:id="477" w:name="_Toc73331672"/>
      <w:r>
        <w:rPr>
          <w:rFonts w:ascii="仿宋_GB2312" w:eastAsia="仿宋_GB2312" w:hint="eastAsia"/>
          <w:color w:val="auto"/>
          <w:sz w:val="32"/>
          <w:szCs w:val="32"/>
          <w:lang w:eastAsia="zh-CN"/>
          <w:highlight w:val="auto"/>
        </w:rPr>
        <w:t>025</w:t>
      </w:r>
      <w:r>
        <w:rPr>
          <w:rFonts w:ascii="仿宋_GB2312" w:eastAsia="仿宋_GB2312" w:hint="eastAsia"/>
          <w:color w:val="auto"/>
          <w:sz w:val="32"/>
          <w:szCs w:val="32"/>
          <w:highlight w:val="auto"/>
        </w:rPr>
        <w:t>年</w:t>
      </w:r>
      <w:r>
        <w:rPr>
          <w:rFonts w:ascii="仿宋_GB2312" w:eastAsia="仿宋_GB2312" w:hint="eastAsia"/>
          <w:color w:val="auto"/>
          <w:sz w:val="32"/>
          <w:szCs w:val="32"/>
          <w:lang w:eastAsia="zh-CN"/>
          <w:highlight w:val="auto"/>
        </w:rPr>
        <w:t>度</w:t>
      </w:r>
      <w:r>
        <w:rPr>
          <w:rFonts w:ascii="仿宋_GB2312" w:eastAsia="仿宋_GB2312" w:hint="eastAsia"/>
          <w:color w:val="auto"/>
          <w:sz w:val="32"/>
          <w:szCs w:val="32"/>
          <w:highlight w:val="auto"/>
        </w:rPr>
        <w:t>政府性基金预</w:t>
      </w:r>
      <w:bookmarkEnd w:id="477"/>
      <w:r>
        <w:rPr>
          <w:rFonts w:ascii="仿宋_GB2312" w:eastAsia="仿宋_GB2312" w:hint="eastAsia"/>
          <w:color w:val="auto"/>
          <w:sz w:val="32"/>
          <w:szCs w:val="32"/>
          <w:highlight w:val="auto"/>
        </w:rPr>
        <w:t>算</w:t>
      </w:r>
      <w:r>
        <w:rPr>
          <w:rFonts w:ascii="仿宋_GB2312" w:eastAsia="仿宋_GB2312" w:hint="eastAsia"/>
          <w:color w:val="auto"/>
          <w:sz w:val="32"/>
          <w:szCs w:val="32"/>
          <w:lang w:eastAsia="zh-CN"/>
          <w:highlight w:val="auto"/>
        </w:rPr>
        <w:t>财政</w:t>
      </w:r>
      <w:r>
        <w:rPr>
          <w:rFonts w:ascii="仿宋_GB2312" w:eastAsia="仿宋_GB2312" w:hint="eastAsia"/>
          <w:color w:val="auto"/>
          <w:sz w:val="32"/>
          <w:szCs w:val="32"/>
          <w:highlight w:val="auto"/>
        </w:rPr>
        <w:t>拨款支出</w:t>
      </w:r>
      <w:bookmarkStart w:id="478" w:name="_Toc15396611"/>
      <w:bookmarkStart w:id="479" w:name="_Toc15377219"/>
      <w:r>
        <w:rPr>
          <w:rFonts w:ascii="仿宋_GB2312" w:eastAsia="仿宋_GB2312" w:hint="eastAsia"/>
          <w:color w:val="auto"/>
          <w:sz w:val="32"/>
          <w:szCs w:val="32"/>
          <w:lang w:val="en-US" w:eastAsia="zh-CN"/>
          <w:highlight w:val="auto"/>
        </w:rPr>
        <w:t>0</w:t>
      </w:r>
      <w:r>
        <w:rPr>
          <w:rFonts w:ascii="仿宋_GB2312" w:eastAsia="仿宋_GB2312" w:hint="eastAsia"/>
          <w:color w:val="auto"/>
          <w:sz w:val="32"/>
          <w:szCs w:val="32"/>
          <w:highlight w:val="auto"/>
        </w:rPr>
        <w:t>万元。</w:t>
      </w:r>
    </w:p>
    <w:p>
      <w:pPr>
        <w:spacing w:line="576" w:lineRule="exact"/>
        <w:ind w:firstLineChars="200" w:firstLine="640"/>
        <w:outlineLvl w:val="1"/>
        <w:rPr>
          <w:rStyle w:val="2Char"/>
          <w:rFonts w:ascii="Times New Roman" w:eastAsia="黑体" w:hAnsi="Times New Roman"/>
          <w:b w:val="0"/>
          <w:color w:val="auto"/>
          <w:highlight w:val="auto"/>
        </w:rPr>
      </w:pPr>
      <w:bookmarkStart w:id="480" w:name="_Toc55224395"/>
      <w:bookmarkStart w:id="481" w:name="_Toc55224347"/>
      <w:bookmarkStart w:id="482" w:name="_Toc75095949"/>
      <w:bookmarkStart w:id="483" w:name="_Toc88111039"/>
      <w:bookmarkStart w:id="484" w:name="_Toc55224251"/>
      <w:bookmarkStart w:id="485" w:name="_Toc55224583"/>
      <w:bookmarkStart w:id="486" w:name="_Toc55224485"/>
      <w:bookmarkStart w:id="487" w:name="_Toc55224681"/>
      <w:bookmarkStart w:id="488" w:name="_Toc75095838"/>
      <w:r>
        <w:rPr>
          <w:rStyle w:val="2Char"/>
          <w:rFonts w:ascii="Times New Roman" w:eastAsia="黑体" w:hAnsi="Times New Roman" w:hint="eastAsia"/>
          <w:b w:val="0"/>
          <w:color w:val="auto"/>
          <w:lang w:eastAsia="zh-CN"/>
          <w:highlight w:val="auto"/>
        </w:rPr>
        <w:t>九、</w:t>
      </w:r>
      <w:r>
        <w:rPr>
          <w:rStyle w:val="2Char"/>
          <w:rFonts w:ascii="Times New Roman" w:eastAsia="黑体" w:hAnsi="Times New Roman" w:hint="eastAsia"/>
          <w:b w:val="0"/>
          <w:color w:val="auto"/>
          <w:highlight w:val="auto"/>
        </w:rPr>
        <w:t>国有资本经营预算支出决</w:t>
      </w:r>
      <w:bookmarkEnd w:id="478"/>
      <w:bookmarkEnd w:id="479"/>
      <w:r>
        <w:rPr>
          <w:rStyle w:val="2Char"/>
          <w:rFonts w:ascii="Times New Roman" w:eastAsia="黑体" w:hAnsi="Times New Roman" w:hint="eastAsia"/>
          <w:b w:val="0"/>
          <w:color w:val="auto"/>
          <w:highlight w:val="auto"/>
        </w:rPr>
        <w:t>算情况说明</w:t>
      </w:r>
      <w:bookmarkEnd w:id="480"/>
      <w:bookmarkEnd w:id="481"/>
      <w:bookmarkEnd w:id="482"/>
      <w:bookmarkEnd w:id="483"/>
      <w:bookmarkEnd w:id="484"/>
      <w:bookmarkEnd w:id="485"/>
      <w:bookmarkEnd w:id="486"/>
      <w:bookmarkEnd w:id="487"/>
      <w:bookmarkEnd w:id="488"/>
    </w:p>
    <w:p>
      <w:pPr>
        <w:pStyle w:val="30"/>
        <w:spacing w:line="576" w:lineRule="exact"/>
        <w:ind w:firstLineChars="200" w:firstLine="640"/>
      </w:pPr>
      <w:r>
        <w:rPr>
          <w:rFonts w:ascii="仿宋_GB2312" w:eastAsia="仿宋_GB2312" w:hint="eastAsia"/>
          <w:color w:val="auto"/>
          <w:sz w:val="32"/>
          <w:szCs w:val="32"/>
          <w:lang w:eastAsia="zh-CN"/>
          <w:highlight w:val="auto"/>
        </w:rPr>
        <w:t>2025</w:t>
      </w:r>
      <w:r>
        <w:rPr>
          <w:rFonts w:ascii="仿宋_GB2312" w:eastAsia="仿宋_GB2312" w:hint="eastAsia"/>
          <w:color w:val="auto"/>
          <w:sz w:val="32"/>
          <w:szCs w:val="32"/>
          <w:highlight w:val="auto"/>
        </w:rPr>
        <w:t>年</w:t>
      </w:r>
      <w:r>
        <w:rPr>
          <w:rFonts w:ascii="仿宋_GB2312" w:eastAsia="仿宋_GB2312" w:hint="eastAsia"/>
          <w:color w:val="auto"/>
          <w:sz w:val="32"/>
          <w:szCs w:val="32"/>
          <w:lang w:eastAsia="zh-CN"/>
          <w:highlight w:val="auto"/>
        </w:rPr>
        <w:t>度</w:t>
      </w:r>
      <w:r>
        <w:rPr>
          <w:rFonts w:ascii="仿宋_GB2312" w:eastAsia="仿宋_GB2312" w:hint="eastAsia"/>
          <w:color w:val="auto"/>
          <w:sz w:val="32"/>
          <w:szCs w:val="32"/>
          <w:highlight w:val="auto"/>
        </w:rPr>
        <w:t>国有资本经营预算</w:t>
      </w:r>
      <w:r>
        <w:rPr>
          <w:rFonts w:ascii="仿宋_GB2312" w:eastAsia="仿宋_GB2312" w:hint="eastAsia"/>
          <w:color w:val="auto"/>
          <w:sz w:val="32"/>
          <w:szCs w:val="32"/>
          <w:lang w:eastAsia="zh-CN"/>
          <w:highlight w:val="auto"/>
        </w:rPr>
        <w:t>财政</w:t>
      </w:r>
      <w:r>
        <w:rPr>
          <w:rFonts w:ascii="仿宋_GB2312" w:eastAsia="仿宋_GB2312" w:hint="eastAsia"/>
          <w:color w:val="auto"/>
          <w:sz w:val="32"/>
          <w:szCs w:val="32"/>
          <w:highlight w:val="auto"/>
        </w:rPr>
        <w:t>拨款支出</w:t>
      </w:r>
      <w:bookmarkStart w:id="489" w:name="_Toc15396612"/>
      <w:bookmarkStart w:id="490" w:name="_Toc15377221"/>
      <w:r>
        <w:rPr>
          <w:rFonts w:ascii="仿宋_GB2312" w:eastAsia="仿宋_GB2312" w:hint="eastAsia"/>
          <w:color w:val="auto"/>
          <w:sz w:val="32"/>
          <w:szCs w:val="32"/>
          <w:lang w:val="en-US" w:eastAsia="zh-CN"/>
          <w:highlight w:val="auto"/>
        </w:rPr>
        <w:t>0</w:t>
      </w:r>
      <w:r>
        <w:rPr>
          <w:rFonts w:ascii="仿宋_GB2312" w:eastAsia="仿宋_GB2312" w:hint="eastAsia"/>
          <w:color w:val="auto"/>
          <w:sz w:val="32"/>
          <w:szCs w:val="32"/>
          <w:highlight w:val="auto"/>
        </w:rPr>
        <w:t>万元。</w:t>
      </w:r>
    </w:p>
    <w:p>
      <w:pPr>
        <w:spacing w:line="576" w:lineRule="exact"/>
        <w:ind w:left="630"/>
        <w:outlineLvl w:val="1"/>
        <w:rPr>
          <w:rStyle w:val="2Char"/>
          <w:rFonts w:ascii="Times New Roman" w:eastAsia="黑体" w:hAnsi="Times New Roman" w:hint="eastAsia"/>
          <w:b w:val="0"/>
          <w:color w:val="auto"/>
          <w:highlight w:val="auto"/>
        </w:rPr>
      </w:pPr>
      <w:bookmarkStart w:id="491" w:name="_Toc55224486"/>
      <w:bookmarkStart w:id="492" w:name="_Toc55224682"/>
      <w:bookmarkStart w:id="493" w:name="_Toc55224396"/>
      <w:bookmarkStart w:id="494" w:name="_Toc55224348"/>
      <w:bookmarkStart w:id="495" w:name="_Toc55224252"/>
      <w:bookmarkStart w:id="496" w:name="_Toc88111040"/>
      <w:bookmarkStart w:id="497" w:name="_Toc75095950"/>
      <w:bookmarkStart w:id="498" w:name="_Toc55224584"/>
      <w:bookmarkStart w:id="499" w:name="_Toc75095839"/>
      <w:r>
        <w:rPr>
          <w:rStyle w:val="2Char"/>
          <w:rFonts w:ascii="Times New Roman" w:eastAsia="黑体" w:hAnsi="Times New Roman" w:hint="eastAsia"/>
          <w:b w:val="0"/>
          <w:color w:val="auto"/>
          <w:lang w:eastAsia="zh-CN"/>
          <w:highlight w:val="auto"/>
        </w:rPr>
        <w:t>十、</w:t>
      </w:r>
      <w:r>
        <w:rPr>
          <w:rStyle w:val="2Char"/>
          <w:rFonts w:ascii="Times New Roman" w:eastAsia="黑体" w:hAnsi="Times New Roman" w:hint="eastAsia"/>
          <w:b w:val="0"/>
          <w:color w:val="auto"/>
          <w:highlight w:val="auto"/>
        </w:rPr>
        <w:t>其他重要事项</w:t>
      </w:r>
      <w:bookmarkEnd w:id="489"/>
      <w:bookmarkEnd w:id="490"/>
      <w:r>
        <w:rPr>
          <w:rStyle w:val="2Char"/>
          <w:rFonts w:ascii="Times New Roman" w:eastAsia="黑体" w:hAnsi="Times New Roman" w:hint="eastAsia"/>
          <w:b w:val="0"/>
          <w:color w:val="auto"/>
          <w:highlight w:val="auto"/>
        </w:rPr>
        <w:t>的</w:t>
      </w:r>
      <w:bookmarkStart w:id="500" w:name="_Toc15377222"/>
      <w:r>
        <w:rPr>
          <w:rStyle w:val="2Char"/>
          <w:rFonts w:ascii="Times New Roman" w:eastAsia="黑体" w:hAnsi="Times New Roman" w:hint="eastAsia"/>
          <w:b w:val="0"/>
          <w:color w:val="auto"/>
          <w:highlight w:val="auto"/>
        </w:rPr>
        <w:t>情况说明</w:t>
      </w:r>
      <w:bookmarkEnd w:id="491"/>
      <w:bookmarkEnd w:id="492"/>
      <w:bookmarkEnd w:id="493"/>
      <w:bookmarkEnd w:id="494"/>
      <w:bookmarkEnd w:id="495"/>
      <w:bookmarkEnd w:id="496"/>
      <w:bookmarkEnd w:id="497"/>
      <w:bookmarkEnd w:id="498"/>
      <w:bookmarkEnd w:id="499"/>
    </w:p>
    <w:p>
      <w:pPr>
        <w:spacing w:line="576" w:lineRule="exact"/>
        <w:ind w:firstLineChars="200" w:firstLine="640"/>
        <w:rPr>
          <w:rFonts w:ascii="仿宋_GB2312" w:eastAsia="仿宋_GB2312" w:hint="eastAsia"/>
          <w:color w:val="auto"/>
          <w:sz w:val="32"/>
          <w:szCs w:val="32"/>
          <w:lang w:eastAsia="zh-CN"/>
          <w:highlight w:val="auto"/>
        </w:rPr>
      </w:pPr>
      <w:bookmarkStart w:id="501" w:name="_Toc15396613"/>
      <w:bookmarkStart w:id="502" w:name="_Toc15377225"/>
      <w:bookmarkEnd w:id="500"/>
      <w:r>
        <w:rPr>
          <w:rFonts w:ascii="仿宋_GB2312" w:eastAsia="仿宋_GB2312" w:hint="eastAsia"/>
          <w:color w:val="auto"/>
          <w:sz w:val="32"/>
          <w:szCs w:val="32"/>
          <w:lang w:eastAsia="zh-CN"/>
          <w:highlight w:val="auto"/>
        </w:rPr>
        <w:t>2025</w:t>
      </w:r>
      <w:r>
        <w:rPr>
          <w:rFonts w:ascii="仿宋_GB2312" w:eastAsia="仿宋_GB2312" w:hint="eastAsia"/>
          <w:color w:val="auto"/>
          <w:sz w:val="32"/>
          <w:szCs w:val="32"/>
          <w:highlight w:val="auto"/>
        </w:rPr>
        <w:t>年</w:t>
      </w:r>
      <w:r>
        <w:rPr>
          <w:rFonts w:ascii="仿宋_GB2312" w:eastAsia="仿宋_GB2312" w:hint="eastAsia"/>
          <w:color w:val="auto"/>
          <w:sz w:val="32"/>
          <w:szCs w:val="32"/>
          <w:lang w:eastAsia="zh-CN"/>
          <w:highlight w:val="auto"/>
        </w:rPr>
        <w:t>度</w:t>
      </w:r>
      <w:r>
        <w:rPr>
          <w:rFonts w:ascii="仿宋_GB2312" w:eastAsia="仿宋_GB2312" w:hint="eastAsia"/>
          <w:color w:val="auto"/>
          <w:sz w:val="32"/>
          <w:szCs w:val="32"/>
          <w:highlight w:val="auto"/>
        </w:rPr>
        <w:t>，</w:t>
      </w:r>
      <w:r>
        <w:rPr>
          <w:rFonts w:ascii="仿宋_GB2312" w:eastAsia="仿宋_GB2312" w:cs="Times New Roman" w:hint="eastAsia"/>
          <w:color w:val="000000"/>
          <w:sz w:val="32"/>
          <w:szCs w:val="32"/>
          <w:lang w:bidi="ar-SA"/>
        </w:rPr>
        <w:t>四川省阿坝州茂县</w:t>
      </w:r>
      <w:r>
        <w:rPr>
          <w:rFonts w:ascii="仿宋_GB2312" w:eastAsia="仿宋_GB2312" w:hint="eastAsia"/>
          <w:color w:val="000000"/>
          <w:sz w:val="32"/>
          <w:szCs w:val="32"/>
        </w:rPr>
        <w:t>市场监督管理局</w:t>
      </w:r>
      <w:r>
        <w:rPr>
          <w:rFonts w:ascii="仿宋_GB2312" w:eastAsia="仿宋_GB2312" w:cs="Times New Roman" w:hint="eastAsia"/>
          <w:color w:val="000000"/>
          <w:sz w:val="32"/>
          <w:szCs w:val="32"/>
          <w:lang w:bidi="ar-SA"/>
        </w:rPr>
        <w:t>年度部门决算机关运行</w:t>
      </w:r>
      <w:r>
        <w:rPr>
          <w:rFonts w:ascii="仿宋_GB2312" w:eastAsia="仿宋_GB2312" w:hint="eastAsia"/>
          <w:color w:val="auto"/>
          <w:sz w:val="32"/>
          <w:szCs w:val="32"/>
          <w:highlight w:val="auto"/>
        </w:rPr>
        <w:t>机关经费支出</w:t>
      </w:r>
      <w:r>
        <w:rPr>
          <w:rFonts w:ascii="仿宋_GB2312" w:eastAsia="仿宋_GB2312" w:hint="eastAsia"/>
          <w:color w:val="auto"/>
          <w:sz w:val="32"/>
          <w:szCs w:val="32"/>
          <w:lang w:val="en-US" w:eastAsia="zh-CN"/>
          <w:highlight w:val="auto"/>
        </w:rPr>
        <w:t>51.41</w:t>
      </w:r>
      <w:r>
        <w:rPr>
          <w:rFonts w:ascii="仿宋_GB2312" w:eastAsia="仿宋_GB2312" w:hint="eastAsia"/>
          <w:color w:val="auto"/>
          <w:sz w:val="32"/>
          <w:szCs w:val="32"/>
          <w:highlight w:val="auto"/>
        </w:rPr>
        <w:t>万元，与</w:t>
      </w:r>
      <w:r>
        <w:rPr>
          <w:rFonts w:ascii="仿宋_GB2312" w:eastAsia="仿宋_GB2312" w:hint="eastAsia"/>
          <w:color w:val="auto"/>
          <w:sz w:val="32"/>
          <w:szCs w:val="32"/>
          <w:lang w:eastAsia="zh-CN"/>
          <w:highlight w:val="auto"/>
        </w:rPr>
        <w:t>2024</w:t>
      </w:r>
      <w:r>
        <w:rPr>
          <w:rFonts w:ascii="仿宋_GB2312" w:eastAsia="仿宋_GB2312" w:hint="eastAsia"/>
          <w:color w:val="auto"/>
          <w:sz w:val="32"/>
          <w:szCs w:val="32"/>
          <w:highlight w:val="auto"/>
        </w:rPr>
        <w:t>年</w:t>
      </w:r>
      <w:r>
        <w:rPr>
          <w:rFonts w:ascii="仿宋_GB2312" w:eastAsia="仿宋_GB2312" w:hint="eastAsia"/>
          <w:color w:val="auto"/>
          <w:sz w:val="32"/>
          <w:szCs w:val="32"/>
          <w:lang w:eastAsia="zh-CN"/>
          <w:highlight w:val="auto"/>
        </w:rPr>
        <w:t>度相比</w:t>
      </w:r>
      <w:r>
        <w:rPr>
          <w:rFonts w:ascii="仿宋_GB2312" w:eastAsia="仿宋_GB2312" w:hint="eastAsia"/>
          <w:color w:val="auto"/>
          <w:sz w:val="32"/>
          <w:szCs w:val="32"/>
          <w:highlight w:val="auto"/>
        </w:rPr>
        <w:t>增加21.85万元，</w:t>
      </w:r>
      <w:r>
        <w:rPr>
          <w:rFonts w:ascii="仿宋_GB2312" w:eastAsia="仿宋_GB2312" w:hint="eastAsia"/>
          <w:color w:val="auto"/>
          <w:sz w:val="32"/>
          <w:szCs w:val="32"/>
          <w:lang w:eastAsia="zh-CN"/>
          <w:highlight w:val="auto"/>
        </w:rPr>
        <w:t>增长</w:t>
      </w:r>
      <w:r>
        <w:rPr>
          <w:rFonts w:ascii="仿宋_GB2312" w:eastAsia="仿宋_GB2312" w:hint="eastAsia"/>
          <w:color w:val="auto"/>
          <w:sz w:val="32"/>
          <w:szCs w:val="32"/>
          <w:lang w:val="en-US" w:eastAsia="zh-CN"/>
          <w:highlight w:val="auto"/>
        </w:rPr>
        <w:t>73.92</w:t>
      </w:r>
      <w:r>
        <w:rPr>
          <w:rFonts w:ascii="仿宋_GB2312" w:eastAsia="仿宋_GB2312" w:hint="eastAsia"/>
          <w:color w:val="auto"/>
          <w:sz w:val="32"/>
          <w:szCs w:val="32"/>
          <w:highlight w:val="auto"/>
        </w:rPr>
        <w:t>%。主要原因是：</w:t>
      </w:r>
      <w:r>
        <w:rPr>
          <w:rFonts w:ascii="仿宋_GB2312" w:eastAsia="仿宋_GB2312" w:hint="eastAsia"/>
          <w:color w:val="auto"/>
          <w:sz w:val="32"/>
          <w:szCs w:val="32"/>
          <w:lang w:eastAsia="zh-CN"/>
          <w:highlight w:val="auto"/>
        </w:rPr>
        <w:t>办公经费、差旅费、车辆维修费增加。</w:t>
      </w:r>
      <w:bookmarkStart w:id="503" w:name="_Toc8703"/>
    </w:p>
    <w:p>
      <w:pPr>
        <w:autoSpaceDE w:val="0"/>
        <w:autoSpaceDN w:val="0"/>
        <w:adjustRightInd w:val="0"/>
        <w:spacing w:line="576" w:lineRule="exact"/>
        <w:ind w:firstLineChars="200" w:firstLine="640"/>
        <w:jc w:val="left"/>
        <w:outlineLvl w:val="2"/>
        <w:rPr>
          <w:rFonts w:ascii="仿宋" w:eastAsia="仿宋" w:hint="eastAsia"/>
          <w:b/>
          <w:sz w:val="32"/>
          <w:szCs w:val="32"/>
          <w:highlight w:val="auto"/>
        </w:rPr>
      </w:pPr>
      <w:bookmarkStart w:id="504" w:name="_Toc55224683"/>
      <w:bookmarkStart w:id="505" w:name="_Toc55224349"/>
      <w:bookmarkStart w:id="506" w:name="_Toc55224487"/>
      <w:bookmarkStart w:id="507" w:name="_Toc55224397"/>
      <w:bookmarkStart w:id="508" w:name="_Toc55224585"/>
      <w:bookmarkStart w:id="509" w:name="_Toc55224253"/>
      <w:r>
        <w:rPr>
          <w:rFonts w:ascii="仿宋" w:eastAsia="仿宋" w:hint="eastAsia"/>
          <w:b/>
          <w:sz w:val="32"/>
          <w:szCs w:val="32"/>
          <w:highlight w:val="auto"/>
        </w:rPr>
        <w:t>（二）政府采购支出情</w:t>
      </w:r>
      <w:bookmarkEnd w:id="503"/>
      <w:r>
        <w:rPr>
          <w:rFonts w:ascii="仿宋" w:eastAsia="仿宋" w:hint="eastAsia"/>
          <w:b/>
          <w:sz w:val="32"/>
          <w:szCs w:val="32"/>
          <w:highlight w:val="auto"/>
        </w:rPr>
        <w:t>况</w:t>
      </w:r>
      <w:bookmarkEnd w:id="504"/>
      <w:bookmarkEnd w:id="505"/>
      <w:bookmarkEnd w:id="506"/>
      <w:bookmarkEnd w:id="507"/>
      <w:bookmarkEnd w:id="508"/>
      <w:bookmarkEnd w:id="509"/>
    </w:p>
    <w:p>
      <w:pPr>
        <w:spacing w:line="576" w:lineRule="exact"/>
        <w:ind w:firstLineChars="200" w:firstLine="640"/>
        <w:rPr>
          <w:rFonts w:ascii="仿宋_GB2312" w:eastAsia="仿宋_GB2312" w:hint="eastAsia"/>
          <w:sz w:val="32"/>
          <w:szCs w:val="32"/>
          <w:highlight w:val="auto"/>
        </w:rPr>
      </w:pPr>
      <w:r>
        <w:rPr>
          <w:rFonts w:ascii="仿宋_GB2312" w:eastAsia="仿宋_GB2312" w:hint="eastAsia"/>
          <w:sz w:val="32"/>
          <w:szCs w:val="32"/>
          <w:lang w:eastAsia="zh-CN"/>
          <w:highlight w:val="auto"/>
        </w:rPr>
        <w:t>2025</w:t>
      </w:r>
      <w:r>
        <w:rPr>
          <w:rFonts w:ascii="仿宋_GB2312" w:eastAsia="仿宋_GB2312" w:hint="eastAsia"/>
          <w:sz w:val="32"/>
          <w:szCs w:val="32"/>
          <w:highlight w:val="auto"/>
        </w:rPr>
        <w:t>年</w:t>
      </w:r>
      <w:r>
        <w:rPr>
          <w:rFonts w:ascii="仿宋_GB2312" w:eastAsia="仿宋_GB2312" w:hint="eastAsia"/>
          <w:sz w:val="32"/>
          <w:szCs w:val="32"/>
          <w:lang w:eastAsia="zh-CN"/>
          <w:highlight w:val="auto"/>
        </w:rPr>
        <w:t>度</w:t>
      </w:r>
      <w:r>
        <w:rPr>
          <w:rFonts w:ascii="仿宋_GB2312" w:eastAsia="仿宋_GB2312" w:hint="eastAsia"/>
          <w:sz w:val="32"/>
          <w:szCs w:val="32"/>
          <w:highlight w:val="auto"/>
        </w:rPr>
        <w:t>，</w:t>
      </w:r>
      <w:r>
        <w:rPr>
          <w:rFonts w:ascii="仿宋_GB2312" w:eastAsia="仿宋_GB2312" w:hint="eastAsia"/>
          <w:sz w:val="32"/>
          <w:szCs w:val="32"/>
          <w:lang w:eastAsia="zh-CN"/>
          <w:highlight w:val="auto"/>
        </w:rPr>
        <w:t>茂县市场监督管理局</w:t>
      </w:r>
      <w:r>
        <w:rPr>
          <w:rFonts w:ascii="仿宋_GB2312" w:eastAsia="仿宋_GB2312" w:hint="eastAsia"/>
          <w:sz w:val="32"/>
          <w:szCs w:val="32"/>
          <w:highlight w:val="auto"/>
        </w:rPr>
        <w:t>政府采购支出总额</w:t>
      </w:r>
      <w:r>
        <w:rPr>
          <w:rFonts w:ascii="仿宋_GB2312" w:eastAsia="仿宋_GB2312" w:hint="eastAsia"/>
          <w:sz w:val="32"/>
          <w:szCs w:val="32"/>
          <w:lang w:val="en-US" w:eastAsia="zh-CN"/>
          <w:highlight w:val="auto"/>
        </w:rPr>
        <w:t>2</w:t>
      </w:r>
      <w:r>
        <w:rPr>
          <w:rFonts w:ascii="仿宋_GB2312" w:eastAsia="仿宋_GB2312" w:hint="eastAsia"/>
          <w:sz w:val="32"/>
          <w:szCs w:val="32"/>
          <w:highlight w:val="auto"/>
        </w:rPr>
        <w:t>万元，其中：政府采购服务支出</w:t>
      </w:r>
      <w:r>
        <w:rPr>
          <w:rFonts w:ascii="仿宋_GB2312" w:eastAsia="仿宋_GB2312" w:hint="eastAsia"/>
          <w:sz w:val="32"/>
          <w:szCs w:val="32"/>
          <w:lang w:val="en-US" w:eastAsia="zh-CN"/>
          <w:highlight w:val="auto"/>
        </w:rPr>
        <w:t>2</w:t>
      </w:r>
      <w:r>
        <w:rPr>
          <w:rFonts w:ascii="仿宋_GB2312" w:eastAsia="仿宋_GB2312" w:hint="eastAsia"/>
          <w:sz w:val="32"/>
          <w:szCs w:val="32"/>
          <w:highlight w:val="auto"/>
        </w:rPr>
        <w:t>万元。主要用于</w:t>
      </w:r>
      <w:r>
        <w:rPr>
          <w:rFonts w:ascii="仿宋_GB2312" w:eastAsia="仿宋_GB2312" w:hint="eastAsia"/>
          <w:sz w:val="32"/>
          <w:szCs w:val="32"/>
          <w:lang w:val="en-US" w:eastAsia="zh-CN"/>
          <w:highlight w:val="auto"/>
        </w:rPr>
        <w:t>2025年购置办公设备支出</w:t>
      </w:r>
      <w:r>
        <w:rPr>
          <w:rFonts w:ascii="仿宋_GB2312" w:eastAsia="仿宋_GB2312" w:hint="eastAsia"/>
          <w:sz w:val="32"/>
          <w:szCs w:val="32"/>
          <w:highlight w:val="auto"/>
        </w:rPr>
        <w:t>。授予中小企业合同金额2万元，占政府采购支出总额的</w:t>
      </w:r>
      <w:r>
        <w:rPr>
          <w:rFonts w:ascii="仿宋_GB2312" w:eastAsia="仿宋_GB2312" w:hint="eastAsia"/>
          <w:sz w:val="32"/>
          <w:szCs w:val="32"/>
          <w:lang w:val="en-US" w:eastAsia="zh-CN"/>
          <w:highlight w:val="auto"/>
        </w:rPr>
        <w:t>100</w:t>
      </w:r>
      <w:r>
        <w:rPr>
          <w:rFonts w:ascii="仿宋_GB2312" w:eastAsia="仿宋_GB2312" w:hint="eastAsia"/>
          <w:sz w:val="32"/>
          <w:szCs w:val="32"/>
          <w:highlight w:val="auto"/>
        </w:rPr>
        <w:t>%，其中：授予小微企业合同金额</w:t>
      </w:r>
      <w:r>
        <w:rPr>
          <w:rFonts w:ascii="仿宋_GB2312" w:eastAsia="仿宋_GB2312" w:hint="eastAsia"/>
          <w:sz w:val="32"/>
          <w:szCs w:val="32"/>
          <w:lang w:val="en-US" w:eastAsia="zh-CN"/>
          <w:highlight w:val="auto"/>
        </w:rPr>
        <w:t>2</w:t>
      </w:r>
      <w:r>
        <w:rPr>
          <w:rFonts w:ascii="仿宋_GB2312" w:eastAsia="仿宋_GB2312" w:hint="eastAsia"/>
          <w:sz w:val="32"/>
          <w:szCs w:val="32"/>
          <w:highlight w:val="auto"/>
        </w:rPr>
        <w:t>万元。</w:t>
      </w:r>
      <w:bookmarkStart w:id="510" w:name="_Toc28703"/>
      <w:r>
        <w:rPr>
          <w:rFonts w:ascii="仿宋_GB2312" w:eastAsia="仿宋_GB2312" w:hint="eastAsia"/>
          <w:sz w:val="32"/>
          <w:szCs w:val="32"/>
          <w:highlight w:val="auto"/>
        </w:rPr>
        <w:t>占政府采购支出总额的</w:t>
      </w:r>
      <w:r>
        <w:rPr>
          <w:rFonts w:ascii="仿宋_GB2312" w:eastAsia="仿宋_GB2312" w:hint="eastAsia"/>
          <w:sz w:val="32"/>
          <w:szCs w:val="32"/>
          <w:lang w:val="en-US" w:eastAsia="zh-CN"/>
          <w:highlight w:val="auto"/>
        </w:rPr>
        <w:t>100</w:t>
      </w:r>
      <w:r>
        <w:rPr>
          <w:rFonts w:ascii="仿宋_GB2312" w:eastAsia="仿宋_GB2312" w:hint="eastAsia"/>
          <w:sz w:val="32"/>
          <w:szCs w:val="32"/>
          <w:highlight w:val="auto"/>
        </w:rPr>
        <w:t>%，</w:t>
      </w:r>
    </w:p>
    <w:p>
      <w:pPr>
        <w:autoSpaceDE w:val="0"/>
        <w:autoSpaceDN w:val="0"/>
        <w:adjustRightInd w:val="0"/>
        <w:spacing w:line="576" w:lineRule="exact"/>
        <w:ind w:firstLineChars="200" w:firstLine="640"/>
        <w:jc w:val="left"/>
        <w:outlineLvl w:val="2"/>
        <w:rPr>
          <w:rFonts w:ascii="仿宋" w:eastAsia="仿宋" w:hint="eastAsia"/>
          <w:b/>
          <w:color w:val="auto"/>
          <w:sz w:val="32"/>
          <w:szCs w:val="32"/>
          <w:highlight w:val="auto"/>
        </w:rPr>
      </w:pPr>
      <w:bookmarkStart w:id="511" w:name="_Toc55224254"/>
      <w:bookmarkStart w:id="512" w:name="_Toc55224684"/>
      <w:bookmarkStart w:id="513" w:name="_Toc55224586"/>
      <w:bookmarkStart w:id="514" w:name="_Toc55224350"/>
      <w:bookmarkStart w:id="515" w:name="_Toc55224398"/>
      <w:bookmarkStart w:id="516" w:name="_Toc55224488"/>
      <w:r>
        <w:rPr>
          <w:rFonts w:ascii="仿宋" w:eastAsia="仿宋" w:hint="eastAsia"/>
          <w:b/>
          <w:color w:val="auto"/>
          <w:sz w:val="32"/>
          <w:szCs w:val="32"/>
          <w:highlight w:val="auto"/>
        </w:rPr>
        <w:t>（三）国有资产占有使用情</w:t>
      </w:r>
      <w:bookmarkEnd w:id="510"/>
      <w:r>
        <w:rPr>
          <w:rFonts w:ascii="仿宋" w:eastAsia="仿宋" w:hint="eastAsia"/>
          <w:b/>
          <w:color w:val="auto"/>
          <w:sz w:val="32"/>
          <w:szCs w:val="32"/>
          <w:highlight w:val="auto"/>
        </w:rPr>
        <w:t>况</w:t>
      </w:r>
      <w:bookmarkEnd w:id="511"/>
      <w:bookmarkEnd w:id="512"/>
      <w:bookmarkEnd w:id="513"/>
      <w:bookmarkEnd w:id="514"/>
      <w:bookmarkEnd w:id="515"/>
      <w:bookmarkEnd w:id="516"/>
    </w:p>
    <w:p>
      <w:pPr>
        <w:spacing w:line="576" w:lineRule="exact"/>
        <w:ind w:firstLineChars="200" w:firstLine="640"/>
        <w:rPr>
          <w:rFonts w:ascii="仿宋_GB2312" w:eastAsia="仿宋_GB2312" w:hint="eastAsia"/>
          <w:color w:val="auto"/>
          <w:sz w:val="32"/>
          <w:szCs w:val="32"/>
          <w:highlight w:val="auto"/>
        </w:rPr>
      </w:pPr>
      <w:r>
        <w:rPr>
          <w:rFonts w:ascii="仿宋_GB2312" w:eastAsia="仿宋_GB2312" w:hint="eastAsia"/>
          <w:color w:val="auto"/>
          <w:sz w:val="32"/>
          <w:szCs w:val="32"/>
          <w:highlight w:val="auto"/>
        </w:rPr>
        <w:t>截至</w:t>
      </w:r>
      <w:r>
        <w:rPr>
          <w:rFonts w:ascii="仿宋_GB2312" w:eastAsia="仿宋_GB2312" w:hint="eastAsia"/>
          <w:color w:val="auto"/>
          <w:sz w:val="32"/>
          <w:szCs w:val="32"/>
          <w:lang w:eastAsia="zh-CN"/>
          <w:highlight w:val="auto"/>
        </w:rPr>
        <w:t>2025</w:t>
      </w:r>
      <w:r>
        <w:rPr>
          <w:rFonts w:ascii="仿宋_GB2312" w:eastAsia="仿宋_GB2312" w:hint="eastAsia"/>
          <w:color w:val="auto"/>
          <w:sz w:val="32"/>
          <w:szCs w:val="32"/>
          <w:highlight w:val="auto"/>
        </w:rPr>
        <w:t>年12月31日，</w:t>
      </w:r>
      <w:r>
        <w:rPr>
          <w:rFonts w:ascii="仿宋_GB2312" w:eastAsia="仿宋_GB2312" w:cs="Times New Roman" w:hint="eastAsia"/>
          <w:color w:val="000000"/>
          <w:sz w:val="32"/>
          <w:szCs w:val="32"/>
          <w:lang w:val="en-US" w:eastAsia="zh-CN" w:bidi="ar-SA"/>
        </w:rPr>
        <w:t>四川省阿坝州茂县市场监督管理局共有车辆10辆，其中：应急保障用车4辆、</w:t>
      </w:r>
      <w:r>
        <w:rPr>
          <w:rFonts w:ascii="仿宋_GB2312" w:eastAsia="仿宋_GB2312" w:hint="eastAsia"/>
          <w:color w:val="000000"/>
          <w:sz w:val="32"/>
          <w:szCs w:val="32"/>
        </w:rPr>
        <w:t>执法执勤车辆6</w:t>
      </w:r>
      <w:r>
        <w:rPr>
          <w:rFonts w:ascii="仿宋_GB2312" w:eastAsia="仿宋_GB2312" w:hint="eastAsia"/>
          <w:color w:val="000000"/>
          <w:sz w:val="32"/>
          <w:szCs w:val="32"/>
          <w:lang w:eastAsia="zh-CN"/>
        </w:rPr>
        <w:t>辆</w:t>
      </w:r>
      <w:bookmarkStart w:id="517" w:name="_Toc16706"/>
      <w:r>
        <w:rPr>
          <w:rFonts w:ascii="仿宋_GB2312" w:eastAsia="仿宋_GB2312" w:hint="eastAsia"/>
          <w:color w:val="000000"/>
          <w:sz w:val="32"/>
          <w:szCs w:val="32"/>
          <w:lang w:eastAsia="zh-CN"/>
        </w:rPr>
        <w:t>。</w:t>
      </w:r>
    </w:p>
    <w:p>
      <w:pPr>
        <w:autoSpaceDE w:val="0"/>
        <w:autoSpaceDN w:val="0"/>
        <w:adjustRightInd w:val="0"/>
        <w:spacing w:line="576" w:lineRule="exact"/>
        <w:ind w:firstLineChars="200" w:firstLine="640"/>
        <w:jc w:val="left"/>
        <w:outlineLvl w:val="2"/>
        <w:rPr>
          <w:rFonts w:ascii="仿宋" w:eastAsia="仿宋" w:hint="eastAsia"/>
          <w:b/>
          <w:color w:val="auto"/>
          <w:sz w:val="32"/>
          <w:szCs w:val="32"/>
          <w:lang w:eastAsia="zh-CN"/>
          <w:highlight w:val="auto"/>
        </w:rPr>
      </w:pPr>
      <w:bookmarkStart w:id="518" w:name="_Toc55224685"/>
      <w:bookmarkStart w:id="519" w:name="_Toc55224489"/>
      <w:bookmarkStart w:id="520" w:name="_Toc55224587"/>
      <w:bookmarkStart w:id="521" w:name="_Toc55224399"/>
      <w:bookmarkStart w:id="522" w:name="_Toc55224255"/>
      <w:bookmarkStart w:id="523" w:name="_Toc55224351"/>
      <w:r>
        <w:rPr>
          <w:rFonts w:ascii="仿宋" w:eastAsia="仿宋" w:hint="eastAsia"/>
          <w:b/>
          <w:color w:val="auto"/>
          <w:sz w:val="32"/>
          <w:szCs w:val="32"/>
          <w:highlight w:val="auto"/>
        </w:rPr>
        <w:t>（四）预算绩效管理情</w:t>
      </w:r>
      <w:bookmarkEnd w:id="517"/>
      <w:r>
        <w:rPr>
          <w:rFonts w:ascii="仿宋" w:eastAsia="仿宋" w:hint="eastAsia"/>
          <w:b/>
          <w:color w:val="auto"/>
          <w:sz w:val="32"/>
          <w:szCs w:val="32"/>
          <w:highlight w:val="auto"/>
        </w:rPr>
        <w:t>况</w:t>
      </w:r>
      <w:bookmarkEnd w:id="518"/>
      <w:bookmarkEnd w:id="519"/>
      <w:bookmarkEnd w:id="520"/>
      <w:bookmarkEnd w:id="521"/>
      <w:bookmarkEnd w:id="522"/>
      <w:bookmarkEnd w:id="523"/>
    </w:p>
    <w:p>
      <w:pPr>
        <w:spacing w:line="576" w:lineRule="exact"/>
        <w:ind w:firstLineChars="200" w:firstLine="640"/>
        <w:rPr>
          <w:rFonts w:ascii="仿宋_GB2312" w:eastAsia="仿宋_GB2312" w:hint="eastAsia"/>
          <w:sz w:val="32"/>
          <w:szCs w:val="32"/>
          <w:lang w:val="en-US" w:eastAsia="zh-CN" w:bidi="ar-SA"/>
          <w:highlight w:val="auto"/>
        </w:rPr>
      </w:pPr>
      <w:r>
        <w:rPr>
          <w:rFonts w:ascii="仿宋_GB2312" w:eastAsia="仿宋_GB2312" w:hint="eastAsia"/>
          <w:sz w:val="32"/>
          <w:szCs w:val="32"/>
          <w:lang w:val="en-US" w:eastAsia="zh-CN" w:bidi="ar-SA"/>
        </w:rPr>
        <w:t>根据预算绩效管理要求，本部门在2025年度预算编制阶段，组织对</w:t>
      </w:r>
      <w:r>
        <w:rPr>
          <w:rFonts w:ascii="仿宋_GB2312" w:eastAsia="仿宋_GB2312" w:hint="eastAsia"/>
          <w:sz w:val="32"/>
          <w:szCs w:val="32"/>
        </w:rPr>
        <w:t>“2025年中央药品</w:t>
      </w:r>
      <w:r>
        <w:rPr>
          <w:rFonts w:ascii="仿宋_GB2312" w:eastAsia="仿宋_GB2312" w:hint="eastAsia"/>
          <w:sz w:val="32"/>
          <w:szCs w:val="32"/>
          <w:lang w:eastAsia="zh-CN"/>
        </w:rPr>
        <w:t>专项</w:t>
      </w:r>
      <w:r>
        <w:rPr>
          <w:rFonts w:ascii="仿宋_GB2312" w:eastAsia="仿宋_GB2312" w:hint="eastAsia"/>
          <w:sz w:val="32"/>
          <w:szCs w:val="32"/>
        </w:rPr>
        <w:t>资金”“2025年省级药品监管补助资金”“202</w:t>
      </w:r>
      <w:r>
        <w:rPr>
          <w:rFonts w:ascii="仿宋_GB2312" w:eastAsia="仿宋_GB2312" w:hint="eastAsia"/>
          <w:sz w:val="32"/>
          <w:szCs w:val="32"/>
          <w:lang w:val="en-US" w:eastAsia="zh-CN"/>
        </w:rPr>
        <w:t>5</w:t>
      </w:r>
      <w:r>
        <w:rPr>
          <w:rFonts w:ascii="仿宋_GB2312" w:eastAsia="仿宋_GB2312" w:hint="eastAsia"/>
          <w:sz w:val="32"/>
          <w:szCs w:val="32"/>
        </w:rPr>
        <w:t>年省级</w:t>
      </w:r>
      <w:r>
        <w:rPr>
          <w:rFonts w:ascii="仿宋_GB2312" w:eastAsia="仿宋_GB2312" w:hint="eastAsia"/>
          <w:sz w:val="32"/>
          <w:szCs w:val="32"/>
          <w:lang w:eastAsia="zh-CN"/>
        </w:rPr>
        <w:t>监管</w:t>
      </w:r>
      <w:r>
        <w:rPr>
          <w:rFonts w:ascii="仿宋_GB2312" w:eastAsia="仿宋_GB2312" w:hint="eastAsia"/>
          <w:sz w:val="32"/>
          <w:szCs w:val="32"/>
        </w:rPr>
        <w:t>专项资金”</w:t>
      </w:r>
      <w:r>
        <w:rPr>
          <w:rFonts w:ascii="仿宋_GB2312" w:eastAsia="仿宋_GB2312" w:hint="eastAsia"/>
          <w:sz w:val="32"/>
          <w:szCs w:val="32"/>
          <w:lang w:val="en-US" w:eastAsia="zh-CN"/>
        </w:rPr>
        <w:t>“2024年“个转企”激励资金补助”</w:t>
      </w:r>
      <w:r>
        <w:rPr>
          <w:rFonts w:ascii="仿宋_GB2312" w:eastAsia="仿宋_GB2312" w:hint="eastAsia"/>
          <w:sz w:val="32"/>
          <w:szCs w:val="32"/>
        </w:rPr>
        <w:t>等</w:t>
      </w:r>
      <w:r>
        <w:rPr>
          <w:rFonts w:ascii="仿宋_GB2312" w:eastAsia="仿宋_GB2312" w:hint="eastAsia"/>
          <w:sz w:val="32"/>
          <w:szCs w:val="32"/>
          <w:lang w:val="en-US" w:eastAsia="zh-CN"/>
        </w:rPr>
        <w:t>4</w:t>
      </w:r>
      <w:r>
        <w:rPr>
          <w:rFonts w:ascii="仿宋_GB2312" w:eastAsia="仿宋_GB2312" w:hint="eastAsia"/>
          <w:sz w:val="32"/>
          <w:szCs w:val="32"/>
        </w:rPr>
        <w:t>个项目</w:t>
      </w:r>
      <w:r>
        <w:rPr>
          <w:rFonts w:ascii="仿宋_GB2312" w:eastAsia="仿宋_GB2312" w:hint="eastAsia"/>
          <w:sz w:val="32"/>
          <w:szCs w:val="32"/>
          <w:lang w:val="en-US" w:eastAsia="zh-CN" w:bidi="ar-SA"/>
        </w:rPr>
        <w:t>开展了预算事前绩效评估，对项目编制了绩效目标，预算执行过程中选取项目开展绩效监控。</w:t>
      </w:r>
      <w:r>
        <w:rPr>
          <w:rFonts w:ascii="仿宋_GB2312" w:eastAsia="仿宋_GB2312" w:hint="eastAsia"/>
          <w:sz w:val="32"/>
          <w:szCs w:val="32"/>
          <w:lang w:val="en-US" w:eastAsia="zh-CN" w:bidi="ar-SA"/>
          <w:highlight w:val="auto"/>
        </w:rPr>
        <w:t>绩效自评表详见第四部分附件。</w:t>
      </w:r>
    </w:p>
    <w:p>
      <w:pPr>
        <w:spacing w:line="576" w:lineRule="exact"/>
        <w:ind w:firstLineChars="200" w:firstLine="640"/>
        <w:rPr>
          <w:rFonts w:ascii="仿宋_GB2312" w:eastAsia="仿宋_GB2312" w:hint="eastAsia"/>
          <w:sz w:val="32"/>
          <w:szCs w:val="32"/>
          <w:lang w:val="zh-CN" w:eastAsia="zh-CN" w:bidi="ar-SA"/>
        </w:rPr>
      </w:pPr>
    </w:p>
    <w:p>
      <w:pPr>
        <w:jc w:val="both"/>
      </w:pPr>
    </w:p>
    <w:p>
      <w:pPr>
        <w:spacing w:line="576" w:lineRule="exact"/>
        <w:jc w:val="center"/>
        <w:outlineLvl w:val="0"/>
        <w:rPr>
          <w:rFonts w:ascii="Times New Roman" w:eastAsia="黑体" w:hAnsi="Times New Roman"/>
          <w:color w:val="auto"/>
          <w:sz w:val="44"/>
          <w:szCs w:val="44"/>
          <w:highlight w:val="auto"/>
        </w:rPr>
      </w:pPr>
      <w:bookmarkStart w:id="524" w:name="_Toc88111045"/>
      <w:bookmarkStart w:id="525" w:name="_Toc75095844"/>
      <w:bookmarkStart w:id="526" w:name="_Toc75095951"/>
    </w:p>
    <w:p>
      <w:pPr>
        <w:spacing w:line="576" w:lineRule="exact"/>
        <w:jc w:val="center"/>
        <w:outlineLvl w:val="0"/>
        <w:rPr>
          <w:rFonts w:ascii="Times New Roman" w:eastAsia="黑体" w:hAnsi="Times New Roman"/>
          <w:color w:val="auto"/>
          <w:sz w:val="44"/>
          <w:szCs w:val="44"/>
          <w:highlight w:val="auto"/>
        </w:rPr>
      </w:pPr>
    </w:p>
    <w:p>
      <w:pPr>
        <w:spacing w:line="576" w:lineRule="exact"/>
        <w:jc w:val="center"/>
        <w:outlineLvl w:val="0"/>
        <w:rPr>
          <w:rFonts w:ascii="Times New Roman" w:eastAsia="黑体" w:hAnsi="Times New Roman"/>
          <w:color w:val="auto"/>
          <w:sz w:val="44"/>
          <w:szCs w:val="44"/>
          <w:highlight w:val="auto"/>
        </w:rPr>
      </w:pPr>
    </w:p>
    <w:p>
      <w:pPr>
        <w:spacing w:line="576" w:lineRule="exact"/>
        <w:jc w:val="center"/>
        <w:outlineLvl w:val="0"/>
        <w:rPr>
          <w:rFonts w:ascii="Times New Roman" w:eastAsia="黑体" w:hAnsi="Times New Roman"/>
          <w:color w:val="auto"/>
          <w:sz w:val="44"/>
          <w:szCs w:val="44"/>
          <w:highlight w:val="auto"/>
        </w:rPr>
      </w:pPr>
    </w:p>
    <w:p>
      <w:pPr>
        <w:spacing w:line="576" w:lineRule="exact"/>
        <w:jc w:val="center"/>
        <w:outlineLvl w:val="0"/>
        <w:rPr>
          <w:rFonts w:ascii="Times New Roman" w:eastAsia="黑体" w:hAnsi="Times New Roman"/>
          <w:color w:val="auto"/>
          <w:sz w:val="44"/>
          <w:szCs w:val="44"/>
          <w:highlight w:val="auto"/>
        </w:rPr>
      </w:pPr>
    </w:p>
    <w:p>
      <w:pPr>
        <w:spacing w:line="576" w:lineRule="exact"/>
        <w:jc w:val="center"/>
        <w:outlineLvl w:val="0"/>
        <w:rPr>
          <w:rFonts w:ascii="Times New Roman" w:eastAsia="黑体" w:hAnsi="Times New Roman"/>
          <w:color w:val="auto"/>
          <w:sz w:val="44"/>
          <w:szCs w:val="44"/>
          <w:highlight w:val="auto"/>
        </w:rPr>
      </w:pPr>
    </w:p>
    <w:p>
      <w:pPr>
        <w:spacing w:line="576" w:lineRule="exact"/>
        <w:jc w:val="center"/>
        <w:outlineLvl w:val="0"/>
        <w:rPr>
          <w:rFonts w:ascii="Times New Roman" w:eastAsia="黑体" w:hAnsi="Times New Roman"/>
          <w:color w:val="auto"/>
          <w:sz w:val="44"/>
          <w:szCs w:val="44"/>
          <w:highlight w:val="auto"/>
        </w:rPr>
      </w:pPr>
    </w:p>
    <w:p>
      <w:pPr>
        <w:pStyle w:val="19"/>
        <w:jc w:val="center"/>
      </w:pPr>
    </w:p>
    <w:p>
      <w:pPr>
        <w:jc w:val="both"/>
      </w:pPr>
    </w:p>
    <w:p>
      <w:pPr>
        <w:spacing w:line="576" w:lineRule="exact"/>
        <w:outlineLvl w:val="0"/>
        <w:rPr>
          <w:rFonts w:ascii="Times New Roman" w:eastAsia="黑体" w:hAnsi="Times New Roman"/>
          <w:color w:val="auto"/>
          <w:sz w:val="44"/>
          <w:szCs w:val="44"/>
          <w:highlight w:val="auto"/>
        </w:rPr>
      </w:pPr>
    </w:p>
    <w:p>
      <w:pPr>
        <w:pStyle w:val="19"/>
        <w:rPr>
          <w:rFonts w:ascii="Times New Roman" w:eastAsia="黑体" w:hAnsi="Times New Roman"/>
          <w:color w:val="auto"/>
          <w:sz w:val="44"/>
          <w:szCs w:val="44"/>
          <w:highlight w:val="auto"/>
        </w:rPr>
      </w:pPr>
    </w:p>
    <w:p/>
    <w:p>
      <w:pPr>
        <w:pStyle w:val="16"/>
      </w:pPr>
    </w:p>
    <w:p>
      <w:bookmarkStart w:id="527" w:name="_GoBack"/>
      <w:bookmarkEnd w:id="527"/>
    </w:p>
    <w:p>
      <w:pPr>
        <w:spacing w:line="576" w:lineRule="exact"/>
        <w:jc w:val="center"/>
        <w:outlineLvl w:val="0"/>
        <w:rPr>
          <w:rFonts w:ascii="Times New Roman" w:eastAsia="黑体" w:hAnsi="Times New Roman"/>
          <w:color w:val="auto"/>
          <w:sz w:val="44"/>
          <w:szCs w:val="44"/>
          <w:highlight w:val="auto"/>
        </w:rPr>
      </w:pPr>
      <w:bookmarkStart w:id="528" w:name="_Toc55224686"/>
      <w:bookmarkStart w:id="529" w:name="_Toc55224256"/>
      <w:bookmarkStart w:id="530" w:name="_Toc55224352"/>
      <w:bookmarkStart w:id="531" w:name="_Toc55224490"/>
      <w:bookmarkStart w:id="532" w:name="_Toc55224400"/>
      <w:bookmarkStart w:id="533" w:name="_Toc55224588"/>
      <w:r>
        <w:rPr>
          <w:rFonts w:ascii="Times New Roman" w:eastAsia="黑体" w:hAnsi="Times New Roman" w:hint="eastAsia"/>
          <w:color w:val="auto"/>
          <w:sz w:val="44"/>
          <w:szCs w:val="44"/>
          <w:highlight w:val="auto"/>
        </w:rPr>
        <w:t>第</w:t>
      </w:r>
      <w:r>
        <w:rPr>
          <w:rFonts w:eastAsia="黑体" w:hint="eastAsia"/>
          <w:color w:val="auto"/>
          <w:sz w:val="44"/>
          <w:szCs w:val="44"/>
          <w:lang w:eastAsia="zh-CN"/>
          <w:highlight w:val="auto"/>
        </w:rPr>
        <w:t>三</w:t>
      </w:r>
      <w:r>
        <w:rPr>
          <w:rFonts w:ascii="Times New Roman" w:eastAsia="黑体" w:hAnsi="Times New Roman" w:hint="eastAsia"/>
          <w:color w:val="auto"/>
          <w:sz w:val="44"/>
          <w:szCs w:val="44"/>
          <w:highlight w:val="auto"/>
        </w:rPr>
        <w:t>部分</w:t>
      </w:r>
      <w:r>
        <w:rPr>
          <w:rFonts w:ascii="Times New Roman" w:eastAsia="黑体" w:hAnsi="Times New Roman" w:hint="eastAsia"/>
          <w:color w:val="auto"/>
          <w:sz w:val="44"/>
          <w:szCs w:val="44"/>
          <w:lang w:val="en-US" w:eastAsia="zh-CN"/>
          <w:highlight w:val="auto"/>
        </w:rPr>
        <w:t xml:space="preserve"> </w:t>
      </w:r>
      <w:bookmarkEnd w:id="501"/>
      <w:bookmarkEnd w:id="502"/>
      <w:r>
        <w:rPr>
          <w:rFonts w:eastAsia="黑体" w:hint="eastAsia"/>
          <w:color w:val="auto"/>
          <w:sz w:val="44"/>
          <w:szCs w:val="44"/>
          <w:lang w:val="en-US" w:eastAsia="zh-CN"/>
          <w:highlight w:val="auto"/>
        </w:rPr>
        <w:t xml:space="preserve"> </w:t>
      </w:r>
      <w:r>
        <w:rPr>
          <w:rFonts w:ascii="Times New Roman" w:eastAsia="黑体" w:hAnsi="Times New Roman" w:hint="eastAsia"/>
          <w:color w:val="auto"/>
          <w:sz w:val="44"/>
          <w:szCs w:val="44"/>
          <w:highlight w:val="auto"/>
        </w:rPr>
        <w:t>名</w:t>
      </w:r>
      <w:bookmarkStart w:id="534" w:name="_Toc15396614"/>
      <w:bookmarkStart w:id="535" w:name="_Toc15377226"/>
      <w:r>
        <w:rPr>
          <w:rFonts w:ascii="Times New Roman" w:eastAsia="黑体" w:hAnsi="Times New Roman" w:hint="eastAsia"/>
          <w:color w:val="auto"/>
          <w:sz w:val="44"/>
          <w:szCs w:val="44"/>
          <w:highlight w:val="auto"/>
        </w:rPr>
        <w:t>词解释</w:t>
      </w:r>
      <w:bookmarkEnd w:id="524"/>
      <w:bookmarkEnd w:id="525"/>
      <w:bookmarkEnd w:id="526"/>
      <w:bookmarkEnd w:id="528"/>
      <w:bookmarkEnd w:id="529"/>
      <w:bookmarkEnd w:id="530"/>
      <w:bookmarkEnd w:id="531"/>
      <w:bookmarkEnd w:id="532"/>
      <w:bookmarkEnd w:id="533"/>
    </w:p>
    <w:p>
      <w:pPr>
        <w:pStyle w:val="19"/>
        <w:jc w:val="center"/>
        <w:rPr>
          <w:rFonts w:hint="eastAsia"/>
        </w:rPr>
      </w:pP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1.财政拨款收入：指单位从同级财政部门取得的财政预算资金。</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2.事业收入：指事业单位开展专业业务活动及辅助活动取得的收入。</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3.经营收入：指事业单位在专业业务活动及其辅助活动之外开展非独立核算经营活动取得的收入。</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 xml:space="preserve">4.其他收入：指单位取得的除上述收入以外的各项收入。 </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5.用事业基金弥补收支差额：指事业单位在当年的财政</w:t>
      </w:r>
      <w:bookmarkStart w:id="536" w:name="_Toc25736"/>
      <w:bookmarkStart w:id="537" w:name="_Toc51662798"/>
      <w:bookmarkStart w:id="538" w:name="_Toc21729"/>
      <w:bookmarkStart w:id="539" w:name="_Toc44872232"/>
      <w:bookmarkStart w:id="540" w:name="_Toc51662610"/>
      <w:bookmarkStart w:id="541" w:name="_Toc17259"/>
      <w:bookmarkStart w:id="542" w:name="_Toc29815"/>
      <w:bookmarkStart w:id="543" w:name="_Toc19292"/>
      <w:r>
        <w:rPr>
          <w:rFonts w:ascii="仿宋_GB2312" w:eastAsia="仿宋_GB2312" w:hint="eastAsia"/>
          <w:kern w:val="0"/>
          <w:sz w:val="32"/>
          <w:szCs w:val="32"/>
        </w:rPr>
        <w:t>拨款收入、事业收入、经营收入、其他收入不足以安排当年支出的情况下，使用以前年度积累的事业基金（事</w:t>
      </w:r>
      <w:bookmarkEnd w:id="536"/>
      <w:bookmarkEnd w:id="537"/>
      <w:bookmarkEnd w:id="538"/>
      <w:bookmarkEnd w:id="539"/>
      <w:bookmarkEnd w:id="540"/>
      <w:bookmarkEnd w:id="541"/>
      <w:bookmarkEnd w:id="542"/>
      <w:bookmarkEnd w:id="543"/>
      <w:r>
        <w:rPr>
          <w:rFonts w:ascii="仿宋_GB2312" w:eastAsia="仿宋_GB2312" w:hint="eastAsia"/>
          <w:kern w:val="0"/>
          <w:sz w:val="32"/>
          <w:szCs w:val="32"/>
        </w:rPr>
        <w:t>业</w:t>
      </w:r>
      <w:bookmarkStart w:id="544" w:name="_Toc7568"/>
      <w:bookmarkStart w:id="545" w:name="_Toc22505"/>
      <w:bookmarkStart w:id="546" w:name="_Toc22853"/>
      <w:bookmarkStart w:id="547" w:name="_Toc51662611"/>
      <w:bookmarkStart w:id="548" w:name="_Toc51662799"/>
      <w:bookmarkStart w:id="549" w:name="_Toc44872233"/>
      <w:bookmarkStart w:id="550" w:name="_Toc24004"/>
      <w:bookmarkStart w:id="551" w:name="_Toc1790"/>
      <w:r>
        <w:rPr>
          <w:rFonts w:ascii="仿宋_GB2312" w:eastAsia="仿宋_GB2312" w:hint="eastAsia"/>
          <w:kern w:val="0"/>
          <w:sz w:val="32"/>
          <w:szCs w:val="32"/>
        </w:rPr>
        <w:t xml:space="preserve">单位当年收支相抵后按国家规定提取、用于弥补以后年度收支差额的基金）弥补本年度收支缺口的资金。 </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6.年初结转和</w:t>
      </w:r>
      <w:bookmarkEnd w:id="544"/>
      <w:bookmarkEnd w:id="545"/>
      <w:bookmarkEnd w:id="546"/>
      <w:bookmarkEnd w:id="547"/>
      <w:bookmarkEnd w:id="548"/>
      <w:bookmarkEnd w:id="549"/>
      <w:bookmarkEnd w:id="550"/>
      <w:bookmarkEnd w:id="551"/>
      <w:r>
        <w:rPr>
          <w:rFonts w:ascii="仿宋_GB2312" w:eastAsia="仿宋_GB2312" w:hint="eastAsia"/>
          <w:kern w:val="0"/>
          <w:sz w:val="32"/>
          <w:szCs w:val="32"/>
        </w:rPr>
        <w:t>结</w:t>
      </w:r>
      <w:bookmarkStart w:id="552" w:name="_Toc12264"/>
      <w:bookmarkStart w:id="553" w:name="_Toc5529"/>
      <w:bookmarkStart w:id="554" w:name="_Toc51662800"/>
      <w:bookmarkStart w:id="555" w:name="_Toc51662612"/>
      <w:bookmarkStart w:id="556" w:name="_Toc32231"/>
      <w:bookmarkStart w:id="557" w:name="_Toc21578"/>
      <w:bookmarkStart w:id="558" w:name="_Toc44872234"/>
      <w:bookmarkStart w:id="559" w:name="_Toc4701"/>
      <w:r>
        <w:rPr>
          <w:rFonts w:ascii="仿宋_GB2312" w:eastAsia="仿宋_GB2312" w:hint="eastAsia"/>
          <w:kern w:val="0"/>
          <w:sz w:val="32"/>
          <w:szCs w:val="32"/>
        </w:rPr>
        <w:t xml:space="preserve">余：指以前年度尚未完成、结转到本年按有关规定继续使用的资金。 </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7.结余分配：指事业单位按照事业单位会</w:t>
      </w:r>
      <w:bookmarkEnd w:id="552"/>
      <w:bookmarkEnd w:id="553"/>
      <w:bookmarkEnd w:id="554"/>
      <w:bookmarkEnd w:id="555"/>
      <w:bookmarkEnd w:id="556"/>
      <w:bookmarkEnd w:id="557"/>
      <w:bookmarkEnd w:id="558"/>
      <w:bookmarkEnd w:id="559"/>
      <w:r>
        <w:rPr>
          <w:rFonts w:ascii="仿宋_GB2312" w:eastAsia="仿宋_GB2312" w:hint="eastAsia"/>
          <w:kern w:val="0"/>
          <w:sz w:val="32"/>
          <w:szCs w:val="32"/>
        </w:rPr>
        <w:t>计</w:t>
      </w:r>
      <w:bookmarkStart w:id="560" w:name="_Toc9780"/>
      <w:bookmarkStart w:id="561" w:name="_Toc16172"/>
      <w:bookmarkStart w:id="562" w:name="_Toc51662613"/>
      <w:bookmarkStart w:id="563" w:name="_Toc13014"/>
      <w:bookmarkStart w:id="564" w:name="_Toc44872235"/>
      <w:bookmarkStart w:id="565" w:name="_Toc29858"/>
      <w:bookmarkStart w:id="566" w:name="_Toc51662801"/>
      <w:bookmarkStart w:id="567" w:name="_Toc25580"/>
      <w:r>
        <w:rPr>
          <w:rFonts w:ascii="仿宋_GB2312" w:eastAsia="仿宋_GB2312" w:hint="eastAsia"/>
          <w:kern w:val="0"/>
          <w:sz w:val="32"/>
          <w:szCs w:val="32"/>
        </w:rPr>
        <w:t>制度的规定从非财政补助结余中分配的事业基金和职工福利基金等。</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8、年末结转和结余：指单位按有关规定结</w:t>
      </w:r>
      <w:bookmarkEnd w:id="560"/>
      <w:bookmarkEnd w:id="561"/>
      <w:bookmarkEnd w:id="562"/>
      <w:bookmarkEnd w:id="563"/>
      <w:bookmarkEnd w:id="564"/>
      <w:bookmarkEnd w:id="565"/>
      <w:bookmarkEnd w:id="566"/>
      <w:bookmarkEnd w:id="567"/>
      <w:r>
        <w:rPr>
          <w:rFonts w:ascii="仿宋_GB2312" w:eastAsia="仿宋_GB2312" w:hint="eastAsia"/>
          <w:kern w:val="0"/>
          <w:sz w:val="32"/>
          <w:szCs w:val="32"/>
        </w:rPr>
        <w:t>转</w:t>
      </w:r>
      <w:bookmarkStart w:id="568" w:name="_Toc51662802"/>
      <w:bookmarkStart w:id="569" w:name="_Toc8902"/>
      <w:bookmarkStart w:id="570" w:name="_Toc19750"/>
      <w:bookmarkStart w:id="571" w:name="_Toc44872236"/>
      <w:bookmarkStart w:id="572" w:name="_Toc14386"/>
      <w:bookmarkStart w:id="573" w:name="_Toc23287"/>
      <w:bookmarkStart w:id="574" w:name="_Toc51662614"/>
      <w:bookmarkStart w:id="575" w:name="_Toc10083"/>
      <w:r>
        <w:rPr>
          <w:rFonts w:ascii="仿宋_GB2312" w:eastAsia="仿宋_GB2312" w:hint="eastAsia"/>
          <w:kern w:val="0"/>
          <w:sz w:val="32"/>
          <w:szCs w:val="32"/>
        </w:rPr>
        <w:t>到下年或以后年度继续使用的资金。</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10.一般公共服务（类）市场监督管理事务（款）行政运行（项）:指市场监督</w:t>
      </w:r>
      <w:bookmarkEnd w:id="568"/>
      <w:bookmarkEnd w:id="569"/>
      <w:bookmarkEnd w:id="570"/>
      <w:bookmarkEnd w:id="571"/>
      <w:bookmarkEnd w:id="572"/>
      <w:bookmarkEnd w:id="573"/>
      <w:bookmarkEnd w:id="574"/>
      <w:bookmarkEnd w:id="575"/>
      <w:r>
        <w:rPr>
          <w:rFonts w:ascii="仿宋_GB2312" w:eastAsia="仿宋_GB2312" w:hint="eastAsia"/>
          <w:kern w:val="0"/>
          <w:sz w:val="32"/>
          <w:szCs w:val="32"/>
        </w:rPr>
        <w:t>管</w:t>
      </w:r>
      <w:bookmarkStart w:id="576" w:name="_Toc7960"/>
      <w:bookmarkStart w:id="577" w:name="_Toc23443"/>
      <w:bookmarkStart w:id="578" w:name="_Toc8836"/>
      <w:bookmarkStart w:id="579" w:name="_Toc14210"/>
      <w:bookmarkStart w:id="580" w:name="_Toc44872237"/>
      <w:bookmarkStart w:id="581" w:name="_Toc51662803"/>
      <w:bookmarkStart w:id="582" w:name="_Toc51662615"/>
      <w:bookmarkStart w:id="583" w:name="_Toc6236"/>
      <w:r>
        <w:rPr>
          <w:rFonts w:ascii="仿宋_GB2312" w:eastAsia="仿宋_GB2312" w:hint="eastAsia"/>
          <w:kern w:val="0"/>
          <w:sz w:val="32"/>
          <w:szCs w:val="32"/>
        </w:rPr>
        <w:t>理事务中行政运行支出。</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11. 一般公共服务（类）市场监督管理事务（款）一般行政管理事务（</w:t>
      </w:r>
      <w:bookmarkEnd w:id="576"/>
      <w:bookmarkEnd w:id="577"/>
      <w:bookmarkEnd w:id="578"/>
      <w:bookmarkEnd w:id="579"/>
      <w:bookmarkEnd w:id="580"/>
      <w:bookmarkEnd w:id="581"/>
      <w:bookmarkEnd w:id="582"/>
      <w:bookmarkEnd w:id="583"/>
      <w:r>
        <w:rPr>
          <w:rFonts w:ascii="仿宋_GB2312" w:eastAsia="仿宋_GB2312" w:hint="eastAsia"/>
          <w:kern w:val="0"/>
          <w:sz w:val="32"/>
          <w:szCs w:val="32"/>
        </w:rPr>
        <w:t>项</w:t>
      </w:r>
      <w:bookmarkStart w:id="584" w:name="_Toc6311"/>
      <w:bookmarkStart w:id="585" w:name="_Toc14083"/>
      <w:bookmarkStart w:id="586" w:name="_Toc10570"/>
      <w:bookmarkStart w:id="587" w:name="_Toc51662804"/>
      <w:bookmarkStart w:id="588" w:name="_Toc44872238"/>
      <w:bookmarkStart w:id="589" w:name="_Toc8948"/>
      <w:bookmarkStart w:id="590" w:name="_Toc51662616"/>
      <w:bookmarkStart w:id="591" w:name="_Toc11966"/>
      <w:r>
        <w:rPr>
          <w:rFonts w:ascii="仿宋_GB2312" w:eastAsia="仿宋_GB2312" w:hint="eastAsia"/>
          <w:kern w:val="0"/>
          <w:sz w:val="32"/>
          <w:szCs w:val="32"/>
        </w:rPr>
        <w:t>）: 指市场监督管理事务一般行政管理事务。</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12.一般公共服务（类）市场监督管理事务（款）市场监督管理专项（项）: 指市场监督管理</w:t>
      </w:r>
      <w:bookmarkEnd w:id="584"/>
      <w:bookmarkEnd w:id="585"/>
      <w:bookmarkEnd w:id="586"/>
      <w:bookmarkEnd w:id="587"/>
      <w:bookmarkEnd w:id="588"/>
      <w:bookmarkEnd w:id="589"/>
      <w:bookmarkEnd w:id="590"/>
      <w:bookmarkEnd w:id="591"/>
      <w:r>
        <w:rPr>
          <w:rFonts w:ascii="仿宋_GB2312" w:eastAsia="仿宋_GB2312" w:hint="eastAsia"/>
          <w:kern w:val="0"/>
          <w:sz w:val="32"/>
          <w:szCs w:val="32"/>
        </w:rPr>
        <w:t>中</w:t>
      </w:r>
      <w:bookmarkStart w:id="592" w:name="_Toc51662617"/>
      <w:bookmarkStart w:id="593" w:name="_Toc19411"/>
      <w:bookmarkStart w:id="594" w:name="_Toc25784"/>
      <w:bookmarkStart w:id="595" w:name="_Toc8551"/>
      <w:bookmarkStart w:id="596" w:name="_Toc44872239"/>
      <w:bookmarkStart w:id="597" w:name="_Toc4901"/>
      <w:bookmarkStart w:id="598" w:name="_Toc51662805"/>
      <w:bookmarkStart w:id="599" w:name="_Toc16237"/>
      <w:r>
        <w:rPr>
          <w:rFonts w:ascii="仿宋_GB2312" w:eastAsia="仿宋_GB2312" w:hint="eastAsia"/>
          <w:kern w:val="0"/>
          <w:sz w:val="32"/>
          <w:szCs w:val="32"/>
        </w:rPr>
        <w:t>专项检查支出。</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13. 一般公共服务（类）市场监督管理事务（款）市场监管执法（项）: 指市场监督管理中执法监管支出。</w:t>
      </w:r>
    </w:p>
    <w:p>
      <w:pPr>
        <w:pStyle w:val="39"/>
        <w:spacing w:line="576" w:lineRule="exact"/>
        <w:ind w:firstLineChars="200" w:firstLine="640"/>
        <w:rPr>
          <w:rFonts w:ascii="仿宋_GB2312" w:eastAsia="仿宋_GB2312" w:hint="eastAsia"/>
          <w:kern w:val="0"/>
          <w:sz w:val="32"/>
          <w:szCs w:val="32"/>
        </w:rPr>
      </w:pPr>
      <w:bookmarkEnd w:id="592"/>
      <w:bookmarkEnd w:id="593"/>
      <w:bookmarkEnd w:id="594"/>
      <w:bookmarkEnd w:id="595"/>
      <w:bookmarkEnd w:id="596"/>
      <w:bookmarkEnd w:id="597"/>
      <w:bookmarkEnd w:id="598"/>
      <w:bookmarkEnd w:id="599"/>
      <w:r>
        <w:rPr>
          <w:rFonts w:ascii="仿宋_GB2312" w:eastAsia="仿宋_GB2312" w:hint="eastAsia"/>
          <w:kern w:val="0"/>
          <w:sz w:val="32"/>
          <w:szCs w:val="32"/>
        </w:rPr>
        <w:t>1</w:t>
      </w:r>
      <w:bookmarkStart w:id="600" w:name="_Toc51662806"/>
      <w:bookmarkStart w:id="601" w:name="_Toc8871"/>
      <w:bookmarkStart w:id="602" w:name="_Toc17364"/>
      <w:bookmarkStart w:id="603" w:name="_Toc44872240"/>
      <w:bookmarkStart w:id="604" w:name="_Toc18465"/>
      <w:bookmarkStart w:id="605" w:name="_Toc22452"/>
      <w:bookmarkStart w:id="606" w:name="_Toc20634"/>
      <w:bookmarkStart w:id="607" w:name="_Toc51662618"/>
      <w:r>
        <w:rPr>
          <w:rFonts w:ascii="仿宋_GB2312" w:eastAsia="仿宋_GB2312" w:hint="eastAsia"/>
          <w:kern w:val="0"/>
          <w:sz w:val="32"/>
          <w:szCs w:val="32"/>
        </w:rPr>
        <w:t>4.一般公共服务（类）市场监督管理事务（款）药品事务（项）:市场监督管理中药品及不良反应、执法检督支</w:t>
      </w:r>
      <w:bookmarkEnd w:id="600"/>
      <w:bookmarkEnd w:id="601"/>
      <w:bookmarkEnd w:id="602"/>
      <w:bookmarkEnd w:id="603"/>
      <w:bookmarkEnd w:id="604"/>
      <w:bookmarkEnd w:id="605"/>
      <w:bookmarkEnd w:id="606"/>
      <w:bookmarkEnd w:id="607"/>
      <w:r>
        <w:rPr>
          <w:rFonts w:ascii="仿宋_GB2312" w:eastAsia="仿宋_GB2312" w:hint="eastAsia"/>
          <w:kern w:val="0"/>
          <w:sz w:val="32"/>
          <w:szCs w:val="32"/>
        </w:rPr>
        <w:t>出</w:t>
      </w:r>
      <w:bookmarkStart w:id="608" w:name="_Toc28849"/>
      <w:bookmarkStart w:id="609" w:name="_Toc3577"/>
      <w:bookmarkStart w:id="610" w:name="_Toc4057"/>
      <w:bookmarkStart w:id="611" w:name="_Toc44872241"/>
      <w:bookmarkStart w:id="612" w:name="_Toc51662807"/>
      <w:bookmarkStart w:id="613" w:name="_Toc30736"/>
      <w:bookmarkStart w:id="614" w:name="_Toc29015"/>
      <w:bookmarkStart w:id="615" w:name="_Toc51662619"/>
      <w:r>
        <w:rPr>
          <w:rFonts w:ascii="仿宋_GB2312" w:eastAsia="仿宋_GB2312" w:hint="eastAsia"/>
          <w:kern w:val="0"/>
          <w:sz w:val="32"/>
          <w:szCs w:val="32"/>
        </w:rPr>
        <w:t>。</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15. 一般公共服务（类）市场监督管理事务（款）事业运行（项）: 市场监督管理中事业支出</w:t>
      </w:r>
      <w:bookmarkEnd w:id="608"/>
      <w:bookmarkEnd w:id="609"/>
      <w:bookmarkEnd w:id="610"/>
      <w:bookmarkEnd w:id="611"/>
      <w:bookmarkEnd w:id="612"/>
      <w:bookmarkEnd w:id="613"/>
      <w:bookmarkEnd w:id="614"/>
      <w:bookmarkEnd w:id="615"/>
      <w:r>
        <w:rPr>
          <w:rFonts w:ascii="仿宋_GB2312" w:eastAsia="仿宋_GB2312" w:hint="eastAsia"/>
          <w:kern w:val="0"/>
          <w:sz w:val="32"/>
          <w:szCs w:val="32"/>
        </w:rPr>
        <w:t>。</w:t>
      </w:r>
      <w:bookmarkStart w:id="616" w:name="_Toc28223"/>
      <w:bookmarkStart w:id="617" w:name="_Toc51662808"/>
      <w:bookmarkStart w:id="618" w:name="_Toc16279"/>
      <w:bookmarkStart w:id="619" w:name="_Toc17118"/>
      <w:bookmarkStart w:id="620" w:name="_Toc51662620"/>
      <w:bookmarkStart w:id="621" w:name="_Toc28074"/>
      <w:bookmarkStart w:id="622" w:name="_Toc25963"/>
      <w:bookmarkStart w:id="623" w:name="_Toc44872242"/>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16. 一般公共服务（类）市场监督管理事务（款）其他市场监督管理事务（项）: 市场管</w:t>
      </w:r>
      <w:bookmarkEnd w:id="616"/>
      <w:bookmarkEnd w:id="617"/>
      <w:bookmarkEnd w:id="618"/>
      <w:bookmarkEnd w:id="619"/>
      <w:bookmarkEnd w:id="620"/>
      <w:bookmarkEnd w:id="621"/>
      <w:bookmarkEnd w:id="622"/>
      <w:bookmarkEnd w:id="623"/>
      <w:r>
        <w:rPr>
          <w:rFonts w:ascii="仿宋_GB2312" w:eastAsia="仿宋_GB2312" w:hint="eastAsia"/>
          <w:kern w:val="0"/>
          <w:sz w:val="32"/>
          <w:szCs w:val="32"/>
        </w:rPr>
        <w:t>理</w:t>
      </w:r>
      <w:bookmarkStart w:id="624" w:name="_Toc23601"/>
      <w:bookmarkStart w:id="625" w:name="_Toc30359"/>
      <w:bookmarkStart w:id="626" w:name="_Toc8553"/>
      <w:bookmarkStart w:id="627" w:name="_Toc22157"/>
      <w:bookmarkStart w:id="628" w:name="_Toc17014"/>
      <w:bookmarkStart w:id="629" w:name="_Toc51662809"/>
      <w:bookmarkStart w:id="630" w:name="_Toc44872243"/>
      <w:bookmarkStart w:id="631" w:name="_Toc51662621"/>
      <w:r>
        <w:rPr>
          <w:rFonts w:ascii="仿宋_GB2312" w:eastAsia="仿宋_GB2312" w:hint="eastAsia"/>
          <w:kern w:val="0"/>
          <w:sz w:val="32"/>
          <w:szCs w:val="32"/>
        </w:rPr>
        <w:t>管理避其他支出，如抽检、餐饮、流通监管支出。</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17.社会保障和就业（类）行政事业单位离</w:t>
      </w:r>
      <w:bookmarkEnd w:id="624"/>
      <w:bookmarkEnd w:id="625"/>
      <w:bookmarkEnd w:id="626"/>
      <w:bookmarkEnd w:id="627"/>
      <w:bookmarkEnd w:id="628"/>
      <w:bookmarkEnd w:id="629"/>
      <w:bookmarkEnd w:id="630"/>
      <w:bookmarkEnd w:id="631"/>
      <w:r>
        <w:rPr>
          <w:rFonts w:ascii="仿宋_GB2312" w:eastAsia="仿宋_GB2312" w:hint="eastAsia"/>
          <w:kern w:val="0"/>
          <w:sz w:val="32"/>
          <w:szCs w:val="32"/>
        </w:rPr>
        <w:t>退</w:t>
      </w:r>
      <w:bookmarkStart w:id="632" w:name="_Toc28869"/>
      <w:bookmarkStart w:id="633" w:name="_Toc44872244"/>
      <w:bookmarkStart w:id="634" w:name="_Toc8191"/>
      <w:bookmarkStart w:id="635" w:name="_Toc14988"/>
      <w:bookmarkStart w:id="636" w:name="_Toc21300"/>
      <w:bookmarkStart w:id="637" w:name="_Toc51662810"/>
      <w:bookmarkStart w:id="638" w:name="_Toc7753"/>
      <w:bookmarkStart w:id="639" w:name="_Toc51662622"/>
      <w:r>
        <w:rPr>
          <w:rFonts w:ascii="仿宋_GB2312" w:eastAsia="仿宋_GB2312" w:hint="eastAsia"/>
          <w:kern w:val="0"/>
          <w:sz w:val="32"/>
          <w:szCs w:val="32"/>
        </w:rPr>
        <w:t>休（款）机关事业单位基本养老保险缴费支出（项）: 指机关中基本养老保</w:t>
      </w:r>
      <w:bookmarkEnd w:id="632"/>
      <w:bookmarkEnd w:id="633"/>
      <w:bookmarkEnd w:id="634"/>
      <w:bookmarkEnd w:id="635"/>
      <w:bookmarkEnd w:id="636"/>
      <w:bookmarkEnd w:id="637"/>
      <w:bookmarkEnd w:id="638"/>
      <w:bookmarkEnd w:id="639"/>
      <w:r>
        <w:rPr>
          <w:rFonts w:ascii="仿宋_GB2312" w:eastAsia="仿宋_GB2312" w:hint="eastAsia"/>
          <w:kern w:val="0"/>
          <w:sz w:val="32"/>
          <w:szCs w:val="32"/>
        </w:rPr>
        <w:t>险</w:t>
      </w:r>
      <w:bookmarkStart w:id="640" w:name="_Toc30309"/>
      <w:bookmarkStart w:id="641" w:name="_Toc51662623"/>
      <w:bookmarkStart w:id="642" w:name="_Toc51662811"/>
      <w:bookmarkStart w:id="643" w:name="_Toc23692"/>
      <w:bookmarkStart w:id="644" w:name="_Toc31718"/>
      <w:bookmarkStart w:id="645" w:name="_Toc44872245"/>
      <w:bookmarkStart w:id="646" w:name="_Toc415"/>
      <w:bookmarkStart w:id="647" w:name="_Toc16689"/>
      <w:r>
        <w:rPr>
          <w:rFonts w:ascii="仿宋_GB2312" w:eastAsia="仿宋_GB2312" w:hint="eastAsia"/>
          <w:kern w:val="0"/>
          <w:sz w:val="32"/>
          <w:szCs w:val="32"/>
        </w:rPr>
        <w:t>支出。</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18.社会保障和就业（类）行政事业单位离退休（款）机关事业单位职业年金</w:t>
      </w:r>
      <w:bookmarkEnd w:id="640"/>
      <w:bookmarkEnd w:id="641"/>
      <w:bookmarkEnd w:id="642"/>
      <w:bookmarkEnd w:id="643"/>
      <w:bookmarkEnd w:id="644"/>
      <w:bookmarkEnd w:id="645"/>
      <w:bookmarkEnd w:id="646"/>
      <w:bookmarkEnd w:id="647"/>
      <w:r>
        <w:rPr>
          <w:rFonts w:ascii="仿宋_GB2312" w:eastAsia="仿宋_GB2312" w:hint="eastAsia"/>
          <w:kern w:val="0"/>
          <w:sz w:val="32"/>
          <w:szCs w:val="32"/>
        </w:rPr>
        <w:t>缴</w:t>
      </w:r>
      <w:bookmarkStart w:id="648" w:name="_Toc23140"/>
      <w:bookmarkStart w:id="649" w:name="_Toc24656"/>
      <w:bookmarkStart w:id="650" w:name="_Toc32431"/>
      <w:bookmarkStart w:id="651" w:name="_Toc44872246"/>
      <w:bookmarkStart w:id="652" w:name="_Toc51662812"/>
      <w:bookmarkStart w:id="653" w:name="_Toc3850"/>
      <w:bookmarkStart w:id="654" w:name="_Toc18978"/>
      <w:bookmarkStart w:id="655" w:name="_Toc51662624"/>
      <w:r>
        <w:rPr>
          <w:rFonts w:ascii="仿宋_GB2312" w:eastAsia="仿宋_GB2312" w:hint="eastAsia"/>
          <w:kern w:val="0"/>
          <w:sz w:val="32"/>
          <w:szCs w:val="32"/>
        </w:rPr>
        <w:t>费出（项）:指职业年金支出。</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19.卫生健康（类）公共卫生（款）重大公共卫生专项</w:t>
      </w:r>
      <w:bookmarkEnd w:id="648"/>
      <w:bookmarkEnd w:id="649"/>
      <w:bookmarkEnd w:id="650"/>
      <w:bookmarkEnd w:id="651"/>
      <w:bookmarkEnd w:id="652"/>
      <w:bookmarkEnd w:id="653"/>
      <w:bookmarkEnd w:id="654"/>
      <w:bookmarkEnd w:id="655"/>
      <w:r>
        <w:rPr>
          <w:rFonts w:ascii="仿宋_GB2312" w:eastAsia="仿宋_GB2312" w:hint="eastAsia"/>
          <w:kern w:val="0"/>
          <w:sz w:val="32"/>
          <w:szCs w:val="32"/>
        </w:rPr>
        <w:t>（项）:指重大公共卫生支出及基层能力建设。</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20.卫生健康（类）行政事业单位医疗（款）行政单位医疗（项）：指行政人员医疗保险支出。</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21.卫生健康（类）行政事业单位医疗（款）事业单位医疗（项）：指事业人员医疗保险支出。</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22.农林水（类）扶贫（款）其他扶贫支出（项）：指第一书记经费支出。</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14.住房保障支出（类）住房改革支出（款）住房公积金（项）：指住房公积金支出。</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15. 住房保障支出（类）住房改革支出（款）购房补贴（项）：指退休人员购房补贴。</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16.基本支出：指为保障机构正常运转、完成日常工作任务而发生的人员支出和公用支出。</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 xml:space="preserve">17.项目支出：指在基本支出之外为完成特定行政任务和事业发展目标所发生的支出。 </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18.经营支出：指事业单位在专业业务活动及其辅助活动之外开展非独立核算经营活动发生的支出。</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w:t>
      </w:r>
      <w:bookmarkStart w:id="656" w:name="_Toc27190"/>
      <w:r>
        <w:rPr>
          <w:rFonts w:ascii="仿宋_GB2312" w:eastAsia="仿宋_GB2312" w:hint="eastAsia"/>
          <w:kern w:val="0"/>
          <w:sz w:val="32"/>
          <w:szCs w:val="32"/>
        </w:rPr>
        <w:t>辆购置支出（含</w:t>
      </w:r>
      <w:bookmarkEnd w:id="656"/>
      <w:r>
        <w:rPr>
          <w:rFonts w:ascii="仿宋_GB2312" w:eastAsia="仿宋_GB2312" w:hint="eastAsia"/>
          <w:kern w:val="0"/>
          <w:sz w:val="32"/>
          <w:szCs w:val="32"/>
        </w:rPr>
        <w:t>车</w:t>
      </w:r>
      <w:bookmarkStart w:id="657" w:name="_Toc29058"/>
      <w:r>
        <w:rPr>
          <w:rFonts w:ascii="仿宋_GB2312" w:eastAsia="仿宋_GB2312" w:hint="eastAsia"/>
          <w:kern w:val="0"/>
          <w:sz w:val="32"/>
          <w:szCs w:val="32"/>
        </w:rPr>
        <w:t>辆购置</w:t>
      </w:r>
      <w:bookmarkEnd w:id="657"/>
      <w:r>
        <w:rPr>
          <w:rFonts w:ascii="仿宋_GB2312" w:eastAsia="仿宋_GB2312" w:hint="eastAsia"/>
          <w:kern w:val="0"/>
          <w:sz w:val="32"/>
          <w:szCs w:val="32"/>
        </w:rPr>
        <w:t>税）及租用费、燃料费、维修费、过路过桥费、保险费等支出；公</w:t>
      </w:r>
      <w:bookmarkStart w:id="658" w:name="_Toc14543869"/>
      <w:bookmarkStart w:id="659" w:name="_Toc14543911"/>
      <w:r>
        <w:rPr>
          <w:rFonts w:ascii="仿宋_GB2312" w:eastAsia="仿宋_GB2312" w:hint="eastAsia"/>
          <w:kern w:val="0"/>
          <w:sz w:val="32"/>
          <w:szCs w:val="32"/>
        </w:rPr>
        <w:t>务接待费反映单</w:t>
      </w:r>
      <w:bookmarkEnd w:id="658"/>
      <w:bookmarkEnd w:id="659"/>
      <w:r>
        <w:rPr>
          <w:rFonts w:ascii="仿宋_GB2312" w:eastAsia="仿宋_GB2312" w:hint="eastAsia"/>
          <w:kern w:val="0"/>
          <w:sz w:val="32"/>
          <w:szCs w:val="32"/>
        </w:rPr>
        <w:t>位</w:t>
      </w:r>
      <w:bookmarkStart w:id="660" w:name="_Toc14543870"/>
      <w:bookmarkStart w:id="661" w:name="_Toc14543912"/>
      <w:r>
        <w:rPr>
          <w:rFonts w:ascii="仿宋_GB2312" w:eastAsia="仿宋_GB2312" w:hint="eastAsia"/>
          <w:kern w:val="0"/>
          <w:sz w:val="32"/>
          <w:szCs w:val="32"/>
        </w:rPr>
        <w:t>按规定</w:t>
      </w:r>
      <w:bookmarkEnd w:id="660"/>
      <w:bookmarkEnd w:id="661"/>
      <w:r>
        <w:rPr>
          <w:rFonts w:ascii="仿宋_GB2312" w:eastAsia="仿宋_GB2312" w:hint="eastAsia"/>
          <w:kern w:val="0"/>
          <w:sz w:val="32"/>
          <w:szCs w:val="32"/>
        </w:rPr>
        <w:t>开支的各类公务接待（含外宾接待）支出。</w:t>
      </w:r>
    </w:p>
    <w:p>
      <w:pPr>
        <w:pStyle w:val="39"/>
        <w:spacing w:line="576" w:lineRule="exact"/>
        <w:ind w:firstLineChars="200" w:firstLine="640"/>
        <w:rPr>
          <w:rFonts w:ascii="仿宋_GB2312" w:eastAsia="仿宋_GB2312" w:hint="eastAsia"/>
          <w:kern w:val="0"/>
          <w:sz w:val="32"/>
          <w:szCs w:val="32"/>
        </w:rPr>
      </w:pPr>
      <w:r>
        <w:rPr>
          <w:rFonts w:ascii="仿宋_GB2312" w:eastAsia="仿宋_GB2312" w:hint="eastAsia"/>
          <w:kern w:val="0"/>
          <w:sz w:val="32"/>
          <w:szCs w:val="32"/>
        </w:rPr>
        <w:t>20.机关运行经费</w:t>
      </w:r>
      <w:bookmarkStart w:id="662" w:name="_Toc78611627"/>
      <w:r>
        <w:rPr>
          <w:rFonts w:ascii="仿宋_GB2312" w:eastAsia="仿宋_GB2312" w:hint="eastAsia"/>
          <w:kern w:val="0"/>
          <w:sz w:val="32"/>
          <w:szCs w:val="32"/>
        </w:rPr>
        <w:t>：为保障行政单</w:t>
      </w:r>
      <w:bookmarkEnd w:id="662"/>
      <w:r>
        <w:rPr>
          <w:rFonts w:ascii="仿宋_GB2312" w:eastAsia="仿宋_GB2312" w:hint="eastAsia"/>
          <w:kern w:val="0"/>
          <w:sz w:val="32"/>
          <w:szCs w:val="32"/>
        </w:rPr>
        <w:t>位</w:t>
      </w:r>
      <w:bookmarkStart w:id="663" w:name="_Toc78611628"/>
      <w:r>
        <w:rPr>
          <w:rFonts w:ascii="仿宋_GB2312" w:eastAsia="仿宋_GB2312" w:hint="eastAsia"/>
          <w:kern w:val="0"/>
          <w:sz w:val="32"/>
          <w:szCs w:val="32"/>
        </w:rPr>
        <w:t>（含参</w:t>
      </w:r>
      <w:bookmarkEnd w:id="663"/>
      <w:r>
        <w:rPr>
          <w:rFonts w:ascii="仿宋_GB2312" w:eastAsia="仿宋_GB2312" w:hint="eastAsia"/>
          <w:kern w:val="0"/>
          <w:sz w:val="32"/>
          <w:szCs w:val="32"/>
        </w:rPr>
        <w:t>照公务员法管理的事业单位）运行用于购买货物和服务的各项资金</w:t>
      </w:r>
      <w:bookmarkStart w:id="664" w:name="_Toc73331674"/>
      <w:r>
        <w:rPr>
          <w:rFonts w:ascii="仿宋_GB2312" w:eastAsia="仿宋_GB2312" w:hint="eastAsia"/>
          <w:kern w:val="0"/>
          <w:sz w:val="32"/>
          <w:szCs w:val="32"/>
        </w:rPr>
        <w:t>，包括办公及印</w:t>
      </w:r>
      <w:bookmarkEnd w:id="664"/>
      <w:r>
        <w:rPr>
          <w:rFonts w:ascii="仿宋_GB2312" w:eastAsia="仿宋_GB2312" w:hint="eastAsia"/>
          <w:kern w:val="0"/>
          <w:sz w:val="32"/>
          <w:szCs w:val="32"/>
        </w:rPr>
        <w:t>刷</w:t>
      </w:r>
      <w:bookmarkStart w:id="665" w:name="_Toc73331675"/>
      <w:r>
        <w:rPr>
          <w:rFonts w:ascii="仿宋_GB2312" w:eastAsia="仿宋_GB2312" w:hint="eastAsia"/>
          <w:kern w:val="0"/>
          <w:sz w:val="32"/>
          <w:szCs w:val="32"/>
        </w:rPr>
        <w:t>费、邮</w:t>
      </w:r>
      <w:bookmarkEnd w:id="665"/>
      <w:r>
        <w:rPr>
          <w:rFonts w:ascii="仿宋_GB2312" w:eastAsia="仿宋_GB2312" w:hint="eastAsia"/>
          <w:kern w:val="0"/>
          <w:sz w:val="32"/>
          <w:szCs w:val="32"/>
        </w:rPr>
        <w:t>电费、差旅费、会议费、福利费、日常维修费、专用材料及一般设备购置费、办公用房水电费、办公用房取暖费、办公用房物业管理费、公务用车运行维护费以及其他费用。</w:t>
      </w:r>
    </w:p>
    <w:p>
      <w:pPr>
        <w:spacing w:line="576" w:lineRule="exact"/>
        <w:jc w:val="center"/>
        <w:rPr>
          <w:rFonts w:ascii="Times New Roman" w:eastAsia="黑体" w:hAnsi="Times New Roman"/>
          <w:color w:val="auto"/>
          <w:sz w:val="44"/>
          <w:szCs w:val="44"/>
          <w:highlight w:val="auto"/>
        </w:rPr>
      </w:pPr>
    </w:p>
    <w:p>
      <w:pPr>
        <w:spacing w:line="576" w:lineRule="exact"/>
        <w:jc w:val="center"/>
        <w:rPr>
          <w:rFonts w:ascii="Times New Roman" w:eastAsia="黑体" w:hAnsi="Times New Roman"/>
          <w:color w:val="auto"/>
          <w:sz w:val="44"/>
          <w:szCs w:val="44"/>
          <w:highlight w:val="auto"/>
        </w:rPr>
      </w:pPr>
    </w:p>
    <w:p>
      <w:pPr>
        <w:spacing w:line="576" w:lineRule="exact"/>
        <w:jc w:val="center"/>
        <w:rPr>
          <w:rFonts w:ascii="Times New Roman" w:eastAsia="黑体" w:hAnsi="Times New Roman"/>
          <w:color w:val="auto"/>
          <w:sz w:val="44"/>
          <w:szCs w:val="44"/>
          <w:highlight w:val="auto"/>
        </w:rPr>
      </w:pPr>
    </w:p>
    <w:p>
      <w:pPr>
        <w:spacing w:line="576" w:lineRule="exact"/>
        <w:jc w:val="center"/>
        <w:rPr>
          <w:rFonts w:ascii="Times New Roman" w:eastAsia="黑体" w:hAnsi="Times New Roman"/>
          <w:color w:val="auto"/>
          <w:sz w:val="44"/>
          <w:szCs w:val="44"/>
          <w:highlight w:val="auto"/>
        </w:rPr>
      </w:pPr>
    </w:p>
    <w:p>
      <w:pPr>
        <w:pStyle w:val="19"/>
        <w:jc w:val="center"/>
      </w:pPr>
    </w:p>
    <w:p>
      <w:pPr>
        <w:jc w:val="both"/>
      </w:pPr>
    </w:p>
    <w:p>
      <w:pPr>
        <w:pStyle w:val="19"/>
        <w:jc w:val="center"/>
      </w:pPr>
    </w:p>
    <w:p>
      <w:pPr>
        <w:jc w:val="both"/>
      </w:pPr>
    </w:p>
    <w:p>
      <w:pPr>
        <w:pStyle w:val="19"/>
        <w:jc w:val="center"/>
      </w:pPr>
    </w:p>
    <w:p>
      <w:pPr>
        <w:jc w:val="both"/>
      </w:pPr>
    </w:p>
    <w:p>
      <w:pPr>
        <w:pStyle w:val="19"/>
        <w:jc w:val="center"/>
      </w:pPr>
    </w:p>
    <w:p>
      <w:pPr>
        <w:jc w:val="both"/>
      </w:pPr>
    </w:p>
    <w:p>
      <w:pPr>
        <w:pStyle w:val="19"/>
        <w:jc w:val="center"/>
      </w:pPr>
    </w:p>
    <w:p>
      <w:pPr>
        <w:jc w:val="both"/>
      </w:pPr>
    </w:p>
    <w:p>
      <w:pPr>
        <w:pStyle w:val="19"/>
        <w:jc w:val="center"/>
      </w:pPr>
    </w:p>
    <w:p>
      <w:pPr>
        <w:jc w:val="both"/>
      </w:pPr>
    </w:p>
    <w:p>
      <w:pPr>
        <w:spacing w:line="576" w:lineRule="exact"/>
        <w:jc w:val="center"/>
        <w:rPr>
          <w:rFonts w:ascii="Times New Roman" w:eastAsia="黑体" w:hAnsi="Times New Roman"/>
          <w:color w:val="auto"/>
          <w:sz w:val="44"/>
          <w:szCs w:val="44"/>
          <w:highlight w:val="auto"/>
        </w:rPr>
      </w:pPr>
    </w:p>
    <w:p>
      <w:pPr>
        <w:jc w:val="both"/>
      </w:pPr>
    </w:p>
    <w:p>
      <w:pPr>
        <w:spacing w:line="576" w:lineRule="exact"/>
        <w:jc w:val="center"/>
        <w:outlineLvl w:val="0"/>
        <w:rPr>
          <w:rFonts w:eastAsia="黑体" w:hint="eastAsia"/>
          <w:bCs/>
          <w:sz w:val="44"/>
          <w:szCs w:val="44"/>
          <w:lang w:eastAsia="zh-CN"/>
          <w:highlight w:val="auto"/>
        </w:rPr>
      </w:pPr>
      <w:bookmarkStart w:id="666" w:name="_Toc55224589"/>
      <w:bookmarkStart w:id="667" w:name="_Toc55224353"/>
      <w:bookmarkStart w:id="668" w:name="_Toc55224491"/>
      <w:bookmarkStart w:id="669" w:name="_Toc88111046"/>
      <w:bookmarkStart w:id="670" w:name="_Toc55224257"/>
      <w:bookmarkStart w:id="671" w:name="_Toc55224401"/>
      <w:bookmarkStart w:id="672" w:name="_Toc55224687"/>
      <w:r>
        <w:rPr>
          <w:rFonts w:eastAsia="黑体" w:hint="eastAsia"/>
          <w:sz w:val="44"/>
          <w:szCs w:val="44"/>
          <w:highlight w:val="auto"/>
        </w:rPr>
        <w:t>第四部</w:t>
      </w:r>
      <w:bookmarkEnd w:id="534"/>
      <w:r>
        <w:rPr>
          <w:rFonts w:eastAsia="黑体" w:hint="eastAsia"/>
          <w:sz w:val="44"/>
          <w:szCs w:val="44"/>
          <w:highlight w:val="auto"/>
        </w:rPr>
        <w:t>分</w:t>
      </w:r>
      <w:r>
        <w:rPr>
          <w:rFonts w:eastAsia="黑体" w:hint="eastAsia"/>
          <w:sz w:val="44"/>
          <w:szCs w:val="44"/>
          <w:lang w:val="en-US" w:eastAsia="zh-CN"/>
          <w:highlight w:val="auto"/>
        </w:rPr>
        <w:t xml:space="preserve"> </w:t>
      </w:r>
      <w:r>
        <w:rPr>
          <w:rFonts w:eastAsia="黑体" w:hint="eastAsia"/>
          <w:sz w:val="44"/>
          <w:szCs w:val="44"/>
          <w:highlight w:val="auto"/>
        </w:rPr>
        <w:t xml:space="preserve"> 附件</w:t>
      </w:r>
      <w:bookmarkEnd w:id="666"/>
      <w:bookmarkEnd w:id="667"/>
      <w:bookmarkEnd w:id="668"/>
      <w:bookmarkEnd w:id="669"/>
      <w:bookmarkEnd w:id="670"/>
      <w:bookmarkEnd w:id="671"/>
      <w:bookmarkEnd w:id="672"/>
    </w:p>
    <w:p>
      <w:pPr>
        <w:spacing w:line="576" w:lineRule="exact"/>
        <w:ind w:left="0"/>
        <w:rPr>
          <w:rFonts w:ascii="仿宋_GB2312" w:eastAsia="仿宋_GB2312" w:hint="eastAsia"/>
          <w:sz w:val="32"/>
          <w:szCs w:val="32"/>
          <w:lang w:val="zh-CN" w:eastAsia="zh-CN" w:bidi="ar-SA"/>
        </w:rPr>
      </w:pPr>
      <w:r>
        <w:rPr>
          <w:rFonts w:ascii="仿宋_GB2312" w:eastAsia="仿宋_GB2312" w:hint="eastAsia"/>
          <w:sz w:val="32"/>
          <w:szCs w:val="32"/>
          <w:lang w:val="zh-CN" w:eastAsia="zh-CN" w:bidi="ar-SA"/>
        </w:rPr>
        <w:t>附件1</w:t>
      </w:r>
    </w:p>
    <w:p>
      <w:pPr>
        <w:spacing w:line="576" w:lineRule="exact"/>
        <w:ind w:left="0"/>
        <w:jc w:val="center"/>
        <w:rPr>
          <w:rFonts w:ascii="仿宋_GB2312" w:eastAsia="仿宋_GB2312" w:hint="eastAsia"/>
          <w:sz w:val="32"/>
          <w:szCs w:val="32"/>
          <w:lang w:val="zh-CN" w:eastAsia="zh-CN"/>
        </w:rPr>
      </w:pPr>
      <w:r>
        <w:rPr>
          <w:rFonts w:ascii="方正小标宋简体" w:eastAsia="方正小标宋简体" w:cs="方正小标宋简体" w:hint="eastAsia"/>
          <w:sz w:val="44"/>
          <w:szCs w:val="44"/>
          <w:lang w:val="en-US" w:eastAsia="zh-CN" w:bidi="ar-SA"/>
        </w:rPr>
        <w:t>部门预算绩效自评报告</w:t>
      </w:r>
    </w:p>
    <w:p>
      <w:pPr>
        <w:spacing w:line="576" w:lineRule="exact"/>
        <w:ind w:firstLineChars="200" w:firstLine="640"/>
        <w:rPr>
          <w:rFonts w:ascii="仿宋_GB2312" w:eastAsia="仿宋_GB2312" w:hint="eastAsia"/>
          <w:sz w:val="32"/>
          <w:szCs w:val="32"/>
          <w:lang w:val="en-US" w:eastAsia="zh-CN" w:bidi="ar-SA"/>
        </w:rPr>
      </w:pPr>
    </w:p>
    <w:p>
      <w:pPr>
        <w:spacing w:line="576" w:lineRule="exact"/>
        <w:ind w:firstLineChars="200" w:firstLine="640"/>
        <w:rPr>
          <w:rFonts w:ascii="黑体" w:eastAsia="黑体" w:cs="黑体" w:hint="eastAsia"/>
          <w:sz w:val="32"/>
          <w:szCs w:val="32"/>
          <w:lang w:val="en-US" w:eastAsia="zh-CN" w:bidi="ar-SA"/>
        </w:rPr>
      </w:pPr>
      <w:r>
        <w:rPr>
          <w:rFonts w:ascii="黑体" w:eastAsia="黑体" w:cs="黑体" w:hint="eastAsia"/>
          <w:sz w:val="32"/>
          <w:szCs w:val="32"/>
          <w:lang w:val="zh-CN" w:eastAsia="zh-CN" w:bidi="ar-SA"/>
        </w:rPr>
        <w:t>一、部门（单位）基本情况</w:t>
      </w:r>
    </w:p>
    <w:p>
      <w:pPr>
        <w:spacing w:line="576" w:lineRule="exact"/>
        <w:ind w:firstLineChars="200" w:firstLine="640"/>
        <w:rPr>
          <w:rFonts w:ascii="楷体_GB2312" w:eastAsia="楷体_GB2312" w:cs="楷体_GB2312" w:hint="eastAsia"/>
          <w:b/>
          <w:bCs/>
          <w:sz w:val="32"/>
          <w:szCs w:val="32"/>
          <w:lang w:val="zh-CN" w:eastAsia="zh-CN" w:bidi="ar-SA"/>
        </w:rPr>
      </w:pPr>
      <w:r>
        <w:rPr>
          <w:rFonts w:ascii="楷体_GB2312" w:eastAsia="楷体_GB2312" w:cs="楷体_GB2312" w:hint="eastAsia"/>
          <w:b/>
          <w:bCs/>
          <w:sz w:val="32"/>
          <w:szCs w:val="32"/>
          <w:lang w:val="zh-CN" w:eastAsia="zh-CN" w:bidi="ar-SA"/>
        </w:rPr>
        <w:t>（一）机构组成</w:t>
      </w:r>
    </w:p>
    <w:p>
      <w:pPr>
        <w:spacing w:line="576" w:lineRule="exact"/>
        <w:ind w:firstLineChars="200" w:firstLine="640"/>
        <w:rPr>
          <w:rFonts w:ascii="仿宋_GB2312" w:eastAsia="仿宋_GB2312" w:hint="eastAsia"/>
          <w:sz w:val="32"/>
          <w:szCs w:val="32"/>
          <w:lang w:val="en-US" w:eastAsia="zh-CN" w:bidi="ar-SA"/>
        </w:rPr>
      </w:pPr>
      <w:r>
        <w:rPr>
          <w:rFonts w:ascii="仿宋_GB2312" w:eastAsia="仿宋_GB2312" w:hint="eastAsia"/>
          <w:sz w:val="32"/>
          <w:szCs w:val="32"/>
          <w:lang w:val="en-US" w:eastAsia="zh-CN" w:bidi="ar-SA"/>
        </w:rPr>
        <w:t>茂县市场监督管理局为县级独立的法人机构，下属二级预算单位1个，参照公务员法管理的事业单位0个，其他事业单位1个。</w:t>
      </w:r>
    </w:p>
    <w:p>
      <w:pPr>
        <w:spacing w:line="576" w:lineRule="exact"/>
        <w:ind w:firstLineChars="200" w:firstLine="640"/>
        <w:rPr>
          <w:rFonts w:ascii="楷体_GB2312" w:eastAsia="楷体_GB2312" w:cs="楷体_GB2312" w:hint="eastAsia"/>
          <w:b/>
          <w:bCs/>
          <w:sz w:val="32"/>
          <w:szCs w:val="32"/>
          <w:lang w:val="zh-CN" w:eastAsia="zh-CN" w:bidi="ar-SA"/>
        </w:rPr>
      </w:pPr>
      <w:r>
        <w:rPr>
          <w:rFonts w:ascii="楷体_GB2312" w:eastAsia="楷体_GB2312" w:cs="楷体_GB2312" w:hint="eastAsia"/>
          <w:b/>
          <w:bCs/>
          <w:sz w:val="32"/>
          <w:szCs w:val="32"/>
          <w:lang w:val="zh-CN" w:eastAsia="zh-CN" w:bidi="ar-SA"/>
        </w:rPr>
        <w:t>（二）机构职能</w:t>
      </w:r>
    </w:p>
    <w:p>
      <w:pPr>
        <w:spacing w:line="576" w:lineRule="exact"/>
        <w:ind w:firstLineChars="200" w:firstLine="640"/>
        <w:rPr>
          <w:rFonts w:ascii="仿宋_GB2312" w:eastAsia="仿宋_GB2312" w:hint="eastAsia"/>
          <w:sz w:val="32"/>
          <w:szCs w:val="32"/>
          <w:lang w:val="en-US" w:eastAsia="zh-CN" w:bidi="ar-SA"/>
        </w:rPr>
      </w:pPr>
      <w:r>
        <w:rPr>
          <w:rFonts w:ascii="仿宋_GB2312" w:eastAsia="仿宋_GB2312" w:hint="eastAsia"/>
          <w:sz w:val="32"/>
          <w:szCs w:val="32"/>
          <w:lang w:val="en-US" w:eastAsia="zh-CN" w:bidi="ar-SA"/>
        </w:rPr>
        <w:t>主要负责辖区工商企业、农民专业合作社和从事经营活动的单位、个人以及上级授权办理的其他市场主体的登记注册工作；负责辖区市场经济秩序监督管理；负责辖区商标和广告监督管理工作；负责辖区合同监督管理工作；负责辖区保护消费者合法权益工作；负责管理和指导辖区质量工作；负责辖区计量监督管理工作；负责辖区标准化管理工作；负责特种设备的安全监察工作；负责食品安全生产、流通、消费环节的行政许可和监督管理；承担县食品安全委员会的日常工作；负责辖区相关市场监管领域安全事故应急体系建设，组织和指导重大突发事件应对处置和调查处理工作，监督事故查处落实情况；承担茂县保护消费者权益委员会日常工作，组织指导个体私营经济协会的相关工作。</w:t>
      </w:r>
    </w:p>
    <w:p>
      <w:pPr>
        <w:spacing w:line="576" w:lineRule="exact"/>
        <w:ind w:firstLineChars="200" w:firstLine="640"/>
        <w:rPr>
          <w:rFonts w:ascii="楷体_GB2312" w:eastAsia="楷体_GB2312" w:cs="楷体_GB2312" w:hint="eastAsia"/>
          <w:b/>
          <w:bCs/>
          <w:sz w:val="32"/>
          <w:szCs w:val="32"/>
          <w:lang w:val="zh-CN" w:eastAsia="zh-CN" w:bidi="ar-SA"/>
        </w:rPr>
      </w:pPr>
      <w:r>
        <w:rPr>
          <w:rFonts w:ascii="楷体_GB2312" w:eastAsia="楷体_GB2312" w:cs="楷体_GB2312" w:hint="eastAsia"/>
          <w:b/>
          <w:bCs/>
          <w:sz w:val="32"/>
          <w:szCs w:val="32"/>
          <w:lang w:val="zh-CN" w:eastAsia="zh-CN" w:bidi="ar-SA"/>
        </w:rPr>
        <w:t>（三）人员概况</w:t>
      </w:r>
    </w:p>
    <w:p>
      <w:pPr>
        <w:spacing w:line="576" w:lineRule="exact"/>
        <w:ind w:firstLineChars="200" w:firstLine="640"/>
        <w:rPr>
          <w:rFonts w:ascii="仿宋_GB2312" w:eastAsia="仿宋_GB2312" w:hint="eastAsia"/>
          <w:sz w:val="32"/>
          <w:szCs w:val="32"/>
          <w:lang w:val="en-US" w:eastAsia="zh-CN" w:bidi="ar-SA"/>
        </w:rPr>
      </w:pPr>
      <w:r>
        <w:rPr>
          <w:rFonts w:ascii="仿宋_GB2312" w:eastAsia="仿宋_GB2312" w:hint="eastAsia"/>
          <w:sz w:val="32"/>
          <w:szCs w:val="32"/>
          <w:lang w:val="en-US" w:eastAsia="zh-CN" w:bidi="ar-SA"/>
        </w:rPr>
        <w:t xml:space="preserve">总编制40名,其中:行政编制23名,行政工勤编制3名，事业编制12名。在职人员总数36名，其中：综合类公务员21名、行政工勤人员2名、事业专技人员5名、事业管理人员8人、事业工勤人员1名。离休人员0人，退休人员24人。  </w:t>
      </w:r>
    </w:p>
    <w:p>
      <w:pPr>
        <w:spacing w:line="576" w:lineRule="exact"/>
        <w:ind w:firstLineChars="200" w:firstLine="640"/>
        <w:rPr>
          <w:rFonts w:ascii="黑体" w:eastAsia="黑体" w:cs="黑体" w:hint="eastAsia"/>
          <w:sz w:val="32"/>
          <w:szCs w:val="32"/>
          <w:lang w:val="en-US" w:eastAsia="zh-CN" w:bidi="ar-SA"/>
        </w:rPr>
      </w:pPr>
      <w:r>
        <w:rPr>
          <w:rFonts w:ascii="黑体" w:eastAsia="黑体" w:cs="黑体" w:hint="eastAsia"/>
          <w:sz w:val="32"/>
          <w:szCs w:val="32"/>
          <w:lang w:val="en-US" w:eastAsia="zh-CN" w:bidi="ar-SA"/>
        </w:rPr>
        <w:t>二、部门资金收支情况</w:t>
      </w:r>
    </w:p>
    <w:p>
      <w:pPr>
        <w:spacing w:line="576" w:lineRule="exact"/>
        <w:ind w:firstLineChars="200" w:firstLine="640"/>
        <w:rPr>
          <w:rFonts w:ascii="楷体_GB2312" w:eastAsia="楷体_GB2312" w:cs="楷体_GB2312" w:hint="eastAsia"/>
          <w:b/>
          <w:bCs/>
          <w:sz w:val="32"/>
          <w:szCs w:val="32"/>
          <w:lang w:val="zh-CN" w:eastAsia="zh-CN" w:bidi="ar-SA"/>
        </w:rPr>
      </w:pPr>
      <w:r>
        <w:rPr>
          <w:rFonts w:ascii="楷体_GB2312" w:eastAsia="楷体_GB2312" w:cs="楷体_GB2312" w:hint="eastAsia"/>
          <w:b/>
          <w:bCs/>
          <w:sz w:val="32"/>
          <w:szCs w:val="32"/>
          <w:lang w:val="zh-CN" w:eastAsia="zh-CN" w:bidi="ar-SA"/>
        </w:rPr>
        <w:t>（一）收入情况。</w:t>
      </w:r>
    </w:p>
    <w:p>
      <w:pPr>
        <w:spacing w:line="576" w:lineRule="exact"/>
        <w:ind w:firstLineChars="200" w:firstLine="640"/>
        <w:rPr>
          <w:rFonts w:ascii="仿宋_GB2312" w:eastAsia="仿宋_GB2312" w:hint="eastAsia"/>
          <w:sz w:val="32"/>
          <w:szCs w:val="32"/>
          <w:lang w:val="en-US" w:eastAsia="zh-CN" w:bidi="ar-SA"/>
        </w:rPr>
      </w:pPr>
      <w:r>
        <w:rPr>
          <w:rFonts w:ascii="仿宋_GB2312" w:eastAsia="仿宋_GB2312" w:hint="eastAsia"/>
          <w:sz w:val="32"/>
          <w:szCs w:val="32"/>
          <w:lang w:val="en-US" w:eastAsia="zh-CN" w:bidi="ar-SA"/>
        </w:rPr>
        <w:t>2025年收入838.18万元，其中：基本收入771.1万元，项目收入67.08万元。</w:t>
      </w:r>
    </w:p>
    <w:p>
      <w:pPr>
        <w:spacing w:line="576" w:lineRule="exact"/>
        <w:ind w:firstLineChars="200" w:firstLine="640"/>
        <w:rPr>
          <w:rFonts w:ascii="楷体_GB2312" w:eastAsia="楷体_GB2312" w:cs="楷体_GB2312" w:hint="eastAsia"/>
          <w:b/>
          <w:bCs/>
          <w:sz w:val="32"/>
          <w:szCs w:val="32"/>
          <w:lang w:val="zh-CN" w:eastAsia="zh-CN" w:bidi="ar-SA"/>
        </w:rPr>
      </w:pPr>
      <w:r>
        <w:rPr>
          <w:rFonts w:ascii="楷体_GB2312" w:eastAsia="楷体_GB2312" w:cs="楷体_GB2312" w:hint="eastAsia"/>
          <w:b/>
          <w:bCs/>
          <w:sz w:val="32"/>
          <w:szCs w:val="32"/>
          <w:lang w:val="zh-CN" w:eastAsia="zh-CN" w:bidi="ar-SA"/>
        </w:rPr>
        <w:t>（二）支出情况。</w:t>
      </w:r>
    </w:p>
    <w:p>
      <w:pPr>
        <w:spacing w:line="576" w:lineRule="exact"/>
        <w:ind w:firstLineChars="200" w:firstLine="640"/>
        <w:rPr>
          <w:rFonts w:ascii="仿宋_GB2312" w:eastAsia="仿宋_GB2312" w:hint="eastAsia"/>
          <w:sz w:val="32"/>
          <w:szCs w:val="32"/>
          <w:lang w:val="en-US" w:eastAsia="zh-CN" w:bidi="ar-SA"/>
        </w:rPr>
      </w:pPr>
      <w:r>
        <w:rPr>
          <w:rFonts w:ascii="仿宋_GB2312" w:eastAsia="仿宋_GB2312" w:hint="eastAsia"/>
          <w:sz w:val="32"/>
          <w:szCs w:val="32"/>
          <w:lang w:val="en-US" w:eastAsia="zh-CN" w:bidi="ar-SA"/>
        </w:rPr>
        <w:t>2025年支出838.18万元，其中：基本支出771.1万元，项目支出67.08万元。</w:t>
      </w:r>
    </w:p>
    <w:p>
      <w:pPr>
        <w:spacing w:line="576" w:lineRule="exact"/>
        <w:ind w:firstLineChars="200" w:firstLine="640"/>
        <w:rPr>
          <w:rFonts w:ascii="楷体_GB2312" w:eastAsia="楷体_GB2312" w:cs="楷体_GB2312" w:hint="eastAsia"/>
          <w:b/>
          <w:bCs/>
          <w:sz w:val="32"/>
          <w:szCs w:val="32"/>
          <w:lang w:val="en-US" w:eastAsia="zh-CN" w:bidi="ar-SA"/>
        </w:rPr>
      </w:pPr>
      <w:r>
        <w:rPr>
          <w:rFonts w:ascii="楷体_GB2312" w:eastAsia="楷体_GB2312" w:cs="楷体_GB2312" w:hint="eastAsia"/>
          <w:b/>
          <w:bCs/>
          <w:sz w:val="32"/>
          <w:szCs w:val="32"/>
          <w:lang w:val="zh-CN" w:eastAsia="zh-CN" w:bidi="ar-SA"/>
        </w:rPr>
        <w:t>（三）</w:t>
      </w:r>
      <w:r>
        <w:rPr>
          <w:rFonts w:ascii="楷体_GB2312" w:eastAsia="楷体_GB2312" w:cs="楷体_GB2312" w:hint="eastAsia"/>
          <w:b/>
          <w:bCs/>
          <w:sz w:val="32"/>
          <w:szCs w:val="32"/>
          <w:lang w:val="en-US" w:eastAsia="zh-CN" w:bidi="ar-SA"/>
        </w:rPr>
        <w:t>结余分配和结转结余情况。</w:t>
      </w:r>
    </w:p>
    <w:p>
      <w:pPr>
        <w:spacing w:line="576" w:lineRule="exact"/>
        <w:ind w:firstLineChars="200" w:firstLine="640"/>
        <w:rPr>
          <w:rFonts w:ascii="仿宋_GB2312" w:eastAsia="仿宋_GB2312" w:hint="eastAsia"/>
          <w:sz w:val="32"/>
          <w:szCs w:val="32"/>
          <w:lang w:val="zh-CN" w:eastAsia="zh-CN" w:bidi="ar-SA"/>
        </w:rPr>
      </w:pPr>
      <w:r>
        <w:rPr>
          <w:rFonts w:ascii="仿宋_GB2312" w:eastAsia="仿宋_GB2312" w:hint="eastAsia"/>
          <w:sz w:val="32"/>
          <w:szCs w:val="32"/>
          <w:lang w:val="en-US" w:eastAsia="zh-CN" w:bidi="ar-SA"/>
        </w:rPr>
        <w:t>2025年无结余。</w:t>
      </w:r>
    </w:p>
    <w:p>
      <w:pPr>
        <w:spacing w:line="576" w:lineRule="exact"/>
        <w:ind w:firstLineChars="200" w:firstLine="640"/>
        <w:rPr>
          <w:rFonts w:ascii="黑体" w:eastAsia="黑体" w:cs="黑体" w:hint="eastAsia"/>
          <w:sz w:val="32"/>
          <w:szCs w:val="32"/>
          <w:lang w:val="en-US" w:eastAsia="zh-CN" w:bidi="ar-SA"/>
        </w:rPr>
      </w:pPr>
      <w:r>
        <w:rPr>
          <w:rFonts w:ascii="黑体" w:eastAsia="黑体" w:cs="黑体" w:hint="eastAsia"/>
          <w:sz w:val="32"/>
          <w:szCs w:val="32"/>
          <w:lang w:val="en-US" w:eastAsia="zh-CN" w:bidi="ar-SA"/>
        </w:rPr>
        <w:t>三、部门预算绩效分析</w:t>
      </w:r>
    </w:p>
    <w:p>
      <w:pPr>
        <w:spacing w:line="576" w:lineRule="exact"/>
        <w:ind w:firstLineChars="200" w:firstLine="640"/>
        <w:rPr>
          <w:rFonts w:ascii="楷体_GB2312" w:eastAsia="楷体_GB2312" w:cs="楷体_GB2312" w:hint="eastAsia"/>
          <w:b/>
          <w:bCs/>
          <w:sz w:val="32"/>
          <w:szCs w:val="32"/>
          <w:lang w:val="zh-CN" w:eastAsia="zh-CN" w:bidi="ar-SA"/>
        </w:rPr>
      </w:pPr>
      <w:r>
        <w:rPr>
          <w:rFonts w:ascii="楷体_GB2312" w:eastAsia="楷体_GB2312" w:cs="楷体_GB2312" w:hint="eastAsia"/>
          <w:b/>
          <w:bCs/>
          <w:sz w:val="32"/>
          <w:szCs w:val="32"/>
          <w:lang w:val="zh-CN" w:eastAsia="zh-CN" w:bidi="ar-SA"/>
        </w:rPr>
        <w:t>（一）部门预算总体绩效分析</w:t>
      </w:r>
    </w:p>
    <w:p>
      <w:pPr>
        <w:spacing w:line="576" w:lineRule="exact"/>
        <w:ind w:firstLineChars="200" w:firstLine="640"/>
        <w:rPr>
          <w:rFonts w:ascii="仿宋_GB2312" w:eastAsia="仿宋_GB2312" w:hint="eastAsia"/>
          <w:sz w:val="32"/>
          <w:szCs w:val="32"/>
          <w:lang w:val="zh-CN" w:eastAsia="zh-CN" w:bidi="ar-SA"/>
        </w:rPr>
      </w:pPr>
      <w:r>
        <w:rPr>
          <w:rFonts w:ascii="仿宋_GB2312" w:eastAsia="仿宋_GB2312" w:hint="eastAsia"/>
          <w:sz w:val="32"/>
          <w:szCs w:val="32"/>
          <w:lang w:val="zh-CN" w:eastAsia="zh-CN" w:bidi="ar-SA"/>
        </w:rPr>
        <w:t>1.履职效能。圆满完成食品安全监管、特种设备安全监察、市场秩序整治、产品质量监管、商事登记服务、消费维权、各类专项整治及重大活动安全保障等各项工作任务，切实守护市场安全，维护群众切身利益。</w:t>
      </w:r>
    </w:p>
    <w:p>
      <w:pPr>
        <w:spacing w:line="576" w:lineRule="exact"/>
        <w:ind w:firstLineChars="200" w:firstLine="640"/>
        <w:rPr>
          <w:rFonts w:ascii="仿宋_GB2312" w:eastAsia="仿宋_GB2312" w:hint="eastAsia"/>
          <w:sz w:val="32"/>
          <w:szCs w:val="32"/>
          <w:lang w:val="zh-CN" w:eastAsia="zh-CN" w:bidi="ar-SA"/>
        </w:rPr>
      </w:pPr>
      <w:r>
        <w:rPr>
          <w:rFonts w:ascii="仿宋_GB2312" w:eastAsia="仿宋_GB2312" w:hint="eastAsia"/>
          <w:sz w:val="32"/>
          <w:szCs w:val="32"/>
          <w:lang w:val="zh-CN" w:eastAsia="zh-CN" w:bidi="ar-SA"/>
        </w:rPr>
        <w:t>2.预算管理。</w:t>
      </w:r>
      <w:r>
        <w:rPr>
          <w:rFonts w:ascii="仿宋_GB2312" w:eastAsia="仿宋_GB2312" w:hint="eastAsia"/>
          <w:sz w:val="32"/>
          <w:szCs w:val="32"/>
          <w:lang w:val="en-US" w:eastAsia="zh-CN" w:bidi="ar-SA"/>
        </w:rPr>
        <w:t>2025年预算管理紧扣提质增效、统筹管控要求,抓实绩效管控。预算编制科学规范,执行进度均衡,调整程序合规,预算完成率达98%以上,“三公”经费严格控制。</w:t>
      </w:r>
    </w:p>
    <w:p>
      <w:pPr>
        <w:spacing w:line="576" w:lineRule="exact"/>
        <w:ind w:firstLineChars="200" w:firstLine="640"/>
        <w:rPr>
          <w:rFonts w:ascii="仿宋_GB2312" w:eastAsia="仿宋_GB2312" w:hint="eastAsia"/>
          <w:sz w:val="32"/>
          <w:szCs w:val="32"/>
          <w:lang w:val="zh-CN" w:eastAsia="zh-CN" w:bidi="ar-SA"/>
        </w:rPr>
      </w:pPr>
      <w:r>
        <w:rPr>
          <w:rFonts w:ascii="仿宋_GB2312" w:eastAsia="仿宋_GB2312" w:hint="eastAsia"/>
          <w:sz w:val="32"/>
          <w:szCs w:val="32"/>
          <w:lang w:val="en-US" w:eastAsia="zh-CN" w:bidi="ar-SA"/>
        </w:rPr>
        <w:t>3.</w:t>
      </w:r>
      <w:r>
        <w:rPr>
          <w:rFonts w:ascii="仿宋_GB2312" w:eastAsia="仿宋_GB2312" w:hint="eastAsia"/>
          <w:sz w:val="32"/>
          <w:szCs w:val="32"/>
          <w:lang w:val="zh-CN" w:eastAsia="zh-CN" w:bidi="ar-SA"/>
        </w:rPr>
        <w:t xml:space="preserve">财务管理。2025年财务制度健全,资金使用合规,审批流程规范,无截留、挤占、挪用资金情况,财务监控有效,风险防控到位。         </w:t>
      </w:r>
    </w:p>
    <w:p>
      <w:pPr>
        <w:spacing w:line="576" w:lineRule="exact"/>
        <w:ind w:firstLineChars="200" w:firstLine="640"/>
        <w:rPr>
          <w:rFonts w:ascii="仿宋_GB2312" w:eastAsia="仿宋_GB2312" w:hint="eastAsia"/>
          <w:sz w:val="32"/>
          <w:szCs w:val="32"/>
          <w:lang w:val="zh-CN" w:eastAsia="zh-CN" w:bidi="ar-SA"/>
        </w:rPr>
      </w:pPr>
      <w:r>
        <w:rPr>
          <w:rFonts w:ascii="仿宋_GB2312" w:eastAsia="仿宋_GB2312" w:hint="eastAsia"/>
          <w:sz w:val="32"/>
          <w:szCs w:val="32"/>
          <w:lang w:val="zh-CN" w:eastAsia="zh-CN" w:bidi="ar-SA"/>
        </w:rPr>
        <w:t>4.资产管理。</w:t>
      </w:r>
      <w:r>
        <w:rPr>
          <w:rFonts w:ascii="仿宋_GB2312" w:eastAsia="仿宋_GB2312" w:hint="eastAsia"/>
          <w:sz w:val="32"/>
          <w:szCs w:val="32"/>
          <w:lang w:val="en-US" w:eastAsia="zh-CN" w:bidi="ar-SA"/>
        </w:rPr>
        <w:t>资产管理。人均资产无变化,科学合理分配使用资产,资产利用率100%。无闲置资产。</w:t>
      </w:r>
    </w:p>
    <w:p>
      <w:pPr>
        <w:spacing w:line="576" w:lineRule="exact"/>
        <w:ind w:firstLineChars="200" w:firstLine="640"/>
        <w:rPr>
          <w:rFonts w:ascii="仿宋_GB2312" w:eastAsia="仿宋_GB2312" w:hint="eastAsia"/>
          <w:sz w:val="32"/>
          <w:szCs w:val="32"/>
          <w:lang w:val="zh-CN" w:eastAsia="zh-CN" w:bidi="ar-SA"/>
        </w:rPr>
      </w:pPr>
      <w:r>
        <w:rPr>
          <w:rFonts w:ascii="仿宋_GB2312" w:eastAsia="仿宋_GB2312" w:hint="eastAsia"/>
          <w:sz w:val="32"/>
          <w:szCs w:val="32"/>
          <w:lang w:val="en-US" w:eastAsia="zh-CN" w:bidi="ar-SA"/>
        </w:rPr>
        <w:t>5</w:t>
      </w:r>
      <w:r>
        <w:rPr>
          <w:rFonts w:ascii="仿宋_GB2312" w:eastAsia="仿宋_GB2312" w:hint="eastAsia"/>
          <w:sz w:val="32"/>
          <w:szCs w:val="32"/>
          <w:lang w:val="zh-CN" w:eastAsia="zh-CN" w:bidi="ar-SA"/>
        </w:rPr>
        <w:t>.采购管理。严格执行政府采购相关规定,采购流程规范,采购效率高,做到公开、公平、公正。</w:t>
      </w:r>
    </w:p>
    <w:p>
      <w:pPr>
        <w:spacing w:line="576" w:lineRule="exact"/>
        <w:ind w:firstLineChars="200" w:firstLine="640"/>
        <w:rPr>
          <w:rFonts w:ascii="楷体_GB2312" w:eastAsia="楷体_GB2312" w:cs="楷体_GB2312" w:hint="eastAsia"/>
          <w:b/>
          <w:bCs/>
          <w:sz w:val="32"/>
          <w:szCs w:val="32"/>
          <w:lang w:val="zh-CN" w:eastAsia="zh-CN" w:bidi="ar-SA"/>
        </w:rPr>
      </w:pPr>
      <w:r>
        <w:rPr>
          <w:rFonts w:ascii="楷体_GB2312" w:eastAsia="楷体_GB2312" w:cs="楷体_GB2312" w:hint="eastAsia"/>
          <w:b/>
          <w:bCs/>
          <w:sz w:val="32"/>
          <w:szCs w:val="32"/>
          <w:lang w:val="zh-CN" w:eastAsia="zh-CN" w:bidi="ar-SA"/>
        </w:rPr>
        <w:t>（二）部门预算项目绩效分析</w:t>
      </w:r>
    </w:p>
    <w:p>
      <w:pPr>
        <w:spacing w:line="576" w:lineRule="exact"/>
        <w:ind w:firstLineChars="200" w:firstLine="640"/>
        <w:rPr>
          <w:rFonts w:ascii="仿宋_GB2312" w:eastAsia="仿宋_GB2312" w:hint="eastAsia"/>
          <w:sz w:val="32"/>
          <w:szCs w:val="32"/>
          <w:lang w:val="zh-CN" w:eastAsia="zh-CN" w:bidi="ar-SA"/>
        </w:rPr>
      </w:pPr>
      <w:r>
        <w:rPr>
          <w:rFonts w:ascii="仿宋_GB2312" w:eastAsia="仿宋_GB2312" w:cs="Times New Roman" w:hint="eastAsia"/>
          <w:sz w:val="32"/>
          <w:szCs w:val="32"/>
          <w:lang w:val="zh-CN" w:eastAsia="zh-CN" w:bidi="ar-SA"/>
        </w:rPr>
        <w:t>常年项目绩效分析。该项目总数</w:t>
      </w:r>
      <w:r>
        <w:rPr>
          <w:rFonts w:ascii="仿宋_GB2312" w:eastAsia="仿宋_GB2312" w:cs="Times New Roman" w:hint="eastAsia"/>
          <w:sz w:val="32"/>
          <w:szCs w:val="32"/>
          <w:lang w:val="en-US" w:eastAsia="zh-CN" w:bidi="ar-SA"/>
        </w:rPr>
        <w:t>0个，设计</w:t>
      </w:r>
      <w:r>
        <w:rPr>
          <w:rFonts w:ascii="仿宋_GB2312" w:eastAsia="仿宋_GB2312" w:cs="Times New Roman" w:hint="eastAsia"/>
          <w:sz w:val="32"/>
          <w:szCs w:val="32"/>
          <w:lang w:val="zh-CN" w:eastAsia="zh-CN" w:bidi="ar-SA"/>
        </w:rPr>
        <w:t>，涉及预算</w:t>
      </w:r>
      <w:r>
        <w:rPr>
          <w:rFonts w:ascii="仿宋_GB2312" w:eastAsia="仿宋_GB2312" w:hint="eastAsia"/>
          <w:sz w:val="32"/>
          <w:szCs w:val="32"/>
          <w:lang w:val="zh-CN" w:eastAsia="zh-CN" w:bidi="ar-SA"/>
        </w:rPr>
        <w:t>总金额</w:t>
      </w:r>
      <w:r>
        <w:rPr>
          <w:rFonts w:ascii="仿宋_GB2312" w:eastAsia="仿宋_GB2312" w:hint="eastAsia"/>
          <w:sz w:val="32"/>
          <w:szCs w:val="32"/>
          <w:lang w:val="en-US" w:eastAsia="zh-CN" w:bidi="ar-SA"/>
        </w:rPr>
        <w:t>0</w:t>
      </w:r>
      <w:r>
        <w:rPr>
          <w:rFonts w:ascii="仿宋_GB2312" w:eastAsia="仿宋_GB2312" w:hint="eastAsia"/>
          <w:sz w:val="32"/>
          <w:szCs w:val="32"/>
          <w:lang w:val="zh-CN" w:eastAsia="zh-CN" w:bidi="ar-SA"/>
        </w:rPr>
        <w:t>万元，1—1</w:t>
      </w:r>
      <w:r>
        <w:rPr>
          <w:rFonts w:ascii="仿宋_GB2312" w:eastAsia="仿宋_GB2312" w:hint="eastAsia"/>
          <w:sz w:val="32"/>
          <w:szCs w:val="32"/>
          <w:lang w:val="en-US" w:eastAsia="zh-CN" w:bidi="ar-SA"/>
        </w:rPr>
        <w:t>2</w:t>
      </w:r>
      <w:r>
        <w:rPr>
          <w:rFonts w:ascii="仿宋_GB2312" w:eastAsia="仿宋_GB2312" w:hint="eastAsia"/>
          <w:sz w:val="32"/>
          <w:szCs w:val="32"/>
          <w:lang w:val="zh-CN" w:eastAsia="zh-CN" w:bidi="ar-SA"/>
        </w:rPr>
        <w:t>月预算执行总体进度为</w:t>
      </w:r>
      <w:r>
        <w:rPr>
          <w:rFonts w:ascii="仿宋_GB2312" w:eastAsia="仿宋_GB2312" w:hint="eastAsia"/>
          <w:sz w:val="32"/>
          <w:szCs w:val="32"/>
          <w:lang w:val="en-US" w:eastAsia="zh-CN" w:bidi="ar-SA"/>
        </w:rPr>
        <w:t>0</w:t>
      </w:r>
      <w:r>
        <w:rPr>
          <w:rFonts w:ascii="仿宋_GB2312" w:eastAsia="仿宋_GB2312" w:hint="eastAsia"/>
          <w:sz w:val="32"/>
          <w:szCs w:val="32"/>
          <w:lang w:val="zh-CN" w:eastAsia="zh-CN" w:bidi="ar-SA"/>
        </w:rPr>
        <w:t>%，其中：预算结余率大于</w:t>
      </w:r>
      <w:r>
        <w:rPr>
          <w:rFonts w:ascii="仿宋_GB2312" w:eastAsia="仿宋_GB2312" w:hint="eastAsia"/>
          <w:sz w:val="32"/>
          <w:szCs w:val="32"/>
          <w:lang w:val="en-US" w:eastAsia="zh-CN" w:bidi="ar-SA"/>
        </w:rPr>
        <w:t>10%</w:t>
      </w:r>
      <w:r>
        <w:rPr>
          <w:rFonts w:ascii="仿宋_GB2312" w:eastAsia="仿宋_GB2312" w:hint="eastAsia"/>
          <w:sz w:val="32"/>
          <w:szCs w:val="32"/>
          <w:lang w:val="zh-CN" w:eastAsia="zh-CN" w:bidi="ar-SA"/>
        </w:rPr>
        <w:t>的项目共计</w:t>
      </w:r>
      <w:r>
        <w:rPr>
          <w:rFonts w:ascii="仿宋_GB2312" w:eastAsia="仿宋_GB2312" w:hint="eastAsia"/>
          <w:sz w:val="32"/>
          <w:szCs w:val="32"/>
          <w:lang w:val="en-US" w:eastAsia="zh-CN" w:bidi="ar-SA"/>
        </w:rPr>
        <w:t>0</w:t>
      </w:r>
      <w:r>
        <w:rPr>
          <w:rFonts w:ascii="仿宋_GB2312" w:eastAsia="仿宋_GB2312" w:hint="eastAsia"/>
          <w:sz w:val="32"/>
          <w:szCs w:val="32"/>
          <w:lang w:val="zh-CN" w:eastAsia="zh-CN" w:bidi="ar-SA"/>
        </w:rPr>
        <w:t>个。</w:t>
      </w:r>
    </w:p>
    <w:p>
      <w:pPr>
        <w:spacing w:line="576" w:lineRule="exact"/>
        <w:ind w:firstLineChars="200" w:firstLine="640"/>
        <w:rPr>
          <w:rFonts w:ascii="仿宋_GB2312" w:eastAsia="仿宋_GB2312" w:hint="eastAsia"/>
          <w:sz w:val="32"/>
          <w:szCs w:val="32"/>
          <w:lang w:val="zh-CN" w:eastAsia="zh-CN" w:bidi="ar-SA"/>
        </w:rPr>
      </w:pPr>
      <w:r>
        <w:rPr>
          <w:rFonts w:ascii="仿宋_GB2312" w:eastAsia="仿宋_GB2312" w:hint="eastAsia"/>
          <w:sz w:val="32"/>
          <w:szCs w:val="32"/>
          <w:lang w:val="en-US" w:eastAsia="zh-CN" w:bidi="ar-SA"/>
        </w:rPr>
        <w:t>阶段（一次性）项目绩效分析。</w:t>
      </w:r>
      <w:r>
        <w:rPr>
          <w:rFonts w:ascii="仿宋_GB2312" w:eastAsia="仿宋_GB2312" w:hint="eastAsia"/>
          <w:sz w:val="32"/>
          <w:szCs w:val="32"/>
          <w:lang w:val="zh-CN" w:eastAsia="zh-CN" w:bidi="ar-SA"/>
        </w:rPr>
        <w:t>该类项目总数4个，涉及预算总金额</w:t>
      </w:r>
      <w:r>
        <w:rPr>
          <w:rFonts w:ascii="仿宋_GB2312" w:eastAsia="仿宋_GB2312" w:hint="eastAsia"/>
          <w:sz w:val="32"/>
          <w:szCs w:val="32"/>
          <w:lang w:val="en-US" w:eastAsia="zh-CN" w:bidi="ar-SA"/>
        </w:rPr>
        <w:t>57.9</w:t>
      </w:r>
      <w:r>
        <w:rPr>
          <w:rFonts w:ascii="仿宋_GB2312" w:eastAsia="仿宋_GB2312" w:hint="eastAsia"/>
          <w:sz w:val="32"/>
          <w:szCs w:val="32"/>
          <w:lang w:val="zh-CN" w:eastAsia="zh-CN" w:bidi="ar-SA"/>
        </w:rPr>
        <w:t>万元，1—1</w:t>
      </w:r>
      <w:r>
        <w:rPr>
          <w:rFonts w:ascii="仿宋_GB2312" w:eastAsia="仿宋_GB2312" w:hint="eastAsia"/>
          <w:sz w:val="32"/>
          <w:szCs w:val="32"/>
          <w:lang w:val="en-US" w:eastAsia="zh-CN" w:bidi="ar-SA"/>
        </w:rPr>
        <w:t>2</w:t>
      </w:r>
      <w:r>
        <w:rPr>
          <w:rFonts w:ascii="仿宋_GB2312" w:eastAsia="仿宋_GB2312" w:hint="eastAsia"/>
          <w:sz w:val="32"/>
          <w:szCs w:val="32"/>
          <w:lang w:val="zh-CN" w:eastAsia="zh-CN" w:bidi="ar-SA"/>
        </w:rPr>
        <w:t>月预算执行总体进度为</w:t>
      </w:r>
      <w:r>
        <w:rPr>
          <w:rFonts w:ascii="仿宋_GB2312" w:eastAsia="仿宋_GB2312" w:hint="eastAsia"/>
          <w:sz w:val="32"/>
          <w:szCs w:val="32"/>
          <w:lang w:val="en-US" w:eastAsia="zh-CN" w:bidi="ar-SA"/>
        </w:rPr>
        <w:t>100</w:t>
      </w:r>
      <w:r>
        <w:rPr>
          <w:rFonts w:ascii="仿宋_GB2312" w:eastAsia="仿宋_GB2312" w:hint="eastAsia"/>
          <w:sz w:val="32"/>
          <w:szCs w:val="32"/>
          <w:lang w:val="zh-CN" w:eastAsia="zh-CN" w:bidi="ar-SA"/>
        </w:rPr>
        <w:t>%，其中：预算结余率大于</w:t>
      </w:r>
      <w:r>
        <w:rPr>
          <w:rFonts w:ascii="仿宋_GB2312" w:eastAsia="仿宋_GB2312" w:hint="eastAsia"/>
          <w:sz w:val="32"/>
          <w:szCs w:val="32"/>
          <w:lang w:val="en-US" w:eastAsia="zh-CN" w:bidi="ar-SA"/>
        </w:rPr>
        <w:t>10%</w:t>
      </w:r>
      <w:r>
        <w:rPr>
          <w:rFonts w:ascii="仿宋_GB2312" w:eastAsia="仿宋_GB2312" w:hint="eastAsia"/>
          <w:sz w:val="32"/>
          <w:szCs w:val="32"/>
          <w:lang w:val="zh-CN" w:eastAsia="zh-CN" w:bidi="ar-SA"/>
        </w:rPr>
        <w:t>的项目共计</w:t>
      </w:r>
      <w:r>
        <w:rPr>
          <w:rFonts w:ascii="仿宋_GB2312" w:eastAsia="仿宋_GB2312" w:hint="eastAsia"/>
          <w:sz w:val="32"/>
          <w:szCs w:val="32"/>
          <w:lang w:val="en-US" w:eastAsia="zh-CN" w:bidi="ar-SA"/>
        </w:rPr>
        <w:t>0</w:t>
      </w:r>
      <w:r>
        <w:rPr>
          <w:rFonts w:ascii="仿宋_GB2312" w:eastAsia="仿宋_GB2312" w:hint="eastAsia"/>
          <w:sz w:val="32"/>
          <w:szCs w:val="32"/>
          <w:lang w:val="zh-CN" w:eastAsia="zh-CN" w:bidi="ar-SA"/>
        </w:rPr>
        <w:t>个。</w:t>
      </w:r>
    </w:p>
    <w:p>
      <w:pPr>
        <w:spacing w:line="576" w:lineRule="exact"/>
        <w:ind w:firstLineChars="200" w:firstLine="640"/>
        <w:rPr>
          <w:rFonts w:ascii="仿宋_GB2312" w:eastAsia="仿宋_GB2312" w:hint="eastAsia"/>
          <w:sz w:val="32"/>
          <w:szCs w:val="32"/>
          <w:lang w:val="zh-CN" w:eastAsia="zh-CN" w:bidi="ar-SA"/>
        </w:rPr>
      </w:pPr>
      <w:r>
        <w:rPr>
          <w:rFonts w:ascii="仿宋_GB2312" w:eastAsia="仿宋_GB2312" w:hint="eastAsia"/>
          <w:sz w:val="32"/>
          <w:szCs w:val="32"/>
          <w:lang w:val="en-US" w:eastAsia="zh-CN" w:bidi="ar-SA"/>
        </w:rPr>
        <w:t>1.</w:t>
      </w:r>
      <w:r>
        <w:rPr>
          <w:rFonts w:ascii="仿宋_GB2312" w:eastAsia="仿宋_GB2312" w:hint="eastAsia"/>
          <w:sz w:val="32"/>
          <w:szCs w:val="32"/>
          <w:lang w:val="zh-CN" w:eastAsia="zh-CN" w:bidi="ar-SA"/>
        </w:rPr>
        <w:t>项目决策</w:t>
      </w:r>
    </w:p>
    <w:p>
      <w:pPr>
        <w:spacing w:line="576" w:lineRule="exact"/>
        <w:ind w:firstLineChars="200" w:firstLine="640"/>
        <w:rPr>
          <w:rFonts w:ascii="仿宋_GB2312" w:eastAsia="仿宋_GB2312" w:hint="eastAsia"/>
          <w:sz w:val="32"/>
          <w:szCs w:val="32"/>
          <w:lang w:val="en-US" w:eastAsia="zh-CN" w:bidi="ar-SA"/>
        </w:rPr>
      </w:pPr>
      <w:r>
        <w:rPr>
          <w:rFonts w:ascii="仿宋_GB2312" w:eastAsia="仿宋_GB2312" w:hint="eastAsia"/>
          <w:sz w:val="32"/>
          <w:szCs w:val="32"/>
          <w:lang w:val="en-US" w:eastAsia="zh-CN" w:bidi="ar-SA"/>
        </w:rPr>
        <w:t>国家、省级资金每年由州市场监督管理局根据工作实际进行分配；县级项目资金属于常年项目我局于每年单独形成请示报县人民政府批准后拨付。待资金下达后，再撰写项目事前评估报告，项目入库申报。我局严格执行“三重一大”要求，对凡涉及项目资金支出超过5000元以上通过局务会研究予以支付。</w:t>
      </w:r>
    </w:p>
    <w:p>
      <w:pPr>
        <w:spacing w:line="576" w:lineRule="exact"/>
        <w:ind w:firstLineChars="200" w:firstLine="640"/>
        <w:rPr>
          <w:rFonts w:ascii="仿宋_GB2312" w:eastAsia="仿宋_GB2312" w:hint="eastAsia"/>
          <w:sz w:val="32"/>
          <w:szCs w:val="32"/>
          <w:lang w:val="en-US" w:eastAsia="zh-CN" w:bidi="ar-SA"/>
        </w:rPr>
      </w:pPr>
      <w:r>
        <w:rPr>
          <w:rFonts w:ascii="仿宋_GB2312" w:eastAsia="仿宋_GB2312" w:hint="eastAsia"/>
          <w:sz w:val="32"/>
          <w:szCs w:val="32"/>
          <w:lang w:val="en-US" w:eastAsia="zh-CN" w:bidi="ar-SA"/>
        </w:rPr>
        <w:t>2.项目执行</w:t>
      </w:r>
    </w:p>
    <w:p>
      <w:pPr>
        <w:spacing w:line="576" w:lineRule="exact"/>
        <w:ind w:firstLineChars="200" w:firstLine="640"/>
        <w:rPr>
          <w:rFonts w:ascii="仿宋_GB2312" w:eastAsia="仿宋_GB2312" w:hint="eastAsia"/>
          <w:sz w:val="32"/>
          <w:szCs w:val="32"/>
          <w:lang w:val="zh-CN" w:eastAsia="zh-CN"/>
        </w:rPr>
      </w:pPr>
      <w:r>
        <w:rPr>
          <w:rFonts w:ascii="仿宋_GB2312" w:eastAsia="仿宋_GB2312" w:hint="eastAsia"/>
          <w:sz w:val="32"/>
          <w:szCs w:val="32"/>
          <w:lang w:val="en-US" w:eastAsia="zh-CN" w:bidi="ar-SA"/>
        </w:rPr>
        <w:t>2025年中央药品专项资金，预算数2.5万元，支付数2.5万元，支付进度100%</w:t>
      </w:r>
    </w:p>
    <w:p>
      <w:pPr>
        <w:spacing w:line="576" w:lineRule="exact"/>
        <w:ind w:firstLineChars="200" w:firstLine="640"/>
        <w:rPr>
          <w:rFonts w:ascii="仿宋_GB2312" w:eastAsia="仿宋_GB2312" w:hint="eastAsia"/>
          <w:sz w:val="32"/>
          <w:szCs w:val="32"/>
          <w:lang w:val="en-US" w:eastAsia="zh-CN" w:bidi="ar-SA"/>
        </w:rPr>
      </w:pPr>
      <w:r>
        <w:rPr>
          <w:rFonts w:ascii="仿宋_GB2312" w:eastAsia="仿宋_GB2312" w:hint="eastAsia"/>
          <w:sz w:val="32"/>
          <w:szCs w:val="32"/>
          <w:lang w:val="en-US" w:eastAsia="zh-CN" w:bidi="ar-SA"/>
        </w:rPr>
        <w:t>2025年省级药品监管专项资金，预算数10.4万元，支付数10.32万元，支付进度98.92%</w:t>
      </w:r>
    </w:p>
    <w:p>
      <w:pPr>
        <w:spacing w:line="576" w:lineRule="exact"/>
        <w:ind w:firstLineChars="200" w:firstLine="640"/>
        <w:rPr>
          <w:rFonts w:ascii="仿宋_GB2312" w:eastAsia="仿宋_GB2312" w:hint="eastAsia"/>
          <w:sz w:val="32"/>
          <w:szCs w:val="32"/>
          <w:lang w:val="zh-CN" w:eastAsia="zh-CN" w:bidi="ar-SA"/>
        </w:rPr>
      </w:pPr>
      <w:r>
        <w:rPr>
          <w:rFonts w:ascii="仿宋_GB2312" w:eastAsia="仿宋_GB2312" w:hint="eastAsia"/>
          <w:sz w:val="32"/>
          <w:szCs w:val="32"/>
          <w:lang w:val="en-US" w:eastAsia="zh-CN" w:bidi="ar-SA"/>
        </w:rPr>
        <w:t>2025年省级财政市场监管专项资金，预算数33.6万元，支付数31.69万元，支付进度94.32%</w:t>
      </w:r>
    </w:p>
    <w:p>
      <w:pPr>
        <w:spacing w:line="576" w:lineRule="exact"/>
        <w:ind w:firstLineChars="200" w:firstLine="640"/>
        <w:rPr>
          <w:rFonts w:ascii="仿宋_GB2312" w:eastAsia="仿宋_GB2312" w:hint="eastAsia"/>
          <w:sz w:val="32"/>
          <w:szCs w:val="32"/>
          <w:lang w:val="zh-CN" w:eastAsia="zh-CN" w:bidi="ar-SA"/>
        </w:rPr>
      </w:pPr>
      <w:r>
        <w:rPr>
          <w:rFonts w:ascii="仿宋_GB2312" w:eastAsia="仿宋_GB2312" w:hint="eastAsia"/>
          <w:sz w:val="32"/>
          <w:szCs w:val="32"/>
          <w:lang w:val="en-US" w:eastAsia="zh-CN" w:bidi="ar-SA"/>
        </w:rPr>
        <w:t>2024年“个转企”激励资金补助，预算数11.4万元，支付数10.8万元，支付进度94.74%</w:t>
      </w:r>
    </w:p>
    <w:p>
      <w:pPr>
        <w:spacing w:line="576" w:lineRule="exact"/>
        <w:ind w:firstLineChars="200" w:firstLine="640"/>
        <w:rPr>
          <w:rFonts w:ascii="仿宋_GB2312" w:eastAsia="仿宋_GB2312" w:hint="eastAsia"/>
          <w:sz w:val="32"/>
          <w:szCs w:val="32"/>
          <w:lang w:val="zh-CN" w:eastAsia="zh-CN" w:bidi="ar-SA"/>
        </w:rPr>
      </w:pPr>
      <w:r>
        <w:rPr>
          <w:rFonts w:ascii="仿宋_GB2312" w:eastAsia="仿宋_GB2312" w:hint="eastAsia"/>
          <w:sz w:val="32"/>
          <w:szCs w:val="32"/>
          <w:lang w:val="en-US" w:eastAsia="zh-CN" w:bidi="ar-SA"/>
        </w:rPr>
        <w:t>3.</w:t>
      </w:r>
      <w:r>
        <w:rPr>
          <w:rFonts w:ascii="仿宋_GB2312" w:eastAsia="仿宋_GB2312" w:hint="eastAsia"/>
          <w:sz w:val="32"/>
          <w:szCs w:val="32"/>
          <w:lang w:val="zh-CN" w:eastAsia="zh-CN" w:bidi="ar-SA"/>
        </w:rPr>
        <w:t>目标实现</w:t>
      </w:r>
    </w:p>
    <w:p>
      <w:pPr>
        <w:spacing w:line="576" w:lineRule="exact"/>
        <w:ind w:firstLineChars="200" w:firstLine="640"/>
        <w:rPr>
          <w:rFonts w:ascii="仿宋_GB2312" w:eastAsia="仿宋_GB2312" w:hint="eastAsia"/>
          <w:sz w:val="32"/>
          <w:szCs w:val="32"/>
          <w:lang w:val="en-US" w:eastAsia="zh-CN" w:bidi="ar-SA"/>
        </w:rPr>
      </w:pPr>
      <w:r>
        <w:rPr>
          <w:rFonts w:ascii="仿宋_GB2312" w:eastAsia="仿宋_GB2312" w:hint="eastAsia"/>
          <w:sz w:val="32"/>
          <w:szCs w:val="32"/>
          <w:lang w:val="en-US" w:eastAsia="zh-CN" w:bidi="ar-SA"/>
        </w:rPr>
        <w:t>各项既定绩效目标全部圆满达成，履职、预算、财务等核心指标均达到评价标准，有效保障了各项核心工作有序推进</w:t>
      </w:r>
    </w:p>
    <w:p>
      <w:pPr>
        <w:spacing w:line="576" w:lineRule="exact"/>
        <w:ind w:firstLineChars="200" w:firstLine="640"/>
        <w:rPr>
          <w:rFonts w:ascii="楷体_GB2312" w:eastAsia="楷体_GB2312" w:cs="楷体_GB2312" w:hint="eastAsia"/>
          <w:b/>
          <w:bCs/>
          <w:sz w:val="32"/>
          <w:szCs w:val="32"/>
          <w:lang w:val="zh-CN" w:eastAsia="zh-CN" w:bidi="ar-SA"/>
        </w:rPr>
      </w:pPr>
      <w:r>
        <w:rPr>
          <w:rFonts w:ascii="楷体_GB2312" w:eastAsia="楷体_GB2312" w:cs="楷体_GB2312" w:hint="eastAsia"/>
          <w:b/>
          <w:bCs/>
          <w:sz w:val="32"/>
          <w:szCs w:val="32"/>
          <w:lang w:val="zh-CN" w:eastAsia="zh-CN" w:bidi="ar-SA"/>
        </w:rPr>
        <w:t>（三）绩效结果应用情况。</w:t>
      </w:r>
    </w:p>
    <w:p>
      <w:pPr>
        <w:spacing w:line="576" w:lineRule="exact"/>
        <w:ind w:firstLineChars="200" w:firstLine="640"/>
        <w:rPr>
          <w:rFonts w:ascii="仿宋_GB2312" w:eastAsia="仿宋_GB2312" w:hint="eastAsia"/>
          <w:sz w:val="32"/>
          <w:szCs w:val="32"/>
          <w:lang w:val="en-US" w:eastAsia="zh-CN" w:bidi="ar-SA"/>
        </w:rPr>
      </w:pPr>
      <w:r>
        <w:rPr>
          <w:rFonts w:ascii="仿宋_GB2312" w:eastAsia="仿宋_GB2312" w:hint="eastAsia"/>
          <w:sz w:val="32"/>
          <w:szCs w:val="32"/>
          <w:lang w:val="en-US" w:eastAsia="zh-CN" w:bidi="ar-SA"/>
        </w:rPr>
        <w:t>1.结果应用情况</w:t>
      </w:r>
    </w:p>
    <w:p>
      <w:pPr>
        <w:spacing w:line="576" w:lineRule="exact"/>
        <w:ind w:firstLineChars="200" w:firstLine="640"/>
        <w:rPr>
          <w:rFonts w:ascii="仿宋_GB2312" w:eastAsia="仿宋_GB2312" w:hint="eastAsia"/>
          <w:sz w:val="32"/>
          <w:szCs w:val="32"/>
          <w:lang w:val="en-US" w:eastAsia="zh-CN" w:bidi="ar-SA"/>
        </w:rPr>
      </w:pPr>
      <w:r>
        <w:rPr>
          <w:rFonts w:ascii="仿宋_GB2312" w:eastAsia="仿宋_GB2312" w:hint="eastAsia"/>
          <w:sz w:val="32"/>
          <w:szCs w:val="32"/>
          <w:lang w:val="en-US" w:eastAsia="zh-CN" w:bidi="ar-SA"/>
        </w:rPr>
        <w:t>通过整体支出绩效自评，一是增强了各股室的绩效评价主体责任意识；二是促进规范使用各种资金；三是绩效评价结果作为年终综合考核的重要依据。</w:t>
      </w:r>
    </w:p>
    <w:p>
      <w:pPr>
        <w:spacing w:line="576" w:lineRule="exact"/>
        <w:ind w:firstLineChars="200" w:firstLine="640"/>
        <w:rPr>
          <w:rFonts w:ascii="黑体" w:eastAsia="黑体" w:cs="黑体" w:hint="eastAsia"/>
          <w:sz w:val="32"/>
          <w:szCs w:val="32"/>
          <w:lang w:val="en-US" w:eastAsia="zh-CN" w:bidi="ar-SA"/>
        </w:rPr>
      </w:pPr>
      <w:r>
        <w:rPr>
          <w:rFonts w:ascii="黑体" w:eastAsia="黑体" w:cs="黑体" w:hint="eastAsia"/>
          <w:sz w:val="32"/>
          <w:szCs w:val="32"/>
          <w:lang w:val="en-US" w:eastAsia="zh-CN" w:bidi="ar-SA"/>
        </w:rPr>
        <w:t>四、评价结论及建议</w:t>
      </w:r>
    </w:p>
    <w:p>
      <w:pPr>
        <w:spacing w:line="576" w:lineRule="exact"/>
        <w:ind w:firstLineChars="200" w:firstLine="640"/>
        <w:rPr>
          <w:rFonts w:ascii="楷体_GB2312" w:eastAsia="楷体_GB2312" w:cs="楷体_GB2312" w:hint="eastAsia"/>
          <w:b/>
          <w:bCs/>
          <w:sz w:val="32"/>
          <w:szCs w:val="32"/>
          <w:lang w:val="en-US" w:eastAsia="zh-CN" w:bidi="ar-SA"/>
        </w:rPr>
      </w:pPr>
      <w:r>
        <w:rPr>
          <w:rFonts w:ascii="楷体_GB2312" w:eastAsia="楷体_GB2312" w:cs="楷体_GB2312" w:hint="eastAsia"/>
          <w:b/>
          <w:bCs/>
          <w:sz w:val="32"/>
          <w:szCs w:val="32"/>
          <w:lang w:val="en-US" w:eastAsia="zh-CN" w:bidi="ar-SA"/>
        </w:rPr>
        <w:t>（一）评价结论</w:t>
      </w:r>
    </w:p>
    <w:p>
      <w:pPr>
        <w:spacing w:line="576" w:lineRule="exact"/>
        <w:ind w:firstLineChars="200" w:firstLine="640"/>
        <w:rPr>
          <w:rFonts w:ascii="仿宋_GB2312" w:eastAsia="仿宋_GB2312" w:hint="eastAsia"/>
          <w:sz w:val="32"/>
          <w:szCs w:val="32"/>
          <w:lang w:val="en-US" w:eastAsia="zh-CN" w:bidi="ar-SA"/>
        </w:rPr>
      </w:pPr>
      <w:r>
        <w:rPr>
          <w:rFonts w:ascii="仿宋_GB2312" w:eastAsia="仿宋_GB2312" w:hint="eastAsia"/>
          <w:sz w:val="32"/>
          <w:szCs w:val="32"/>
          <w:lang w:val="en-US" w:eastAsia="zh-CN" w:bidi="ar-SA"/>
        </w:rPr>
        <w:t>2025年我局扎实推进预算绩效结果落地应用。将绩效结果与工作考核挂钩，优化资金配置；2025年我局认真做好财政资金预算编制工作，强化资金统筹优化、明确开支范围、细化资金用途，有效保障部门职责任务完成和单位正常运转，降低行政运行成本，促进社会和谐稳定，充分发挥财政资金经济效益与社会效益。全年基本支出保障日常工作开展，项目支出支撑重点工作推进，整体完成年初设定绩效目标，自查自评结果良好，自评得分89分。针对薄弱环节及时整改，建立长效机制，切实提升绩效管控水平。</w:t>
      </w:r>
    </w:p>
    <w:p>
      <w:pPr>
        <w:spacing w:line="576" w:lineRule="exact"/>
        <w:ind w:firstLineChars="200" w:firstLine="640"/>
        <w:rPr>
          <w:rFonts w:ascii="楷体_GB2312" w:eastAsia="楷体_GB2312" w:cs="楷体_GB2312" w:hint="eastAsia"/>
          <w:b/>
          <w:bCs/>
          <w:sz w:val="32"/>
          <w:szCs w:val="32"/>
          <w:lang w:val="en-US" w:eastAsia="zh-CN" w:bidi="ar-SA"/>
        </w:rPr>
      </w:pPr>
      <w:r>
        <w:rPr>
          <w:rFonts w:ascii="楷体_GB2312" w:eastAsia="楷体_GB2312" w:cs="楷体_GB2312" w:hint="eastAsia"/>
          <w:b/>
          <w:bCs/>
          <w:sz w:val="32"/>
          <w:szCs w:val="32"/>
          <w:lang w:val="en-US" w:eastAsia="zh-CN" w:bidi="ar-SA"/>
        </w:rPr>
        <w:t>（二）存在问题</w:t>
      </w:r>
    </w:p>
    <w:p>
      <w:pPr>
        <w:spacing w:line="576" w:lineRule="exact"/>
        <w:ind w:firstLineChars="200" w:firstLine="640"/>
        <w:rPr>
          <w:rFonts w:ascii="仿宋_GB2312" w:eastAsia="仿宋_GB2312" w:hint="eastAsia"/>
          <w:sz w:val="32"/>
          <w:szCs w:val="32"/>
          <w:lang w:val="en-US" w:eastAsia="zh-CN" w:bidi="ar-SA"/>
        </w:rPr>
      </w:pPr>
      <w:r>
        <w:rPr>
          <w:rFonts w:ascii="仿宋_GB2312" w:eastAsia="仿宋_GB2312" w:hint="eastAsia"/>
          <w:sz w:val="32"/>
          <w:szCs w:val="32"/>
          <w:lang w:val="en-US" w:eastAsia="zh-CN" w:bidi="ar-SA"/>
        </w:rPr>
        <w:t>我局在编制2025年度部门预算时，虽然根据本单位职能职责和年度工作计划严格考量和评估，并在实施过程中严格量入为出。但在2025年部门预算执行过程中，仍然存在由于工作任务的突发性，一些无法预计未列入年初预算的支出，需要在年度中间进行预算追加和调整。</w:t>
      </w:r>
    </w:p>
    <w:p>
      <w:pPr>
        <w:spacing w:line="576" w:lineRule="exact"/>
        <w:ind w:firstLineChars="200" w:firstLine="640"/>
        <w:rPr>
          <w:rFonts w:ascii="楷体_GB2312" w:eastAsia="楷体_GB2312" w:cs="楷体_GB2312" w:hint="eastAsia"/>
          <w:b/>
          <w:bCs/>
          <w:sz w:val="32"/>
          <w:szCs w:val="32"/>
          <w:lang w:val="en-US" w:eastAsia="zh-CN" w:bidi="ar-SA"/>
        </w:rPr>
      </w:pPr>
      <w:r>
        <w:rPr>
          <w:rFonts w:ascii="楷体_GB2312" w:eastAsia="楷体_GB2312" w:cs="楷体_GB2312" w:hint="eastAsia"/>
          <w:b/>
          <w:bCs/>
          <w:sz w:val="32"/>
          <w:szCs w:val="32"/>
          <w:lang w:val="en-US" w:eastAsia="zh-CN" w:bidi="ar-SA"/>
        </w:rPr>
        <w:t>（三）改进建议</w:t>
      </w:r>
    </w:p>
    <w:p>
      <w:pPr>
        <w:spacing w:line="576" w:lineRule="exact"/>
        <w:ind w:firstLineChars="200" w:firstLine="640"/>
        <w:rPr>
          <w:rFonts w:ascii="仿宋_GB2312" w:eastAsia="仿宋_GB2312" w:hint="eastAsia"/>
          <w:sz w:val="32"/>
          <w:szCs w:val="32"/>
          <w:lang w:val="en-US" w:eastAsia="zh-CN" w:bidi="ar-SA"/>
        </w:rPr>
      </w:pPr>
      <w:r>
        <w:rPr>
          <w:rFonts w:ascii="仿宋_GB2312" w:eastAsia="仿宋_GB2312" w:hint="eastAsia"/>
          <w:sz w:val="32"/>
          <w:szCs w:val="32"/>
          <w:lang w:val="en-US" w:eastAsia="zh-CN" w:bidi="ar-SA"/>
        </w:rPr>
        <w:t>在今后的工作中，我局将认真贯彻落实上级及县财政部门关于预算绩效管理工作精神，积极参加财政组织的预算绩效管理业务培训，提高业务能力。落实预算执行分析，及时了解预算执行差异，合理调整、纠正预算执行偏差，切实提高部门预算收支管理水平。</w:t>
      </w:r>
    </w:p>
    <w:p>
      <w:pPr>
        <w:spacing w:line="576" w:lineRule="exact"/>
        <w:ind w:firstLineChars="200" w:firstLine="640"/>
        <w:rPr>
          <w:rFonts w:ascii="仿宋_GB2312" w:eastAsia="仿宋_GB2312" w:hint="eastAsia"/>
          <w:sz w:val="32"/>
          <w:szCs w:val="32"/>
          <w:lang w:val="en-US" w:eastAsia="zh-CN" w:bidi="ar-SA"/>
        </w:rPr>
      </w:pPr>
    </w:p>
    <w:p>
      <w:pPr>
        <w:pStyle w:val="16"/>
        <w:rPr>
          <w:rFonts w:hint="eastAsia"/>
          <w:lang w:val="en-US" w:eastAsia="zh-CN"/>
        </w:rPr>
      </w:pPr>
    </w:p>
    <w:p>
      <w:pPr>
        <w:pStyle w:val="16"/>
        <w:ind w:firstLineChars="200" w:firstLine="420"/>
      </w:pPr>
    </w:p>
    <w:p/>
    <w:p>
      <w:pPr>
        <w:pStyle w:val="19"/>
      </w:pPr>
    </w:p>
    <w:p>
      <w:pPr>
        <w:pStyle w:val="16"/>
        <w:ind w:leftChars="0" w:left="0" w:firstLineChars="400" w:firstLine="1280"/>
        <w:jc w:val="both"/>
        <w:rPr>
          <w:rFonts w:ascii="方正小标宋简体" w:eastAsia="方正小标宋简体" w:hint="eastAsia"/>
          <w:sz w:val="32"/>
        </w:rPr>
      </w:pPr>
      <w:r>
        <w:rPr>
          <w:rFonts w:ascii="方正小标宋简体" w:eastAsia="方正小标宋简体" w:hint="eastAsia"/>
          <w:sz w:val="32"/>
        </w:rPr>
        <w:t>部门预算项目支出绩效自评表（2025年度）</w:t>
      </w:r>
    </w:p>
    <w:tbl>
      <w:tblPr>
        <w:jc w:val="center"/>
        <w:tblW w:w="9665" w:type="dxa"/>
        <w:tblBorders>
          <w:top w:val="none" w:sz="0" w:space="0" w:color="auto"/>
          <w:left w:val="none" w:sz="0" w:space="0" w:color="auto"/>
          <w:bottom w:val="none" w:sz="0" w:space="0" w:color="auto"/>
          <w:right w:val="none" w:sz="0" w:space="0" w:color="auto"/>
        </w:tblBorders>
        <w:tblLayout w:type="fixed"/>
        <w:tblCellMar>
          <w:top w:w="15" w:type="dxa"/>
          <w:left w:w="15" w:type="dxa"/>
          <w:bottom w:w="15" w:type="dxa"/>
          <w:right w:w="15" w:type="dxa"/>
        </w:tblCellMar>
      </w:tblPr>
      <w:tblGrid>
        <w:gridCol w:w="690"/>
        <w:gridCol w:w="979"/>
        <w:gridCol w:w="1257"/>
        <w:gridCol w:w="2432"/>
        <w:gridCol w:w="517"/>
        <w:gridCol w:w="481"/>
        <w:gridCol w:w="1188"/>
        <w:gridCol w:w="528"/>
        <w:gridCol w:w="144"/>
        <w:gridCol w:w="523"/>
        <w:gridCol w:w="927"/>
      </w:tblGrid>
      <w:tr>
        <w:trPr>
          <w:trHeight w:val="303"/>
        </w:trPr>
        <w:tc>
          <w:tcPr>
            <w:tcW w:w="5358" w:type="dxa"/>
            <w:gridSpan w:val="4"/>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项目名称</w:t>
            </w:r>
          </w:p>
        </w:tc>
        <w:tc>
          <w:tcPr>
            <w:tcW w:w="4308" w:type="dxa"/>
            <w:gridSpan w:val="7"/>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kern w:val="0"/>
                <w:position w:val="0"/>
                <w:sz w:val="15"/>
                <w:szCs w:val="15"/>
                <w:lang w:val="en-US" w:eastAsia="zh-CN" w:bidi="ar-SA"/>
                <w:highlight w:val="auto"/>
              </w:rPr>
              <w:t>2025年中央药品专项资金</w:t>
            </w:r>
          </w:p>
        </w:tc>
      </w:tr>
      <w:tr>
        <w:trPr>
          <w:trHeight w:val="436"/>
        </w:trPr>
        <w:tc>
          <w:tcPr>
            <w:tcW w:w="5358" w:type="dxa"/>
            <w:gridSpan w:val="4"/>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预算单位</w:t>
            </w:r>
          </w:p>
        </w:tc>
        <w:tc>
          <w:tcPr>
            <w:tcW w:w="4308" w:type="dxa"/>
            <w:gridSpan w:val="7"/>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茂县市场监督管理局</w:t>
            </w:r>
          </w:p>
        </w:tc>
      </w:tr>
      <w:tr>
        <w:trPr>
          <w:trHeight w:val="304"/>
        </w:trPr>
        <w:tc>
          <w:tcPr>
            <w:tcW w:w="5358" w:type="dxa"/>
            <w:gridSpan w:val="4"/>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项目类型</w:t>
            </w:r>
          </w:p>
        </w:tc>
        <w:tc>
          <w:tcPr>
            <w:tcW w:w="4308" w:type="dxa"/>
            <w:gridSpan w:val="7"/>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中央药品专项资金</w:t>
            </w:r>
          </w:p>
        </w:tc>
      </w:tr>
      <w:tr>
        <w:trPr>
          <w:trHeight w:val="303"/>
        </w:trPr>
        <w:tc>
          <w:tcPr>
            <w:tcW w:w="5358" w:type="dxa"/>
            <w:gridSpan w:val="4"/>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项目起止年限</w:t>
            </w:r>
          </w:p>
        </w:tc>
        <w:tc>
          <w:tcPr>
            <w:tcW w:w="4308" w:type="dxa"/>
            <w:gridSpan w:val="7"/>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2025年</w:t>
            </w:r>
          </w:p>
        </w:tc>
      </w:tr>
      <w:tr>
        <w:trPr>
          <w:trHeight w:val="303"/>
        </w:trPr>
        <w:tc>
          <w:tcPr>
            <w:tcW w:w="1669"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项目资金</w:t>
            </w:r>
          </w:p>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（万元）</w:t>
            </w:r>
          </w:p>
        </w:tc>
        <w:tc>
          <w:tcPr>
            <w:tcW w:w="3689"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left"/>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 xml:space="preserve">  年度资金总额：</w:t>
            </w:r>
          </w:p>
        </w:tc>
        <w:tc>
          <w:tcPr>
            <w:tcW w:w="517" w:type="dxa"/>
            <w:tcBorders>
              <w:top w:val="single" w:sz="4" w:space="0" w:color="000000"/>
              <w:left w:val="single" w:sz="4" w:space="0" w:color="000000"/>
              <w:bottom w:val="single" w:sz="4" w:space="0" w:color="000000"/>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val="en-US" w:eastAsia="zh-CN" w:bidi="ar-SA"/>
              </w:rPr>
            </w:pPr>
            <w:r>
              <w:rPr>
                <w:rFonts w:ascii="仿宋_GB2312" w:eastAsia="仿宋_GB2312" w:cs="Times New Roman" w:hint="eastAsia"/>
                <w:color w:val="000000"/>
                <w:sz w:val="15"/>
                <w:szCs w:val="15"/>
                <w:u w:val="none"/>
                <w:lang w:val="en-US" w:eastAsia="zh-CN" w:bidi="ar-SA"/>
              </w:rPr>
              <w:t>2.5</w:t>
            </w:r>
          </w:p>
        </w:tc>
        <w:tc>
          <w:tcPr>
            <w:tcW w:w="2341" w:type="dxa"/>
            <w:gridSpan w:val="4"/>
            <w:tcBorders>
              <w:top w:val="single" w:sz="4" w:space="0" w:color="000000"/>
              <w:left w:val="single" w:sz="4" w:space="0" w:color="auto"/>
              <w:bottom w:val="single" w:sz="4" w:space="0" w:color="000000"/>
              <w:right w:val="single" w:sz="4" w:space="0" w:color="auto"/>
            </w:tcBorders>
            <w:noWrap/>
            <w:vAlign w:val="center"/>
          </w:tcPr>
          <w:p>
            <w:pPr>
              <w:keepNext w:val="0"/>
              <w:keepLines w:val="0"/>
              <w:pageBreakBefore w:val="0"/>
              <w:widowControl w:val="0"/>
              <w:tabs>
                <w:tab w:val="left" w:pos="635"/>
              </w:tabs>
              <w:suppressAutoHyphens/>
              <w:kinsoku/>
              <w:wordWrap/>
              <w:overflowPunct/>
              <w:topLinePunct w:val="0"/>
              <w:autoSpaceDE/>
              <w:autoSpaceDN/>
              <w:bidi w:val="0"/>
              <w:adjustRightInd/>
              <w:snapToGrid/>
              <w:spacing w:line="300" w:lineRule="exact"/>
              <w:ind w:left="0"/>
              <w:jc w:val="left"/>
              <w:rPr>
                <w:rFonts w:ascii="仿宋_GB2312" w:eastAsia="仿宋_GB2312" w:cs="Times New Roman" w:hint="eastAsia"/>
                <w:color w:val="000000"/>
                <w:sz w:val="15"/>
                <w:szCs w:val="15"/>
                <w:u w:val="none"/>
                <w:lang w:val="en-US" w:eastAsia="zh-CN" w:bidi="ar-SA"/>
              </w:rPr>
            </w:pPr>
            <w:r>
              <w:rPr>
                <w:rFonts w:ascii="仿宋_GB2312" w:eastAsia="仿宋_GB2312" w:cs="Times New Roman" w:hint="eastAsia"/>
                <w:color w:val="000000"/>
                <w:sz w:val="15"/>
                <w:szCs w:val="15"/>
                <w:u w:val="none"/>
                <w:lang w:val="en-US" w:eastAsia="zh-CN" w:bidi="ar-SA"/>
              </w:rPr>
              <w:t>已执行金额：</w:t>
            </w:r>
          </w:p>
        </w:tc>
        <w:tc>
          <w:tcPr>
            <w:tcW w:w="1450" w:type="dxa"/>
            <w:gridSpan w:val="2"/>
            <w:tcBorders>
              <w:top w:val="single" w:sz="4" w:space="0" w:color="000000"/>
              <w:left w:val="single" w:sz="4" w:space="0" w:color="auto"/>
              <w:bottom w:val="single" w:sz="4" w:space="0" w:color="000000"/>
              <w:right w:val="single" w:sz="4" w:space="0" w:color="000000"/>
            </w:tcBorders>
            <w:noWrap/>
            <w:vAlign w:val="center"/>
          </w:tcPr>
          <w:p>
            <w:pPr>
              <w:keepNext w:val="0"/>
              <w:keepLines w:val="0"/>
              <w:pageBreakBefore w:val="0"/>
              <w:widowControl w:val="0"/>
              <w:tabs>
                <w:tab w:val="left" w:pos="635"/>
              </w:tabs>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val="en-US" w:eastAsia="zh-CN" w:bidi="ar-SA"/>
              </w:rPr>
            </w:pPr>
            <w:r>
              <w:rPr>
                <w:rFonts w:ascii="仿宋_GB2312" w:eastAsia="仿宋_GB2312" w:cs="Times New Roman" w:hint="eastAsia"/>
                <w:color w:val="000000"/>
                <w:sz w:val="15"/>
                <w:szCs w:val="15"/>
                <w:u w:val="none"/>
                <w:lang w:val="en-US" w:eastAsia="zh-CN" w:bidi="ar-SA"/>
              </w:rPr>
              <w:t>2.5</w:t>
            </w:r>
          </w:p>
        </w:tc>
      </w:tr>
      <w:tr>
        <w:trPr>
          <w:trHeight w:val="303"/>
        </w:trPr>
        <w:tc>
          <w:tcPr>
            <w:tcW w:w="1669"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3689"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left"/>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 xml:space="preserve">      其中：财政拨款</w:t>
            </w:r>
          </w:p>
        </w:tc>
        <w:tc>
          <w:tcPr>
            <w:tcW w:w="517" w:type="dxa"/>
            <w:tcBorders>
              <w:top w:val="single" w:sz="4" w:space="0" w:color="000000"/>
              <w:left w:val="single" w:sz="4" w:space="0" w:color="000000"/>
              <w:bottom w:val="single" w:sz="4" w:space="0" w:color="000000"/>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val="en-US" w:eastAsia="zh-CN" w:bidi="ar-SA"/>
              </w:rPr>
            </w:pPr>
            <w:r>
              <w:rPr>
                <w:rFonts w:ascii="仿宋_GB2312" w:eastAsia="仿宋_GB2312" w:cs="Times New Roman" w:hint="eastAsia"/>
                <w:color w:val="000000"/>
                <w:sz w:val="15"/>
                <w:szCs w:val="15"/>
                <w:u w:val="none"/>
                <w:lang w:val="en-US" w:eastAsia="zh-CN" w:bidi="ar-SA"/>
              </w:rPr>
              <w:t>2.5</w:t>
            </w:r>
          </w:p>
        </w:tc>
        <w:tc>
          <w:tcPr>
            <w:tcW w:w="2341" w:type="dxa"/>
            <w:gridSpan w:val="4"/>
            <w:tcBorders>
              <w:top w:val="single" w:sz="4" w:space="0" w:color="000000"/>
              <w:left w:val="single" w:sz="4" w:space="0" w:color="auto"/>
              <w:bottom w:val="single" w:sz="4" w:space="0" w:color="000000"/>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left"/>
              <w:textAlignment w:val="center"/>
              <w:rPr>
                <w:rFonts w:ascii="仿宋_GB2312" w:eastAsia="仿宋_GB2312" w:cs="Times New Roman" w:hint="eastAsia"/>
                <w:color w:val="000000"/>
                <w:sz w:val="15"/>
                <w:szCs w:val="15"/>
                <w:u w:val="none"/>
                <w:lang w:val="en-US" w:eastAsia="zh-CN" w:bidi="ar-SA"/>
              </w:rPr>
            </w:pPr>
            <w:r>
              <w:rPr>
                <w:rFonts w:ascii="仿宋_GB2312" w:eastAsia="仿宋_GB2312" w:cs="Times New Roman" w:hint="eastAsia"/>
                <w:color w:val="000000"/>
                <w:kern w:val="0"/>
                <w:sz w:val="15"/>
                <w:szCs w:val="15"/>
                <w:u w:val="none"/>
                <w:lang w:val="en-US" w:eastAsia="zh-CN"/>
              </w:rPr>
              <w:t>其中：财政拨款</w:t>
            </w:r>
          </w:p>
        </w:tc>
        <w:tc>
          <w:tcPr>
            <w:tcW w:w="1450" w:type="dxa"/>
            <w:gridSpan w:val="2"/>
            <w:tcBorders>
              <w:top w:val="single" w:sz="4" w:space="0" w:color="000000"/>
              <w:left w:val="single" w:sz="4" w:space="0" w:color="auto"/>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2.5</w:t>
            </w:r>
          </w:p>
        </w:tc>
      </w:tr>
      <w:tr>
        <w:trPr>
          <w:trHeight w:val="535"/>
        </w:trPr>
        <w:tc>
          <w:tcPr>
            <w:tcW w:w="1669"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3689"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left"/>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 xml:space="preserve">            其他资金</w:t>
            </w:r>
          </w:p>
        </w:tc>
        <w:tc>
          <w:tcPr>
            <w:tcW w:w="517" w:type="dxa"/>
            <w:tcBorders>
              <w:top w:val="single" w:sz="4" w:space="0" w:color="000000"/>
              <w:left w:val="single" w:sz="4" w:space="0" w:color="000000"/>
              <w:bottom w:val="single" w:sz="4" w:space="0" w:color="000000"/>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p>
        </w:tc>
        <w:tc>
          <w:tcPr>
            <w:tcW w:w="2341" w:type="dxa"/>
            <w:gridSpan w:val="4"/>
            <w:tcBorders>
              <w:top w:val="single" w:sz="4" w:space="0" w:color="000000"/>
              <w:left w:val="single" w:sz="4" w:space="0" w:color="auto"/>
              <w:bottom w:val="single" w:sz="4" w:space="0" w:color="000000"/>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left"/>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 xml:space="preserve">            其他资金</w:t>
            </w:r>
          </w:p>
        </w:tc>
        <w:tc>
          <w:tcPr>
            <w:tcW w:w="1450" w:type="dxa"/>
            <w:gridSpan w:val="2"/>
            <w:tcBorders>
              <w:top w:val="single" w:sz="4" w:space="0" w:color="000000"/>
              <w:left w:val="single" w:sz="4" w:space="0" w:color="auto"/>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left"/>
              <w:textAlignment w:val="center"/>
              <w:rPr>
                <w:rFonts w:ascii="仿宋_GB2312" w:eastAsia="仿宋_GB2312" w:cs="Times New Roman" w:hint="eastAsia"/>
                <w:color w:val="000000"/>
                <w:kern w:val="0"/>
                <w:sz w:val="15"/>
                <w:szCs w:val="15"/>
                <w:u w:val="none"/>
                <w:lang w:val="en-US" w:eastAsia="zh-CN"/>
              </w:rPr>
            </w:pPr>
          </w:p>
        </w:tc>
      </w:tr>
      <w:tr>
        <w:trPr>
          <w:trHeight w:val="303"/>
        </w:trPr>
        <w:tc>
          <w:tcPr>
            <w:tcW w:w="690" w:type="dxa"/>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总体 目标</w:t>
            </w:r>
          </w:p>
        </w:tc>
        <w:tc>
          <w:tcPr>
            <w:tcW w:w="8976" w:type="dxa"/>
            <w:gridSpan w:val="10"/>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年度目标</w:t>
            </w:r>
          </w:p>
        </w:tc>
      </w:tr>
      <w:tr>
        <w:trPr>
          <w:trHeight w:val="575"/>
        </w:trPr>
        <w:tc>
          <w:tcPr>
            <w:tcW w:w="690" w:type="dxa"/>
            <w:vMerge/>
            <w:tcBorders>
              <w:top w:val="single" w:sz="4" w:space="0" w:color="000000"/>
              <w:left w:val="single" w:sz="4" w:space="0" w:color="000000"/>
              <w:bottom w:val="single" w:sz="4" w:space="0" w:color="000000"/>
              <w:right w:val="single" w:sz="4" w:space="0" w:color="000000"/>
            </w:tcBorders>
            <w:noWrap/>
            <w:vAlign w:val="center"/>
          </w:tcPr>
          <w:p/>
        </w:tc>
        <w:tc>
          <w:tcPr>
            <w:tcW w:w="8976" w:type="dxa"/>
            <w:gridSpan w:val="10"/>
            <w:tcBorders>
              <w:top w:val="single" w:sz="4" w:space="0" w:color="000000"/>
              <w:left w:val="single" w:sz="4" w:space="0" w:color="000000"/>
              <w:bottom w:val="single" w:sz="4" w:space="0" w:color="000000"/>
              <w:right w:val="single" w:sz="4" w:space="0" w:color="000000"/>
            </w:tcBorders>
            <w:noWrap/>
            <w:vAlign w:val="center"/>
          </w:tcPr>
          <w:p>
            <w:pPr>
              <w:pStyle w:val="21"/>
              <w:tabs>
                <w:tab w:val="left" w:pos="2160"/>
              </w:tabs>
              <w:ind w:firstLineChars="200" w:firstLine="300"/>
              <w:rPr>
                <w:rFonts w:ascii="仿宋_GB2312" w:eastAsia="仿宋_GB2312" w:hint="eastAsia"/>
                <w:position w:val="0"/>
                <w:sz w:val="15"/>
                <w:szCs w:val="15"/>
                <w:shd w:val="clear" w:color="auto" w:fill="FFFFFF"/>
              </w:rPr>
            </w:pPr>
            <w:r>
              <w:rPr>
                <w:rFonts w:ascii="仿宋_GB2312" w:eastAsia="仿宋_GB2312" w:hint="eastAsia"/>
                <w:position w:val="0"/>
                <w:sz w:val="15"/>
                <w:szCs w:val="15"/>
                <w:shd w:val="clear" w:color="auto" w:fill="FFFFFF"/>
                <w:lang w:eastAsia="zh-CN" w:bidi="ar-SA"/>
              </w:rPr>
              <w:t>为提高药品抽检效率，进一步加强药品质量监管，故购置药品抽检设备。</w:t>
            </w:r>
          </w:p>
        </w:tc>
      </w:tr>
      <w:tr>
        <w:trPr>
          <w:trHeight w:val="789"/>
        </w:trPr>
        <w:tc>
          <w:tcPr>
            <w:tcW w:w="690" w:type="dxa"/>
            <w:vMerge w:val="restart"/>
            <w:tcBorders>
              <w:top w:val="single" w:sz="4" w:space="0" w:color="000000"/>
              <w:left w:val="single" w:sz="4" w:space="0" w:color="000000"/>
              <w:bottom w:val="single" w:sz="4" w:space="0" w:color="000000"/>
              <w:right w:val="nil"/>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绩效 指标</w:t>
            </w:r>
          </w:p>
        </w:tc>
        <w:tc>
          <w:tcPr>
            <w:tcW w:w="979"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一级指标</w:t>
            </w:r>
          </w:p>
        </w:tc>
        <w:tc>
          <w:tcPr>
            <w:tcW w:w="125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二级指标</w:t>
            </w:r>
          </w:p>
        </w:tc>
        <w:tc>
          <w:tcPr>
            <w:tcW w:w="243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三级指标</w:t>
            </w:r>
          </w:p>
        </w:tc>
        <w:tc>
          <w:tcPr>
            <w:tcW w:w="998"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指标性质</w:t>
            </w:r>
          </w:p>
        </w:tc>
        <w:tc>
          <w:tcPr>
            <w:tcW w:w="118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指标值</w:t>
            </w:r>
          </w:p>
        </w:tc>
        <w:tc>
          <w:tcPr>
            <w:tcW w:w="52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度量单位</w:t>
            </w:r>
          </w:p>
        </w:tc>
        <w:tc>
          <w:tcPr>
            <w:tcW w:w="667"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权重</w:t>
            </w:r>
          </w:p>
        </w:tc>
        <w:tc>
          <w:tcPr>
            <w:tcW w:w="92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实际完成指标值</w:t>
            </w:r>
          </w:p>
        </w:tc>
      </w:tr>
      <w:tr>
        <w:trPr>
          <w:trHeight w:val="807"/>
        </w:trPr>
        <w:tc>
          <w:tcPr>
            <w:tcW w:w="690" w:type="dxa"/>
            <w:vMerge/>
            <w:tcBorders>
              <w:top w:val="single" w:sz="4" w:space="0" w:color="000000"/>
              <w:left w:val="single" w:sz="4" w:space="0" w:color="000000"/>
              <w:bottom w:val="single" w:sz="4" w:space="0" w:color="000000"/>
              <w:right w:val="nil"/>
            </w:tcBorders>
            <w:noWrap/>
            <w:vAlign w:val="center"/>
          </w:tcPr>
          <w:p/>
        </w:tc>
        <w:tc>
          <w:tcPr>
            <w:tcW w:w="979" w:type="dxa"/>
            <w:vMerge w:val="restart"/>
            <w:tcBorders>
              <w:top w:val="single" w:sz="4" w:space="0" w:color="000000"/>
              <w:left w:val="single" w:sz="4" w:space="0" w:color="000000"/>
              <w:bottom w:val="nil"/>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产出指标</w:t>
            </w:r>
          </w:p>
        </w:tc>
        <w:tc>
          <w:tcPr>
            <w:tcW w:w="125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数量指标</w:t>
            </w:r>
          </w:p>
        </w:tc>
        <w:tc>
          <w:tcPr>
            <w:tcW w:w="243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开展医疗器械不良事件监测、药物滥用、药品安全宣传周宣传活动</w:t>
            </w:r>
          </w:p>
        </w:tc>
        <w:tc>
          <w:tcPr>
            <w:tcW w:w="998"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w:t>
            </w:r>
          </w:p>
        </w:tc>
        <w:tc>
          <w:tcPr>
            <w:tcW w:w="118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4</w:t>
            </w:r>
          </w:p>
        </w:tc>
        <w:tc>
          <w:tcPr>
            <w:tcW w:w="52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次</w:t>
            </w:r>
          </w:p>
        </w:tc>
        <w:tc>
          <w:tcPr>
            <w:tcW w:w="667"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5</w:t>
            </w:r>
          </w:p>
        </w:tc>
        <w:tc>
          <w:tcPr>
            <w:tcW w:w="92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4</w:t>
            </w:r>
          </w:p>
        </w:tc>
      </w:tr>
      <w:tr>
        <w:trPr>
          <w:trHeight w:val="555"/>
        </w:trPr>
        <w:tc>
          <w:tcPr>
            <w:tcW w:w="690" w:type="dxa"/>
            <w:vMerge/>
            <w:tcBorders>
              <w:top w:val="single" w:sz="4" w:space="0" w:color="000000"/>
              <w:left w:val="single" w:sz="4" w:space="0" w:color="000000"/>
              <w:bottom w:val="single" w:sz="4" w:space="0" w:color="000000"/>
              <w:right w:val="nil"/>
            </w:tcBorders>
            <w:noWrap/>
            <w:vAlign w:val="center"/>
          </w:tcPr>
          <w:p/>
        </w:tc>
        <w:tc>
          <w:tcPr>
            <w:tcW w:w="979" w:type="dxa"/>
            <w:vMerge/>
            <w:tcBorders>
              <w:top w:val="nil"/>
              <w:left w:val="single" w:sz="4" w:space="0" w:color="000000"/>
              <w:bottom w:val="nil"/>
              <w:right w:val="single" w:sz="4" w:space="0" w:color="000000"/>
            </w:tcBorders>
            <w:noWrap/>
            <w:vAlign w:val="center"/>
          </w:tcPr>
          <w:p/>
        </w:tc>
        <w:tc>
          <w:tcPr>
            <w:tcW w:w="125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数量指标</w:t>
            </w:r>
          </w:p>
        </w:tc>
        <w:tc>
          <w:tcPr>
            <w:tcW w:w="243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全省药品不良反应每百万人口平均报告数</w:t>
            </w:r>
          </w:p>
        </w:tc>
        <w:tc>
          <w:tcPr>
            <w:tcW w:w="998"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w:t>
            </w:r>
          </w:p>
        </w:tc>
        <w:tc>
          <w:tcPr>
            <w:tcW w:w="118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104</w:t>
            </w:r>
          </w:p>
        </w:tc>
        <w:tc>
          <w:tcPr>
            <w:tcW w:w="52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每例</w:t>
            </w:r>
          </w:p>
        </w:tc>
        <w:tc>
          <w:tcPr>
            <w:tcW w:w="667"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5</w:t>
            </w:r>
          </w:p>
        </w:tc>
        <w:tc>
          <w:tcPr>
            <w:tcW w:w="92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104</w:t>
            </w:r>
          </w:p>
        </w:tc>
      </w:tr>
      <w:tr>
        <w:trPr>
          <w:trHeight w:val="303"/>
        </w:trPr>
        <w:tc>
          <w:tcPr>
            <w:tcW w:w="690" w:type="dxa"/>
            <w:vMerge/>
            <w:tcBorders>
              <w:top w:val="single" w:sz="4" w:space="0" w:color="000000"/>
              <w:left w:val="single" w:sz="4" w:space="0" w:color="000000"/>
              <w:bottom w:val="single" w:sz="4" w:space="0" w:color="000000"/>
              <w:right w:val="nil"/>
            </w:tcBorders>
            <w:noWrap/>
            <w:vAlign w:val="center"/>
          </w:tcPr>
          <w:p/>
        </w:tc>
        <w:tc>
          <w:tcPr>
            <w:tcW w:w="979" w:type="dxa"/>
            <w:vMerge/>
            <w:tcBorders>
              <w:top w:val="nil"/>
              <w:left w:val="single" w:sz="4" w:space="0" w:color="000000"/>
              <w:bottom w:val="nil"/>
              <w:right w:val="single" w:sz="4" w:space="0" w:color="000000"/>
            </w:tcBorders>
            <w:noWrap/>
            <w:vAlign w:val="center"/>
          </w:tcPr>
          <w:p/>
        </w:tc>
        <w:tc>
          <w:tcPr>
            <w:tcW w:w="125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质量指标</w:t>
            </w:r>
          </w:p>
        </w:tc>
        <w:tc>
          <w:tcPr>
            <w:tcW w:w="243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不合格药品处置率</w:t>
            </w:r>
          </w:p>
        </w:tc>
        <w:tc>
          <w:tcPr>
            <w:tcW w:w="998"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w:t>
            </w:r>
          </w:p>
        </w:tc>
        <w:tc>
          <w:tcPr>
            <w:tcW w:w="118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100</w:t>
            </w:r>
          </w:p>
        </w:tc>
        <w:tc>
          <w:tcPr>
            <w:tcW w:w="52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w:t>
            </w:r>
          </w:p>
        </w:tc>
        <w:tc>
          <w:tcPr>
            <w:tcW w:w="667"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p>
        </w:tc>
        <w:tc>
          <w:tcPr>
            <w:tcW w:w="92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100</w:t>
            </w:r>
          </w:p>
        </w:tc>
      </w:tr>
      <w:tr>
        <w:trPr>
          <w:trHeight w:val="555"/>
        </w:trPr>
        <w:tc>
          <w:tcPr>
            <w:tcW w:w="690" w:type="dxa"/>
            <w:vMerge/>
            <w:tcBorders>
              <w:top w:val="single" w:sz="4" w:space="0" w:color="000000"/>
              <w:left w:val="single" w:sz="4" w:space="0" w:color="000000"/>
              <w:bottom w:val="single" w:sz="4" w:space="0" w:color="000000"/>
              <w:right w:val="nil"/>
            </w:tcBorders>
            <w:noWrap/>
            <w:vAlign w:val="center"/>
          </w:tcPr>
          <w:p/>
        </w:tc>
        <w:tc>
          <w:tcPr>
            <w:tcW w:w="979" w:type="dxa"/>
            <w:vMerge/>
            <w:tcBorders>
              <w:top w:val="nil"/>
              <w:left w:val="single" w:sz="4" w:space="0" w:color="000000"/>
              <w:bottom w:val="nil"/>
              <w:right w:val="single" w:sz="4" w:space="0" w:color="000000"/>
            </w:tcBorders>
            <w:noWrap/>
            <w:vAlign w:val="center"/>
          </w:tcPr>
          <w:p/>
        </w:tc>
        <w:tc>
          <w:tcPr>
            <w:tcW w:w="125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质量指标</w:t>
            </w:r>
          </w:p>
        </w:tc>
        <w:tc>
          <w:tcPr>
            <w:tcW w:w="243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国家医疗器械抽检不合格产品处置率</w:t>
            </w:r>
          </w:p>
        </w:tc>
        <w:tc>
          <w:tcPr>
            <w:tcW w:w="998"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w:t>
            </w:r>
          </w:p>
        </w:tc>
        <w:tc>
          <w:tcPr>
            <w:tcW w:w="118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100</w:t>
            </w:r>
          </w:p>
        </w:tc>
        <w:tc>
          <w:tcPr>
            <w:tcW w:w="52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w:t>
            </w:r>
          </w:p>
        </w:tc>
        <w:tc>
          <w:tcPr>
            <w:tcW w:w="667"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10</w:t>
            </w:r>
          </w:p>
        </w:tc>
        <w:tc>
          <w:tcPr>
            <w:tcW w:w="92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100</w:t>
            </w:r>
          </w:p>
        </w:tc>
      </w:tr>
      <w:tr>
        <w:trPr>
          <w:trHeight w:val="555"/>
        </w:trPr>
        <w:tc>
          <w:tcPr>
            <w:tcW w:w="690" w:type="dxa"/>
            <w:vMerge/>
            <w:tcBorders>
              <w:top w:val="single" w:sz="4" w:space="0" w:color="000000"/>
              <w:left w:val="single" w:sz="4" w:space="0" w:color="000000"/>
              <w:bottom w:val="single" w:sz="4" w:space="0" w:color="000000"/>
              <w:right w:val="nil"/>
            </w:tcBorders>
            <w:noWrap/>
            <w:vAlign w:val="center"/>
          </w:tcPr>
          <w:p/>
        </w:tc>
        <w:tc>
          <w:tcPr>
            <w:tcW w:w="979" w:type="dxa"/>
            <w:vMerge/>
            <w:tcBorders>
              <w:top w:val="nil"/>
              <w:left w:val="single" w:sz="4" w:space="0" w:color="000000"/>
              <w:bottom w:val="nil"/>
              <w:right w:val="single" w:sz="4" w:space="0" w:color="000000"/>
            </w:tcBorders>
            <w:noWrap/>
            <w:vAlign w:val="center"/>
          </w:tcPr>
          <w:p/>
        </w:tc>
        <w:tc>
          <w:tcPr>
            <w:tcW w:w="125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质量指标</w:t>
            </w:r>
          </w:p>
        </w:tc>
        <w:tc>
          <w:tcPr>
            <w:tcW w:w="243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抽检不符合规定化妆品处置率</w:t>
            </w:r>
          </w:p>
        </w:tc>
        <w:tc>
          <w:tcPr>
            <w:tcW w:w="998"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w:t>
            </w:r>
          </w:p>
        </w:tc>
        <w:tc>
          <w:tcPr>
            <w:tcW w:w="118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firstLineChars="200" w:firstLine="300"/>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100</w:t>
            </w:r>
          </w:p>
        </w:tc>
        <w:tc>
          <w:tcPr>
            <w:tcW w:w="52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w:t>
            </w:r>
          </w:p>
        </w:tc>
        <w:tc>
          <w:tcPr>
            <w:tcW w:w="667"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10</w:t>
            </w:r>
          </w:p>
        </w:tc>
        <w:tc>
          <w:tcPr>
            <w:tcW w:w="92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100</w:t>
            </w:r>
          </w:p>
        </w:tc>
      </w:tr>
      <w:tr>
        <w:trPr>
          <w:trHeight w:val="555"/>
        </w:trPr>
        <w:tc>
          <w:tcPr>
            <w:tcW w:w="690" w:type="dxa"/>
            <w:vMerge/>
            <w:tcBorders>
              <w:top w:val="single" w:sz="4" w:space="0" w:color="000000"/>
              <w:left w:val="single" w:sz="4" w:space="0" w:color="000000"/>
              <w:bottom w:val="single" w:sz="4" w:space="0" w:color="000000"/>
              <w:right w:val="nil"/>
            </w:tcBorders>
            <w:noWrap/>
            <w:vAlign w:val="center"/>
          </w:tcPr>
          <w:p/>
        </w:tc>
        <w:tc>
          <w:tcPr>
            <w:tcW w:w="979" w:type="dxa"/>
            <w:vMerge/>
            <w:tcBorders>
              <w:top w:val="nil"/>
              <w:left w:val="single" w:sz="4" w:space="0" w:color="000000"/>
              <w:bottom w:val="nil"/>
              <w:right w:val="single" w:sz="4" w:space="0" w:color="000000"/>
            </w:tcBorders>
            <w:noWrap/>
            <w:vAlign w:val="center"/>
          </w:tcPr>
          <w:p/>
        </w:tc>
        <w:tc>
          <w:tcPr>
            <w:tcW w:w="125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质量指标</w:t>
            </w:r>
          </w:p>
        </w:tc>
        <w:tc>
          <w:tcPr>
            <w:tcW w:w="243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风险监测问题化妆品处置率</w:t>
            </w:r>
          </w:p>
        </w:tc>
        <w:tc>
          <w:tcPr>
            <w:tcW w:w="998"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w:t>
            </w:r>
          </w:p>
        </w:tc>
        <w:tc>
          <w:tcPr>
            <w:tcW w:w="118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100</w:t>
            </w:r>
          </w:p>
        </w:tc>
        <w:tc>
          <w:tcPr>
            <w:tcW w:w="52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w:t>
            </w:r>
          </w:p>
        </w:tc>
        <w:tc>
          <w:tcPr>
            <w:tcW w:w="667"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5</w:t>
            </w:r>
          </w:p>
        </w:tc>
        <w:tc>
          <w:tcPr>
            <w:tcW w:w="92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100</w:t>
            </w:r>
          </w:p>
        </w:tc>
      </w:tr>
      <w:tr>
        <w:trPr>
          <w:trHeight w:val="303"/>
        </w:trPr>
        <w:tc>
          <w:tcPr>
            <w:tcW w:w="690" w:type="dxa"/>
            <w:vMerge/>
            <w:tcBorders>
              <w:top w:val="single" w:sz="4" w:space="0" w:color="000000"/>
              <w:left w:val="single" w:sz="4" w:space="0" w:color="000000"/>
              <w:bottom w:val="single" w:sz="4" w:space="0" w:color="000000"/>
              <w:right w:val="nil"/>
            </w:tcBorders>
            <w:noWrap/>
            <w:vAlign w:val="center"/>
          </w:tcPr>
          <w:p/>
        </w:tc>
        <w:tc>
          <w:tcPr>
            <w:tcW w:w="979" w:type="dxa"/>
            <w:vMerge/>
            <w:tcBorders>
              <w:top w:val="nil"/>
              <w:left w:val="single" w:sz="4" w:space="0" w:color="000000"/>
              <w:bottom w:val="nil"/>
              <w:right w:val="single" w:sz="4" w:space="0" w:color="000000"/>
            </w:tcBorders>
            <w:noWrap/>
            <w:vAlign w:val="center"/>
          </w:tcPr>
          <w:p/>
        </w:tc>
        <w:tc>
          <w:tcPr>
            <w:tcW w:w="125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质量指标</w:t>
            </w:r>
          </w:p>
        </w:tc>
        <w:tc>
          <w:tcPr>
            <w:tcW w:w="243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监督检查发现风险隐患处置率</w:t>
            </w:r>
          </w:p>
        </w:tc>
        <w:tc>
          <w:tcPr>
            <w:tcW w:w="998"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w:t>
            </w:r>
          </w:p>
        </w:tc>
        <w:tc>
          <w:tcPr>
            <w:tcW w:w="118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100</w:t>
            </w:r>
          </w:p>
        </w:tc>
        <w:tc>
          <w:tcPr>
            <w:tcW w:w="52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w:t>
            </w:r>
          </w:p>
        </w:tc>
        <w:tc>
          <w:tcPr>
            <w:tcW w:w="667"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5</w:t>
            </w:r>
          </w:p>
        </w:tc>
        <w:tc>
          <w:tcPr>
            <w:tcW w:w="92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100</w:t>
            </w:r>
          </w:p>
        </w:tc>
      </w:tr>
      <w:tr>
        <w:trPr>
          <w:trHeight w:val="303"/>
        </w:trPr>
        <w:tc>
          <w:tcPr>
            <w:tcW w:w="690" w:type="dxa"/>
            <w:vMerge/>
            <w:tcBorders>
              <w:top w:val="single" w:sz="4" w:space="0" w:color="000000"/>
              <w:left w:val="single" w:sz="4" w:space="0" w:color="000000"/>
              <w:bottom w:val="single" w:sz="4" w:space="0" w:color="000000"/>
              <w:right w:val="nil"/>
            </w:tcBorders>
            <w:noWrap/>
            <w:vAlign w:val="center"/>
          </w:tcPr>
          <w:p/>
        </w:tc>
        <w:tc>
          <w:tcPr>
            <w:tcW w:w="979" w:type="dxa"/>
            <w:vMerge/>
            <w:tcBorders>
              <w:top w:val="nil"/>
              <w:left w:val="single" w:sz="4" w:space="0" w:color="000000"/>
              <w:bottom w:val="nil"/>
              <w:right w:val="single" w:sz="4" w:space="0" w:color="000000"/>
            </w:tcBorders>
            <w:noWrap/>
            <w:vAlign w:val="center"/>
          </w:tcPr>
          <w:p/>
        </w:tc>
        <w:tc>
          <w:tcPr>
            <w:tcW w:w="125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质量指标</w:t>
            </w:r>
          </w:p>
        </w:tc>
        <w:tc>
          <w:tcPr>
            <w:tcW w:w="243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特殊药品流失案件查处率</w:t>
            </w:r>
          </w:p>
        </w:tc>
        <w:tc>
          <w:tcPr>
            <w:tcW w:w="998"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w:t>
            </w:r>
          </w:p>
        </w:tc>
        <w:tc>
          <w:tcPr>
            <w:tcW w:w="118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firstLineChars="200" w:firstLine="300"/>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100</w:t>
            </w:r>
          </w:p>
        </w:tc>
        <w:tc>
          <w:tcPr>
            <w:tcW w:w="52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w:t>
            </w:r>
          </w:p>
        </w:tc>
        <w:tc>
          <w:tcPr>
            <w:tcW w:w="667"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5</w:t>
            </w:r>
          </w:p>
        </w:tc>
        <w:tc>
          <w:tcPr>
            <w:tcW w:w="92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both"/>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100</w:t>
            </w:r>
          </w:p>
        </w:tc>
      </w:tr>
      <w:tr>
        <w:trPr>
          <w:trHeight w:val="555"/>
        </w:trPr>
        <w:tc>
          <w:tcPr>
            <w:tcW w:w="690" w:type="dxa"/>
            <w:vMerge/>
            <w:tcBorders>
              <w:top w:val="single" w:sz="4" w:space="0" w:color="000000"/>
              <w:left w:val="single" w:sz="4" w:space="0" w:color="000000"/>
              <w:bottom w:val="single" w:sz="4" w:space="0" w:color="000000"/>
              <w:right w:val="nil"/>
            </w:tcBorders>
            <w:noWrap/>
            <w:vAlign w:val="center"/>
          </w:tcPr>
          <w:p/>
        </w:tc>
        <w:tc>
          <w:tcPr>
            <w:tcW w:w="979" w:type="dxa"/>
            <w:vMerge/>
            <w:tcBorders>
              <w:top w:val="nil"/>
              <w:left w:val="single" w:sz="4" w:space="0" w:color="000000"/>
              <w:bottom w:val="nil"/>
              <w:right w:val="single" w:sz="4" w:space="0" w:color="000000"/>
            </w:tcBorders>
            <w:noWrap/>
            <w:vAlign w:val="center"/>
          </w:tcPr>
          <w:p/>
        </w:tc>
        <w:tc>
          <w:tcPr>
            <w:tcW w:w="125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时效指标</w:t>
            </w:r>
          </w:p>
        </w:tc>
        <w:tc>
          <w:tcPr>
            <w:tcW w:w="243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任务完成时间</w:t>
            </w:r>
          </w:p>
        </w:tc>
        <w:tc>
          <w:tcPr>
            <w:tcW w:w="998"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定性</w:t>
            </w:r>
          </w:p>
        </w:tc>
        <w:tc>
          <w:tcPr>
            <w:tcW w:w="118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2025年12月</w:t>
            </w:r>
          </w:p>
        </w:tc>
        <w:tc>
          <w:tcPr>
            <w:tcW w:w="52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p>
        </w:tc>
        <w:tc>
          <w:tcPr>
            <w:tcW w:w="667"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5</w:t>
            </w:r>
          </w:p>
        </w:tc>
        <w:tc>
          <w:tcPr>
            <w:tcW w:w="92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2025年12月</w:t>
            </w:r>
          </w:p>
        </w:tc>
      </w:tr>
      <w:tr>
        <w:trPr>
          <w:trHeight w:val="555"/>
        </w:trPr>
        <w:tc>
          <w:tcPr>
            <w:tcW w:w="690" w:type="dxa"/>
            <w:vMerge/>
            <w:tcBorders>
              <w:top w:val="single" w:sz="4" w:space="0" w:color="000000"/>
              <w:left w:val="single" w:sz="4" w:space="0" w:color="000000"/>
              <w:bottom w:val="single" w:sz="4" w:space="0" w:color="000000"/>
              <w:right w:val="nil"/>
            </w:tcBorders>
            <w:noWrap/>
            <w:vAlign w:val="center"/>
          </w:tcPr>
          <w:p/>
        </w:tc>
        <w:tc>
          <w:tcPr>
            <w:tcW w:w="979"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效益指标</w:t>
            </w:r>
          </w:p>
        </w:tc>
        <w:tc>
          <w:tcPr>
            <w:tcW w:w="1257" w:type="dxa"/>
            <w:tcBorders>
              <w:top w:val="single" w:sz="4" w:space="0" w:color="000000"/>
              <w:left w:val="single" w:sz="4" w:space="0" w:color="000000"/>
              <w:bottom w:val="nil"/>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可持续影响指标</w:t>
            </w:r>
          </w:p>
        </w:tc>
        <w:tc>
          <w:tcPr>
            <w:tcW w:w="243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基层监管队伍整体素质</w:t>
            </w:r>
          </w:p>
        </w:tc>
        <w:tc>
          <w:tcPr>
            <w:tcW w:w="998"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定性</w:t>
            </w:r>
          </w:p>
        </w:tc>
        <w:tc>
          <w:tcPr>
            <w:tcW w:w="118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持续提高</w:t>
            </w:r>
          </w:p>
        </w:tc>
        <w:tc>
          <w:tcPr>
            <w:tcW w:w="52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p>
        </w:tc>
        <w:tc>
          <w:tcPr>
            <w:tcW w:w="667"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5</w:t>
            </w:r>
          </w:p>
        </w:tc>
        <w:tc>
          <w:tcPr>
            <w:tcW w:w="92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持续提高</w:t>
            </w:r>
          </w:p>
        </w:tc>
      </w:tr>
      <w:tr>
        <w:trPr>
          <w:trHeight w:val="555"/>
        </w:trPr>
        <w:tc>
          <w:tcPr>
            <w:tcW w:w="690" w:type="dxa"/>
            <w:vMerge/>
            <w:tcBorders>
              <w:top w:val="single" w:sz="4" w:space="0" w:color="000000"/>
              <w:left w:val="single" w:sz="4" w:space="0" w:color="000000"/>
              <w:bottom w:val="single" w:sz="4" w:space="0" w:color="000000"/>
              <w:right w:val="nil"/>
            </w:tcBorders>
            <w:noWrap/>
            <w:vAlign w:val="center"/>
          </w:tcPr>
          <w:p/>
        </w:tc>
        <w:tc>
          <w:tcPr>
            <w:tcW w:w="979" w:type="dxa"/>
            <w:vMerge w:val="restart"/>
            <w:tcBorders>
              <w:top w:val="single" w:sz="4" w:space="0" w:color="000000"/>
              <w:left w:val="single" w:sz="4" w:space="0" w:color="000000"/>
              <w:bottom w:val="nil"/>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成本指标</w:t>
            </w:r>
          </w:p>
        </w:tc>
        <w:tc>
          <w:tcPr>
            <w:tcW w:w="1257" w:type="dxa"/>
            <w:tcBorders>
              <w:top w:val="single" w:sz="4" w:space="0" w:color="000000"/>
              <w:left w:val="single" w:sz="4" w:space="0" w:color="000000"/>
              <w:bottom w:val="nil"/>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社会成本指标</w:t>
            </w:r>
          </w:p>
        </w:tc>
        <w:tc>
          <w:tcPr>
            <w:tcW w:w="243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基层监管队伍执法能力和监管能力</w:t>
            </w:r>
          </w:p>
        </w:tc>
        <w:tc>
          <w:tcPr>
            <w:tcW w:w="998"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Arial"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定性</w:t>
            </w:r>
          </w:p>
        </w:tc>
        <w:tc>
          <w:tcPr>
            <w:tcW w:w="118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持续提高</w:t>
            </w:r>
          </w:p>
        </w:tc>
        <w:tc>
          <w:tcPr>
            <w:tcW w:w="52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p>
        </w:tc>
        <w:tc>
          <w:tcPr>
            <w:tcW w:w="667"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5</w:t>
            </w:r>
          </w:p>
        </w:tc>
        <w:tc>
          <w:tcPr>
            <w:tcW w:w="92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持续提高</w:t>
            </w:r>
          </w:p>
        </w:tc>
      </w:tr>
      <w:tr>
        <w:trPr>
          <w:trHeight w:val="341"/>
        </w:trPr>
        <w:tc>
          <w:tcPr>
            <w:tcW w:w="690" w:type="dxa"/>
            <w:vMerge/>
            <w:tcBorders>
              <w:top w:val="single" w:sz="4" w:space="0" w:color="000000"/>
              <w:left w:val="single" w:sz="4" w:space="0" w:color="000000"/>
              <w:bottom w:val="single" w:sz="4" w:space="0" w:color="000000"/>
              <w:right w:val="nil"/>
            </w:tcBorders>
            <w:noWrap/>
            <w:vAlign w:val="center"/>
          </w:tcPr>
          <w:p/>
        </w:tc>
        <w:tc>
          <w:tcPr>
            <w:tcW w:w="979" w:type="dxa"/>
            <w:vMerge/>
            <w:tcBorders>
              <w:top w:val="nil"/>
              <w:left w:val="single" w:sz="4" w:space="0" w:color="000000"/>
              <w:bottom w:val="single" w:sz="4" w:space="0" w:color="000000"/>
              <w:right w:val="single" w:sz="4" w:space="0" w:color="000000"/>
            </w:tcBorders>
            <w:noWrap/>
            <w:vAlign w:val="center"/>
          </w:tcPr>
          <w:p/>
        </w:tc>
        <w:tc>
          <w:tcPr>
            <w:tcW w:w="1257" w:type="dxa"/>
            <w:tcBorders>
              <w:top w:val="single" w:sz="4" w:space="0" w:color="000000"/>
              <w:left w:val="single" w:sz="4" w:space="0" w:color="000000"/>
              <w:bottom w:val="nil"/>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社会成本指标</w:t>
            </w:r>
          </w:p>
        </w:tc>
        <w:tc>
          <w:tcPr>
            <w:tcW w:w="243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培训成本</w:t>
            </w:r>
          </w:p>
        </w:tc>
        <w:tc>
          <w:tcPr>
            <w:tcW w:w="998"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Arial" w:hint="eastAsia"/>
                <w:color w:val="000000"/>
                <w:kern w:val="0"/>
                <w:sz w:val="15"/>
                <w:szCs w:val="15"/>
                <w:u w:val="none"/>
                <w:lang w:val="en-US" w:eastAsia="zh-CN"/>
              </w:rPr>
              <w:t>≤</w:t>
            </w:r>
          </w:p>
        </w:tc>
        <w:tc>
          <w:tcPr>
            <w:tcW w:w="118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400</w:t>
            </w:r>
          </w:p>
        </w:tc>
        <w:tc>
          <w:tcPr>
            <w:tcW w:w="52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人/天</w:t>
            </w:r>
          </w:p>
        </w:tc>
        <w:tc>
          <w:tcPr>
            <w:tcW w:w="667"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5</w:t>
            </w:r>
          </w:p>
        </w:tc>
        <w:tc>
          <w:tcPr>
            <w:tcW w:w="92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400</w:t>
            </w:r>
          </w:p>
        </w:tc>
      </w:tr>
      <w:tr>
        <w:trPr>
          <w:cantSplit/>
          <w:trHeight w:val="30"/>
        </w:trPr>
        <w:tc>
          <w:tcPr>
            <w:tcW w:w="690" w:type="dxa"/>
            <w:vMerge/>
            <w:tcBorders>
              <w:top w:val="single" w:sz="4" w:space="0" w:color="000000"/>
              <w:left w:val="single" w:sz="4" w:space="0" w:color="000000"/>
              <w:bottom w:val="single" w:sz="4" w:space="0" w:color="000000"/>
              <w:right w:val="single" w:sz="4" w:space="0" w:color="auto"/>
            </w:tcBorders>
            <w:noWrap/>
            <w:vAlign w:val="center"/>
          </w:tcPr>
          <w:p/>
        </w:tc>
        <w:tc>
          <w:tcPr>
            <w:tcW w:w="979" w:type="dxa"/>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满意度指标</w:t>
            </w:r>
          </w:p>
        </w:tc>
        <w:tc>
          <w:tcPr>
            <w:tcW w:w="1257" w:type="dxa"/>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服务对象满意度</w:t>
            </w:r>
          </w:p>
        </w:tc>
        <w:tc>
          <w:tcPr>
            <w:tcW w:w="2432" w:type="dxa"/>
            <w:tcBorders>
              <w:top w:val="single" w:sz="4" w:space="0" w:color="000000"/>
              <w:left w:val="single" w:sz="4" w:space="0" w:color="auto"/>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公众对药品监管工作满意度</w:t>
            </w:r>
          </w:p>
        </w:tc>
        <w:tc>
          <w:tcPr>
            <w:tcW w:w="998"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w:t>
            </w:r>
          </w:p>
        </w:tc>
        <w:tc>
          <w:tcPr>
            <w:tcW w:w="118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98</w:t>
            </w:r>
          </w:p>
        </w:tc>
        <w:tc>
          <w:tcPr>
            <w:tcW w:w="52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w:t>
            </w:r>
          </w:p>
        </w:tc>
        <w:tc>
          <w:tcPr>
            <w:tcW w:w="667"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5</w:t>
            </w:r>
          </w:p>
        </w:tc>
        <w:tc>
          <w:tcPr>
            <w:tcW w:w="92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98</w:t>
            </w:r>
          </w:p>
        </w:tc>
      </w:tr>
    </w:tbl>
    <w:p>
      <w:pPr>
        <w:pStyle w:val="16"/>
        <w:keepNext w:val="0"/>
        <w:keepLines w:val="0"/>
        <w:pageBreakBefore w:val="0"/>
        <w:widowControl w:val="0"/>
        <w:suppressAutoHyphens/>
        <w:kinsoku/>
        <w:wordWrap/>
        <w:overflowPunct/>
        <w:topLinePunct w:val="0"/>
        <w:autoSpaceDE/>
        <w:autoSpaceDN/>
        <w:bidi w:val="0"/>
        <w:adjustRightInd/>
        <w:snapToGrid/>
        <w:spacing w:after="0" w:line="20" w:lineRule="exact"/>
        <w:ind w:leftChars="0" w:left="0" w:firstLineChars="0" w:firstLine="0"/>
        <w:textAlignment w:val="auto"/>
        <w:rPr>
          <w:rFonts w:ascii="Times New Roman" w:eastAsia="黑体" w:cs="Times New Roman" w:hAnsi="Times New Roman"/>
          <w:sz w:val="24"/>
          <w:szCs w:val="24"/>
          <w:lang w:val="en-US" w:eastAsia="zh-CN" w:bidi="ar-SA"/>
          <w:highlight w:val="auto"/>
        </w:rPr>
      </w:pPr>
    </w:p>
    <w:p/>
    <w:tbl>
      <w:tblPr>
        <w:jc w:val="left"/>
        <w:tblInd w:w="-2" w:type="dxa"/>
        <w:tblW w:w="9573"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381"/>
        <w:gridCol w:w="540"/>
        <w:gridCol w:w="1110"/>
        <w:gridCol w:w="869"/>
        <w:gridCol w:w="1814"/>
        <w:gridCol w:w="1485"/>
        <w:gridCol w:w="1770"/>
        <w:gridCol w:w="1604"/>
      </w:tblGrid>
      <w:tr>
        <w:trPr>
          <w:trHeight w:val="30"/>
        </w:trPr>
        <w:tc>
          <w:tcPr>
            <w:tcW w:w="2900" w:type="dxa"/>
            <w:gridSpan w:val="4"/>
            <w:tcBorders>
              <w:top w:val="single" w:sz="6" w:space="0" w:color="auto"/>
              <w:left w:val="single" w:sz="6" w:space="0" w:color="auto"/>
              <w:bottom w:val="single" w:sz="6" w:space="0" w:color="auto"/>
              <w:right w:val="single" w:sz="6" w:space="0" w:color="auto"/>
            </w:tcBorders>
            <w:noWrap/>
            <w:vAlign w:val="center"/>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项目名称</w:t>
            </w:r>
          </w:p>
        </w:tc>
        <w:tc>
          <w:tcPr>
            <w:tcW w:w="6673" w:type="dxa"/>
            <w:gridSpan w:val="4"/>
            <w:tcBorders>
              <w:top w:val="single" w:sz="6" w:space="0" w:color="auto"/>
              <w:left w:val="single" w:sz="6" w:space="0" w:color="auto"/>
              <w:bottom w:val="single" w:sz="6" w:space="0" w:color="auto"/>
              <w:right w:val="single" w:sz="6" w:space="0" w:color="000000"/>
            </w:tcBorders>
            <w:noWrap/>
            <w:vAlign w:val="bottom"/>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2025年省级药品监管专项资金</w:t>
            </w:r>
          </w:p>
        </w:tc>
      </w:tr>
      <w:tr>
        <w:trPr>
          <w:trHeight w:val="315"/>
        </w:trPr>
        <w:tc>
          <w:tcPr>
            <w:tcW w:w="2900" w:type="dxa"/>
            <w:gridSpan w:val="4"/>
            <w:tcBorders>
              <w:top w:val="single" w:sz="6" w:space="0" w:color="auto"/>
              <w:left w:val="single" w:sz="6" w:space="0" w:color="auto"/>
              <w:bottom w:val="single" w:sz="6" w:space="0" w:color="auto"/>
              <w:right w:val="single" w:sz="6" w:space="0" w:color="auto"/>
            </w:tcBorders>
            <w:noWrap/>
            <w:vAlign w:val="center"/>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预算单位</w:t>
            </w:r>
          </w:p>
        </w:tc>
        <w:tc>
          <w:tcPr>
            <w:tcW w:w="6673" w:type="dxa"/>
            <w:gridSpan w:val="4"/>
            <w:tcBorders>
              <w:top w:val="single" w:sz="6" w:space="0" w:color="auto"/>
              <w:left w:val="single" w:sz="6" w:space="0" w:color="auto"/>
              <w:bottom w:val="single" w:sz="6" w:space="0" w:color="auto"/>
              <w:right w:val="single" w:sz="6" w:space="0" w:color="000000"/>
            </w:tcBorders>
            <w:noWrap/>
            <w:vAlign w:val="bottom"/>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茂县市场监督管理局</w:t>
            </w:r>
          </w:p>
        </w:tc>
      </w:tr>
      <w:tr>
        <w:trPr>
          <w:trHeight w:val="315"/>
        </w:trPr>
        <w:tc>
          <w:tcPr>
            <w:tcW w:w="2900" w:type="dxa"/>
            <w:gridSpan w:val="4"/>
            <w:tcBorders>
              <w:top w:val="single" w:sz="6" w:space="0" w:color="auto"/>
              <w:left w:val="single" w:sz="6" w:space="0" w:color="auto"/>
              <w:bottom w:val="single" w:sz="6" w:space="0" w:color="auto"/>
              <w:right w:val="single" w:sz="6" w:space="0" w:color="auto"/>
            </w:tcBorders>
            <w:noWrap/>
            <w:vAlign w:val="center"/>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项目类型</w:t>
            </w:r>
          </w:p>
        </w:tc>
        <w:tc>
          <w:tcPr>
            <w:tcW w:w="6673" w:type="dxa"/>
            <w:gridSpan w:val="4"/>
            <w:tcBorders>
              <w:top w:val="single" w:sz="6" w:space="0" w:color="auto"/>
              <w:left w:val="single" w:sz="6" w:space="0" w:color="auto"/>
              <w:bottom w:val="single" w:sz="6" w:space="0" w:color="auto"/>
              <w:right w:val="single" w:sz="6" w:space="0" w:color="000000"/>
            </w:tcBorders>
            <w:noWrap/>
            <w:vAlign w:val="bottom"/>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省级药品专项资金</w:t>
            </w:r>
          </w:p>
        </w:tc>
      </w:tr>
      <w:tr>
        <w:trPr>
          <w:trHeight w:val="330"/>
        </w:trPr>
        <w:tc>
          <w:tcPr>
            <w:tcW w:w="921" w:type="dxa"/>
            <w:gridSpan w:val="2"/>
            <w:vMerge w:val="restart"/>
            <w:tcBorders>
              <w:top w:val="single" w:sz="6" w:space="0" w:color="auto"/>
              <w:left w:val="single" w:sz="6" w:space="0" w:color="auto"/>
              <w:bottom w:val="single" w:sz="6" w:space="0" w:color="auto"/>
              <w:right w:val="single" w:sz="6" w:space="0" w:color="auto"/>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项目</w:t>
            </w:r>
          </w:p>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概况</w:t>
            </w:r>
          </w:p>
        </w:tc>
        <w:tc>
          <w:tcPr>
            <w:tcW w:w="1979" w:type="dxa"/>
            <w:gridSpan w:val="2"/>
            <w:tcBorders>
              <w:top w:val="single" w:sz="6" w:space="0" w:color="auto"/>
              <w:left w:val="single" w:sz="6" w:space="0" w:color="auto"/>
              <w:bottom w:val="nil"/>
              <w:right w:val="single" w:sz="6" w:space="0" w:color="auto"/>
            </w:tcBorders>
            <w:noWrap/>
            <w:vAlign w:val="center"/>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中长期规划（名称、文号)</w:t>
            </w:r>
          </w:p>
        </w:tc>
        <w:tc>
          <w:tcPr>
            <w:tcW w:w="6673" w:type="dxa"/>
            <w:gridSpan w:val="4"/>
            <w:tcBorders>
              <w:top w:val="single" w:sz="6" w:space="0" w:color="auto"/>
              <w:left w:val="single" w:sz="6" w:space="0" w:color="auto"/>
              <w:bottom w:val="single" w:sz="6" w:space="0" w:color="auto"/>
              <w:right w:val="single" w:sz="6" w:space="0" w:color="000000"/>
            </w:tcBorders>
            <w:noWrap/>
            <w:vAlign w:val="bottom"/>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省级药品监管专项资金</w:t>
            </w:r>
          </w:p>
        </w:tc>
      </w:tr>
      <w:tr>
        <w:trPr>
          <w:trHeight w:val="230"/>
        </w:trPr>
        <w:tc>
          <w:tcPr>
            <w:tcW w:w="921" w:type="dxa"/>
            <w:gridSpan w:val="2"/>
            <w:vMerge/>
            <w:tcBorders>
              <w:top w:val="single" w:sz="6" w:space="0" w:color="auto"/>
              <w:left w:val="single" w:sz="6" w:space="0" w:color="auto"/>
              <w:bottom w:val="single" w:sz="6" w:space="0" w:color="auto"/>
              <w:right w:val="single" w:sz="6" w:space="0" w:color="auto"/>
            </w:tcBorders>
            <w:noWrap/>
            <w:vAlign w:val="center"/>
          </w:tcPr>
          <w:p/>
        </w:tc>
        <w:tc>
          <w:tcPr>
            <w:tcW w:w="1979" w:type="dxa"/>
            <w:gridSpan w:val="2"/>
            <w:tcBorders>
              <w:top w:val="single" w:sz="6" w:space="0" w:color="auto"/>
              <w:left w:val="single" w:sz="6" w:space="0" w:color="auto"/>
              <w:bottom w:val="single" w:sz="6" w:space="0" w:color="auto"/>
              <w:right w:val="single" w:sz="6" w:space="0" w:color="auto"/>
            </w:tcBorders>
            <w:noWrap/>
            <w:vAlign w:val="center"/>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资金管理办法（名称、文号）</w:t>
            </w:r>
          </w:p>
        </w:tc>
        <w:tc>
          <w:tcPr>
            <w:tcW w:w="6673" w:type="dxa"/>
            <w:gridSpan w:val="4"/>
            <w:tcBorders>
              <w:top w:val="single" w:sz="6" w:space="0" w:color="auto"/>
              <w:left w:val="single" w:sz="6" w:space="0" w:color="auto"/>
              <w:bottom w:val="single" w:sz="6" w:space="0" w:color="auto"/>
              <w:right w:val="single" w:sz="6" w:space="0" w:color="000000"/>
            </w:tcBorders>
            <w:noWrap/>
            <w:vAlign w:val="bottom"/>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行财（2024）140号</w:t>
            </w:r>
          </w:p>
        </w:tc>
      </w:tr>
      <w:tr>
        <w:trPr>
          <w:trHeight w:val="458"/>
        </w:trPr>
        <w:tc>
          <w:tcPr>
            <w:tcW w:w="921" w:type="dxa"/>
            <w:gridSpan w:val="2"/>
            <w:vMerge/>
            <w:tcBorders>
              <w:top w:val="single" w:sz="6" w:space="0" w:color="auto"/>
              <w:left w:val="single" w:sz="6" w:space="0" w:color="auto"/>
              <w:bottom w:val="single" w:sz="6" w:space="0" w:color="auto"/>
              <w:right w:val="single" w:sz="6" w:space="0" w:color="auto"/>
            </w:tcBorders>
            <w:noWrap/>
            <w:vAlign w:val="center"/>
          </w:tcPr>
          <w:p/>
        </w:tc>
        <w:tc>
          <w:tcPr>
            <w:tcW w:w="1979" w:type="dxa"/>
            <w:gridSpan w:val="2"/>
            <w:tcBorders>
              <w:top w:val="single" w:sz="6" w:space="0" w:color="auto"/>
              <w:left w:val="single" w:sz="6" w:space="0" w:color="auto"/>
              <w:bottom w:val="single" w:sz="6" w:space="0" w:color="auto"/>
              <w:right w:val="single" w:sz="6" w:space="0" w:color="auto"/>
            </w:tcBorders>
            <w:noWrap/>
            <w:vAlign w:val="center"/>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绩效分配方式</w:t>
            </w:r>
          </w:p>
        </w:tc>
        <w:tc>
          <w:tcPr>
            <w:tcW w:w="1814" w:type="dxa"/>
            <w:tcBorders>
              <w:top w:val="single" w:sz="6" w:space="0" w:color="auto"/>
              <w:left w:val="single" w:sz="6" w:space="0" w:color="auto"/>
              <w:bottom w:val="single" w:sz="6" w:space="0" w:color="auto"/>
              <w:right w:val="single" w:sz="6" w:space="0" w:color="auto"/>
            </w:tcBorders>
            <w:noWrap/>
            <w:vAlign w:val="center"/>
          </w:tcPr>
          <w:p>
            <w:pPr>
              <w:rPr>
                <w:rFonts w:ascii="仿宋_GB2312" w:eastAsia="仿宋_GB2312" w:hint="eastAsia"/>
                <w:sz w:val="15"/>
                <w:szCs w:val="15"/>
              </w:rPr>
            </w:pPr>
            <w:r>
              <w:rPr>
                <w:rFonts w:ascii="Wingdings 2" w:eastAsia="仿宋_GB2312" w:hAnsi="Wingdings 2"/>
                <w:color w:val="000000"/>
                <w:sz w:val="15"/>
                <w:szCs w:val="15"/>
              </w:rPr>
              <w:sym w:font="Wingdings 2" w:char="A3"/>
            </w:r>
            <w:r>
              <w:rPr>
                <w:rFonts w:ascii="仿宋_GB2312" w:eastAsia="仿宋_GB2312" w:hint="eastAsia"/>
                <w:color w:val="000000"/>
                <w:sz w:val="15"/>
                <w:szCs w:val="15"/>
              </w:rPr>
              <w:t>因素法</w:t>
            </w:r>
          </w:p>
        </w:tc>
        <w:tc>
          <w:tcPr>
            <w:tcW w:w="1485" w:type="dxa"/>
            <w:tcBorders>
              <w:top w:val="single" w:sz="6" w:space="0" w:color="auto"/>
              <w:left w:val="single" w:sz="6" w:space="0" w:color="auto"/>
              <w:bottom w:val="single" w:sz="6" w:space="0" w:color="auto"/>
              <w:right w:val="single" w:sz="6" w:space="0" w:color="auto"/>
            </w:tcBorders>
            <w:noWrap/>
            <w:vAlign w:val="center"/>
          </w:tcPr>
          <w:p>
            <w:pPr>
              <w:rPr>
                <w:rFonts w:ascii="仿宋_GB2312" w:eastAsia="仿宋_GB2312" w:hint="eastAsia"/>
                <w:sz w:val="15"/>
                <w:szCs w:val="15"/>
              </w:rPr>
            </w:pPr>
            <w:r>
              <w:rPr>
                <w:rFonts w:ascii="Wingdings 2" w:eastAsia="仿宋_GB2312" w:hAnsi="Wingdings 2"/>
                <w:color w:val="000000"/>
                <w:sz w:val="15"/>
                <w:szCs w:val="15"/>
              </w:rPr>
              <w:sym w:font="Wingdings 2" w:char="A3"/>
            </w:r>
            <w:r>
              <w:rPr>
                <w:rFonts w:ascii="仿宋_GB2312" w:eastAsia="仿宋_GB2312" w:hint="eastAsia"/>
                <w:color w:val="000000"/>
                <w:sz w:val="15"/>
                <w:szCs w:val="15"/>
              </w:rPr>
              <w:t>项目法</w:t>
            </w:r>
          </w:p>
        </w:tc>
        <w:tc>
          <w:tcPr>
            <w:tcW w:w="1770" w:type="dxa"/>
            <w:tcBorders>
              <w:top w:val="single" w:sz="6" w:space="0" w:color="auto"/>
              <w:left w:val="single" w:sz="6" w:space="0" w:color="auto"/>
              <w:bottom w:val="single" w:sz="6" w:space="0" w:color="auto"/>
              <w:right w:val="single" w:sz="6" w:space="0" w:color="auto"/>
            </w:tcBorders>
            <w:noWrap/>
            <w:vAlign w:val="center"/>
          </w:tcPr>
          <w:p>
            <w:pPr>
              <w:jc w:val="center"/>
              <w:rPr>
                <w:rFonts w:ascii="仿宋_GB2312" w:eastAsia="仿宋_GB2312" w:hint="eastAsia"/>
                <w:sz w:val="15"/>
                <w:szCs w:val="15"/>
              </w:rPr>
            </w:pPr>
            <w:r>
              <w:rPr>
                <w:rFonts w:ascii="Wingdings 2" w:eastAsia="仿宋_GB2312" w:hAnsi="Wingdings 2"/>
                <w:color w:val="000000"/>
                <w:sz w:val="15"/>
                <w:szCs w:val="15"/>
              </w:rPr>
              <w:sym w:font="Wingdings 2" w:char="A3"/>
            </w:r>
            <w:r>
              <w:rPr>
                <w:rFonts w:ascii="仿宋_GB2312" w:eastAsia="仿宋_GB2312" w:hint="eastAsia"/>
                <w:color w:val="000000"/>
                <w:sz w:val="15"/>
                <w:szCs w:val="15"/>
              </w:rPr>
              <w:t>据实据效</w:t>
            </w:r>
          </w:p>
        </w:tc>
        <w:tc>
          <w:tcPr>
            <w:tcW w:w="1604" w:type="dxa"/>
            <w:tcBorders>
              <w:top w:val="single" w:sz="6" w:space="0" w:color="auto"/>
              <w:left w:val="single" w:sz="6" w:space="0" w:color="auto"/>
              <w:bottom w:val="single" w:sz="6" w:space="0" w:color="auto"/>
              <w:right w:val="single" w:sz="6" w:space="0" w:color="000000"/>
            </w:tcBorders>
            <w:noWrap/>
            <w:vAlign w:val="center"/>
          </w:tcPr>
          <w:p>
            <w:pPr>
              <w:jc w:val="center"/>
              <w:rPr>
                <w:rFonts w:ascii="仿宋_GB2312" w:eastAsia="仿宋_GB2312" w:hint="eastAsia"/>
                <w:sz w:val="15"/>
                <w:szCs w:val="15"/>
              </w:rPr>
            </w:pPr>
            <w:r>
              <w:rPr>
                <w:rFonts w:ascii="Wingdings 2" w:eastAsia="仿宋_GB2312" w:hAnsi="Wingdings 2"/>
                <w:color w:val="000000"/>
                <w:sz w:val="15"/>
                <w:szCs w:val="15"/>
              </w:rPr>
              <w:sym w:font="Wingdings 2" w:char="A3"/>
            </w:r>
            <w:r>
              <w:rPr>
                <w:rFonts w:ascii="仿宋_GB2312" w:eastAsia="仿宋_GB2312" w:hint="eastAsia"/>
                <w:color w:val="000000"/>
                <w:sz w:val="15"/>
                <w:szCs w:val="15"/>
              </w:rPr>
              <w:t>因素法与项目法相结合</w:t>
            </w:r>
          </w:p>
        </w:tc>
      </w:tr>
      <w:tr>
        <w:trPr>
          <w:trHeight w:val="315"/>
        </w:trPr>
        <w:tc>
          <w:tcPr>
            <w:tcW w:w="921" w:type="dxa"/>
            <w:gridSpan w:val="2"/>
            <w:vMerge/>
            <w:tcBorders>
              <w:top w:val="single" w:sz="6" w:space="0" w:color="auto"/>
              <w:left w:val="single" w:sz="6" w:space="0" w:color="auto"/>
              <w:bottom w:val="single" w:sz="6" w:space="0" w:color="auto"/>
              <w:right w:val="single" w:sz="6" w:space="0" w:color="auto"/>
            </w:tcBorders>
            <w:noWrap/>
            <w:vAlign w:val="center"/>
          </w:tcPr>
          <w:p/>
        </w:tc>
        <w:tc>
          <w:tcPr>
            <w:tcW w:w="1979" w:type="dxa"/>
            <w:gridSpan w:val="2"/>
            <w:tcBorders>
              <w:top w:val="single" w:sz="6" w:space="0" w:color="auto"/>
              <w:left w:val="single" w:sz="6" w:space="0" w:color="auto"/>
              <w:bottom w:val="single" w:sz="6" w:space="0" w:color="auto"/>
              <w:right w:val="single" w:sz="6" w:space="0" w:color="auto"/>
            </w:tcBorders>
            <w:noWrap/>
            <w:vAlign w:val="center"/>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立项依据</w:t>
            </w:r>
          </w:p>
        </w:tc>
        <w:tc>
          <w:tcPr>
            <w:tcW w:w="6673" w:type="dxa"/>
            <w:gridSpan w:val="4"/>
            <w:tcBorders>
              <w:top w:val="single" w:sz="6" w:space="0" w:color="auto"/>
              <w:left w:val="single" w:sz="6" w:space="0" w:color="auto"/>
              <w:bottom w:val="single" w:sz="6" w:space="0" w:color="auto"/>
              <w:right w:val="single" w:sz="6" w:space="0" w:color="000000"/>
            </w:tcBorders>
            <w:noWrap/>
            <w:vAlign w:val="bottom"/>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《中华人民共和国药品管理法》《四川省药品监管事权划分改革实施方案》等</w:t>
            </w:r>
          </w:p>
        </w:tc>
      </w:tr>
      <w:tr>
        <w:trPr>
          <w:trHeight w:val="540"/>
        </w:trPr>
        <w:tc>
          <w:tcPr>
            <w:tcW w:w="921" w:type="dxa"/>
            <w:gridSpan w:val="2"/>
            <w:vMerge/>
            <w:tcBorders>
              <w:top w:val="single" w:sz="6" w:space="0" w:color="auto"/>
              <w:left w:val="single" w:sz="6" w:space="0" w:color="auto"/>
              <w:bottom w:val="single" w:sz="6" w:space="0" w:color="auto"/>
              <w:right w:val="single" w:sz="6" w:space="0" w:color="auto"/>
            </w:tcBorders>
            <w:noWrap/>
            <w:vAlign w:val="center"/>
          </w:tcPr>
          <w:p/>
        </w:tc>
        <w:tc>
          <w:tcPr>
            <w:tcW w:w="1979" w:type="dxa"/>
            <w:gridSpan w:val="2"/>
            <w:tcBorders>
              <w:top w:val="single" w:sz="6" w:space="0" w:color="auto"/>
              <w:left w:val="single" w:sz="6" w:space="0" w:color="auto"/>
              <w:bottom w:val="single" w:sz="6" w:space="0" w:color="auto"/>
              <w:right w:val="single" w:sz="6" w:space="0" w:color="auto"/>
            </w:tcBorders>
            <w:noWrap/>
            <w:vAlign w:val="center"/>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使用范围</w:t>
            </w:r>
          </w:p>
        </w:tc>
        <w:tc>
          <w:tcPr>
            <w:tcW w:w="6673" w:type="dxa"/>
            <w:gridSpan w:val="4"/>
            <w:tcBorders>
              <w:top w:val="single" w:sz="6" w:space="0" w:color="auto"/>
              <w:left w:val="single" w:sz="6" w:space="0" w:color="auto"/>
              <w:bottom w:val="single" w:sz="6" w:space="0" w:color="auto"/>
              <w:right w:val="single" w:sz="6" w:space="0" w:color="000000"/>
            </w:tcBorders>
            <w:noWrap/>
            <w:vAlign w:val="bottom"/>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主要用于药品（含医疗器械、化妆品）监督抽检、风险监测、专项整治、应急处置、能力建设等工作。</w:t>
            </w:r>
          </w:p>
        </w:tc>
      </w:tr>
      <w:tr>
        <w:trPr>
          <w:trHeight w:val="315"/>
        </w:trPr>
        <w:tc>
          <w:tcPr>
            <w:tcW w:w="921" w:type="dxa"/>
            <w:gridSpan w:val="2"/>
            <w:vMerge/>
            <w:tcBorders>
              <w:top w:val="single" w:sz="6" w:space="0" w:color="auto"/>
              <w:left w:val="single" w:sz="6" w:space="0" w:color="auto"/>
              <w:bottom w:val="single" w:sz="6" w:space="0" w:color="auto"/>
              <w:right w:val="single" w:sz="6" w:space="0" w:color="auto"/>
            </w:tcBorders>
            <w:noWrap/>
            <w:vAlign w:val="center"/>
          </w:tcPr>
          <w:p/>
        </w:tc>
        <w:tc>
          <w:tcPr>
            <w:tcW w:w="1979" w:type="dxa"/>
            <w:gridSpan w:val="2"/>
            <w:tcBorders>
              <w:top w:val="single" w:sz="6" w:space="0" w:color="auto"/>
              <w:left w:val="single" w:sz="6" w:space="0" w:color="auto"/>
              <w:bottom w:val="single" w:sz="6" w:space="0" w:color="auto"/>
              <w:right w:val="single" w:sz="6" w:space="0" w:color="auto"/>
            </w:tcBorders>
            <w:noWrap/>
            <w:vAlign w:val="center"/>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申报（补助）条件</w:t>
            </w:r>
          </w:p>
        </w:tc>
        <w:tc>
          <w:tcPr>
            <w:tcW w:w="6673" w:type="dxa"/>
            <w:gridSpan w:val="4"/>
            <w:tcBorders>
              <w:top w:val="single" w:sz="6" w:space="0" w:color="auto"/>
              <w:left w:val="single" w:sz="6" w:space="0" w:color="auto"/>
              <w:bottom w:val="single" w:sz="6" w:space="0" w:color="auto"/>
              <w:right w:val="single" w:sz="6" w:space="0" w:color="000000"/>
            </w:tcBorders>
            <w:noWrap/>
            <w:vAlign w:val="bottom"/>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符合资金管理办法中关于机构资质、监管任务量、风险等级等相关要求</w:t>
            </w:r>
          </w:p>
        </w:tc>
      </w:tr>
      <w:tr>
        <w:trPr>
          <w:trHeight w:val="315"/>
        </w:trPr>
        <w:tc>
          <w:tcPr>
            <w:tcW w:w="921" w:type="dxa"/>
            <w:gridSpan w:val="2"/>
            <w:vMerge/>
            <w:tcBorders>
              <w:top w:val="single" w:sz="6" w:space="0" w:color="auto"/>
              <w:left w:val="single" w:sz="6" w:space="0" w:color="auto"/>
              <w:bottom w:val="single" w:sz="6" w:space="0" w:color="auto"/>
              <w:right w:val="single" w:sz="6" w:space="0" w:color="auto"/>
            </w:tcBorders>
            <w:noWrap/>
            <w:vAlign w:val="center"/>
          </w:tcPr>
          <w:p/>
        </w:tc>
        <w:tc>
          <w:tcPr>
            <w:tcW w:w="1979" w:type="dxa"/>
            <w:gridSpan w:val="2"/>
            <w:tcBorders>
              <w:top w:val="single" w:sz="6" w:space="0" w:color="auto"/>
              <w:left w:val="single" w:sz="6" w:space="0" w:color="auto"/>
              <w:bottom w:val="single" w:sz="6" w:space="0" w:color="auto"/>
              <w:right w:val="single" w:sz="6" w:space="0" w:color="auto"/>
            </w:tcBorders>
            <w:noWrap/>
            <w:vAlign w:val="center"/>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项目起止年限</w:t>
            </w:r>
          </w:p>
        </w:tc>
        <w:tc>
          <w:tcPr>
            <w:tcW w:w="6673" w:type="dxa"/>
            <w:gridSpan w:val="4"/>
            <w:tcBorders>
              <w:top w:val="single" w:sz="6" w:space="0" w:color="auto"/>
              <w:left w:val="single" w:sz="6" w:space="0" w:color="auto"/>
              <w:bottom w:val="nil"/>
              <w:right w:val="single" w:sz="6" w:space="0" w:color="000000"/>
            </w:tcBorders>
            <w:noWrap/>
            <w:vAlign w:val="bottom"/>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2025年</w:t>
            </w:r>
          </w:p>
        </w:tc>
      </w:tr>
      <w:tr>
        <w:trPr>
          <w:trHeight w:val="125"/>
        </w:trPr>
        <w:tc>
          <w:tcPr>
            <w:tcW w:w="921" w:type="dxa"/>
            <w:gridSpan w:val="2"/>
            <w:vMerge w:val="restart"/>
            <w:tcBorders>
              <w:top w:val="single" w:sz="6" w:space="0" w:color="auto"/>
              <w:left w:val="single" w:sz="6" w:space="0" w:color="auto"/>
              <w:bottom w:val="single" w:sz="6" w:space="0" w:color="auto"/>
              <w:right w:val="single" w:sz="6" w:space="0" w:color="auto"/>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项目资金（万元）</w:t>
            </w:r>
          </w:p>
        </w:tc>
        <w:tc>
          <w:tcPr>
            <w:tcW w:w="1979" w:type="dxa"/>
            <w:gridSpan w:val="2"/>
            <w:tcBorders>
              <w:top w:val="single" w:sz="6" w:space="0" w:color="auto"/>
              <w:left w:val="single" w:sz="6" w:space="0" w:color="auto"/>
              <w:bottom w:val="single" w:sz="6" w:space="0" w:color="auto"/>
              <w:right w:val="single" w:sz="6" w:space="0" w:color="auto"/>
            </w:tcBorders>
            <w:noWrap/>
            <w:vAlign w:val="center"/>
          </w:tcPr>
          <w:p>
            <w:pPr>
              <w:jc w:val="center"/>
              <w:rPr>
                <w:rFonts w:ascii="仿宋_GB2312" w:eastAsia="仿宋_GB2312" w:cs="Arial" w:hint="eastAsia"/>
                <w:color w:val="000000"/>
                <w:sz w:val="15"/>
                <w:szCs w:val="15"/>
                <w:lang w:bidi="ar-SA"/>
              </w:rPr>
            </w:pPr>
          </w:p>
        </w:tc>
        <w:tc>
          <w:tcPr>
            <w:tcW w:w="3299" w:type="dxa"/>
            <w:gridSpan w:val="2"/>
            <w:tcBorders>
              <w:top w:val="single" w:sz="6" w:space="0" w:color="auto"/>
              <w:left w:val="single" w:sz="6" w:space="0" w:color="auto"/>
              <w:bottom w:val="single" w:sz="6" w:space="0" w:color="auto"/>
              <w:right w:val="single" w:sz="6" w:space="0" w:color="auto"/>
            </w:tcBorders>
            <w:noWrap/>
            <w:vAlign w:val="bottom"/>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全年预算数</w:t>
            </w:r>
          </w:p>
        </w:tc>
        <w:tc>
          <w:tcPr>
            <w:tcW w:w="3374" w:type="dxa"/>
            <w:gridSpan w:val="2"/>
            <w:tcBorders>
              <w:top w:val="single" w:sz="6" w:space="0" w:color="auto"/>
              <w:left w:val="single" w:sz="6" w:space="0" w:color="auto"/>
              <w:bottom w:val="single" w:sz="6" w:space="0" w:color="auto"/>
              <w:right w:val="single" w:sz="6" w:space="0" w:color="000000"/>
            </w:tcBorders>
            <w:noWrap/>
            <w:vAlign w:val="bottom"/>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全年执行数</w:t>
            </w:r>
          </w:p>
        </w:tc>
      </w:tr>
      <w:tr>
        <w:trPr>
          <w:trHeight w:val="243"/>
        </w:trPr>
        <w:tc>
          <w:tcPr>
            <w:tcW w:w="921" w:type="dxa"/>
            <w:gridSpan w:val="2"/>
            <w:vMerge/>
            <w:tcBorders>
              <w:top w:val="single" w:sz="6" w:space="0" w:color="auto"/>
              <w:left w:val="single" w:sz="6" w:space="0" w:color="auto"/>
              <w:bottom w:val="single" w:sz="6" w:space="0" w:color="auto"/>
              <w:right w:val="single" w:sz="6" w:space="0" w:color="auto"/>
            </w:tcBorders>
            <w:noWrap/>
            <w:vAlign w:val="center"/>
          </w:tcPr>
          <w:p/>
        </w:tc>
        <w:tc>
          <w:tcPr>
            <w:tcW w:w="1979" w:type="dxa"/>
            <w:gridSpan w:val="2"/>
            <w:tcBorders>
              <w:top w:val="single" w:sz="6" w:space="0" w:color="auto"/>
              <w:left w:val="single" w:sz="6" w:space="0" w:color="auto"/>
              <w:bottom w:val="single" w:sz="6" w:space="0" w:color="auto"/>
              <w:right w:val="single" w:sz="6" w:space="0" w:color="auto"/>
            </w:tcBorders>
            <w:noWrap/>
            <w:vAlign w:val="center"/>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 xml:space="preserve">  年度资金总额：</w:t>
            </w:r>
          </w:p>
        </w:tc>
        <w:tc>
          <w:tcPr>
            <w:tcW w:w="3299" w:type="dxa"/>
            <w:gridSpan w:val="2"/>
            <w:tcBorders>
              <w:top w:val="single" w:sz="6" w:space="0" w:color="auto"/>
              <w:left w:val="single" w:sz="6" w:space="0" w:color="auto"/>
              <w:bottom w:val="single" w:sz="6" w:space="0" w:color="auto"/>
              <w:right w:val="single" w:sz="6" w:space="0" w:color="auto"/>
            </w:tcBorders>
            <w:noWrap/>
            <w:vAlign w:val="bottom"/>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10.4</w:t>
            </w:r>
          </w:p>
        </w:tc>
        <w:tc>
          <w:tcPr>
            <w:tcW w:w="3374" w:type="dxa"/>
            <w:gridSpan w:val="2"/>
            <w:tcBorders>
              <w:top w:val="single" w:sz="6" w:space="0" w:color="auto"/>
              <w:left w:val="single" w:sz="6" w:space="0" w:color="auto"/>
              <w:bottom w:val="single" w:sz="6" w:space="0" w:color="auto"/>
              <w:right w:val="single" w:sz="6" w:space="0" w:color="000000"/>
            </w:tcBorders>
            <w:noWrap/>
            <w:vAlign w:val="bottom"/>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10.32</w:t>
            </w:r>
          </w:p>
        </w:tc>
      </w:tr>
      <w:tr>
        <w:trPr>
          <w:trHeight w:val="375"/>
        </w:trPr>
        <w:tc>
          <w:tcPr>
            <w:tcW w:w="921" w:type="dxa"/>
            <w:gridSpan w:val="2"/>
            <w:vMerge/>
            <w:tcBorders>
              <w:top w:val="single" w:sz="6" w:space="0" w:color="auto"/>
              <w:left w:val="single" w:sz="6" w:space="0" w:color="auto"/>
              <w:bottom w:val="single" w:sz="6" w:space="0" w:color="auto"/>
              <w:right w:val="single" w:sz="6" w:space="0" w:color="auto"/>
            </w:tcBorders>
            <w:noWrap/>
            <w:vAlign w:val="center"/>
          </w:tcPr>
          <w:p/>
        </w:tc>
        <w:tc>
          <w:tcPr>
            <w:tcW w:w="1979" w:type="dxa"/>
            <w:gridSpan w:val="2"/>
            <w:tcBorders>
              <w:top w:val="single" w:sz="6" w:space="0" w:color="auto"/>
              <w:left w:val="single" w:sz="6" w:space="0" w:color="auto"/>
              <w:bottom w:val="single" w:sz="6" w:space="0" w:color="auto"/>
              <w:right w:val="single" w:sz="6" w:space="0" w:color="auto"/>
            </w:tcBorders>
            <w:noWrap/>
            <w:vAlign w:val="center"/>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 xml:space="preserve"> 其中：当年财政拨款</w:t>
            </w:r>
          </w:p>
        </w:tc>
        <w:tc>
          <w:tcPr>
            <w:tcW w:w="3299" w:type="dxa"/>
            <w:gridSpan w:val="2"/>
            <w:tcBorders>
              <w:top w:val="single" w:sz="6" w:space="0" w:color="auto"/>
              <w:left w:val="single" w:sz="6" w:space="0" w:color="auto"/>
              <w:bottom w:val="single" w:sz="6" w:space="0" w:color="auto"/>
              <w:right w:val="single" w:sz="6" w:space="0" w:color="auto"/>
            </w:tcBorders>
            <w:noWrap/>
            <w:vAlign w:val="bottom"/>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10.4</w:t>
            </w:r>
          </w:p>
        </w:tc>
        <w:tc>
          <w:tcPr>
            <w:tcW w:w="3374" w:type="dxa"/>
            <w:gridSpan w:val="2"/>
            <w:tcBorders>
              <w:top w:val="single" w:sz="6" w:space="0" w:color="auto"/>
              <w:left w:val="single" w:sz="6" w:space="0" w:color="auto"/>
              <w:bottom w:val="single" w:sz="6" w:space="0" w:color="auto"/>
              <w:right w:val="single" w:sz="6" w:space="0" w:color="000000"/>
            </w:tcBorders>
            <w:noWrap/>
            <w:vAlign w:val="bottom"/>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10.32</w:t>
            </w:r>
          </w:p>
        </w:tc>
      </w:tr>
      <w:tr>
        <w:trPr>
          <w:trHeight w:val="315"/>
        </w:trPr>
        <w:tc>
          <w:tcPr>
            <w:tcW w:w="921" w:type="dxa"/>
            <w:gridSpan w:val="2"/>
            <w:vMerge/>
            <w:tcBorders>
              <w:top w:val="single" w:sz="6" w:space="0" w:color="auto"/>
              <w:left w:val="single" w:sz="6" w:space="0" w:color="auto"/>
              <w:bottom w:val="single" w:sz="6" w:space="0" w:color="auto"/>
              <w:right w:val="single" w:sz="6" w:space="0" w:color="auto"/>
            </w:tcBorders>
            <w:noWrap/>
            <w:vAlign w:val="center"/>
          </w:tcPr>
          <w:p/>
        </w:tc>
        <w:tc>
          <w:tcPr>
            <w:tcW w:w="1979" w:type="dxa"/>
            <w:gridSpan w:val="2"/>
            <w:tcBorders>
              <w:top w:val="single" w:sz="6" w:space="0" w:color="auto"/>
              <w:left w:val="single" w:sz="6" w:space="0" w:color="auto"/>
              <w:bottom w:val="single" w:sz="6" w:space="0" w:color="auto"/>
              <w:right w:val="single" w:sz="6" w:space="0" w:color="auto"/>
            </w:tcBorders>
            <w:noWrap/>
            <w:vAlign w:val="center"/>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 xml:space="preserve">       其他资金</w:t>
            </w:r>
          </w:p>
        </w:tc>
        <w:tc>
          <w:tcPr>
            <w:tcW w:w="3299" w:type="dxa"/>
            <w:gridSpan w:val="2"/>
            <w:tcBorders>
              <w:top w:val="single" w:sz="6" w:space="0" w:color="auto"/>
              <w:left w:val="single" w:sz="6" w:space="0" w:color="auto"/>
              <w:bottom w:val="single" w:sz="6" w:space="0" w:color="auto"/>
              <w:right w:val="single" w:sz="6" w:space="0" w:color="auto"/>
            </w:tcBorders>
            <w:noWrap/>
            <w:vAlign w:val="bottom"/>
          </w:tcPr>
          <w:p>
            <w:pPr>
              <w:jc w:val="center"/>
              <w:rPr>
                <w:rFonts w:ascii="仿宋_GB2312" w:eastAsia="仿宋_GB2312" w:cs="Arial" w:hint="eastAsia"/>
                <w:color w:val="000000"/>
                <w:sz w:val="15"/>
                <w:szCs w:val="15"/>
                <w:lang w:bidi="ar-SA"/>
              </w:rPr>
            </w:pPr>
          </w:p>
        </w:tc>
        <w:tc>
          <w:tcPr>
            <w:tcW w:w="3374" w:type="dxa"/>
            <w:gridSpan w:val="2"/>
            <w:tcBorders>
              <w:top w:val="single" w:sz="6" w:space="0" w:color="auto"/>
              <w:left w:val="single" w:sz="6" w:space="0" w:color="auto"/>
              <w:bottom w:val="single" w:sz="6" w:space="0" w:color="auto"/>
              <w:right w:val="single" w:sz="6" w:space="0" w:color="000000"/>
            </w:tcBorders>
            <w:noWrap/>
            <w:vAlign w:val="bottom"/>
          </w:tcPr>
          <w:p>
            <w:pPr>
              <w:jc w:val="center"/>
              <w:rPr>
                <w:rFonts w:ascii="仿宋_GB2312" w:eastAsia="仿宋_GB2312" w:cs="Arial" w:hint="eastAsia"/>
                <w:color w:val="000000"/>
                <w:sz w:val="15"/>
                <w:szCs w:val="15"/>
                <w:lang w:bidi="ar-SA"/>
              </w:rPr>
            </w:pPr>
          </w:p>
        </w:tc>
      </w:tr>
      <w:tr>
        <w:trPr>
          <w:trHeight w:val="330"/>
        </w:trPr>
        <w:tc>
          <w:tcPr>
            <w:tcW w:w="921" w:type="dxa"/>
            <w:gridSpan w:val="2"/>
            <w:vMerge w:val="restart"/>
            <w:tcBorders>
              <w:top w:val="single" w:sz="6" w:space="0" w:color="auto"/>
              <w:left w:val="single" w:sz="6" w:space="0" w:color="auto"/>
              <w:bottom w:val="single" w:sz="6" w:space="0" w:color="000000"/>
              <w:right w:val="single" w:sz="6" w:space="0" w:color="auto"/>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总体 目标</w:t>
            </w:r>
          </w:p>
        </w:tc>
        <w:tc>
          <w:tcPr>
            <w:tcW w:w="8652" w:type="dxa"/>
            <w:gridSpan w:val="6"/>
            <w:tcBorders>
              <w:top w:val="single" w:sz="6" w:space="0" w:color="auto"/>
              <w:left w:val="single" w:sz="6" w:space="0" w:color="auto"/>
              <w:bottom w:val="single" w:sz="6" w:space="0" w:color="auto"/>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年度目标</w:t>
            </w:r>
          </w:p>
        </w:tc>
      </w:tr>
      <w:tr>
        <w:trPr>
          <w:trHeight w:val="863"/>
        </w:trPr>
        <w:tc>
          <w:tcPr>
            <w:tcW w:w="921" w:type="dxa"/>
            <w:gridSpan w:val="2"/>
            <w:vMerge/>
            <w:tcBorders>
              <w:top w:val="single" w:sz="6" w:space="0" w:color="auto"/>
              <w:left w:val="single" w:sz="6" w:space="0" w:color="auto"/>
              <w:bottom w:val="single" w:sz="6" w:space="0" w:color="000000"/>
              <w:right w:val="single" w:sz="6" w:space="0" w:color="auto"/>
            </w:tcBorders>
            <w:noWrap/>
            <w:vAlign w:val="center"/>
          </w:tcPr>
          <w:p/>
        </w:tc>
        <w:tc>
          <w:tcPr>
            <w:tcW w:w="8652" w:type="dxa"/>
            <w:gridSpan w:val="6"/>
            <w:tcBorders>
              <w:top w:val="single" w:sz="6" w:space="0" w:color="auto"/>
              <w:left w:val="single" w:sz="6" w:space="0" w:color="auto"/>
              <w:bottom w:val="single" w:sz="6" w:space="0" w:color="000000"/>
              <w:right w:val="single" w:sz="6" w:space="0" w:color="000000"/>
            </w:tcBorders>
            <w:noWrap/>
            <w:vAlign w:val="bottom"/>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药品检验监测、综合监管、能力提升等，规范药械化经营使用秩序，开展各类重点专项整治工作；打击药械化流通使用环节中存在的违法违规行为；强化药品安全科普宣传；开展业务能力提升培训，不断提高业务水平和技能；加强不良反应上报，药物滥用监测，落实风险防控，应急管理等工作。</w:t>
            </w:r>
          </w:p>
        </w:tc>
      </w:tr>
      <w:tr>
        <w:trPr>
          <w:trHeight w:val="405"/>
        </w:trPr>
        <w:tc>
          <w:tcPr>
            <w:tcW w:w="381" w:type="dxa"/>
            <w:vMerge w:val="restart"/>
            <w:tcBorders>
              <w:top w:val="single" w:sz="6" w:space="0" w:color="000000"/>
              <w:left w:val="single" w:sz="6" w:space="0" w:color="000000"/>
              <w:bottom w:val="single" w:sz="6" w:space="0" w:color="auto"/>
              <w:right w:val="single" w:sz="6" w:space="0" w:color="000000"/>
            </w:tcBorders>
            <w:noWrap/>
            <w:textDirection w:val="tbRlV"/>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绩效指标</w:t>
            </w:r>
          </w:p>
        </w:tc>
        <w:tc>
          <w:tcPr>
            <w:tcW w:w="540" w:type="dxa"/>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一级</w:t>
            </w:r>
          </w:p>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指标</w:t>
            </w:r>
          </w:p>
        </w:tc>
        <w:tc>
          <w:tcPr>
            <w:tcW w:w="1110" w:type="dxa"/>
            <w:tcBorders>
              <w:top w:val="single" w:sz="6" w:space="0" w:color="000000"/>
              <w:left w:val="single" w:sz="6" w:space="0" w:color="000000"/>
              <w:bottom w:val="single" w:sz="4" w:space="0" w:color="auto"/>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二级指标</w:t>
            </w:r>
          </w:p>
        </w:tc>
        <w:tc>
          <w:tcPr>
            <w:tcW w:w="2683" w:type="dxa"/>
            <w:gridSpan w:val="2"/>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三级指标</w:t>
            </w:r>
          </w:p>
        </w:tc>
        <w:tc>
          <w:tcPr>
            <w:tcW w:w="1485" w:type="dxa"/>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指标值</w:t>
            </w:r>
          </w:p>
        </w:tc>
        <w:tc>
          <w:tcPr>
            <w:tcW w:w="1770" w:type="dxa"/>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全年实际完成值</w:t>
            </w:r>
          </w:p>
        </w:tc>
        <w:tc>
          <w:tcPr>
            <w:tcW w:w="1604" w:type="dxa"/>
            <w:tcBorders>
              <w:top w:val="single" w:sz="6" w:space="0" w:color="000000"/>
              <w:left w:val="single" w:sz="6" w:space="0" w:color="000000"/>
              <w:bottom w:val="single" w:sz="6" w:space="0" w:color="000000"/>
              <w:right w:val="single" w:sz="6" w:space="0" w:color="000000"/>
            </w:tcBorders>
            <w:noWrap/>
            <w:vAlign w:val="center"/>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未完成原因和改进措施</w:t>
            </w:r>
          </w:p>
        </w:tc>
      </w:tr>
      <w:tr>
        <w:trPr>
          <w:trHeight w:val="315"/>
        </w:trPr>
        <w:tc>
          <w:tcPr>
            <w:tcW w:w="381" w:type="dxa"/>
            <w:vMerge/>
            <w:tcBorders>
              <w:top w:val="single" w:sz="6" w:space="0" w:color="000000"/>
              <w:left w:val="single" w:sz="6" w:space="0" w:color="000000"/>
              <w:bottom w:val="single" w:sz="6" w:space="0" w:color="auto"/>
              <w:right w:val="single" w:sz="6" w:space="0" w:color="000000"/>
            </w:tcBorders>
            <w:noWrap/>
            <w:vAlign w:val="center"/>
          </w:tcPr>
          <w:p/>
        </w:tc>
        <w:tc>
          <w:tcPr>
            <w:tcW w:w="540" w:type="dxa"/>
            <w:tcBorders>
              <w:top w:val="single" w:sz="6" w:space="0" w:color="000000"/>
              <w:left w:val="single" w:sz="6" w:space="0" w:color="000000"/>
              <w:bottom w:val="single" w:sz="6" w:space="0" w:color="000000"/>
              <w:right w:val="single" w:sz="4" w:space="0" w:color="auto"/>
            </w:tcBorders>
            <w:noWrap/>
            <w:textDirection w:val="tbRlV"/>
            <w:vAlign w:val="center"/>
          </w:tcPr>
          <w:p>
            <w:pPr>
              <w:jc w:val="center"/>
              <w:rPr>
                <w:rFonts w:ascii="仿宋_GB2312" w:eastAsia="仿宋_GB2312" w:cs="Arial" w:hint="eastAsia"/>
                <w:color w:val="000000"/>
                <w:sz w:val="15"/>
                <w:szCs w:val="15"/>
                <w:lang w:bidi="ar-SA"/>
              </w:rPr>
            </w:pPr>
          </w:p>
        </w:tc>
        <w:tc>
          <w:tcPr>
            <w:tcW w:w="1110" w:type="dxa"/>
            <w:vMerge w:val="restart"/>
            <w:tcBorders>
              <w:top w:val="single" w:sz="4" w:space="0" w:color="auto"/>
              <w:left w:val="single" w:sz="4" w:space="0" w:color="auto"/>
              <w:bottom w:val="single" w:sz="4" w:space="0" w:color="auto"/>
              <w:right w:val="single" w:sz="4" w:space="0" w:color="auto"/>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数量指标</w:t>
            </w:r>
          </w:p>
        </w:tc>
        <w:tc>
          <w:tcPr>
            <w:tcW w:w="2683" w:type="dxa"/>
            <w:gridSpan w:val="2"/>
            <w:tcBorders>
              <w:top w:val="single" w:sz="6" w:space="0" w:color="000000"/>
              <w:left w:val="single" w:sz="4" w:space="0" w:color="auto"/>
              <w:bottom w:val="single" w:sz="6" w:space="0" w:color="000000"/>
              <w:right w:val="single" w:sz="6" w:space="0" w:color="000000"/>
            </w:tcBorders>
            <w:noWrap/>
            <w:vAlign w:val="center"/>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省级药品抽样（批次）</w:t>
            </w:r>
          </w:p>
        </w:tc>
        <w:tc>
          <w:tcPr>
            <w:tcW w:w="1485" w:type="dxa"/>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15</w:t>
            </w:r>
          </w:p>
        </w:tc>
        <w:tc>
          <w:tcPr>
            <w:tcW w:w="1770" w:type="dxa"/>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15</w:t>
            </w:r>
          </w:p>
        </w:tc>
        <w:tc>
          <w:tcPr>
            <w:tcW w:w="1604" w:type="dxa"/>
            <w:tcBorders>
              <w:top w:val="single" w:sz="6" w:space="0" w:color="000000"/>
              <w:left w:val="single" w:sz="6" w:space="0" w:color="000000"/>
              <w:bottom w:val="single" w:sz="6" w:space="0" w:color="000000"/>
              <w:right w:val="single" w:sz="6" w:space="0" w:color="000000"/>
            </w:tcBorders>
            <w:noWrap/>
            <w:vAlign w:val="center"/>
          </w:tcPr>
          <w:p>
            <w:pPr>
              <w:rPr>
                <w:rFonts w:ascii="仿宋_GB2312" w:eastAsia="仿宋_GB2312" w:hint="eastAsia"/>
                <w:color w:val="000000"/>
                <w:sz w:val="15"/>
                <w:szCs w:val="15"/>
              </w:rPr>
            </w:pPr>
          </w:p>
        </w:tc>
      </w:tr>
      <w:tr>
        <w:trPr>
          <w:trHeight w:val="396"/>
        </w:trPr>
        <w:tc>
          <w:tcPr>
            <w:tcW w:w="381" w:type="dxa"/>
            <w:vMerge/>
            <w:tcBorders>
              <w:top w:val="single" w:sz="6" w:space="0" w:color="000000"/>
              <w:left w:val="single" w:sz="6" w:space="0" w:color="000000"/>
              <w:bottom w:val="single" w:sz="6" w:space="0" w:color="auto"/>
              <w:right w:val="single" w:sz="6" w:space="0" w:color="000000"/>
            </w:tcBorders>
            <w:noWrap/>
            <w:vAlign w:val="center"/>
          </w:tcPr>
          <w:p/>
        </w:tc>
        <w:tc>
          <w:tcPr>
            <w:tcW w:w="540" w:type="dxa"/>
            <w:vMerge w:val="restart"/>
            <w:tcBorders>
              <w:top w:val="single" w:sz="6" w:space="0" w:color="000000"/>
              <w:left w:val="single" w:sz="6" w:space="0" w:color="000000"/>
              <w:bottom w:val="single" w:sz="6" w:space="0" w:color="000000"/>
              <w:right w:val="single" w:sz="4" w:space="0" w:color="auto"/>
            </w:tcBorders>
            <w:noWrap/>
            <w:textDirection w:val="tbRlV"/>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产出指标</w:t>
            </w:r>
          </w:p>
          <w:p>
            <w:pPr>
              <w:jc w:val="center"/>
              <w:rPr>
                <w:rFonts w:ascii="仿宋_GB2312" w:eastAsia="仿宋_GB2312" w:cs="Arial" w:hint="eastAsia"/>
                <w:color w:val="000000"/>
                <w:sz w:val="15"/>
                <w:szCs w:val="15"/>
                <w:lang w:bidi="ar-SA"/>
              </w:rPr>
            </w:pPr>
          </w:p>
          <w:p>
            <w:pPr>
              <w:jc w:val="center"/>
              <w:rPr>
                <w:rFonts w:ascii="仿宋_GB2312" w:eastAsia="仿宋_GB2312" w:cs="Arial" w:hint="eastAsia"/>
                <w:color w:val="000000"/>
                <w:sz w:val="15"/>
                <w:szCs w:val="15"/>
                <w:lang w:bidi="ar-SA"/>
              </w:rPr>
            </w:pPr>
          </w:p>
          <w:p>
            <w:pPr>
              <w:jc w:val="center"/>
              <w:rPr>
                <w:rFonts w:ascii="仿宋_GB2312" w:eastAsia="仿宋_GB2312" w:cs="Arial" w:hint="eastAsia"/>
                <w:color w:val="000000"/>
                <w:sz w:val="15"/>
                <w:szCs w:val="15"/>
                <w:lang w:bidi="ar-SA"/>
              </w:rPr>
            </w:pPr>
          </w:p>
          <w:p>
            <w:pPr>
              <w:jc w:val="center"/>
              <w:rPr>
                <w:rFonts w:ascii="仿宋_GB2312" w:eastAsia="仿宋_GB2312" w:cs="Arial" w:hint="eastAsia"/>
                <w:color w:val="000000"/>
                <w:sz w:val="15"/>
                <w:szCs w:val="15"/>
                <w:lang w:bidi="ar-SA"/>
              </w:rPr>
            </w:pPr>
          </w:p>
        </w:tc>
        <w:tc>
          <w:tcPr>
            <w:tcW w:w="1110" w:type="dxa"/>
            <w:vMerge/>
            <w:tcBorders>
              <w:top w:val="single" w:sz="4" w:space="0" w:color="auto"/>
              <w:left w:val="single" w:sz="4" w:space="0" w:color="auto"/>
              <w:bottom w:val="single" w:sz="4" w:space="0" w:color="auto"/>
              <w:right w:val="single" w:sz="4" w:space="0" w:color="auto"/>
            </w:tcBorders>
            <w:noWrap/>
            <w:vAlign w:val="center"/>
          </w:tcPr>
          <w:p/>
        </w:tc>
        <w:tc>
          <w:tcPr>
            <w:tcW w:w="2683" w:type="dxa"/>
            <w:gridSpan w:val="2"/>
            <w:tcBorders>
              <w:top w:val="single" w:sz="6" w:space="0" w:color="000000"/>
              <w:left w:val="single" w:sz="4" w:space="0" w:color="auto"/>
              <w:bottom w:val="single" w:sz="6" w:space="0" w:color="000000"/>
              <w:right w:val="single" w:sz="6" w:space="0" w:color="000000"/>
            </w:tcBorders>
            <w:noWrap/>
            <w:vAlign w:val="center"/>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省级重点（专项）抽样（批次）</w:t>
            </w:r>
          </w:p>
        </w:tc>
        <w:tc>
          <w:tcPr>
            <w:tcW w:w="1485" w:type="dxa"/>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2</w:t>
            </w:r>
          </w:p>
        </w:tc>
        <w:tc>
          <w:tcPr>
            <w:tcW w:w="1770" w:type="dxa"/>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2</w:t>
            </w:r>
          </w:p>
        </w:tc>
        <w:tc>
          <w:tcPr>
            <w:tcW w:w="1604" w:type="dxa"/>
            <w:tcBorders>
              <w:top w:val="single" w:sz="6" w:space="0" w:color="000000"/>
              <w:left w:val="single" w:sz="6" w:space="0" w:color="000000"/>
              <w:bottom w:val="single" w:sz="6" w:space="0" w:color="000000"/>
              <w:right w:val="single" w:sz="6" w:space="0" w:color="000000"/>
            </w:tcBorders>
            <w:noWrap/>
            <w:vAlign w:val="center"/>
          </w:tcPr>
          <w:p>
            <w:pPr>
              <w:rPr>
                <w:rFonts w:ascii="仿宋_GB2312" w:eastAsia="仿宋_GB2312" w:hint="eastAsia"/>
                <w:color w:val="000000"/>
                <w:sz w:val="15"/>
                <w:szCs w:val="15"/>
              </w:rPr>
            </w:pPr>
          </w:p>
        </w:tc>
      </w:tr>
      <w:tr>
        <w:trPr>
          <w:trHeight w:val="387"/>
        </w:trPr>
        <w:tc>
          <w:tcPr>
            <w:tcW w:w="381" w:type="dxa"/>
            <w:vMerge/>
            <w:tcBorders>
              <w:top w:val="single" w:sz="6" w:space="0" w:color="000000"/>
              <w:left w:val="single" w:sz="6" w:space="0" w:color="000000"/>
              <w:bottom w:val="single" w:sz="6" w:space="0" w:color="auto"/>
              <w:right w:val="single" w:sz="6" w:space="0" w:color="000000"/>
            </w:tcBorders>
            <w:noWrap/>
            <w:vAlign w:val="center"/>
          </w:tcPr>
          <w:p/>
        </w:tc>
        <w:tc>
          <w:tcPr>
            <w:tcW w:w="540" w:type="dxa"/>
            <w:vMerge/>
            <w:tcBorders>
              <w:top w:val="single" w:sz="6" w:space="0" w:color="000000"/>
              <w:left w:val="single" w:sz="6" w:space="0" w:color="000000"/>
              <w:bottom w:val="single" w:sz="6" w:space="0" w:color="000000"/>
              <w:right w:val="single" w:sz="4" w:space="0" w:color="auto"/>
            </w:tcBorders>
            <w:noWrap/>
            <w:vAlign w:val="center"/>
          </w:tcPr>
          <w:p/>
        </w:tc>
        <w:tc>
          <w:tcPr>
            <w:tcW w:w="1110" w:type="dxa"/>
            <w:vMerge/>
            <w:tcBorders>
              <w:top w:val="single" w:sz="4" w:space="0" w:color="auto"/>
              <w:left w:val="single" w:sz="4" w:space="0" w:color="auto"/>
              <w:bottom w:val="single" w:sz="4" w:space="0" w:color="auto"/>
              <w:right w:val="single" w:sz="4" w:space="0" w:color="auto"/>
            </w:tcBorders>
            <w:noWrap/>
            <w:vAlign w:val="center"/>
          </w:tcPr>
          <w:p/>
        </w:tc>
        <w:tc>
          <w:tcPr>
            <w:tcW w:w="2683" w:type="dxa"/>
            <w:gridSpan w:val="2"/>
            <w:tcBorders>
              <w:top w:val="single" w:sz="6" w:space="0" w:color="000000"/>
              <w:left w:val="single" w:sz="4" w:space="0" w:color="auto"/>
              <w:bottom w:val="single" w:sz="6" w:space="0" w:color="000000"/>
              <w:right w:val="single" w:sz="6" w:space="0" w:color="000000"/>
            </w:tcBorders>
            <w:noWrap/>
            <w:vAlign w:val="center"/>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省级药品购样（批次）</w:t>
            </w:r>
          </w:p>
        </w:tc>
        <w:tc>
          <w:tcPr>
            <w:tcW w:w="1485" w:type="dxa"/>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13</w:t>
            </w:r>
          </w:p>
        </w:tc>
        <w:tc>
          <w:tcPr>
            <w:tcW w:w="1770" w:type="dxa"/>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13</w:t>
            </w:r>
          </w:p>
        </w:tc>
        <w:tc>
          <w:tcPr>
            <w:tcW w:w="1604" w:type="dxa"/>
            <w:tcBorders>
              <w:top w:val="single" w:sz="6" w:space="0" w:color="000000"/>
              <w:left w:val="single" w:sz="6" w:space="0" w:color="000000"/>
              <w:bottom w:val="single" w:sz="6" w:space="0" w:color="000000"/>
              <w:right w:val="single" w:sz="6" w:space="0" w:color="000000"/>
            </w:tcBorders>
            <w:noWrap/>
            <w:vAlign w:val="center"/>
          </w:tcPr>
          <w:p>
            <w:pPr>
              <w:rPr>
                <w:rFonts w:ascii="仿宋_GB2312" w:eastAsia="仿宋_GB2312" w:hint="eastAsia"/>
                <w:color w:val="000000"/>
                <w:sz w:val="15"/>
                <w:szCs w:val="15"/>
              </w:rPr>
            </w:pPr>
          </w:p>
        </w:tc>
      </w:tr>
      <w:tr>
        <w:trPr>
          <w:trHeight w:val="363"/>
        </w:trPr>
        <w:tc>
          <w:tcPr>
            <w:tcW w:w="381" w:type="dxa"/>
            <w:vMerge/>
            <w:tcBorders>
              <w:top w:val="single" w:sz="6" w:space="0" w:color="000000"/>
              <w:left w:val="single" w:sz="6" w:space="0" w:color="000000"/>
              <w:bottom w:val="single" w:sz="6" w:space="0" w:color="auto"/>
              <w:right w:val="single" w:sz="6" w:space="0" w:color="000000"/>
            </w:tcBorders>
            <w:noWrap/>
            <w:vAlign w:val="center"/>
          </w:tcPr>
          <w:p/>
        </w:tc>
        <w:tc>
          <w:tcPr>
            <w:tcW w:w="540" w:type="dxa"/>
            <w:vMerge/>
            <w:tcBorders>
              <w:top w:val="single" w:sz="6" w:space="0" w:color="000000"/>
              <w:left w:val="single" w:sz="6" w:space="0" w:color="000000"/>
              <w:bottom w:val="single" w:sz="6" w:space="0" w:color="000000"/>
              <w:right w:val="single" w:sz="6" w:space="0" w:color="000000"/>
            </w:tcBorders>
            <w:noWrap/>
            <w:vAlign w:val="center"/>
          </w:tcPr>
          <w:p/>
        </w:tc>
        <w:tc>
          <w:tcPr>
            <w:tcW w:w="1110" w:type="dxa"/>
            <w:tcBorders>
              <w:top w:val="single" w:sz="4" w:space="0" w:color="auto"/>
              <w:left w:val="single" w:sz="6" w:space="0" w:color="000000"/>
              <w:bottom w:val="nil"/>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质量指标</w:t>
            </w:r>
          </w:p>
        </w:tc>
        <w:tc>
          <w:tcPr>
            <w:tcW w:w="2683" w:type="dxa"/>
            <w:gridSpan w:val="2"/>
            <w:tcBorders>
              <w:top w:val="single" w:sz="6" w:space="0" w:color="000000"/>
              <w:left w:val="single" w:sz="6" w:space="0" w:color="000000"/>
              <w:bottom w:val="single" w:sz="6" w:space="0" w:color="000000"/>
              <w:right w:val="single" w:sz="6" w:space="0" w:color="000000"/>
            </w:tcBorders>
            <w:noWrap/>
            <w:vAlign w:val="center"/>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不合格检验报告处置率</w:t>
            </w:r>
          </w:p>
        </w:tc>
        <w:tc>
          <w:tcPr>
            <w:tcW w:w="1485" w:type="dxa"/>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100%</w:t>
            </w:r>
          </w:p>
        </w:tc>
        <w:tc>
          <w:tcPr>
            <w:tcW w:w="1770" w:type="dxa"/>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100%</w:t>
            </w:r>
          </w:p>
        </w:tc>
        <w:tc>
          <w:tcPr>
            <w:tcW w:w="1604" w:type="dxa"/>
            <w:tcBorders>
              <w:top w:val="single" w:sz="6" w:space="0" w:color="000000"/>
              <w:left w:val="single" w:sz="6" w:space="0" w:color="000000"/>
              <w:bottom w:val="single" w:sz="6" w:space="0" w:color="000000"/>
              <w:right w:val="single" w:sz="6" w:space="0" w:color="000000"/>
            </w:tcBorders>
            <w:noWrap/>
            <w:vAlign w:val="center"/>
          </w:tcPr>
          <w:p>
            <w:pPr>
              <w:rPr>
                <w:rFonts w:ascii="仿宋_GB2312" w:eastAsia="仿宋_GB2312" w:hint="eastAsia"/>
                <w:color w:val="000000"/>
                <w:sz w:val="15"/>
                <w:szCs w:val="15"/>
              </w:rPr>
            </w:pPr>
          </w:p>
        </w:tc>
      </w:tr>
      <w:tr>
        <w:trPr>
          <w:trHeight w:val="275"/>
        </w:trPr>
        <w:tc>
          <w:tcPr>
            <w:tcW w:w="381" w:type="dxa"/>
            <w:vMerge/>
            <w:tcBorders>
              <w:top w:val="single" w:sz="6" w:space="0" w:color="000000"/>
              <w:left w:val="single" w:sz="6" w:space="0" w:color="000000"/>
              <w:bottom w:val="single" w:sz="6" w:space="0" w:color="auto"/>
              <w:right w:val="single" w:sz="6" w:space="0" w:color="000000"/>
            </w:tcBorders>
            <w:noWrap/>
            <w:vAlign w:val="center"/>
          </w:tcPr>
          <w:p/>
        </w:tc>
        <w:tc>
          <w:tcPr>
            <w:tcW w:w="540" w:type="dxa"/>
            <w:vMerge/>
            <w:tcBorders>
              <w:top w:val="single" w:sz="6" w:space="0" w:color="000000"/>
              <w:left w:val="single" w:sz="6" w:space="0" w:color="000000"/>
              <w:bottom w:val="single" w:sz="6" w:space="0" w:color="000000"/>
              <w:right w:val="single" w:sz="6" w:space="0" w:color="000000"/>
            </w:tcBorders>
            <w:noWrap/>
            <w:vAlign w:val="center"/>
          </w:tcPr>
          <w:p/>
        </w:tc>
        <w:tc>
          <w:tcPr>
            <w:tcW w:w="1110" w:type="dxa"/>
            <w:vMerge w:val="restart"/>
            <w:tcBorders>
              <w:top w:val="single" w:sz="6" w:space="0" w:color="000000"/>
              <w:left w:val="single" w:sz="6" w:space="0" w:color="000000"/>
              <w:bottom w:val="nil"/>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时效指标</w:t>
            </w:r>
          </w:p>
        </w:tc>
        <w:tc>
          <w:tcPr>
            <w:tcW w:w="2683" w:type="dxa"/>
            <w:gridSpan w:val="2"/>
            <w:tcBorders>
              <w:top w:val="single" w:sz="6" w:space="0" w:color="000000"/>
              <w:left w:val="single" w:sz="6" w:space="0" w:color="000000"/>
              <w:bottom w:val="single" w:sz="6" w:space="0" w:color="000000"/>
              <w:right w:val="single" w:sz="6" w:space="0" w:color="000000"/>
            </w:tcBorders>
            <w:noWrap/>
            <w:vAlign w:val="center"/>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完成省抽任务及时率</w:t>
            </w:r>
          </w:p>
        </w:tc>
        <w:tc>
          <w:tcPr>
            <w:tcW w:w="1485" w:type="dxa"/>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100%</w:t>
            </w:r>
          </w:p>
        </w:tc>
        <w:tc>
          <w:tcPr>
            <w:tcW w:w="1770" w:type="dxa"/>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100%</w:t>
            </w:r>
          </w:p>
        </w:tc>
        <w:tc>
          <w:tcPr>
            <w:tcW w:w="1604" w:type="dxa"/>
            <w:tcBorders>
              <w:top w:val="single" w:sz="6" w:space="0" w:color="000000"/>
              <w:left w:val="single" w:sz="6" w:space="0" w:color="000000"/>
              <w:bottom w:val="single" w:sz="6" w:space="0" w:color="000000"/>
              <w:right w:val="single" w:sz="6" w:space="0" w:color="000000"/>
            </w:tcBorders>
            <w:noWrap/>
            <w:vAlign w:val="center"/>
          </w:tcPr>
          <w:p>
            <w:pPr>
              <w:rPr>
                <w:rFonts w:ascii="仿宋_GB2312" w:eastAsia="仿宋_GB2312" w:hint="eastAsia"/>
                <w:color w:val="000000"/>
                <w:sz w:val="15"/>
                <w:szCs w:val="15"/>
              </w:rPr>
            </w:pPr>
          </w:p>
        </w:tc>
      </w:tr>
      <w:tr>
        <w:trPr>
          <w:trHeight w:val="251"/>
        </w:trPr>
        <w:tc>
          <w:tcPr>
            <w:tcW w:w="381" w:type="dxa"/>
            <w:vMerge/>
            <w:tcBorders>
              <w:top w:val="single" w:sz="6" w:space="0" w:color="000000"/>
              <w:left w:val="single" w:sz="6" w:space="0" w:color="000000"/>
              <w:bottom w:val="single" w:sz="6" w:space="0" w:color="auto"/>
              <w:right w:val="single" w:sz="6" w:space="0" w:color="000000"/>
            </w:tcBorders>
            <w:noWrap/>
            <w:vAlign w:val="center"/>
          </w:tcPr>
          <w:p/>
        </w:tc>
        <w:tc>
          <w:tcPr>
            <w:tcW w:w="540" w:type="dxa"/>
            <w:vMerge/>
            <w:tcBorders>
              <w:top w:val="single" w:sz="6" w:space="0" w:color="000000"/>
              <w:left w:val="single" w:sz="6" w:space="0" w:color="000000"/>
              <w:bottom w:val="single" w:sz="6" w:space="0" w:color="000000"/>
              <w:right w:val="single" w:sz="6" w:space="0" w:color="000000"/>
            </w:tcBorders>
            <w:noWrap/>
            <w:vAlign w:val="center"/>
          </w:tcPr>
          <w:p/>
        </w:tc>
        <w:tc>
          <w:tcPr>
            <w:tcW w:w="1110" w:type="dxa"/>
            <w:vMerge/>
            <w:tcBorders>
              <w:top w:val="single" w:sz="6" w:space="0" w:color="000000"/>
              <w:left w:val="single" w:sz="6" w:space="0" w:color="000000"/>
              <w:bottom w:val="single" w:sz="6" w:space="0" w:color="000000"/>
              <w:right w:val="single" w:sz="6" w:space="0" w:color="000000"/>
            </w:tcBorders>
            <w:noWrap/>
            <w:vAlign w:val="center"/>
          </w:tcPr>
          <w:p/>
        </w:tc>
        <w:tc>
          <w:tcPr>
            <w:tcW w:w="2683" w:type="dxa"/>
            <w:gridSpan w:val="2"/>
            <w:tcBorders>
              <w:top w:val="single" w:sz="6" w:space="0" w:color="000000"/>
              <w:left w:val="single" w:sz="6" w:space="0" w:color="000000"/>
              <w:bottom w:val="single" w:sz="6" w:space="0" w:color="000000"/>
              <w:right w:val="single" w:sz="6" w:space="0" w:color="000000"/>
            </w:tcBorders>
            <w:noWrap/>
            <w:vAlign w:val="center"/>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培训成本</w:t>
            </w:r>
          </w:p>
        </w:tc>
        <w:tc>
          <w:tcPr>
            <w:tcW w:w="1485" w:type="dxa"/>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≤400</w:t>
            </w:r>
          </w:p>
        </w:tc>
        <w:tc>
          <w:tcPr>
            <w:tcW w:w="1770" w:type="dxa"/>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≤400</w:t>
            </w:r>
          </w:p>
        </w:tc>
        <w:tc>
          <w:tcPr>
            <w:tcW w:w="1604" w:type="dxa"/>
            <w:tcBorders>
              <w:top w:val="single" w:sz="6" w:space="0" w:color="000000"/>
              <w:left w:val="single" w:sz="6" w:space="0" w:color="000000"/>
              <w:bottom w:val="single" w:sz="6" w:space="0" w:color="000000"/>
              <w:right w:val="single" w:sz="6" w:space="0" w:color="000000"/>
            </w:tcBorders>
            <w:noWrap/>
            <w:vAlign w:val="center"/>
          </w:tcPr>
          <w:p>
            <w:pPr>
              <w:rPr>
                <w:rFonts w:ascii="仿宋_GB2312" w:eastAsia="仿宋_GB2312" w:hint="eastAsia"/>
                <w:color w:val="000000"/>
                <w:sz w:val="15"/>
                <w:szCs w:val="15"/>
              </w:rPr>
            </w:pPr>
          </w:p>
        </w:tc>
      </w:tr>
      <w:tr>
        <w:trPr>
          <w:trHeight w:val="468"/>
        </w:trPr>
        <w:tc>
          <w:tcPr>
            <w:tcW w:w="381" w:type="dxa"/>
            <w:vMerge/>
            <w:tcBorders>
              <w:top w:val="single" w:sz="6" w:space="0" w:color="000000"/>
              <w:left w:val="single" w:sz="6" w:space="0" w:color="000000"/>
              <w:bottom w:val="single" w:sz="6" w:space="0" w:color="auto"/>
              <w:right w:val="single" w:sz="6" w:space="0" w:color="000000"/>
            </w:tcBorders>
            <w:noWrap/>
            <w:vAlign w:val="center"/>
          </w:tcPr>
          <w:p/>
        </w:tc>
        <w:tc>
          <w:tcPr>
            <w:tcW w:w="540" w:type="dxa"/>
            <w:vMerge w:val="restart"/>
            <w:tcBorders>
              <w:top w:val="single" w:sz="6" w:space="0" w:color="000000"/>
              <w:left w:val="single" w:sz="6" w:space="0" w:color="000000"/>
              <w:bottom w:val="nil"/>
              <w:right w:val="single" w:sz="6" w:space="0" w:color="000000"/>
            </w:tcBorders>
            <w:noWrap/>
            <w:textDirection w:val="tbRlV"/>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效益指标</w:t>
            </w:r>
          </w:p>
        </w:tc>
        <w:tc>
          <w:tcPr>
            <w:tcW w:w="1110" w:type="dxa"/>
            <w:vMerge w:val="restart"/>
            <w:tcBorders>
              <w:top w:val="single" w:sz="6" w:space="0" w:color="000000"/>
              <w:left w:val="single" w:sz="6" w:space="0" w:color="000000"/>
              <w:bottom w:val="nil"/>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社会效益</w:t>
            </w:r>
          </w:p>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指标</w:t>
            </w:r>
          </w:p>
        </w:tc>
        <w:tc>
          <w:tcPr>
            <w:tcW w:w="2683" w:type="dxa"/>
            <w:gridSpan w:val="2"/>
            <w:tcBorders>
              <w:top w:val="single" w:sz="6" w:space="0" w:color="000000"/>
              <w:left w:val="single" w:sz="6" w:space="0" w:color="000000"/>
              <w:bottom w:val="single" w:sz="6" w:space="0" w:color="000000"/>
              <w:right w:val="single" w:sz="6" w:space="0" w:color="000000"/>
            </w:tcBorders>
            <w:noWrap/>
            <w:vAlign w:val="center"/>
          </w:tcPr>
          <w:p>
            <w:pPr>
              <w:rPr>
                <w:rFonts w:ascii="微软雅黑" w:eastAsia="仿宋_GB2312" w:cs="Arial" w:hAnsi="微软雅黑" w:hint="eastAsia"/>
                <w:color w:val="000000"/>
                <w:sz w:val="15"/>
                <w:szCs w:val="15"/>
                <w:lang w:bidi="ar-SA"/>
              </w:rPr>
            </w:pPr>
            <w:r>
              <w:rPr>
                <w:rFonts w:ascii="仿宋_GB2312" w:eastAsia="仿宋_GB2312" w:cs="Arial" w:hint="eastAsia"/>
                <w:color w:val="000000"/>
                <w:sz w:val="15"/>
                <w:szCs w:val="15"/>
                <w:lang w:bidi="ar-SA"/>
              </w:rPr>
              <w:t>辖区发生重大及以上药品安全事故数（次）</w:t>
            </w:r>
            <w:r>
              <w:rPr>
                <w:rFonts w:ascii="微软雅黑" w:eastAsia="仿宋_GB2312" w:cs="Arial" w:hAnsi="微软雅黑" w:hint="eastAsia"/>
                <w:color w:val="000000"/>
                <w:sz w:val="15"/>
                <w:szCs w:val="15"/>
                <w:lang w:bidi="ar-SA"/>
              </w:rPr>
              <w:t> </w:t>
            </w:r>
          </w:p>
        </w:tc>
        <w:tc>
          <w:tcPr>
            <w:tcW w:w="1485" w:type="dxa"/>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0</w:t>
            </w:r>
          </w:p>
        </w:tc>
        <w:tc>
          <w:tcPr>
            <w:tcW w:w="1770" w:type="dxa"/>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0</w:t>
            </w:r>
          </w:p>
        </w:tc>
        <w:tc>
          <w:tcPr>
            <w:tcW w:w="1604" w:type="dxa"/>
            <w:tcBorders>
              <w:top w:val="single" w:sz="6" w:space="0" w:color="000000"/>
              <w:left w:val="single" w:sz="6" w:space="0" w:color="000000"/>
              <w:bottom w:val="single" w:sz="6" w:space="0" w:color="000000"/>
              <w:right w:val="single" w:sz="6" w:space="0" w:color="000000"/>
            </w:tcBorders>
            <w:noWrap/>
            <w:vAlign w:val="center"/>
          </w:tcPr>
          <w:p>
            <w:pPr>
              <w:rPr>
                <w:rFonts w:ascii="仿宋_GB2312" w:eastAsia="仿宋_GB2312" w:hint="eastAsia"/>
                <w:color w:val="000000"/>
                <w:sz w:val="15"/>
                <w:szCs w:val="15"/>
              </w:rPr>
            </w:pPr>
          </w:p>
        </w:tc>
      </w:tr>
      <w:tr>
        <w:trPr>
          <w:trHeight w:val="272"/>
        </w:trPr>
        <w:tc>
          <w:tcPr>
            <w:tcW w:w="381" w:type="dxa"/>
            <w:vMerge/>
            <w:tcBorders>
              <w:top w:val="single" w:sz="6" w:space="0" w:color="000000"/>
              <w:left w:val="single" w:sz="6" w:space="0" w:color="000000"/>
              <w:bottom w:val="single" w:sz="6" w:space="0" w:color="auto"/>
              <w:right w:val="single" w:sz="6" w:space="0" w:color="000000"/>
            </w:tcBorders>
            <w:noWrap/>
            <w:vAlign w:val="center"/>
          </w:tcPr>
          <w:p/>
        </w:tc>
        <w:tc>
          <w:tcPr>
            <w:tcW w:w="540" w:type="dxa"/>
            <w:vMerge/>
            <w:tcBorders>
              <w:top w:val="nil"/>
              <w:left w:val="single" w:sz="6" w:space="0" w:color="000000"/>
              <w:bottom w:val="nil"/>
              <w:right w:val="single" w:sz="6" w:space="0" w:color="000000"/>
            </w:tcBorders>
            <w:noWrap/>
            <w:vAlign w:val="center"/>
          </w:tcPr>
          <w:p/>
        </w:tc>
        <w:tc>
          <w:tcPr>
            <w:tcW w:w="1110" w:type="dxa"/>
            <w:vMerge/>
            <w:tcBorders>
              <w:top w:val="nil"/>
              <w:left w:val="single" w:sz="6" w:space="0" w:color="000000"/>
              <w:bottom w:val="nil"/>
              <w:right w:val="single" w:sz="6" w:space="0" w:color="000000"/>
            </w:tcBorders>
            <w:noWrap/>
            <w:vAlign w:val="center"/>
          </w:tcPr>
          <w:p/>
        </w:tc>
        <w:tc>
          <w:tcPr>
            <w:tcW w:w="2683" w:type="dxa"/>
            <w:gridSpan w:val="2"/>
            <w:tcBorders>
              <w:top w:val="single" w:sz="6" w:space="0" w:color="000000"/>
              <w:left w:val="single" w:sz="6" w:space="0" w:color="000000"/>
              <w:bottom w:val="single" w:sz="6" w:space="0" w:color="000000"/>
              <w:right w:val="single" w:sz="6" w:space="0" w:color="000000"/>
            </w:tcBorders>
            <w:noWrap/>
            <w:vAlign w:val="center"/>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辖区药品抽查检验合格率</w:t>
            </w:r>
          </w:p>
        </w:tc>
        <w:tc>
          <w:tcPr>
            <w:tcW w:w="1485" w:type="dxa"/>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≥98%</w:t>
            </w:r>
          </w:p>
        </w:tc>
        <w:tc>
          <w:tcPr>
            <w:tcW w:w="1770" w:type="dxa"/>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≥99%</w:t>
            </w:r>
          </w:p>
        </w:tc>
        <w:tc>
          <w:tcPr>
            <w:tcW w:w="1604" w:type="dxa"/>
            <w:tcBorders>
              <w:top w:val="single" w:sz="6" w:space="0" w:color="000000"/>
              <w:left w:val="single" w:sz="6" w:space="0" w:color="000000"/>
              <w:bottom w:val="single" w:sz="6" w:space="0" w:color="000000"/>
              <w:right w:val="single" w:sz="6" w:space="0" w:color="000000"/>
            </w:tcBorders>
            <w:noWrap/>
            <w:vAlign w:val="center"/>
          </w:tcPr>
          <w:p>
            <w:pPr>
              <w:rPr>
                <w:rFonts w:ascii="仿宋_GB2312" w:eastAsia="仿宋_GB2312" w:hint="eastAsia"/>
                <w:color w:val="000000"/>
                <w:sz w:val="15"/>
                <w:szCs w:val="15"/>
              </w:rPr>
            </w:pPr>
          </w:p>
        </w:tc>
      </w:tr>
      <w:tr>
        <w:trPr>
          <w:trHeight w:val="110"/>
        </w:trPr>
        <w:tc>
          <w:tcPr>
            <w:tcW w:w="381" w:type="dxa"/>
            <w:vMerge/>
            <w:tcBorders>
              <w:top w:val="single" w:sz="6" w:space="0" w:color="000000"/>
              <w:left w:val="single" w:sz="6" w:space="0" w:color="000000"/>
              <w:bottom w:val="single" w:sz="6" w:space="0" w:color="auto"/>
              <w:right w:val="single" w:sz="6" w:space="0" w:color="000000"/>
            </w:tcBorders>
            <w:noWrap/>
            <w:vAlign w:val="center"/>
          </w:tcPr>
          <w:p/>
        </w:tc>
        <w:tc>
          <w:tcPr>
            <w:tcW w:w="540" w:type="dxa"/>
            <w:vMerge/>
            <w:tcBorders>
              <w:top w:val="nil"/>
              <w:left w:val="single" w:sz="6" w:space="0" w:color="000000"/>
              <w:bottom w:val="nil"/>
              <w:right w:val="single" w:sz="6" w:space="0" w:color="000000"/>
            </w:tcBorders>
            <w:noWrap/>
            <w:vAlign w:val="center"/>
          </w:tcPr>
          <w:p/>
        </w:tc>
        <w:tc>
          <w:tcPr>
            <w:tcW w:w="1110" w:type="dxa"/>
            <w:vMerge/>
            <w:tcBorders>
              <w:top w:val="nil"/>
              <w:left w:val="single" w:sz="6" w:space="0" w:color="000000"/>
              <w:bottom w:val="nil"/>
              <w:right w:val="single" w:sz="6" w:space="0" w:color="000000"/>
            </w:tcBorders>
            <w:noWrap/>
            <w:vAlign w:val="center"/>
          </w:tcPr>
          <w:p/>
        </w:tc>
        <w:tc>
          <w:tcPr>
            <w:tcW w:w="2683" w:type="dxa"/>
            <w:gridSpan w:val="2"/>
            <w:tcBorders>
              <w:top w:val="single" w:sz="6" w:space="0" w:color="000000"/>
              <w:left w:val="single" w:sz="6" w:space="0" w:color="000000"/>
              <w:bottom w:val="single" w:sz="6" w:space="0" w:color="000000"/>
              <w:right w:val="single" w:sz="6" w:space="0" w:color="000000"/>
            </w:tcBorders>
            <w:noWrap/>
            <w:vAlign w:val="center"/>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涉刑案件移送率</w:t>
            </w:r>
          </w:p>
        </w:tc>
        <w:tc>
          <w:tcPr>
            <w:tcW w:w="1485" w:type="dxa"/>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100%</w:t>
            </w:r>
          </w:p>
        </w:tc>
        <w:tc>
          <w:tcPr>
            <w:tcW w:w="1770" w:type="dxa"/>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100%</w:t>
            </w:r>
          </w:p>
        </w:tc>
        <w:tc>
          <w:tcPr>
            <w:tcW w:w="1604" w:type="dxa"/>
            <w:tcBorders>
              <w:top w:val="single" w:sz="6" w:space="0" w:color="000000"/>
              <w:left w:val="single" w:sz="6" w:space="0" w:color="000000"/>
              <w:bottom w:val="single" w:sz="6" w:space="0" w:color="000000"/>
              <w:right w:val="single" w:sz="6" w:space="0" w:color="000000"/>
            </w:tcBorders>
            <w:noWrap/>
            <w:vAlign w:val="center"/>
          </w:tcPr>
          <w:p>
            <w:pPr>
              <w:rPr>
                <w:rFonts w:ascii="仿宋_GB2312" w:eastAsia="仿宋_GB2312" w:hint="eastAsia"/>
                <w:color w:val="000000"/>
                <w:sz w:val="15"/>
                <w:szCs w:val="15"/>
              </w:rPr>
            </w:pPr>
          </w:p>
        </w:tc>
      </w:tr>
      <w:tr>
        <w:trPr>
          <w:trHeight w:val="30"/>
        </w:trPr>
        <w:tc>
          <w:tcPr>
            <w:tcW w:w="381" w:type="dxa"/>
            <w:vMerge/>
            <w:tcBorders>
              <w:top w:val="single" w:sz="6" w:space="0" w:color="000000"/>
              <w:left w:val="single" w:sz="6" w:space="0" w:color="000000"/>
              <w:bottom w:val="single" w:sz="6" w:space="0" w:color="auto"/>
              <w:right w:val="single" w:sz="6" w:space="0" w:color="000000"/>
            </w:tcBorders>
            <w:noWrap/>
            <w:vAlign w:val="center"/>
          </w:tcPr>
          <w:p/>
        </w:tc>
        <w:tc>
          <w:tcPr>
            <w:tcW w:w="540" w:type="dxa"/>
            <w:vMerge/>
            <w:tcBorders>
              <w:top w:val="nil"/>
              <w:left w:val="single" w:sz="6" w:space="0" w:color="000000"/>
              <w:bottom w:val="single" w:sz="6" w:space="0" w:color="auto"/>
              <w:right w:val="single" w:sz="6" w:space="0" w:color="000000"/>
            </w:tcBorders>
            <w:noWrap/>
            <w:vAlign w:val="center"/>
          </w:tcPr>
          <w:p/>
        </w:tc>
        <w:tc>
          <w:tcPr>
            <w:tcW w:w="1110" w:type="dxa"/>
            <w:vMerge/>
            <w:tcBorders>
              <w:top w:val="nil"/>
              <w:left w:val="single" w:sz="6" w:space="0" w:color="000000"/>
              <w:bottom w:val="single" w:sz="6" w:space="0" w:color="000000"/>
              <w:right w:val="single" w:sz="6" w:space="0" w:color="000000"/>
            </w:tcBorders>
            <w:noWrap/>
            <w:vAlign w:val="center"/>
          </w:tcPr>
          <w:p/>
        </w:tc>
        <w:tc>
          <w:tcPr>
            <w:tcW w:w="2683" w:type="dxa"/>
            <w:gridSpan w:val="2"/>
            <w:tcBorders>
              <w:top w:val="single" w:sz="6" w:space="0" w:color="000000"/>
              <w:left w:val="single" w:sz="6" w:space="0" w:color="000000"/>
              <w:bottom w:val="single" w:sz="6" w:space="0" w:color="000000"/>
              <w:right w:val="single" w:sz="6" w:space="0" w:color="000000"/>
            </w:tcBorders>
            <w:noWrap/>
            <w:vAlign w:val="center"/>
          </w:tcPr>
          <w:p>
            <w:pP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辖区内发生与补助资金相关的重大“两品一械”</w:t>
            </w:r>
          </w:p>
        </w:tc>
        <w:tc>
          <w:tcPr>
            <w:tcW w:w="1485" w:type="dxa"/>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不断提高</w:t>
            </w:r>
          </w:p>
        </w:tc>
        <w:tc>
          <w:tcPr>
            <w:tcW w:w="1770" w:type="dxa"/>
            <w:tcBorders>
              <w:top w:val="single" w:sz="6" w:space="0" w:color="000000"/>
              <w:left w:val="single" w:sz="6" w:space="0" w:color="000000"/>
              <w:bottom w:val="single" w:sz="6" w:space="0" w:color="000000"/>
              <w:right w:val="single" w:sz="6"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不断提高</w:t>
            </w:r>
          </w:p>
        </w:tc>
        <w:tc>
          <w:tcPr>
            <w:tcW w:w="1604" w:type="dxa"/>
            <w:tcBorders>
              <w:top w:val="single" w:sz="6" w:space="0" w:color="000000"/>
              <w:left w:val="single" w:sz="6" w:space="0" w:color="000000"/>
              <w:bottom w:val="single" w:sz="6" w:space="0" w:color="000000"/>
              <w:right w:val="single" w:sz="6" w:space="0" w:color="000000"/>
            </w:tcBorders>
            <w:noWrap/>
            <w:vAlign w:val="center"/>
          </w:tcPr>
          <w:p>
            <w:pPr>
              <w:rPr>
                <w:rFonts w:ascii="仿宋_GB2312" w:eastAsia="仿宋_GB2312" w:hint="eastAsia"/>
                <w:color w:val="000000"/>
                <w:sz w:val="15"/>
                <w:szCs w:val="15"/>
              </w:rPr>
            </w:pPr>
          </w:p>
        </w:tc>
      </w:tr>
    </w:tbl>
    <w:p>
      <w:pPr>
        <w:pStyle w:val="16"/>
        <w:keepNext w:val="0"/>
        <w:keepLines w:val="0"/>
        <w:pageBreakBefore w:val="0"/>
        <w:widowControl w:val="0"/>
        <w:suppressAutoHyphens/>
        <w:kinsoku/>
        <w:wordWrap/>
        <w:overflowPunct/>
        <w:topLinePunct w:val="0"/>
        <w:autoSpaceDE/>
        <w:autoSpaceDN/>
        <w:bidi w:val="0"/>
        <w:adjustRightInd/>
        <w:snapToGrid/>
        <w:spacing w:after="0" w:line="20" w:lineRule="exact"/>
        <w:ind w:leftChars="0" w:left="0" w:firstLineChars="0" w:firstLine="0"/>
        <w:textAlignment w:val="auto"/>
        <w:rPr>
          <w:rFonts w:ascii="Times New Roman" w:eastAsia="黑体" w:cs="Times New Roman" w:hAnsi="Times New Roman"/>
          <w:sz w:val="24"/>
          <w:szCs w:val="24"/>
          <w:lang w:val="en-US" w:eastAsia="zh-CN" w:bidi="ar-SA"/>
          <w:highlight w:val="auto"/>
        </w:rPr>
      </w:pPr>
    </w:p>
    <w:tbl>
      <w:tblPr>
        <w:jc w:val="left"/>
        <w:tblInd w:w="-74" w:type="dxa"/>
        <w:tblW w:w="9554" w:type="dxa"/>
        <w:tblBorders>
          <w:top w:val="none" w:sz="0" w:space="0" w:color="auto"/>
          <w:left w:val="none" w:sz="0" w:space="0" w:color="auto"/>
          <w:bottom w:val="none" w:sz="0" w:space="0" w:color="auto"/>
          <w:right w:val="none" w:sz="0" w:space="0" w:color="auto"/>
        </w:tblBorders>
        <w:tblLayout w:type="fixed"/>
        <w:tblCellMar>
          <w:top w:w="15" w:type="dxa"/>
          <w:left w:w="15" w:type="dxa"/>
          <w:bottom w:w="15" w:type="dxa"/>
          <w:right w:w="15" w:type="dxa"/>
        </w:tblCellMar>
      </w:tblPr>
      <w:tblGrid>
        <w:gridCol w:w="390"/>
        <w:gridCol w:w="228"/>
        <w:gridCol w:w="294"/>
        <w:gridCol w:w="334"/>
        <w:gridCol w:w="5"/>
        <w:gridCol w:w="640"/>
        <w:gridCol w:w="443"/>
        <w:gridCol w:w="57"/>
        <w:gridCol w:w="327"/>
        <w:gridCol w:w="906"/>
        <w:gridCol w:w="225"/>
        <w:gridCol w:w="159"/>
        <w:gridCol w:w="471"/>
        <w:gridCol w:w="384"/>
        <w:gridCol w:w="112"/>
        <w:gridCol w:w="689"/>
        <w:gridCol w:w="75"/>
        <w:gridCol w:w="90"/>
        <w:gridCol w:w="116"/>
        <w:gridCol w:w="268"/>
        <w:gridCol w:w="753"/>
        <w:gridCol w:w="39"/>
        <w:gridCol w:w="345"/>
        <w:gridCol w:w="355"/>
        <w:gridCol w:w="199"/>
        <w:gridCol w:w="38"/>
        <w:gridCol w:w="294"/>
        <w:gridCol w:w="52"/>
        <w:gridCol w:w="1266"/>
      </w:tblGrid>
      <w:tr>
        <w:trPr>
          <w:trHeight w:val="30"/>
        </w:trPr>
        <w:tc>
          <w:tcPr>
            <w:tcW w:w="3849" w:type="dxa"/>
            <w:gridSpan w:val="11"/>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项目名称</w:t>
            </w:r>
          </w:p>
        </w:tc>
        <w:tc>
          <w:tcPr>
            <w:tcW w:w="5705" w:type="dxa"/>
            <w:gridSpan w:val="18"/>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b/>
                <w:bCs/>
                <w:kern w:val="0"/>
                <w:position w:val="0"/>
                <w:sz w:val="15"/>
                <w:szCs w:val="15"/>
                <w:lang w:val="en-US" w:eastAsia="zh-CN" w:bidi="ar-SA"/>
                <w:highlight w:val="auto"/>
              </w:rPr>
              <w:t>2025年省级财政市场监管专项资金</w:t>
            </w:r>
          </w:p>
        </w:tc>
      </w:tr>
      <w:tr>
        <w:trPr>
          <w:trHeight w:val="458"/>
        </w:trPr>
        <w:tc>
          <w:tcPr>
            <w:tcW w:w="3849" w:type="dxa"/>
            <w:gridSpan w:val="11"/>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预算单位</w:t>
            </w:r>
          </w:p>
        </w:tc>
        <w:tc>
          <w:tcPr>
            <w:tcW w:w="5705" w:type="dxa"/>
            <w:gridSpan w:val="18"/>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茂县市场监督管理局</w:t>
            </w:r>
          </w:p>
        </w:tc>
      </w:tr>
      <w:tr>
        <w:trPr>
          <w:trHeight w:val="301"/>
        </w:trPr>
        <w:tc>
          <w:tcPr>
            <w:tcW w:w="3849" w:type="dxa"/>
            <w:gridSpan w:val="11"/>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项目类型</w:t>
            </w:r>
          </w:p>
        </w:tc>
        <w:tc>
          <w:tcPr>
            <w:tcW w:w="5705" w:type="dxa"/>
            <w:gridSpan w:val="18"/>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省级专项资金</w:t>
            </w:r>
          </w:p>
        </w:tc>
      </w:tr>
      <w:tr>
        <w:trPr>
          <w:trHeight w:val="23"/>
        </w:trPr>
        <w:tc>
          <w:tcPr>
            <w:tcW w:w="3849" w:type="dxa"/>
            <w:gridSpan w:val="11"/>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项目起止年限</w:t>
            </w:r>
          </w:p>
        </w:tc>
        <w:tc>
          <w:tcPr>
            <w:tcW w:w="5705" w:type="dxa"/>
            <w:gridSpan w:val="18"/>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2025年</w:t>
            </w:r>
          </w:p>
        </w:tc>
      </w:tr>
      <w:tr>
        <w:trPr>
          <w:trHeight w:val="23"/>
        </w:trPr>
        <w:tc>
          <w:tcPr>
            <w:tcW w:w="1251" w:type="dxa"/>
            <w:gridSpan w:val="5"/>
            <w:vMerge w:val="restart"/>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项目资金</w:t>
            </w:r>
          </w:p>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（万元）</w:t>
            </w:r>
          </w:p>
        </w:tc>
        <w:tc>
          <w:tcPr>
            <w:tcW w:w="2598" w:type="dxa"/>
            <w:gridSpan w:val="6"/>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left"/>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 xml:space="preserve">  年度资金总额：</w:t>
            </w:r>
          </w:p>
        </w:tc>
        <w:tc>
          <w:tcPr>
            <w:tcW w:w="1890" w:type="dxa"/>
            <w:gridSpan w:val="6"/>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33.6</w:t>
            </w:r>
          </w:p>
        </w:tc>
        <w:tc>
          <w:tcPr>
            <w:tcW w:w="2497" w:type="dxa"/>
            <w:gridSpan w:val="10"/>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tabs>
                <w:tab w:val="left" w:pos="635"/>
              </w:tabs>
              <w:suppressAutoHyphens/>
              <w:kinsoku/>
              <w:wordWrap/>
              <w:overflowPunct/>
              <w:topLinePunct w:val="0"/>
              <w:autoSpaceDE/>
              <w:autoSpaceDN/>
              <w:bidi w:val="0"/>
              <w:adjustRightInd/>
              <w:snapToGrid/>
              <w:spacing w:line="300" w:lineRule="exact"/>
              <w:ind w:left="0"/>
              <w:jc w:val="left"/>
              <w:rPr>
                <w:rFonts w:ascii="仿宋_GB2312" w:eastAsia="仿宋_GB2312" w:cs="Times New Roman" w:hint="eastAsia"/>
                <w:color w:val="000000"/>
                <w:sz w:val="15"/>
                <w:szCs w:val="15"/>
                <w:u w:val="none"/>
                <w:lang w:val="en-US" w:eastAsia="zh-CN" w:bidi="ar-SA"/>
              </w:rPr>
            </w:pPr>
            <w:r>
              <w:rPr>
                <w:rFonts w:ascii="仿宋_GB2312" w:eastAsia="仿宋_GB2312" w:cs="Times New Roman" w:hint="eastAsia"/>
                <w:color w:val="000000"/>
                <w:sz w:val="15"/>
                <w:szCs w:val="15"/>
                <w:u w:val="none"/>
                <w:lang w:val="en-US" w:eastAsia="zh-CN" w:bidi="ar-SA"/>
              </w:rPr>
              <w:t>已执行金额：</w:t>
            </w:r>
          </w:p>
        </w:tc>
        <w:tc>
          <w:tcPr>
            <w:tcW w:w="1318"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tabs>
                <w:tab w:val="left" w:pos="635"/>
              </w:tabs>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eastAsia="zh-CN" w:bidi="ar-SA"/>
              </w:rPr>
            </w:pPr>
            <w:r>
              <w:rPr>
                <w:rFonts w:ascii="仿宋_GB2312" w:eastAsia="仿宋_GB2312" w:cs="Times New Roman" w:hint="eastAsia"/>
                <w:color w:val="000000"/>
                <w:sz w:val="15"/>
                <w:szCs w:val="15"/>
                <w:u w:val="none"/>
                <w:lang w:eastAsia="zh-CN" w:bidi="ar-SA"/>
              </w:rPr>
              <w:t>31.69</w:t>
            </w:r>
          </w:p>
        </w:tc>
      </w:tr>
      <w:tr>
        <w:trPr>
          <w:trHeight w:val="23"/>
        </w:trPr>
        <w:tc>
          <w:tcPr>
            <w:tcW w:w="1251" w:type="dxa"/>
            <w:gridSpan w:val="5"/>
            <w:vMerge/>
            <w:tcBorders>
              <w:top w:val="single" w:sz="4" w:space="0" w:color="auto"/>
              <w:left w:val="single" w:sz="4" w:space="0" w:color="auto"/>
              <w:bottom w:val="single" w:sz="4" w:space="0" w:color="auto"/>
              <w:right w:val="single" w:sz="4" w:space="0" w:color="auto"/>
            </w:tcBorders>
            <w:noWrap/>
            <w:vAlign w:val="center"/>
          </w:tcPr>
          <w:p/>
        </w:tc>
        <w:tc>
          <w:tcPr>
            <w:tcW w:w="2598" w:type="dxa"/>
            <w:gridSpan w:val="6"/>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left"/>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 xml:space="preserve">      其中：财政拨款</w:t>
            </w:r>
          </w:p>
        </w:tc>
        <w:tc>
          <w:tcPr>
            <w:tcW w:w="1890" w:type="dxa"/>
            <w:gridSpan w:val="6"/>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33.6</w:t>
            </w:r>
          </w:p>
        </w:tc>
        <w:tc>
          <w:tcPr>
            <w:tcW w:w="2497" w:type="dxa"/>
            <w:gridSpan w:val="10"/>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left"/>
              <w:textAlignment w:val="center"/>
              <w:rPr>
                <w:rFonts w:ascii="仿宋_GB2312" w:eastAsia="仿宋_GB2312" w:cs="Times New Roman" w:hint="eastAsia"/>
                <w:color w:val="000000"/>
                <w:sz w:val="15"/>
                <w:szCs w:val="15"/>
                <w:u w:val="none"/>
                <w:lang w:val="en-US" w:eastAsia="zh-CN" w:bidi="ar-SA"/>
              </w:rPr>
            </w:pPr>
            <w:r>
              <w:rPr>
                <w:rFonts w:ascii="仿宋_GB2312" w:eastAsia="仿宋_GB2312" w:cs="Times New Roman" w:hint="eastAsia"/>
                <w:color w:val="000000"/>
                <w:kern w:val="0"/>
                <w:sz w:val="15"/>
                <w:szCs w:val="15"/>
                <w:u w:val="none"/>
                <w:lang w:val="en-US" w:eastAsia="zh-CN"/>
              </w:rPr>
              <w:t>其中：财政拨款</w:t>
            </w:r>
          </w:p>
        </w:tc>
        <w:tc>
          <w:tcPr>
            <w:tcW w:w="1318"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31.69</w:t>
            </w:r>
          </w:p>
        </w:tc>
      </w:tr>
      <w:tr>
        <w:trPr>
          <w:trHeight w:val="23"/>
        </w:trPr>
        <w:tc>
          <w:tcPr>
            <w:tcW w:w="1251" w:type="dxa"/>
            <w:gridSpan w:val="5"/>
            <w:vMerge/>
            <w:tcBorders>
              <w:top w:val="single" w:sz="4" w:space="0" w:color="auto"/>
              <w:left w:val="single" w:sz="4" w:space="0" w:color="auto"/>
              <w:bottom w:val="single" w:sz="4" w:space="0" w:color="auto"/>
              <w:right w:val="single" w:sz="4" w:space="0" w:color="auto"/>
            </w:tcBorders>
            <w:noWrap/>
            <w:vAlign w:val="center"/>
          </w:tcPr>
          <w:p/>
        </w:tc>
        <w:tc>
          <w:tcPr>
            <w:tcW w:w="2598" w:type="dxa"/>
            <w:gridSpan w:val="6"/>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left"/>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 xml:space="preserve">            其他资金</w:t>
            </w:r>
          </w:p>
        </w:tc>
        <w:tc>
          <w:tcPr>
            <w:tcW w:w="1890" w:type="dxa"/>
            <w:gridSpan w:val="6"/>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p>
        </w:tc>
        <w:tc>
          <w:tcPr>
            <w:tcW w:w="2497" w:type="dxa"/>
            <w:gridSpan w:val="10"/>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left"/>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 xml:space="preserve">            其他资金</w:t>
            </w:r>
          </w:p>
        </w:tc>
        <w:tc>
          <w:tcPr>
            <w:tcW w:w="1318"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left"/>
              <w:textAlignment w:val="center"/>
              <w:rPr>
                <w:rFonts w:ascii="仿宋_GB2312" w:eastAsia="仿宋_GB2312" w:cs="Times New Roman" w:hint="eastAsia"/>
                <w:color w:val="000000"/>
                <w:kern w:val="0"/>
                <w:sz w:val="15"/>
                <w:szCs w:val="15"/>
                <w:u w:val="none"/>
                <w:lang w:val="en-US" w:eastAsia="zh-CN"/>
              </w:rPr>
            </w:pPr>
          </w:p>
        </w:tc>
      </w:tr>
      <w:tr>
        <w:trPr>
          <w:trHeight w:val="23"/>
        </w:trPr>
        <w:tc>
          <w:tcPr>
            <w:tcW w:w="390" w:type="dxa"/>
            <w:vMerge w:val="restart"/>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总体 目标</w:t>
            </w:r>
          </w:p>
        </w:tc>
        <w:tc>
          <w:tcPr>
            <w:tcW w:w="9164" w:type="dxa"/>
            <w:gridSpan w:val="28"/>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年度目标</w:t>
            </w:r>
          </w:p>
        </w:tc>
      </w:tr>
      <w:tr>
        <w:trPr>
          <w:trHeight w:val="1156"/>
        </w:trPr>
        <w:tc>
          <w:tcPr>
            <w:tcW w:w="390" w:type="dxa"/>
            <w:vMerge/>
            <w:tcBorders>
              <w:top w:val="single" w:sz="4" w:space="0" w:color="auto"/>
              <w:left w:val="single" w:sz="4" w:space="0" w:color="auto"/>
              <w:bottom w:val="single" w:sz="4" w:space="0" w:color="auto"/>
              <w:right w:val="single" w:sz="4" w:space="0" w:color="auto"/>
            </w:tcBorders>
            <w:noWrap/>
            <w:vAlign w:val="center"/>
          </w:tcPr>
          <w:p/>
        </w:tc>
        <w:tc>
          <w:tcPr>
            <w:tcW w:w="9164" w:type="dxa"/>
            <w:gridSpan w:val="28"/>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ind w:left="0"/>
              <w:jc w:val="center"/>
              <w:rPr>
                <w:rFonts w:ascii="仿宋_GB2312" w:eastAsia="仿宋_GB2312" w:hint="eastAsia"/>
                <w:color w:val="000000"/>
                <w:sz w:val="15"/>
                <w:szCs w:val="15"/>
              </w:rPr>
            </w:pPr>
            <w:r>
              <w:rPr>
                <w:rFonts w:ascii="仿宋_GB2312" w:eastAsia="仿宋_GB2312" w:hint="eastAsia"/>
                <w:color w:val="000000"/>
                <w:sz w:val="15"/>
                <w:szCs w:val="15"/>
                <w:lang w:eastAsia="zh-CN"/>
              </w:rPr>
              <w:t>紧紧围绕省、州市场监管局确定的年度重点工作，深入实施质量强省战略，全面提升全省市场监管能力。严守食品、重要工业产品质量、特种设备三条安全底线。强化计量技术保障、完善认证认可和检验检测监管体系。强化消费引导、深入推动优化消费环境行动。开展执法办案及专项行动、加强反垄断和反不正当竞争执法、价格监管、广告监管、网络和合同监管、开展基层市场监管局标准规范化建设示范创建，提高综合行政执法水平。</w:t>
            </w:r>
          </w:p>
        </w:tc>
      </w:tr>
      <w:tr>
        <w:trPr>
          <w:trHeight w:val="23"/>
        </w:trPr>
        <w:tc>
          <w:tcPr>
            <w:tcW w:w="390" w:type="dxa"/>
            <w:vMerge w:val="restart"/>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绩效 指标</w:t>
            </w:r>
          </w:p>
        </w:tc>
        <w:tc>
          <w:tcPr>
            <w:tcW w:w="861"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一级指标</w:t>
            </w:r>
          </w:p>
        </w:tc>
        <w:tc>
          <w:tcPr>
            <w:tcW w:w="1140"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二级指标</w:t>
            </w:r>
          </w:p>
        </w:tc>
        <w:tc>
          <w:tcPr>
            <w:tcW w:w="1458"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三级指标</w:t>
            </w:r>
          </w:p>
        </w:tc>
        <w:tc>
          <w:tcPr>
            <w:tcW w:w="1126"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指标性质</w:t>
            </w:r>
          </w:p>
        </w:tc>
        <w:tc>
          <w:tcPr>
            <w:tcW w:w="970"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指标值</w:t>
            </w:r>
          </w:p>
        </w:tc>
        <w:tc>
          <w:tcPr>
            <w:tcW w:w="1060"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度量单位</w:t>
            </w:r>
          </w:p>
        </w:tc>
        <w:tc>
          <w:tcPr>
            <w:tcW w:w="937"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权重</w:t>
            </w:r>
          </w:p>
        </w:tc>
        <w:tc>
          <w:tcPr>
            <w:tcW w:w="1612"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实际完成指标值</w:t>
            </w:r>
          </w:p>
        </w:tc>
      </w:tr>
      <w:tr>
        <w:trPr>
          <w:trHeight w:val="23"/>
        </w:trPr>
        <w:tc>
          <w:tcPr>
            <w:tcW w:w="390" w:type="dxa"/>
            <w:vMerge/>
            <w:tcBorders>
              <w:top w:val="single" w:sz="4" w:space="0" w:color="auto"/>
              <w:left w:val="single" w:sz="4" w:space="0" w:color="auto"/>
              <w:bottom w:val="single" w:sz="4" w:space="0" w:color="000000"/>
              <w:right w:val="single" w:sz="4" w:space="0" w:color="auto"/>
            </w:tcBorders>
            <w:noWrap/>
            <w:vAlign w:val="center"/>
          </w:tcPr>
          <w:p/>
        </w:tc>
        <w:tc>
          <w:tcPr>
            <w:tcW w:w="861" w:type="dxa"/>
            <w:gridSpan w:val="4"/>
            <w:vMerge w:val="restart"/>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产出指标</w:t>
            </w:r>
          </w:p>
        </w:tc>
        <w:tc>
          <w:tcPr>
            <w:tcW w:w="1140" w:type="dxa"/>
            <w:gridSpan w:val="3"/>
            <w:vMerge w:val="restart"/>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数量指标</w:t>
            </w:r>
          </w:p>
        </w:tc>
        <w:tc>
          <w:tcPr>
            <w:tcW w:w="1458"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市场监管局（所）标准化规范化建设</w:t>
            </w:r>
          </w:p>
        </w:tc>
        <w:tc>
          <w:tcPr>
            <w:tcW w:w="1126"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w:t>
            </w:r>
          </w:p>
        </w:tc>
        <w:tc>
          <w:tcPr>
            <w:tcW w:w="970"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1</w:t>
            </w:r>
          </w:p>
        </w:tc>
        <w:tc>
          <w:tcPr>
            <w:tcW w:w="1060"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个</w:t>
            </w:r>
          </w:p>
        </w:tc>
        <w:tc>
          <w:tcPr>
            <w:tcW w:w="937"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5</w:t>
            </w:r>
          </w:p>
        </w:tc>
        <w:tc>
          <w:tcPr>
            <w:tcW w:w="1612"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1个</w:t>
            </w:r>
          </w:p>
        </w:tc>
      </w:tr>
      <w:tr>
        <w:trPr>
          <w:trHeight w:val="675"/>
        </w:trPr>
        <w:tc>
          <w:tcPr>
            <w:tcW w:w="390" w:type="dxa"/>
            <w:vMerge/>
            <w:tcBorders>
              <w:top w:val="single" w:sz="4" w:space="0" w:color="auto"/>
              <w:left w:val="single" w:sz="4" w:space="0" w:color="auto"/>
              <w:bottom w:val="single" w:sz="4" w:space="0" w:color="000000"/>
              <w:right w:val="single" w:sz="4" w:space="0" w:color="auto"/>
            </w:tcBorders>
            <w:noWrap/>
            <w:vAlign w:val="center"/>
          </w:tcPr>
          <w:p/>
        </w:tc>
        <w:tc>
          <w:tcPr>
            <w:tcW w:w="861" w:type="dxa"/>
            <w:gridSpan w:val="4"/>
            <w:vMerge/>
            <w:tcBorders>
              <w:top w:val="single" w:sz="4" w:space="0" w:color="auto"/>
              <w:left w:val="single" w:sz="4" w:space="0" w:color="auto"/>
              <w:bottom w:val="single" w:sz="4" w:space="0" w:color="auto"/>
              <w:right w:val="single" w:sz="4" w:space="0" w:color="auto"/>
            </w:tcBorders>
            <w:noWrap/>
            <w:vAlign w:val="center"/>
          </w:tcPr>
          <w:p/>
        </w:tc>
        <w:tc>
          <w:tcPr>
            <w:tcW w:w="1140" w:type="dxa"/>
            <w:gridSpan w:val="3"/>
            <w:vMerge/>
            <w:tcBorders>
              <w:top w:val="single" w:sz="4" w:space="0" w:color="auto"/>
              <w:left w:val="single" w:sz="4" w:space="0" w:color="auto"/>
              <w:bottom w:val="single" w:sz="4" w:space="0" w:color="auto"/>
              <w:right w:val="single" w:sz="4" w:space="0" w:color="auto"/>
            </w:tcBorders>
            <w:noWrap/>
            <w:vAlign w:val="center"/>
          </w:tcPr>
          <w:p/>
        </w:tc>
        <w:tc>
          <w:tcPr>
            <w:tcW w:w="1458"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放心舒心消费示范单元培育（个）</w:t>
            </w:r>
          </w:p>
        </w:tc>
        <w:tc>
          <w:tcPr>
            <w:tcW w:w="1126"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w:t>
            </w:r>
          </w:p>
        </w:tc>
        <w:tc>
          <w:tcPr>
            <w:tcW w:w="970"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20</w:t>
            </w:r>
          </w:p>
        </w:tc>
        <w:tc>
          <w:tcPr>
            <w:tcW w:w="1060"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个</w:t>
            </w:r>
          </w:p>
        </w:tc>
        <w:tc>
          <w:tcPr>
            <w:tcW w:w="937"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5</w:t>
            </w:r>
          </w:p>
        </w:tc>
        <w:tc>
          <w:tcPr>
            <w:tcW w:w="1612"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22个</w:t>
            </w:r>
          </w:p>
        </w:tc>
      </w:tr>
      <w:tr>
        <w:trPr>
          <w:trHeight w:val="23"/>
        </w:trPr>
        <w:tc>
          <w:tcPr>
            <w:tcW w:w="390" w:type="dxa"/>
            <w:vMerge/>
            <w:tcBorders>
              <w:top w:val="single" w:sz="4" w:space="0" w:color="auto"/>
              <w:left w:val="single" w:sz="4" w:space="0" w:color="auto"/>
              <w:bottom w:val="single" w:sz="4" w:space="0" w:color="000000"/>
              <w:right w:val="single" w:sz="4" w:space="0" w:color="auto"/>
            </w:tcBorders>
            <w:noWrap/>
            <w:vAlign w:val="center"/>
          </w:tcPr>
          <w:p/>
        </w:tc>
        <w:tc>
          <w:tcPr>
            <w:tcW w:w="861" w:type="dxa"/>
            <w:gridSpan w:val="4"/>
            <w:vMerge/>
            <w:tcBorders>
              <w:top w:val="single" w:sz="4" w:space="0" w:color="auto"/>
              <w:left w:val="single" w:sz="4" w:space="0" w:color="auto"/>
              <w:bottom w:val="single" w:sz="4" w:space="0" w:color="auto"/>
              <w:right w:val="single" w:sz="4" w:space="0" w:color="auto"/>
            </w:tcBorders>
            <w:noWrap/>
            <w:vAlign w:val="center"/>
          </w:tcPr>
          <w:p/>
        </w:tc>
        <w:tc>
          <w:tcPr>
            <w:tcW w:w="1140" w:type="dxa"/>
            <w:gridSpan w:val="3"/>
            <w:vMerge/>
            <w:tcBorders>
              <w:top w:val="single" w:sz="4" w:space="0" w:color="auto"/>
              <w:left w:val="single" w:sz="4" w:space="0" w:color="auto"/>
              <w:bottom w:val="single" w:sz="4" w:space="0" w:color="auto"/>
              <w:right w:val="single" w:sz="4" w:space="0" w:color="auto"/>
            </w:tcBorders>
            <w:noWrap/>
            <w:vAlign w:val="center"/>
          </w:tcPr>
          <w:p/>
        </w:tc>
        <w:tc>
          <w:tcPr>
            <w:tcW w:w="1458"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小个专党组织（个）</w:t>
            </w:r>
          </w:p>
        </w:tc>
        <w:tc>
          <w:tcPr>
            <w:tcW w:w="1126"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w:t>
            </w:r>
          </w:p>
        </w:tc>
        <w:tc>
          <w:tcPr>
            <w:tcW w:w="970"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21</w:t>
            </w:r>
          </w:p>
        </w:tc>
        <w:tc>
          <w:tcPr>
            <w:tcW w:w="1060"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个</w:t>
            </w:r>
          </w:p>
        </w:tc>
        <w:tc>
          <w:tcPr>
            <w:tcW w:w="937"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5</w:t>
            </w:r>
          </w:p>
        </w:tc>
        <w:tc>
          <w:tcPr>
            <w:tcW w:w="1612"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21个</w:t>
            </w:r>
          </w:p>
        </w:tc>
      </w:tr>
      <w:tr>
        <w:trPr>
          <w:trHeight w:val="23"/>
        </w:trPr>
        <w:tc>
          <w:tcPr>
            <w:tcW w:w="390" w:type="dxa"/>
            <w:vMerge/>
            <w:tcBorders>
              <w:top w:val="single" w:sz="4" w:space="0" w:color="auto"/>
              <w:left w:val="single" w:sz="4" w:space="0" w:color="auto"/>
              <w:bottom w:val="single" w:sz="4" w:space="0" w:color="000000"/>
              <w:right w:val="single" w:sz="4" w:space="0" w:color="auto"/>
            </w:tcBorders>
            <w:noWrap/>
            <w:vAlign w:val="center"/>
          </w:tcPr>
          <w:p/>
        </w:tc>
        <w:tc>
          <w:tcPr>
            <w:tcW w:w="861" w:type="dxa"/>
            <w:gridSpan w:val="4"/>
            <w:vMerge/>
            <w:tcBorders>
              <w:top w:val="single" w:sz="4" w:space="0" w:color="auto"/>
              <w:left w:val="single" w:sz="4" w:space="0" w:color="auto"/>
              <w:bottom w:val="single" w:sz="4" w:space="0" w:color="auto"/>
              <w:right w:val="single" w:sz="4" w:space="0" w:color="auto"/>
            </w:tcBorders>
            <w:noWrap/>
            <w:vAlign w:val="center"/>
          </w:tcPr>
          <w:p/>
        </w:tc>
        <w:tc>
          <w:tcPr>
            <w:tcW w:w="1140" w:type="dxa"/>
            <w:gridSpan w:val="3"/>
            <w:vMerge/>
            <w:tcBorders>
              <w:top w:val="single" w:sz="4" w:space="0" w:color="auto"/>
              <w:left w:val="single" w:sz="4" w:space="0" w:color="auto"/>
              <w:bottom w:val="single" w:sz="4" w:space="0" w:color="auto"/>
              <w:right w:val="single" w:sz="4" w:space="0" w:color="auto"/>
            </w:tcBorders>
            <w:noWrap/>
            <w:vAlign w:val="center"/>
          </w:tcPr>
          <w:p/>
        </w:tc>
        <w:tc>
          <w:tcPr>
            <w:tcW w:w="1458"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hint="eastAsia"/>
                <w:color w:val="000000"/>
                <w:sz w:val="15"/>
                <w:szCs w:val="15"/>
              </w:rPr>
              <w:t>小个专党建工作指导站</w:t>
            </w:r>
          </w:p>
        </w:tc>
        <w:tc>
          <w:tcPr>
            <w:tcW w:w="1126"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w:t>
            </w:r>
          </w:p>
        </w:tc>
        <w:tc>
          <w:tcPr>
            <w:tcW w:w="970"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1</w:t>
            </w:r>
          </w:p>
        </w:tc>
        <w:tc>
          <w:tcPr>
            <w:tcW w:w="1060"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个</w:t>
            </w:r>
          </w:p>
        </w:tc>
        <w:tc>
          <w:tcPr>
            <w:tcW w:w="937"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5</w:t>
            </w:r>
          </w:p>
        </w:tc>
        <w:tc>
          <w:tcPr>
            <w:tcW w:w="1612"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2个</w:t>
            </w:r>
          </w:p>
        </w:tc>
      </w:tr>
      <w:tr>
        <w:trPr>
          <w:trHeight w:val="23"/>
        </w:trPr>
        <w:tc>
          <w:tcPr>
            <w:tcW w:w="390" w:type="dxa"/>
            <w:vMerge/>
            <w:tcBorders>
              <w:top w:val="single" w:sz="4" w:space="0" w:color="auto"/>
              <w:left w:val="single" w:sz="4" w:space="0" w:color="auto"/>
              <w:bottom w:val="single" w:sz="4" w:space="0" w:color="000000"/>
              <w:right w:val="single" w:sz="4" w:space="0" w:color="auto"/>
            </w:tcBorders>
            <w:noWrap/>
            <w:vAlign w:val="center"/>
          </w:tcPr>
          <w:p/>
        </w:tc>
        <w:tc>
          <w:tcPr>
            <w:tcW w:w="861" w:type="dxa"/>
            <w:gridSpan w:val="4"/>
            <w:vMerge/>
            <w:tcBorders>
              <w:top w:val="single" w:sz="4" w:space="0" w:color="auto"/>
              <w:left w:val="single" w:sz="4" w:space="0" w:color="auto"/>
              <w:bottom w:val="single" w:sz="4" w:space="0" w:color="auto"/>
              <w:right w:val="single" w:sz="4" w:space="0" w:color="auto"/>
            </w:tcBorders>
            <w:noWrap/>
            <w:vAlign w:val="center"/>
          </w:tcPr>
          <w:p/>
        </w:tc>
        <w:tc>
          <w:tcPr>
            <w:tcW w:w="1140" w:type="dxa"/>
            <w:gridSpan w:val="3"/>
            <w:vMerge/>
            <w:tcBorders>
              <w:top w:val="single" w:sz="4" w:space="0" w:color="auto"/>
              <w:left w:val="single" w:sz="4" w:space="0" w:color="auto"/>
              <w:bottom w:val="single" w:sz="4" w:space="0" w:color="auto"/>
              <w:right w:val="single" w:sz="4" w:space="0" w:color="auto"/>
            </w:tcBorders>
            <w:noWrap/>
            <w:vAlign w:val="center"/>
          </w:tcPr>
          <w:p/>
        </w:tc>
        <w:tc>
          <w:tcPr>
            <w:tcW w:w="1458"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电梯安全三年筑底行动（家）</w:t>
            </w:r>
          </w:p>
        </w:tc>
        <w:tc>
          <w:tcPr>
            <w:tcW w:w="1126"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w:t>
            </w:r>
          </w:p>
        </w:tc>
        <w:tc>
          <w:tcPr>
            <w:tcW w:w="970"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30</w:t>
            </w:r>
          </w:p>
        </w:tc>
        <w:tc>
          <w:tcPr>
            <w:tcW w:w="1060"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家</w:t>
            </w:r>
          </w:p>
        </w:tc>
        <w:tc>
          <w:tcPr>
            <w:tcW w:w="937"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5</w:t>
            </w:r>
          </w:p>
        </w:tc>
        <w:tc>
          <w:tcPr>
            <w:tcW w:w="1612"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52家</w:t>
            </w:r>
          </w:p>
        </w:tc>
      </w:tr>
      <w:tr>
        <w:trPr>
          <w:trHeight w:val="23"/>
        </w:trPr>
        <w:tc>
          <w:tcPr>
            <w:tcW w:w="390" w:type="dxa"/>
            <w:vMerge/>
            <w:tcBorders>
              <w:top w:val="single" w:sz="4" w:space="0" w:color="auto"/>
              <w:left w:val="single" w:sz="4" w:space="0" w:color="auto"/>
              <w:bottom w:val="single" w:sz="4" w:space="0" w:color="000000"/>
              <w:right w:val="single" w:sz="4" w:space="0" w:color="auto"/>
            </w:tcBorders>
            <w:noWrap/>
            <w:vAlign w:val="center"/>
          </w:tcPr>
          <w:p/>
        </w:tc>
        <w:tc>
          <w:tcPr>
            <w:tcW w:w="861" w:type="dxa"/>
            <w:gridSpan w:val="4"/>
            <w:vMerge/>
            <w:tcBorders>
              <w:top w:val="single" w:sz="4" w:space="0" w:color="auto"/>
              <w:left w:val="single" w:sz="4" w:space="0" w:color="auto"/>
              <w:bottom w:val="single" w:sz="4" w:space="0" w:color="auto"/>
              <w:right w:val="single" w:sz="4" w:space="0" w:color="auto"/>
            </w:tcBorders>
            <w:noWrap/>
            <w:vAlign w:val="center"/>
          </w:tcPr>
          <w:p/>
        </w:tc>
        <w:tc>
          <w:tcPr>
            <w:tcW w:w="1140" w:type="dxa"/>
            <w:gridSpan w:val="3"/>
            <w:vMerge/>
            <w:tcBorders>
              <w:top w:val="single" w:sz="4" w:space="0" w:color="auto"/>
              <w:left w:val="single" w:sz="4" w:space="0" w:color="auto"/>
              <w:bottom w:val="single" w:sz="4" w:space="0" w:color="auto"/>
              <w:right w:val="single" w:sz="4" w:space="0" w:color="auto"/>
            </w:tcBorders>
            <w:noWrap/>
            <w:vAlign w:val="center"/>
          </w:tcPr>
          <w:p/>
        </w:tc>
        <w:tc>
          <w:tcPr>
            <w:tcW w:w="1458"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高价值发明专利培育</w:t>
            </w:r>
          </w:p>
        </w:tc>
        <w:tc>
          <w:tcPr>
            <w:tcW w:w="1126"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w:t>
            </w:r>
          </w:p>
        </w:tc>
        <w:tc>
          <w:tcPr>
            <w:tcW w:w="970"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7</w:t>
            </w:r>
          </w:p>
        </w:tc>
        <w:tc>
          <w:tcPr>
            <w:tcW w:w="1060"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个</w:t>
            </w:r>
          </w:p>
        </w:tc>
        <w:tc>
          <w:tcPr>
            <w:tcW w:w="937"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5</w:t>
            </w:r>
          </w:p>
        </w:tc>
        <w:tc>
          <w:tcPr>
            <w:tcW w:w="1612"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7个</w:t>
            </w:r>
          </w:p>
        </w:tc>
      </w:tr>
      <w:tr>
        <w:trPr>
          <w:trHeight w:val="23"/>
        </w:trPr>
        <w:tc>
          <w:tcPr>
            <w:tcW w:w="390" w:type="dxa"/>
            <w:vMerge/>
            <w:tcBorders>
              <w:top w:val="single" w:sz="4" w:space="0" w:color="auto"/>
              <w:left w:val="single" w:sz="4" w:space="0" w:color="auto"/>
              <w:bottom w:val="single" w:sz="4" w:space="0" w:color="000000"/>
              <w:right w:val="single" w:sz="4" w:space="0" w:color="auto"/>
            </w:tcBorders>
            <w:noWrap/>
            <w:vAlign w:val="center"/>
          </w:tcPr>
          <w:p/>
        </w:tc>
        <w:tc>
          <w:tcPr>
            <w:tcW w:w="861" w:type="dxa"/>
            <w:gridSpan w:val="4"/>
            <w:vMerge/>
            <w:tcBorders>
              <w:top w:val="single" w:sz="4" w:space="0" w:color="auto"/>
              <w:left w:val="single" w:sz="4" w:space="0" w:color="auto"/>
              <w:bottom w:val="single" w:sz="4" w:space="0" w:color="auto"/>
              <w:right w:val="single" w:sz="4" w:space="0" w:color="auto"/>
            </w:tcBorders>
            <w:noWrap/>
            <w:vAlign w:val="center"/>
          </w:tcPr>
          <w:p/>
        </w:tc>
        <w:tc>
          <w:tcPr>
            <w:tcW w:w="1140" w:type="dxa"/>
            <w:gridSpan w:val="3"/>
            <w:vMerge/>
            <w:tcBorders>
              <w:top w:val="single" w:sz="4" w:space="0" w:color="auto"/>
              <w:left w:val="single" w:sz="4" w:space="0" w:color="auto"/>
              <w:bottom w:val="single" w:sz="4" w:space="0" w:color="auto"/>
              <w:right w:val="single" w:sz="4" w:space="0" w:color="auto"/>
            </w:tcBorders>
            <w:noWrap/>
            <w:vAlign w:val="center"/>
          </w:tcPr>
          <w:p/>
        </w:tc>
        <w:tc>
          <w:tcPr>
            <w:tcW w:w="1458"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老旧化工特种设备和电站锅炉隐患专项整治（家）</w:t>
            </w:r>
          </w:p>
        </w:tc>
        <w:tc>
          <w:tcPr>
            <w:tcW w:w="1126"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w:t>
            </w:r>
          </w:p>
        </w:tc>
        <w:tc>
          <w:tcPr>
            <w:tcW w:w="970"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4</w:t>
            </w:r>
          </w:p>
        </w:tc>
        <w:tc>
          <w:tcPr>
            <w:tcW w:w="1060"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家</w:t>
            </w:r>
          </w:p>
        </w:tc>
        <w:tc>
          <w:tcPr>
            <w:tcW w:w="937"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5</w:t>
            </w:r>
          </w:p>
        </w:tc>
        <w:tc>
          <w:tcPr>
            <w:tcW w:w="1612"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5家</w:t>
            </w:r>
          </w:p>
        </w:tc>
      </w:tr>
      <w:tr>
        <w:trPr>
          <w:trHeight w:val="23"/>
        </w:trPr>
        <w:tc>
          <w:tcPr>
            <w:tcW w:w="390" w:type="dxa"/>
            <w:vMerge/>
            <w:tcBorders>
              <w:top w:val="single" w:sz="4" w:space="0" w:color="auto"/>
              <w:left w:val="single" w:sz="4" w:space="0" w:color="auto"/>
              <w:bottom w:val="single" w:sz="4" w:space="0" w:color="000000"/>
              <w:right w:val="single" w:sz="4" w:space="0" w:color="auto"/>
            </w:tcBorders>
            <w:noWrap/>
            <w:vAlign w:val="center"/>
          </w:tcPr>
          <w:p/>
        </w:tc>
        <w:tc>
          <w:tcPr>
            <w:tcW w:w="861" w:type="dxa"/>
            <w:gridSpan w:val="4"/>
            <w:vMerge/>
            <w:tcBorders>
              <w:top w:val="single" w:sz="4" w:space="0" w:color="auto"/>
              <w:left w:val="single" w:sz="4" w:space="0" w:color="auto"/>
              <w:bottom w:val="single" w:sz="4" w:space="0" w:color="auto"/>
              <w:right w:val="single" w:sz="4" w:space="0" w:color="auto"/>
            </w:tcBorders>
            <w:noWrap/>
            <w:vAlign w:val="center"/>
          </w:tcPr>
          <w:p/>
        </w:tc>
        <w:tc>
          <w:tcPr>
            <w:tcW w:w="1140" w:type="dxa"/>
            <w:gridSpan w:val="3"/>
            <w:vMerge/>
            <w:tcBorders>
              <w:top w:val="single" w:sz="4" w:space="0" w:color="auto"/>
              <w:left w:val="single" w:sz="4" w:space="0" w:color="auto"/>
              <w:bottom w:val="single" w:sz="4" w:space="0" w:color="auto"/>
              <w:right w:val="single" w:sz="4" w:space="0" w:color="auto"/>
            </w:tcBorders>
            <w:noWrap/>
            <w:vAlign w:val="center"/>
          </w:tcPr>
          <w:p/>
        </w:tc>
        <w:tc>
          <w:tcPr>
            <w:tcW w:w="1458"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特种设备常规检查（家）</w:t>
            </w:r>
          </w:p>
        </w:tc>
        <w:tc>
          <w:tcPr>
            <w:tcW w:w="1126"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w:t>
            </w:r>
          </w:p>
        </w:tc>
        <w:tc>
          <w:tcPr>
            <w:tcW w:w="970"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50</w:t>
            </w:r>
          </w:p>
        </w:tc>
        <w:tc>
          <w:tcPr>
            <w:tcW w:w="1060"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家</w:t>
            </w:r>
          </w:p>
        </w:tc>
        <w:tc>
          <w:tcPr>
            <w:tcW w:w="937"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5</w:t>
            </w:r>
          </w:p>
        </w:tc>
        <w:tc>
          <w:tcPr>
            <w:tcW w:w="1612"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50家</w:t>
            </w:r>
          </w:p>
        </w:tc>
      </w:tr>
      <w:tr>
        <w:trPr>
          <w:trHeight w:val="23"/>
        </w:trPr>
        <w:tc>
          <w:tcPr>
            <w:tcW w:w="390" w:type="dxa"/>
            <w:vMerge/>
            <w:tcBorders>
              <w:top w:val="single" w:sz="4" w:space="0" w:color="auto"/>
              <w:left w:val="single" w:sz="4" w:space="0" w:color="auto"/>
              <w:bottom w:val="single" w:sz="4" w:space="0" w:color="000000"/>
              <w:right w:val="single" w:sz="4" w:space="0" w:color="auto"/>
            </w:tcBorders>
            <w:noWrap/>
            <w:vAlign w:val="center"/>
          </w:tcPr>
          <w:p/>
        </w:tc>
        <w:tc>
          <w:tcPr>
            <w:tcW w:w="861" w:type="dxa"/>
            <w:gridSpan w:val="4"/>
            <w:vMerge/>
            <w:tcBorders>
              <w:top w:val="single" w:sz="4" w:space="0" w:color="auto"/>
              <w:left w:val="single" w:sz="4" w:space="0" w:color="000000"/>
              <w:bottom w:val="single" w:sz="4" w:space="0" w:color="000000"/>
              <w:right w:val="single" w:sz="4" w:space="0" w:color="000000"/>
            </w:tcBorders>
            <w:noWrap/>
            <w:vAlign w:val="center"/>
          </w:tcPr>
          <w:p/>
        </w:tc>
        <w:tc>
          <w:tcPr>
            <w:tcW w:w="1140" w:type="dxa"/>
            <w:gridSpan w:val="3"/>
            <w:vMerge w:val="restart"/>
            <w:tcBorders>
              <w:top w:val="single" w:sz="4" w:space="0" w:color="auto"/>
              <w:left w:val="single" w:sz="4" w:space="0" w:color="000000"/>
              <w:bottom w:val="single" w:sz="4" w:space="0" w:color="000000"/>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质量指标</w:t>
            </w:r>
          </w:p>
        </w:tc>
        <w:tc>
          <w:tcPr>
            <w:tcW w:w="1458"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抽检不合格食品核查处置率</w:t>
            </w:r>
          </w:p>
        </w:tc>
        <w:tc>
          <w:tcPr>
            <w:tcW w:w="1126"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w:t>
            </w:r>
          </w:p>
        </w:tc>
        <w:tc>
          <w:tcPr>
            <w:tcW w:w="970"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100</w:t>
            </w:r>
          </w:p>
        </w:tc>
        <w:tc>
          <w:tcPr>
            <w:tcW w:w="1060"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w:t>
            </w:r>
          </w:p>
        </w:tc>
        <w:tc>
          <w:tcPr>
            <w:tcW w:w="937"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5</w:t>
            </w:r>
          </w:p>
        </w:tc>
        <w:tc>
          <w:tcPr>
            <w:tcW w:w="1612"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100%</w:t>
            </w:r>
          </w:p>
        </w:tc>
      </w:tr>
      <w:tr>
        <w:trPr>
          <w:trHeight w:val="23"/>
        </w:trPr>
        <w:tc>
          <w:tcPr>
            <w:tcW w:w="390" w:type="dxa"/>
            <w:vMerge/>
            <w:tcBorders>
              <w:top w:val="single" w:sz="4" w:space="0" w:color="auto"/>
              <w:left w:val="single" w:sz="4" w:space="0" w:color="auto"/>
              <w:bottom w:val="single" w:sz="4" w:space="0" w:color="000000"/>
              <w:right w:val="single" w:sz="4" w:space="0" w:color="auto"/>
            </w:tcBorders>
            <w:noWrap/>
            <w:vAlign w:val="center"/>
          </w:tcPr>
          <w:p/>
        </w:tc>
        <w:tc>
          <w:tcPr>
            <w:tcW w:w="861" w:type="dxa"/>
            <w:gridSpan w:val="4"/>
            <w:vMerge/>
            <w:tcBorders>
              <w:top w:val="single" w:sz="4" w:space="0" w:color="000000"/>
              <w:left w:val="single" w:sz="4" w:space="0" w:color="000000"/>
              <w:bottom w:val="single" w:sz="4" w:space="0" w:color="000000"/>
              <w:right w:val="single" w:sz="4" w:space="0" w:color="000000"/>
            </w:tcBorders>
            <w:noWrap/>
            <w:vAlign w:val="center"/>
          </w:tcPr>
          <w:p/>
        </w:tc>
        <w:tc>
          <w:tcPr>
            <w:tcW w:w="1140" w:type="dxa"/>
            <w:gridSpan w:val="3"/>
            <w:vMerge/>
            <w:tcBorders>
              <w:top w:val="single" w:sz="4" w:space="0" w:color="000000"/>
              <w:left w:val="single" w:sz="4" w:space="0" w:color="000000"/>
              <w:bottom w:val="single" w:sz="4" w:space="0" w:color="000000"/>
              <w:right w:val="single" w:sz="4" w:space="0" w:color="auto"/>
            </w:tcBorders>
            <w:noWrap/>
            <w:vAlign w:val="center"/>
          </w:tcPr>
          <w:p/>
        </w:tc>
        <w:tc>
          <w:tcPr>
            <w:tcW w:w="1458"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食品生产环节抽查合格率</w:t>
            </w:r>
          </w:p>
        </w:tc>
        <w:tc>
          <w:tcPr>
            <w:tcW w:w="1126"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w:t>
            </w:r>
          </w:p>
        </w:tc>
        <w:tc>
          <w:tcPr>
            <w:tcW w:w="970"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95</w:t>
            </w:r>
          </w:p>
        </w:tc>
        <w:tc>
          <w:tcPr>
            <w:tcW w:w="1060"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w:t>
            </w:r>
          </w:p>
        </w:tc>
        <w:tc>
          <w:tcPr>
            <w:tcW w:w="937"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5</w:t>
            </w:r>
          </w:p>
        </w:tc>
        <w:tc>
          <w:tcPr>
            <w:tcW w:w="1612"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95%</w:t>
            </w:r>
          </w:p>
        </w:tc>
      </w:tr>
      <w:tr>
        <w:trPr>
          <w:trHeight w:val="23"/>
        </w:trPr>
        <w:tc>
          <w:tcPr>
            <w:tcW w:w="390" w:type="dxa"/>
            <w:vMerge/>
            <w:tcBorders>
              <w:top w:val="single" w:sz="4" w:space="0" w:color="auto"/>
              <w:left w:val="single" w:sz="4" w:space="0" w:color="auto"/>
              <w:bottom w:val="single" w:sz="4" w:space="0" w:color="000000"/>
              <w:right w:val="single" w:sz="4" w:space="0" w:color="auto"/>
            </w:tcBorders>
            <w:noWrap/>
            <w:vAlign w:val="center"/>
          </w:tcPr>
          <w:p/>
        </w:tc>
        <w:tc>
          <w:tcPr>
            <w:tcW w:w="861" w:type="dxa"/>
            <w:gridSpan w:val="4"/>
            <w:vMerge/>
            <w:tcBorders>
              <w:top w:val="single" w:sz="4" w:space="0" w:color="000000"/>
              <w:left w:val="single" w:sz="4" w:space="0" w:color="000000"/>
              <w:bottom w:val="single" w:sz="4" w:space="0" w:color="000000"/>
              <w:right w:val="single" w:sz="4" w:space="0" w:color="000000"/>
            </w:tcBorders>
            <w:noWrap/>
            <w:vAlign w:val="center"/>
          </w:tcPr>
          <w:p/>
        </w:tc>
        <w:tc>
          <w:tcPr>
            <w:tcW w:w="1140" w:type="dxa"/>
            <w:gridSpan w:val="3"/>
            <w:tcBorders>
              <w:top w:val="single" w:sz="4" w:space="0" w:color="000000"/>
              <w:left w:val="single" w:sz="4" w:space="0" w:color="000000"/>
              <w:bottom w:val="single" w:sz="4" w:space="0" w:color="000000"/>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时效指标</w:t>
            </w:r>
          </w:p>
        </w:tc>
        <w:tc>
          <w:tcPr>
            <w:tcW w:w="1458"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完成时间</w:t>
            </w:r>
          </w:p>
        </w:tc>
        <w:tc>
          <w:tcPr>
            <w:tcW w:w="1126"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定性</w:t>
            </w:r>
          </w:p>
        </w:tc>
        <w:tc>
          <w:tcPr>
            <w:tcW w:w="970"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2025年12月31日前</w:t>
            </w:r>
          </w:p>
        </w:tc>
        <w:tc>
          <w:tcPr>
            <w:tcW w:w="1060"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p>
        </w:tc>
        <w:tc>
          <w:tcPr>
            <w:tcW w:w="937"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5</w:t>
            </w:r>
          </w:p>
        </w:tc>
        <w:tc>
          <w:tcPr>
            <w:tcW w:w="1612"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已完成</w:t>
            </w:r>
          </w:p>
        </w:tc>
      </w:tr>
      <w:tr>
        <w:trPr>
          <w:trHeight w:val="558"/>
        </w:trPr>
        <w:tc>
          <w:tcPr>
            <w:tcW w:w="390" w:type="dxa"/>
            <w:vMerge/>
            <w:tcBorders>
              <w:top w:val="single" w:sz="4" w:space="0" w:color="auto"/>
              <w:left w:val="single" w:sz="4" w:space="0" w:color="auto"/>
              <w:bottom w:val="single" w:sz="4" w:space="0" w:color="000000"/>
              <w:right w:val="single" w:sz="4" w:space="0" w:color="auto"/>
            </w:tcBorders>
            <w:noWrap/>
            <w:vAlign w:val="center"/>
          </w:tcPr>
          <w:p/>
        </w:tc>
        <w:tc>
          <w:tcPr>
            <w:tcW w:w="861" w:type="dxa"/>
            <w:gridSpan w:val="4"/>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adjustRightInd/>
              <w:snapToGrid/>
              <w:spacing w:line="300" w:lineRule="exact"/>
              <w:ind w:left="0"/>
              <w:jc w:val="center"/>
              <w:textAlignment w:val="center"/>
              <w:rPr>
                <w:rFonts w:ascii="仿宋_GB2312" w:eastAsia="仿宋_GB2312" w:hint="eastAsia"/>
                <w:sz w:val="15"/>
                <w:szCs w:val="15"/>
              </w:rPr>
            </w:pPr>
            <w:r>
              <w:rPr>
                <w:rFonts w:ascii="仿宋_GB2312" w:eastAsia="仿宋_GB2312" w:hint="eastAsia"/>
                <w:color w:val="000000"/>
                <w:kern w:val="0"/>
                <w:sz w:val="15"/>
                <w:szCs w:val="15"/>
              </w:rPr>
              <w:t>效益指标</w:t>
            </w:r>
          </w:p>
        </w:tc>
        <w:tc>
          <w:tcPr>
            <w:tcW w:w="1140" w:type="dxa"/>
            <w:gridSpan w:val="3"/>
            <w:vMerge w:val="restart"/>
            <w:tcBorders>
              <w:top w:val="single" w:sz="4" w:space="0" w:color="000000"/>
              <w:left w:val="single" w:sz="4" w:space="0" w:color="000000"/>
              <w:bottom w:val="nil"/>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社会效益</w:t>
            </w:r>
          </w:p>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指标</w:t>
            </w:r>
          </w:p>
        </w:tc>
        <w:tc>
          <w:tcPr>
            <w:tcW w:w="1458" w:type="dxa"/>
            <w:gridSpan w:val="3"/>
            <w:tcBorders>
              <w:top w:val="single" w:sz="4" w:space="0" w:color="auto"/>
              <w:left w:val="single" w:sz="4" w:space="0" w:color="000000"/>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公平竞争的市场秩序</w:t>
            </w:r>
          </w:p>
        </w:tc>
        <w:tc>
          <w:tcPr>
            <w:tcW w:w="1126" w:type="dxa"/>
            <w:gridSpan w:val="4"/>
            <w:tcBorders>
              <w:top w:val="single" w:sz="4" w:space="0" w:color="auto"/>
              <w:left w:val="single" w:sz="4" w:space="0" w:color="000000"/>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定性</w:t>
            </w:r>
          </w:p>
        </w:tc>
        <w:tc>
          <w:tcPr>
            <w:tcW w:w="970" w:type="dxa"/>
            <w:gridSpan w:val="4"/>
            <w:tcBorders>
              <w:top w:val="single" w:sz="4" w:space="0" w:color="auto"/>
              <w:left w:val="single" w:sz="4" w:space="0" w:color="000000"/>
              <w:bottom w:val="single" w:sz="4" w:space="0" w:color="000000"/>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稳中向好趋势</w:t>
            </w:r>
          </w:p>
        </w:tc>
        <w:tc>
          <w:tcPr>
            <w:tcW w:w="1060"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p>
        </w:tc>
        <w:tc>
          <w:tcPr>
            <w:tcW w:w="937"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5</w:t>
            </w:r>
          </w:p>
        </w:tc>
        <w:tc>
          <w:tcPr>
            <w:tcW w:w="1612" w:type="dxa"/>
            <w:gridSpan w:val="3"/>
            <w:tcBorders>
              <w:top w:val="single" w:sz="4" w:space="0" w:color="auto"/>
              <w:left w:val="single" w:sz="4" w:space="0" w:color="auto"/>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稳中向好趋势</w:t>
            </w:r>
          </w:p>
        </w:tc>
      </w:tr>
      <w:tr>
        <w:trPr>
          <w:trHeight w:val="653"/>
        </w:trPr>
        <w:tc>
          <w:tcPr>
            <w:tcW w:w="390" w:type="dxa"/>
            <w:vMerge/>
            <w:tcBorders>
              <w:top w:val="single" w:sz="4" w:space="0" w:color="auto"/>
              <w:left w:val="single" w:sz="4" w:space="0" w:color="auto"/>
              <w:bottom w:val="single" w:sz="4" w:space="0" w:color="000000"/>
              <w:right w:val="single" w:sz="4" w:space="0" w:color="auto"/>
            </w:tcBorders>
            <w:noWrap/>
            <w:vAlign w:val="center"/>
          </w:tcPr>
          <w:p/>
        </w:tc>
        <w:tc>
          <w:tcPr>
            <w:tcW w:w="861" w:type="dxa"/>
            <w:gridSpan w:val="4"/>
            <w:vMerge/>
            <w:tcBorders>
              <w:top w:val="single" w:sz="4" w:space="0" w:color="000000"/>
              <w:left w:val="single" w:sz="4" w:space="0" w:color="000000"/>
              <w:bottom w:val="single" w:sz="4" w:space="0" w:color="000000"/>
              <w:right w:val="single" w:sz="4" w:space="0" w:color="000000"/>
            </w:tcBorders>
            <w:noWrap/>
            <w:vAlign w:val="center"/>
          </w:tcPr>
          <w:p/>
        </w:tc>
        <w:tc>
          <w:tcPr>
            <w:tcW w:w="1140" w:type="dxa"/>
            <w:gridSpan w:val="3"/>
            <w:vMerge/>
            <w:tcBorders>
              <w:top w:val="single" w:sz="4" w:space="0" w:color="000000"/>
              <w:left w:val="single" w:sz="4" w:space="0" w:color="000000"/>
              <w:bottom w:val="single" w:sz="4" w:space="0" w:color="auto"/>
              <w:right w:val="single" w:sz="4" w:space="0" w:color="000000"/>
            </w:tcBorders>
            <w:noWrap/>
            <w:vAlign w:val="center"/>
          </w:tcPr>
          <w:p/>
        </w:tc>
        <w:tc>
          <w:tcPr>
            <w:tcW w:w="1458"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进一步深化商事登记制度改革</w:t>
            </w:r>
          </w:p>
        </w:tc>
        <w:tc>
          <w:tcPr>
            <w:tcW w:w="1126" w:type="dxa"/>
            <w:gridSpan w:val="4"/>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定性</w:t>
            </w:r>
          </w:p>
        </w:tc>
        <w:tc>
          <w:tcPr>
            <w:tcW w:w="970" w:type="dxa"/>
            <w:gridSpan w:val="4"/>
            <w:tcBorders>
              <w:top w:val="single" w:sz="4" w:space="0" w:color="000000"/>
              <w:left w:val="single" w:sz="4" w:space="0" w:color="000000"/>
              <w:bottom w:val="single" w:sz="4" w:space="0" w:color="000000"/>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稳中向好趋势</w:t>
            </w:r>
          </w:p>
        </w:tc>
        <w:tc>
          <w:tcPr>
            <w:tcW w:w="1060"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p>
        </w:tc>
        <w:tc>
          <w:tcPr>
            <w:tcW w:w="937"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5</w:t>
            </w:r>
          </w:p>
        </w:tc>
        <w:tc>
          <w:tcPr>
            <w:tcW w:w="1612" w:type="dxa"/>
            <w:gridSpan w:val="3"/>
            <w:tcBorders>
              <w:top w:val="single" w:sz="4" w:space="0" w:color="000000"/>
              <w:left w:val="single" w:sz="4" w:space="0" w:color="auto"/>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稳中向好趋势</w:t>
            </w:r>
          </w:p>
        </w:tc>
      </w:tr>
      <w:tr>
        <w:trPr>
          <w:trHeight w:val="1190"/>
        </w:trPr>
        <w:tc>
          <w:tcPr>
            <w:tcW w:w="390" w:type="dxa"/>
            <w:vMerge/>
            <w:tcBorders>
              <w:top w:val="single" w:sz="4" w:space="0" w:color="auto"/>
              <w:left w:val="single" w:sz="4" w:space="0" w:color="auto"/>
              <w:bottom w:val="single" w:sz="4" w:space="0" w:color="000000"/>
              <w:right w:val="single" w:sz="4" w:space="0" w:color="auto"/>
            </w:tcBorders>
            <w:noWrap/>
            <w:vAlign w:val="center"/>
          </w:tcPr>
          <w:p/>
        </w:tc>
        <w:tc>
          <w:tcPr>
            <w:tcW w:w="861" w:type="dxa"/>
            <w:gridSpan w:val="4"/>
            <w:vMerge/>
            <w:tcBorders>
              <w:top w:val="single" w:sz="4" w:space="0" w:color="000000"/>
              <w:left w:val="single" w:sz="4" w:space="0" w:color="000000"/>
              <w:bottom w:val="single" w:sz="4" w:space="0" w:color="000000"/>
              <w:right w:val="single" w:sz="4" w:space="0" w:color="auto"/>
            </w:tcBorders>
            <w:noWrap/>
            <w:vAlign w:val="center"/>
          </w:tcPr>
          <w:p/>
        </w:tc>
        <w:tc>
          <w:tcPr>
            <w:tcW w:w="1140"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社会效益</w:t>
            </w:r>
          </w:p>
          <w:p>
            <w:pPr>
              <w:keepNext w:val="0"/>
              <w:keepLines w:val="0"/>
              <w:pageBreakBefore w:val="0"/>
              <w:widowControl w:val="0"/>
              <w:suppressAutoHyphens/>
              <w:kinsoku/>
              <w:wordWrap/>
              <w:overflowPunct/>
              <w:topLinePunct w:val="0"/>
              <w:autoSpaceDE/>
              <w:autoSpaceDN/>
              <w:adjustRightInd/>
              <w:snapToGrid/>
              <w:spacing w:line="300" w:lineRule="exact"/>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指标</w:t>
            </w:r>
          </w:p>
        </w:tc>
        <w:tc>
          <w:tcPr>
            <w:tcW w:w="1458" w:type="dxa"/>
            <w:gridSpan w:val="3"/>
            <w:tcBorders>
              <w:top w:val="single" w:sz="4" w:space="0" w:color="000000"/>
              <w:left w:val="single" w:sz="4" w:space="0" w:color="auto"/>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通过监督抽查、风险监测、证后监管等保障人民生命财产健康安全</w:t>
            </w:r>
          </w:p>
        </w:tc>
        <w:tc>
          <w:tcPr>
            <w:tcW w:w="1126" w:type="dxa"/>
            <w:gridSpan w:val="4"/>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定性</w:t>
            </w:r>
          </w:p>
        </w:tc>
        <w:tc>
          <w:tcPr>
            <w:tcW w:w="970" w:type="dxa"/>
            <w:gridSpan w:val="4"/>
            <w:tcBorders>
              <w:top w:val="single" w:sz="4" w:space="0" w:color="000000"/>
              <w:left w:val="single" w:sz="4" w:space="0" w:color="000000"/>
              <w:bottom w:val="single" w:sz="4" w:space="0" w:color="000000"/>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持续影响</w:t>
            </w:r>
          </w:p>
        </w:tc>
        <w:tc>
          <w:tcPr>
            <w:tcW w:w="1060"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p>
        </w:tc>
        <w:tc>
          <w:tcPr>
            <w:tcW w:w="937"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5</w:t>
            </w:r>
          </w:p>
        </w:tc>
        <w:tc>
          <w:tcPr>
            <w:tcW w:w="1612" w:type="dxa"/>
            <w:gridSpan w:val="3"/>
            <w:tcBorders>
              <w:top w:val="single" w:sz="4" w:space="0" w:color="000000"/>
              <w:left w:val="single" w:sz="4" w:space="0" w:color="auto"/>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持续影响</w:t>
            </w:r>
          </w:p>
        </w:tc>
      </w:tr>
      <w:tr>
        <w:trPr>
          <w:trHeight w:val="1030"/>
        </w:trPr>
        <w:tc>
          <w:tcPr>
            <w:tcW w:w="390" w:type="dxa"/>
            <w:vMerge/>
            <w:tcBorders>
              <w:top w:val="single" w:sz="4" w:space="0" w:color="auto"/>
              <w:left w:val="single" w:sz="4" w:space="0" w:color="auto"/>
              <w:bottom w:val="single" w:sz="4" w:space="0" w:color="000000"/>
              <w:right w:val="single" w:sz="4" w:space="0" w:color="auto"/>
            </w:tcBorders>
            <w:noWrap/>
            <w:vAlign w:val="center"/>
          </w:tcPr>
          <w:p/>
        </w:tc>
        <w:tc>
          <w:tcPr>
            <w:tcW w:w="861" w:type="dxa"/>
            <w:gridSpan w:val="4"/>
            <w:vMerge/>
            <w:tcBorders>
              <w:top w:val="single" w:sz="4" w:space="0" w:color="000000"/>
              <w:left w:val="single" w:sz="4" w:space="0" w:color="000000"/>
              <w:bottom w:val="single" w:sz="4" w:space="0" w:color="000000"/>
              <w:right w:val="single" w:sz="4" w:space="0" w:color="000000"/>
            </w:tcBorders>
            <w:noWrap/>
            <w:vAlign w:val="center"/>
          </w:tcPr>
          <w:p/>
        </w:tc>
        <w:tc>
          <w:tcPr>
            <w:tcW w:w="1140" w:type="dxa"/>
            <w:gridSpan w:val="3"/>
            <w:tcBorders>
              <w:top w:val="single" w:sz="4" w:space="0" w:color="auto"/>
              <w:left w:val="single" w:sz="4" w:space="0" w:color="000000"/>
              <w:bottom w:val="nil"/>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社会效益</w:t>
            </w:r>
          </w:p>
          <w:p>
            <w:pPr>
              <w:keepNext w:val="0"/>
              <w:keepLines w:val="0"/>
              <w:pageBreakBefore w:val="0"/>
              <w:widowControl/>
              <w:suppressLineNumbers w:val="0"/>
              <w:suppressAutoHyphens/>
              <w:kinsoku/>
              <w:wordWrap/>
              <w:overflowPunct/>
              <w:topLinePunct w:val="0"/>
              <w:autoSpaceDE/>
              <w:autoSpaceDN/>
              <w:adjustRightInd/>
              <w:snapToGrid/>
              <w:spacing w:line="300" w:lineRule="exact"/>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指标</w:t>
            </w:r>
          </w:p>
        </w:tc>
        <w:tc>
          <w:tcPr>
            <w:tcW w:w="1458"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辖区内与补助资金相关的重大食品安全监管责任事故发生数</w:t>
            </w:r>
          </w:p>
        </w:tc>
        <w:tc>
          <w:tcPr>
            <w:tcW w:w="1126" w:type="dxa"/>
            <w:gridSpan w:val="4"/>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w:t>
            </w:r>
          </w:p>
        </w:tc>
        <w:tc>
          <w:tcPr>
            <w:tcW w:w="970" w:type="dxa"/>
            <w:gridSpan w:val="4"/>
            <w:tcBorders>
              <w:top w:val="single" w:sz="4" w:space="0" w:color="000000"/>
              <w:left w:val="single" w:sz="4" w:space="0" w:color="000000"/>
              <w:bottom w:val="single" w:sz="4" w:space="0" w:color="000000"/>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0</w:t>
            </w:r>
          </w:p>
        </w:tc>
        <w:tc>
          <w:tcPr>
            <w:tcW w:w="1060"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次</w:t>
            </w:r>
          </w:p>
        </w:tc>
        <w:tc>
          <w:tcPr>
            <w:tcW w:w="937"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10</w:t>
            </w:r>
          </w:p>
        </w:tc>
        <w:tc>
          <w:tcPr>
            <w:tcW w:w="1612" w:type="dxa"/>
            <w:gridSpan w:val="3"/>
            <w:tcBorders>
              <w:top w:val="single" w:sz="4" w:space="0" w:color="000000"/>
              <w:left w:val="single" w:sz="4" w:space="0" w:color="auto"/>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0次</w:t>
            </w:r>
          </w:p>
        </w:tc>
      </w:tr>
      <w:tr>
        <w:trPr>
          <w:trHeight w:val="825"/>
        </w:trPr>
        <w:tc>
          <w:tcPr>
            <w:tcW w:w="390" w:type="dxa"/>
            <w:vMerge/>
            <w:tcBorders>
              <w:top w:val="single" w:sz="4" w:space="0" w:color="auto"/>
              <w:left w:val="single" w:sz="4" w:space="0" w:color="auto"/>
              <w:bottom w:val="single" w:sz="4" w:space="0" w:color="000000"/>
              <w:right w:val="single" w:sz="4" w:space="0" w:color="auto"/>
            </w:tcBorders>
            <w:noWrap/>
            <w:vAlign w:val="center"/>
          </w:tcPr>
          <w:p/>
        </w:tc>
        <w:tc>
          <w:tcPr>
            <w:tcW w:w="861" w:type="dxa"/>
            <w:gridSpan w:val="4"/>
            <w:vMerge/>
            <w:tcBorders>
              <w:top w:val="single" w:sz="4" w:space="0" w:color="000000"/>
              <w:left w:val="single" w:sz="4" w:space="0" w:color="000000"/>
              <w:bottom w:val="single" w:sz="4" w:space="0" w:color="000000"/>
              <w:right w:val="single" w:sz="4" w:space="0" w:color="000000"/>
            </w:tcBorders>
            <w:noWrap/>
            <w:vAlign w:val="center"/>
          </w:tcPr>
          <w:p/>
        </w:tc>
        <w:tc>
          <w:tcPr>
            <w:tcW w:w="1140" w:type="dxa"/>
            <w:gridSpan w:val="3"/>
            <w:tcBorders>
              <w:top w:val="single" w:sz="4" w:space="0" w:color="000000"/>
              <w:left w:val="single" w:sz="4" w:space="0" w:color="000000"/>
              <w:bottom w:val="nil"/>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可持续影响指标</w:t>
            </w:r>
          </w:p>
        </w:tc>
        <w:tc>
          <w:tcPr>
            <w:tcW w:w="1458"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严守食品安全、工业产品安全、特种设备安全底线</w:t>
            </w:r>
          </w:p>
        </w:tc>
        <w:tc>
          <w:tcPr>
            <w:tcW w:w="1126" w:type="dxa"/>
            <w:gridSpan w:val="4"/>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定性</w:t>
            </w:r>
          </w:p>
        </w:tc>
        <w:tc>
          <w:tcPr>
            <w:tcW w:w="970" w:type="dxa"/>
            <w:gridSpan w:val="4"/>
            <w:tcBorders>
              <w:top w:val="single" w:sz="4" w:space="0" w:color="000000"/>
              <w:left w:val="single" w:sz="4" w:space="0" w:color="000000"/>
              <w:bottom w:val="single" w:sz="4" w:space="0" w:color="000000"/>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长期</w:t>
            </w:r>
          </w:p>
        </w:tc>
        <w:tc>
          <w:tcPr>
            <w:tcW w:w="1060"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p>
        </w:tc>
        <w:tc>
          <w:tcPr>
            <w:tcW w:w="937"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5</w:t>
            </w:r>
          </w:p>
        </w:tc>
        <w:tc>
          <w:tcPr>
            <w:tcW w:w="1612" w:type="dxa"/>
            <w:gridSpan w:val="3"/>
            <w:tcBorders>
              <w:top w:val="single" w:sz="4" w:space="0" w:color="000000"/>
              <w:left w:val="single" w:sz="4" w:space="0" w:color="auto"/>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长期</w:t>
            </w:r>
          </w:p>
        </w:tc>
      </w:tr>
      <w:tr>
        <w:trPr>
          <w:trHeight w:val="875"/>
        </w:trPr>
        <w:tc>
          <w:tcPr>
            <w:tcW w:w="390" w:type="dxa"/>
            <w:vMerge/>
            <w:tcBorders>
              <w:top w:val="single" w:sz="4" w:space="0" w:color="auto"/>
              <w:left w:val="single" w:sz="4" w:space="0" w:color="auto"/>
              <w:bottom w:val="single" w:sz="4" w:space="0" w:color="000000"/>
              <w:right w:val="single" w:sz="4" w:space="0" w:color="auto"/>
            </w:tcBorders>
            <w:noWrap/>
            <w:vAlign w:val="center"/>
          </w:tcPr>
          <w:p/>
        </w:tc>
        <w:tc>
          <w:tcPr>
            <w:tcW w:w="861" w:type="dxa"/>
            <w:gridSpan w:val="4"/>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adjustRightInd/>
              <w:snapToGrid/>
              <w:spacing w:line="300" w:lineRule="exact"/>
              <w:jc w:val="center"/>
              <w:textAlignment w:val="center"/>
              <w:rPr>
                <w:rFonts w:ascii="仿宋_GB2312" w:eastAsia="仿宋_GB2312" w:hint="eastAsia"/>
                <w:color w:val="000000"/>
                <w:kern w:val="0"/>
                <w:sz w:val="15"/>
                <w:szCs w:val="15"/>
              </w:rPr>
            </w:pPr>
            <w:r>
              <w:rPr>
                <w:rFonts w:ascii="仿宋_GB2312" w:eastAsia="仿宋_GB2312" w:hint="eastAsia"/>
                <w:color w:val="000000"/>
                <w:kern w:val="0"/>
                <w:sz w:val="15"/>
                <w:szCs w:val="15"/>
              </w:rPr>
              <w:t>成本指标</w:t>
            </w:r>
          </w:p>
        </w:tc>
        <w:tc>
          <w:tcPr>
            <w:tcW w:w="1140" w:type="dxa"/>
            <w:gridSpan w:val="3"/>
            <w:tcBorders>
              <w:top w:val="single" w:sz="4" w:space="0" w:color="000000"/>
              <w:left w:val="single" w:sz="4" w:space="0" w:color="000000"/>
              <w:bottom w:val="nil"/>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adjustRightInd/>
              <w:snapToGrid/>
              <w:spacing w:line="300" w:lineRule="exact"/>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社会成本指标</w:t>
            </w:r>
          </w:p>
        </w:tc>
        <w:tc>
          <w:tcPr>
            <w:tcW w:w="1458"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通过监督抽查、风险监测、证后监管等保障人民生命财产健康安全</w:t>
            </w:r>
          </w:p>
        </w:tc>
        <w:tc>
          <w:tcPr>
            <w:tcW w:w="1126" w:type="dxa"/>
            <w:gridSpan w:val="4"/>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定性</w:t>
            </w:r>
          </w:p>
        </w:tc>
        <w:tc>
          <w:tcPr>
            <w:tcW w:w="970" w:type="dxa"/>
            <w:gridSpan w:val="4"/>
            <w:tcBorders>
              <w:top w:val="single" w:sz="4" w:space="0" w:color="000000"/>
              <w:left w:val="single" w:sz="4" w:space="0" w:color="000000"/>
              <w:bottom w:val="single" w:sz="4" w:space="0" w:color="000000"/>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持续影响</w:t>
            </w:r>
          </w:p>
        </w:tc>
        <w:tc>
          <w:tcPr>
            <w:tcW w:w="1060"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p>
        </w:tc>
        <w:tc>
          <w:tcPr>
            <w:tcW w:w="937"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5</w:t>
            </w:r>
          </w:p>
        </w:tc>
        <w:tc>
          <w:tcPr>
            <w:tcW w:w="1612" w:type="dxa"/>
            <w:gridSpan w:val="3"/>
            <w:tcBorders>
              <w:top w:val="single" w:sz="4" w:space="0" w:color="000000"/>
              <w:left w:val="single" w:sz="4" w:space="0" w:color="auto"/>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持续影响</w:t>
            </w:r>
          </w:p>
        </w:tc>
      </w:tr>
      <w:tr>
        <w:trPr>
          <w:trHeight w:val="555"/>
        </w:trPr>
        <w:tc>
          <w:tcPr>
            <w:tcW w:w="390" w:type="dxa"/>
            <w:vMerge/>
            <w:tcBorders>
              <w:top w:val="single" w:sz="4" w:space="0" w:color="auto"/>
              <w:left w:val="single" w:sz="4" w:space="0" w:color="auto"/>
              <w:bottom w:val="single" w:sz="4" w:space="0" w:color="000000"/>
              <w:right w:val="single" w:sz="4" w:space="0" w:color="auto"/>
            </w:tcBorders>
            <w:noWrap/>
            <w:vAlign w:val="center"/>
          </w:tcPr>
          <w:p/>
        </w:tc>
        <w:tc>
          <w:tcPr>
            <w:tcW w:w="861"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满意度</w:t>
            </w:r>
          </w:p>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指</w:t>
            </w:r>
          </w:p>
        </w:tc>
        <w:tc>
          <w:tcPr>
            <w:tcW w:w="1140"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服务对象</w:t>
            </w:r>
          </w:p>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满意度指标</w:t>
            </w:r>
          </w:p>
        </w:tc>
        <w:tc>
          <w:tcPr>
            <w:tcW w:w="1458" w:type="dxa"/>
            <w:gridSpan w:val="3"/>
            <w:tcBorders>
              <w:top w:val="single" w:sz="4" w:space="0" w:color="000000"/>
              <w:left w:val="single" w:sz="4" w:space="0" w:color="auto"/>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公众对食品安全的满意度</w:t>
            </w:r>
          </w:p>
        </w:tc>
        <w:tc>
          <w:tcPr>
            <w:tcW w:w="1126" w:type="dxa"/>
            <w:gridSpan w:val="4"/>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w:t>
            </w:r>
          </w:p>
        </w:tc>
        <w:tc>
          <w:tcPr>
            <w:tcW w:w="970" w:type="dxa"/>
            <w:gridSpan w:val="4"/>
            <w:tcBorders>
              <w:top w:val="single" w:sz="4" w:space="0" w:color="000000"/>
              <w:left w:val="single" w:sz="4" w:space="0" w:color="000000"/>
              <w:bottom w:val="single" w:sz="4" w:space="0" w:color="000000"/>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75</w:t>
            </w:r>
          </w:p>
        </w:tc>
        <w:tc>
          <w:tcPr>
            <w:tcW w:w="1060"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分</w:t>
            </w:r>
          </w:p>
        </w:tc>
        <w:tc>
          <w:tcPr>
            <w:tcW w:w="937" w:type="dxa"/>
            <w:gridSpan w:val="4"/>
            <w:tcBorders>
              <w:top w:val="single" w:sz="4" w:space="0" w:color="auto"/>
              <w:left w:val="single" w:sz="4" w:space="0" w:color="auto"/>
              <w:bottom w:val="single" w:sz="4" w:space="0" w:color="auto"/>
              <w:right w:val="single" w:sz="4" w:space="0" w:color="auto"/>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5</w:t>
            </w:r>
          </w:p>
        </w:tc>
        <w:tc>
          <w:tcPr>
            <w:tcW w:w="1612" w:type="dxa"/>
            <w:gridSpan w:val="3"/>
            <w:tcBorders>
              <w:top w:val="single" w:sz="4" w:space="0" w:color="000000"/>
              <w:left w:val="single" w:sz="4" w:space="0" w:color="auto"/>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sz w:val="15"/>
                <w:szCs w:val="15"/>
                <w:u w:val="none"/>
                <w:lang w:bidi="ar-SA"/>
              </w:rPr>
              <w:t>85分</w:t>
            </w:r>
          </w:p>
        </w:tc>
      </w:tr>
      <w:tr>
        <w:trPr>
          <w:trHeight w:val="314"/>
        </w:trPr>
        <w:tc>
          <w:tcPr>
            <w:tcW w:w="3624" w:type="dxa"/>
            <w:gridSpan w:val="10"/>
            <w:tcBorders>
              <w:top w:val="single" w:sz="4" w:space="0" w:color="000000"/>
              <w:left w:val="single" w:sz="4" w:space="0" w:color="000000"/>
              <w:bottom w:val="single" w:sz="4" w:space="0" w:color="000000"/>
              <w:right w:val="single" w:sz="4" w:space="0" w:color="000000"/>
            </w:tcBorders>
            <w:noWrap/>
            <w:vAlign w:val="center"/>
          </w:tcPr>
          <w:p>
            <w:pPr>
              <w:widowControl/>
              <w:suppressAutoHyphens/>
              <w:spacing w:line="300" w:lineRule="exact"/>
              <w:jc w:val="center"/>
              <w:textAlignment w:val="center"/>
              <w:rPr>
                <w:rFonts w:ascii="仿宋_GB2312" w:eastAsia="仿宋_GB2312" w:cs="宋体" w:hint="eastAsia"/>
                <w:color w:val="000000"/>
                <w:sz w:val="15"/>
                <w:szCs w:val="15"/>
                <w:lang w:bidi="ar-SA"/>
              </w:rPr>
            </w:pPr>
            <w:r>
              <w:rPr>
                <w:rFonts w:ascii="仿宋_GB2312" w:eastAsia="仿宋_GB2312" w:cs="宋体" w:hint="eastAsia"/>
                <w:color w:val="000000"/>
                <w:kern w:val="0"/>
                <w:sz w:val="15"/>
                <w:szCs w:val="15"/>
                <w:lang w:bidi="ar-SA"/>
              </w:rPr>
              <w:t>项目名称</w:t>
            </w:r>
          </w:p>
        </w:tc>
        <w:tc>
          <w:tcPr>
            <w:tcW w:w="5930" w:type="dxa"/>
            <w:gridSpan w:val="19"/>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仿宋_GB2312" w:eastAsia="仿宋_GB2312" w:cs="宋体" w:hint="eastAsia"/>
                <w:color w:val="000000"/>
                <w:sz w:val="15"/>
                <w:szCs w:val="15"/>
                <w:lang w:bidi="ar-SA"/>
              </w:rPr>
            </w:pPr>
            <w:r>
              <w:rPr>
                <w:rFonts w:ascii="仿宋_GB2312" w:eastAsia="仿宋_GB2312" w:cs="宋体" w:hint="eastAsia"/>
                <w:color w:val="000000"/>
                <w:sz w:val="15"/>
                <w:szCs w:val="15"/>
                <w:lang w:bidi="ar-SA"/>
              </w:rPr>
              <w:t>2024年“个转企”激励资金补助</w:t>
            </w:r>
          </w:p>
        </w:tc>
      </w:tr>
      <w:tr>
        <w:trPr>
          <w:trHeight w:val="23"/>
        </w:trPr>
        <w:tc>
          <w:tcPr>
            <w:tcW w:w="3624" w:type="dxa"/>
            <w:gridSpan w:val="10"/>
            <w:tcBorders>
              <w:top w:val="single" w:sz="4" w:space="0" w:color="000000"/>
              <w:left w:val="single" w:sz="4" w:space="0" w:color="000000"/>
              <w:bottom w:val="single" w:sz="4" w:space="0" w:color="000000"/>
              <w:right w:val="single" w:sz="4" w:space="0" w:color="000000"/>
            </w:tcBorders>
            <w:noWrap/>
            <w:vAlign w:val="center"/>
          </w:tcPr>
          <w:p>
            <w:pPr>
              <w:widowControl/>
              <w:suppressAutoHyphens/>
              <w:spacing w:line="300" w:lineRule="exact"/>
              <w:jc w:val="center"/>
              <w:textAlignment w:val="center"/>
              <w:rPr>
                <w:rFonts w:ascii="仿宋_GB2312" w:eastAsia="仿宋_GB2312" w:cs="宋体" w:hint="eastAsia"/>
                <w:color w:val="000000"/>
                <w:sz w:val="15"/>
                <w:szCs w:val="15"/>
                <w:lang w:bidi="ar-SA"/>
              </w:rPr>
            </w:pPr>
            <w:r>
              <w:rPr>
                <w:rFonts w:ascii="仿宋_GB2312" w:eastAsia="仿宋_GB2312" w:cs="宋体" w:hint="eastAsia"/>
                <w:color w:val="000000"/>
                <w:kern w:val="0"/>
                <w:sz w:val="15"/>
                <w:szCs w:val="15"/>
                <w:lang w:bidi="ar-SA"/>
              </w:rPr>
              <w:t>预算单位</w:t>
            </w:r>
          </w:p>
        </w:tc>
        <w:tc>
          <w:tcPr>
            <w:tcW w:w="5930" w:type="dxa"/>
            <w:gridSpan w:val="19"/>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仿宋_GB2312" w:eastAsia="仿宋_GB2312" w:cs="宋体" w:hint="eastAsia"/>
                <w:color w:val="000000"/>
                <w:sz w:val="15"/>
                <w:szCs w:val="15"/>
                <w:lang w:bidi="ar-SA"/>
              </w:rPr>
            </w:pPr>
            <w:r>
              <w:rPr>
                <w:rFonts w:ascii="仿宋_GB2312" w:eastAsia="仿宋_GB2312" w:cs="宋体" w:hint="eastAsia"/>
                <w:color w:val="000000"/>
                <w:sz w:val="15"/>
                <w:szCs w:val="15"/>
                <w:lang w:bidi="ar-SA"/>
              </w:rPr>
              <w:t>茂县市场监督管理局</w:t>
            </w:r>
          </w:p>
        </w:tc>
      </w:tr>
      <w:tr>
        <w:trPr>
          <w:trHeight w:val="23"/>
        </w:trPr>
        <w:tc>
          <w:tcPr>
            <w:tcW w:w="3624" w:type="dxa"/>
            <w:gridSpan w:val="10"/>
            <w:tcBorders>
              <w:top w:val="single" w:sz="4" w:space="0" w:color="000000"/>
              <w:left w:val="single" w:sz="4" w:space="0" w:color="000000"/>
              <w:bottom w:val="single" w:sz="4" w:space="0" w:color="000000"/>
              <w:right w:val="single" w:sz="4" w:space="0" w:color="000000"/>
            </w:tcBorders>
            <w:noWrap/>
            <w:vAlign w:val="center"/>
          </w:tcPr>
          <w:p>
            <w:pPr>
              <w:widowControl/>
              <w:suppressAutoHyphens/>
              <w:spacing w:line="300" w:lineRule="exact"/>
              <w:jc w:val="center"/>
              <w:textAlignment w:val="center"/>
              <w:rPr>
                <w:rFonts w:ascii="仿宋_GB2312" w:eastAsia="仿宋_GB2312" w:cs="宋体" w:hint="eastAsia"/>
                <w:color w:val="000000"/>
                <w:sz w:val="15"/>
                <w:szCs w:val="15"/>
                <w:lang w:bidi="ar-SA"/>
              </w:rPr>
            </w:pPr>
            <w:r>
              <w:rPr>
                <w:rFonts w:ascii="仿宋_GB2312" w:eastAsia="仿宋_GB2312" w:cs="宋体" w:hint="eastAsia"/>
                <w:color w:val="000000"/>
                <w:kern w:val="0"/>
                <w:sz w:val="15"/>
                <w:szCs w:val="15"/>
                <w:lang w:bidi="ar-SA"/>
              </w:rPr>
              <w:t>项目类型</w:t>
            </w:r>
          </w:p>
        </w:tc>
        <w:tc>
          <w:tcPr>
            <w:tcW w:w="5930" w:type="dxa"/>
            <w:gridSpan w:val="19"/>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仿宋_GB2312" w:eastAsia="仿宋_GB2312" w:cs="宋体" w:hint="eastAsia"/>
                <w:color w:val="000000"/>
                <w:sz w:val="15"/>
                <w:szCs w:val="15"/>
                <w:lang w:eastAsia="zh-CN" w:bidi="ar-SA"/>
              </w:rPr>
            </w:pPr>
            <w:r>
              <w:rPr>
                <w:rFonts w:ascii="仿宋_GB2312" w:eastAsia="仿宋_GB2312" w:cs="宋体" w:hint="eastAsia"/>
                <w:color w:val="000000"/>
                <w:sz w:val="15"/>
                <w:szCs w:val="15"/>
                <w:lang w:eastAsia="zh-CN" w:bidi="ar-SA"/>
              </w:rPr>
              <w:t>省级、州级</w:t>
            </w:r>
          </w:p>
        </w:tc>
      </w:tr>
      <w:tr>
        <w:trPr>
          <w:trHeight w:val="23"/>
        </w:trPr>
        <w:tc>
          <w:tcPr>
            <w:tcW w:w="618" w:type="dxa"/>
            <w:gridSpan w:val="2"/>
            <w:tcBorders>
              <w:top w:val="single" w:sz="4" w:space="0" w:color="000000"/>
              <w:left w:val="single" w:sz="4" w:space="0" w:color="000000"/>
              <w:bottom w:val="single" w:sz="4" w:space="0" w:color="000000"/>
              <w:right w:val="single" w:sz="4" w:space="0" w:color="000000"/>
            </w:tcBorders>
            <w:noWrap/>
            <w:vAlign w:val="center"/>
          </w:tcPr>
          <w:p>
            <w:pPr>
              <w:rPr>
                <w:rFonts w:ascii="仿宋_GB2312" w:eastAsia="仿宋_GB2312" w:hint="eastAsia"/>
                <w:sz w:val="15"/>
                <w:szCs w:val="15"/>
              </w:rPr>
            </w:pPr>
          </w:p>
        </w:tc>
        <w:tc>
          <w:tcPr>
            <w:tcW w:w="3006" w:type="dxa"/>
            <w:gridSpan w:val="8"/>
            <w:tcBorders>
              <w:top w:val="single" w:sz="4" w:space="0" w:color="000000"/>
              <w:left w:val="single" w:sz="4" w:space="0" w:color="000000"/>
              <w:bottom w:val="single" w:sz="4" w:space="0" w:color="000000"/>
              <w:right w:val="single" w:sz="4" w:space="0" w:color="000000"/>
            </w:tcBorders>
            <w:noWrap/>
            <w:vAlign w:val="center"/>
          </w:tcPr>
          <w:p>
            <w:pPr>
              <w:widowControl/>
              <w:suppressAutoHyphens/>
              <w:spacing w:line="300" w:lineRule="exact"/>
              <w:jc w:val="center"/>
              <w:textAlignment w:val="center"/>
              <w:rPr>
                <w:rFonts w:ascii="仿宋_GB2312" w:eastAsia="仿宋_GB2312" w:cs="宋体" w:hint="eastAsia"/>
                <w:color w:val="000000"/>
                <w:sz w:val="15"/>
                <w:szCs w:val="15"/>
                <w:lang w:bidi="ar-SA"/>
              </w:rPr>
            </w:pPr>
            <w:r>
              <w:rPr>
                <w:rFonts w:ascii="仿宋_GB2312" w:eastAsia="仿宋_GB2312" w:cs="宋体" w:hint="eastAsia"/>
                <w:color w:val="000000"/>
                <w:kern w:val="0"/>
                <w:sz w:val="15"/>
                <w:szCs w:val="15"/>
                <w:lang w:bidi="ar-SA"/>
              </w:rPr>
              <w:t>项目起止年限</w:t>
            </w:r>
          </w:p>
        </w:tc>
        <w:tc>
          <w:tcPr>
            <w:tcW w:w="5930" w:type="dxa"/>
            <w:gridSpan w:val="19"/>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仿宋_GB2312" w:eastAsia="仿宋_GB2312" w:cs="宋体" w:hint="eastAsia"/>
                <w:color w:val="000000"/>
                <w:sz w:val="15"/>
                <w:szCs w:val="15"/>
                <w:lang w:val="en-US" w:eastAsia="zh-CN" w:bidi="ar-SA"/>
              </w:rPr>
            </w:pPr>
            <w:r>
              <w:rPr>
                <w:rFonts w:ascii="仿宋_GB2312" w:eastAsia="仿宋_GB2312" w:cs="宋体" w:hint="eastAsia"/>
                <w:color w:val="000000"/>
                <w:sz w:val="15"/>
                <w:szCs w:val="15"/>
                <w:lang w:val="en-US" w:eastAsia="zh-CN" w:bidi="ar-SA"/>
              </w:rPr>
              <w:t>2025</w:t>
            </w:r>
          </w:p>
        </w:tc>
      </w:tr>
      <w:tr>
        <w:trPr>
          <w:trHeight w:val="335"/>
        </w:trPr>
        <w:tc>
          <w:tcPr>
            <w:tcW w:w="1246" w:type="dxa"/>
            <w:gridSpan w:val="4"/>
            <w:vMerge w:val="restart"/>
            <w:tcBorders>
              <w:top w:val="single" w:sz="4" w:space="0" w:color="000000"/>
              <w:left w:val="single" w:sz="4" w:space="0" w:color="000000"/>
              <w:bottom w:val="single" w:sz="4" w:space="0" w:color="000000"/>
              <w:right w:val="single" w:sz="4" w:space="0" w:color="000000"/>
            </w:tcBorders>
            <w:noWrap/>
            <w:vAlign w:val="center"/>
          </w:tcPr>
          <w:p>
            <w:pPr>
              <w:widowControl/>
              <w:suppressAutoHyphens/>
              <w:spacing w:line="300" w:lineRule="exact"/>
              <w:jc w:val="center"/>
              <w:textAlignment w:val="center"/>
              <w:rPr>
                <w:rFonts w:ascii="仿宋_GB2312" w:eastAsia="仿宋_GB2312" w:cs="宋体" w:hint="eastAsia"/>
                <w:color w:val="000000"/>
                <w:kern w:val="0"/>
                <w:sz w:val="15"/>
                <w:szCs w:val="15"/>
                <w:lang w:bidi="ar-SA"/>
              </w:rPr>
            </w:pPr>
            <w:r>
              <w:rPr>
                <w:rFonts w:ascii="仿宋_GB2312" w:eastAsia="仿宋_GB2312" w:cs="宋体" w:hint="eastAsia"/>
                <w:color w:val="000000"/>
                <w:kern w:val="0"/>
                <w:sz w:val="15"/>
                <w:szCs w:val="15"/>
                <w:lang w:bidi="ar-SA"/>
              </w:rPr>
              <w:t>项目资金</w:t>
            </w:r>
          </w:p>
          <w:p>
            <w:pPr>
              <w:widowControl/>
              <w:suppressAutoHyphens/>
              <w:spacing w:line="300" w:lineRule="exact"/>
              <w:jc w:val="center"/>
              <w:textAlignment w:val="center"/>
              <w:rPr>
                <w:rFonts w:ascii="仿宋_GB2312" w:eastAsia="仿宋_GB2312" w:cs="宋体" w:hint="eastAsia"/>
                <w:color w:val="000000"/>
                <w:sz w:val="15"/>
                <w:szCs w:val="15"/>
                <w:lang w:bidi="ar-SA"/>
              </w:rPr>
            </w:pPr>
            <w:r>
              <w:rPr>
                <w:rFonts w:ascii="仿宋_GB2312" w:eastAsia="仿宋_GB2312" w:cs="宋体" w:hint="eastAsia"/>
                <w:color w:val="000000"/>
                <w:kern w:val="0"/>
                <w:sz w:val="15"/>
                <w:szCs w:val="15"/>
                <w:lang w:bidi="ar-SA"/>
              </w:rPr>
              <w:t>（万元）</w:t>
            </w:r>
          </w:p>
        </w:tc>
        <w:tc>
          <w:tcPr>
            <w:tcW w:w="2378" w:type="dxa"/>
            <w:gridSpan w:val="6"/>
            <w:tcBorders>
              <w:top w:val="single" w:sz="4" w:space="0" w:color="000000"/>
              <w:left w:val="single" w:sz="4" w:space="0" w:color="000000"/>
              <w:bottom w:val="single" w:sz="4" w:space="0" w:color="000000"/>
              <w:right w:val="single" w:sz="4" w:space="0" w:color="000000"/>
            </w:tcBorders>
            <w:noWrap/>
            <w:vAlign w:val="center"/>
          </w:tcPr>
          <w:p>
            <w:pPr>
              <w:widowControl/>
              <w:suppressAutoHyphens/>
              <w:spacing w:line="300" w:lineRule="exact"/>
              <w:jc w:val="left"/>
              <w:textAlignment w:val="center"/>
              <w:rPr>
                <w:rFonts w:ascii="仿宋_GB2312" w:eastAsia="仿宋_GB2312" w:cs="宋体" w:hint="eastAsia"/>
                <w:color w:val="000000"/>
                <w:sz w:val="15"/>
                <w:szCs w:val="15"/>
                <w:lang w:bidi="ar-SA"/>
              </w:rPr>
            </w:pPr>
            <w:r>
              <w:rPr>
                <w:rFonts w:ascii="仿宋_GB2312" w:eastAsia="仿宋_GB2312" w:cs="宋体" w:hint="eastAsia"/>
                <w:color w:val="000000"/>
                <w:kern w:val="0"/>
                <w:sz w:val="15"/>
                <w:szCs w:val="15"/>
                <w:lang w:bidi="ar-SA"/>
              </w:rPr>
              <w:t xml:space="preserve">  年度资金总额：</w:t>
            </w:r>
          </w:p>
        </w:tc>
        <w:tc>
          <w:tcPr>
            <w:tcW w:w="2040" w:type="dxa"/>
            <w:gridSpan w:val="6"/>
            <w:tcBorders>
              <w:top w:val="single" w:sz="4" w:space="0" w:color="000000"/>
              <w:left w:val="single" w:sz="4" w:space="0" w:color="000000"/>
              <w:bottom w:val="single" w:sz="4" w:space="0" w:color="000000"/>
              <w:right w:val="single" w:sz="4" w:space="0" w:color="000000"/>
            </w:tcBorders>
            <w:noWrap/>
            <w:vAlign w:val="center"/>
          </w:tcPr>
          <w:p>
            <w:pPr>
              <w:tabs>
                <w:tab w:val="left" w:pos="3785"/>
              </w:tabs>
              <w:spacing w:line="300" w:lineRule="exact"/>
              <w:jc w:val="center"/>
              <w:rPr>
                <w:rFonts w:ascii="仿宋_GB2312" w:eastAsia="仿宋_GB2312" w:cs="宋体" w:hint="eastAsia"/>
                <w:color w:val="000000"/>
                <w:sz w:val="15"/>
                <w:szCs w:val="15"/>
                <w:lang w:val="en-US" w:eastAsia="zh-CN" w:bidi="ar-SA"/>
              </w:rPr>
            </w:pPr>
            <w:r>
              <w:rPr>
                <w:rFonts w:ascii="仿宋_GB2312" w:eastAsia="仿宋_GB2312" w:cs="宋体" w:hint="eastAsia"/>
                <w:color w:val="000000"/>
                <w:sz w:val="15"/>
                <w:szCs w:val="15"/>
                <w:lang w:val="en-US" w:eastAsia="zh-CN" w:bidi="ar-SA"/>
              </w:rPr>
              <w:t>11.4</w:t>
            </w:r>
          </w:p>
        </w:tc>
        <w:tc>
          <w:tcPr>
            <w:tcW w:w="2041" w:type="dxa"/>
            <w:gridSpan w:val="8"/>
            <w:tcBorders>
              <w:top w:val="single" w:sz="4" w:space="0" w:color="000000"/>
              <w:left w:val="single" w:sz="4" w:space="0" w:color="000000"/>
              <w:bottom w:val="single" w:sz="4" w:space="0" w:color="000000"/>
              <w:right w:val="single" w:sz="4" w:space="0" w:color="000000"/>
            </w:tcBorders>
            <w:noWrap/>
            <w:vAlign w:val="center"/>
          </w:tcPr>
          <w:p>
            <w:pPr>
              <w:tabs>
                <w:tab w:val="left" w:pos="3785"/>
              </w:tabs>
              <w:spacing w:line="300" w:lineRule="exact"/>
              <w:jc w:val="center"/>
              <w:rPr>
                <w:rFonts w:ascii="仿宋_GB2312" w:eastAsia="仿宋_GB2312" w:cs="宋体" w:hint="eastAsia"/>
                <w:color w:val="000000"/>
                <w:sz w:val="15"/>
                <w:szCs w:val="15"/>
                <w:lang w:val="en-US" w:eastAsia="zh-CN" w:bidi="ar-SA"/>
              </w:rPr>
            </w:pPr>
            <w:r>
              <w:rPr>
                <w:rFonts w:ascii="仿宋_GB2312" w:eastAsia="仿宋_GB2312" w:cs="宋体" w:hint="eastAsia"/>
                <w:color w:val="000000"/>
                <w:sz w:val="15"/>
                <w:szCs w:val="15"/>
                <w:lang w:val="en-US" w:eastAsia="zh-CN" w:bidi="ar-SA"/>
              </w:rPr>
              <w:t>已执行金额</w:t>
            </w:r>
          </w:p>
        </w:tc>
        <w:tc>
          <w:tcPr>
            <w:tcW w:w="1849" w:type="dxa"/>
            <w:gridSpan w:val="5"/>
            <w:tcBorders>
              <w:top w:val="single" w:sz="4" w:space="0" w:color="000000"/>
              <w:left w:val="single" w:sz="4" w:space="0" w:color="000000"/>
              <w:bottom w:val="single" w:sz="4" w:space="0" w:color="000000"/>
              <w:right w:val="single" w:sz="4" w:space="0" w:color="000000"/>
            </w:tcBorders>
            <w:noWrap/>
            <w:vAlign w:val="center"/>
          </w:tcPr>
          <w:p>
            <w:pPr>
              <w:tabs>
                <w:tab w:val="left" w:pos="3785"/>
              </w:tabs>
              <w:spacing w:line="300" w:lineRule="exact"/>
              <w:jc w:val="center"/>
              <w:rPr>
                <w:rFonts w:ascii="仿宋_GB2312" w:eastAsia="仿宋_GB2312" w:cs="宋体" w:hint="eastAsia"/>
                <w:color w:val="000000"/>
                <w:sz w:val="15"/>
                <w:szCs w:val="15"/>
                <w:lang w:val="en-US" w:eastAsia="zh-CN" w:bidi="ar-SA"/>
              </w:rPr>
            </w:pPr>
            <w:r>
              <w:rPr>
                <w:rFonts w:ascii="仿宋_GB2312" w:eastAsia="仿宋_GB2312" w:cs="宋体" w:hint="eastAsia"/>
                <w:color w:val="000000"/>
                <w:sz w:val="15"/>
                <w:szCs w:val="15"/>
                <w:lang w:val="en-US" w:eastAsia="zh-CN" w:bidi="ar-SA"/>
              </w:rPr>
              <w:t>10.8</w:t>
            </w:r>
          </w:p>
        </w:tc>
      </w:tr>
      <w:tr>
        <w:trPr>
          <w:trHeight w:val="330"/>
        </w:trPr>
        <w:tc>
          <w:tcPr>
            <w:tcW w:w="1246" w:type="dxa"/>
            <w:gridSpan w:val="4"/>
            <w:vMerge/>
            <w:tcBorders>
              <w:top w:val="single" w:sz="4" w:space="0" w:color="000000"/>
              <w:left w:val="single" w:sz="4" w:space="0" w:color="000000"/>
              <w:bottom w:val="single" w:sz="4" w:space="0" w:color="000000"/>
              <w:right w:val="single" w:sz="4" w:space="0" w:color="000000"/>
            </w:tcBorders>
            <w:noWrap/>
            <w:vAlign w:val="center"/>
          </w:tcPr>
          <w:p/>
        </w:tc>
        <w:tc>
          <w:tcPr>
            <w:tcW w:w="2378" w:type="dxa"/>
            <w:gridSpan w:val="6"/>
            <w:tcBorders>
              <w:top w:val="single" w:sz="4" w:space="0" w:color="000000"/>
              <w:left w:val="single" w:sz="4" w:space="0" w:color="000000"/>
              <w:bottom w:val="single" w:sz="4" w:space="0" w:color="000000"/>
              <w:right w:val="single" w:sz="4" w:space="0" w:color="000000"/>
            </w:tcBorders>
            <w:noWrap/>
            <w:vAlign w:val="center"/>
          </w:tcPr>
          <w:p>
            <w:pPr>
              <w:widowControl/>
              <w:suppressAutoHyphens/>
              <w:spacing w:line="300" w:lineRule="exact"/>
              <w:jc w:val="left"/>
              <w:textAlignment w:val="center"/>
              <w:rPr>
                <w:rFonts w:ascii="仿宋_GB2312" w:eastAsia="仿宋_GB2312" w:cs="宋体" w:hint="eastAsia"/>
                <w:color w:val="000000"/>
                <w:sz w:val="15"/>
                <w:szCs w:val="15"/>
                <w:lang w:bidi="ar-SA"/>
              </w:rPr>
            </w:pPr>
            <w:r>
              <w:rPr>
                <w:rFonts w:ascii="仿宋_GB2312" w:eastAsia="仿宋_GB2312" w:cs="宋体" w:hint="eastAsia"/>
                <w:color w:val="000000"/>
                <w:kern w:val="0"/>
                <w:sz w:val="15"/>
                <w:szCs w:val="15"/>
                <w:lang w:bidi="ar-SA"/>
              </w:rPr>
              <w:t xml:space="preserve">      其中：财政拨款</w:t>
            </w:r>
          </w:p>
        </w:tc>
        <w:tc>
          <w:tcPr>
            <w:tcW w:w="2040" w:type="dxa"/>
            <w:gridSpan w:val="6"/>
            <w:tcBorders>
              <w:top w:val="single" w:sz="4" w:space="0" w:color="000000"/>
              <w:left w:val="single" w:sz="4" w:space="0" w:color="000000"/>
              <w:bottom w:val="single" w:sz="4" w:space="0" w:color="000000"/>
              <w:right w:val="single" w:sz="4" w:space="0" w:color="000000"/>
            </w:tcBorders>
            <w:noWrap/>
            <w:vAlign w:val="center"/>
          </w:tcPr>
          <w:p>
            <w:pPr>
              <w:tabs>
                <w:tab w:val="left" w:pos="3590"/>
              </w:tabs>
              <w:spacing w:line="300" w:lineRule="exact"/>
              <w:jc w:val="center"/>
              <w:rPr>
                <w:rFonts w:ascii="仿宋_GB2312" w:eastAsia="仿宋_GB2312" w:cs="宋体" w:hint="eastAsia"/>
                <w:color w:val="000000"/>
                <w:sz w:val="15"/>
                <w:szCs w:val="15"/>
                <w:lang w:val="en-US" w:eastAsia="zh-CN" w:bidi="ar-SA"/>
              </w:rPr>
            </w:pPr>
            <w:r>
              <w:rPr>
                <w:rFonts w:ascii="仿宋_GB2312" w:eastAsia="仿宋_GB2312" w:cs="宋体" w:hint="eastAsia"/>
                <w:color w:val="000000"/>
                <w:sz w:val="15"/>
                <w:szCs w:val="15"/>
                <w:lang w:eastAsia="zh-CN" w:bidi="ar-SA"/>
              </w:rPr>
              <w:t>11.4</w:t>
            </w:r>
          </w:p>
        </w:tc>
        <w:tc>
          <w:tcPr>
            <w:tcW w:w="2041" w:type="dxa"/>
            <w:gridSpan w:val="8"/>
            <w:tcBorders>
              <w:top w:val="single" w:sz="4" w:space="0" w:color="000000"/>
              <w:left w:val="single" w:sz="4" w:space="0" w:color="000000"/>
              <w:bottom w:val="single" w:sz="4" w:space="0" w:color="000000"/>
              <w:right w:val="single" w:sz="4" w:space="0" w:color="000000"/>
            </w:tcBorders>
            <w:noWrap/>
            <w:vAlign w:val="center"/>
          </w:tcPr>
          <w:p>
            <w:pPr>
              <w:tabs>
                <w:tab w:val="left" w:pos="3590"/>
              </w:tabs>
              <w:spacing w:line="300" w:lineRule="exact"/>
              <w:jc w:val="center"/>
              <w:rPr>
                <w:rFonts w:ascii="仿宋_GB2312" w:eastAsia="仿宋_GB2312" w:cs="宋体" w:hint="eastAsia"/>
                <w:color w:val="000000"/>
                <w:sz w:val="15"/>
                <w:szCs w:val="15"/>
                <w:lang w:eastAsia="zh-CN" w:bidi="ar-SA"/>
              </w:rPr>
            </w:pPr>
            <w:r>
              <w:rPr>
                <w:rFonts w:ascii="仿宋_GB2312" w:eastAsia="仿宋_GB2312" w:cs="宋体" w:hint="eastAsia"/>
                <w:color w:val="000000"/>
                <w:sz w:val="15"/>
                <w:szCs w:val="15"/>
                <w:lang w:eastAsia="zh-CN" w:bidi="ar-SA"/>
              </w:rPr>
              <w:t>其中：财政拨款</w:t>
            </w:r>
          </w:p>
        </w:tc>
        <w:tc>
          <w:tcPr>
            <w:tcW w:w="1849" w:type="dxa"/>
            <w:gridSpan w:val="5"/>
            <w:tcBorders>
              <w:top w:val="single" w:sz="4" w:space="0" w:color="000000"/>
              <w:left w:val="single" w:sz="4" w:space="0" w:color="000000"/>
              <w:bottom w:val="single" w:sz="4" w:space="0" w:color="000000"/>
              <w:right w:val="single" w:sz="4" w:space="0" w:color="000000"/>
            </w:tcBorders>
            <w:noWrap/>
            <w:vAlign w:val="center"/>
          </w:tcPr>
          <w:p>
            <w:pPr>
              <w:tabs>
                <w:tab w:val="left" w:pos="3590"/>
              </w:tabs>
              <w:spacing w:line="300" w:lineRule="exact"/>
              <w:jc w:val="center"/>
              <w:rPr>
                <w:rFonts w:ascii="仿宋_GB2312" w:eastAsia="仿宋_GB2312" w:cs="宋体" w:hint="eastAsia"/>
                <w:color w:val="000000"/>
                <w:sz w:val="15"/>
                <w:szCs w:val="15"/>
                <w:lang w:eastAsia="zh-CN" w:bidi="ar-SA"/>
              </w:rPr>
            </w:pPr>
            <w:r>
              <w:rPr>
                <w:rFonts w:ascii="仿宋_GB2312" w:eastAsia="仿宋_GB2312" w:cs="宋体" w:hint="eastAsia"/>
                <w:color w:val="000000"/>
                <w:sz w:val="15"/>
                <w:szCs w:val="15"/>
                <w:lang w:eastAsia="zh-CN" w:bidi="ar-SA"/>
              </w:rPr>
              <w:t>10.8</w:t>
            </w:r>
          </w:p>
        </w:tc>
      </w:tr>
      <w:tr>
        <w:trPr>
          <w:trHeight w:val="330"/>
        </w:trPr>
        <w:tc>
          <w:tcPr>
            <w:tcW w:w="1246" w:type="dxa"/>
            <w:gridSpan w:val="4"/>
            <w:vMerge/>
            <w:tcBorders>
              <w:top w:val="single" w:sz="4" w:space="0" w:color="000000"/>
              <w:left w:val="single" w:sz="4" w:space="0" w:color="000000"/>
              <w:bottom w:val="single" w:sz="4" w:space="0" w:color="000000"/>
              <w:right w:val="single" w:sz="4" w:space="0" w:color="000000"/>
            </w:tcBorders>
            <w:noWrap/>
            <w:vAlign w:val="center"/>
          </w:tcPr>
          <w:p/>
        </w:tc>
        <w:tc>
          <w:tcPr>
            <w:tcW w:w="2378" w:type="dxa"/>
            <w:gridSpan w:val="6"/>
            <w:tcBorders>
              <w:top w:val="single" w:sz="4" w:space="0" w:color="000000"/>
              <w:left w:val="single" w:sz="4" w:space="0" w:color="000000"/>
              <w:bottom w:val="single" w:sz="4" w:space="0" w:color="000000"/>
              <w:right w:val="single" w:sz="4" w:space="0" w:color="000000"/>
            </w:tcBorders>
            <w:noWrap/>
            <w:vAlign w:val="center"/>
          </w:tcPr>
          <w:p>
            <w:pPr>
              <w:widowControl/>
              <w:suppressAutoHyphens/>
              <w:spacing w:line="300" w:lineRule="exact"/>
              <w:jc w:val="left"/>
              <w:textAlignment w:val="center"/>
              <w:rPr>
                <w:rFonts w:ascii="仿宋_GB2312" w:eastAsia="仿宋_GB2312" w:cs="宋体" w:hint="eastAsia"/>
                <w:color w:val="000000"/>
                <w:sz w:val="15"/>
                <w:szCs w:val="15"/>
                <w:lang w:bidi="ar-SA"/>
              </w:rPr>
            </w:pPr>
            <w:r>
              <w:rPr>
                <w:rFonts w:ascii="仿宋_GB2312" w:eastAsia="仿宋_GB2312" w:cs="宋体" w:hint="eastAsia"/>
                <w:color w:val="000000"/>
                <w:kern w:val="0"/>
                <w:sz w:val="15"/>
                <w:szCs w:val="15"/>
                <w:lang w:bidi="ar-SA"/>
              </w:rPr>
              <w:t xml:space="preserve">            其他资金</w:t>
            </w:r>
          </w:p>
        </w:tc>
        <w:tc>
          <w:tcPr>
            <w:tcW w:w="2040" w:type="dxa"/>
            <w:gridSpan w:val="6"/>
            <w:tcBorders>
              <w:top w:val="single" w:sz="4" w:space="0" w:color="000000"/>
              <w:left w:val="single" w:sz="4" w:space="0" w:color="000000"/>
              <w:bottom w:val="single" w:sz="4" w:space="0" w:color="000000"/>
              <w:right w:val="single" w:sz="4" w:space="0" w:color="000000"/>
            </w:tcBorders>
            <w:noWrap/>
            <w:vAlign w:val="center"/>
          </w:tcPr>
          <w:p>
            <w:pPr>
              <w:tabs>
                <w:tab w:val="left" w:pos="3590"/>
              </w:tabs>
              <w:spacing w:line="300" w:lineRule="exact"/>
              <w:jc w:val="center"/>
              <w:rPr>
                <w:rFonts w:ascii="仿宋_GB2312" w:eastAsia="仿宋_GB2312" w:cs="宋体" w:hint="eastAsia"/>
                <w:color w:val="000000"/>
                <w:sz w:val="15"/>
                <w:szCs w:val="15"/>
                <w:lang w:eastAsia="zh-CN" w:bidi="ar-SA"/>
              </w:rPr>
            </w:pPr>
          </w:p>
        </w:tc>
        <w:tc>
          <w:tcPr>
            <w:tcW w:w="2041" w:type="dxa"/>
            <w:gridSpan w:val="8"/>
            <w:tcBorders>
              <w:top w:val="single" w:sz="4" w:space="0" w:color="000000"/>
              <w:left w:val="single" w:sz="4" w:space="0" w:color="000000"/>
              <w:bottom w:val="single" w:sz="4" w:space="0" w:color="000000"/>
              <w:right w:val="single" w:sz="4" w:space="0" w:color="000000"/>
            </w:tcBorders>
            <w:noWrap/>
            <w:vAlign w:val="center"/>
          </w:tcPr>
          <w:p>
            <w:pPr>
              <w:tabs>
                <w:tab w:val="left" w:pos="3590"/>
              </w:tabs>
              <w:spacing w:line="300" w:lineRule="exact"/>
              <w:jc w:val="center"/>
              <w:rPr>
                <w:rFonts w:ascii="仿宋_GB2312" w:eastAsia="仿宋_GB2312" w:cs="宋体" w:hint="eastAsia"/>
                <w:color w:val="000000"/>
                <w:sz w:val="15"/>
                <w:szCs w:val="15"/>
                <w:lang w:eastAsia="zh-CN" w:bidi="ar-SA"/>
              </w:rPr>
            </w:pPr>
            <w:r>
              <w:rPr>
                <w:rFonts w:ascii="仿宋_GB2312" w:eastAsia="仿宋_GB2312" w:cs="宋体" w:hint="eastAsia"/>
                <w:color w:val="000000"/>
                <w:sz w:val="15"/>
                <w:szCs w:val="15"/>
                <w:lang w:eastAsia="zh-CN" w:bidi="ar-SA"/>
              </w:rPr>
              <w:t>其他资金</w:t>
            </w:r>
          </w:p>
        </w:tc>
        <w:tc>
          <w:tcPr>
            <w:tcW w:w="1849" w:type="dxa"/>
            <w:gridSpan w:val="5"/>
            <w:tcBorders>
              <w:top w:val="single" w:sz="4" w:space="0" w:color="000000"/>
              <w:left w:val="single" w:sz="4" w:space="0" w:color="000000"/>
              <w:bottom w:val="single" w:sz="4" w:space="0" w:color="000000"/>
              <w:right w:val="single" w:sz="4" w:space="0" w:color="000000"/>
            </w:tcBorders>
            <w:noWrap/>
            <w:vAlign w:val="center"/>
          </w:tcPr>
          <w:p>
            <w:pPr>
              <w:tabs>
                <w:tab w:val="left" w:pos="3590"/>
              </w:tabs>
              <w:spacing w:line="300" w:lineRule="exact"/>
              <w:jc w:val="center"/>
              <w:rPr>
                <w:rFonts w:ascii="仿宋_GB2312" w:eastAsia="仿宋_GB2312" w:cs="宋体" w:hint="eastAsia"/>
                <w:color w:val="000000"/>
                <w:sz w:val="15"/>
                <w:szCs w:val="15"/>
                <w:lang w:eastAsia="zh-CN" w:bidi="ar-SA"/>
              </w:rPr>
            </w:pPr>
          </w:p>
        </w:tc>
      </w:tr>
      <w:tr>
        <w:trPr>
          <w:trHeight w:val="224"/>
        </w:trPr>
        <w:tc>
          <w:tcPr>
            <w:tcW w:w="618"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adjustRightInd/>
              <w:snapToGrid/>
              <w:spacing w:line="300" w:lineRule="exact"/>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总体目标</w:t>
            </w:r>
          </w:p>
        </w:tc>
        <w:tc>
          <w:tcPr>
            <w:tcW w:w="8936" w:type="dxa"/>
            <w:gridSpan w:val="27"/>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adjustRightInd/>
              <w:snapToGrid/>
              <w:spacing w:line="300" w:lineRule="exact"/>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年度目标</w:t>
            </w:r>
          </w:p>
        </w:tc>
      </w:tr>
      <w:tr>
        <w:trPr>
          <w:trHeight w:val="290"/>
        </w:trPr>
        <w:tc>
          <w:tcPr>
            <w:tcW w:w="618"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8936" w:type="dxa"/>
            <w:gridSpan w:val="27"/>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adjustRightInd/>
              <w:snapToGrid/>
              <w:spacing w:line="300" w:lineRule="exact"/>
              <w:jc w:val="center"/>
              <w:textAlignment w:val="center"/>
              <w:rPr>
                <w:rFonts w:ascii="仿宋_GB2312" w:eastAsia="仿宋_GB2312" w:cs="Times New Roman" w:hint="eastAsia"/>
                <w:color w:val="000000"/>
                <w:kern w:val="0"/>
                <w:sz w:val="15"/>
                <w:szCs w:val="15"/>
                <w:u w:val="none"/>
                <w:lang w:val="en-US" w:eastAsia="zh-CN"/>
              </w:rPr>
            </w:pPr>
            <w:r>
              <w:rPr>
                <w:rFonts w:ascii="仿宋_GB2312" w:eastAsia="仿宋_GB2312" w:cs="Times New Roman" w:hint="eastAsia"/>
                <w:color w:val="000000"/>
                <w:kern w:val="0"/>
                <w:sz w:val="15"/>
                <w:szCs w:val="15"/>
                <w:u w:val="none"/>
                <w:lang w:val="en-US" w:eastAsia="zh-CN"/>
              </w:rPr>
              <w:t>激发市场主题活力，持续深化“放管服”改革，加大优化营商环境，统筹推进个体工商户转型升级为企业内。</w:t>
            </w:r>
          </w:p>
        </w:tc>
      </w:tr>
      <w:tr>
        <w:trPr>
          <w:trHeight w:val="290"/>
        </w:trPr>
        <w:tc>
          <w:tcPr>
            <w:tcW w:w="618"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绩效 指标</w:t>
            </w:r>
          </w:p>
        </w:tc>
        <w:tc>
          <w:tcPr>
            <w:tcW w:w="628"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一级指标</w:t>
            </w:r>
          </w:p>
        </w:tc>
        <w:tc>
          <w:tcPr>
            <w:tcW w:w="1088"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二级指标</w:t>
            </w:r>
          </w:p>
        </w:tc>
        <w:tc>
          <w:tcPr>
            <w:tcW w:w="1290"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三级指标</w:t>
            </w:r>
          </w:p>
        </w:tc>
        <w:tc>
          <w:tcPr>
            <w:tcW w:w="855"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指标性质</w:t>
            </w:r>
          </w:p>
        </w:tc>
        <w:tc>
          <w:tcPr>
            <w:tcW w:w="1350"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指标值</w:t>
            </w:r>
          </w:p>
        </w:tc>
        <w:tc>
          <w:tcPr>
            <w:tcW w:w="1137"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度量单位</w:t>
            </w:r>
          </w:p>
        </w:tc>
        <w:tc>
          <w:tcPr>
            <w:tcW w:w="938" w:type="dxa"/>
            <w:gridSpan w:val="4"/>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权重</w:t>
            </w:r>
          </w:p>
        </w:tc>
        <w:tc>
          <w:tcPr>
            <w:tcW w:w="1650" w:type="dxa"/>
            <w:gridSpan w:val="4"/>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r>
              <w:rPr>
                <w:rFonts w:ascii="仿宋_GB2312" w:eastAsia="仿宋_GB2312" w:cs="Times New Roman" w:hint="eastAsia"/>
                <w:color w:val="000000"/>
                <w:kern w:val="0"/>
                <w:sz w:val="15"/>
                <w:szCs w:val="15"/>
                <w:u w:val="none"/>
                <w:lang w:val="en-US" w:eastAsia="zh-CN"/>
              </w:rPr>
              <w:t>实际完成指标值</w:t>
            </w:r>
          </w:p>
        </w:tc>
      </w:tr>
      <w:tr>
        <w:trPr>
          <w:trHeight w:val="614"/>
        </w:trPr>
        <w:tc>
          <w:tcPr>
            <w:tcW w:w="618"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628"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产出指标</w:t>
            </w:r>
          </w:p>
        </w:tc>
        <w:tc>
          <w:tcPr>
            <w:tcW w:w="1088"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hint="eastAsia"/>
                <w:sz w:val="15"/>
                <w:szCs w:val="15"/>
              </w:rPr>
            </w:pPr>
            <w:r>
              <w:rPr>
                <w:rFonts w:ascii="仿宋_GB2312" w:eastAsia="仿宋_GB2312" w:cs="Arial" w:hint="eastAsia"/>
                <w:color w:val="000000"/>
                <w:sz w:val="15"/>
                <w:szCs w:val="15"/>
                <w:lang w:bidi="ar-SA"/>
              </w:rPr>
              <w:t>数量指标</w:t>
            </w:r>
          </w:p>
        </w:tc>
        <w:tc>
          <w:tcPr>
            <w:tcW w:w="1290"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19户个体户转企业完成</w:t>
            </w:r>
          </w:p>
        </w:tc>
        <w:tc>
          <w:tcPr>
            <w:tcW w:w="855"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w:t>
            </w:r>
          </w:p>
        </w:tc>
        <w:tc>
          <w:tcPr>
            <w:tcW w:w="1350" w:type="dxa"/>
            <w:gridSpan w:val="5"/>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19</w:t>
            </w:r>
          </w:p>
        </w:tc>
        <w:tc>
          <w:tcPr>
            <w:tcW w:w="1137"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产出指标</w:t>
            </w:r>
          </w:p>
        </w:tc>
        <w:tc>
          <w:tcPr>
            <w:tcW w:w="938" w:type="dxa"/>
            <w:gridSpan w:val="4"/>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数量指标</w:t>
            </w:r>
          </w:p>
        </w:tc>
        <w:tc>
          <w:tcPr>
            <w:tcW w:w="1650" w:type="dxa"/>
            <w:gridSpan w:val="4"/>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18户个体户转企业完成</w:t>
            </w:r>
          </w:p>
        </w:tc>
      </w:tr>
      <w:tr>
        <w:trPr>
          <w:trHeight w:val="614"/>
        </w:trPr>
        <w:tc>
          <w:tcPr>
            <w:tcW w:w="618"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628"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088" w:type="dxa"/>
            <w:gridSpan w:val="3"/>
            <w:vMerge w:val="restart"/>
            <w:tcBorders>
              <w:top w:val="single" w:sz="4" w:space="0" w:color="000000"/>
              <w:left w:val="single" w:sz="4" w:space="0" w:color="000000"/>
              <w:bottom w:val="single" w:sz="4" w:space="0" w:color="000000"/>
              <w:right w:val="single" w:sz="4" w:space="0" w:color="000000"/>
            </w:tcBorders>
            <w:noWrap/>
            <w:vAlign w:val="center"/>
          </w:tcPr>
          <w:p>
            <w:pPr>
              <w:rPr>
                <w:rFonts w:ascii="仿宋_GB2312" w:eastAsia="仿宋_GB2312" w:hint="eastAsia"/>
                <w:sz w:val="15"/>
                <w:szCs w:val="15"/>
              </w:rPr>
            </w:pPr>
            <w:r>
              <w:rPr>
                <w:rFonts w:ascii="仿宋_GB2312" w:eastAsia="仿宋_GB2312" w:cs="Arial" w:hint="eastAsia"/>
                <w:color w:val="000000"/>
                <w:sz w:val="15"/>
                <w:szCs w:val="15"/>
                <w:lang w:bidi="ar-SA"/>
              </w:rPr>
              <w:t>质量指标</w:t>
            </w:r>
          </w:p>
          <w:p>
            <w:pPr>
              <w:rPr>
                <w:rFonts w:ascii="仿宋_GB2312" w:eastAsia="仿宋_GB2312" w:hint="eastAsia"/>
                <w:sz w:val="15"/>
                <w:szCs w:val="15"/>
              </w:rPr>
            </w:pPr>
          </w:p>
        </w:tc>
        <w:tc>
          <w:tcPr>
            <w:tcW w:w="1290"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专项资金预算执行情况</w:t>
            </w:r>
          </w:p>
        </w:tc>
        <w:tc>
          <w:tcPr>
            <w:tcW w:w="855"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w:t>
            </w:r>
          </w:p>
        </w:tc>
        <w:tc>
          <w:tcPr>
            <w:tcW w:w="1350" w:type="dxa"/>
            <w:gridSpan w:val="5"/>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100</w:t>
            </w:r>
          </w:p>
        </w:tc>
        <w:tc>
          <w:tcPr>
            <w:tcW w:w="1137"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p>
        </w:tc>
        <w:tc>
          <w:tcPr>
            <w:tcW w:w="938" w:type="dxa"/>
            <w:gridSpan w:val="4"/>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质量指标</w:t>
            </w:r>
          </w:p>
        </w:tc>
        <w:tc>
          <w:tcPr>
            <w:tcW w:w="1650" w:type="dxa"/>
            <w:gridSpan w:val="4"/>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专项资金预算执行情况</w:t>
            </w:r>
          </w:p>
        </w:tc>
      </w:tr>
      <w:tr>
        <w:trPr>
          <w:trHeight w:val="737"/>
        </w:trPr>
        <w:tc>
          <w:tcPr>
            <w:tcW w:w="618"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628"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088" w:type="dxa"/>
            <w:gridSpan w:val="3"/>
            <w:vMerge/>
            <w:tcBorders>
              <w:top w:val="single" w:sz="4" w:space="0" w:color="000000"/>
              <w:left w:val="single" w:sz="4" w:space="0" w:color="000000"/>
              <w:bottom w:val="single" w:sz="4" w:space="0" w:color="000000"/>
              <w:right w:val="single" w:sz="4" w:space="0" w:color="000000"/>
            </w:tcBorders>
            <w:noWrap/>
            <w:vAlign w:val="center"/>
          </w:tcPr>
          <w:p/>
        </w:tc>
        <w:tc>
          <w:tcPr>
            <w:tcW w:w="1290"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专款专用情况</w:t>
            </w:r>
          </w:p>
        </w:tc>
        <w:tc>
          <w:tcPr>
            <w:tcW w:w="855"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w:t>
            </w:r>
          </w:p>
        </w:tc>
        <w:tc>
          <w:tcPr>
            <w:tcW w:w="1350" w:type="dxa"/>
            <w:gridSpan w:val="5"/>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100</w:t>
            </w:r>
          </w:p>
        </w:tc>
        <w:tc>
          <w:tcPr>
            <w:tcW w:w="1137"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adjustRightInd/>
              <w:snapToGrid/>
              <w:spacing w:line="300" w:lineRule="exact"/>
              <w:textAlignment w:val="center"/>
              <w:rPr>
                <w:rFonts w:ascii="仿宋_GB2312" w:eastAsia="仿宋_GB2312" w:cs="Times New Roman" w:hint="eastAsia"/>
                <w:color w:val="000000"/>
                <w:sz w:val="15"/>
                <w:szCs w:val="15"/>
                <w:u w:val="none"/>
                <w:lang w:bidi="ar-SA"/>
              </w:rPr>
            </w:pPr>
          </w:p>
        </w:tc>
        <w:tc>
          <w:tcPr>
            <w:tcW w:w="938" w:type="dxa"/>
            <w:gridSpan w:val="4"/>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0" w:lineRule="atLeast"/>
              <w:ind w:left="0"/>
              <w:rPr>
                <w:rFonts w:ascii="仿宋_GB2312" w:eastAsia="仿宋_GB2312" w:hint="eastAsia"/>
                <w:kern w:val="0"/>
                <w:sz w:val="15"/>
                <w:szCs w:val="15"/>
                <w:shd w:val="clear" w:color="auto" w:fill="FFFFFF"/>
                <w:lang w:val="zh-CN" w:eastAsia="zh-CN"/>
              </w:rPr>
            </w:pPr>
          </w:p>
        </w:tc>
        <w:tc>
          <w:tcPr>
            <w:tcW w:w="1650" w:type="dxa"/>
            <w:gridSpan w:val="4"/>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专款专用情况</w:t>
            </w:r>
          </w:p>
        </w:tc>
      </w:tr>
      <w:tr>
        <w:trPr>
          <w:trHeight w:val="926"/>
        </w:trPr>
        <w:tc>
          <w:tcPr>
            <w:tcW w:w="912" w:type="dxa"/>
            <w:gridSpan w:val="3"/>
            <w:vMerge w:val="restart"/>
            <w:tcBorders>
              <w:top w:val="single" w:sz="4" w:space="0" w:color="000000"/>
              <w:left w:val="single" w:sz="4" w:space="0" w:color="000000"/>
              <w:bottom w:val="single" w:sz="4" w:space="0" w:color="000000"/>
              <w:right w:val="single" w:sz="4" w:space="0" w:color="000000"/>
            </w:tcBorders>
            <w:noWrap/>
            <w:vAlign w:val="center"/>
          </w:tcPr>
          <w:p>
            <w:pPr>
              <w:rPr>
                <w:rFonts w:ascii="仿宋_GB2312" w:eastAsia="仿宋_GB2312" w:hint="eastAsia"/>
                <w:sz w:val="15"/>
                <w:szCs w:val="15"/>
              </w:rPr>
            </w:pPr>
          </w:p>
        </w:tc>
        <w:tc>
          <w:tcPr>
            <w:tcW w:w="979" w:type="dxa"/>
            <w:gridSpan w:val="3"/>
            <w:vMerge w:val="restart"/>
            <w:tcBorders>
              <w:top w:val="single" w:sz="4" w:space="0" w:color="000000"/>
              <w:left w:val="single" w:sz="4" w:space="0" w:color="000000"/>
              <w:bottom w:val="single" w:sz="4" w:space="0" w:color="000000"/>
              <w:right w:val="single" w:sz="4" w:space="0" w:color="000000"/>
            </w:tcBorders>
            <w:noWrap/>
            <w:vAlign w:val="center"/>
          </w:tcPr>
          <w:p>
            <w:pPr>
              <w:rPr>
                <w:rFonts w:ascii="仿宋_GB2312" w:eastAsia="仿宋_GB2312" w:hint="eastAsia"/>
                <w:sz w:val="15"/>
                <w:szCs w:val="15"/>
              </w:rPr>
            </w:pPr>
          </w:p>
        </w:tc>
        <w:tc>
          <w:tcPr>
            <w:tcW w:w="827" w:type="dxa"/>
            <w:gridSpan w:val="3"/>
            <w:vMerge w:val="restart"/>
            <w:tcBorders>
              <w:top w:val="single" w:sz="4" w:space="0" w:color="000000"/>
              <w:left w:val="single" w:sz="4" w:space="0" w:color="000000"/>
              <w:bottom w:val="single" w:sz="4" w:space="0" w:color="000000"/>
              <w:right w:val="single" w:sz="4" w:space="0" w:color="000000"/>
            </w:tcBorders>
            <w:noWrap/>
            <w:vAlign w:val="center"/>
          </w:tcPr>
          <w:p>
            <w:pPr>
              <w:rPr>
                <w:rFonts w:ascii="仿宋_GB2312" w:eastAsia="仿宋_GB2312" w:hint="eastAsia"/>
                <w:sz w:val="15"/>
                <w:szCs w:val="15"/>
              </w:rPr>
            </w:pPr>
          </w:p>
        </w:tc>
        <w:tc>
          <w:tcPr>
            <w:tcW w:w="1290"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资金是否及时拨付开展“个转企”工作</w:t>
            </w:r>
          </w:p>
        </w:tc>
        <w:tc>
          <w:tcPr>
            <w:tcW w:w="855" w:type="dxa"/>
            <w:gridSpan w:val="2"/>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w:t>
            </w:r>
          </w:p>
        </w:tc>
        <w:tc>
          <w:tcPr>
            <w:tcW w:w="1350" w:type="dxa"/>
            <w:gridSpan w:val="6"/>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100</w:t>
            </w:r>
          </w:p>
        </w:tc>
        <w:tc>
          <w:tcPr>
            <w:tcW w:w="1137"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p>
        </w:tc>
        <w:tc>
          <w:tcPr>
            <w:tcW w:w="938"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p>
        </w:tc>
        <w:tc>
          <w:tcPr>
            <w:tcW w:w="1266" w:type="dxa"/>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资金是否及时拨付开展“个转企”工作</w:t>
            </w:r>
          </w:p>
        </w:tc>
      </w:tr>
      <w:tr>
        <w:trPr>
          <w:trHeight w:val="614"/>
        </w:trPr>
        <w:tc>
          <w:tcPr>
            <w:tcW w:w="912" w:type="dxa"/>
            <w:gridSpan w:val="3"/>
            <w:vMerge/>
            <w:tcBorders>
              <w:top w:val="single" w:sz="4" w:space="0" w:color="000000"/>
              <w:left w:val="single" w:sz="4" w:space="0" w:color="000000"/>
              <w:bottom w:val="single" w:sz="4" w:space="0" w:color="000000"/>
              <w:right w:val="single" w:sz="4" w:space="0" w:color="000000"/>
            </w:tcBorders>
            <w:noWrap/>
            <w:vAlign w:val="center"/>
          </w:tcPr>
          <w:p/>
        </w:tc>
        <w:tc>
          <w:tcPr>
            <w:tcW w:w="979" w:type="dxa"/>
            <w:gridSpan w:val="3"/>
            <w:vMerge/>
            <w:tcBorders>
              <w:top w:val="single" w:sz="4" w:space="0" w:color="000000"/>
              <w:left w:val="single" w:sz="4" w:space="0" w:color="000000"/>
              <w:bottom w:val="single" w:sz="4" w:space="0" w:color="000000"/>
              <w:right w:val="single" w:sz="4" w:space="0" w:color="000000"/>
            </w:tcBorders>
            <w:noWrap/>
            <w:vAlign w:val="center"/>
          </w:tcPr>
          <w:p/>
        </w:tc>
        <w:tc>
          <w:tcPr>
            <w:tcW w:w="827" w:type="dxa"/>
            <w:gridSpan w:val="3"/>
            <w:vMerge/>
            <w:tcBorders>
              <w:top w:val="single" w:sz="4" w:space="0" w:color="000000"/>
              <w:left w:val="single" w:sz="4" w:space="0" w:color="000000"/>
              <w:bottom w:val="single" w:sz="4" w:space="0" w:color="000000"/>
              <w:right w:val="single" w:sz="4" w:space="0" w:color="000000"/>
            </w:tcBorders>
            <w:noWrap/>
            <w:vAlign w:val="center"/>
          </w:tcPr>
          <w:p/>
        </w:tc>
        <w:tc>
          <w:tcPr>
            <w:tcW w:w="1290"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个体工商户不断做大做强</w:t>
            </w:r>
          </w:p>
        </w:tc>
        <w:tc>
          <w:tcPr>
            <w:tcW w:w="855" w:type="dxa"/>
            <w:gridSpan w:val="2"/>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定性</w:t>
            </w:r>
          </w:p>
        </w:tc>
        <w:tc>
          <w:tcPr>
            <w:tcW w:w="1350" w:type="dxa"/>
            <w:gridSpan w:val="6"/>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改为企业后健康发展</w:t>
            </w:r>
          </w:p>
        </w:tc>
        <w:tc>
          <w:tcPr>
            <w:tcW w:w="1137"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adjustRightInd/>
              <w:snapToGrid/>
              <w:spacing w:line="300" w:lineRule="exact"/>
              <w:ind w:left="0"/>
              <w:jc w:val="center"/>
              <w:textAlignment w:val="center"/>
              <w:rPr>
                <w:rFonts w:ascii="仿宋_GB2312" w:eastAsia="仿宋_GB2312" w:hint="eastAsia"/>
                <w:color w:val="000000"/>
                <w:sz w:val="15"/>
                <w:szCs w:val="15"/>
              </w:rPr>
            </w:pPr>
          </w:p>
        </w:tc>
        <w:tc>
          <w:tcPr>
            <w:tcW w:w="938"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rPr>
                <w:rFonts w:ascii="仿宋_GB2312" w:eastAsia="仿宋_GB2312" w:cs="Times New Roman" w:hint="eastAsia"/>
                <w:color w:val="000000"/>
                <w:sz w:val="15"/>
                <w:szCs w:val="15"/>
                <w:u w:val="none"/>
                <w:lang w:bidi="ar-SA"/>
              </w:rPr>
            </w:pPr>
          </w:p>
        </w:tc>
        <w:tc>
          <w:tcPr>
            <w:tcW w:w="1266" w:type="dxa"/>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个体工商户不断做大做强</w:t>
            </w:r>
          </w:p>
        </w:tc>
      </w:tr>
      <w:tr>
        <w:trPr>
          <w:trHeight w:val="614"/>
        </w:trPr>
        <w:tc>
          <w:tcPr>
            <w:tcW w:w="912" w:type="dxa"/>
            <w:gridSpan w:val="3"/>
            <w:vMerge/>
            <w:tcBorders>
              <w:top w:val="single" w:sz="4" w:space="0" w:color="000000"/>
              <w:left w:val="single" w:sz="4" w:space="0" w:color="000000"/>
              <w:bottom w:val="single" w:sz="4" w:space="0" w:color="000000"/>
              <w:right w:val="single" w:sz="4" w:space="0" w:color="000000"/>
            </w:tcBorders>
            <w:noWrap/>
            <w:vAlign w:val="center"/>
          </w:tcPr>
          <w:p/>
        </w:tc>
        <w:tc>
          <w:tcPr>
            <w:tcW w:w="979" w:type="dxa"/>
            <w:gridSpan w:val="3"/>
            <w:vMerge/>
            <w:tcBorders>
              <w:top w:val="single" w:sz="4" w:space="0" w:color="000000"/>
              <w:left w:val="single" w:sz="4" w:space="0" w:color="000000"/>
              <w:bottom w:val="single" w:sz="4" w:space="0" w:color="000000"/>
              <w:right w:val="single" w:sz="4" w:space="0" w:color="000000"/>
            </w:tcBorders>
            <w:noWrap/>
            <w:vAlign w:val="center"/>
          </w:tcPr>
          <w:p/>
        </w:tc>
        <w:tc>
          <w:tcPr>
            <w:tcW w:w="827" w:type="dxa"/>
            <w:gridSpan w:val="3"/>
            <w:vMerge/>
            <w:tcBorders>
              <w:top w:val="single" w:sz="4" w:space="0" w:color="000000"/>
              <w:left w:val="single" w:sz="4" w:space="0" w:color="000000"/>
              <w:bottom w:val="single" w:sz="4" w:space="0" w:color="000000"/>
              <w:right w:val="single" w:sz="4" w:space="0" w:color="000000"/>
            </w:tcBorders>
            <w:noWrap/>
            <w:vAlign w:val="center"/>
          </w:tcPr>
          <w:p/>
        </w:tc>
        <w:tc>
          <w:tcPr>
            <w:tcW w:w="1290"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资金管理制度建设情况</w:t>
            </w:r>
          </w:p>
        </w:tc>
        <w:tc>
          <w:tcPr>
            <w:tcW w:w="855" w:type="dxa"/>
            <w:gridSpan w:val="2"/>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定性</w:t>
            </w:r>
          </w:p>
        </w:tc>
        <w:tc>
          <w:tcPr>
            <w:tcW w:w="1350" w:type="dxa"/>
            <w:gridSpan w:val="6"/>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健全</w:t>
            </w:r>
          </w:p>
        </w:tc>
        <w:tc>
          <w:tcPr>
            <w:tcW w:w="1137"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adjustRightInd/>
              <w:snapToGrid/>
              <w:spacing w:line="300" w:lineRule="exact"/>
              <w:ind w:left="0"/>
              <w:textAlignment w:val="center"/>
              <w:rPr>
                <w:rFonts w:ascii="仿宋_GB2312" w:eastAsia="仿宋_GB2312" w:hint="eastAsia"/>
                <w:color w:val="000000"/>
                <w:kern w:val="0"/>
                <w:sz w:val="15"/>
                <w:szCs w:val="15"/>
              </w:rPr>
            </w:pPr>
          </w:p>
        </w:tc>
        <w:tc>
          <w:tcPr>
            <w:tcW w:w="938"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rPr>
                <w:rFonts w:ascii="仿宋_GB2312" w:eastAsia="仿宋_GB2312" w:cs="Times New Roman" w:hint="eastAsia"/>
                <w:color w:val="000000"/>
                <w:sz w:val="15"/>
                <w:szCs w:val="15"/>
                <w:u w:val="none"/>
                <w:lang w:bidi="ar-SA"/>
              </w:rPr>
            </w:pPr>
          </w:p>
        </w:tc>
        <w:tc>
          <w:tcPr>
            <w:tcW w:w="1266" w:type="dxa"/>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资金管理制度建设情况</w:t>
            </w:r>
          </w:p>
        </w:tc>
      </w:tr>
      <w:tr>
        <w:trPr>
          <w:trHeight w:val="870"/>
        </w:trPr>
        <w:tc>
          <w:tcPr>
            <w:tcW w:w="912" w:type="dxa"/>
            <w:gridSpan w:val="3"/>
            <w:vMerge/>
            <w:tcBorders>
              <w:top w:val="single" w:sz="4" w:space="0" w:color="000000"/>
              <w:left w:val="single" w:sz="4" w:space="0" w:color="000000"/>
              <w:bottom w:val="single" w:sz="4" w:space="0" w:color="000000"/>
              <w:right w:val="single" w:sz="4" w:space="0" w:color="000000"/>
            </w:tcBorders>
            <w:noWrap/>
            <w:vAlign w:val="center"/>
          </w:tcPr>
          <w:p/>
        </w:tc>
        <w:tc>
          <w:tcPr>
            <w:tcW w:w="979" w:type="dxa"/>
            <w:gridSpan w:val="3"/>
            <w:vMerge/>
            <w:tcBorders>
              <w:top w:val="single" w:sz="4" w:space="0" w:color="000000"/>
              <w:left w:val="single" w:sz="4" w:space="0" w:color="000000"/>
              <w:bottom w:val="single" w:sz="4" w:space="0" w:color="000000"/>
              <w:right w:val="single" w:sz="4" w:space="0" w:color="000000"/>
            </w:tcBorders>
            <w:noWrap/>
            <w:vAlign w:val="center"/>
          </w:tcPr>
          <w:p/>
        </w:tc>
        <w:tc>
          <w:tcPr>
            <w:tcW w:w="827" w:type="dxa"/>
            <w:gridSpan w:val="3"/>
            <w:vMerge w:val="restart"/>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时效指标</w:t>
            </w:r>
          </w:p>
        </w:tc>
        <w:tc>
          <w:tcPr>
            <w:tcW w:w="1290"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项目完成时限</w:t>
            </w:r>
          </w:p>
        </w:tc>
        <w:tc>
          <w:tcPr>
            <w:tcW w:w="855" w:type="dxa"/>
            <w:gridSpan w:val="2"/>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定性</w:t>
            </w:r>
          </w:p>
        </w:tc>
        <w:tc>
          <w:tcPr>
            <w:tcW w:w="1350" w:type="dxa"/>
            <w:gridSpan w:val="6"/>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2025年12月31日</w:t>
            </w:r>
          </w:p>
        </w:tc>
        <w:tc>
          <w:tcPr>
            <w:tcW w:w="1137"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textAlignment w:val="center"/>
              <w:rPr>
                <w:rFonts w:ascii="仿宋_GB2312" w:eastAsia="仿宋_GB2312" w:hint="eastAsia"/>
                <w:color w:val="000000"/>
                <w:kern w:val="0"/>
                <w:sz w:val="15"/>
                <w:szCs w:val="15"/>
              </w:rPr>
            </w:pPr>
          </w:p>
        </w:tc>
        <w:tc>
          <w:tcPr>
            <w:tcW w:w="938" w:type="dxa"/>
            <w:gridSpan w:val="5"/>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时效指标</w:t>
            </w:r>
          </w:p>
        </w:tc>
        <w:tc>
          <w:tcPr>
            <w:tcW w:w="1266" w:type="dxa"/>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项目完成时限</w:t>
            </w:r>
          </w:p>
        </w:tc>
      </w:tr>
      <w:tr>
        <w:trPr>
          <w:trHeight w:val="870"/>
        </w:trPr>
        <w:tc>
          <w:tcPr>
            <w:tcW w:w="912" w:type="dxa"/>
            <w:gridSpan w:val="3"/>
            <w:vMerge/>
            <w:tcBorders>
              <w:top w:val="single" w:sz="4" w:space="0" w:color="000000"/>
              <w:left w:val="single" w:sz="4" w:space="0" w:color="000000"/>
              <w:bottom w:val="single" w:sz="4" w:space="0" w:color="000000"/>
              <w:right w:val="single" w:sz="4" w:space="0" w:color="000000"/>
            </w:tcBorders>
            <w:noWrap/>
            <w:vAlign w:val="center"/>
          </w:tcPr>
          <w:p/>
        </w:tc>
        <w:tc>
          <w:tcPr>
            <w:tcW w:w="979" w:type="dxa"/>
            <w:gridSpan w:val="3"/>
            <w:vMerge/>
            <w:tcBorders>
              <w:top w:val="single" w:sz="4" w:space="0" w:color="000000"/>
              <w:left w:val="single" w:sz="4" w:space="0" w:color="000000"/>
              <w:bottom w:val="single" w:sz="4" w:space="0" w:color="000000"/>
              <w:right w:val="single" w:sz="4" w:space="0" w:color="000000"/>
            </w:tcBorders>
            <w:noWrap/>
            <w:vAlign w:val="center"/>
          </w:tcPr>
          <w:p/>
        </w:tc>
        <w:tc>
          <w:tcPr>
            <w:tcW w:w="827" w:type="dxa"/>
            <w:gridSpan w:val="3"/>
            <w:vMerge/>
            <w:tcBorders>
              <w:top w:val="single" w:sz="4" w:space="0" w:color="000000"/>
              <w:left w:val="single" w:sz="4" w:space="0" w:color="000000"/>
              <w:bottom w:val="single" w:sz="4" w:space="0" w:color="000000"/>
              <w:right w:val="single" w:sz="4" w:space="0" w:color="000000"/>
            </w:tcBorders>
            <w:noWrap/>
            <w:vAlign w:val="center"/>
          </w:tcPr>
          <w:p/>
        </w:tc>
        <w:tc>
          <w:tcPr>
            <w:tcW w:w="1290"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2025年12月完成</w:t>
            </w:r>
          </w:p>
        </w:tc>
        <w:tc>
          <w:tcPr>
            <w:tcW w:w="855" w:type="dxa"/>
            <w:gridSpan w:val="2"/>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定性</w:t>
            </w:r>
          </w:p>
        </w:tc>
        <w:tc>
          <w:tcPr>
            <w:tcW w:w="1350" w:type="dxa"/>
            <w:gridSpan w:val="6"/>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完成时间2025年12月前</w:t>
            </w:r>
          </w:p>
        </w:tc>
        <w:tc>
          <w:tcPr>
            <w:tcW w:w="1137"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300" w:lineRule="exact"/>
              <w:ind w:left="0"/>
              <w:jc w:val="center"/>
              <w:textAlignment w:val="center"/>
              <w:rPr>
                <w:rFonts w:ascii="仿宋_GB2312" w:eastAsia="仿宋_GB2312" w:cs="Times New Roman" w:hint="eastAsia"/>
                <w:color w:val="000000"/>
                <w:sz w:val="15"/>
                <w:szCs w:val="15"/>
                <w:u w:val="none"/>
                <w:lang w:bidi="ar-SA"/>
              </w:rPr>
            </w:pPr>
          </w:p>
        </w:tc>
        <w:tc>
          <w:tcPr>
            <w:tcW w:w="938"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bidi w:val="0"/>
              <w:adjustRightInd/>
              <w:snapToGrid/>
              <w:spacing w:line="300" w:lineRule="exact"/>
              <w:ind w:left="0"/>
              <w:jc w:val="center"/>
              <w:rPr>
                <w:rFonts w:ascii="仿宋_GB2312" w:eastAsia="仿宋_GB2312" w:cs="Times New Roman" w:hint="eastAsia"/>
                <w:color w:val="000000"/>
                <w:sz w:val="15"/>
                <w:szCs w:val="15"/>
                <w:u w:val="none"/>
                <w:lang w:bidi="ar-SA"/>
              </w:rPr>
            </w:pPr>
          </w:p>
        </w:tc>
        <w:tc>
          <w:tcPr>
            <w:tcW w:w="1266" w:type="dxa"/>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2025年12月完成</w:t>
            </w:r>
          </w:p>
        </w:tc>
      </w:tr>
      <w:tr>
        <w:trPr>
          <w:trHeight w:val="614"/>
        </w:trPr>
        <w:tc>
          <w:tcPr>
            <w:tcW w:w="912" w:type="dxa"/>
            <w:gridSpan w:val="3"/>
            <w:vMerge/>
            <w:tcBorders>
              <w:top w:val="single" w:sz="4" w:space="0" w:color="000000"/>
              <w:left w:val="single" w:sz="4" w:space="0" w:color="000000"/>
              <w:bottom w:val="single" w:sz="4" w:space="0" w:color="000000"/>
              <w:right w:val="single" w:sz="4" w:space="0" w:color="000000"/>
            </w:tcBorders>
            <w:noWrap/>
            <w:vAlign w:val="center"/>
          </w:tcPr>
          <w:p/>
        </w:tc>
        <w:tc>
          <w:tcPr>
            <w:tcW w:w="979" w:type="dxa"/>
            <w:gridSpan w:val="3"/>
            <w:vMerge w:val="restart"/>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效益指标</w:t>
            </w:r>
          </w:p>
        </w:tc>
        <w:tc>
          <w:tcPr>
            <w:tcW w:w="827"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经济效益指标</w:t>
            </w:r>
          </w:p>
        </w:tc>
        <w:tc>
          <w:tcPr>
            <w:tcW w:w="1290"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为拉动经济提供渠道</w:t>
            </w:r>
          </w:p>
        </w:tc>
        <w:tc>
          <w:tcPr>
            <w:tcW w:w="855" w:type="dxa"/>
            <w:gridSpan w:val="2"/>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定性</w:t>
            </w:r>
          </w:p>
        </w:tc>
        <w:tc>
          <w:tcPr>
            <w:tcW w:w="1350" w:type="dxa"/>
            <w:gridSpan w:val="6"/>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拉动经济发展</w:t>
            </w:r>
          </w:p>
        </w:tc>
        <w:tc>
          <w:tcPr>
            <w:tcW w:w="1137"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效益指标</w:t>
            </w:r>
          </w:p>
        </w:tc>
        <w:tc>
          <w:tcPr>
            <w:tcW w:w="938" w:type="dxa"/>
            <w:gridSpan w:val="5"/>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经济效益指标</w:t>
            </w:r>
          </w:p>
        </w:tc>
        <w:tc>
          <w:tcPr>
            <w:tcW w:w="1266" w:type="dxa"/>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为拉动经济提供渠道</w:t>
            </w:r>
          </w:p>
        </w:tc>
      </w:tr>
      <w:tr>
        <w:trPr>
          <w:trHeight w:val="614"/>
        </w:trPr>
        <w:tc>
          <w:tcPr>
            <w:tcW w:w="912" w:type="dxa"/>
            <w:gridSpan w:val="3"/>
            <w:vMerge/>
            <w:tcBorders>
              <w:top w:val="single" w:sz="4" w:space="0" w:color="000000"/>
              <w:left w:val="single" w:sz="4" w:space="0" w:color="000000"/>
              <w:bottom w:val="single" w:sz="4" w:space="0" w:color="000000"/>
              <w:right w:val="single" w:sz="4" w:space="0" w:color="000000"/>
            </w:tcBorders>
            <w:noWrap/>
            <w:vAlign w:val="center"/>
          </w:tcPr>
          <w:p/>
        </w:tc>
        <w:tc>
          <w:tcPr>
            <w:tcW w:w="979" w:type="dxa"/>
            <w:gridSpan w:val="3"/>
            <w:vMerge/>
            <w:tcBorders>
              <w:top w:val="single" w:sz="4" w:space="0" w:color="000000"/>
              <w:left w:val="single" w:sz="4" w:space="0" w:color="000000"/>
              <w:bottom w:val="single" w:sz="4" w:space="0" w:color="000000"/>
              <w:right w:val="single" w:sz="4" w:space="0" w:color="000000"/>
            </w:tcBorders>
            <w:noWrap/>
            <w:vAlign w:val="center"/>
          </w:tcPr>
          <w:p/>
        </w:tc>
        <w:tc>
          <w:tcPr>
            <w:tcW w:w="827"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社会效益指标</w:t>
            </w:r>
          </w:p>
        </w:tc>
        <w:tc>
          <w:tcPr>
            <w:tcW w:w="1290"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提供就业机会</w:t>
            </w:r>
          </w:p>
        </w:tc>
        <w:tc>
          <w:tcPr>
            <w:tcW w:w="855" w:type="dxa"/>
            <w:gridSpan w:val="2"/>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定性</w:t>
            </w:r>
          </w:p>
        </w:tc>
        <w:tc>
          <w:tcPr>
            <w:tcW w:w="1350" w:type="dxa"/>
            <w:gridSpan w:val="6"/>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增加就业机会</w:t>
            </w:r>
          </w:p>
        </w:tc>
        <w:tc>
          <w:tcPr>
            <w:tcW w:w="1137"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adjustRightInd/>
              <w:snapToGrid/>
              <w:spacing w:line="300" w:lineRule="exact"/>
              <w:jc w:val="center"/>
              <w:textAlignment w:val="center"/>
              <w:rPr>
                <w:rFonts w:ascii="仿宋_GB2312" w:eastAsia="仿宋_GB2312" w:cs="Times New Roman" w:hint="eastAsia"/>
                <w:color w:val="000000"/>
                <w:kern w:val="0"/>
                <w:sz w:val="15"/>
                <w:szCs w:val="15"/>
                <w:u w:val="none"/>
                <w:lang w:val="en-US" w:eastAsia="zh-CN"/>
              </w:rPr>
            </w:pPr>
          </w:p>
        </w:tc>
        <w:tc>
          <w:tcPr>
            <w:tcW w:w="938" w:type="dxa"/>
            <w:gridSpan w:val="5"/>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社会效益指标</w:t>
            </w:r>
          </w:p>
        </w:tc>
        <w:tc>
          <w:tcPr>
            <w:tcW w:w="1266" w:type="dxa"/>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提供就业机会</w:t>
            </w:r>
          </w:p>
        </w:tc>
      </w:tr>
      <w:tr>
        <w:trPr>
          <w:trHeight w:val="302"/>
        </w:trPr>
        <w:tc>
          <w:tcPr>
            <w:tcW w:w="912" w:type="dxa"/>
            <w:gridSpan w:val="3"/>
            <w:vMerge/>
            <w:tcBorders>
              <w:top w:val="single" w:sz="4" w:space="0" w:color="000000"/>
              <w:left w:val="single" w:sz="4" w:space="0" w:color="000000"/>
              <w:bottom w:val="single" w:sz="4" w:space="0" w:color="000000"/>
              <w:right w:val="single" w:sz="4" w:space="0" w:color="000000"/>
            </w:tcBorders>
            <w:noWrap/>
            <w:vAlign w:val="center"/>
          </w:tcPr>
          <w:p/>
        </w:tc>
        <w:tc>
          <w:tcPr>
            <w:tcW w:w="979" w:type="dxa"/>
            <w:gridSpan w:val="3"/>
            <w:vMerge w:val="restart"/>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满意度指标</w:t>
            </w:r>
          </w:p>
        </w:tc>
        <w:tc>
          <w:tcPr>
            <w:tcW w:w="827" w:type="dxa"/>
            <w:gridSpan w:val="3"/>
            <w:vMerge w:val="restart"/>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满意度指标</w:t>
            </w:r>
          </w:p>
        </w:tc>
        <w:tc>
          <w:tcPr>
            <w:tcW w:w="1290"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受益对象满意度</w:t>
            </w:r>
          </w:p>
        </w:tc>
        <w:tc>
          <w:tcPr>
            <w:tcW w:w="855" w:type="dxa"/>
            <w:gridSpan w:val="2"/>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w:t>
            </w:r>
          </w:p>
        </w:tc>
        <w:tc>
          <w:tcPr>
            <w:tcW w:w="1350" w:type="dxa"/>
            <w:gridSpan w:val="6"/>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90</w:t>
            </w:r>
          </w:p>
        </w:tc>
        <w:tc>
          <w:tcPr>
            <w:tcW w:w="1137"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满意度指标</w:t>
            </w:r>
          </w:p>
        </w:tc>
        <w:tc>
          <w:tcPr>
            <w:tcW w:w="938" w:type="dxa"/>
            <w:gridSpan w:val="5"/>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满意度指标</w:t>
            </w:r>
          </w:p>
        </w:tc>
        <w:tc>
          <w:tcPr>
            <w:tcW w:w="1266" w:type="dxa"/>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受益对象满意度</w:t>
            </w:r>
          </w:p>
        </w:tc>
      </w:tr>
      <w:tr>
        <w:trPr>
          <w:trHeight w:val="926"/>
        </w:trPr>
        <w:tc>
          <w:tcPr>
            <w:tcW w:w="912" w:type="dxa"/>
            <w:gridSpan w:val="3"/>
            <w:vMerge/>
            <w:tcBorders>
              <w:top w:val="single" w:sz="4" w:space="0" w:color="000000"/>
              <w:left w:val="single" w:sz="4" w:space="0" w:color="000000"/>
              <w:bottom w:val="single" w:sz="4" w:space="0" w:color="000000"/>
              <w:right w:val="single" w:sz="4" w:space="0" w:color="000000"/>
            </w:tcBorders>
            <w:noWrap/>
            <w:vAlign w:val="center"/>
          </w:tcPr>
          <w:p/>
        </w:tc>
        <w:tc>
          <w:tcPr>
            <w:tcW w:w="979" w:type="dxa"/>
            <w:gridSpan w:val="3"/>
            <w:vMerge/>
            <w:tcBorders>
              <w:top w:val="single" w:sz="4" w:space="0" w:color="000000"/>
              <w:left w:val="single" w:sz="4" w:space="0" w:color="000000"/>
              <w:bottom w:val="single" w:sz="4" w:space="0" w:color="000000"/>
              <w:right w:val="single" w:sz="4" w:space="0" w:color="000000"/>
            </w:tcBorders>
            <w:noWrap/>
            <w:vAlign w:val="center"/>
          </w:tcPr>
          <w:p/>
        </w:tc>
        <w:tc>
          <w:tcPr>
            <w:tcW w:w="827" w:type="dxa"/>
            <w:gridSpan w:val="3"/>
            <w:vMerge/>
            <w:tcBorders>
              <w:top w:val="single" w:sz="4" w:space="0" w:color="000000"/>
              <w:left w:val="single" w:sz="4" w:space="0" w:color="000000"/>
              <w:bottom w:val="single" w:sz="4" w:space="0" w:color="000000"/>
              <w:right w:val="single" w:sz="4" w:space="0" w:color="000000"/>
            </w:tcBorders>
            <w:noWrap/>
            <w:vAlign w:val="center"/>
          </w:tcPr>
          <w:p/>
        </w:tc>
        <w:tc>
          <w:tcPr>
            <w:tcW w:w="1290"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提高全社会对“个转企”工作的认可</w:t>
            </w:r>
          </w:p>
        </w:tc>
        <w:tc>
          <w:tcPr>
            <w:tcW w:w="855" w:type="dxa"/>
            <w:gridSpan w:val="2"/>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定性</w:t>
            </w:r>
          </w:p>
        </w:tc>
        <w:tc>
          <w:tcPr>
            <w:tcW w:w="1350" w:type="dxa"/>
            <w:gridSpan w:val="6"/>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持续提高</w:t>
            </w:r>
          </w:p>
        </w:tc>
        <w:tc>
          <w:tcPr>
            <w:tcW w:w="1137"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adjustRightInd/>
              <w:snapToGrid/>
              <w:spacing w:line="300" w:lineRule="exact"/>
              <w:jc w:val="center"/>
              <w:textAlignment w:val="center"/>
              <w:rPr>
                <w:rFonts w:ascii="仿宋_GB2312" w:eastAsia="仿宋_GB2312" w:cs="Times New Roman" w:hint="eastAsia"/>
                <w:color w:val="000000"/>
                <w:kern w:val="0"/>
                <w:sz w:val="15"/>
                <w:szCs w:val="15"/>
                <w:u w:val="none"/>
                <w:lang w:val="en-US" w:eastAsia="zh-CN"/>
              </w:rPr>
            </w:pPr>
          </w:p>
        </w:tc>
        <w:tc>
          <w:tcPr>
            <w:tcW w:w="938"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suppressAutoHyphens/>
              <w:kinsoku/>
              <w:wordWrap/>
              <w:overflowPunct/>
              <w:topLinePunct w:val="0"/>
              <w:autoSpaceDE/>
              <w:autoSpaceDN/>
              <w:adjustRightInd/>
              <w:snapToGrid/>
              <w:spacing w:line="300" w:lineRule="exact"/>
              <w:jc w:val="center"/>
              <w:rPr>
                <w:rFonts w:ascii="仿宋_GB2312" w:eastAsia="仿宋_GB2312" w:cs="Times New Roman" w:hint="eastAsia"/>
                <w:color w:val="000000"/>
                <w:sz w:val="15"/>
                <w:szCs w:val="15"/>
                <w:u w:val="none"/>
                <w:lang w:bidi="ar-SA"/>
              </w:rPr>
            </w:pPr>
          </w:p>
        </w:tc>
        <w:tc>
          <w:tcPr>
            <w:tcW w:w="1266" w:type="dxa"/>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提高全社会对“个转企”工作的认可</w:t>
            </w:r>
          </w:p>
        </w:tc>
      </w:tr>
      <w:tr>
        <w:trPr>
          <w:trHeight w:val="926"/>
        </w:trPr>
        <w:tc>
          <w:tcPr>
            <w:tcW w:w="912" w:type="dxa"/>
            <w:gridSpan w:val="3"/>
            <w:vMerge/>
            <w:tcBorders>
              <w:top w:val="single" w:sz="4" w:space="0" w:color="000000"/>
              <w:left w:val="single" w:sz="4" w:space="0" w:color="000000"/>
              <w:bottom w:val="single" w:sz="4" w:space="0" w:color="000000"/>
              <w:right w:val="single" w:sz="4" w:space="0" w:color="000000"/>
            </w:tcBorders>
            <w:noWrap/>
            <w:vAlign w:val="center"/>
          </w:tcPr>
          <w:p/>
        </w:tc>
        <w:tc>
          <w:tcPr>
            <w:tcW w:w="979" w:type="dxa"/>
            <w:gridSpan w:val="3"/>
            <w:vMerge w:val="restart"/>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成本指标</w:t>
            </w:r>
          </w:p>
        </w:tc>
        <w:tc>
          <w:tcPr>
            <w:tcW w:w="827"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经济成本指标</w:t>
            </w:r>
          </w:p>
        </w:tc>
        <w:tc>
          <w:tcPr>
            <w:tcW w:w="1290"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开展工作资金支出控制每户6000元以内</w:t>
            </w:r>
          </w:p>
        </w:tc>
        <w:tc>
          <w:tcPr>
            <w:tcW w:w="855" w:type="dxa"/>
            <w:gridSpan w:val="2"/>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w:t>
            </w:r>
          </w:p>
        </w:tc>
        <w:tc>
          <w:tcPr>
            <w:tcW w:w="1350" w:type="dxa"/>
            <w:gridSpan w:val="6"/>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114000</w:t>
            </w:r>
          </w:p>
        </w:tc>
        <w:tc>
          <w:tcPr>
            <w:tcW w:w="1137"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成本指标</w:t>
            </w:r>
          </w:p>
        </w:tc>
        <w:tc>
          <w:tcPr>
            <w:tcW w:w="938" w:type="dxa"/>
            <w:gridSpan w:val="5"/>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经济成本指标</w:t>
            </w:r>
          </w:p>
        </w:tc>
        <w:tc>
          <w:tcPr>
            <w:tcW w:w="1266" w:type="dxa"/>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开展工作资金支出控制每户6000元以内</w:t>
            </w:r>
          </w:p>
        </w:tc>
      </w:tr>
      <w:tr>
        <w:trPr>
          <w:trHeight w:val="614"/>
        </w:trPr>
        <w:tc>
          <w:tcPr>
            <w:tcW w:w="912" w:type="dxa"/>
            <w:gridSpan w:val="3"/>
            <w:vMerge/>
            <w:tcBorders>
              <w:top w:val="single" w:sz="4" w:space="0" w:color="000000"/>
              <w:left w:val="single" w:sz="4" w:space="0" w:color="000000"/>
              <w:bottom w:val="single" w:sz="4" w:space="0" w:color="000000"/>
              <w:right w:val="single" w:sz="4" w:space="0" w:color="000000"/>
            </w:tcBorders>
            <w:noWrap/>
            <w:vAlign w:val="center"/>
          </w:tcPr>
          <w:p/>
        </w:tc>
        <w:tc>
          <w:tcPr>
            <w:tcW w:w="979" w:type="dxa"/>
            <w:gridSpan w:val="3"/>
            <w:vMerge/>
            <w:tcBorders>
              <w:top w:val="single" w:sz="4" w:space="0" w:color="000000"/>
              <w:left w:val="single" w:sz="4" w:space="0" w:color="000000"/>
              <w:bottom w:val="single" w:sz="4" w:space="0" w:color="000000"/>
              <w:right w:val="single" w:sz="4" w:space="0" w:color="000000"/>
            </w:tcBorders>
            <w:noWrap/>
            <w:vAlign w:val="center"/>
          </w:tcPr>
          <w:p/>
        </w:tc>
        <w:tc>
          <w:tcPr>
            <w:tcW w:w="827"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社会成本指标</w:t>
            </w:r>
          </w:p>
        </w:tc>
        <w:tc>
          <w:tcPr>
            <w:tcW w:w="1290"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项目实际成本</w:t>
            </w:r>
          </w:p>
        </w:tc>
        <w:tc>
          <w:tcPr>
            <w:tcW w:w="855" w:type="dxa"/>
            <w:gridSpan w:val="2"/>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w:t>
            </w:r>
          </w:p>
        </w:tc>
        <w:tc>
          <w:tcPr>
            <w:tcW w:w="1350" w:type="dxa"/>
            <w:gridSpan w:val="6"/>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114000</w:t>
            </w:r>
          </w:p>
        </w:tc>
        <w:tc>
          <w:tcPr>
            <w:tcW w:w="1137"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suppressAutoHyphens/>
              <w:kinsoku/>
              <w:wordWrap/>
              <w:overflowPunct/>
              <w:topLinePunct w:val="0"/>
              <w:autoSpaceDE/>
              <w:autoSpaceDN/>
              <w:adjustRightInd/>
              <w:snapToGrid/>
              <w:spacing w:line="300" w:lineRule="exact"/>
              <w:jc w:val="center"/>
              <w:textAlignment w:val="center"/>
              <w:rPr>
                <w:rFonts w:ascii="仿宋_GB2312" w:eastAsia="仿宋_GB2312" w:cs="Times New Roman" w:hint="eastAsia"/>
                <w:color w:val="000000"/>
                <w:kern w:val="0"/>
                <w:sz w:val="15"/>
                <w:szCs w:val="15"/>
                <w:u w:val="none"/>
                <w:lang w:val="en-US" w:eastAsia="zh-CN"/>
              </w:rPr>
            </w:pPr>
          </w:p>
        </w:tc>
        <w:tc>
          <w:tcPr>
            <w:tcW w:w="938" w:type="dxa"/>
            <w:gridSpan w:val="5"/>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社会成本指标</w:t>
            </w:r>
          </w:p>
        </w:tc>
        <w:tc>
          <w:tcPr>
            <w:tcW w:w="1266" w:type="dxa"/>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项目实际成本</w:t>
            </w:r>
          </w:p>
        </w:tc>
      </w:tr>
      <w:tr>
        <w:trPr>
          <w:trHeight w:val="290"/>
        </w:trPr>
        <w:tc>
          <w:tcPr>
            <w:tcW w:w="912" w:type="dxa"/>
            <w:gridSpan w:val="3"/>
            <w:vMerge/>
            <w:tcBorders>
              <w:top w:val="single" w:sz="4" w:space="0" w:color="000000"/>
              <w:left w:val="single" w:sz="4" w:space="0" w:color="000000"/>
              <w:bottom w:val="single" w:sz="4" w:space="0" w:color="000000"/>
              <w:right w:val="single" w:sz="4" w:space="0" w:color="000000"/>
            </w:tcBorders>
            <w:noWrap/>
            <w:vAlign w:val="center"/>
          </w:tcPr>
          <w:p/>
        </w:tc>
        <w:tc>
          <w:tcPr>
            <w:tcW w:w="979"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产出指标</w:t>
            </w:r>
          </w:p>
        </w:tc>
        <w:tc>
          <w:tcPr>
            <w:tcW w:w="827"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数量指标</w:t>
            </w:r>
          </w:p>
        </w:tc>
        <w:tc>
          <w:tcPr>
            <w:tcW w:w="1290"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19户个体户转企业完成</w:t>
            </w:r>
          </w:p>
        </w:tc>
        <w:tc>
          <w:tcPr>
            <w:tcW w:w="855" w:type="dxa"/>
            <w:gridSpan w:val="2"/>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w:t>
            </w:r>
          </w:p>
        </w:tc>
        <w:tc>
          <w:tcPr>
            <w:tcW w:w="1350" w:type="dxa"/>
            <w:gridSpan w:val="6"/>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19</w:t>
            </w:r>
          </w:p>
        </w:tc>
        <w:tc>
          <w:tcPr>
            <w:tcW w:w="1137"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产出指标</w:t>
            </w:r>
          </w:p>
        </w:tc>
        <w:tc>
          <w:tcPr>
            <w:tcW w:w="938" w:type="dxa"/>
            <w:gridSpan w:val="5"/>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数量指标</w:t>
            </w:r>
          </w:p>
        </w:tc>
        <w:tc>
          <w:tcPr>
            <w:tcW w:w="1266" w:type="dxa"/>
            <w:tcBorders>
              <w:top w:val="single" w:sz="4" w:space="0" w:color="000000"/>
              <w:left w:val="single" w:sz="4" w:space="0" w:color="000000"/>
              <w:bottom w:val="single" w:sz="4" w:space="0" w:color="000000"/>
              <w:right w:val="single" w:sz="4" w:space="0" w:color="000000"/>
            </w:tcBorders>
            <w:noWrap/>
            <w:vAlign w:val="center"/>
          </w:tcPr>
          <w:p>
            <w:pPr>
              <w:jc w:val="center"/>
              <w:rPr>
                <w:rFonts w:ascii="仿宋_GB2312" w:eastAsia="仿宋_GB2312" w:cs="Arial" w:hint="eastAsia"/>
                <w:color w:val="000000"/>
                <w:sz w:val="15"/>
                <w:szCs w:val="15"/>
                <w:lang w:bidi="ar-SA"/>
              </w:rPr>
            </w:pPr>
            <w:r>
              <w:rPr>
                <w:rFonts w:ascii="仿宋_GB2312" w:eastAsia="仿宋_GB2312" w:cs="Arial" w:hint="eastAsia"/>
                <w:color w:val="000000"/>
                <w:sz w:val="15"/>
                <w:szCs w:val="15"/>
                <w:lang w:bidi="ar-SA"/>
              </w:rPr>
              <w:t>18户个体户转企业完成</w:t>
            </w:r>
          </w:p>
        </w:tc>
      </w:tr>
    </w:tbl>
    <w:p>
      <w:pPr>
        <w:keepNext w:val="0"/>
        <w:keepLines w:val="0"/>
        <w:pageBreakBefore w:val="0"/>
        <w:widowControl w:val="0"/>
        <w:suppressAutoHyphens/>
        <w:kinsoku/>
        <w:wordWrap/>
        <w:overflowPunct/>
        <w:topLinePunct w:val="0"/>
        <w:autoSpaceDE/>
        <w:autoSpaceDN/>
        <w:adjustRightInd/>
        <w:snapToGrid w:val="0"/>
        <w:spacing w:line="578" w:lineRule="exact"/>
        <w:rPr>
          <w:rFonts w:eastAsia="黑体"/>
          <w:sz w:val="24"/>
        </w:rPr>
      </w:pPr>
    </w:p>
    <w:p>
      <w:pPr>
        <w:rPr>
          <w:lang w:val="en-US" w:eastAsia="zh-CN"/>
        </w:rPr>
      </w:pPr>
    </w:p>
    <w:p/>
    <w:p>
      <w:pPr>
        <w:pStyle w:val="16"/>
        <w:keepNext w:val="0"/>
        <w:keepLines w:val="0"/>
        <w:pageBreakBefore w:val="0"/>
        <w:widowControl w:val="0"/>
        <w:suppressAutoHyphens/>
        <w:kinsoku/>
        <w:wordWrap/>
        <w:overflowPunct/>
        <w:topLinePunct w:val="0"/>
        <w:autoSpaceDE/>
        <w:autoSpaceDN/>
        <w:bidi w:val="0"/>
        <w:adjustRightInd/>
        <w:snapToGrid/>
        <w:spacing w:after="0" w:line="20" w:lineRule="exact"/>
        <w:ind w:leftChars="0" w:left="0" w:firstLineChars="0" w:firstLine="0"/>
        <w:textAlignment w:val="auto"/>
        <w:rPr>
          <w:rFonts w:ascii="Times New Roman" w:eastAsia="黑体" w:cs="Times New Roman" w:hAnsi="Times New Roman"/>
          <w:sz w:val="24"/>
          <w:szCs w:val="24"/>
          <w:lang w:val="en-US" w:eastAsia="zh-CN" w:bidi="ar-SA"/>
          <w:highlight w:val="auto"/>
        </w:rPr>
      </w:pPr>
    </w:p>
    <w:p>
      <w:pPr>
        <w:pStyle w:val="21"/>
        <w:spacing w:line="576" w:lineRule="exact"/>
        <w:rPr>
          <w:rFonts w:ascii="Times New Roman" w:eastAsia="黑体" w:cs="黑体" w:hAnsi="Times New Roman" w:hint="eastAsia"/>
          <w:color w:val="auto"/>
          <w:kern w:val="0"/>
          <w:sz w:val="32"/>
          <w:szCs w:val="32"/>
          <w:shd w:val="clear" w:color="auto" w:fill="FFFFFF"/>
          <w:lang w:val="zh-CN" w:eastAsia="zh-CN" w:bidi="ar-SA"/>
          <w:highlight w:val="auto"/>
        </w:rPr>
      </w:pPr>
    </w:p>
    <w:p>
      <w:pPr>
        <w:pStyle w:val="21"/>
        <w:spacing w:line="576" w:lineRule="exact"/>
        <w:rPr>
          <w:rFonts w:ascii="Times New Roman" w:eastAsia="黑体" w:cs="黑体" w:hAnsi="Times New Roman" w:hint="eastAsia"/>
          <w:color w:val="auto"/>
          <w:sz w:val="32"/>
          <w:szCs w:val="32"/>
          <w:lang w:val="en-US" w:eastAsia="zh-CN" w:bidi="ar-SA"/>
          <w:highlight w:val="auto"/>
        </w:rPr>
      </w:pPr>
      <w:r>
        <w:rPr>
          <w:rFonts w:ascii="Times New Roman" w:eastAsia="黑体" w:cs="黑体" w:hAnsi="Times New Roman" w:hint="eastAsia"/>
          <w:color w:val="auto"/>
          <w:kern w:val="0"/>
          <w:sz w:val="32"/>
          <w:szCs w:val="32"/>
          <w:shd w:val="clear" w:color="auto" w:fill="FFFFFF"/>
          <w:lang w:val="zh-CN" w:eastAsia="zh-CN" w:bidi="ar-SA"/>
          <w:highlight w:val="auto"/>
        </w:rPr>
        <w:t>附件</w:t>
      </w:r>
      <w:r>
        <w:rPr>
          <w:rFonts w:ascii="Times New Roman" w:eastAsia="黑体" w:cs="黑体" w:hAnsi="Times New Roman" w:hint="eastAsia"/>
          <w:color w:val="auto"/>
          <w:kern w:val="0"/>
          <w:sz w:val="32"/>
          <w:szCs w:val="32"/>
          <w:shd w:val="clear" w:color="auto" w:fill="FFFFFF"/>
          <w:lang w:val="en-US" w:eastAsia="zh-CN" w:bidi="ar-SA"/>
          <w:highlight w:val="auto"/>
        </w:rPr>
        <w:t>2</w:t>
      </w:r>
    </w:p>
    <w:p>
      <w:pPr>
        <w:pStyle w:val="40"/>
        <w:keepNext w:val="0"/>
        <w:keepLines w:val="0"/>
        <w:pageBreakBefore w:val="0"/>
        <w:widowControl w:val="0"/>
        <w:kinsoku/>
        <w:wordWrap/>
        <w:overflowPunct/>
        <w:topLinePunct w:val="0"/>
        <w:autoSpaceDE/>
        <w:autoSpaceDN/>
        <w:bidi w:val="0"/>
        <w:spacing w:line="576" w:lineRule="exact"/>
        <w:ind w:left="0"/>
        <w:jc w:val="center"/>
        <w:textAlignment w:val="auto"/>
        <w:rPr>
          <w:rFonts w:ascii="Times New Roman" w:eastAsia="方正小标宋简体" w:cs="方正小标宋简体" w:hAnsi="Times New Roman" w:hint="eastAsia"/>
          <w:color w:val="auto"/>
          <w:kern w:val="2"/>
          <w:sz w:val="44"/>
          <w:szCs w:val="44"/>
          <w:lang w:val="en-US" w:eastAsia="zh-CN" w:bidi="ar-SA"/>
          <w:highlight w:val="auto"/>
        </w:rPr>
      </w:pPr>
    </w:p>
    <w:p>
      <w:pPr>
        <w:pStyle w:val="40"/>
        <w:keepNext w:val="0"/>
        <w:keepLines w:val="0"/>
        <w:pageBreakBefore w:val="0"/>
        <w:widowControl w:val="0"/>
        <w:suppressAutoHyphens/>
        <w:kinsoku/>
        <w:wordWrap/>
        <w:overflowPunct/>
        <w:topLinePunct w:val="0"/>
        <w:autoSpaceDE/>
        <w:autoSpaceDN/>
        <w:bidi w:val="0"/>
        <w:spacing w:line="576" w:lineRule="exact"/>
        <w:jc w:val="center"/>
        <w:textAlignment w:val="auto"/>
        <w:rPr>
          <w:rFonts w:ascii="方正小标宋简体" w:eastAsia="方正小标宋简体" w:hint="eastAsia"/>
          <w:sz w:val="44"/>
          <w:szCs w:val="44"/>
        </w:rPr>
      </w:pPr>
      <w:r>
        <w:rPr>
          <w:rFonts w:ascii="方正小标宋简体" w:eastAsia="方正小标宋简体" w:hint="eastAsia"/>
          <w:sz w:val="44"/>
          <w:szCs w:val="44"/>
          <w:lang w:eastAsia="zh-CN"/>
        </w:rPr>
        <w:t>专项预算项目</w:t>
      </w:r>
      <w:r>
        <w:rPr>
          <w:rFonts w:ascii="方正小标宋简体" w:eastAsia="方正小标宋简体" w:hint="eastAsia"/>
          <w:sz w:val="44"/>
          <w:szCs w:val="44"/>
        </w:rPr>
        <w:t>绩效</w:t>
      </w:r>
      <w:r>
        <w:rPr>
          <w:rFonts w:ascii="方正小标宋简体" w:eastAsia="方正小标宋简体" w:hint="eastAsia"/>
          <w:sz w:val="44"/>
          <w:szCs w:val="44"/>
          <w:lang w:eastAsia="zh-CN"/>
        </w:rPr>
        <w:t>评价</w:t>
      </w:r>
      <w:r>
        <w:rPr>
          <w:rFonts w:ascii="方正小标宋简体" w:eastAsia="方正小标宋简体" w:hint="eastAsia"/>
          <w:sz w:val="44"/>
          <w:szCs w:val="44"/>
        </w:rPr>
        <w:t>报告</w:t>
      </w:r>
    </w:p>
    <w:p>
      <w:pPr>
        <w:keepNext w:val="0"/>
        <w:keepLines w:val="0"/>
        <w:pageBreakBefore w:val="0"/>
        <w:widowControl w:val="0"/>
        <w:suppressLineNumbers w:val="0"/>
        <w:suppressAutoHyphens w:val="0"/>
        <w:jc w:val="center"/>
        <w:rPr>
          <w:rFonts w:ascii="仿宋_GB2312" w:eastAsia="仿宋_GB2312" w:hint="eastAsia"/>
          <w:sz w:val="32"/>
          <w:szCs w:val="32"/>
        </w:rPr>
      </w:pPr>
      <w:bookmarkStart w:id="673" w:name="_Toc15396618"/>
      <w:r>
        <w:rPr>
          <w:rFonts w:ascii="仿宋_GB2312" w:eastAsia="仿宋_GB2312" w:hint="eastAsia"/>
          <w:sz w:val="32"/>
          <w:szCs w:val="32"/>
        </w:rPr>
        <w:t>（本部门不涉及此类项目）</w:t>
      </w:r>
    </w:p>
    <w:p>
      <w:pPr>
        <w:pStyle w:val="19"/>
        <w:keepNext w:val="0"/>
        <w:keepLines w:val="0"/>
        <w:pageBreakBefore w:val="0"/>
        <w:widowControl w:val="0"/>
        <w:suppressLineNumbers w:val="0"/>
        <w:suppressAutoHyphens/>
      </w:pPr>
    </w:p>
    <w:p>
      <w:pPr>
        <w:keepNext w:val="0"/>
        <w:keepLines w:val="0"/>
        <w:pageBreakBefore w:val="0"/>
        <w:widowControl w:val="0"/>
        <w:suppressLineNumbers w:val="0"/>
        <w:suppressAutoHyphens w:val="0"/>
      </w:pPr>
    </w:p>
    <w:p>
      <w:pPr>
        <w:pStyle w:val="19"/>
        <w:keepNext w:val="0"/>
        <w:keepLines w:val="0"/>
        <w:pageBreakBefore w:val="0"/>
        <w:widowControl w:val="0"/>
        <w:suppressLineNumbers w:val="0"/>
        <w:suppressAutoHyphens/>
      </w:pPr>
    </w:p>
    <w:p>
      <w:pPr>
        <w:keepNext w:val="0"/>
        <w:keepLines w:val="0"/>
        <w:pageBreakBefore w:val="0"/>
        <w:widowControl w:val="0"/>
        <w:suppressLineNumbers w:val="0"/>
        <w:suppressAutoHyphens w:val="0"/>
      </w:pPr>
    </w:p>
    <w:p>
      <w:pPr>
        <w:spacing w:line="576" w:lineRule="exact"/>
        <w:outlineLvl w:val="0"/>
      </w:pPr>
      <w:bookmarkStart w:id="674" w:name="_Toc55224590"/>
      <w:bookmarkStart w:id="675" w:name="_Toc55224688"/>
      <w:bookmarkStart w:id="676" w:name="_Toc55224258"/>
      <w:bookmarkStart w:id="677" w:name="_Toc55224402"/>
      <w:bookmarkStart w:id="678" w:name="_Toc55224354"/>
      <w:bookmarkStart w:id="679" w:name="_Toc88111047"/>
      <w:bookmarkStart w:id="680" w:name="_Toc55224492"/>
    </w:p>
    <w:p>
      <w:pPr>
        <w:spacing w:line="576" w:lineRule="exact"/>
        <w:outlineLvl w:val="0"/>
      </w:pPr>
    </w:p>
    <w:p>
      <w:pPr>
        <w:spacing w:line="576" w:lineRule="exact"/>
        <w:outlineLvl w:val="0"/>
      </w:pPr>
    </w:p>
    <w:p>
      <w:pPr>
        <w:pStyle w:val="19"/>
      </w:pPr>
    </w:p>
    <w:p/>
    <w:p>
      <w:pPr>
        <w:pStyle w:val="19"/>
      </w:pPr>
    </w:p>
    <w:p>
      <w:pPr>
        <w:pStyle w:val="19"/>
        <w:ind w:left="0" w:firstLine="0"/>
        <w:jc w:val="both"/>
      </w:pPr>
    </w:p>
    <w:p>
      <w:pPr>
        <w:spacing w:line="576" w:lineRule="exact"/>
        <w:outlineLvl w:val="0"/>
      </w:pPr>
    </w:p>
    <w:p>
      <w:pPr>
        <w:spacing w:line="576" w:lineRule="exact"/>
        <w:outlineLvl w:val="0"/>
      </w:pPr>
    </w:p>
    <w:p>
      <w:pPr>
        <w:spacing w:line="576" w:lineRule="exact"/>
        <w:outlineLvl w:val="0"/>
      </w:pPr>
    </w:p>
    <w:p>
      <w:pPr>
        <w:spacing w:line="576" w:lineRule="exact"/>
        <w:outlineLvl w:val="0"/>
      </w:pPr>
    </w:p>
    <w:p>
      <w:pPr>
        <w:spacing w:line="576" w:lineRule="exact"/>
        <w:outlineLvl w:val="0"/>
      </w:pPr>
    </w:p>
    <w:p>
      <w:pPr>
        <w:spacing w:line="576" w:lineRule="exact"/>
        <w:outlineLvl w:val="0"/>
      </w:pPr>
    </w:p>
    <w:p>
      <w:pPr>
        <w:spacing w:line="576" w:lineRule="exact"/>
        <w:outlineLvl w:val="0"/>
      </w:pPr>
    </w:p>
    <w:p>
      <w:pPr>
        <w:spacing w:line="576" w:lineRule="exact"/>
        <w:jc w:val="center"/>
        <w:outlineLvl w:val="0"/>
        <w:rPr>
          <w:rFonts w:eastAsia="黑体" w:hint="eastAsia"/>
          <w:sz w:val="44"/>
          <w:szCs w:val="44"/>
          <w:highlight w:val="auto"/>
        </w:rPr>
      </w:pPr>
      <w:r>
        <w:rPr>
          <w:rFonts w:eastAsia="黑体" w:hint="eastAsia"/>
          <w:sz w:val="44"/>
          <w:szCs w:val="44"/>
          <w:highlight w:val="auto"/>
        </w:rPr>
        <w:t>第</w:t>
      </w:r>
      <w:r>
        <w:rPr>
          <w:rFonts w:eastAsia="黑体" w:hint="eastAsia"/>
          <w:bCs/>
          <w:sz w:val="44"/>
          <w:szCs w:val="44"/>
          <w:highlight w:val="auto"/>
        </w:rPr>
        <w:t>五</w:t>
      </w:r>
      <w:bookmarkStart w:id="681" w:name="_Toc15396619"/>
      <w:bookmarkEnd w:id="535"/>
      <w:bookmarkEnd w:id="673"/>
      <w:r>
        <w:rPr>
          <w:rFonts w:eastAsia="黑体" w:hint="eastAsia"/>
          <w:bCs/>
          <w:sz w:val="44"/>
          <w:szCs w:val="44"/>
          <w:highlight w:val="auto"/>
        </w:rPr>
        <w:t>部分 附表</w:t>
      </w:r>
      <w:bookmarkEnd w:id="674"/>
      <w:bookmarkEnd w:id="675"/>
      <w:bookmarkEnd w:id="676"/>
      <w:bookmarkEnd w:id="677"/>
      <w:bookmarkEnd w:id="678"/>
      <w:bookmarkEnd w:id="679"/>
      <w:bookmarkEnd w:id="680"/>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76" w:lineRule="exact"/>
        <w:jc w:val="left"/>
        <w:textAlignment w:val="auto"/>
        <w:rPr>
          <w:rFonts w:ascii="Times New Roman" w:eastAsia="仿宋_GB2312" w:cs="仿宋_GB2312" w:hAnsi="Times New Roman" w:hint="eastAsia"/>
          <w:color w:val="auto"/>
          <w:sz w:val="32"/>
          <w:szCs w:val="32"/>
          <w:lang w:bidi="ar-SA"/>
          <w:highlight w:val="auto"/>
        </w:rPr>
      </w:pPr>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ascii="仿宋_GB2312" w:eastAsia="仿宋_GB2312" w:cs="仿宋_GB2312" w:hint="eastAsia"/>
          <w:sz w:val="32"/>
          <w:szCs w:val="32"/>
          <w:lang w:bidi="ar-SA"/>
          <w:highlight w:val="auto"/>
        </w:rPr>
      </w:pPr>
      <w:bookmarkStart w:id="682" w:name="_Toc55224355"/>
      <w:bookmarkStart w:id="683" w:name="_Toc55224591"/>
      <w:bookmarkStart w:id="684" w:name="_Toc55224403"/>
      <w:bookmarkStart w:id="685" w:name="_Toc55224259"/>
      <w:bookmarkStart w:id="686" w:name="_Toc55224493"/>
      <w:bookmarkStart w:id="687" w:name="_Toc88111048"/>
      <w:bookmarkStart w:id="688" w:name="_Toc55224689"/>
      <w:r>
        <w:rPr>
          <w:rFonts w:ascii="仿宋_GB2312" w:eastAsia="仿宋_GB2312" w:cs="仿宋_GB2312" w:hint="eastAsia"/>
          <w:sz w:val="32"/>
          <w:szCs w:val="32"/>
          <w:lang w:bidi="ar-SA"/>
          <w:highlight w:val="auto"/>
        </w:rPr>
        <w:t>一、收入支</w:t>
      </w:r>
      <w:bookmarkEnd w:id="681"/>
      <w:r>
        <w:rPr>
          <w:rFonts w:ascii="仿宋_GB2312" w:eastAsia="仿宋_GB2312" w:cs="仿宋_GB2312" w:hint="eastAsia"/>
          <w:sz w:val="32"/>
          <w:szCs w:val="32"/>
          <w:lang w:bidi="ar-SA"/>
          <w:highlight w:val="auto"/>
        </w:rPr>
        <w:t>出</w:t>
      </w:r>
      <w:bookmarkStart w:id="689" w:name="_Toc15396620"/>
      <w:r>
        <w:rPr>
          <w:rFonts w:ascii="仿宋_GB2312" w:eastAsia="仿宋_GB2312" w:cs="仿宋_GB2312" w:hint="eastAsia"/>
          <w:sz w:val="32"/>
          <w:szCs w:val="32"/>
          <w:lang w:bidi="ar-SA"/>
          <w:highlight w:val="auto"/>
        </w:rPr>
        <w:t>决算总表</w:t>
      </w:r>
      <w:bookmarkEnd w:id="682"/>
      <w:bookmarkEnd w:id="683"/>
      <w:bookmarkEnd w:id="684"/>
      <w:bookmarkEnd w:id="685"/>
      <w:bookmarkEnd w:id="686"/>
      <w:bookmarkEnd w:id="687"/>
      <w:bookmarkEnd w:id="688"/>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ascii="仿宋_GB2312" w:eastAsia="仿宋_GB2312" w:cs="仿宋_GB2312" w:hint="eastAsia"/>
          <w:sz w:val="32"/>
          <w:szCs w:val="32"/>
          <w:lang w:bidi="ar-SA"/>
          <w:highlight w:val="auto"/>
        </w:rPr>
      </w:pPr>
      <w:bookmarkStart w:id="690" w:name="_Toc55224494"/>
      <w:bookmarkStart w:id="691" w:name="_Toc55224260"/>
      <w:bookmarkStart w:id="692" w:name="_Toc88111049"/>
      <w:bookmarkStart w:id="693" w:name="_Toc55224404"/>
      <w:bookmarkStart w:id="694" w:name="_Toc55224690"/>
      <w:bookmarkStart w:id="695" w:name="_Toc55224356"/>
      <w:bookmarkStart w:id="696" w:name="_Toc55224592"/>
      <w:r>
        <w:rPr>
          <w:rFonts w:ascii="仿宋_GB2312" w:eastAsia="仿宋_GB2312" w:cs="仿宋_GB2312" w:hint="eastAsia"/>
          <w:sz w:val="32"/>
          <w:szCs w:val="32"/>
          <w:lang w:bidi="ar-SA"/>
          <w:highlight w:val="auto"/>
        </w:rPr>
        <w:t>二、</w:t>
      </w:r>
      <w:bookmarkEnd w:id="689"/>
      <w:r>
        <w:rPr>
          <w:rFonts w:ascii="仿宋_GB2312" w:eastAsia="仿宋_GB2312" w:cs="仿宋_GB2312" w:hint="eastAsia"/>
          <w:sz w:val="32"/>
          <w:szCs w:val="32"/>
          <w:lang w:bidi="ar-SA"/>
          <w:highlight w:val="auto"/>
        </w:rPr>
        <w:t>收</w:t>
      </w:r>
      <w:bookmarkStart w:id="697" w:name="_Toc15396621"/>
      <w:r>
        <w:rPr>
          <w:rFonts w:ascii="仿宋_GB2312" w:eastAsia="仿宋_GB2312" w:cs="仿宋_GB2312" w:hint="eastAsia"/>
          <w:sz w:val="32"/>
          <w:szCs w:val="32"/>
          <w:lang w:bidi="ar-SA"/>
          <w:highlight w:val="auto"/>
        </w:rPr>
        <w:t>入决算表</w:t>
      </w:r>
      <w:bookmarkEnd w:id="690"/>
      <w:bookmarkEnd w:id="691"/>
      <w:bookmarkEnd w:id="692"/>
      <w:bookmarkEnd w:id="693"/>
      <w:bookmarkEnd w:id="694"/>
      <w:bookmarkEnd w:id="695"/>
      <w:bookmarkEnd w:id="696"/>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ascii="仿宋_GB2312" w:eastAsia="仿宋_GB2312" w:cs="仿宋_GB2312" w:hint="eastAsia"/>
          <w:sz w:val="32"/>
          <w:szCs w:val="32"/>
          <w:lang w:bidi="ar-SA"/>
          <w:highlight w:val="auto"/>
        </w:rPr>
      </w:pPr>
      <w:bookmarkStart w:id="698" w:name="_Toc55224691"/>
      <w:bookmarkStart w:id="699" w:name="_Toc55224495"/>
      <w:bookmarkStart w:id="700" w:name="_Toc55224357"/>
      <w:bookmarkStart w:id="701" w:name="_Toc55224261"/>
      <w:bookmarkStart w:id="702" w:name="_Toc88111050"/>
      <w:bookmarkStart w:id="703" w:name="_Toc55224593"/>
      <w:bookmarkStart w:id="704" w:name="_Toc55224405"/>
      <w:r>
        <w:rPr>
          <w:rFonts w:ascii="仿宋_GB2312" w:eastAsia="仿宋_GB2312" w:cs="仿宋_GB2312" w:hint="eastAsia"/>
          <w:sz w:val="32"/>
          <w:szCs w:val="32"/>
          <w:lang w:bidi="ar-SA"/>
          <w:highlight w:val="auto"/>
        </w:rPr>
        <w:t>三、</w:t>
      </w:r>
      <w:bookmarkEnd w:id="697"/>
      <w:r>
        <w:rPr>
          <w:rFonts w:ascii="仿宋_GB2312" w:eastAsia="仿宋_GB2312" w:cs="仿宋_GB2312" w:hint="eastAsia"/>
          <w:sz w:val="32"/>
          <w:szCs w:val="32"/>
          <w:lang w:bidi="ar-SA"/>
          <w:highlight w:val="auto"/>
        </w:rPr>
        <w:t>支</w:t>
      </w:r>
      <w:bookmarkStart w:id="705" w:name="_Toc15396622"/>
      <w:r>
        <w:rPr>
          <w:rFonts w:ascii="仿宋_GB2312" w:eastAsia="仿宋_GB2312" w:cs="仿宋_GB2312" w:hint="eastAsia"/>
          <w:sz w:val="32"/>
          <w:szCs w:val="32"/>
          <w:lang w:bidi="ar-SA"/>
          <w:highlight w:val="auto"/>
        </w:rPr>
        <w:t>出决算表</w:t>
      </w:r>
      <w:bookmarkEnd w:id="698"/>
      <w:bookmarkEnd w:id="699"/>
      <w:bookmarkEnd w:id="700"/>
      <w:bookmarkEnd w:id="701"/>
      <w:bookmarkEnd w:id="702"/>
      <w:bookmarkEnd w:id="703"/>
      <w:bookmarkEnd w:id="704"/>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ascii="仿宋_GB2312" w:eastAsia="仿宋_GB2312" w:cs="仿宋_GB2312" w:hint="eastAsia"/>
          <w:sz w:val="32"/>
          <w:szCs w:val="32"/>
          <w:lang w:bidi="ar-SA"/>
          <w:highlight w:val="auto"/>
        </w:rPr>
      </w:pPr>
      <w:bookmarkStart w:id="706" w:name="_Toc55224692"/>
      <w:bookmarkStart w:id="707" w:name="_Toc55224594"/>
      <w:bookmarkStart w:id="708" w:name="_Toc55224496"/>
      <w:bookmarkStart w:id="709" w:name="_Toc55224406"/>
      <w:bookmarkStart w:id="710" w:name="_Toc55224358"/>
      <w:bookmarkStart w:id="711" w:name="_Toc55224262"/>
      <w:bookmarkStart w:id="712" w:name="_Toc88111051"/>
      <w:r>
        <w:rPr>
          <w:rFonts w:ascii="仿宋_GB2312" w:eastAsia="仿宋_GB2312" w:cs="仿宋_GB2312" w:hint="eastAsia"/>
          <w:sz w:val="32"/>
          <w:szCs w:val="32"/>
          <w:lang w:bidi="ar-SA"/>
          <w:highlight w:val="auto"/>
        </w:rPr>
        <w:t>四、财政拨款收入支</w:t>
      </w:r>
      <w:bookmarkEnd w:id="705"/>
      <w:r>
        <w:rPr>
          <w:rFonts w:ascii="仿宋_GB2312" w:eastAsia="仿宋_GB2312" w:cs="仿宋_GB2312" w:hint="eastAsia"/>
          <w:sz w:val="32"/>
          <w:szCs w:val="32"/>
          <w:lang w:bidi="ar-SA"/>
          <w:highlight w:val="auto"/>
        </w:rPr>
        <w:t>出</w:t>
      </w:r>
      <w:bookmarkStart w:id="713" w:name="_Toc15396623"/>
      <w:r>
        <w:rPr>
          <w:rFonts w:ascii="仿宋_GB2312" w:eastAsia="仿宋_GB2312" w:cs="仿宋_GB2312" w:hint="eastAsia"/>
          <w:sz w:val="32"/>
          <w:szCs w:val="32"/>
          <w:lang w:bidi="ar-SA"/>
          <w:highlight w:val="auto"/>
        </w:rPr>
        <w:t>决算总表</w:t>
      </w:r>
      <w:bookmarkEnd w:id="706"/>
      <w:bookmarkEnd w:id="707"/>
      <w:bookmarkEnd w:id="708"/>
      <w:bookmarkEnd w:id="709"/>
      <w:bookmarkEnd w:id="710"/>
      <w:bookmarkEnd w:id="711"/>
      <w:bookmarkEnd w:id="712"/>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ascii="仿宋_GB2312" w:eastAsia="仿宋_GB2312" w:cs="仿宋_GB2312" w:hint="eastAsia"/>
          <w:sz w:val="32"/>
          <w:szCs w:val="32"/>
          <w:lang w:bidi="ar-SA"/>
          <w:highlight w:val="auto"/>
        </w:rPr>
      </w:pPr>
      <w:bookmarkStart w:id="714" w:name="_Toc55224407"/>
      <w:bookmarkStart w:id="715" w:name="_Toc55224595"/>
      <w:bookmarkStart w:id="716" w:name="_Toc55224693"/>
      <w:bookmarkStart w:id="717" w:name="_Toc55224497"/>
      <w:bookmarkStart w:id="718" w:name="_Toc55224263"/>
      <w:bookmarkStart w:id="719" w:name="_Toc88111052"/>
      <w:bookmarkStart w:id="720" w:name="_Toc55224359"/>
      <w:r>
        <w:rPr>
          <w:rFonts w:ascii="仿宋_GB2312" w:eastAsia="仿宋_GB2312" w:cs="仿宋_GB2312" w:hint="eastAsia"/>
          <w:sz w:val="32"/>
          <w:szCs w:val="32"/>
          <w:lang w:bidi="ar-SA"/>
          <w:highlight w:val="auto"/>
        </w:rPr>
        <w:t>五、财政拨款支出</w:t>
      </w:r>
      <w:bookmarkStart w:id="721" w:name="_Toc15396624"/>
      <w:bookmarkEnd w:id="713"/>
      <w:r>
        <w:rPr>
          <w:rFonts w:ascii="仿宋_GB2312" w:eastAsia="仿宋_GB2312" w:cs="仿宋_GB2312" w:hint="eastAsia"/>
          <w:sz w:val="32"/>
          <w:szCs w:val="32"/>
          <w:lang w:bidi="ar-SA"/>
          <w:highlight w:val="auto"/>
        </w:rPr>
        <w:t>决算明细表</w:t>
      </w:r>
      <w:bookmarkEnd w:id="714"/>
      <w:bookmarkEnd w:id="715"/>
      <w:bookmarkEnd w:id="716"/>
      <w:bookmarkEnd w:id="717"/>
      <w:bookmarkEnd w:id="718"/>
      <w:bookmarkEnd w:id="719"/>
      <w:bookmarkEnd w:id="720"/>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ascii="仿宋_GB2312" w:eastAsia="仿宋_GB2312" w:cs="仿宋_GB2312" w:hint="eastAsia"/>
          <w:sz w:val="32"/>
          <w:szCs w:val="32"/>
          <w:lang w:bidi="ar-SA"/>
          <w:highlight w:val="auto"/>
        </w:rPr>
      </w:pPr>
      <w:bookmarkStart w:id="722" w:name="_Toc88111053"/>
      <w:bookmarkStart w:id="723" w:name="_Toc55224596"/>
      <w:bookmarkStart w:id="724" w:name="_Toc55224498"/>
      <w:bookmarkStart w:id="725" w:name="_Toc55224264"/>
      <w:bookmarkStart w:id="726" w:name="_Toc55224360"/>
      <w:bookmarkStart w:id="727" w:name="_Toc55224694"/>
      <w:bookmarkStart w:id="728" w:name="_Toc55224408"/>
      <w:r>
        <w:rPr>
          <w:rFonts w:ascii="仿宋_GB2312" w:eastAsia="仿宋_GB2312" w:cs="仿宋_GB2312" w:hint="eastAsia"/>
          <w:sz w:val="32"/>
          <w:szCs w:val="32"/>
          <w:lang w:bidi="ar-SA"/>
          <w:highlight w:val="auto"/>
        </w:rPr>
        <w:t>六、一般公共预算财政拨款</w:t>
      </w:r>
      <w:bookmarkEnd w:id="721"/>
      <w:r>
        <w:rPr>
          <w:rFonts w:ascii="仿宋_GB2312" w:eastAsia="仿宋_GB2312" w:cs="仿宋_GB2312" w:hint="eastAsia"/>
          <w:sz w:val="32"/>
          <w:szCs w:val="32"/>
          <w:lang w:bidi="ar-SA"/>
          <w:highlight w:val="auto"/>
        </w:rPr>
        <w:t>支</w:t>
      </w:r>
      <w:bookmarkStart w:id="729" w:name="_Toc15396625"/>
      <w:r>
        <w:rPr>
          <w:rFonts w:ascii="仿宋_GB2312" w:eastAsia="仿宋_GB2312" w:cs="仿宋_GB2312" w:hint="eastAsia"/>
          <w:sz w:val="32"/>
          <w:szCs w:val="32"/>
          <w:lang w:bidi="ar-SA"/>
          <w:highlight w:val="auto"/>
        </w:rPr>
        <w:t>出决算表</w:t>
      </w:r>
      <w:bookmarkEnd w:id="722"/>
      <w:bookmarkEnd w:id="723"/>
      <w:bookmarkEnd w:id="724"/>
      <w:bookmarkEnd w:id="725"/>
      <w:bookmarkEnd w:id="726"/>
      <w:bookmarkEnd w:id="727"/>
      <w:bookmarkEnd w:id="728"/>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ascii="仿宋_GB2312" w:eastAsia="仿宋_GB2312" w:cs="仿宋_GB2312" w:hint="eastAsia"/>
          <w:sz w:val="32"/>
          <w:szCs w:val="32"/>
          <w:lang w:bidi="ar-SA"/>
          <w:highlight w:val="auto"/>
        </w:rPr>
      </w:pPr>
      <w:bookmarkStart w:id="730" w:name="_Toc55224265"/>
      <w:bookmarkStart w:id="731" w:name="_Toc55224409"/>
      <w:bookmarkStart w:id="732" w:name="_Toc55224695"/>
      <w:bookmarkStart w:id="733" w:name="_Toc55224499"/>
      <w:bookmarkStart w:id="734" w:name="_Toc88111054"/>
      <w:bookmarkStart w:id="735" w:name="_Toc55224597"/>
      <w:bookmarkStart w:id="736" w:name="_Toc55224361"/>
      <w:r>
        <w:rPr>
          <w:rFonts w:ascii="仿宋_GB2312" w:eastAsia="仿宋_GB2312" w:cs="仿宋_GB2312" w:hint="eastAsia"/>
          <w:sz w:val="32"/>
          <w:szCs w:val="32"/>
          <w:lang w:bidi="ar-SA"/>
          <w:highlight w:val="auto"/>
        </w:rPr>
        <w:t>七、一般公共预算财政拨款支出</w:t>
      </w:r>
      <w:bookmarkEnd w:id="729"/>
      <w:r>
        <w:rPr>
          <w:rFonts w:ascii="仿宋_GB2312" w:eastAsia="仿宋_GB2312" w:cs="仿宋_GB2312" w:hint="eastAsia"/>
          <w:sz w:val="32"/>
          <w:szCs w:val="32"/>
          <w:lang w:bidi="ar-SA"/>
          <w:highlight w:val="auto"/>
        </w:rPr>
        <w:t>决</w:t>
      </w:r>
      <w:bookmarkStart w:id="737" w:name="_Toc15396626"/>
      <w:r>
        <w:rPr>
          <w:rFonts w:ascii="仿宋_GB2312" w:eastAsia="仿宋_GB2312" w:cs="仿宋_GB2312" w:hint="eastAsia"/>
          <w:sz w:val="32"/>
          <w:szCs w:val="32"/>
          <w:lang w:bidi="ar-SA"/>
          <w:highlight w:val="auto"/>
        </w:rPr>
        <w:t>算明细表</w:t>
      </w:r>
      <w:bookmarkEnd w:id="730"/>
      <w:bookmarkEnd w:id="731"/>
      <w:bookmarkEnd w:id="732"/>
      <w:bookmarkEnd w:id="733"/>
      <w:bookmarkEnd w:id="734"/>
      <w:bookmarkEnd w:id="735"/>
      <w:bookmarkEnd w:id="736"/>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ascii="仿宋_GB2312" w:eastAsia="仿宋_GB2312" w:cs="仿宋_GB2312" w:hint="eastAsia"/>
          <w:sz w:val="32"/>
          <w:szCs w:val="32"/>
          <w:lang w:bidi="ar-SA"/>
          <w:highlight w:val="auto"/>
        </w:rPr>
      </w:pPr>
      <w:bookmarkStart w:id="738" w:name="_Toc55224500"/>
      <w:bookmarkStart w:id="739" w:name="_Toc55224598"/>
      <w:bookmarkStart w:id="740" w:name="_Toc55224410"/>
      <w:bookmarkStart w:id="741" w:name="_Toc55224696"/>
      <w:bookmarkStart w:id="742" w:name="_Toc55224362"/>
      <w:bookmarkStart w:id="743" w:name="_Toc55224266"/>
      <w:bookmarkStart w:id="744" w:name="_Toc88111055"/>
      <w:r>
        <w:rPr>
          <w:rFonts w:ascii="仿宋_GB2312" w:eastAsia="仿宋_GB2312" w:cs="仿宋_GB2312" w:hint="eastAsia"/>
          <w:sz w:val="32"/>
          <w:szCs w:val="32"/>
          <w:lang w:bidi="ar-SA"/>
          <w:highlight w:val="auto"/>
        </w:rPr>
        <w:t>八、一般公共预算财政拨款基本</w:t>
      </w:r>
      <w:bookmarkEnd w:id="737"/>
      <w:r>
        <w:rPr>
          <w:rFonts w:ascii="仿宋_GB2312" w:eastAsia="仿宋_GB2312" w:cs="仿宋_GB2312" w:hint="eastAsia"/>
          <w:sz w:val="32"/>
          <w:szCs w:val="32"/>
          <w:lang w:bidi="ar-SA"/>
          <w:highlight w:val="auto"/>
        </w:rPr>
        <w:t>支</w:t>
      </w:r>
      <w:bookmarkStart w:id="745" w:name="_Toc15396627"/>
      <w:r>
        <w:rPr>
          <w:rFonts w:ascii="仿宋_GB2312" w:eastAsia="仿宋_GB2312" w:cs="仿宋_GB2312" w:hint="eastAsia"/>
          <w:sz w:val="32"/>
          <w:szCs w:val="32"/>
          <w:lang w:bidi="ar-SA"/>
          <w:highlight w:val="auto"/>
        </w:rPr>
        <w:t>出决算表</w:t>
      </w:r>
      <w:bookmarkEnd w:id="738"/>
      <w:bookmarkEnd w:id="739"/>
      <w:bookmarkEnd w:id="740"/>
      <w:bookmarkEnd w:id="741"/>
      <w:bookmarkEnd w:id="742"/>
      <w:bookmarkEnd w:id="743"/>
      <w:bookmarkEnd w:id="744"/>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ascii="仿宋_GB2312" w:eastAsia="仿宋_GB2312" w:cs="仿宋_GB2312" w:hint="eastAsia"/>
          <w:sz w:val="32"/>
          <w:szCs w:val="32"/>
          <w:lang w:bidi="ar-SA"/>
          <w:highlight w:val="auto"/>
        </w:rPr>
      </w:pPr>
      <w:bookmarkStart w:id="746" w:name="_Toc55224501"/>
      <w:bookmarkStart w:id="747" w:name="_Toc88111056"/>
      <w:bookmarkStart w:id="748" w:name="_Toc55224697"/>
      <w:bookmarkStart w:id="749" w:name="_Toc55224599"/>
      <w:bookmarkStart w:id="750" w:name="_Toc55224363"/>
      <w:bookmarkStart w:id="751" w:name="_Toc55224267"/>
      <w:bookmarkStart w:id="752" w:name="_Toc55224411"/>
      <w:r>
        <w:rPr>
          <w:rFonts w:ascii="仿宋_GB2312" w:eastAsia="仿宋_GB2312" w:cs="仿宋_GB2312" w:hint="eastAsia"/>
          <w:sz w:val="32"/>
          <w:szCs w:val="32"/>
          <w:lang w:bidi="ar-SA"/>
          <w:highlight w:val="auto"/>
        </w:rPr>
        <w:t>九、一般公共预算财政拨款项目</w:t>
      </w:r>
      <w:bookmarkEnd w:id="745"/>
      <w:r>
        <w:rPr>
          <w:rFonts w:ascii="仿宋_GB2312" w:eastAsia="仿宋_GB2312" w:cs="仿宋_GB2312" w:hint="eastAsia"/>
          <w:sz w:val="32"/>
          <w:szCs w:val="32"/>
          <w:lang w:bidi="ar-SA"/>
          <w:highlight w:val="auto"/>
        </w:rPr>
        <w:t>支</w:t>
      </w:r>
      <w:bookmarkStart w:id="753" w:name="_Toc15396628"/>
      <w:r>
        <w:rPr>
          <w:rFonts w:ascii="仿宋_GB2312" w:eastAsia="仿宋_GB2312" w:cs="仿宋_GB2312" w:hint="eastAsia"/>
          <w:sz w:val="32"/>
          <w:szCs w:val="32"/>
          <w:lang w:bidi="ar-SA"/>
          <w:highlight w:val="auto"/>
        </w:rPr>
        <w:t>出决</w:t>
      </w:r>
      <w:bookmarkEnd w:id="753"/>
      <w:r>
        <w:rPr>
          <w:rFonts w:ascii="仿宋_GB2312" w:eastAsia="仿宋_GB2312" w:cs="仿宋_GB2312" w:hint="eastAsia"/>
          <w:sz w:val="32"/>
          <w:szCs w:val="32"/>
          <w:lang w:bidi="ar-SA"/>
          <w:highlight w:val="auto"/>
        </w:rPr>
        <w:t>算表</w:t>
      </w:r>
      <w:bookmarkEnd w:id="746"/>
      <w:bookmarkEnd w:id="747"/>
      <w:bookmarkEnd w:id="748"/>
      <w:bookmarkEnd w:id="749"/>
      <w:bookmarkEnd w:id="750"/>
      <w:bookmarkEnd w:id="751"/>
      <w:bookmarkEnd w:id="752"/>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ascii="仿宋_GB2312" w:eastAsia="仿宋_GB2312" w:cs="仿宋_GB2312" w:hint="eastAsia"/>
          <w:sz w:val="32"/>
          <w:szCs w:val="32"/>
          <w:lang w:bidi="ar-SA"/>
          <w:highlight w:val="auto"/>
        </w:rPr>
      </w:pPr>
      <w:bookmarkStart w:id="754" w:name="_Toc55224268"/>
      <w:bookmarkStart w:id="755" w:name="_Toc55224698"/>
      <w:bookmarkStart w:id="756" w:name="_Toc55224600"/>
      <w:bookmarkStart w:id="757" w:name="_Toc88111057"/>
      <w:bookmarkStart w:id="758" w:name="_Toc55224412"/>
      <w:bookmarkStart w:id="759" w:name="_Toc55224502"/>
      <w:bookmarkStart w:id="760" w:name="_Toc55224364"/>
      <w:r>
        <w:rPr>
          <w:rFonts w:ascii="仿宋_GB2312" w:eastAsia="仿宋_GB2312" w:cs="仿宋_GB2312" w:hint="eastAsia"/>
          <w:sz w:val="32"/>
          <w:szCs w:val="32"/>
          <w:lang w:bidi="ar-SA"/>
          <w:highlight w:val="auto"/>
        </w:rPr>
        <w:t>十、政府性基金预算财政拨款收入支</w:t>
      </w:r>
      <w:bookmarkStart w:id="761" w:name="_Toc15396629"/>
      <w:r>
        <w:rPr>
          <w:rFonts w:ascii="仿宋_GB2312" w:eastAsia="仿宋_GB2312" w:cs="仿宋_GB2312" w:hint="eastAsia"/>
          <w:sz w:val="32"/>
          <w:szCs w:val="32"/>
          <w:lang w:bidi="ar-SA"/>
          <w:highlight w:val="auto"/>
        </w:rPr>
        <w:t>出决算</w:t>
      </w:r>
      <w:bookmarkEnd w:id="761"/>
      <w:r>
        <w:rPr>
          <w:rFonts w:ascii="仿宋_GB2312" w:eastAsia="仿宋_GB2312" w:cs="仿宋_GB2312" w:hint="eastAsia"/>
          <w:sz w:val="32"/>
          <w:szCs w:val="32"/>
          <w:lang w:bidi="ar-SA"/>
          <w:highlight w:val="auto"/>
        </w:rPr>
        <w:t>表</w:t>
      </w:r>
      <w:bookmarkEnd w:id="754"/>
      <w:bookmarkEnd w:id="755"/>
      <w:bookmarkEnd w:id="756"/>
      <w:bookmarkEnd w:id="757"/>
      <w:bookmarkEnd w:id="758"/>
      <w:bookmarkEnd w:id="759"/>
      <w:bookmarkEnd w:id="760"/>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ascii="仿宋_GB2312" w:eastAsia="仿宋_GB2312" w:cs="仿宋_GB2312" w:hint="eastAsia"/>
          <w:sz w:val="32"/>
          <w:szCs w:val="32"/>
          <w:lang w:bidi="ar-SA"/>
          <w:highlight w:val="auto"/>
        </w:rPr>
      </w:pPr>
      <w:bookmarkStart w:id="762" w:name="_Toc55224699"/>
      <w:bookmarkStart w:id="763" w:name="_Toc55224413"/>
      <w:bookmarkStart w:id="764" w:name="_Toc55224503"/>
      <w:bookmarkStart w:id="765" w:name="_Toc88111058"/>
      <w:bookmarkStart w:id="766" w:name="_Toc55224269"/>
      <w:bookmarkStart w:id="767" w:name="_Toc55224601"/>
      <w:bookmarkStart w:id="768" w:name="_Toc55224365"/>
      <w:r>
        <w:rPr>
          <w:rFonts w:ascii="仿宋_GB2312" w:eastAsia="仿宋_GB2312" w:cs="仿宋_GB2312" w:hint="eastAsia"/>
          <w:sz w:val="32"/>
          <w:szCs w:val="32"/>
          <w:lang w:bidi="ar-SA"/>
          <w:highlight w:val="auto"/>
        </w:rPr>
        <w:t>十一、国有资本经营预算财政拨款收入支</w:t>
      </w:r>
      <w:bookmarkStart w:id="769" w:name="_Toc15396630"/>
      <w:r>
        <w:rPr>
          <w:rFonts w:ascii="仿宋_GB2312" w:eastAsia="仿宋_GB2312" w:cs="仿宋_GB2312" w:hint="eastAsia"/>
          <w:sz w:val="32"/>
          <w:szCs w:val="32"/>
          <w:lang w:bidi="ar-SA"/>
          <w:highlight w:val="auto"/>
        </w:rPr>
        <w:t>出决算</w:t>
      </w:r>
      <w:bookmarkEnd w:id="769"/>
      <w:r>
        <w:rPr>
          <w:rFonts w:ascii="仿宋_GB2312" w:eastAsia="仿宋_GB2312" w:cs="仿宋_GB2312" w:hint="eastAsia"/>
          <w:sz w:val="32"/>
          <w:szCs w:val="32"/>
          <w:lang w:bidi="ar-SA"/>
          <w:highlight w:val="auto"/>
        </w:rPr>
        <w:t>表</w:t>
      </w:r>
      <w:bookmarkEnd w:id="762"/>
      <w:bookmarkEnd w:id="763"/>
      <w:bookmarkEnd w:id="764"/>
      <w:bookmarkEnd w:id="765"/>
      <w:bookmarkEnd w:id="766"/>
      <w:bookmarkEnd w:id="767"/>
      <w:bookmarkEnd w:id="768"/>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ascii="仿宋_GB2312" w:eastAsia="仿宋_GB2312" w:cs="仿宋_GB2312" w:hint="eastAsia"/>
          <w:sz w:val="32"/>
          <w:szCs w:val="32"/>
          <w:lang w:bidi="ar-SA"/>
          <w:highlight w:val="auto"/>
        </w:rPr>
      </w:pPr>
      <w:bookmarkStart w:id="770" w:name="_Toc55224366"/>
      <w:bookmarkStart w:id="771" w:name="_Toc55224414"/>
      <w:bookmarkStart w:id="772" w:name="_Toc55224504"/>
      <w:bookmarkStart w:id="773" w:name="_Toc55224602"/>
      <w:bookmarkStart w:id="774" w:name="_Toc55224700"/>
      <w:bookmarkStart w:id="775" w:name="_Toc88111059"/>
      <w:bookmarkStart w:id="776" w:name="_Toc55224270"/>
      <w:r>
        <w:rPr>
          <w:rFonts w:ascii="仿宋_GB2312" w:eastAsia="仿宋_GB2312" w:cs="仿宋_GB2312" w:hint="eastAsia"/>
          <w:sz w:val="32"/>
          <w:szCs w:val="32"/>
          <w:lang w:bidi="ar-SA"/>
          <w:highlight w:val="auto"/>
        </w:rPr>
        <w:t>十二、国有资本经营预算财政拨款支</w:t>
      </w:r>
      <w:bookmarkStart w:id="777" w:name="_Toc15396631"/>
      <w:r>
        <w:rPr>
          <w:rFonts w:ascii="仿宋_GB2312" w:eastAsia="仿宋_GB2312" w:cs="仿宋_GB2312" w:hint="eastAsia"/>
          <w:sz w:val="32"/>
          <w:szCs w:val="32"/>
          <w:lang w:bidi="ar-SA"/>
          <w:highlight w:val="auto"/>
        </w:rPr>
        <w:t>出决算</w:t>
      </w:r>
      <w:bookmarkEnd w:id="777"/>
      <w:r>
        <w:rPr>
          <w:rFonts w:ascii="仿宋_GB2312" w:eastAsia="仿宋_GB2312" w:cs="仿宋_GB2312" w:hint="eastAsia"/>
          <w:sz w:val="32"/>
          <w:szCs w:val="32"/>
          <w:lang w:bidi="ar-SA"/>
          <w:highlight w:val="auto"/>
        </w:rPr>
        <w:t>表</w:t>
      </w:r>
      <w:bookmarkEnd w:id="770"/>
      <w:bookmarkEnd w:id="771"/>
      <w:bookmarkEnd w:id="772"/>
      <w:bookmarkEnd w:id="773"/>
      <w:bookmarkEnd w:id="774"/>
      <w:bookmarkEnd w:id="775"/>
      <w:bookmarkEnd w:id="776"/>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ascii="仿宋_GB2312" w:eastAsia="仿宋_GB2312" w:cs="仿宋_GB2312" w:hint="eastAsia"/>
          <w:sz w:val="32"/>
          <w:szCs w:val="32"/>
          <w:lang w:bidi="ar-SA"/>
          <w:highlight w:val="auto"/>
        </w:rPr>
      </w:pPr>
      <w:bookmarkStart w:id="778" w:name="_Toc88111060"/>
      <w:bookmarkStart w:id="779" w:name="_Toc55224415"/>
      <w:bookmarkStart w:id="780" w:name="_Toc55224367"/>
      <w:bookmarkStart w:id="781" w:name="_Toc55224505"/>
      <w:bookmarkStart w:id="782" w:name="_Toc55224701"/>
      <w:bookmarkStart w:id="783" w:name="_Toc55224271"/>
      <w:bookmarkStart w:id="784" w:name="_Toc55224603"/>
      <w:r>
        <w:rPr>
          <w:rFonts w:ascii="仿宋_GB2312" w:eastAsia="仿宋_GB2312" w:cs="仿宋_GB2312" w:hint="eastAsia"/>
          <w:sz w:val="32"/>
          <w:szCs w:val="32"/>
          <w:lang w:bidi="ar-SA"/>
          <w:highlight w:val="auto"/>
        </w:rPr>
        <w:t>十三、财政拨款“三公”经费支出决算表</w:t>
      </w:r>
      <w:bookmarkEnd w:id="778"/>
      <w:bookmarkEnd w:id="779"/>
      <w:bookmarkEnd w:id="780"/>
      <w:bookmarkEnd w:id="781"/>
      <w:bookmarkEnd w:id="782"/>
      <w:bookmarkEnd w:id="783"/>
      <w:bookmarkEnd w:id="784"/>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eastAsia="黑体" w:hint="eastAsia"/>
          <w:sz w:val="32"/>
          <w:szCs w:val="32"/>
        </w:rPr>
      </w:pPr>
    </w:p>
    <w:p>
      <w:pPr>
        <w:pStyle w:val="37"/>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eastAsia="黑体" w:hint="eastAsia"/>
          <w:sz w:val="32"/>
          <w:szCs w:val="32"/>
        </w:rPr>
      </w:pPr>
    </w:p>
    <w:sectPr>
      <w:footerReference w:type="default" r:id="rId2"/>
      <w:pgSz w:w="11907" w:h="16840"/>
      <w:pgMar w:top="2098" w:right="1474" w:bottom="1985" w:left="1588" w:header="851" w:footer="992" w:gutter="0"/>
      <w:pgNumType w:fmt="numberInDash" w:start="1"/>
      <w:titlePg/>
      <w:docGrid w:type="lines" w:linePitch="576" w:charSpace="0"/>
    </w:sectPr>
  </w:body>
</w:document>
</file>

<file path=word/fontTable.xml><?xml version="1.0" encoding="utf-8"?>
<w:fonts xmlns:w="http://schemas.openxmlformats.org/wordprocessingml/2006/main" xmlns:r="http://schemas.openxmlformats.org/officeDocument/2006/relationships">
  <w:font w:name="Times New Roman">
    <w:altName w:val="DejaVu Sans"/>
    <w:panose1 w:val="02020603050405020304"/>
    <w:charset w:val="00"/>
    <w:family w:val="roman"/>
    <w:pitch w:val="variable"/>
    <w:sig w:usb0="20007A87" w:usb1="80000000" w:usb2="00000008" w:usb3="00000000" w:csb0="000001FF" w:csb1="00000000"/>
  </w:font>
  <w:font w:name="方正小标宋简体">
    <w:panose1 w:val="03000509000000000000"/>
    <w:charset w:val="86"/>
    <w:family w:val="auto"/>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仿宋_GB2312">
    <w:panose1 w:val="02010609030101010101"/>
    <w:charset w:val="86"/>
    <w:family w:val="auto"/>
    <w:pitch w:val="variable"/>
    <w:sig w:usb0="00000001" w:usb1="080E0000" w:usb2="00000000" w:usb3="00000000" w:csb0="00040000" w:csb1="00000000"/>
  </w:font>
  <w:font w:name="楷体_GB2312">
    <w:panose1 w:val="02010609030101010101"/>
    <w:charset w:val="86"/>
    <w:family w:val="auto"/>
    <w:pitch w:val="variable"/>
    <w:sig w:usb0="00000001" w:usb1="080E0000" w:usb2="00000000" w:usb3="00000000" w:csb0="00040000" w:csb1="00000000"/>
  </w:font>
  <w:font w:name="仿宋">
    <w:altName w:val="仿宋_GB2312"/>
    <w:panose1 w:val="02010609060101010101"/>
    <w:charset w:val="00"/>
    <w:family w:val="auto"/>
    <w:pitch w:val="variable"/>
    <w:sig w:usb0="800002BF" w:usb1="38CF7CFA" w:usb2="00000016" w:usb3="00000000" w:csb0="00040001" w:csb1="00000000"/>
  </w:font>
  <w:font w:name="Arial">
    <w:altName w:val="DejaVu Sans"/>
    <w:panose1 w:val="020B0604020202020204"/>
    <w:charset w:val="01"/>
    <w:family w:val="swiss"/>
    <w:pitch w:val="variable"/>
    <w:sig w:usb0="E0002AFF" w:usb1="C0007843" w:usb2="00000009" w:usb3="00000000" w:csb0="400001FF" w:csb1="FFFF0000"/>
  </w:font>
  <w:font w:name="Wingdings 2">
    <w:panose1 w:val="05020102010507070707"/>
    <w:charset w:val="00"/>
    <w:family w:val="auto"/>
    <w:pitch w:val="variable"/>
    <w:sig w:usb0="00000000" w:usb1="00000000" w:usb2="00000000" w:usb3="00000000" w:csb0="80000000" w:csb1="00000000"/>
  </w:font>
  <w:font w:name="微软雅黑">
    <w:altName w:val="黑体"/>
    <w:panose1 w:val="020B0503020204020204"/>
    <w:charset w:val="00"/>
    <w:family w:val="auto"/>
    <w:pitch w:val="variable"/>
    <w:sig w:usb0="80000287" w:usb1="2ACF3C50" w:usb2="00000016" w:usb3="00000000" w:csb0="0004001F" w:csb1="00000000"/>
  </w:font>
  <w:font w:name="宋体">
    <w:altName w:val="方正书宋_GBK"/>
    <w:panose1 w:val="02010600030101010101"/>
    <w:charset w:val="00"/>
    <w:family w:val="auto"/>
    <w:pitch w:val="variable"/>
    <w:sig w:usb0="00000003" w:usb1="080E0000" w:usb2="00000000" w:usb3="00000000" w:csb0="00040001" w:csb1="00000000"/>
  </w:font>
  <w:font w:name="Cambria">
    <w:altName w:val="FreeSerif"/>
    <w:panose1 w:val="02040503050406030204"/>
    <w:charset w:val="00"/>
    <w:family w:val="auto"/>
    <w:pitch w:val="variable"/>
    <w:sig w:usb0="E00006FF" w:usb1="420024FF" w:usb2="02000000" w:usb3="00000000" w:csb0="2000019F" w:csb1="00000000"/>
  </w:font>
  <w:font w:name="Calibri">
    <w:altName w:val="DejaVu Sans"/>
    <w:panose1 w:val="020F0502020204030204"/>
    <w:charset w:val="00"/>
    <w:family w:val="swiss"/>
    <w:pitch w:val="variable"/>
    <w:sig w:usb0="00000000" w:usb1="00000000" w:usb2="00000001" w:usb3="00000000" w:csb0="0000019F" w:csb1="00000000"/>
  </w:font>
  <w:font w:name="Courier New">
    <w:altName w:val="DejaVu Sans"/>
    <w:panose1 w:val="02070309020205020404"/>
    <w:charset w:val="01"/>
    <w:family w:val="modern"/>
    <w:pitch w:val="variable"/>
    <w:sig w:usb0="E0002AFF" w:usb1="C0007843" w:usb2="00000009" w:usb3="00000000" w:csb0="400001FF" w:csb1="FFFF0000"/>
  </w:font>
  <w:font w:name="??">
    <w:altName w:val="文泉驿微米黑"/>
    <w:panose1 w:val="00000000000000000000"/>
    <w:charset w:val="00"/>
    <w:family w:val="auto"/>
    <w:pitch w:val="variable"/>
    <w:sig w:usb0="00000000" w:usb1="00000000" w:usb2="00000000"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5"/>
      <w:tabs>
        <w:tab w:val="center" w:pos="4153"/>
        <w:tab w:val="right" w:pos="8306"/>
      </w:tabs>
      <w:jc w:val="center"/>
    </w:pPr>
  </w:p>
  <w:p>
    <w:pPr>
      <w:pStyle w:val="25"/>
      <w:tabs>
        <w:tab w:val="center" w:pos="4153"/>
        <w:tab w:val="right" w:pos="8306"/>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20"/>
  <w:displayBackgroundShape/>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useAltKinsokuLineBreakRules/>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6"/>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jc w:val="both"/>
      <w:outlineLvl w:val="0"/>
    </w:pPr>
    <w:rPr>
      <w:rFonts w:ascii="Times New Roman" w:eastAsia="宋体" w:cs="Times New Roman" w:hAnsi="Times New Roman"/>
      <w:b/>
      <w:bCs/>
      <w:kern w:val="44"/>
      <w:sz w:val="44"/>
      <w:szCs w:val="44"/>
      <w:lang w:val="en-US" w:eastAsia="zh-CN" w:bidi="ar-SA"/>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jc w:val="both"/>
      <w:outlineLvl w:val="1"/>
    </w:pPr>
    <w:rPr>
      <w:rFonts w:ascii="Cambria" w:eastAsia="宋体" w:cs="Times New Roman" w:hAnsi="Cambria"/>
      <w:b/>
      <w:bCs/>
      <w:kern w:val="2"/>
      <w:sz w:val="32"/>
      <w:szCs w:val="32"/>
      <w:lang w:val="en-US" w:eastAsia="zh-CN" w:bidi="ar-SA"/>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Body Text Indent"/>
    <w:basedOn w:val="0"/>
    <w:next w:val="16"/>
    <w:pPr>
      <w:spacing w:after="120"/>
      <w:ind w:leftChars="200" w:left="200"/>
    </w:pPr>
    <w:rPr>
      <w:rFonts w:ascii="仿宋_GB2312" w:hAnsi="仿宋_GB2312"/>
      <w:szCs w:val="32"/>
    </w:rPr>
  </w:style>
  <w:style w:type="paragraph" w:styleId="16">
    <w:name w:val="Body Text First Indent 2"/>
    <w:basedOn w:val="15"/>
    <w:next w:val="0"/>
    <w:pPr>
      <w:widowControl w:val="0"/>
      <w:spacing w:after="120"/>
      <w:ind w:leftChars="200" w:left="200" w:firstLineChars="200" w:firstLine="200"/>
      <w:jc w:val="both"/>
    </w:pPr>
    <w:rPr>
      <w:rFonts w:ascii="仿宋_GB2312" w:eastAsia="宋体" w:cs="Times New Roman" w:hAnsi="仿宋_GB2312"/>
      <w:kern w:val="2"/>
      <w:sz w:val="21"/>
      <w:szCs w:val="32"/>
      <w:lang w:val="en-US" w:eastAsia="zh-CN" w:bidi="ar-SA"/>
    </w:rPr>
  </w:style>
  <w:style w:type="paragraph" w:styleId="17">
    <w:name w:val="toc 7"/>
    <w:pPr>
      <w:ind w:left="1260"/>
      <w:jc w:val="left"/>
    </w:pPr>
    <w:rPr>
      <w:rFonts w:ascii="Times New Roman" w:eastAsia="黑体" w:cs="Times New Roman" w:hAnsi="Times New Roman"/>
      <w:sz w:val="18"/>
      <w:szCs w:val="20"/>
      <w:lang w:val="en-US" w:eastAsia="zh-CN"/>
    </w:rPr>
  </w:style>
  <w:style w:type="paragraph" w:styleId="18">
    <w:name w:val="caption"/>
    <w:basedOn w:val="0"/>
    <w:next w:val="0"/>
    <w:rPr>
      <w:rFonts w:ascii="Arial" w:eastAsia="黑体" w:hAnsi="Arial"/>
      <w:b/>
      <w:sz w:val="20"/>
    </w:rPr>
  </w:style>
  <w:style w:type="paragraph" w:styleId="19">
    <w:name w:val="index 5"/>
    <w:basedOn w:val="0"/>
    <w:next w:val="0"/>
    <w:pPr>
      <w:widowControl w:val="0"/>
      <w:suppressAutoHyphens/>
      <w:bidi w:val="0"/>
      <w:ind w:left="1680"/>
      <w:jc w:val="center"/>
    </w:pPr>
    <w:rPr>
      <w:rFonts w:ascii="Times New Roman" w:eastAsia="仿宋_GB2312" w:cs="Times New Roman" w:hAnsi="Times New Roman"/>
      <w:color w:val="auto"/>
      <w:kern w:val="2"/>
      <w:sz w:val="32"/>
      <w:szCs w:val="32"/>
      <w:lang w:val="en-US" w:eastAsia="zh-CN" w:bidi="ar-SA"/>
    </w:rPr>
  </w:style>
  <w:style w:type="paragraph" w:styleId="20">
    <w:name w:val="annotation text"/>
    <w:basedOn w:val="0"/>
    <w:pPr>
      <w:jc w:val="left"/>
    </w:pPr>
  </w:style>
  <w:style w:type="paragraph" w:styleId="21">
    <w:name w:val="Body Text"/>
    <w:basedOn w:val="0"/>
    <w:next w:val="0"/>
    <w:pPr>
      <w:widowControl w:val="0"/>
      <w:spacing w:beforeLines="30" w:before="30"/>
      <w:jc w:val="both"/>
    </w:pPr>
    <w:rPr>
      <w:rFonts w:ascii="仿宋_GB2312" w:eastAsia="仿宋_GB2312" w:cs="Times New Roman"/>
      <w:kern w:val="0"/>
      <w:sz w:val="30"/>
      <w:szCs w:val="24"/>
      <w:lang w:val="en-US" w:eastAsia="zh-CN" w:bidi="ar-SA"/>
    </w:rPr>
  </w:style>
  <w:style w:type="paragraph" w:styleId="22">
    <w:name w:val="toc 5"/>
    <w:pPr>
      <w:ind w:left="840"/>
      <w:jc w:val="left"/>
    </w:pPr>
    <w:rPr>
      <w:rFonts w:ascii="Times New Roman" w:eastAsia="黑体" w:cs="Times New Roman" w:hAnsi="Times New Roman"/>
      <w:sz w:val="18"/>
      <w:szCs w:val="20"/>
      <w:lang w:val="en-US" w:eastAsia="zh-CN"/>
    </w:rPr>
  </w:style>
  <w:style w:type="paragraph" w:styleId="23">
    <w:name w:val="toc 3"/>
    <w:pPr>
      <w:ind w:left="420"/>
      <w:jc w:val="left"/>
    </w:pPr>
    <w:rPr>
      <w:rFonts w:ascii="Times New Roman" w:eastAsia="黑体" w:cs="Times New Roman" w:hAnsi="Times New Roman"/>
      <w:i/>
      <w:sz w:val="20"/>
      <w:szCs w:val="20"/>
      <w:lang w:val="en-US" w:eastAsia="zh-CN"/>
    </w:rPr>
  </w:style>
  <w:style w:type="paragraph" w:styleId="24">
    <w:name w:val="toc 8"/>
    <w:pPr>
      <w:ind w:left="1470"/>
      <w:jc w:val="left"/>
    </w:pPr>
    <w:rPr>
      <w:rFonts w:ascii="Times New Roman" w:eastAsia="黑体" w:cs="Times New Roman" w:hAnsi="Times New Roman"/>
      <w:sz w:val="18"/>
      <w:szCs w:val="20"/>
      <w:lang w:val="en-US" w:eastAsia="zh-CN"/>
    </w:rPr>
  </w:style>
  <w:style w:type="paragraph" w:styleId="25">
    <w:name w:val="footer"/>
    <w:basedOn w:val="0"/>
    <w:next w:val="26"/>
    <w:pPr>
      <w:widowControl w:val="0"/>
      <w:tabs>
        <w:tab w:val="center" w:pos="4153"/>
        <w:tab w:val="right" w:pos="8306"/>
      </w:tabs>
      <w:snapToGrid w:val="0"/>
      <w:jc w:val="left"/>
    </w:pPr>
    <w:rPr>
      <w:rFonts w:ascii="Calibri" w:eastAsia="宋体" w:cs="Times New Roman" w:hAnsi="Calibri"/>
      <w:kern w:val="0"/>
      <w:sz w:val="18"/>
      <w:szCs w:val="18"/>
      <w:lang w:val="en-US" w:eastAsia="zh-CN" w:bidi="ar-SA"/>
    </w:rPr>
  </w:style>
  <w:style w:type="paragraph" w:styleId="26">
    <w:name w:val="toc 2"/>
    <w:pPr>
      <w:ind w:left="210"/>
      <w:jc w:val="left"/>
    </w:pPr>
    <w:rPr>
      <w:rFonts w:ascii="Times New Roman" w:eastAsia="黑体" w:cs="Times New Roman" w:hAnsi="Times New Roman"/>
      <w:caps w:val="0"/>
      <w:smallCaps/>
      <w:sz w:val="20"/>
      <w:szCs w:val="20"/>
      <w:lang w:val="en-US" w:eastAsia="zh-CN"/>
    </w:rPr>
  </w:style>
  <w:style w:type="paragraph" w:styleId="27">
    <w:name w:val="header"/>
    <w:basedOn w:val="0"/>
    <w:next w:val="23"/>
    <w:pPr>
      <w:widowControl w:val="0"/>
      <w:pBdr>
        <w:bottom w:val="single" w:sz="6" w:space="1" w:color="auto"/>
      </w:pBdr>
      <w:tabs>
        <w:tab w:val="center" w:pos="4153"/>
        <w:tab w:val="right" w:pos="8306"/>
      </w:tabs>
      <w:snapToGrid w:val="0"/>
      <w:jc w:val="center"/>
    </w:pPr>
    <w:rPr>
      <w:rFonts w:ascii="Calibri" w:eastAsia="宋体" w:cs="Times New Roman" w:hAnsi="Calibri"/>
      <w:kern w:val="0"/>
      <w:sz w:val="18"/>
      <w:szCs w:val="18"/>
      <w:lang w:val="en-US" w:eastAsia="zh-CN" w:bidi="ar-SA"/>
    </w:rPr>
  </w:style>
  <w:style w:type="paragraph" w:styleId="28">
    <w:name w:val="toc 1"/>
    <w:pPr>
      <w:spacing w:before="120" w:after="120"/>
      <w:ind w:left="0"/>
      <w:jc w:val="left"/>
    </w:pPr>
    <w:rPr>
      <w:rFonts w:ascii="Times New Roman" w:eastAsia="黑体" w:cs="Times New Roman" w:hAnsi="Times New Roman"/>
      <w:caps/>
      <w:smallCaps w:val="0"/>
      <w:sz w:val="20"/>
      <w:szCs w:val="20"/>
      <w:lang w:val="en-US" w:eastAsia="zh-CN"/>
    </w:rPr>
  </w:style>
  <w:style w:type="paragraph" w:styleId="29">
    <w:name w:val="toc 4"/>
    <w:pPr>
      <w:ind w:left="630"/>
      <w:jc w:val="left"/>
    </w:pPr>
    <w:rPr>
      <w:rFonts w:ascii="Times New Roman" w:eastAsia="黑体" w:cs="Times New Roman" w:hAnsi="Times New Roman"/>
      <w:sz w:val="18"/>
      <w:szCs w:val="20"/>
      <w:lang w:val="en-US" w:eastAsia="zh-CN"/>
    </w:rPr>
  </w:style>
  <w:style w:type="paragraph" w:styleId="30">
    <w:name w:val="footnote text"/>
    <w:basedOn w:val="0"/>
    <w:next w:val="31"/>
    <w:pPr>
      <w:widowControl w:val="0"/>
      <w:snapToGrid w:val="0"/>
      <w:jc w:val="left"/>
    </w:pPr>
    <w:rPr>
      <w:rFonts w:ascii="Times New Roman" w:eastAsia="宋体" w:cs="Times New Roman" w:hAnsi="Times New Roman"/>
      <w:kern w:val="2"/>
      <w:sz w:val="18"/>
      <w:szCs w:val="18"/>
      <w:lang w:val="en-US" w:eastAsia="zh-CN" w:bidi="ar-SA"/>
    </w:rPr>
  </w:style>
  <w:style w:type="paragraph" w:styleId="31">
    <w:name w:val="index 7"/>
    <w:basedOn w:val="0"/>
    <w:next w:val="0"/>
    <w:pPr>
      <w:ind w:left="2520"/>
    </w:pPr>
  </w:style>
  <w:style w:type="paragraph" w:styleId="32">
    <w:name w:val="toc 6"/>
    <w:pPr>
      <w:ind w:left="1050"/>
      <w:jc w:val="left"/>
    </w:pPr>
    <w:rPr>
      <w:rFonts w:ascii="Times New Roman" w:eastAsia="黑体" w:cs="Times New Roman" w:hAnsi="Times New Roman"/>
      <w:sz w:val="18"/>
      <w:szCs w:val="20"/>
      <w:lang w:val="en-US" w:eastAsia="zh-CN"/>
    </w:rPr>
  </w:style>
  <w:style w:type="paragraph" w:styleId="33">
    <w:name w:val="toc 9"/>
    <w:pPr>
      <w:ind w:left="1680"/>
      <w:jc w:val="left"/>
    </w:pPr>
    <w:rPr>
      <w:rFonts w:ascii="Times New Roman" w:eastAsia="黑体" w:cs="Times New Roman" w:hAnsi="Times New Roman"/>
      <w:sz w:val="18"/>
      <w:szCs w:val="20"/>
      <w:lang w:val="en-US" w:eastAsia="zh-CN"/>
    </w:rPr>
  </w:style>
  <w:style w:type="paragraph" w:styleId="34">
    <w:name w:val="HTML Preformatted"/>
    <w:basedOn w:val="0"/>
    <w:rPr>
      <w:rFonts w:ascii="Courier New" w:hAnsi="Courier New"/>
      <w:sz w:val="20"/>
    </w:rPr>
  </w:style>
  <w:style w:type="paragraph" w:styleId="35">
    <w:name w:val="Normal (Web)"/>
    <w:basedOn w:val="0"/>
    <w:next w:val="26"/>
    <w:pPr>
      <w:widowControl w:val="0"/>
      <w:spacing w:before="100" w:beforeAutospacing="1" w:after="100" w:afterAutospacing="1"/>
      <w:ind w:left="0" w:right="0"/>
      <w:jc w:val="left"/>
    </w:pPr>
    <w:rPr>
      <w:rFonts w:ascii="Times New Roman" w:eastAsia="仿宋_GB2312" w:cs="Times New Roman" w:hAnsi="Times New Roman"/>
      <w:kern w:val="0"/>
      <w:sz w:val="24"/>
      <w:szCs w:val="32"/>
      <w:lang w:val="en-US" w:eastAsia="zh-CN" w:bidi="ar-SA"/>
    </w:rPr>
  </w:style>
  <w:style w:type="character" w:styleId="36">
    <w:name w:val="Strong"/>
    <w:rPr>
      <w:rFonts w:ascii="Times New Roman" w:eastAsia="宋体" w:cs="Times New Roman" w:hAnsi="Times New Roman"/>
      <w:b/>
      <w:kern w:val="2"/>
      <w:sz w:val="21"/>
      <w:szCs w:val="24"/>
      <w:lang w:val="en-US" w:eastAsia="zh-CN" w:bidi="ar-SA"/>
    </w:rPr>
  </w:style>
  <w:style w:type="paragraph" w:customStyle="1" w:styleId="37">
    <w:name w:val="浅色列表1"/>
    <w:basedOn w:val="0"/>
    <w:next w:val="27"/>
    <w:pPr>
      <w:widowControl w:val="0"/>
      <w:ind w:firstLineChars="200" w:firstLine="200"/>
      <w:jc w:val="both"/>
    </w:pPr>
    <w:rPr>
      <w:rFonts w:ascii="Times New Roman" w:eastAsia="宋体" w:cs="Times New Roman" w:hAnsi="Times New Roman"/>
      <w:kern w:val="2"/>
      <w:sz w:val="21"/>
      <w:szCs w:val="24"/>
      <w:lang w:val="en-US" w:eastAsia="zh-CN" w:bidi="ar-SA"/>
    </w:rPr>
  </w:style>
  <w:style w:type="paragraph" w:customStyle="1" w:styleId="38">
    <w:name w:val="标题 5（有编号）（绿盟科技）"/>
    <w:pPr>
      <w:keepNext/>
      <w:keepLines/>
      <w:widowControl w:val="0"/>
      <w:spacing w:before="280" w:after="156" w:line="377" w:lineRule="auto"/>
      <w:jc w:val="left"/>
      <w:outlineLvl w:val="4"/>
    </w:pPr>
    <w:rPr>
      <w:rFonts w:ascii="Arial" w:eastAsia="黑体" w:cs="Times New Roman" w:hAnsi="Arial"/>
      <w:b/>
      <w:kern w:val="2"/>
      <w:sz w:val="24"/>
      <w:szCs w:val="28"/>
      <w:lang w:val="en-US" w:eastAsia="zh-CN" w:bidi="ar-SA"/>
    </w:rPr>
  </w:style>
  <w:style w:type="paragraph" w:customStyle="1" w:styleId="39">
    <w:name w:val="Default"/>
    <w:pPr>
      <w:widowControl w:val="0"/>
      <w:autoSpaceDE w:val="0"/>
      <w:autoSpaceDN w:val="0"/>
      <w:adjustRightInd w:val="0"/>
    </w:pPr>
    <w:rPr>
      <w:rFonts w:ascii="仿宋" w:eastAsia="仿宋" w:cs="仿宋"/>
      <w:color w:val="000000"/>
      <w:sz w:val="24"/>
      <w:szCs w:val="24"/>
      <w:lang w:val="en-US" w:eastAsia="zh-CN" w:bidi="ar-SA"/>
    </w:rPr>
  </w:style>
  <w:style w:type="paragraph" w:customStyle="1" w:styleId="40">
    <w:name w:val="四号正文"/>
    <w:basedOn w:val="0"/>
    <w:pPr>
      <w:widowControl w:val="0"/>
      <w:spacing w:line="360" w:lineRule="auto"/>
      <w:jc w:val="both"/>
    </w:pPr>
    <w:rPr>
      <w:rFonts w:ascii="??" w:eastAsia="宋体" w:cs="Times New Roman" w:hAnsi="??"/>
      <w:color w:val="000000"/>
      <w:kern w:val="0"/>
      <w:sz w:val="28"/>
      <w:szCs w:val="21"/>
      <w:lang w:val="zh-CN"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image" Target="media/2.emf"/><Relationship Id="rId4" Type="http://schemas.openxmlformats.org/officeDocument/2006/relationships/image" Target="media/5.emf"/><Relationship Id="rId5" Type="http://schemas.openxmlformats.org/officeDocument/2006/relationships/image" Target="media/8.emf"/><Relationship Id="rId6" Type="http://schemas.openxmlformats.org/officeDocument/2006/relationships/image" Target="media/11.emf"/><Relationship Id="rId7" Type="http://schemas.openxmlformats.org/officeDocument/2006/relationships/image" Target="media/14.emf"/><Relationship Id="rId8" Type="http://schemas.openxmlformats.org/officeDocument/2006/relationships/image" Target="media/17.emf"/><Relationship Id="rId9" Type="http://schemas.openxmlformats.org/officeDocument/2006/relationships/image" Target="media/20.emf"/><Relationship Id="rId10" Type="http://schemas.openxmlformats.org/officeDocument/2006/relationships/styles" Target="styles.xml"/><Relationship Id="rId11" Type="http://schemas.openxmlformats.org/officeDocument/2006/relationships/fontTable" Target="fontTable.xml"/></Relationships>
</file>

<file path=docProps/app.xml><?xml version="1.0" encoding="utf-8"?>
<Properties xmlns="http://schemas.openxmlformats.org/officeDocument/2006/extended-properties">
  <Template>Normal.eit</Template>
  <TotalTime>11</TotalTime>
  <Application>Yozo_Office27021597764231179</Application>
  <Pages>30</Pages>
  <Words>9940</Words>
  <Characters>10794</Characters>
  <Lines>1097</Lines>
  <Paragraphs>695</Paragraphs>
  <CharactersWithSpaces>10985</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Cynthia</dc:creator>
  <cp:lastModifiedBy>user</cp:lastModifiedBy>
  <cp:revision>47</cp:revision>
  <cp:lastPrinted>2026-09-05T12:05:32Z</cp:lastPrinted>
  <dcterms:created xsi:type="dcterms:W3CDTF">2021-02-09T16:22:00Z</dcterms:created>
  <dcterms:modified xsi:type="dcterms:W3CDTF">2026-09-08T01:07:57Z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TemplateDocerSaveRecord">
    <vt:lpwstr>eyJoZGlkIjoiMGY2ZjE0ZDZhMmY0NDg0YTdiODI5Y2FlZDk3NzNhMmUiLCJ1c2VySWQiOiI4NDI1MTcxMzMifQ==</vt:lpwstr>
  </property>
  <property fmtid="{D5CDD505-2E9C-101B-9397-08002B2CF9AE}" pid="3" name="KSOProductBuildVer">
    <vt:lpwstr>2052-11.1.0.10702</vt:lpwstr>
  </property>
  <property fmtid="{D5CDD505-2E9C-101B-9397-08002B2CF9AE}" pid="4" name="ICV">
    <vt:lpwstr>55249CD65BFB442399C36732FEC0F1E1_12</vt:lpwstr>
  </property>
</Properties>
</file>