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974F2">
      <w:pPr>
        <w:pStyle w:val="9"/>
        <w:jc w:val="both"/>
        <w:rPr>
          <w:rFonts w:hint="eastAsia" w:ascii="Times New Roman" w:hAnsi="Times New Roman" w:eastAsia="方正小标宋简体" w:cs="Times New Roman"/>
          <w:color w:val="auto"/>
          <w:kern w:val="2"/>
          <w:sz w:val="30"/>
          <w:szCs w:val="44"/>
          <w:highlight w:val="none"/>
          <w:lang w:val="en-US" w:eastAsia="zh-CN" w:bidi="ar-SA"/>
        </w:rPr>
      </w:pPr>
      <w:bookmarkStart w:id="0" w:name="_Toc15378441"/>
      <w:bookmarkStart w:id="1" w:name="_Toc15377425"/>
      <w:bookmarkStart w:id="2" w:name="_Toc15396475"/>
      <w:bookmarkStart w:id="3" w:name="_Toc15377193"/>
      <w:bookmarkStart w:id="4" w:name="_Toc15396597"/>
      <w:bookmarkStart w:id="5" w:name="_Toc15306267"/>
    </w:p>
    <w:p w14:paraId="4BA880B6">
      <w:pPr>
        <w:pStyle w:val="9"/>
        <w:jc w:val="both"/>
        <w:rPr>
          <w:rFonts w:hint="eastAsia" w:ascii="Times New Roman" w:hAnsi="Times New Roman" w:eastAsia="方正小标宋简体" w:cs="Times New Roman"/>
          <w:color w:val="auto"/>
          <w:kern w:val="2"/>
          <w:sz w:val="30"/>
          <w:szCs w:val="44"/>
          <w:highlight w:val="none"/>
          <w:lang w:val="en-US" w:eastAsia="zh-CN" w:bidi="ar-SA"/>
        </w:rPr>
      </w:pPr>
    </w:p>
    <w:bookmarkEnd w:id="0"/>
    <w:bookmarkEnd w:id="1"/>
    <w:bookmarkEnd w:id="2"/>
    <w:bookmarkEnd w:id="3"/>
    <w:bookmarkEnd w:id="4"/>
    <w:p w14:paraId="53AA1147">
      <w:pPr>
        <w:pStyle w:val="9"/>
        <w:jc w:val="center"/>
        <w:rPr>
          <w:rFonts w:hint="eastAsia" w:ascii="Times New Roman" w:hAnsi="Times New Roman" w:eastAsia="方正小标宋简体" w:cs="Times New Roman"/>
          <w:color w:val="auto"/>
          <w:kern w:val="2"/>
          <w:sz w:val="44"/>
          <w:szCs w:val="44"/>
          <w:highlight w:val="none"/>
          <w:lang w:val="en-US" w:eastAsia="zh-CN" w:bidi="ar-SA"/>
        </w:rPr>
        <w:sectPr>
          <w:footerReference r:id="rId5" w:type="first"/>
          <w:headerReference r:id="rId3" w:type="default"/>
          <w:footerReference r:id="rId4" w:type="default"/>
          <w:pgSz w:w="11906" w:h="16838"/>
          <w:pgMar w:top="1440" w:right="1800" w:bottom="1440" w:left="1800" w:header="851" w:footer="992" w:gutter="0"/>
          <w:pgNumType w:start="1"/>
          <w:cols w:space="720" w:num="1"/>
          <w:titlePg/>
          <w:docGrid w:type="lines" w:linePitch="312" w:charSpace="0"/>
        </w:sectPr>
      </w:pPr>
      <w:bookmarkStart w:id="6" w:name="_Toc15377426"/>
      <w:bookmarkStart w:id="7" w:name="_Toc15396598"/>
      <w:bookmarkStart w:id="8" w:name="_Toc15378442"/>
      <w:bookmarkStart w:id="9" w:name="_Toc15377194"/>
      <w:bookmarkStart w:id="10" w:name="_Toc15396476"/>
      <w:r>
        <w:rPr>
          <w:rFonts w:hint="eastAsia" w:ascii="Times New Roman" w:hAnsi="Times New Roman" w:eastAsia="方正小标宋简体" w:cs="Times New Roman"/>
          <w:color w:val="auto"/>
          <w:kern w:val="2"/>
          <w:sz w:val="44"/>
          <w:szCs w:val="44"/>
          <w:highlight w:val="none"/>
          <w:lang w:val="en-US" w:eastAsia="zh-CN" w:bidi="ar-SA"/>
        </w:rPr>
        <w:t>2025年度四川省</w:t>
      </w:r>
      <w:bookmarkEnd w:id="5"/>
      <w:bookmarkStart w:id="11" w:name="_Toc15306268"/>
      <w:r>
        <w:rPr>
          <w:rFonts w:hint="eastAsia" w:ascii="Times New Roman" w:hAnsi="Times New Roman" w:eastAsia="方正小标宋简体" w:cs="Times New Roman"/>
          <w:color w:val="auto"/>
          <w:kern w:val="2"/>
          <w:sz w:val="44"/>
          <w:szCs w:val="44"/>
          <w:highlight w:val="none"/>
          <w:lang w:val="en-US" w:eastAsia="zh-CN" w:bidi="ar-SA"/>
        </w:rPr>
        <w:t>茂县统计局部门决算</w:t>
      </w:r>
      <w:bookmarkEnd w:id="6"/>
      <w:bookmarkEnd w:id="7"/>
      <w:bookmarkEnd w:id="8"/>
      <w:bookmarkEnd w:id="9"/>
      <w:bookmarkEnd w:id="10"/>
      <w:bookmarkEnd w:id="11"/>
    </w:p>
    <w:sdt>
      <w:sdtPr>
        <w:rPr>
          <w:rFonts w:ascii="宋体" w:eastAsia="宋体" w:cs="Times New Roman"/>
          <w:kern w:val="2"/>
          <w:sz w:val="21"/>
          <w:szCs w:val="24"/>
          <w:lang w:val="en-US" w:eastAsia="zh-CN" w:bidi="ar-SA"/>
        </w:rPr>
        <w:id w:val="2000106931"/>
        <w15:color w:val="DBDBDB"/>
        <w:docPartObj>
          <w:docPartGallery w:val="Table of Contents"/>
          <w:docPartUnique/>
        </w:docPartObj>
      </w:sdtPr>
      <w:sdtEndPr>
        <w:rPr>
          <w:rFonts w:hint="eastAsia" w:ascii="Times New Roman" w:hAnsi="Times New Roman" w:eastAsia="方正小标宋简体" w:cs="Times New Roman"/>
          <w:color w:val="auto"/>
          <w:kern w:val="2"/>
          <w:sz w:val="30"/>
          <w:szCs w:val="44"/>
          <w:lang w:val="en-US" w:eastAsia="zh-CN" w:bidi="ar-SA"/>
        </w:rPr>
      </w:sdtEndPr>
      <w:sdtContent>
        <w:p w14:paraId="7A229C35">
          <w:pPr>
            <w:spacing w:before="0" w:after="0" w:line="240" w:lineRule="auto"/>
            <w:ind w:left="0" w:right="0" w:firstLine="0"/>
            <w:jc w:val="center"/>
            <w:rPr>
              <w:rFonts w:hint="eastAsia"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70B1220B">
          <w:pPr>
            <w:widowControl/>
            <w:jc w:val="center"/>
            <w:rPr>
              <w:rFonts w:ascii="Times New Roman" w:hAnsi="Times New Roman" w:eastAsia="黑体" w:cs="Arial"/>
              <w:color w:val="auto"/>
              <w:sz w:val="28"/>
              <w:szCs w:val="28"/>
              <w:highlight w:val="none"/>
            </w:rPr>
          </w:pPr>
        </w:p>
        <w:p w14:paraId="10496FB6">
          <w:pPr>
            <w:pStyle w:val="14"/>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9</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4</w:t>
          </w:r>
          <w:r>
            <w:rPr>
              <w:rFonts w:hint="eastAsia" w:ascii="Times New Roman" w:hAnsi="Times New Roman" w:eastAsia="仿宋_GB2312" w:cs="仿宋_GB2312"/>
              <w:color w:val="auto"/>
              <w:sz w:val="32"/>
              <w:szCs w:val="32"/>
              <w:highlight w:val="none"/>
            </w:rPr>
            <w:t>日</w:t>
          </w:r>
        </w:p>
        <w:p w14:paraId="65D36223">
          <w:pPr>
            <w:pStyle w:val="2"/>
            <w:rPr>
              <w:rFonts w:hint="eastAsia"/>
            </w:rPr>
          </w:pPr>
        </w:p>
        <w:p w14:paraId="37A83068">
          <w:pPr>
            <w:pStyle w:val="2"/>
            <w:rPr>
              <w:rFonts w:hint="eastAsia"/>
            </w:rPr>
          </w:pPr>
        </w:p>
        <w:p w14:paraId="479C016E">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Times New Roman" w:hAnsi="Times New Roman" w:eastAsia="方正小标宋简体" w:cs="Times New Roman"/>
              <w:color w:val="auto"/>
              <w:kern w:val="2"/>
              <w:sz w:val="44"/>
              <w:szCs w:val="44"/>
              <w:highlight w:val="none"/>
              <w:lang w:val="en-US" w:eastAsia="zh-CN" w:bidi="ar-SA"/>
            </w:rPr>
            <w:fldChar w:fldCharType="begin"/>
          </w:r>
          <w:r>
            <w:rPr>
              <w:rFonts w:hint="eastAsia" w:ascii="Times New Roman" w:hAnsi="Times New Roman" w:eastAsia="方正小标宋简体" w:cs="Times New Roman"/>
              <w:color w:val="auto"/>
              <w:kern w:val="2"/>
              <w:sz w:val="44"/>
              <w:szCs w:val="44"/>
              <w:highlight w:val="none"/>
              <w:lang w:val="en-US" w:eastAsia="zh-CN" w:bidi="ar-SA"/>
            </w:rPr>
            <w:instrText xml:space="preserve">TOC \o "1-3" \h \u </w:instrText>
          </w:r>
          <w:r>
            <w:rPr>
              <w:rFonts w:hint="eastAsia" w:ascii="Times New Roman" w:hAnsi="Times New Roman" w:eastAsia="方正小标宋简体" w:cs="Times New Roman"/>
              <w:color w:val="auto"/>
              <w:kern w:val="2"/>
              <w:sz w:val="44"/>
              <w:szCs w:val="44"/>
              <w:highlight w:val="none"/>
              <w:lang w:val="en-US" w:eastAsia="zh-CN" w:bidi="ar-SA"/>
            </w:rPr>
            <w:fldChar w:fldCharType="separate"/>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_Toc13498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第一部分</w:t>
          </w:r>
          <w:r>
            <w:rPr>
              <w:rFonts w:hint="eastAsia" w:ascii="仿宋_GB2312" w:eastAsia="仿宋_GB2312" w:cs="仿宋_GB2312"/>
              <w:sz w:val="32"/>
              <w:szCs w:val="32"/>
              <w:highlight w:val="none"/>
              <w:lang w:val="en-US" w:eastAsia="zh-CN"/>
            </w:rPr>
            <w:t xml:space="preserve"> </w:t>
          </w:r>
          <w:r>
            <w:rPr>
              <w:rFonts w:hint="eastAsia" w:ascii="仿宋_GB2312" w:eastAsia="仿宋_GB2312" w:cs="仿宋_GB2312"/>
              <w:sz w:val="32"/>
              <w:szCs w:val="32"/>
              <w:highlight w:val="none"/>
            </w:rPr>
            <w:t xml:space="preserve"> </w:t>
          </w:r>
          <w:r>
            <w:rPr>
              <w:rFonts w:hint="eastAsia" w:ascii="仿宋_GB2312" w:eastAsia="仿宋_GB2312" w:cs="仿宋_GB2312"/>
              <w:bCs w:val="0"/>
              <w:sz w:val="32"/>
              <w:szCs w:val="32"/>
              <w:highlight w:val="none"/>
            </w:rPr>
            <w:t>部门概况</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_Toc13498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4</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25EE2445">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_Toc19644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lang w:eastAsia="zh-CN"/>
            </w:rPr>
            <w:t xml:space="preserve">一、 </w:t>
          </w:r>
          <w:r>
            <w:rPr>
              <w:rFonts w:hint="eastAsia" w:ascii="仿宋_GB2312" w:eastAsia="仿宋_GB2312" w:cs="仿宋_GB2312"/>
              <w:sz w:val="32"/>
              <w:szCs w:val="32"/>
              <w:highlight w:val="none"/>
              <w:lang w:eastAsia="zh-CN"/>
            </w:rPr>
            <w:t>部门职责</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_Toc19644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4</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65C2F9A1">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_Toc16147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二、机</w:t>
          </w:r>
          <w:r>
            <w:rPr>
              <w:rFonts w:hint="eastAsia" w:ascii="仿宋_GB2312" w:eastAsia="仿宋_GB2312" w:cs="仿宋_GB2312"/>
              <w:bCs w:val="0"/>
              <w:sz w:val="32"/>
              <w:szCs w:val="32"/>
              <w:highlight w:val="none"/>
            </w:rPr>
            <w:t>构设置</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_Toc16147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5</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02AB3BF2">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_Toc1831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第二部分</w:t>
          </w:r>
          <w:r>
            <w:rPr>
              <w:rFonts w:hint="eastAsia" w:ascii="仿宋_GB2312" w:eastAsia="仿宋_GB2312" w:cs="仿宋_GB2312"/>
              <w:sz w:val="32"/>
              <w:szCs w:val="32"/>
              <w:highlight w:val="none"/>
              <w:lang w:val="en-US" w:eastAsia="zh-CN"/>
            </w:rPr>
            <w:t xml:space="preserve"> </w:t>
          </w:r>
          <w:r>
            <w:rPr>
              <w:rFonts w:hint="eastAsia" w:ascii="仿宋_GB2312" w:eastAsia="仿宋_GB2312" w:cs="仿宋_GB2312"/>
              <w:sz w:val="32"/>
              <w:szCs w:val="32"/>
              <w:highlight w:val="none"/>
            </w:rPr>
            <w:t xml:space="preserve"> </w:t>
          </w:r>
          <w:r>
            <w:rPr>
              <w:rFonts w:hint="eastAsia" w:ascii="仿宋_GB2312" w:eastAsia="仿宋_GB2312" w:cs="仿宋_GB2312"/>
              <w:sz w:val="32"/>
              <w:szCs w:val="32"/>
              <w:highlight w:val="none"/>
              <w:lang w:val="en-US" w:eastAsia="zh-CN"/>
            </w:rPr>
            <w:t>2025年度</w:t>
          </w:r>
          <w:r>
            <w:rPr>
              <w:rFonts w:hint="eastAsia" w:ascii="仿宋_GB2312" w:eastAsia="仿宋_GB2312" w:cs="仿宋_GB2312"/>
              <w:sz w:val="32"/>
              <w:szCs w:val="32"/>
              <w:highlight w:val="none"/>
            </w:rPr>
            <w:t>部门决算情况说明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_Toc1831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6</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299CA5F7">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_Toc10007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lang w:eastAsia="zh-CN"/>
            </w:rPr>
            <w:t>一、</w:t>
          </w:r>
          <w:r>
            <w:rPr>
              <w:rFonts w:hint="eastAsia" w:ascii="仿宋_GB2312" w:eastAsia="仿宋_GB2312" w:cs="仿宋_GB2312"/>
              <w:sz w:val="32"/>
              <w:szCs w:val="32"/>
              <w:highlight w:val="none"/>
            </w:rPr>
            <w:t>收入支出决算总体情况说明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_Toc10007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6</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6C322A6D">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_Toc7793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lang w:eastAsia="zh-CN"/>
            </w:rPr>
            <w:t>二、收入决算情况说明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_Toc7793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6</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7BF5A965">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_Toc13265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lang w:eastAsia="zh-CN"/>
            </w:rPr>
            <w:t>三、</w:t>
          </w:r>
          <w:r>
            <w:rPr>
              <w:rFonts w:hint="eastAsia" w:ascii="仿宋_GB2312" w:eastAsia="仿宋_GB2312" w:cs="仿宋_GB2312"/>
              <w:sz w:val="32"/>
              <w:szCs w:val="32"/>
              <w:highlight w:val="none"/>
            </w:rPr>
            <w:t>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_Toc13265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7</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583E2C78">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_Toc16026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四、财政拨款收入支出决算总体情况说明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_Toc16026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7</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146B6A15">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_Toc17913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五、一般公共预算财政拨款支出决算情况说明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_Toc17913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8</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6D5BEC27">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_Toc28581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六、一般公共预算财政拨款基本支出决算情况说明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_Toc28581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11</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0F8BE867">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_Toc575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七、财政拨款“三公”经费支出决算情况说明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_Toc575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11</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1353A305">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_Toc16269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八、政府性基金预算支出决算情况说明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_Toc16269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12</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12468CD8">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_Toc32594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lang w:eastAsia="zh-CN"/>
            </w:rPr>
            <w:t>九、</w:t>
          </w:r>
          <w:r>
            <w:rPr>
              <w:rFonts w:hint="eastAsia" w:ascii="仿宋_GB2312" w:eastAsia="仿宋_GB2312" w:cs="仿宋_GB2312"/>
              <w:sz w:val="32"/>
              <w:szCs w:val="32"/>
              <w:highlight w:val="none"/>
            </w:rPr>
            <w:t>国有资本经营预算支出决算情况说明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_Toc32594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12</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433392A6">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color w:val="auto"/>
              <w:kern w:val="2"/>
              <w:sz w:val="32"/>
              <w:szCs w:val="32"/>
              <w:highlight w:val="none"/>
              <w:lang w:val="en-US" w:eastAsia="zh-CN" w:bidi="ar-SA"/>
            </w:rPr>
            <w:t xml:space="preserve">  </w:t>
          </w: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_Toc14120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lang w:eastAsia="zh-CN"/>
            </w:rPr>
            <w:t>十、</w:t>
          </w:r>
          <w:r>
            <w:rPr>
              <w:rFonts w:hint="eastAsia" w:ascii="仿宋_GB2312" w:eastAsia="仿宋_GB2312" w:cs="仿宋_GB2312"/>
              <w:sz w:val="32"/>
              <w:szCs w:val="32"/>
              <w:highlight w:val="none"/>
            </w:rPr>
            <w:t>其他重要事项的情况说明</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_Toc14120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13</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4E41A9A2">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_Toc30891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第</w:t>
          </w:r>
          <w:r>
            <w:rPr>
              <w:rFonts w:hint="eastAsia" w:ascii="仿宋_GB2312" w:eastAsia="仿宋_GB2312" w:cs="仿宋_GB2312"/>
              <w:sz w:val="32"/>
              <w:szCs w:val="32"/>
              <w:highlight w:val="none"/>
              <w:lang w:eastAsia="zh-CN"/>
            </w:rPr>
            <w:t>三</w:t>
          </w:r>
          <w:r>
            <w:rPr>
              <w:rFonts w:hint="eastAsia" w:ascii="仿宋_GB2312" w:eastAsia="仿宋_GB2312" w:cs="仿宋_GB2312"/>
              <w:sz w:val="32"/>
              <w:szCs w:val="32"/>
              <w:highlight w:val="none"/>
            </w:rPr>
            <w:t>部分</w:t>
          </w:r>
          <w:r>
            <w:rPr>
              <w:rFonts w:hint="eastAsia" w:ascii="仿宋_GB2312" w:eastAsia="仿宋_GB2312" w:cs="仿宋_GB2312"/>
              <w:sz w:val="32"/>
              <w:szCs w:val="32"/>
              <w:highlight w:val="none"/>
              <w:lang w:val="en-US" w:eastAsia="zh-CN"/>
            </w:rPr>
            <w:t xml:space="preserve">  </w:t>
          </w:r>
          <w:r>
            <w:rPr>
              <w:rFonts w:hint="eastAsia" w:ascii="仿宋_GB2312" w:eastAsia="仿宋_GB2312" w:cs="仿宋_GB2312"/>
              <w:sz w:val="32"/>
              <w:szCs w:val="32"/>
              <w:highlight w:val="none"/>
            </w:rPr>
            <w:t>名词解释</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_Toc30891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14</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6DF65EC5">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sz w:val="32"/>
              <w:szCs w:val="32"/>
            </w:rPr>
          </w:pP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_Toc29703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lang w:eastAsia="zh-CN"/>
            </w:rPr>
            <w:t>第四部分</w:t>
          </w:r>
          <w:r>
            <w:rPr>
              <w:rFonts w:hint="eastAsia" w:ascii="仿宋_GB2312" w:eastAsia="仿宋_GB2312" w:cs="仿宋_GB2312"/>
              <w:sz w:val="32"/>
              <w:szCs w:val="32"/>
              <w:highlight w:val="none"/>
              <w:lang w:val="en-US" w:eastAsia="zh-CN"/>
            </w:rPr>
            <w:t xml:space="preserve">  附件</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_Toc29703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17</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60E3A273">
          <w:pPr>
            <w:pStyle w:val="14"/>
            <w:keepNext w:val="0"/>
            <w:keepLines w:val="0"/>
            <w:pageBreakBefore w:val="0"/>
            <w:widowControl w:val="0"/>
            <w:tabs>
              <w:tab w:val="right" w:leader="dot" w:pos="8306"/>
              <w:tab w:val="clear" w:pos="8296"/>
            </w:tabs>
            <w:kinsoku/>
            <w:wordWrap/>
            <w:overflowPunct/>
            <w:topLinePunct w:val="0"/>
            <w:autoSpaceDE/>
            <w:autoSpaceDN/>
            <w:bidi w:val="0"/>
            <w:spacing w:line="560" w:lineRule="exact"/>
            <w:textAlignment w:val="auto"/>
            <w:rPr>
              <w:rFonts w:hint="eastAsia" w:ascii="仿宋_GB2312" w:eastAsia="仿宋_GB2312" w:cs="仿宋_GB2312"/>
              <w:color w:val="auto"/>
              <w:kern w:val="2"/>
              <w:sz w:val="32"/>
              <w:szCs w:val="32"/>
              <w:highlight w:val="none"/>
              <w:lang w:val="en-US" w:eastAsia="zh-CN" w:bidi="ar-SA"/>
            </w:rPr>
          </w:pPr>
          <w:r>
            <w:rPr>
              <w:rFonts w:hint="eastAsia" w:ascii="仿宋_GB2312" w:eastAsia="仿宋_GB2312" w:cs="仿宋_GB2312"/>
              <w:kern w:val="2"/>
              <w:sz w:val="32"/>
              <w:szCs w:val="32"/>
              <w:highlight w:val="none"/>
              <w:lang w:val="en-US" w:eastAsia="zh-CN" w:bidi="ar-SA"/>
            </w:rPr>
            <w:fldChar w:fldCharType="begin"/>
          </w:r>
          <w:r>
            <w:rPr>
              <w:rFonts w:hint="eastAsia" w:ascii="仿宋_GB2312" w:eastAsia="仿宋_GB2312" w:cs="仿宋_GB2312"/>
              <w:kern w:val="2"/>
              <w:sz w:val="32"/>
              <w:szCs w:val="32"/>
              <w:highlight w:val="none"/>
              <w:lang w:val="en-US" w:eastAsia="zh-CN" w:bidi="ar-SA"/>
            </w:rPr>
            <w:instrText xml:space="preserve"> HYPERLINK \l _Toc26322 </w:instrText>
          </w:r>
          <w:r>
            <w:rPr>
              <w:rFonts w:hint="eastAsia" w:ascii="仿宋_GB2312" w:eastAsia="仿宋_GB2312" w:cs="仿宋_GB2312"/>
              <w:kern w:val="2"/>
              <w:sz w:val="32"/>
              <w:szCs w:val="32"/>
              <w:highlight w:val="none"/>
              <w:lang w:val="en-US" w:eastAsia="zh-CN" w:bidi="ar-SA"/>
            </w:rPr>
            <w:fldChar w:fldCharType="separate"/>
          </w:r>
          <w:r>
            <w:rPr>
              <w:rFonts w:hint="eastAsia" w:ascii="仿宋_GB2312" w:eastAsia="仿宋_GB2312" w:cs="仿宋_GB2312"/>
              <w:sz w:val="32"/>
              <w:szCs w:val="32"/>
              <w:highlight w:val="none"/>
            </w:rPr>
            <w:t>第五部分 附表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r>
            <w:rPr>
              <w:rFonts w:hint="eastAsia" w:ascii="仿宋_GB2312" w:eastAsia="仿宋_GB2312" w:cs="仿宋_GB2312"/>
              <w:color w:val="auto"/>
              <w:kern w:val="2"/>
              <w:sz w:val="32"/>
              <w:szCs w:val="32"/>
              <w:highlight w:val="none"/>
              <w:lang w:val="en-US" w:eastAsia="zh-CN" w:bidi="ar-SA"/>
            </w:rPr>
            <w:fldChar w:fldCharType="end"/>
          </w:r>
        </w:p>
        <w:p w14:paraId="0D1BDCE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一、收入支出决算总表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3B4C30F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二、收入决算表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35FE629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三、支出决算表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0A1FD5C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四、财政拨款收入支出决算总表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2C5EAD2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五、财政拨款支出决算明细表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14D6DA5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六、一般公共预算财政拨款支出决算表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26333771">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七、一般公共预算财政拨款支出决算明细表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1BFB829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八、一般公共预算财政拨款基本支出决算</w:t>
          </w:r>
          <w:r>
            <w:rPr>
              <w:rFonts w:hint="eastAsia" w:ascii="仿宋_GB2312" w:eastAsia="仿宋_GB2312" w:cs="仿宋_GB2312"/>
              <w:color w:val="auto"/>
              <w:sz w:val="32"/>
              <w:szCs w:val="32"/>
              <w:highlight w:val="none"/>
              <w:lang w:eastAsia="zh-CN"/>
            </w:rPr>
            <w:t>明细</w:t>
          </w:r>
          <w:r>
            <w:rPr>
              <w:rFonts w:hint="eastAsia" w:ascii="仿宋_GB2312" w:eastAsia="仿宋_GB2312" w:cs="仿宋_GB2312"/>
              <w:color w:val="auto"/>
              <w:sz w:val="32"/>
              <w:szCs w:val="32"/>
              <w:highlight w:val="none"/>
            </w:rPr>
            <w:t>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03BF433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九、一般公共预算财政拨款项目支出决算表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4862D82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十、政府性基金预算财政拨款收入支出决算表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57ACBE4B">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十一、国有资本经营预算财政拨款收入支出决算表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7317775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仿宋_GB2312" w:eastAsia="仿宋_GB2312" w:cs="仿宋_GB2312"/>
              <w:color w:val="auto"/>
              <w:sz w:val="32"/>
              <w:szCs w:val="32"/>
              <w:highlight w:val="none"/>
            </w:rPr>
          </w:pPr>
          <w:r>
            <w:rPr>
              <w:rFonts w:hint="eastAsia" w:ascii="仿宋_GB2312" w:eastAsia="仿宋_GB2312" w:cs="仿宋_GB2312"/>
              <w:color w:val="auto"/>
              <w:sz w:val="32"/>
              <w:szCs w:val="32"/>
              <w:highlight w:val="none"/>
            </w:rPr>
            <w:t>十二、</w:t>
          </w:r>
          <w:r>
            <w:rPr>
              <w:rFonts w:hint="eastAsia" w:ascii="仿宋_GB2312" w:eastAsia="仿宋_GB2312" w:cs="仿宋_GB2312"/>
              <w:color w:val="auto"/>
              <w:sz w:val="32"/>
              <w:szCs w:val="32"/>
              <w:highlight w:val="none"/>
              <w:lang w:val="en-US" w:eastAsia="zh-CN"/>
            </w:rPr>
            <w:t>国有资本经营预算财政拨款支出决算表</w:t>
          </w:r>
          <w:r>
            <w:rPr>
              <w:rFonts w:hint="eastAsia" w:ascii="仿宋_GB2312" w:eastAsia="仿宋_GB2312" w:cs="仿宋_GB2312"/>
              <w:sz w:val="32"/>
              <w:szCs w:val="32"/>
            </w:rPr>
            <w:tab/>
          </w:r>
          <w:r>
            <w:rPr>
              <w:rFonts w:hint="eastAsia" w:ascii="仿宋_GB2312" w:eastAsia="仿宋_GB2312" w:cs="仿宋_GB2312"/>
              <w:sz w:val="32"/>
              <w:szCs w:val="32"/>
            </w:rPr>
            <w:fldChar w:fldCharType="begin"/>
          </w:r>
          <w:r>
            <w:rPr>
              <w:rFonts w:hint="eastAsia" w:ascii="仿宋_GB2312" w:eastAsia="仿宋_GB2312" w:cs="仿宋_GB2312"/>
              <w:sz w:val="32"/>
              <w:szCs w:val="32"/>
            </w:rPr>
            <w:instrText xml:space="preserve"> PAGEREF _Toc26322 \h </w:instrText>
          </w:r>
          <w:r>
            <w:rPr>
              <w:rFonts w:hint="eastAsia" w:ascii="仿宋_GB2312" w:eastAsia="仿宋_GB2312" w:cs="仿宋_GB2312"/>
              <w:sz w:val="32"/>
              <w:szCs w:val="32"/>
            </w:rPr>
            <w:fldChar w:fldCharType="separate"/>
          </w:r>
          <w:r>
            <w:rPr>
              <w:rFonts w:hint="eastAsia" w:ascii="仿宋_GB2312" w:eastAsia="仿宋_GB2312" w:cs="仿宋_GB2312"/>
              <w:sz w:val="32"/>
              <w:szCs w:val="32"/>
            </w:rPr>
            <w:t>36</w:t>
          </w:r>
          <w:r>
            <w:rPr>
              <w:rFonts w:hint="eastAsia" w:ascii="仿宋_GB2312" w:eastAsia="仿宋_GB2312" w:cs="仿宋_GB2312"/>
              <w:sz w:val="32"/>
              <w:szCs w:val="32"/>
            </w:rPr>
            <w:fldChar w:fldCharType="end"/>
          </w:r>
        </w:p>
        <w:p w14:paraId="7438829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320" w:firstLineChars="100"/>
            <w:jc w:val="left"/>
            <w:textAlignment w:val="auto"/>
            <w:rPr>
              <w:rFonts w:hint="eastAsia" w:ascii="Times New Roman" w:hAnsi="Times New Roman" w:eastAsia="仿宋_GB2312" w:cs="仿宋_GB2312"/>
              <w:color w:val="auto"/>
              <w:sz w:val="32"/>
              <w:szCs w:val="32"/>
              <w:highlight w:val="none"/>
            </w:rPr>
          </w:pPr>
          <w:r>
            <w:rPr>
              <w:rFonts w:hint="eastAsia" w:ascii="仿宋_GB2312" w:eastAsia="仿宋_GB2312" w:cs="仿宋_GB2312"/>
              <w:color w:val="auto"/>
              <w:sz w:val="32"/>
              <w:szCs w:val="32"/>
              <w:highlight w:val="none"/>
            </w:rPr>
            <w:t>十三、财政拨款“三公”经费支出决</w:t>
          </w:r>
          <w:r>
            <w:rPr>
              <w:rFonts w:hint="eastAsia" w:ascii="仿宋_GB2312" w:eastAsia="仿宋_GB2312" w:cs="仿宋_GB2312"/>
              <w:color w:val="auto"/>
              <w:sz w:val="32"/>
              <w:szCs w:val="32"/>
              <w:highlight w:val="none"/>
              <w:lang w:val="en-US" w:eastAsia="zh-CN"/>
            </w:rPr>
            <w:t>算表</w:t>
          </w:r>
          <w:r>
            <w:rPr>
              <w:rFonts w:hint="eastAsia" w:ascii="仿宋_GB2312" w:eastAsia="仿宋_GB2312" w:cs="仿宋_GB2312"/>
              <w:color w:val="auto"/>
              <w:sz w:val="32"/>
              <w:szCs w:val="32"/>
              <w:highlight w:val="none"/>
              <w:lang w:val="en-US" w:eastAsia="zh-CN"/>
            </w:rPr>
            <w:tab/>
          </w:r>
          <w:r>
            <w:rPr>
              <w:rFonts w:hint="eastAsia" w:ascii="仿宋_GB2312" w:eastAsia="仿宋_GB2312" w:cs="仿宋_GB2312"/>
              <w:color w:val="auto"/>
              <w:sz w:val="32"/>
              <w:szCs w:val="32"/>
              <w:highlight w:val="none"/>
              <w:lang w:val="en-US" w:eastAsia="zh-CN"/>
            </w:rPr>
            <w:fldChar w:fldCharType="begin"/>
          </w:r>
          <w:r>
            <w:rPr>
              <w:rFonts w:hint="eastAsia" w:ascii="仿宋_GB2312" w:eastAsia="仿宋_GB2312" w:cs="仿宋_GB2312"/>
              <w:color w:val="auto"/>
              <w:sz w:val="32"/>
              <w:szCs w:val="32"/>
              <w:highlight w:val="none"/>
              <w:lang w:val="en-US" w:eastAsia="zh-CN"/>
            </w:rPr>
            <w:instrText xml:space="preserve"> PAGEREF _Toc26322 \h </w:instrText>
          </w:r>
          <w:r>
            <w:rPr>
              <w:rFonts w:hint="eastAsia" w:ascii="仿宋_GB2312" w:eastAsia="仿宋_GB2312" w:cs="仿宋_GB2312"/>
              <w:color w:val="auto"/>
              <w:sz w:val="32"/>
              <w:szCs w:val="32"/>
              <w:highlight w:val="none"/>
              <w:lang w:val="en-US" w:eastAsia="zh-CN"/>
            </w:rPr>
            <w:fldChar w:fldCharType="separate"/>
          </w:r>
          <w:r>
            <w:rPr>
              <w:rFonts w:hint="eastAsia" w:ascii="仿宋_GB2312" w:eastAsia="仿宋_GB2312" w:cs="仿宋_GB2312"/>
              <w:color w:val="auto"/>
              <w:sz w:val="32"/>
              <w:szCs w:val="32"/>
              <w:highlight w:val="none"/>
              <w:lang w:val="en-US" w:eastAsia="zh-CN"/>
            </w:rPr>
            <w:t>36</w:t>
          </w:r>
          <w:r>
            <w:rPr>
              <w:rFonts w:hint="eastAsia" w:ascii="仿宋_GB2312" w:eastAsia="仿宋_GB2312" w:cs="仿宋_GB2312"/>
              <w:color w:val="auto"/>
              <w:sz w:val="32"/>
              <w:szCs w:val="32"/>
              <w:highlight w:val="none"/>
              <w:lang w:val="en-US" w:eastAsia="zh-CN"/>
            </w:rPr>
            <w:fldChar w:fldCharType="end"/>
          </w:r>
        </w:p>
        <w:p w14:paraId="5B0E3341"/>
        <w:p w14:paraId="32C6CC96">
          <w:pPr>
            <w:pStyle w:val="9"/>
            <w:jc w:val="both"/>
            <w:rPr>
              <w:rFonts w:hint="eastAsia" w:ascii="Times New Roman" w:hAnsi="Times New Roman" w:eastAsia="方正小标宋简体" w:cs="Times New Roman"/>
              <w:color w:val="auto"/>
              <w:kern w:val="2"/>
              <w:sz w:val="30"/>
              <w:szCs w:val="44"/>
              <w:highlight w:val="none"/>
              <w:lang w:val="en-US" w:eastAsia="zh-CN" w:bidi="ar-SA"/>
            </w:rPr>
            <w:sectPr>
              <w:footerReference r:id="rId7" w:type="first"/>
              <w:footerReference r:id="rId6" w:type="default"/>
              <w:pgSz w:w="11906" w:h="16838"/>
              <w:pgMar w:top="1440" w:right="1800" w:bottom="1440" w:left="1800" w:header="851" w:footer="992" w:gutter="0"/>
              <w:pgNumType w:start="2"/>
              <w:cols w:space="720" w:num="1"/>
              <w:titlePg/>
              <w:docGrid w:type="lines" w:linePitch="312" w:charSpace="0"/>
            </w:sectPr>
          </w:pPr>
          <w:r>
            <w:rPr>
              <w:rFonts w:hint="eastAsia" w:ascii="Times New Roman" w:hAnsi="Times New Roman" w:eastAsia="方正小标宋简体" w:cs="Times New Roman"/>
              <w:color w:val="auto"/>
              <w:kern w:val="2"/>
              <w:szCs w:val="44"/>
              <w:highlight w:val="none"/>
              <w:lang w:val="en-US" w:eastAsia="zh-CN" w:bidi="ar-SA"/>
            </w:rPr>
            <w:fldChar w:fldCharType="end"/>
          </w:r>
        </w:p>
      </w:sdtContent>
    </w:sdt>
    <w:p w14:paraId="28A6CBC1">
      <w:pPr>
        <w:pStyle w:val="5"/>
        <w:jc w:val="center"/>
        <w:rPr>
          <w:rFonts w:ascii="Times New Roman" w:hAnsi="Times New Roman" w:eastAsia="黑体"/>
          <w:color w:val="auto"/>
          <w:sz w:val="32"/>
          <w:szCs w:val="32"/>
          <w:highlight w:val="none"/>
        </w:rPr>
      </w:pPr>
      <w:bookmarkStart w:id="12" w:name="_Toc13498"/>
      <w:bookmarkStart w:id="13" w:name="_Toc15396599"/>
      <w:bookmarkStart w:id="14" w:name="_Toc15377196"/>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0"/>
          <w:rFonts w:hint="eastAsia" w:ascii="Times New Roman" w:hAnsi="Times New Roman" w:eastAsia="方正小标宋简体" w:cs="方正小标宋简体"/>
          <w:b w:val="0"/>
          <w:bCs w:val="0"/>
          <w:color w:val="auto"/>
          <w:highlight w:val="none"/>
        </w:rPr>
        <w:t>部门概况</w:t>
      </w:r>
      <w:bookmarkEnd w:id="12"/>
      <w:bookmarkEnd w:id="13"/>
      <w:bookmarkEnd w:id="14"/>
    </w:p>
    <w:p w14:paraId="006719F5">
      <w:pPr>
        <w:pStyle w:val="6"/>
        <w:keepNext/>
        <w:keepLines/>
        <w:pageBreakBefore w:val="0"/>
        <w:widowControl w:val="0"/>
        <w:numPr>
          <w:ilvl w:val="0"/>
          <w:numId w:val="1"/>
        </w:numPr>
        <w:kinsoku/>
        <w:wordWrap/>
        <w:overflowPunct/>
        <w:topLinePunct w:val="0"/>
        <w:autoSpaceDE/>
        <w:autoSpaceDN/>
        <w:bidi w:val="0"/>
        <w:adjustRightInd/>
        <w:snapToGrid/>
        <w:spacing w:after="0" w:line="415" w:lineRule="auto"/>
        <w:textAlignment w:val="auto"/>
        <w:outlineLvl w:val="0"/>
        <w:rPr>
          <w:rFonts w:hint="eastAsia" w:ascii="Times New Roman" w:hAnsi="Times New Roman" w:eastAsia="黑体"/>
          <w:b w:val="0"/>
          <w:color w:val="auto"/>
          <w:highlight w:val="none"/>
          <w:lang w:eastAsia="zh-CN"/>
        </w:rPr>
      </w:pPr>
      <w:bookmarkStart w:id="15" w:name="_Toc19644"/>
      <w:r>
        <w:rPr>
          <w:rFonts w:hint="eastAsia" w:ascii="Times New Roman" w:hAnsi="Times New Roman" w:eastAsia="黑体"/>
          <w:b w:val="0"/>
          <w:color w:val="auto"/>
          <w:highlight w:val="none"/>
          <w:lang w:eastAsia="zh-CN"/>
        </w:rPr>
        <w:t>部门职责</w:t>
      </w:r>
      <w:bookmarkEnd w:id="15"/>
    </w:p>
    <w:p w14:paraId="15FBBF32">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依照国家法律、法规、规章、组织领导和综合协调全县各乡镇、各部门的统计和国民经济核算工作，准确、及时、全面地反映县情县力，反映社会经济发展的基本情况，为茂县制定政策、计划、指导经济和社会发展提供依据；监督检查统计法律、法规的实施，查处统计违法案件。</w:t>
      </w:r>
    </w:p>
    <w:p w14:paraId="6F249F24">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根据全县宏观管理和科学决策的要求，建立健全全县国民经济核算体系和统计指标体系，制定和管理全县统一的基本报表制度；制定</w:t>
      </w:r>
      <w:r>
        <w:rPr>
          <w:rFonts w:hint="eastAsia" w:ascii="Times New Roman" w:hAnsi="Times New Roman" w:cs="Times New Roman"/>
          <w:kern w:val="2"/>
          <w:sz w:val="32"/>
          <w:szCs w:val="32"/>
          <w:lang w:eastAsia="zh-CN" w:bidi="ar-SA"/>
        </w:rPr>
        <w:t>较</w:t>
      </w:r>
      <w:r>
        <w:rPr>
          <w:rFonts w:ascii="Times New Roman" w:hAnsi="Times New Roman" w:eastAsia="仿宋_GB2312" w:cs="Times New Roman"/>
          <w:kern w:val="2"/>
          <w:sz w:val="32"/>
          <w:szCs w:val="32"/>
          <w:lang w:bidi="ar-SA"/>
        </w:rPr>
        <w:t>有关部门共同制定全县统计标准，审定部门统计标准；管理全县统计调查项目，审批全县各镇、各部门的统计调查计划、调查方案和统计报表。</w:t>
      </w:r>
    </w:p>
    <w:p w14:paraId="34949C13">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负责组织实施全县重大的国情国力普查和专项统计调查；汇总、整理全县的基本统计资料；对国民经济运行、科技进步和社会发展情况进行统计分析、预测、监督；向县委、</w:t>
      </w:r>
      <w:r>
        <w:rPr>
          <w:rFonts w:ascii="Times New Roman" w:hAnsi="Times New Roman" w:eastAsia="仿宋_GB2312" w:cs="Times New Roman"/>
          <w:kern w:val="2"/>
          <w:sz w:val="32"/>
          <w:szCs w:val="32"/>
          <w:lang w:eastAsia="zh-CN" w:bidi="ar-SA"/>
        </w:rPr>
        <w:t>县</w:t>
      </w:r>
      <w:r>
        <w:rPr>
          <w:rFonts w:ascii="Times New Roman" w:hAnsi="Times New Roman" w:eastAsia="仿宋_GB2312" w:cs="Times New Roman"/>
          <w:kern w:val="2"/>
          <w:sz w:val="32"/>
          <w:szCs w:val="32"/>
          <w:lang w:bidi="ar-SA"/>
        </w:rPr>
        <w:t>政府及有关部门提供统计信息和咨询建议。</w:t>
      </w:r>
    </w:p>
    <w:p w14:paraId="29BA6BB3">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统一核定、管理、公布、出版全县的基本统计资料，定期发布全县国民经济和社会发展情况的统计信息，积极培育和发展县内信息咨询服务市场。</w:t>
      </w:r>
    </w:p>
    <w:p w14:paraId="3B8E7900">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负责收集、整理、提供全县性的基本统计资料和全县居民的年度主要统计资料，并对国民经济社会发展和科技进步情况进行分析、预测，向县政府提供统计建议。</w:t>
      </w:r>
    </w:p>
    <w:p w14:paraId="40D68F45">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调查、编算、提供消费及零售物价指数资料，进行市场物价分析、预测、监控工作。</w:t>
      </w:r>
    </w:p>
    <w:p w14:paraId="3F952984">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调查、编算、提供城乡居民家庭收支抽样调查资料，适时反映居民生活消费情况。</w:t>
      </w:r>
    </w:p>
    <w:p w14:paraId="7567B0FF">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建立健全和管理全县统计信息自动化系统和统计数据库体系；制定全县各镇、各部门统计数据库网络的基本标准和运行规则。</w:t>
      </w:r>
    </w:p>
    <w:p w14:paraId="772060B3">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ascii="Times New Roman" w:hAnsi="Times New Roman" w:eastAsia="仿宋_GB2312" w:cs="Times New Roman"/>
          <w:kern w:val="2"/>
          <w:sz w:val="32"/>
          <w:szCs w:val="32"/>
          <w:lang w:bidi="ar-SA"/>
        </w:rPr>
      </w:pPr>
      <w:r>
        <w:rPr>
          <w:rFonts w:ascii="Times New Roman" w:hAnsi="Times New Roman" w:eastAsia="仿宋_GB2312" w:cs="Times New Roman"/>
          <w:kern w:val="2"/>
          <w:sz w:val="32"/>
          <w:szCs w:val="32"/>
          <w:lang w:bidi="ar-SA"/>
        </w:rPr>
        <w:t>根据州统计局的安排负责组织全县统计系统专业技术资格考试和职务评审，统计人员的统计专业技术岗位培训和继续教育工作。</w:t>
      </w:r>
    </w:p>
    <w:p w14:paraId="74CE4A39">
      <w:pPr>
        <w:pStyle w:val="9"/>
        <w:keepNext w:val="0"/>
        <w:keepLines w:val="0"/>
        <w:pageBreakBefore w:val="0"/>
        <w:widowControl w:val="0"/>
        <w:numPr>
          <w:ilvl w:val="0"/>
          <w:numId w:val="2"/>
        </w:numPr>
        <w:kinsoku/>
        <w:wordWrap/>
        <w:overflowPunct/>
        <w:topLinePunct w:val="0"/>
        <w:autoSpaceDE/>
        <w:autoSpaceDN/>
        <w:bidi w:val="0"/>
        <w:adjustRightInd w:val="0"/>
        <w:snapToGrid w:val="0"/>
        <w:spacing w:before="30" w:beforeLines="0" w:line="600" w:lineRule="exact"/>
        <w:ind w:left="0" w:right="0" w:firstLine="640" w:firstLineChars="200"/>
        <w:jc w:val="both"/>
        <w:textAlignment w:val="auto"/>
        <w:rPr>
          <w:rFonts w:hint="eastAsia"/>
          <w:lang w:eastAsia="zh-CN"/>
        </w:rPr>
      </w:pPr>
      <w:r>
        <w:rPr>
          <w:rFonts w:ascii="Times New Roman" w:hAnsi="Times New Roman" w:eastAsia="仿宋_GB2312" w:cs="Times New Roman"/>
          <w:kern w:val="2"/>
          <w:sz w:val="32"/>
          <w:szCs w:val="32"/>
          <w:lang w:bidi="ar-SA"/>
        </w:rPr>
        <w:t>承担县政府公布的有关行政审批事项。</w:t>
      </w:r>
    </w:p>
    <w:p w14:paraId="437E7DB8">
      <w:pPr>
        <w:pStyle w:val="9"/>
        <w:keepNext w:val="0"/>
        <w:keepLines w:val="0"/>
        <w:pageBreakBefore w:val="0"/>
        <w:widowControl w:val="0"/>
        <w:numPr>
          <w:ilvl w:val="0"/>
          <w:numId w:val="2"/>
        </w:numPr>
        <w:kinsoku/>
        <w:wordWrap/>
        <w:overflowPunct/>
        <w:topLinePunct w:val="0"/>
        <w:autoSpaceDE/>
        <w:autoSpaceDN/>
        <w:adjustRightInd w:val="0"/>
        <w:snapToGrid w:val="0"/>
        <w:spacing w:before="30" w:beforeLines="0" w:line="600" w:lineRule="exact"/>
        <w:ind w:left="0" w:firstLine="640" w:firstLineChars="200"/>
        <w:rPr>
          <w:rFonts w:hint="eastAsia"/>
        </w:rPr>
      </w:pPr>
      <w:r>
        <w:rPr>
          <w:rFonts w:ascii="Times New Roman" w:hAnsi="Times New Roman" w:eastAsia="仿宋_GB2312" w:cs="Times New Roman"/>
          <w:kern w:val="2"/>
          <w:sz w:val="32"/>
          <w:szCs w:val="32"/>
          <w:lang w:bidi="ar-SA"/>
        </w:rPr>
        <w:t>承办县政府交办的其他事项。</w:t>
      </w:r>
    </w:p>
    <w:p w14:paraId="30B3071F">
      <w:pPr>
        <w:pStyle w:val="6"/>
        <w:keepNext/>
        <w:keepLines/>
        <w:pageBreakBefore w:val="0"/>
        <w:widowControl w:val="0"/>
        <w:kinsoku/>
        <w:wordWrap/>
        <w:overflowPunct/>
        <w:topLinePunct w:val="0"/>
        <w:autoSpaceDE/>
        <w:autoSpaceDN/>
        <w:bidi w:val="0"/>
        <w:adjustRightInd/>
        <w:snapToGrid/>
        <w:spacing w:before="240" w:after="0" w:line="416" w:lineRule="auto"/>
        <w:textAlignment w:val="auto"/>
        <w:outlineLvl w:val="0"/>
        <w:rPr>
          <w:rStyle w:val="21"/>
          <w:rFonts w:ascii="Times New Roman" w:hAnsi="Times New Roman"/>
          <w:b w:val="0"/>
          <w:bCs w:val="0"/>
          <w:color w:val="auto"/>
          <w:highlight w:val="none"/>
        </w:rPr>
      </w:pPr>
      <w:bookmarkStart w:id="16" w:name="_Toc16147"/>
      <w:bookmarkStart w:id="17" w:name="_Toc15377200"/>
      <w:bookmarkStart w:id="18" w:name="_Toc15396601"/>
      <w:r>
        <w:rPr>
          <w:rFonts w:hint="eastAsia" w:ascii="Times New Roman" w:hAnsi="Times New Roman" w:eastAsia="黑体"/>
          <w:b w:val="0"/>
          <w:color w:val="auto"/>
          <w:highlight w:val="none"/>
        </w:rPr>
        <w:t>二、机</w:t>
      </w:r>
      <w:r>
        <w:rPr>
          <w:rStyle w:val="21"/>
          <w:rFonts w:hint="eastAsia" w:ascii="Times New Roman" w:hAnsi="Times New Roman" w:eastAsia="黑体"/>
          <w:b w:val="0"/>
          <w:bCs w:val="0"/>
          <w:color w:val="auto"/>
          <w:highlight w:val="none"/>
        </w:rPr>
        <w:t>构设置</w:t>
      </w:r>
      <w:bookmarkEnd w:id="16"/>
      <w:bookmarkEnd w:id="17"/>
      <w:bookmarkEnd w:id="18"/>
    </w:p>
    <w:p w14:paraId="4BAE365D">
      <w:pPr>
        <w:ind w:firstLine="800" w:firstLineChars="250"/>
        <w:rPr>
          <w:rFonts w:ascii="Times New Roman" w:hAnsi="Times New Roman" w:eastAsia="仿宋"/>
          <w:color w:val="auto"/>
          <w:kern w:val="0"/>
          <w:sz w:val="32"/>
          <w:szCs w:val="32"/>
          <w:highlight w:val="none"/>
        </w:rPr>
      </w:pPr>
      <w:r>
        <w:rPr>
          <w:rFonts w:hint="eastAsia" w:ascii="Times New Roman" w:hAnsi="Times New Roman" w:eastAsia="仿宋_GB2312" w:cs="仿宋_GB2312"/>
          <w:color w:val="auto"/>
          <w:sz w:val="32"/>
          <w:szCs w:val="32"/>
          <w:highlight w:val="none"/>
        </w:rPr>
        <w:t>四川省阿坝州茂县统计局下属二级</w:t>
      </w:r>
      <w:r>
        <w:rPr>
          <w:rFonts w:hint="eastAsia" w:ascii="Times New Roman" w:hAnsi="Times New Roman" w:eastAsia="仿宋_GB2312" w:cs="仿宋_GB2312"/>
          <w:color w:val="auto"/>
          <w:sz w:val="32"/>
          <w:szCs w:val="32"/>
          <w:highlight w:val="none"/>
          <w:lang w:eastAsia="zh-CN"/>
        </w:rPr>
        <w:t>预算</w:t>
      </w:r>
      <w:r>
        <w:rPr>
          <w:rFonts w:hint="eastAsia" w:ascii="Times New Roman" w:hAnsi="Times New Roman" w:eastAsia="仿宋_GB2312" w:cs="仿宋_GB2312"/>
          <w:color w:val="auto"/>
          <w:sz w:val="32"/>
          <w:szCs w:val="32"/>
          <w:highlight w:val="none"/>
        </w:rPr>
        <w:t>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个，其中行政单位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个，参照公务员法管理的事业单位</w:t>
      </w:r>
      <w:r>
        <w:rPr>
          <w:rFonts w:hint="eastAsia" w:eastAsia="仿宋_GB2312" w:cs="仿宋_GB2312"/>
          <w:bCs/>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个，其他事业单位</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rPr>
        <w:t>个。</w:t>
      </w:r>
      <w:r>
        <w:rPr>
          <w:rFonts w:ascii="Times New Roman" w:hAnsi="Times New Roman" w:eastAsia="仿宋"/>
          <w:color w:val="auto"/>
          <w:sz w:val="32"/>
          <w:szCs w:val="32"/>
          <w:highlight w:val="none"/>
        </w:rPr>
        <w:br w:type="page"/>
      </w:r>
    </w:p>
    <w:p w14:paraId="2344B13E">
      <w:pPr>
        <w:pStyle w:val="5"/>
        <w:jc w:val="center"/>
        <w:rPr>
          <w:rFonts w:ascii="Times New Roman" w:hAnsi="Times New Roman"/>
          <w:color w:val="auto"/>
          <w:highlight w:val="none"/>
        </w:rPr>
      </w:pPr>
      <w:bookmarkStart w:id="19" w:name="_Toc15396602"/>
      <w:bookmarkStart w:id="20" w:name="_Toc1831"/>
      <w:bookmarkStart w:id="2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9"/>
      <w:bookmarkEnd w:id="20"/>
      <w:bookmarkEnd w:id="21"/>
    </w:p>
    <w:p w14:paraId="429EDEE4">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0"/>
        <w:rPr>
          <w:rStyle w:val="21"/>
          <w:rFonts w:hint="eastAsia" w:ascii="Times New Roman" w:hAnsi="Times New Roman" w:eastAsia="黑体"/>
          <w:b w:val="0"/>
          <w:color w:val="auto"/>
          <w:highlight w:val="none"/>
        </w:rPr>
      </w:pPr>
      <w:bookmarkStart w:id="22" w:name="_Toc15377205"/>
      <w:bookmarkStart w:id="23" w:name="_Toc10007"/>
      <w:bookmarkStart w:id="24"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1"/>
          <w:rFonts w:hint="eastAsia" w:ascii="Times New Roman" w:hAnsi="Times New Roman" w:eastAsia="黑体"/>
          <w:b w:val="0"/>
          <w:color w:val="auto"/>
          <w:highlight w:val="none"/>
        </w:rPr>
        <w:t>入支出决算总体情况说明</w:t>
      </w:r>
      <w:bookmarkEnd w:id="22"/>
      <w:bookmarkEnd w:id="23"/>
      <w:bookmarkEnd w:id="24"/>
    </w:p>
    <w:p w14:paraId="6E17205D">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eastAsia="仿宋_GB2312" w:cs="仿宋_GB2312"/>
          <w:color w:val="auto"/>
          <w:sz w:val="32"/>
          <w:szCs w:val="32"/>
          <w:highlight w:val="none"/>
          <w:lang w:val="en-US" w:eastAsia="zh-CN"/>
        </w:rPr>
        <w:t>457.73</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23.58</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5.4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本年项目继续实施，项目支出增加，以及人员变动、职级晋升等原因收支数据增加。</w:t>
      </w:r>
    </w:p>
    <w:p w14:paraId="6C93133A">
      <w:pPr>
        <w:pStyle w:val="27"/>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935" distR="114935" simplePos="0" relativeHeight="251659264" behindDoc="0" locked="0" layoutInCell="1" allowOverlap="1">
            <wp:simplePos x="0" y="0"/>
            <wp:positionH relativeFrom="column">
              <wp:posOffset>76835</wp:posOffset>
            </wp:positionH>
            <wp:positionV relativeFrom="paragraph">
              <wp:posOffset>180340</wp:posOffset>
            </wp:positionV>
            <wp:extent cx="5256530" cy="3226435"/>
            <wp:effectExtent l="0" t="0" r="0" b="0"/>
            <wp:wrapNone/>
            <wp:docPr id="19"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D1CB3E6">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573EC912">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4670C8A2">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738D801C">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083A90A6">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09993505">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3083EEA0">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rPr>
      </w:pPr>
    </w:p>
    <w:p w14:paraId="038E9D61">
      <w:pPr>
        <w:keepNext w:val="0"/>
        <w:keepLines w:val="0"/>
        <w:pageBreakBefore w:val="0"/>
        <w:widowControl w:val="0"/>
        <w:kinsoku/>
        <w:wordWrap/>
        <w:overflowPunct/>
        <w:topLinePunct w:val="0"/>
        <w:autoSpaceDE/>
        <w:autoSpaceDN/>
        <w:bidi w:val="0"/>
        <w:adjustRightInd/>
        <w:snapToGrid/>
        <w:textAlignment w:val="auto"/>
        <w:rPr>
          <w:rFonts w:hint="eastAsia" w:ascii="Times New Roman" w:hAnsi="Times New Roman" w:eastAsia="仿宋_GB2312" w:cs="仿宋_GB2312"/>
          <w:color w:val="auto"/>
          <w:sz w:val="32"/>
          <w:szCs w:val="32"/>
          <w:highlight w:val="none"/>
        </w:rPr>
      </w:pPr>
    </w:p>
    <w:p w14:paraId="4535A942">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0"/>
        <w:rPr>
          <w:rFonts w:hint="eastAsia" w:ascii="Times New Roman" w:hAnsi="Times New Roman" w:eastAsia="黑体"/>
          <w:color w:val="auto"/>
          <w:sz w:val="32"/>
          <w:szCs w:val="32"/>
          <w:highlight w:val="none"/>
          <w:lang w:eastAsia="zh-CN"/>
        </w:rPr>
      </w:pPr>
      <w:bookmarkStart w:id="25" w:name="_Toc15377206"/>
      <w:bookmarkStart w:id="26" w:name="_Toc15396604"/>
      <w:bookmarkStart w:id="27" w:name="_Toc7793"/>
      <w:r>
        <w:rPr>
          <w:rFonts w:hint="eastAsia" w:ascii="Times New Roman" w:hAnsi="Times New Roman" w:eastAsia="黑体"/>
          <w:color w:val="auto"/>
          <w:sz w:val="32"/>
          <w:szCs w:val="32"/>
          <w:highlight w:val="none"/>
          <w:lang w:eastAsia="zh-CN"/>
        </w:rPr>
        <w:t>二、收入决算情况说明</w:t>
      </w:r>
      <w:bookmarkEnd w:id="25"/>
      <w:bookmarkEnd w:id="26"/>
      <w:bookmarkEnd w:id="27"/>
    </w:p>
    <w:p w14:paraId="28989688">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eastAsia="仿宋_GB2312" w:cs="仿宋_GB2312"/>
          <w:color w:val="auto"/>
          <w:sz w:val="32"/>
          <w:szCs w:val="32"/>
          <w:highlight w:val="none"/>
          <w:lang w:val="en-US" w:eastAsia="zh-CN"/>
        </w:rPr>
        <w:t>457.73</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eastAsia="仿宋_GB2312" w:cs="仿宋_GB2312"/>
          <w:color w:val="auto"/>
          <w:sz w:val="32"/>
          <w:szCs w:val="32"/>
          <w:highlight w:val="none"/>
          <w:lang w:val="en-US" w:eastAsia="zh-CN"/>
        </w:rPr>
        <w:t>447.73</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97.8</w:t>
      </w:r>
      <w:r>
        <w:rPr>
          <w:rFonts w:hint="eastAsia" w:ascii="Times New Roman" w:hAnsi="Times New Roman" w:eastAsia="仿宋_GB2312" w:cs="仿宋_GB2312"/>
          <w:color w:val="auto"/>
          <w:sz w:val="32"/>
          <w:szCs w:val="32"/>
          <w:highlight w:val="none"/>
          <w:lang w:eastAsia="zh-CN"/>
        </w:rPr>
        <w:t>%；其他收入</w:t>
      </w:r>
      <w:r>
        <w:rPr>
          <w:rFonts w:hint="eastAsia"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2.2</w:t>
      </w:r>
      <w:r>
        <w:rPr>
          <w:rFonts w:hint="eastAsia" w:ascii="Times New Roman" w:hAnsi="Times New Roman" w:eastAsia="仿宋_GB2312" w:cs="仿宋_GB2312"/>
          <w:color w:val="auto"/>
          <w:sz w:val="32"/>
          <w:szCs w:val="32"/>
          <w:highlight w:val="none"/>
          <w:lang w:eastAsia="zh-CN"/>
        </w:rPr>
        <w:t>%。</w:t>
      </w:r>
    </w:p>
    <w:p w14:paraId="34870DAE">
      <w:pPr>
        <w:pStyle w:val="27"/>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b/>
          <w:bCs/>
          <w:color w:val="auto"/>
          <w:sz w:val="32"/>
          <w:szCs w:val="32"/>
          <w:highlight w:val="none"/>
          <w:lang w:eastAsia="zh-CN"/>
        </w:rPr>
      </w:pPr>
    </w:p>
    <w:p w14:paraId="6B3D5490">
      <w:pPr>
        <w:pStyle w:val="27"/>
        <w:keepNext w:val="0"/>
        <w:keepLines w:val="0"/>
        <w:pageBreakBefore w:val="0"/>
        <w:widowControl w:val="0"/>
        <w:kinsoku/>
        <w:wordWrap/>
        <w:overflowPunct/>
        <w:topLinePunct w:val="0"/>
        <w:autoSpaceDE/>
        <w:autoSpaceDN/>
        <w:bidi w:val="0"/>
        <w:adjustRightInd/>
        <w:snapToGrid/>
        <w:spacing w:line="600" w:lineRule="exact"/>
        <w:ind w:left="0" w:firstLine="420" w:firstLineChars="200"/>
        <w:textAlignment w:val="auto"/>
        <w:outlineLvl w:val="9"/>
        <w:rPr>
          <w:rFonts w:hint="eastAsia"/>
          <w:lang w:eastAsia="zh-CN"/>
        </w:rPr>
      </w:pPr>
      <w:r>
        <w:rPr>
          <w:sz w:val="21"/>
        </w:rPr>
        <mc:AlternateContent>
          <mc:Choice Requires="wps">
            <w:drawing>
              <wp:anchor distT="0" distB="0" distL="113665" distR="113665" simplePos="0" relativeHeight="251659264" behindDoc="0" locked="0" layoutInCell="1" allowOverlap="1">
                <wp:simplePos x="0" y="0"/>
                <wp:positionH relativeFrom="column">
                  <wp:posOffset>184150</wp:posOffset>
                </wp:positionH>
                <wp:positionV relativeFrom="paragraph">
                  <wp:posOffset>3051175</wp:posOffset>
                </wp:positionV>
                <wp:extent cx="5256530" cy="396240"/>
                <wp:effectExtent l="0" t="0" r="0" b="0"/>
                <wp:wrapNone/>
                <wp:docPr id="20" name="文本框 8"/>
                <wp:cNvGraphicFramePr/>
                <a:graphic xmlns:a="http://schemas.openxmlformats.org/drawingml/2006/main">
                  <a:graphicData uri="http://schemas.microsoft.com/office/word/2010/wordprocessingShape">
                    <wps:wsp>
                      <wps:cNvSpPr/>
                      <wps:spPr>
                        <a:xfrm>
                          <a:off x="0" y="0"/>
                          <a:ext cx="5256530" cy="396240"/>
                        </a:xfrm>
                        <a:prstGeom prst="rect">
                          <a:avLst/>
                        </a:prstGeom>
                        <a:solidFill>
                          <a:srgbClr val="FFFFFF"/>
                        </a:solidFill>
                        <a:ln w="6350" cap="flat" cmpd="sng">
                          <a:noFill/>
                          <a:prstDash val="solid"/>
                          <a:round/>
                        </a:ln>
                      </wps:spPr>
                      <wps:txbx>
                        <w:txbxContent>
                          <w:p w14:paraId="48C4A85B">
                            <w:pPr>
                              <w:pStyle w:val="8"/>
                              <w:jc w:val="center"/>
                            </w:pPr>
                            <w:r>
                              <w:rPr>
                                <w:rFonts w:hint="eastAsia" w:ascii="Times New Roman" w:hAnsi="Times New Roman" w:eastAsia="仿宋_GB2312" w:cs="仿宋_GB2312"/>
                                <w:color w:val="auto"/>
                                <w:kern w:val="2"/>
                                <w:sz w:val="32"/>
                                <w:szCs w:val="32"/>
                                <w:highlight w:val="none"/>
                                <w:lang w:val="en-US" w:eastAsia="zh-CN" w:bidi="ar-SA"/>
                              </w:rPr>
                              <w:t xml:space="preserve">图 </w:t>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SEQ 图 \* ARABIC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：收入</w:t>
                            </w:r>
                            <w:r>
                              <w:rPr>
                                <w:rFonts w:hint="eastAsia" w:ascii="Times New Roman" w:hAnsi="Times New Roman" w:eastAsia="仿宋_GB2312" w:cs="仿宋_GB2312"/>
                                <w:color w:val="auto"/>
                                <w:sz w:val="32"/>
                                <w:szCs w:val="32"/>
                                <w:highlight w:val="none"/>
                                <w:lang w:eastAsia="zh-CN"/>
                              </w:rPr>
                              <w:t>决算结构图</w:t>
                            </w:r>
                          </w:p>
                        </w:txbxContent>
                      </wps:txbx>
                      <wps:bodyPr vert="horz" wrap="square" lIns="0" tIns="0" rIns="0" bIns="0" anchor="t" anchorCtr="0" upright="0">
                        <a:spAutoFit/>
                      </wps:bodyPr>
                    </wps:wsp>
                  </a:graphicData>
                </a:graphic>
              </wp:anchor>
            </w:drawing>
          </mc:Choice>
          <mc:Fallback>
            <w:pict>
              <v:rect id="文本框 8" o:spid="_x0000_s1026" o:spt="1" style="position:absolute;left:0pt;margin-left:14.5pt;margin-top:240.25pt;height:31.2pt;width:413.9pt;z-index:251659264;mso-width-relative:page;mso-height-relative:page;" fillcolor="#FFFFFF" filled="t" stroked="f" coordsize="21600,21600" o:gfxdata="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DeIE9oAAAAKAQAA&#10;DwAAAAAAAAABACAAAAAiAAAAZHJzL2Rvd25yZXYueG1sUEsBAhQAFAAAAAgAh07iQNbfZ7kXAgAA&#10;IQQAAA4AAAAAAAAAAQAgAAAAKQEAAGRycy9lMm9Eb2MueG1sUEsFBgAAAAAGAAYAWQEAALIFAAAA&#10;AA==&#10;">
                <v:fill on="t" focussize="0,0"/>
                <v:stroke on="f" weight="0.5pt" joinstyle="round"/>
                <v:imagedata o:title=""/>
                <o:lock v:ext="edit" aspectratio="f"/>
                <v:textbox inset="0mm,0mm,0mm,0mm" style="mso-fit-shape-to-text:t;">
                  <w:txbxContent>
                    <w:p w14:paraId="48C4A85B">
                      <w:pPr>
                        <w:pStyle w:val="8"/>
                        <w:jc w:val="center"/>
                      </w:pPr>
                      <w:r>
                        <w:rPr>
                          <w:rFonts w:hint="eastAsia" w:ascii="Times New Roman" w:hAnsi="Times New Roman" w:eastAsia="仿宋_GB2312" w:cs="仿宋_GB2312"/>
                          <w:color w:val="auto"/>
                          <w:kern w:val="2"/>
                          <w:sz w:val="32"/>
                          <w:szCs w:val="32"/>
                          <w:highlight w:val="none"/>
                          <w:lang w:val="en-US" w:eastAsia="zh-CN" w:bidi="ar-SA"/>
                        </w:rPr>
                        <w:t xml:space="preserve">图 </w:t>
                      </w:r>
                      <w:r>
                        <w:rPr>
                          <w:rFonts w:hint="eastAsia" w:ascii="Times New Roman" w:hAnsi="Times New Roman" w:eastAsia="仿宋_GB2312" w:cs="仿宋_GB2312"/>
                          <w:color w:val="auto"/>
                          <w:kern w:val="2"/>
                          <w:sz w:val="32"/>
                          <w:szCs w:val="32"/>
                          <w:highlight w:val="none"/>
                          <w:lang w:val="en-US" w:eastAsia="zh-CN" w:bidi="ar-SA"/>
                        </w:rPr>
                        <w:fldChar w:fldCharType="begin"/>
                      </w:r>
                      <w:r>
                        <w:rPr>
                          <w:rFonts w:hint="eastAsia" w:ascii="Times New Roman" w:hAnsi="Times New Roman" w:eastAsia="仿宋_GB2312" w:cs="仿宋_GB2312"/>
                          <w:color w:val="auto"/>
                          <w:kern w:val="2"/>
                          <w:sz w:val="32"/>
                          <w:szCs w:val="32"/>
                          <w:highlight w:val="none"/>
                          <w:lang w:val="en-US" w:eastAsia="zh-CN" w:bidi="ar-SA"/>
                        </w:rPr>
                        <w:instrText xml:space="preserve"> SEQ 图 \* ARABIC </w:instrText>
                      </w:r>
                      <w:r>
                        <w:rPr>
                          <w:rFonts w:hint="eastAsia" w:ascii="Times New Roman" w:hAnsi="Times New Roman" w:eastAsia="仿宋_GB2312" w:cs="仿宋_GB2312"/>
                          <w:color w:val="auto"/>
                          <w:kern w:val="2"/>
                          <w:sz w:val="32"/>
                          <w:szCs w:val="32"/>
                          <w:highlight w:val="none"/>
                          <w:lang w:val="en-US" w:eastAsia="zh-CN" w:bidi="ar-SA"/>
                        </w:rPr>
                        <w:fldChar w:fldCharType="separate"/>
                      </w:r>
                      <w:r>
                        <w:rPr>
                          <w:rFonts w:hint="eastAsia" w:ascii="Times New Roman" w:hAnsi="Times New Roman"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fldChar w:fldCharType="end"/>
                      </w:r>
                      <w:r>
                        <w:rPr>
                          <w:rFonts w:hint="eastAsia" w:ascii="Times New Roman" w:hAnsi="Times New Roman" w:eastAsia="仿宋_GB2312" w:cs="仿宋_GB2312"/>
                          <w:color w:val="auto"/>
                          <w:kern w:val="2"/>
                          <w:sz w:val="32"/>
                          <w:szCs w:val="32"/>
                          <w:highlight w:val="none"/>
                          <w:lang w:val="en-US" w:eastAsia="zh-CN" w:bidi="ar-SA"/>
                        </w:rPr>
                        <w:t>：收入</w:t>
                      </w:r>
                      <w:r>
                        <w:rPr>
                          <w:rFonts w:hint="eastAsia" w:ascii="Times New Roman" w:hAnsi="Times New Roman" w:eastAsia="仿宋_GB2312" w:cs="仿宋_GB2312"/>
                          <w:color w:val="auto"/>
                          <w:sz w:val="32"/>
                          <w:szCs w:val="32"/>
                          <w:highlight w:val="none"/>
                          <w:lang w:eastAsia="zh-CN"/>
                        </w:rPr>
                        <w:t>决算结构图</w:t>
                      </w:r>
                    </w:p>
                  </w:txbxContent>
                </v:textbox>
              </v:rect>
            </w:pict>
          </mc:Fallback>
        </mc:AlternateContent>
      </w:r>
    </w:p>
    <w:p w14:paraId="6FBCD190">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08CC60C0">
      <w:pPr>
        <w:pStyle w:val="27"/>
        <w:keepNext w:val="0"/>
        <w:keepLines w:val="0"/>
        <w:pageBreakBefore w:val="0"/>
        <w:widowControl w:val="0"/>
        <w:kinsoku/>
        <w:wordWrap/>
        <w:overflowPunct/>
        <w:topLinePunct w:val="0"/>
        <w:autoSpaceDE/>
        <w:autoSpaceDN/>
        <w:bidi w:val="0"/>
        <w:adjustRightInd/>
        <w:snapToGrid/>
        <w:spacing w:line="600" w:lineRule="exact"/>
        <w:ind w:left="0" w:firstLine="420" w:firstLineChars="200"/>
        <w:textAlignment w:val="auto"/>
        <w:outlineLvl w:val="9"/>
        <w:rPr>
          <w:rFonts w:hint="eastAsia" w:ascii="Times New Roman" w:hAnsi="Times New Roman" w:eastAsia="仿宋_GB2312" w:cs="仿宋_GB2312"/>
          <w:b/>
          <w:bCs/>
          <w:color w:val="auto"/>
          <w:sz w:val="32"/>
          <w:szCs w:val="32"/>
          <w:highlight w:val="none"/>
          <w:lang w:eastAsia="zh-CN"/>
        </w:rPr>
      </w:pPr>
      <w:r>
        <w:rPr>
          <w:rFonts w:hint="eastAsia"/>
          <w:lang w:eastAsia="zh-CN"/>
        </w:rPr>
        <w:drawing>
          <wp:anchor distT="0" distB="0" distL="114300" distR="114300" simplePos="0" relativeHeight="251659264" behindDoc="0" locked="0" layoutInCell="1" allowOverlap="1">
            <wp:simplePos x="0" y="0"/>
            <wp:positionH relativeFrom="column">
              <wp:posOffset>25400</wp:posOffset>
            </wp:positionH>
            <wp:positionV relativeFrom="paragraph">
              <wp:posOffset>1270</wp:posOffset>
            </wp:positionV>
            <wp:extent cx="5256530" cy="2988310"/>
            <wp:effectExtent l="0" t="0" r="0" b="0"/>
            <wp:wrapNone/>
            <wp:docPr id="23"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1E7F4F89">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2512C089">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55273401">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745B547E">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7B9B5D6A">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4D822655">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9C405A2">
      <w:pPr>
        <w:ind w:firstLine="800" w:firstLineChars="250"/>
        <w:rPr>
          <w:rFonts w:hint="eastAsia" w:ascii="Times New Roman" w:hAnsi="Times New Roman" w:eastAsia="仿宋_GB2312" w:cs="仿宋_GB2312"/>
          <w:color w:val="auto"/>
          <w:sz w:val="32"/>
          <w:szCs w:val="32"/>
          <w:highlight w:val="none"/>
          <w:lang w:eastAsia="zh-CN"/>
        </w:rPr>
      </w:pPr>
    </w:p>
    <w:p w14:paraId="7DA6F71C">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0"/>
        <w:rPr>
          <w:rStyle w:val="21"/>
          <w:rFonts w:hint="eastAsia" w:ascii="Times New Roman" w:hAnsi="Times New Roman" w:eastAsia="黑体"/>
          <w:b w:val="0"/>
          <w:color w:val="auto"/>
          <w:highlight w:val="none"/>
        </w:rPr>
      </w:pPr>
      <w:bookmarkStart w:id="28" w:name="_Toc15377207"/>
      <w:bookmarkStart w:id="29" w:name="_Toc15396605"/>
      <w:bookmarkStart w:id="30" w:name="_Toc13265"/>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1"/>
          <w:rFonts w:hint="eastAsia" w:ascii="Times New Roman" w:hAnsi="Times New Roman" w:eastAsia="黑体"/>
          <w:b w:val="0"/>
          <w:color w:val="auto"/>
          <w:highlight w:val="none"/>
        </w:rPr>
        <w:t>出决算情况说明</w:t>
      </w:r>
      <w:bookmarkEnd w:id="28"/>
      <w:bookmarkEnd w:id="29"/>
      <w:bookmarkEnd w:id="30"/>
    </w:p>
    <w:p w14:paraId="0295C2CE">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eastAsia="仿宋_GB2312" w:cs="仿宋_GB2312"/>
          <w:color w:val="auto"/>
          <w:sz w:val="32"/>
          <w:szCs w:val="32"/>
          <w:highlight w:val="none"/>
          <w:lang w:val="en-US" w:eastAsia="zh-CN"/>
        </w:rPr>
        <w:t>457.63</w:t>
      </w:r>
      <w:r>
        <w:rPr>
          <w:rFonts w:hint="eastAsia" w:ascii="Times New Roman" w:hAnsi="Times New Roman" w:eastAsia="仿宋_GB2312" w:cs="仿宋_GB2312"/>
          <w:color w:val="auto"/>
          <w:sz w:val="32"/>
          <w:szCs w:val="32"/>
          <w:highlight w:val="none"/>
          <w:lang w:eastAsia="zh-CN"/>
        </w:rPr>
        <w:t>万元，其中：基本支出</w:t>
      </w:r>
      <w:r>
        <w:rPr>
          <w:rFonts w:hint="eastAsia" w:eastAsia="仿宋_GB2312" w:cs="仿宋_GB2312"/>
          <w:color w:val="auto"/>
          <w:sz w:val="32"/>
          <w:szCs w:val="32"/>
          <w:highlight w:val="none"/>
          <w:lang w:val="en-US" w:eastAsia="zh-CN"/>
        </w:rPr>
        <w:t>283.96</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62.1</w:t>
      </w:r>
      <w:r>
        <w:rPr>
          <w:rFonts w:hint="eastAsia" w:ascii="Times New Roman" w:hAnsi="Times New Roman" w:eastAsia="仿宋_GB2312" w:cs="仿宋_GB2312"/>
          <w:color w:val="auto"/>
          <w:sz w:val="32"/>
          <w:szCs w:val="32"/>
          <w:highlight w:val="none"/>
          <w:lang w:eastAsia="zh-CN"/>
        </w:rPr>
        <w:t>%；项目支出</w:t>
      </w:r>
      <w:r>
        <w:rPr>
          <w:rFonts w:hint="eastAsia" w:eastAsia="仿宋_GB2312" w:cs="仿宋_GB2312"/>
          <w:color w:val="auto"/>
          <w:sz w:val="32"/>
          <w:szCs w:val="32"/>
          <w:highlight w:val="none"/>
          <w:lang w:val="en-US" w:eastAsia="zh-CN"/>
        </w:rPr>
        <w:t>173.67</w:t>
      </w:r>
      <w:r>
        <w:rPr>
          <w:rFonts w:hint="eastAsia" w:ascii="Times New Roman" w:hAnsi="Times New Roman" w:eastAsia="仿宋_GB2312" w:cs="仿宋_GB2312"/>
          <w:color w:val="auto"/>
          <w:sz w:val="32"/>
          <w:szCs w:val="32"/>
          <w:highlight w:val="none"/>
          <w:lang w:eastAsia="zh-CN"/>
        </w:rPr>
        <w:t>万元，占</w:t>
      </w:r>
      <w:r>
        <w:rPr>
          <w:rFonts w:hint="eastAsia" w:eastAsia="仿宋_GB2312" w:cs="仿宋_GB2312"/>
          <w:color w:val="auto"/>
          <w:sz w:val="32"/>
          <w:szCs w:val="32"/>
          <w:highlight w:val="none"/>
          <w:lang w:val="en-US" w:eastAsia="zh-CN"/>
        </w:rPr>
        <w:t>37.9</w:t>
      </w:r>
      <w:r>
        <w:rPr>
          <w:rFonts w:hint="eastAsia" w:ascii="Times New Roman" w:hAnsi="Times New Roman" w:eastAsia="仿宋_GB2312" w:cs="仿宋_GB2312"/>
          <w:color w:val="auto"/>
          <w:sz w:val="32"/>
          <w:szCs w:val="32"/>
          <w:highlight w:val="none"/>
          <w:lang w:eastAsia="zh-CN"/>
        </w:rPr>
        <w:t>%。</w:t>
      </w:r>
    </w:p>
    <w:p w14:paraId="7EA25F54">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59264" behindDoc="0" locked="0" layoutInCell="1" allowOverlap="1">
            <wp:simplePos x="0" y="0"/>
            <wp:positionH relativeFrom="column">
              <wp:posOffset>117475</wp:posOffset>
            </wp:positionH>
            <wp:positionV relativeFrom="paragraph">
              <wp:posOffset>84455</wp:posOffset>
            </wp:positionV>
            <wp:extent cx="5256530" cy="2948940"/>
            <wp:effectExtent l="0" t="0" r="0" b="0"/>
            <wp:wrapNone/>
            <wp:docPr id="24"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p>
    <w:p w14:paraId="7ED3B4C4">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4848ED5C">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5301210A">
      <w:pPr>
        <w:pStyle w:val="27"/>
        <w:keepNext w:val="0"/>
        <w:keepLines w:val="0"/>
        <w:pageBreakBefore w:val="0"/>
        <w:widowControl w:val="0"/>
        <w:kinsoku/>
        <w:wordWrap/>
        <w:overflowPunct/>
        <w:topLinePunct w:val="0"/>
        <w:autoSpaceDE/>
        <w:autoSpaceDN/>
        <w:bidi w:val="0"/>
        <w:adjustRightInd/>
        <w:snapToGrid/>
        <w:spacing w:line="600" w:lineRule="exact"/>
        <w:ind w:left="0" w:firstLine="643" w:firstLineChars="200"/>
        <w:textAlignment w:val="auto"/>
        <w:outlineLvl w:val="9"/>
        <w:rPr>
          <w:rFonts w:hint="eastAsia" w:ascii="Times New Roman" w:hAnsi="Times New Roman" w:eastAsia="仿宋_GB2312" w:cs="仿宋_GB2312"/>
          <w:b/>
          <w:bCs/>
          <w:color w:val="auto"/>
          <w:sz w:val="32"/>
          <w:szCs w:val="32"/>
          <w:highlight w:val="none"/>
          <w:lang w:eastAsia="zh-CN"/>
        </w:rPr>
      </w:pPr>
    </w:p>
    <w:p w14:paraId="59A16466">
      <w:pPr>
        <w:pStyle w:val="27"/>
        <w:keepNext w:val="0"/>
        <w:keepLines w:val="0"/>
        <w:pageBreakBefore w:val="0"/>
        <w:widowControl w:val="0"/>
        <w:kinsoku/>
        <w:wordWrap/>
        <w:overflowPunct/>
        <w:topLinePunct w:val="0"/>
        <w:autoSpaceDE/>
        <w:autoSpaceDN/>
        <w:bidi w:val="0"/>
        <w:adjustRightInd/>
        <w:snapToGrid/>
        <w:spacing w:line="600" w:lineRule="exact"/>
        <w:textAlignment w:val="auto"/>
        <w:outlineLvl w:val="9"/>
        <w:rPr>
          <w:rFonts w:hint="eastAsia" w:ascii="Times New Roman" w:hAnsi="Times New Roman" w:eastAsia="仿宋_GB2312" w:cs="仿宋_GB2312"/>
          <w:b/>
          <w:bCs/>
          <w:color w:val="auto"/>
          <w:sz w:val="32"/>
          <w:szCs w:val="32"/>
          <w:highlight w:val="none"/>
          <w:lang w:eastAsia="zh-CN"/>
        </w:rPr>
      </w:pPr>
    </w:p>
    <w:p w14:paraId="02A07FD4">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6142D9C2">
      <w:pPr>
        <w:pStyle w:val="27"/>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outlineLvl w:val="9"/>
        <w:rPr>
          <w:rFonts w:hint="eastAsia" w:ascii="Times New Roman" w:hAnsi="Times New Roman" w:eastAsia="仿宋_GB2312" w:cs="仿宋_GB2312"/>
          <w:color w:val="auto"/>
          <w:sz w:val="32"/>
          <w:szCs w:val="32"/>
          <w:highlight w:val="none"/>
          <w:lang w:eastAsia="zh-CN"/>
        </w:rPr>
      </w:pPr>
    </w:p>
    <w:p w14:paraId="739EEF2C">
      <w:pPr>
        <w:rPr>
          <w:rFonts w:hint="eastAsia" w:ascii="Times New Roman" w:hAnsi="Times New Roman" w:eastAsia="仿宋_GB2312" w:cs="仿宋_GB2312"/>
          <w:color w:val="auto"/>
          <w:sz w:val="32"/>
          <w:szCs w:val="32"/>
          <w:highlight w:val="none"/>
          <w:lang w:eastAsia="zh-CN"/>
        </w:rPr>
      </w:pPr>
    </w:p>
    <w:p w14:paraId="73DD0412">
      <w:pPr>
        <w:spacing w:line="600" w:lineRule="exact"/>
        <w:ind w:firstLine="640" w:firstLineChars="200"/>
        <w:outlineLvl w:val="0"/>
        <w:rPr>
          <w:rStyle w:val="21"/>
          <w:rFonts w:ascii="Times New Roman" w:hAnsi="Times New Roman" w:eastAsia="黑体"/>
          <w:b w:val="0"/>
          <w:color w:val="auto"/>
          <w:highlight w:val="none"/>
        </w:rPr>
      </w:pPr>
      <w:bookmarkStart w:id="31" w:name="_Toc15377208"/>
      <w:bookmarkStart w:id="32" w:name="_Toc16026"/>
      <w:bookmarkStart w:id="33" w:name="_Toc15396606"/>
      <w:r>
        <w:rPr>
          <w:rFonts w:hint="eastAsia" w:ascii="Times New Roman" w:hAnsi="Times New Roman" w:eastAsia="黑体"/>
          <w:color w:val="auto"/>
          <w:sz w:val="32"/>
          <w:szCs w:val="32"/>
          <w:highlight w:val="none"/>
        </w:rPr>
        <w:t>四、财</w:t>
      </w:r>
      <w:r>
        <w:rPr>
          <w:rStyle w:val="21"/>
          <w:rFonts w:hint="eastAsia" w:ascii="Times New Roman" w:hAnsi="Times New Roman" w:eastAsia="黑体"/>
          <w:b w:val="0"/>
          <w:color w:val="auto"/>
          <w:highlight w:val="none"/>
        </w:rPr>
        <w:t>政拨款收入支出决算总体情况说明</w:t>
      </w:r>
      <w:bookmarkEnd w:id="31"/>
      <w:bookmarkEnd w:id="32"/>
      <w:bookmarkEnd w:id="33"/>
    </w:p>
    <w:p w14:paraId="6121FAF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eastAsia="仿宋_GB2312" w:cs="仿宋_GB2312"/>
          <w:color w:val="auto"/>
          <w:kern w:val="2"/>
          <w:sz w:val="32"/>
          <w:szCs w:val="32"/>
          <w:highlight w:val="none"/>
          <w:lang w:val="en-US" w:eastAsia="zh-CN" w:bidi="ar-SA"/>
        </w:rPr>
        <w:t>447.73</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13.58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本年项目继续实施，项目支出增加，以及人员变动、职级晋升等原因收支数据增加。</w:t>
      </w:r>
    </w:p>
    <w:p w14:paraId="6ACD9C37">
      <w:pPr>
        <w:spacing w:line="600" w:lineRule="exact"/>
        <w:rPr>
          <w:rFonts w:hint="eastAsia"/>
          <w:lang w:val="en-US" w:eastAsia="zh-CN"/>
        </w:rPr>
      </w:pPr>
      <w:r>
        <w:rPr>
          <w:rFonts w:hint="eastAsia"/>
          <w:lang w:val="en-US" w:eastAsia="zh-CN"/>
        </w:rPr>
        <w:drawing>
          <wp:anchor distT="0" distB="0" distL="114300" distR="114300" simplePos="0" relativeHeight="251659264" behindDoc="0" locked="0" layoutInCell="1" allowOverlap="1">
            <wp:simplePos x="0" y="0"/>
            <wp:positionH relativeFrom="column">
              <wp:posOffset>85090</wp:posOffset>
            </wp:positionH>
            <wp:positionV relativeFrom="paragraph">
              <wp:posOffset>126365</wp:posOffset>
            </wp:positionV>
            <wp:extent cx="5256530" cy="2941320"/>
            <wp:effectExtent l="0" t="0" r="0" b="0"/>
            <wp:wrapNone/>
            <wp:docPr id="25"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64BF63EA">
      <w:pPr>
        <w:pStyle w:val="2"/>
        <w:rPr>
          <w:rFonts w:hint="eastAsia"/>
          <w:lang w:val="en-US" w:eastAsia="zh-CN"/>
        </w:rPr>
      </w:pPr>
    </w:p>
    <w:p w14:paraId="2AE82706">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47634793">
      <w:pPr>
        <w:rPr>
          <w:rFonts w:hint="eastAsia" w:ascii="Times New Roman" w:hAnsi="Times New Roman" w:eastAsia="仿宋_GB2312" w:cs="仿宋_GB2312"/>
          <w:color w:val="auto"/>
          <w:kern w:val="2"/>
          <w:sz w:val="32"/>
          <w:szCs w:val="32"/>
          <w:highlight w:val="none"/>
          <w:lang w:val="en-US" w:eastAsia="zh-CN" w:bidi="ar-SA"/>
        </w:rPr>
      </w:pPr>
    </w:p>
    <w:p w14:paraId="3EF170DD">
      <w:pPr>
        <w:pStyle w:val="2"/>
        <w:rPr>
          <w:rFonts w:hint="eastAsia" w:ascii="Times New Roman" w:hAnsi="Times New Roman" w:eastAsia="仿宋_GB2312" w:cs="仿宋_GB2312"/>
          <w:color w:val="auto"/>
          <w:kern w:val="2"/>
          <w:sz w:val="32"/>
          <w:szCs w:val="32"/>
          <w:highlight w:val="none"/>
          <w:lang w:val="en-US" w:eastAsia="zh-CN" w:bidi="ar-SA"/>
        </w:rPr>
      </w:pPr>
    </w:p>
    <w:p w14:paraId="0BE7C55A">
      <w:pPr>
        <w:pStyle w:val="3"/>
        <w:rPr>
          <w:rFonts w:hint="eastAsia" w:ascii="Times New Roman" w:hAnsi="Times New Roman" w:eastAsia="仿宋_GB2312" w:cs="仿宋_GB2312"/>
          <w:color w:val="auto"/>
          <w:kern w:val="2"/>
          <w:sz w:val="32"/>
          <w:szCs w:val="32"/>
          <w:highlight w:val="none"/>
          <w:lang w:val="en-US" w:eastAsia="zh-CN" w:bidi="ar-SA"/>
        </w:rPr>
      </w:pPr>
    </w:p>
    <w:p w14:paraId="1C1D15C4">
      <w:pPr>
        <w:rPr>
          <w:rFonts w:hint="eastAsia" w:ascii="Times New Roman" w:hAnsi="Times New Roman" w:eastAsia="仿宋_GB2312" w:cs="仿宋_GB2312"/>
          <w:color w:val="auto"/>
          <w:kern w:val="2"/>
          <w:sz w:val="32"/>
          <w:szCs w:val="32"/>
          <w:highlight w:val="none"/>
          <w:lang w:val="en-US" w:eastAsia="zh-CN" w:bidi="ar-SA"/>
        </w:rPr>
      </w:pPr>
    </w:p>
    <w:p w14:paraId="07A7A543">
      <w:pPr>
        <w:pStyle w:val="2"/>
        <w:rPr>
          <w:rFonts w:hint="eastAsia" w:ascii="Times New Roman" w:hAnsi="Times New Roman" w:eastAsia="仿宋_GB2312" w:cs="仿宋_GB2312"/>
          <w:color w:val="auto"/>
          <w:kern w:val="2"/>
          <w:sz w:val="32"/>
          <w:szCs w:val="32"/>
          <w:highlight w:val="none"/>
          <w:lang w:val="en-US" w:eastAsia="zh-CN" w:bidi="ar-SA"/>
        </w:rPr>
      </w:pPr>
    </w:p>
    <w:p w14:paraId="4E62696D">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364EEFDA">
      <w:pPr>
        <w:spacing w:line="600" w:lineRule="exact"/>
        <w:ind w:firstLine="640" w:firstLineChars="200"/>
        <w:outlineLvl w:val="0"/>
        <w:rPr>
          <w:rStyle w:val="21"/>
          <w:rFonts w:ascii="Times New Roman" w:hAnsi="Times New Roman" w:eastAsia="黑体"/>
          <w:b w:val="0"/>
          <w:color w:val="auto"/>
          <w:highlight w:val="none"/>
        </w:rPr>
      </w:pPr>
      <w:bookmarkStart w:id="34" w:name="_Toc17913"/>
      <w:bookmarkStart w:id="35" w:name="_Toc15377209"/>
      <w:bookmarkStart w:id="36"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般公共预算财政拨款支出决算情况说明</w:t>
      </w:r>
      <w:bookmarkEnd w:id="34"/>
      <w:bookmarkEnd w:id="35"/>
      <w:bookmarkEnd w:id="36"/>
    </w:p>
    <w:p w14:paraId="65334EB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7" w:name="_Toc15377210"/>
      <w:bookmarkStart w:id="38" w:name="_Toc24413"/>
      <w:r>
        <w:rPr>
          <w:rFonts w:hint="eastAsia" w:ascii="Times New Roman" w:hAnsi="Times New Roman" w:eastAsia="楷体_GB2312" w:cs="楷体_GB2312"/>
          <w:b/>
          <w:color w:val="auto"/>
          <w:sz w:val="32"/>
          <w:szCs w:val="32"/>
          <w:highlight w:val="none"/>
        </w:rPr>
        <w:t>（一）一般公共预算财政拨款支出决算总体情况</w:t>
      </w:r>
      <w:bookmarkEnd w:id="37"/>
      <w:bookmarkEnd w:id="38"/>
    </w:p>
    <w:p w14:paraId="63DB69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447.73</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13.58</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3.1</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本年项目继续实施，项目支出增加，以及人员变动、职级晋升等原因收支数据增加。</w:t>
      </w:r>
    </w:p>
    <w:p w14:paraId="47782CEE">
      <w:pPr>
        <w:rPr>
          <w:rFonts w:hint="eastAsia" w:ascii="Times New Roman" w:hAnsi="Times New Roman" w:eastAsia="仿宋_GB2312" w:cs="仿宋_GB2312"/>
          <w:color w:val="auto"/>
          <w:kern w:val="2"/>
          <w:sz w:val="32"/>
          <w:szCs w:val="32"/>
          <w:highlight w:val="none"/>
          <w:lang w:val="en-US" w:eastAsia="zh-CN" w:bidi="ar-SA"/>
        </w:rPr>
      </w:pPr>
    </w:p>
    <w:p w14:paraId="1E23D599">
      <w:pPr>
        <w:pStyle w:val="2"/>
        <w:rPr>
          <w:rFonts w:hint="eastAsia" w:ascii="Times New Roman" w:hAnsi="Times New Roman" w:eastAsia="仿宋_GB2312" w:cs="仿宋_GB2312"/>
          <w:color w:val="auto"/>
          <w:kern w:val="2"/>
          <w:sz w:val="32"/>
          <w:szCs w:val="32"/>
          <w:highlight w:val="none"/>
          <w:lang w:val="en-US" w:eastAsia="zh-CN" w:bidi="ar-SA"/>
        </w:rPr>
      </w:pPr>
    </w:p>
    <w:p w14:paraId="55BCA9B1">
      <w:pPr>
        <w:pStyle w:val="3"/>
        <w:rPr>
          <w:rFonts w:hint="eastAsia" w:ascii="Times New Roman" w:hAnsi="Times New Roman" w:eastAsia="仿宋_GB2312" w:cs="仿宋_GB2312"/>
          <w:color w:val="auto"/>
          <w:kern w:val="2"/>
          <w:sz w:val="32"/>
          <w:szCs w:val="32"/>
          <w:highlight w:val="none"/>
          <w:lang w:val="en-US" w:eastAsia="zh-CN" w:bidi="ar-SA"/>
        </w:rPr>
      </w:pPr>
    </w:p>
    <w:p w14:paraId="0BF7F5B8">
      <w:pPr>
        <w:spacing w:line="600" w:lineRule="exact"/>
        <w:rPr>
          <w:rFonts w:hint="eastAsia" w:ascii="Times New Roman" w:hAnsi="Times New Roman" w:eastAsia="仿宋_GB2312" w:cs="仿宋_GB2312"/>
          <w:color w:val="auto"/>
          <w:kern w:val="2"/>
          <w:sz w:val="32"/>
          <w:szCs w:val="32"/>
          <w:highlight w:val="none"/>
          <w:lang w:val="en-US" w:eastAsia="zh-CN" w:bidi="ar-SA"/>
        </w:rPr>
      </w:pPr>
    </w:p>
    <w:p w14:paraId="086B9267">
      <w:pPr>
        <w:pStyle w:val="2"/>
        <w:rPr>
          <w:rFonts w:hint="eastAsia" w:ascii="Times New Roman" w:hAnsi="Times New Roman" w:eastAsia="仿宋_GB2312" w:cs="仿宋_GB2312"/>
          <w:color w:val="auto"/>
          <w:kern w:val="2"/>
          <w:sz w:val="32"/>
          <w:szCs w:val="32"/>
          <w:highlight w:val="none"/>
          <w:lang w:val="en-US" w:eastAsia="zh-CN" w:bidi="ar-SA"/>
        </w:rPr>
      </w:pPr>
    </w:p>
    <w:p w14:paraId="7AF76559">
      <w:pPr>
        <w:pStyle w:val="3"/>
        <w:rPr>
          <w:rFonts w:hint="eastAsia" w:ascii="Times New Roman" w:hAnsi="Times New Roman" w:eastAsia="仿宋_GB2312" w:cs="仿宋_GB2312"/>
          <w:color w:val="auto"/>
          <w:kern w:val="2"/>
          <w:sz w:val="32"/>
          <w:szCs w:val="32"/>
          <w:highlight w:val="none"/>
          <w:lang w:val="en-US" w:eastAsia="zh-CN" w:bidi="ar-SA"/>
        </w:rPr>
      </w:pPr>
    </w:p>
    <w:p w14:paraId="40B6C469">
      <w:pPr>
        <w:pStyle w:val="3"/>
        <w:rPr>
          <w:rFonts w:hint="eastAsia" w:ascii="Times New Roman" w:hAnsi="Times New Roman" w:eastAsia="仿宋_GB2312" w:cs="仿宋_GB2312"/>
          <w:color w:val="auto"/>
          <w:kern w:val="2"/>
          <w:sz w:val="32"/>
          <w:szCs w:val="32"/>
          <w:highlight w:val="none"/>
          <w:lang w:val="en-US" w:eastAsia="zh-CN" w:bidi="ar-SA"/>
        </w:rPr>
      </w:pPr>
    </w:p>
    <w:p w14:paraId="3451AEA4">
      <w:pPr>
        <w:pStyle w:val="3"/>
        <w:rPr>
          <w:rFonts w:hint="eastAsia" w:ascii="Times New Roman" w:hAnsi="Times New Roman" w:eastAsia="仿宋_GB2312" w:cs="仿宋_GB2312"/>
          <w:color w:val="auto"/>
          <w:kern w:val="2"/>
          <w:sz w:val="32"/>
          <w:szCs w:val="32"/>
          <w:highlight w:val="none"/>
          <w:lang w:val="en-US" w:eastAsia="zh-CN" w:bidi="ar-SA"/>
        </w:rPr>
      </w:pPr>
      <w:r>
        <w:rPr>
          <w:rFonts w:hint="eastAsia"/>
          <w:lang w:val="en-US" w:eastAsia="zh-CN"/>
        </w:rPr>
        <w:drawing>
          <wp:anchor distT="0" distB="0" distL="114300" distR="114300" simplePos="0" relativeHeight="251659264" behindDoc="0" locked="0" layoutInCell="1" allowOverlap="1">
            <wp:simplePos x="0" y="0"/>
            <wp:positionH relativeFrom="column">
              <wp:posOffset>20955</wp:posOffset>
            </wp:positionH>
            <wp:positionV relativeFrom="paragraph">
              <wp:posOffset>129540</wp:posOffset>
            </wp:positionV>
            <wp:extent cx="5256530" cy="3105785"/>
            <wp:effectExtent l="0" t="0" r="0" b="0"/>
            <wp:wrapNone/>
            <wp:docPr id="26"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1D86CD27">
      <w:pPr>
        <w:pStyle w:val="3"/>
        <w:rPr>
          <w:rFonts w:hint="eastAsia" w:ascii="Times New Roman" w:hAnsi="Times New Roman" w:eastAsia="仿宋_GB2312" w:cs="仿宋_GB2312"/>
          <w:color w:val="auto"/>
          <w:kern w:val="2"/>
          <w:sz w:val="32"/>
          <w:szCs w:val="32"/>
          <w:highlight w:val="none"/>
          <w:lang w:val="en-US" w:eastAsia="zh-CN" w:bidi="ar-SA"/>
        </w:rPr>
      </w:pPr>
    </w:p>
    <w:p w14:paraId="3D83471F">
      <w:pPr>
        <w:pStyle w:val="3"/>
        <w:rPr>
          <w:rFonts w:hint="eastAsia" w:ascii="Times New Roman" w:hAnsi="Times New Roman" w:eastAsia="仿宋_GB2312" w:cs="仿宋_GB2312"/>
          <w:color w:val="auto"/>
          <w:kern w:val="2"/>
          <w:sz w:val="32"/>
          <w:szCs w:val="32"/>
          <w:highlight w:val="none"/>
          <w:lang w:val="en-US" w:eastAsia="zh-CN" w:bidi="ar-SA"/>
        </w:rPr>
      </w:pPr>
    </w:p>
    <w:p w14:paraId="40B95310">
      <w:pPr>
        <w:pStyle w:val="3"/>
        <w:rPr>
          <w:rFonts w:hint="eastAsia" w:ascii="Times New Roman" w:hAnsi="Times New Roman" w:eastAsia="仿宋_GB2312" w:cs="仿宋_GB2312"/>
          <w:color w:val="auto"/>
          <w:kern w:val="2"/>
          <w:sz w:val="32"/>
          <w:szCs w:val="32"/>
          <w:highlight w:val="none"/>
          <w:lang w:val="en-US" w:eastAsia="zh-CN" w:bidi="ar-SA"/>
        </w:rPr>
      </w:pPr>
    </w:p>
    <w:p w14:paraId="390C1BE7">
      <w:pPr>
        <w:pStyle w:val="3"/>
        <w:rPr>
          <w:rFonts w:hint="eastAsia" w:ascii="Times New Roman" w:hAnsi="Times New Roman" w:eastAsia="仿宋_GB2312" w:cs="仿宋_GB2312"/>
          <w:color w:val="auto"/>
          <w:kern w:val="2"/>
          <w:sz w:val="32"/>
          <w:szCs w:val="32"/>
          <w:highlight w:val="none"/>
          <w:lang w:val="en-US" w:eastAsia="zh-CN" w:bidi="ar-SA"/>
        </w:rPr>
      </w:pPr>
    </w:p>
    <w:p w14:paraId="79A532D4">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20C13062">
      <w:pPr>
        <w:pStyle w:val="3"/>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p>
    <w:p w14:paraId="3DD11237">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39" w:name="_Toc20632"/>
      <w:bookmarkStart w:id="4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9"/>
      <w:bookmarkEnd w:id="40"/>
    </w:p>
    <w:p w14:paraId="7B040E0A">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eastAsia="仿宋_GB2312" w:cs="仿宋_GB2312"/>
          <w:color w:val="auto"/>
          <w:kern w:val="2"/>
          <w:sz w:val="32"/>
          <w:szCs w:val="32"/>
          <w:highlight w:val="none"/>
          <w:lang w:val="en-US" w:eastAsia="zh-CN" w:bidi="ar-SA"/>
        </w:rPr>
        <w:t>447.73</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377.5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84.3</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35.14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7.9</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15.67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3.5</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19.41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C03FD9D">
      <w:pPr>
        <w:pStyle w:val="3"/>
        <w:ind w:left="0" w:leftChars="0" w:firstLine="0" w:firstLineChars="0"/>
        <w:rPr>
          <w:rFonts w:hint="eastAsia" w:ascii="仿宋_GB2312" w:eastAsia="仿宋_GB2312" w:cs="仿宋_GB2312"/>
          <w:sz w:val="32"/>
          <w:szCs w:val="32"/>
          <w:lang w:val="en-US" w:eastAsia="zh-CN"/>
        </w:rPr>
      </w:pPr>
      <w:r>
        <w:rPr>
          <w:rFonts w:hint="eastAsia"/>
          <w:lang w:val="en-US" w:eastAsia="zh-CN"/>
        </w:rPr>
        <w:drawing>
          <wp:inline distT="0" distB="0" distL="114300" distR="114300">
            <wp:extent cx="5256530" cy="3100070"/>
            <wp:effectExtent l="0" t="0" r="0" b="0"/>
            <wp:docPr id="27"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5ABD1E1">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41" w:name="_Toc8412"/>
      <w:bookmarkStart w:id="42" w:name="_Toc15377212"/>
    </w:p>
    <w:p w14:paraId="0B651D56">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（三）一般公共预算财政拨款支出决算具体情况</w:t>
      </w:r>
      <w:bookmarkEnd w:id="41"/>
      <w:bookmarkEnd w:id="42"/>
    </w:p>
    <w:p w14:paraId="5D7026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3" w:name="_Toc15377444"/>
      <w:bookmarkStart w:id="44" w:name="_Toc15377213"/>
      <w:bookmarkStart w:id="45"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eastAsia="仿宋_GB2312" w:cs="仿宋_GB2312"/>
          <w:color w:val="auto"/>
          <w:kern w:val="2"/>
          <w:sz w:val="32"/>
          <w:szCs w:val="32"/>
          <w:highlight w:val="none"/>
          <w:lang w:val="en-US" w:eastAsia="zh-CN" w:bidi="ar-SA"/>
        </w:rPr>
        <w:t>447.73万元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43"/>
      <w:bookmarkEnd w:id="44"/>
      <w:bookmarkEnd w:id="45"/>
    </w:p>
    <w:p w14:paraId="1E586504">
      <w:pPr>
        <w:spacing w:line="600" w:lineRule="exact"/>
        <w:ind w:left="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.一般公共服务（</w:t>
      </w:r>
      <w:r>
        <w:rPr>
          <w:rFonts w:hint="eastAsia" w:eastAsia="仿宋_GB2312" w:cs="仿宋_GB2312"/>
          <w:b/>
          <w:bCs/>
          <w:color w:val="auto"/>
          <w:kern w:val="2"/>
          <w:sz w:val="32"/>
          <w:szCs w:val="32"/>
          <w:highlight w:val="none"/>
          <w:lang w:val="en-US" w:eastAsia="zh-CN" w:bidi="ar-SA"/>
        </w:rPr>
        <w:t>类</w:t>
      </w:r>
      <w:r>
        <w:rPr>
          <w:rFonts w:hint="eastAsia" w:ascii="Times New Roman" w:hAnsi="Times New Roman" w:eastAsia="仿宋_GB2312" w:cs="仿宋_GB2312"/>
          <w:b/>
          <w:bCs/>
          <w:color w:val="auto"/>
          <w:kern w:val="2"/>
          <w:sz w:val="32"/>
          <w:szCs w:val="32"/>
          <w:highlight w:val="none"/>
          <w:lang w:val="en-US" w:eastAsia="zh-CN" w:bidi="ar-SA"/>
        </w:rPr>
        <w:t>）统计信息事务（</w:t>
      </w:r>
      <w:r>
        <w:rPr>
          <w:rFonts w:hint="eastAsia" w:eastAsia="仿宋_GB2312" w:cs="仿宋_GB2312"/>
          <w:b/>
          <w:bCs/>
          <w:color w:val="auto"/>
          <w:kern w:val="2"/>
          <w:sz w:val="32"/>
          <w:szCs w:val="32"/>
          <w:highlight w:val="none"/>
          <w:lang w:val="en-US" w:eastAsia="zh-CN" w:bidi="ar-SA"/>
        </w:rPr>
        <w:t>款</w:t>
      </w:r>
      <w:r>
        <w:rPr>
          <w:rFonts w:hint="eastAsia" w:ascii="Times New Roman" w:hAnsi="Times New Roman" w:eastAsia="仿宋_GB2312" w:cs="仿宋_GB2312"/>
          <w:b/>
          <w:bCs/>
          <w:color w:val="auto"/>
          <w:kern w:val="2"/>
          <w:sz w:val="32"/>
          <w:szCs w:val="32"/>
          <w:highlight w:val="none"/>
          <w:lang w:val="en-US" w:eastAsia="zh-CN" w:bidi="ar-SA"/>
        </w:rPr>
        <w:t>）行政运行（</w:t>
      </w:r>
      <w:r>
        <w:rPr>
          <w:rFonts w:hint="eastAsia" w:eastAsia="仿宋_GB2312" w:cs="仿宋_GB2312"/>
          <w:b/>
          <w:bCs/>
          <w:color w:val="auto"/>
          <w:kern w:val="2"/>
          <w:sz w:val="32"/>
          <w:szCs w:val="32"/>
          <w:highlight w:val="none"/>
          <w:lang w:val="en-US" w:eastAsia="zh-CN" w:bidi="ar-SA"/>
        </w:rPr>
        <w:t>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203.83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1BD3A82B">
      <w:pPr>
        <w:spacing w:line="600" w:lineRule="exact"/>
        <w:ind w:left="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.一般公共服务（</w:t>
      </w:r>
      <w:r>
        <w:rPr>
          <w:rFonts w:hint="eastAsia" w:eastAsia="仿宋_GB2312" w:cs="仿宋_GB2312"/>
          <w:b/>
          <w:bCs/>
          <w:color w:val="auto"/>
          <w:kern w:val="2"/>
          <w:sz w:val="32"/>
          <w:szCs w:val="32"/>
          <w:highlight w:val="none"/>
          <w:lang w:val="en-US" w:eastAsia="zh-CN" w:bidi="ar-SA"/>
        </w:rPr>
        <w:t>类</w:t>
      </w:r>
      <w:r>
        <w:rPr>
          <w:rFonts w:hint="eastAsia" w:ascii="Times New Roman" w:hAnsi="Times New Roman" w:eastAsia="仿宋_GB2312" w:cs="仿宋_GB2312"/>
          <w:b/>
          <w:bCs/>
          <w:color w:val="auto"/>
          <w:kern w:val="2"/>
          <w:sz w:val="32"/>
          <w:szCs w:val="32"/>
          <w:highlight w:val="none"/>
          <w:lang w:val="en-US" w:eastAsia="zh-CN" w:bidi="ar-SA"/>
        </w:rPr>
        <w:t>）统计信息事务（</w:t>
      </w:r>
      <w:r>
        <w:rPr>
          <w:rFonts w:hint="eastAsia" w:eastAsia="仿宋_GB2312" w:cs="仿宋_GB2312"/>
          <w:b/>
          <w:bCs/>
          <w:color w:val="auto"/>
          <w:kern w:val="2"/>
          <w:sz w:val="32"/>
          <w:szCs w:val="32"/>
          <w:highlight w:val="none"/>
          <w:lang w:val="en-US" w:eastAsia="zh-CN" w:bidi="ar-SA"/>
        </w:rPr>
        <w:t>款</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专项统计业务</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11.99</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20D2EB34">
      <w:pPr>
        <w:spacing w:line="600" w:lineRule="exact"/>
        <w:ind w:left="0" w:firstLine="640"/>
        <w:rPr>
          <w:rFonts w:hint="eastAsia"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3</w:t>
      </w:r>
      <w:r>
        <w:rPr>
          <w:rFonts w:hint="eastAsia" w:ascii="Times New Roman" w:hAnsi="Times New Roman" w:eastAsia="仿宋_GB2312" w:cs="仿宋_GB2312"/>
          <w:b/>
          <w:bCs/>
          <w:color w:val="auto"/>
          <w:kern w:val="2"/>
          <w:sz w:val="32"/>
          <w:szCs w:val="32"/>
          <w:highlight w:val="none"/>
          <w:lang w:val="en-US" w:eastAsia="zh-CN" w:bidi="ar-SA"/>
        </w:rPr>
        <w:t>.一般公共服务（</w:t>
      </w:r>
      <w:r>
        <w:rPr>
          <w:rFonts w:hint="eastAsia" w:eastAsia="仿宋_GB2312" w:cs="仿宋_GB2312"/>
          <w:b/>
          <w:bCs/>
          <w:color w:val="auto"/>
          <w:kern w:val="2"/>
          <w:sz w:val="32"/>
          <w:szCs w:val="32"/>
          <w:highlight w:val="none"/>
          <w:lang w:val="en-US" w:eastAsia="zh-CN" w:bidi="ar-SA"/>
        </w:rPr>
        <w:t>类</w:t>
      </w:r>
      <w:r>
        <w:rPr>
          <w:rFonts w:hint="eastAsia" w:ascii="Times New Roman" w:hAnsi="Times New Roman" w:eastAsia="仿宋_GB2312" w:cs="仿宋_GB2312"/>
          <w:b/>
          <w:bCs/>
          <w:color w:val="auto"/>
          <w:kern w:val="2"/>
          <w:sz w:val="32"/>
          <w:szCs w:val="32"/>
          <w:highlight w:val="none"/>
          <w:lang w:val="en-US" w:eastAsia="zh-CN" w:bidi="ar-SA"/>
        </w:rPr>
        <w:t>）统计信息事务（</w:t>
      </w:r>
      <w:r>
        <w:rPr>
          <w:rFonts w:hint="eastAsia" w:eastAsia="仿宋_GB2312" w:cs="仿宋_GB2312"/>
          <w:b/>
          <w:bCs/>
          <w:color w:val="auto"/>
          <w:kern w:val="2"/>
          <w:sz w:val="32"/>
          <w:szCs w:val="32"/>
          <w:highlight w:val="none"/>
          <w:lang w:val="en-US" w:eastAsia="zh-CN" w:bidi="ar-SA"/>
        </w:rPr>
        <w:t>款</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专项普查活动</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0429E388">
      <w:pPr>
        <w:spacing w:line="600" w:lineRule="exact"/>
        <w:ind w:left="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4.一般公共服务（类）统计信息事务（款）其他统计信息事务支出（项）</w:t>
      </w:r>
      <w:r>
        <w:rPr>
          <w:rFonts w:hint="eastAsia" w:eastAsia="仿宋_GB2312" w:cs="仿宋_GB2312"/>
          <w:color w:val="auto"/>
          <w:kern w:val="2"/>
          <w:sz w:val="32"/>
          <w:szCs w:val="32"/>
          <w:highlight w:val="none"/>
          <w:lang w:val="en-US" w:eastAsia="zh-CN" w:bidi="ar-SA"/>
        </w:rPr>
        <w:t>：支出决算为159.58万元，完成预算100%，决算数等于预算数。</w:t>
      </w:r>
    </w:p>
    <w:p w14:paraId="031BFBE6">
      <w:pPr>
        <w:spacing w:line="600" w:lineRule="exact"/>
        <w:ind w:left="0" w:firstLine="640"/>
        <w:rPr>
          <w:rFonts w:hint="eastAsia"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lang w:val="en-US" w:eastAsia="zh-CN" w:bidi="ar-SA"/>
        </w:rPr>
        <w:t>5</w:t>
      </w:r>
      <w:r>
        <w:rPr>
          <w:rFonts w:hint="eastAsia" w:ascii="Times New Roman" w:hAnsi="Times New Roman" w:eastAsia="仿宋_GB2312" w:cs="仿宋_GB2312"/>
          <w:b/>
          <w:bCs/>
          <w:color w:val="auto"/>
          <w:kern w:val="2"/>
          <w:sz w:val="32"/>
          <w:szCs w:val="32"/>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社会保障和就业（</w:t>
      </w:r>
      <w:r>
        <w:rPr>
          <w:rFonts w:hint="eastAsia" w:eastAsia="仿宋_GB2312" w:cs="仿宋_GB2312"/>
          <w:b/>
          <w:bCs/>
          <w:color w:val="auto"/>
          <w:kern w:val="2"/>
          <w:sz w:val="32"/>
          <w:szCs w:val="32"/>
          <w:highlight w:val="none"/>
          <w:lang w:val="en-US" w:eastAsia="zh-CN" w:bidi="ar-SA"/>
        </w:rPr>
        <w:t>类</w:t>
      </w:r>
      <w:r>
        <w:rPr>
          <w:rFonts w:hint="eastAsia" w:ascii="Times New Roman" w:hAnsi="Times New Roman" w:eastAsia="仿宋_GB2312" w:cs="仿宋_GB2312"/>
          <w:b/>
          <w:bCs/>
          <w:color w:val="auto"/>
          <w:kern w:val="2"/>
          <w:sz w:val="32"/>
          <w:szCs w:val="32"/>
          <w:highlight w:val="none"/>
          <w:lang w:val="en-US" w:eastAsia="zh-CN" w:bidi="ar-SA"/>
        </w:rPr>
        <w:t>）行政事业单位养老支出（</w:t>
      </w:r>
      <w:r>
        <w:rPr>
          <w:rFonts w:hint="eastAsia" w:eastAsia="仿宋_GB2312" w:cs="仿宋_GB2312"/>
          <w:b/>
          <w:bCs/>
          <w:color w:val="auto"/>
          <w:kern w:val="2"/>
          <w:sz w:val="32"/>
          <w:szCs w:val="32"/>
          <w:highlight w:val="none"/>
          <w:lang w:val="en-US" w:eastAsia="zh-CN" w:bidi="ar-SA"/>
        </w:rPr>
        <w:t>款</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s="仿宋_GB2312"/>
          <w:b/>
          <w:bCs/>
          <w:color w:val="auto"/>
          <w:sz w:val="32"/>
          <w:szCs w:val="32"/>
          <w:highlight w:val="none"/>
          <w:lang w:val="en-US" w:eastAsia="zh-CN"/>
        </w:rPr>
        <w:t>机关事业单位基本养老保险缴费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23.43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6EB31189">
      <w:pPr>
        <w:spacing w:line="600" w:lineRule="exact"/>
        <w:ind w:left="0"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6.</w:t>
      </w:r>
      <w:r>
        <w:rPr>
          <w:rFonts w:hint="eastAsia" w:ascii="Times New Roman" w:hAnsi="Times New Roman" w:eastAsia="仿宋_GB2312" w:cs="仿宋_GB2312"/>
          <w:b/>
          <w:bCs/>
          <w:color w:val="auto"/>
          <w:kern w:val="2"/>
          <w:sz w:val="32"/>
          <w:szCs w:val="32"/>
          <w:highlight w:val="none"/>
          <w:lang w:val="en-US" w:eastAsia="zh-CN" w:bidi="ar-SA"/>
        </w:rPr>
        <w:t>社会保障和就业（</w:t>
      </w:r>
      <w:r>
        <w:rPr>
          <w:rFonts w:hint="eastAsia" w:eastAsia="仿宋_GB2312" w:cs="仿宋_GB2312"/>
          <w:b/>
          <w:bCs/>
          <w:color w:val="auto"/>
          <w:kern w:val="2"/>
          <w:sz w:val="32"/>
          <w:szCs w:val="32"/>
          <w:highlight w:val="none"/>
          <w:lang w:val="en-US" w:eastAsia="zh-CN" w:bidi="ar-SA"/>
        </w:rPr>
        <w:t>类</w:t>
      </w:r>
      <w:r>
        <w:rPr>
          <w:rFonts w:hint="eastAsia" w:ascii="Times New Roman" w:hAnsi="Times New Roman" w:eastAsia="仿宋_GB2312" w:cs="仿宋_GB2312"/>
          <w:b/>
          <w:bCs/>
          <w:color w:val="auto"/>
          <w:kern w:val="2"/>
          <w:sz w:val="32"/>
          <w:szCs w:val="32"/>
          <w:highlight w:val="none"/>
          <w:lang w:val="en-US" w:eastAsia="zh-CN" w:bidi="ar-SA"/>
        </w:rPr>
        <w:t>）行政事业单位养老支出（</w:t>
      </w:r>
      <w:r>
        <w:rPr>
          <w:rFonts w:hint="eastAsia" w:eastAsia="仿宋_GB2312" w:cs="仿宋_GB2312"/>
          <w:b/>
          <w:bCs/>
          <w:color w:val="auto"/>
          <w:kern w:val="2"/>
          <w:sz w:val="32"/>
          <w:szCs w:val="32"/>
          <w:highlight w:val="none"/>
          <w:lang w:val="en-US" w:eastAsia="zh-CN" w:bidi="ar-SA"/>
        </w:rPr>
        <w:t>款</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_GB2312" w:eastAsia="仿宋_GB2312" w:cs="仿宋_GB2312"/>
          <w:b/>
          <w:bCs/>
          <w:color w:val="auto"/>
          <w:sz w:val="32"/>
          <w:szCs w:val="32"/>
          <w:highlight w:val="none"/>
          <w:lang w:val="en-US" w:eastAsia="zh-CN"/>
        </w:rPr>
        <w:t>机关事业单位职业年金缴费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11.71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3BD42AF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7</w:t>
      </w:r>
      <w:r>
        <w:rPr>
          <w:rFonts w:hint="eastAsia" w:ascii="Times New Roman" w:hAnsi="Times New Roman" w:eastAsia="仿宋_GB2312" w:cs="仿宋_GB2312"/>
          <w:b/>
          <w:bCs/>
          <w:color w:val="auto"/>
          <w:kern w:val="2"/>
          <w:sz w:val="32"/>
          <w:szCs w:val="32"/>
          <w:highlight w:val="none"/>
          <w:lang w:val="en-US" w:eastAsia="zh-CN" w:bidi="ar-SA"/>
        </w:rPr>
        <w:t>.卫生健康（</w:t>
      </w:r>
      <w:r>
        <w:rPr>
          <w:rFonts w:hint="eastAsia" w:eastAsia="仿宋_GB2312" w:cs="仿宋_GB2312"/>
          <w:b/>
          <w:bCs/>
          <w:color w:val="auto"/>
          <w:kern w:val="2"/>
          <w:sz w:val="32"/>
          <w:szCs w:val="32"/>
          <w:highlight w:val="none"/>
          <w:lang w:val="en-US" w:eastAsia="zh-CN" w:bidi="ar-SA"/>
        </w:rPr>
        <w:t>类</w:t>
      </w:r>
      <w:r>
        <w:rPr>
          <w:rFonts w:hint="eastAsia" w:ascii="Times New Roman" w:hAnsi="Times New Roman" w:eastAsia="仿宋_GB2312" w:cs="仿宋_GB2312"/>
          <w:b/>
          <w:bCs/>
          <w:color w:val="auto"/>
          <w:kern w:val="2"/>
          <w:sz w:val="32"/>
          <w:szCs w:val="32"/>
          <w:highlight w:val="none"/>
          <w:lang w:val="en-US" w:eastAsia="zh-CN" w:bidi="ar-SA"/>
        </w:rPr>
        <w:t>）行政事业单位医疗（</w:t>
      </w:r>
      <w:r>
        <w:rPr>
          <w:rFonts w:hint="eastAsia" w:eastAsia="仿宋_GB2312" w:cs="仿宋_GB2312"/>
          <w:b/>
          <w:bCs/>
          <w:color w:val="auto"/>
          <w:kern w:val="2"/>
          <w:sz w:val="32"/>
          <w:szCs w:val="32"/>
          <w:highlight w:val="none"/>
          <w:lang w:val="en-US" w:eastAsia="zh-CN" w:bidi="ar-SA"/>
        </w:rPr>
        <w:t>款</w:t>
      </w:r>
      <w:r>
        <w:rPr>
          <w:rFonts w:hint="eastAsia" w:ascii="Times New Roman" w:hAnsi="Times New Roman" w:eastAsia="仿宋_GB2312" w:cs="仿宋_GB2312"/>
          <w:b/>
          <w:bCs/>
          <w:color w:val="auto"/>
          <w:kern w:val="2"/>
          <w:sz w:val="32"/>
          <w:szCs w:val="32"/>
          <w:highlight w:val="none"/>
          <w:lang w:val="en-US" w:eastAsia="zh-CN" w:bidi="ar-SA"/>
        </w:rPr>
        <w:t>）行政单位医疗（</w:t>
      </w:r>
      <w:r>
        <w:rPr>
          <w:rFonts w:hint="eastAsia" w:eastAsia="仿宋_GB2312" w:cs="仿宋_GB2312"/>
          <w:b/>
          <w:bCs/>
          <w:color w:val="auto"/>
          <w:kern w:val="2"/>
          <w:sz w:val="32"/>
          <w:szCs w:val="32"/>
          <w:highlight w:val="none"/>
          <w:lang w:val="en-US" w:eastAsia="zh-CN" w:bidi="ar-SA"/>
        </w:rPr>
        <w:t>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15.67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%，决算数等于预算数</w:t>
      </w:r>
      <w:r>
        <w:rPr>
          <w:rFonts w:hint="eastAsia" w:eastAsia="仿宋_GB2312" w:cs="仿宋_GB2312"/>
          <w:color w:val="auto"/>
          <w:kern w:val="2"/>
          <w:sz w:val="32"/>
          <w:szCs w:val="32"/>
          <w:highlight w:val="none"/>
          <w:lang w:val="en-US" w:eastAsia="zh-CN" w:bidi="ar-SA"/>
        </w:rPr>
        <w:t>。</w:t>
      </w:r>
    </w:p>
    <w:p w14:paraId="599BEF6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8</w:t>
      </w:r>
      <w:r>
        <w:rPr>
          <w:rFonts w:hint="eastAsia" w:ascii="Times New Roman" w:hAnsi="Times New Roman" w:eastAsia="仿宋_GB2312" w:cs="仿宋_GB2312"/>
          <w:b/>
          <w:bCs/>
          <w:color w:val="auto"/>
          <w:kern w:val="2"/>
          <w:sz w:val="32"/>
          <w:szCs w:val="32"/>
          <w:highlight w:val="none"/>
          <w:lang w:val="en-US" w:eastAsia="zh-CN" w:bidi="ar-SA"/>
        </w:rPr>
        <w:t>.住房保障（</w:t>
      </w:r>
      <w:r>
        <w:rPr>
          <w:rFonts w:hint="eastAsia" w:eastAsia="仿宋_GB2312" w:cs="仿宋_GB2312"/>
          <w:b/>
          <w:bCs/>
          <w:color w:val="auto"/>
          <w:kern w:val="2"/>
          <w:sz w:val="32"/>
          <w:szCs w:val="32"/>
          <w:highlight w:val="none"/>
          <w:lang w:val="en-US" w:eastAsia="zh-CN" w:bidi="ar-SA"/>
        </w:rPr>
        <w:t>类</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住房改革</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款</w:t>
      </w:r>
      <w:r>
        <w:rPr>
          <w:rFonts w:hint="eastAsia" w:ascii="Times New Roman" w:hAnsi="Times New Roman" w:eastAsia="仿宋_GB2312" w:cs="仿宋_GB2312"/>
          <w:b/>
          <w:bCs/>
          <w:color w:val="auto"/>
          <w:kern w:val="2"/>
          <w:sz w:val="32"/>
          <w:szCs w:val="32"/>
          <w:highlight w:val="none"/>
          <w:lang w:val="en-US" w:eastAsia="zh-CN" w:bidi="ar-SA"/>
        </w:rPr>
        <w:t>）住房公积金（</w:t>
      </w:r>
      <w:r>
        <w:rPr>
          <w:rFonts w:hint="eastAsia" w:eastAsia="仿宋_GB2312" w:cs="仿宋_GB2312"/>
          <w:b/>
          <w:bCs/>
          <w:color w:val="auto"/>
          <w:kern w:val="2"/>
          <w:sz w:val="32"/>
          <w:szCs w:val="32"/>
          <w:highlight w:val="none"/>
          <w:lang w:val="en-US" w:eastAsia="zh-CN" w:bidi="ar-SA"/>
        </w:rPr>
        <w:t>项</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19.41</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%，决算数于预算数</w:t>
      </w:r>
      <w:r>
        <w:rPr>
          <w:rFonts w:hint="eastAsia" w:eastAsia="仿宋_GB2312" w:cs="仿宋_GB2312"/>
          <w:color w:val="auto"/>
          <w:kern w:val="2"/>
          <w:sz w:val="32"/>
          <w:szCs w:val="32"/>
          <w:highlight w:val="none"/>
          <w:lang w:val="en-US" w:eastAsia="zh-CN" w:bidi="ar-SA"/>
        </w:rPr>
        <w:t>。</w:t>
      </w:r>
    </w:p>
    <w:p w14:paraId="672BC08D">
      <w:pPr>
        <w:tabs>
          <w:tab w:val="right" w:pos="8306"/>
        </w:tabs>
        <w:spacing w:line="600" w:lineRule="exact"/>
        <w:ind w:firstLine="640"/>
        <w:outlineLvl w:val="0"/>
        <w:rPr>
          <w:rStyle w:val="21"/>
          <w:rFonts w:ascii="Times New Roman" w:hAnsi="Times New Roman"/>
          <w:color w:val="auto"/>
          <w:highlight w:val="none"/>
        </w:rPr>
      </w:pPr>
      <w:bookmarkStart w:id="46" w:name="_Toc15396608"/>
      <w:bookmarkStart w:id="47" w:name="_Toc15377214"/>
      <w:bookmarkStart w:id="48" w:name="_Toc28581"/>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1"/>
          <w:rFonts w:hint="eastAsia" w:ascii="Times New Roman" w:hAnsi="Times New Roman" w:eastAsia="黑体"/>
          <w:b w:val="0"/>
          <w:color w:val="auto"/>
          <w:highlight w:val="none"/>
        </w:rPr>
        <w:t>般公共预算财政拨款基本支出决算情况说明</w:t>
      </w:r>
      <w:bookmarkEnd w:id="46"/>
      <w:bookmarkEnd w:id="47"/>
      <w:bookmarkEnd w:id="48"/>
      <w:r>
        <w:rPr>
          <w:rStyle w:val="21"/>
          <w:rFonts w:ascii="Times New Roman" w:hAnsi="Times New Roman" w:eastAsia="黑体"/>
          <w:b w:val="0"/>
          <w:color w:val="auto"/>
          <w:highlight w:val="none"/>
        </w:rPr>
        <w:tab/>
      </w:r>
    </w:p>
    <w:p w14:paraId="010E422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eastAsia="仿宋_GB2312" w:cs="仿宋_GB2312"/>
          <w:color w:val="auto"/>
          <w:kern w:val="2"/>
          <w:sz w:val="32"/>
          <w:szCs w:val="32"/>
          <w:highlight w:val="none"/>
          <w:lang w:val="en-US" w:eastAsia="zh-CN" w:bidi="ar-SA"/>
        </w:rPr>
        <w:t>274.05</w:t>
      </w:r>
      <w:r>
        <w:rPr>
          <w:rFonts w:hint="eastAsia" w:ascii="Times New Roman" w:hAnsi="Times New Roman" w:eastAsia="仿宋_GB2312" w:cs="仿宋_GB2312"/>
          <w:color w:val="auto"/>
          <w:kern w:val="2"/>
          <w:sz w:val="32"/>
          <w:szCs w:val="32"/>
          <w:highlight w:val="none"/>
          <w:lang w:val="en-US" w:eastAsia="zh-CN" w:bidi="ar-SA"/>
        </w:rPr>
        <w:t>万元，其中：</w:t>
      </w:r>
    </w:p>
    <w:p w14:paraId="6EADF9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eastAsia="仿宋_GB2312" w:cs="仿宋_GB2312"/>
          <w:color w:val="auto"/>
          <w:kern w:val="2"/>
          <w:sz w:val="32"/>
          <w:szCs w:val="32"/>
          <w:highlight w:val="none"/>
          <w:lang w:val="en-US" w:eastAsia="zh-CN" w:bidi="ar-SA"/>
        </w:rPr>
        <w:t>259.14</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万元，主要包括：基本工资、津贴补贴、奖金、机关事业单位基本养老保险缴费、职业年金缴费、其他社会保障缴费、生活补助、奖励金、住房公积金、其他对个人和家庭的补助支出等。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eastAsia="仿宋_GB2312" w:cs="仿宋_GB2312"/>
          <w:color w:val="auto"/>
          <w:kern w:val="2"/>
          <w:sz w:val="32"/>
          <w:szCs w:val="32"/>
          <w:highlight w:val="none"/>
          <w:lang w:val="en-US" w:eastAsia="zh-CN" w:bidi="ar-SA"/>
        </w:rPr>
        <w:t>14.91</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万元，主要包括：办公费、邮电费、差旅费、公务用车运行维护费、其他商品和服务支出等。</w:t>
      </w:r>
    </w:p>
    <w:p w14:paraId="7C4DE136">
      <w:pPr>
        <w:spacing w:line="600" w:lineRule="exact"/>
        <w:ind w:firstLine="640"/>
        <w:outlineLvl w:val="0"/>
        <w:rPr>
          <w:rStyle w:val="21"/>
          <w:rFonts w:ascii="Times New Roman" w:hAnsi="Times New Roman" w:eastAsia="黑体"/>
          <w:b w:val="0"/>
          <w:color w:val="auto"/>
          <w:highlight w:val="none"/>
        </w:rPr>
      </w:pPr>
      <w:bookmarkStart w:id="49" w:name="_Toc15377215"/>
      <w:bookmarkStart w:id="50" w:name="_Toc15396609"/>
      <w:bookmarkStart w:id="51" w:name="_Toc575"/>
      <w:r>
        <w:rPr>
          <w:rFonts w:hint="eastAsia" w:ascii="Times New Roman" w:hAnsi="Times New Roman" w:eastAsia="黑体"/>
          <w:color w:val="auto"/>
          <w:sz w:val="32"/>
          <w:szCs w:val="32"/>
          <w:highlight w:val="none"/>
        </w:rPr>
        <w:t>七、</w:t>
      </w:r>
      <w:r>
        <w:rPr>
          <w:rStyle w:val="21"/>
          <w:rFonts w:hint="eastAsia" w:ascii="Times New Roman" w:hAnsi="Times New Roman" w:eastAsia="黑体"/>
          <w:b w:val="0"/>
          <w:color w:val="auto"/>
          <w:highlight w:val="none"/>
        </w:rPr>
        <w:t>财政拨款</w:t>
      </w:r>
      <w:r>
        <w:rPr>
          <w:rStyle w:val="21"/>
          <w:rFonts w:hint="eastAsia" w:eastAsia="黑体"/>
          <w:color w:val="auto"/>
          <w:highlight w:val="none"/>
          <w:lang w:eastAsia="zh-CN"/>
        </w:rPr>
        <w:t>“</w:t>
      </w:r>
      <w:r>
        <w:rPr>
          <w:rStyle w:val="21"/>
          <w:rFonts w:hint="eastAsia" w:ascii="Times New Roman" w:hAnsi="Times New Roman" w:eastAsia="黑体"/>
          <w:b w:val="0"/>
          <w:color w:val="auto"/>
          <w:highlight w:val="none"/>
        </w:rPr>
        <w:t>三公</w:t>
      </w:r>
      <w:r>
        <w:rPr>
          <w:rStyle w:val="21"/>
          <w:rFonts w:hint="eastAsia" w:eastAsia="黑体"/>
          <w:color w:val="auto"/>
          <w:highlight w:val="none"/>
          <w:lang w:eastAsia="zh-CN"/>
        </w:rPr>
        <w:t>”</w:t>
      </w:r>
      <w:r>
        <w:rPr>
          <w:rStyle w:val="21"/>
          <w:rFonts w:hint="eastAsia" w:ascii="Times New Roman" w:hAnsi="Times New Roman" w:eastAsia="黑体"/>
          <w:b w:val="0"/>
          <w:color w:val="auto"/>
          <w:highlight w:val="none"/>
        </w:rPr>
        <w:t>经费支出决算情况说明</w:t>
      </w:r>
      <w:bookmarkEnd w:id="49"/>
      <w:bookmarkEnd w:id="50"/>
      <w:bookmarkEnd w:id="51"/>
    </w:p>
    <w:p w14:paraId="3ABA3873">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2" w:name="_Toc15377216"/>
      <w:bookmarkStart w:id="53" w:name="_Toc21633"/>
      <w:r>
        <w:rPr>
          <w:rFonts w:hint="eastAsia" w:ascii="Times New Roman" w:hAnsi="Times New Roman" w:eastAsia="楷体_GB2312" w:cs="楷体_GB2312"/>
          <w:b/>
          <w:color w:val="auto"/>
          <w:sz w:val="32"/>
          <w:szCs w:val="32"/>
          <w:highlight w:val="none"/>
        </w:rPr>
        <w:t>（一）财政拨款</w:t>
      </w:r>
      <w:r>
        <w:rPr>
          <w:rFonts w:hint="eastAsia" w:eastAsia="楷体_GB2312" w:cs="楷体_GB2312"/>
          <w:b/>
          <w:color w:val="auto"/>
          <w:sz w:val="32"/>
          <w:szCs w:val="32"/>
          <w:highlight w:val="none"/>
          <w:lang w:eastAsia="zh-CN"/>
        </w:rPr>
        <w:t>“</w:t>
      </w:r>
      <w:r>
        <w:rPr>
          <w:rFonts w:hint="eastAsia" w:ascii="Times New Roman" w:hAnsi="Times New Roman" w:eastAsia="楷体_GB2312" w:cs="楷体_GB2312"/>
          <w:b/>
          <w:color w:val="auto"/>
          <w:sz w:val="32"/>
          <w:szCs w:val="32"/>
          <w:highlight w:val="none"/>
        </w:rPr>
        <w:t>三公</w:t>
      </w:r>
      <w:r>
        <w:rPr>
          <w:rFonts w:hint="eastAsia" w:eastAsia="楷体_GB2312" w:cs="楷体_GB2312"/>
          <w:b/>
          <w:color w:val="auto"/>
          <w:sz w:val="32"/>
          <w:szCs w:val="32"/>
          <w:highlight w:val="none"/>
          <w:lang w:eastAsia="zh-CN"/>
        </w:rPr>
        <w:t>”</w:t>
      </w:r>
      <w:r>
        <w:rPr>
          <w:rFonts w:hint="eastAsia" w:ascii="Times New Roman" w:hAnsi="Times New Roman" w:eastAsia="楷体_GB2312" w:cs="楷体_GB2312"/>
          <w:b/>
          <w:color w:val="auto"/>
          <w:sz w:val="32"/>
          <w:szCs w:val="32"/>
          <w:highlight w:val="none"/>
        </w:rPr>
        <w:t>经费支出决算总体情况说明</w:t>
      </w:r>
      <w:bookmarkEnd w:id="52"/>
      <w:bookmarkEnd w:id="53"/>
    </w:p>
    <w:p w14:paraId="714C2EE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eastAsia="仿宋_GB2312" w:cs="仿宋_GB2312"/>
          <w:color w:val="auto"/>
          <w:kern w:val="2"/>
          <w:sz w:val="32"/>
          <w:szCs w:val="32"/>
          <w:highlight w:val="none"/>
          <w:lang w:val="en-US" w:eastAsia="zh-CN" w:bidi="ar-SA"/>
        </w:rPr>
        <w:t>3.64</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与</w:t>
      </w:r>
      <w:r>
        <w:rPr>
          <w:rFonts w:hint="eastAsia" w:ascii="Times New Roman" w:hAnsi="Times New Roman" w:eastAsia="仿宋_GB2312" w:cs="仿宋_GB2312"/>
          <w:color w:val="auto"/>
          <w:kern w:val="2"/>
          <w:sz w:val="32"/>
          <w:szCs w:val="32"/>
          <w:highlight w:val="none"/>
          <w:lang w:val="en-US" w:eastAsia="zh-CN" w:bidi="ar-SA"/>
        </w:rPr>
        <w:t>上年度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2.67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42.3</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kern w:val="2"/>
          <w:sz w:val="32"/>
          <w:szCs w:val="32"/>
          <w:highlight w:val="none"/>
          <w:lang w:val="en-US" w:eastAsia="zh-CN" w:bidi="ar-SA"/>
        </w:rPr>
        <w:t>运行维护费下降。</w:t>
      </w:r>
    </w:p>
    <w:p w14:paraId="33447593">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54" w:name="_Toc15377217"/>
      <w:bookmarkStart w:id="55" w:name="_Toc27320"/>
      <w:r>
        <w:rPr>
          <w:rFonts w:hint="eastAsia" w:ascii="Times New Roman" w:hAnsi="Times New Roman" w:eastAsia="楷体_GB2312" w:cs="楷体_GB2312"/>
          <w:b/>
          <w:color w:val="auto"/>
          <w:sz w:val="32"/>
          <w:szCs w:val="32"/>
          <w:highlight w:val="none"/>
        </w:rPr>
        <w:t>（二）财政拨款</w:t>
      </w:r>
      <w:r>
        <w:rPr>
          <w:rFonts w:hint="eastAsia" w:eastAsia="楷体_GB2312" w:cs="楷体_GB2312"/>
          <w:b/>
          <w:color w:val="auto"/>
          <w:sz w:val="32"/>
          <w:szCs w:val="32"/>
          <w:highlight w:val="none"/>
          <w:lang w:eastAsia="zh-CN"/>
        </w:rPr>
        <w:t>“</w:t>
      </w:r>
      <w:r>
        <w:rPr>
          <w:rFonts w:hint="eastAsia" w:ascii="Times New Roman" w:hAnsi="Times New Roman" w:eastAsia="楷体_GB2312" w:cs="楷体_GB2312"/>
          <w:b/>
          <w:color w:val="auto"/>
          <w:sz w:val="32"/>
          <w:szCs w:val="32"/>
          <w:highlight w:val="none"/>
        </w:rPr>
        <w:t>三公</w:t>
      </w:r>
      <w:r>
        <w:rPr>
          <w:rFonts w:hint="eastAsia" w:eastAsia="楷体_GB2312" w:cs="楷体_GB2312"/>
          <w:b/>
          <w:color w:val="auto"/>
          <w:sz w:val="32"/>
          <w:szCs w:val="32"/>
          <w:highlight w:val="none"/>
          <w:lang w:eastAsia="zh-CN"/>
        </w:rPr>
        <w:t>”</w:t>
      </w:r>
      <w:r>
        <w:rPr>
          <w:rFonts w:hint="eastAsia" w:ascii="Times New Roman" w:hAnsi="Times New Roman" w:eastAsia="楷体_GB2312" w:cs="楷体_GB2312"/>
          <w:b/>
          <w:color w:val="auto"/>
          <w:sz w:val="32"/>
          <w:szCs w:val="32"/>
          <w:highlight w:val="none"/>
        </w:rPr>
        <w:t>经费支出决算具体情况说明</w:t>
      </w:r>
      <w:bookmarkEnd w:id="54"/>
      <w:bookmarkEnd w:id="55"/>
    </w:p>
    <w:p w14:paraId="189203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经费支出决算中，公务用车购置及运行维护费支出决算</w:t>
      </w:r>
      <w:r>
        <w:rPr>
          <w:rFonts w:hint="eastAsia" w:eastAsia="仿宋_GB2312" w:cs="仿宋_GB2312"/>
          <w:color w:val="auto"/>
          <w:kern w:val="2"/>
          <w:sz w:val="32"/>
          <w:szCs w:val="32"/>
          <w:highlight w:val="none"/>
          <w:lang w:val="en-US" w:eastAsia="zh-CN" w:bidi="ar-SA"/>
        </w:rPr>
        <w:t>3.64</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14:paraId="441BCECD">
      <w:pPr>
        <w:pStyle w:val="2"/>
        <w:rPr>
          <w:rFonts w:hint="eastAsia" w:ascii="Times New Roman" w:hAnsi="Times New Roman" w:eastAsia="仿宋_GB2312" w:cs="仿宋_GB2312"/>
          <w:color w:val="auto"/>
          <w:kern w:val="2"/>
          <w:sz w:val="32"/>
          <w:szCs w:val="32"/>
          <w:highlight w:val="none"/>
          <w:lang w:val="en-US" w:eastAsia="zh-CN" w:bidi="ar-SA"/>
        </w:rPr>
      </w:pPr>
    </w:p>
    <w:p w14:paraId="1A58576D">
      <w:pPr>
        <w:pStyle w:val="3"/>
        <w:ind w:left="0" w:leftChars="0" w:firstLine="0" w:firstLineChars="0"/>
        <w:rPr>
          <w:rFonts w:hint="eastAsia"/>
          <w:lang w:val="en-US" w:eastAsia="zh-CN"/>
        </w:rPr>
      </w:pPr>
      <w:r>
        <w:rPr>
          <w:rFonts w:hint="eastAsia"/>
          <w:lang w:val="en-US" w:eastAsia="zh-CN"/>
        </w:rPr>
        <w:drawing>
          <wp:inline distT="0" distB="0" distL="114300" distR="114300">
            <wp:extent cx="5256530" cy="3099435"/>
            <wp:effectExtent l="0" t="0" r="0" b="0"/>
            <wp:docPr id="2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037760C">
      <w:pPr>
        <w:spacing w:line="600" w:lineRule="exact"/>
        <w:ind w:left="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2025年度因公出国（境）经费支出</w:t>
      </w:r>
      <w:r>
        <w:rPr>
          <w:rFonts w:hint="eastAsia" w:eastAsia="仿宋_GB2312" w:cs="仿宋_GB2312"/>
          <w:b/>
          <w:bCs/>
          <w:color w:val="auto"/>
          <w:kern w:val="2"/>
          <w:sz w:val="32"/>
          <w:szCs w:val="32"/>
          <w:highlight w:val="none"/>
          <w:lang w:val="en-US" w:eastAsia="zh-CN" w:bidi="ar-SA"/>
        </w:rPr>
        <w:t>0万元，完成预算0%</w:t>
      </w:r>
      <w:r>
        <w:rPr>
          <w:rFonts w:hint="eastAsia" w:ascii="Times New Roman" w:hAnsi="Times New Roman" w:eastAsia="仿宋_GB2312" w:cs="仿宋_GB2312"/>
          <w:b/>
          <w:bCs/>
          <w:color w:val="auto"/>
          <w:kern w:val="2"/>
          <w:sz w:val="32"/>
          <w:szCs w:val="32"/>
          <w:highlight w:val="none"/>
          <w:lang w:val="en-US" w:eastAsia="zh-CN" w:bidi="ar-SA"/>
        </w:rPr>
        <w:t>。</w:t>
      </w:r>
    </w:p>
    <w:p w14:paraId="191DA752">
      <w:pPr>
        <w:spacing w:line="600" w:lineRule="exact"/>
        <w:ind w:left="0"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eastAsia="仿宋_GB2312" w:cs="仿宋_GB2312"/>
          <w:b/>
          <w:bCs/>
          <w:color w:val="auto"/>
          <w:kern w:val="2"/>
          <w:sz w:val="32"/>
          <w:szCs w:val="32"/>
          <w:highlight w:val="none"/>
          <w:lang w:val="en-US" w:eastAsia="zh-CN" w:bidi="ar-SA"/>
        </w:rPr>
        <w:t>3.64</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与上年度相比</w:t>
      </w:r>
      <w:r>
        <w:rPr>
          <w:rFonts w:hint="eastAsia" w:ascii="Times New Roman" w:hAnsi="Times New Roman" w:eastAsia="仿宋_GB2312" w:cs="仿宋_GB2312"/>
          <w:color w:val="auto"/>
          <w:kern w:val="2"/>
          <w:sz w:val="32"/>
          <w:szCs w:val="32"/>
          <w:highlight w:val="none"/>
          <w:lang w:val="en-US" w:eastAsia="zh-CN" w:bidi="ar-SA"/>
        </w:rPr>
        <w:t>减少</w:t>
      </w:r>
      <w:r>
        <w:rPr>
          <w:rFonts w:hint="eastAsia" w:eastAsia="仿宋_GB2312" w:cs="仿宋_GB2312"/>
          <w:color w:val="auto"/>
          <w:kern w:val="2"/>
          <w:sz w:val="32"/>
          <w:szCs w:val="32"/>
          <w:highlight w:val="none"/>
          <w:lang w:val="en-US" w:eastAsia="zh-CN" w:bidi="ar-SA"/>
        </w:rPr>
        <w:t>2.67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42.3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：运行维护费下降。</w:t>
      </w:r>
    </w:p>
    <w:p w14:paraId="0BEBE85E">
      <w:pPr>
        <w:spacing w:line="600" w:lineRule="exact"/>
        <w:ind w:firstLine="640" w:firstLineChars="200"/>
        <w:rPr>
          <w:rFonts w:ascii="仿宋_GB2312" w:eastAsia="仿宋_GB2312"/>
          <w:b/>
          <w:color w:val="auto"/>
          <w:sz w:val="32"/>
          <w:szCs w:val="32"/>
          <w:highlight w:val="none"/>
        </w:rPr>
      </w:pPr>
      <w:r>
        <w:rPr>
          <w:rFonts w:hint="eastAsia" w:ascii="仿宋_GB2312" w:eastAsia="仿宋_GB2312"/>
          <w:color w:val="auto"/>
          <w:sz w:val="32"/>
          <w:szCs w:val="32"/>
          <w:highlight w:val="none"/>
        </w:rPr>
        <w:t>截至</w:t>
      </w:r>
      <w:r>
        <w:rPr>
          <w:rFonts w:hint="eastAsia" w:ascii="仿宋_GB2312" w:eastAsia="仿宋_GB2312"/>
          <w:color w:val="auto"/>
          <w:sz w:val="32"/>
          <w:szCs w:val="32"/>
          <w:highlight w:val="none"/>
          <w:lang w:eastAsia="zh-CN"/>
        </w:rPr>
        <w:t>202</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eastAsia="zh-CN"/>
        </w:rPr>
        <w:t>年</w:t>
      </w:r>
      <w:r>
        <w:rPr>
          <w:rFonts w:ascii="仿宋_GB2312" w:eastAsia="仿宋_GB2312"/>
          <w:color w:val="auto"/>
          <w:sz w:val="32"/>
          <w:szCs w:val="32"/>
          <w:highlight w:val="none"/>
        </w:rPr>
        <w:t>12</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31日</w:t>
      </w:r>
      <w:r>
        <w:rPr>
          <w:rFonts w:hint="eastAsia" w:ascii="仿宋_GB2312" w:eastAsia="仿宋_GB2312"/>
          <w:color w:val="auto"/>
          <w:sz w:val="32"/>
          <w:szCs w:val="32"/>
          <w:highlight w:val="none"/>
        </w:rPr>
        <w:t>，单位共有公务用车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辆，其中：轿车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辆、越野车</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rPr>
        <w:t>辆、载客汽车</w:t>
      </w:r>
      <w:r>
        <w:rPr>
          <w:rFonts w:hint="eastAsia" w:ascii="仿宋_GB2312" w:eastAsia="仿宋_GB2312"/>
          <w:color w:val="auto"/>
          <w:sz w:val="32"/>
          <w:szCs w:val="32"/>
          <w:highlight w:val="none"/>
          <w:lang w:val="en-US" w:eastAsia="zh-CN"/>
        </w:rPr>
        <w:t>0</w:t>
      </w:r>
      <w:r>
        <w:rPr>
          <w:rFonts w:hint="eastAsia" w:ascii="仿宋_GB2312" w:eastAsia="仿宋_GB2312"/>
          <w:color w:val="auto"/>
          <w:sz w:val="32"/>
          <w:szCs w:val="32"/>
          <w:highlight w:val="none"/>
        </w:rPr>
        <w:t>辆。</w:t>
      </w:r>
    </w:p>
    <w:p w14:paraId="0BB6A45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eastAsia="仿宋_GB2312" w:cs="仿宋_GB2312"/>
          <w:color w:val="auto"/>
          <w:kern w:val="2"/>
          <w:sz w:val="32"/>
          <w:szCs w:val="32"/>
          <w:highlight w:val="none"/>
          <w:lang w:val="en-US" w:eastAsia="zh-CN" w:bidi="ar-SA"/>
        </w:rPr>
        <w:t>3.64</w:t>
      </w:r>
      <w:r>
        <w:rPr>
          <w:rFonts w:hint="eastAsia" w:ascii="Times New Roman" w:hAnsi="Times New Roman" w:eastAsia="仿宋_GB2312" w:cs="仿宋_GB2312"/>
          <w:color w:val="auto"/>
          <w:kern w:val="2"/>
          <w:sz w:val="32"/>
          <w:szCs w:val="32"/>
          <w:highlight w:val="none"/>
          <w:lang w:val="en-US" w:eastAsia="zh-CN" w:bidi="ar-SA"/>
        </w:rPr>
        <w:t>万元。主要用于各项统计专业工作下乡指导及参加业务培训会所需的公务用车燃料费、维修费、过路过桥费、保险费等支出。</w:t>
      </w:r>
    </w:p>
    <w:p w14:paraId="739859FB">
      <w:pPr>
        <w:spacing w:line="600" w:lineRule="exact"/>
        <w:ind w:left="672"/>
        <w:rPr>
          <w:rFonts w:hint="eastAsia"/>
          <w:lang w:val="en-US" w:eastAsia="zh-CN"/>
        </w:rPr>
      </w:pPr>
      <w:r>
        <w:rPr>
          <w:rFonts w:hint="eastAsia" w:ascii="Times New Roman" w:hAnsi="Times New Roman" w:eastAsia="仿宋_GB2312" w:cs="仿宋_GB2312"/>
          <w:b/>
          <w:bCs/>
          <w:color w:val="auto"/>
          <w:kern w:val="2"/>
          <w:sz w:val="32"/>
          <w:szCs w:val="32"/>
          <w:highlight w:val="none"/>
          <w:lang w:val="en-US" w:eastAsia="zh-CN" w:bidi="ar-SA"/>
        </w:rPr>
        <w:t>3.2025年度公务接待费支出</w:t>
      </w:r>
      <w:bookmarkStart w:id="56" w:name="_Toc15396610"/>
      <w:bookmarkStart w:id="57" w:name="_Toc15377218"/>
      <w:r>
        <w:rPr>
          <w:rFonts w:hint="eastAsia" w:ascii="Times New Roman" w:hAnsi="Times New Roman" w:eastAsia="仿宋_GB2312" w:cs="仿宋_GB2312"/>
          <w:b/>
          <w:bCs/>
          <w:color w:val="auto"/>
          <w:kern w:val="2"/>
          <w:sz w:val="32"/>
          <w:szCs w:val="32"/>
          <w:highlight w:val="none"/>
          <w:lang w:val="en-US" w:eastAsia="zh-CN" w:bidi="ar-SA"/>
        </w:rPr>
        <w:t>0万元</w:t>
      </w:r>
      <w:r>
        <w:rPr>
          <w:rFonts w:hint="eastAsia" w:eastAsia="仿宋_GB2312" w:cs="仿宋_GB2312"/>
          <w:b/>
          <w:bCs/>
          <w:color w:val="auto"/>
          <w:kern w:val="2"/>
          <w:sz w:val="32"/>
          <w:szCs w:val="32"/>
          <w:highlight w:val="none"/>
          <w:lang w:val="en-US" w:eastAsia="zh-CN" w:bidi="ar-SA"/>
        </w:rPr>
        <w:t>，完成预算0%。</w:t>
      </w:r>
    </w:p>
    <w:p w14:paraId="7730B9EA">
      <w:pPr>
        <w:spacing w:line="600" w:lineRule="exact"/>
        <w:ind w:firstLine="640"/>
        <w:outlineLvl w:val="0"/>
        <w:rPr>
          <w:rStyle w:val="21"/>
          <w:rFonts w:ascii="Times New Roman" w:hAnsi="Times New Roman" w:eastAsia="黑体"/>
          <w:color w:val="auto"/>
          <w:highlight w:val="none"/>
        </w:rPr>
      </w:pPr>
      <w:bookmarkStart w:id="58" w:name="_Toc16269"/>
      <w:r>
        <w:rPr>
          <w:rFonts w:hint="eastAsia" w:ascii="Times New Roman" w:hAnsi="Times New Roman" w:eastAsia="黑体"/>
          <w:color w:val="auto"/>
          <w:sz w:val="32"/>
          <w:szCs w:val="32"/>
          <w:highlight w:val="none"/>
        </w:rPr>
        <w:t>八、</w:t>
      </w:r>
      <w:r>
        <w:rPr>
          <w:rStyle w:val="21"/>
          <w:rFonts w:hint="eastAsia" w:ascii="Times New Roman" w:hAnsi="Times New Roman" w:eastAsia="黑体"/>
          <w:b w:val="0"/>
          <w:color w:val="auto"/>
          <w:highlight w:val="none"/>
        </w:rPr>
        <w:t>政府性基金预算支出决算情况说明</w:t>
      </w:r>
      <w:bookmarkEnd w:id="56"/>
      <w:bookmarkEnd w:id="57"/>
      <w:bookmarkEnd w:id="58"/>
    </w:p>
    <w:p w14:paraId="4DF2D4A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eastAsia="仿宋_GB2312" w:cs="仿宋_GB2312"/>
          <w:color w:val="auto"/>
          <w:kern w:val="2"/>
          <w:sz w:val="32"/>
          <w:szCs w:val="32"/>
          <w:highlight w:val="none"/>
          <w:lang w:val="en-US" w:eastAsia="zh-CN" w:bidi="ar-SA"/>
        </w:rPr>
        <w:t>0万元。</w:t>
      </w:r>
    </w:p>
    <w:p w14:paraId="0498D89C">
      <w:pPr>
        <w:spacing w:line="600" w:lineRule="exact"/>
        <w:ind w:left="630" w:firstLine="0"/>
        <w:outlineLvl w:val="0"/>
        <w:rPr>
          <w:rStyle w:val="21"/>
          <w:rFonts w:ascii="Times New Roman" w:hAnsi="Times New Roman" w:eastAsia="黑体"/>
          <w:b w:val="0"/>
          <w:color w:val="auto"/>
          <w:highlight w:val="none"/>
        </w:rPr>
      </w:pPr>
      <w:bookmarkStart w:id="59" w:name="_Toc15396611"/>
      <w:bookmarkStart w:id="60" w:name="_Toc15377219"/>
      <w:bookmarkStart w:id="61" w:name="_Toc32594"/>
      <w:r>
        <w:rPr>
          <w:rStyle w:val="21"/>
          <w:rFonts w:hint="eastAsia" w:ascii="Times New Roman" w:hAnsi="Times New Roman" w:eastAsia="黑体"/>
          <w:b w:val="0"/>
          <w:color w:val="auto"/>
          <w:highlight w:val="none"/>
          <w:lang w:eastAsia="zh-CN"/>
        </w:rPr>
        <w:t>九、</w:t>
      </w:r>
      <w:r>
        <w:rPr>
          <w:rStyle w:val="21"/>
          <w:rFonts w:hint="eastAsia" w:ascii="Times New Roman" w:hAnsi="Times New Roman" w:eastAsia="黑体"/>
          <w:b w:val="0"/>
          <w:color w:val="auto"/>
          <w:highlight w:val="none"/>
        </w:rPr>
        <w:t>国有资本经营预算支出决算情况说明</w:t>
      </w:r>
      <w:bookmarkEnd w:id="59"/>
      <w:bookmarkEnd w:id="60"/>
      <w:bookmarkEnd w:id="61"/>
    </w:p>
    <w:p w14:paraId="1AE79E7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2025年度国有资本经营预算财政拨款支出0万元</w:t>
      </w:r>
      <w:r>
        <w:rPr>
          <w:rFonts w:hint="eastAsia" w:eastAsia="仿宋_GB2312" w:cs="仿宋_GB2312"/>
          <w:color w:val="auto"/>
          <w:kern w:val="2"/>
          <w:sz w:val="32"/>
          <w:szCs w:val="32"/>
          <w:highlight w:val="none"/>
          <w:lang w:val="en-US" w:eastAsia="zh-CN" w:bidi="ar-SA"/>
        </w:rPr>
        <w:t>。</w:t>
      </w:r>
    </w:p>
    <w:p w14:paraId="599A613E">
      <w:pPr>
        <w:spacing w:line="600" w:lineRule="exact"/>
        <w:ind w:left="630" w:firstLine="0"/>
        <w:outlineLvl w:val="0"/>
        <w:rPr>
          <w:rStyle w:val="21"/>
          <w:rFonts w:hint="eastAsia" w:ascii="Times New Roman" w:hAnsi="Times New Roman" w:eastAsia="黑体"/>
          <w:b w:val="0"/>
          <w:color w:val="auto"/>
          <w:highlight w:val="none"/>
        </w:rPr>
      </w:pPr>
      <w:bookmarkStart w:id="62" w:name="_Toc15396612"/>
      <w:bookmarkStart w:id="63" w:name="_Toc15377221"/>
      <w:bookmarkStart w:id="64" w:name="_Toc14120"/>
      <w:r>
        <w:rPr>
          <w:rStyle w:val="21"/>
          <w:rFonts w:hint="eastAsia" w:ascii="Times New Roman" w:hAnsi="Times New Roman" w:eastAsia="黑体"/>
          <w:b w:val="0"/>
          <w:color w:val="auto"/>
          <w:highlight w:val="none"/>
          <w:lang w:eastAsia="zh-CN"/>
        </w:rPr>
        <w:t>十、</w:t>
      </w:r>
      <w:r>
        <w:rPr>
          <w:rStyle w:val="21"/>
          <w:rFonts w:hint="eastAsia" w:ascii="Times New Roman" w:hAnsi="Times New Roman" w:eastAsia="黑体"/>
          <w:b w:val="0"/>
          <w:color w:val="auto"/>
          <w:highlight w:val="none"/>
        </w:rPr>
        <w:t>其他重要事项的情况说明</w:t>
      </w:r>
      <w:bookmarkEnd w:id="62"/>
      <w:bookmarkEnd w:id="63"/>
      <w:bookmarkEnd w:id="64"/>
    </w:p>
    <w:p w14:paraId="70706F2C">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5" w:name="_Toc15377222"/>
      <w:bookmarkStart w:id="66" w:name="_Toc21608"/>
      <w:r>
        <w:rPr>
          <w:rFonts w:hint="eastAsia" w:ascii="Times New Roman" w:hAnsi="Times New Roman" w:eastAsia="楷体_GB2312" w:cs="楷体_GB2312"/>
          <w:b/>
          <w:color w:val="auto"/>
          <w:sz w:val="32"/>
          <w:szCs w:val="32"/>
          <w:highlight w:val="none"/>
        </w:rPr>
        <w:t>（一）机关运行经费支出情况</w:t>
      </w:r>
      <w:bookmarkEnd w:id="65"/>
      <w:bookmarkEnd w:id="66"/>
    </w:p>
    <w:p w14:paraId="19A8B51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，四川省阿坝州茂县统计局机关运行经费支出</w:t>
      </w:r>
      <w:r>
        <w:rPr>
          <w:rFonts w:hint="eastAsia" w:eastAsia="仿宋_GB2312" w:cs="仿宋_GB2312"/>
          <w:color w:val="auto"/>
          <w:kern w:val="2"/>
          <w:sz w:val="32"/>
          <w:szCs w:val="32"/>
          <w:highlight w:val="none"/>
          <w:lang w:val="en-US" w:eastAsia="zh-CN" w:bidi="ar-SA"/>
        </w:rPr>
        <w:t>14.91</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与上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相比</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2.62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21.3</w:t>
      </w:r>
      <w:r>
        <w:rPr>
          <w:rFonts w:hint="eastAsia" w:ascii="Times New Roman" w:hAnsi="Times New Roman" w:eastAsia="仿宋_GB2312" w:cs="仿宋_GB2312"/>
          <w:color w:val="auto"/>
          <w:kern w:val="2"/>
          <w:sz w:val="32"/>
          <w:szCs w:val="32"/>
          <w:highlight w:val="none"/>
          <w:lang w:val="en-US" w:eastAsia="zh-CN" w:bidi="ar-SA"/>
        </w:rPr>
        <w:t>%。主要原因是</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2025年各专业加强开展数据基础质量工作，下乡频率增加。</w:t>
      </w:r>
    </w:p>
    <w:p w14:paraId="37B718D9">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7" w:name="_Toc15377223"/>
      <w:bookmarkStart w:id="68" w:name="_Toc28626"/>
      <w:r>
        <w:rPr>
          <w:rFonts w:hint="eastAsia" w:ascii="Times New Roman" w:hAnsi="Times New Roman" w:eastAsia="楷体_GB2312" w:cs="楷体_GB2312"/>
          <w:b/>
          <w:color w:val="auto"/>
          <w:sz w:val="32"/>
          <w:szCs w:val="32"/>
          <w:highlight w:val="none"/>
        </w:rPr>
        <w:t>（二）政府采购支出情况</w:t>
      </w:r>
      <w:bookmarkEnd w:id="67"/>
      <w:bookmarkEnd w:id="68"/>
    </w:p>
    <w:p w14:paraId="6F76F82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eastAsia="仿宋_GB2312" w:cs="仿宋_GB2312"/>
          <w:sz w:val="32"/>
          <w:szCs w:val="32"/>
        </w:rPr>
        <w:t>四川省阿坝州茂县统计局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14:paraId="467DF787">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69" w:name="_Toc15377224"/>
      <w:bookmarkStart w:id="70" w:name="_Toc16324"/>
      <w:r>
        <w:rPr>
          <w:rFonts w:hint="eastAsia" w:ascii="Times New Roman" w:hAnsi="Times New Roman" w:eastAsia="楷体_GB2312" w:cs="楷体_GB2312"/>
          <w:b/>
          <w:color w:val="auto"/>
          <w:sz w:val="32"/>
          <w:szCs w:val="32"/>
          <w:highlight w:val="none"/>
        </w:rPr>
        <w:t>（三）国有资产占有使用情况</w:t>
      </w:r>
      <w:bookmarkEnd w:id="69"/>
      <w:bookmarkEnd w:id="70"/>
    </w:p>
    <w:p w14:paraId="1F7147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年12月31日，四川省阿坝州茂县统计局共有车辆</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辆，其中：应急保障用车</w:t>
      </w:r>
      <w:r>
        <w:rPr>
          <w:rFonts w:hint="eastAsia" w:eastAsia="仿宋_GB2312" w:cs="仿宋_GB2312"/>
          <w:color w:val="auto"/>
          <w:kern w:val="2"/>
          <w:sz w:val="32"/>
          <w:szCs w:val="32"/>
          <w:highlight w:val="none"/>
          <w:lang w:val="en-US" w:eastAsia="zh-CN" w:bidi="ar-SA"/>
        </w:rPr>
        <w:t>1</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p>
    <w:p w14:paraId="7D8B93B1">
      <w:pPr>
        <w:spacing w:line="600" w:lineRule="exact"/>
        <w:ind w:firstLine="643" w:firstLineChars="200"/>
        <w:outlineLvl w:val="1"/>
        <w:rPr>
          <w:rFonts w:hint="eastAsia" w:ascii="Times New Roman" w:hAnsi="Times New Roman" w:eastAsia="楷体_GB2312" w:cs="楷体_GB2312"/>
          <w:b/>
          <w:color w:val="auto"/>
          <w:sz w:val="32"/>
          <w:szCs w:val="32"/>
          <w:highlight w:val="none"/>
        </w:rPr>
      </w:pPr>
      <w:bookmarkStart w:id="71" w:name="_Toc13905"/>
      <w:r>
        <w:rPr>
          <w:rFonts w:hint="eastAsia" w:ascii="Times New Roman" w:hAnsi="Times New Roman" w:eastAsia="楷体_GB2312" w:cs="楷体_GB2312"/>
          <w:b/>
          <w:color w:val="auto"/>
          <w:sz w:val="32"/>
          <w:szCs w:val="32"/>
          <w:highlight w:val="none"/>
        </w:rPr>
        <w:t>（四）预算绩效管理情况</w:t>
      </w:r>
      <w:bookmarkEnd w:id="71"/>
    </w:p>
    <w:p w14:paraId="7109586F">
      <w:pPr>
        <w:spacing w:line="600" w:lineRule="exact"/>
        <w:ind w:firstLine="640"/>
        <w:rPr>
          <w:rFonts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仿宋_GB2312"/>
          <w:color w:val="auto"/>
          <w:kern w:val="2"/>
          <w:sz w:val="32"/>
          <w:szCs w:val="32"/>
          <w:highlight w:val="none"/>
          <w:lang w:val="en-US" w:eastAsia="zh-CN" w:bidi="ar-SA"/>
        </w:rPr>
        <w:t>根据预算绩效管理要求，四川省阿坝州茂县统计局在2025年度，组织对城乡住户调查、“一套表”联网直报项目等</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173.67</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个项目开展绩效监控</w:t>
      </w:r>
      <w:r>
        <w:rPr>
          <w:rFonts w:hint="eastAsia" w:eastAsia="仿宋_GB2312" w:cs="仿宋_GB2312"/>
          <w:color w:val="auto"/>
          <w:kern w:val="2"/>
          <w:sz w:val="32"/>
          <w:szCs w:val="32"/>
          <w:highlight w:val="none"/>
          <w:lang w:val="en-US" w:eastAsia="zh-CN" w:bidi="ar-SA"/>
        </w:rPr>
        <w:t>,</w:t>
      </w:r>
      <w:r>
        <w:rPr>
          <w:rFonts w:ascii="Times New Roman" w:hAnsi="Times New Roman" w:eastAsia="仿宋_GB2312" w:cs="Times New Roman"/>
          <w:color w:val="auto"/>
          <w:sz w:val="32"/>
          <w:szCs w:val="32"/>
          <w:highlight w:val="none"/>
          <w:lang w:eastAsia="zh-CN"/>
        </w:rPr>
        <w:t>组织对</w:t>
      </w:r>
      <w:r>
        <w:rPr>
          <w:rFonts w:hint="eastAsia" w:eastAsia="仿宋_GB2312" w:cs="Times New Roman"/>
          <w:color w:val="auto"/>
          <w:sz w:val="32"/>
          <w:szCs w:val="32"/>
          <w:highlight w:val="none"/>
          <w:lang w:val="en-US" w:eastAsia="zh-CN"/>
        </w:rPr>
        <w:t>6</w:t>
      </w:r>
      <w:r>
        <w:rPr>
          <w:rFonts w:ascii="Times New Roman" w:hAnsi="Times New Roman" w:eastAsia="仿宋_GB2312" w:cs="Times New Roman"/>
          <w:color w:val="auto"/>
          <w:sz w:val="32"/>
          <w:szCs w:val="32"/>
          <w:highlight w:val="none"/>
          <w:lang w:val="en-US" w:eastAsia="zh-CN"/>
        </w:rPr>
        <w:t>个项目开展绩效自评，绩效自评表详见第四部分附件。</w:t>
      </w:r>
    </w:p>
    <w:p w14:paraId="46214EA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6CBD31A4">
      <w:pPr>
        <w:keepNext w:val="0"/>
        <w:keepLines w:val="0"/>
        <w:pageBreakBefore/>
        <w:widowControl w:val="0"/>
        <w:kinsoku/>
        <w:wordWrap/>
        <w:overflowPunct/>
        <w:topLinePunct w:val="0"/>
        <w:autoSpaceDE/>
        <w:autoSpaceDN/>
        <w:bidi w:val="0"/>
        <w:adjustRightInd/>
        <w:snapToGrid/>
        <w:spacing w:line="600" w:lineRule="exact"/>
        <w:jc w:val="center"/>
        <w:textAlignment w:val="auto"/>
        <w:outlineLvl w:val="0"/>
        <w:rPr>
          <w:rFonts w:hint="eastAsia" w:ascii="Times New Roman" w:hAnsi="Times New Roman" w:eastAsia="黑体"/>
          <w:color w:val="auto"/>
          <w:sz w:val="44"/>
          <w:szCs w:val="44"/>
          <w:highlight w:val="none"/>
        </w:rPr>
      </w:pPr>
      <w:bookmarkStart w:id="72" w:name="_Toc15396613"/>
      <w:bookmarkStart w:id="73" w:name="_Toc15377225"/>
      <w:bookmarkStart w:id="74" w:name="_Toc30891"/>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72"/>
      <w:bookmarkEnd w:id="73"/>
      <w:bookmarkEnd w:id="74"/>
    </w:p>
    <w:p w14:paraId="6E900B9D">
      <w:pPr>
        <w:spacing w:line="600" w:lineRule="exact"/>
        <w:jc w:val="left"/>
        <w:rPr>
          <w:rFonts w:ascii="Times New Roman" w:hAnsi="Times New Roman"/>
          <w:b/>
          <w:color w:val="auto"/>
          <w:sz w:val="44"/>
          <w:szCs w:val="44"/>
          <w:highlight w:val="none"/>
        </w:rPr>
      </w:pPr>
    </w:p>
    <w:p w14:paraId="38170E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4F3BDA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2.其他收入：指单位取得的除上述收入以外的各项收入。主要是</w:t>
      </w:r>
      <w:r>
        <w:rPr>
          <w:rFonts w:hint="eastAsia" w:eastAsia="仿宋_GB2312" w:cs="仿宋_GB2312"/>
          <w:color w:val="auto"/>
          <w:kern w:val="2"/>
          <w:sz w:val="32"/>
          <w:szCs w:val="32"/>
          <w:highlight w:val="none"/>
          <w:lang w:val="en-US" w:eastAsia="zh-CN" w:bidi="ar-SA"/>
        </w:rPr>
        <w:t>资产处置收入</w:t>
      </w:r>
      <w:r>
        <w:rPr>
          <w:rFonts w:hint="eastAsia" w:ascii="Times New Roman" w:hAnsi="Times New Roman" w:eastAsia="仿宋_GB2312" w:cs="仿宋_GB2312"/>
          <w:color w:val="auto"/>
          <w:kern w:val="2"/>
          <w:sz w:val="32"/>
          <w:szCs w:val="32"/>
          <w:highlight w:val="none"/>
          <w:lang w:val="en-US" w:eastAsia="zh-CN" w:bidi="ar-SA"/>
        </w:rPr>
        <w:t xml:space="preserve">。  </w:t>
      </w:r>
    </w:p>
    <w:p w14:paraId="0A99C3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 xml:space="preserve">.年初结转和结余：指以前年度尚未完成、结转到本年按有关规定继续使用的资金。 </w:t>
      </w:r>
    </w:p>
    <w:p w14:paraId="0674E70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4</w:t>
      </w:r>
      <w:r>
        <w:rPr>
          <w:rFonts w:hint="eastAsia" w:ascii="Times New Roman" w:hAnsi="Times New Roman" w:eastAsia="仿宋_GB2312" w:cs="仿宋_GB2312"/>
          <w:color w:val="auto"/>
          <w:kern w:val="2"/>
          <w:sz w:val="32"/>
          <w:szCs w:val="32"/>
          <w:highlight w:val="none"/>
          <w:lang w:val="en-US" w:eastAsia="zh-CN" w:bidi="ar-SA"/>
        </w:rPr>
        <w:t>.年末结转和结余：指单位按有关规定结转到下年或以后年度继续使用的资金。</w:t>
      </w:r>
    </w:p>
    <w:p w14:paraId="64264B6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）统计信息事务（</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）行政运行（</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）：指行政单位（包括实行公务员管理的事业单位）的基本支出。</w:t>
      </w:r>
    </w:p>
    <w:p w14:paraId="3158AB6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）统计信息事务（</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）专项统计业务（</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）：指各级统计机关在日常业务之外开展专项统计工作的支出。</w:t>
      </w:r>
    </w:p>
    <w:p w14:paraId="21E6D0C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）统计信息事务（</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）专项普查活动（</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）：指统计部门开展人口普查、经济普查、农业普查、投入产出调查等周期性普查工作的支出。</w:t>
      </w:r>
    </w:p>
    <w:p w14:paraId="1653D756">
      <w:pPr>
        <w:spacing w:line="600" w:lineRule="exact"/>
        <w:ind w:firstLine="640"/>
        <w:rPr>
          <w:rFonts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.一般公共服务（</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）统计信息事务（</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）其他统计信息事务支出（</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）：指统计信息事务款下，除行政运行、专项普查、专项统计业务、统计抽样调查、统计管理、事业运行等列明项以外的统计相关业务支出</w:t>
      </w:r>
      <w:r>
        <w:rPr>
          <w:rFonts w:hint="eastAsia" w:eastAsia="仿宋_GB2312" w:cs="仿宋_GB2312"/>
          <w:color w:val="auto"/>
          <w:kern w:val="2"/>
          <w:sz w:val="32"/>
          <w:szCs w:val="32"/>
          <w:highlight w:val="none"/>
          <w:lang w:val="en-US" w:eastAsia="zh-CN" w:bidi="ar-SA"/>
        </w:rPr>
        <w:t>。</w:t>
      </w:r>
    </w:p>
    <w:p w14:paraId="0FE483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9</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）机关事业单位基本养老保险缴费（</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）：指机关事业单位基本养老保险缴费支出，反映机关事业单位实施养老保险制度由单位缴纳的基本养老保险费支出。</w:t>
      </w:r>
    </w:p>
    <w:p w14:paraId="72B9CC18">
      <w:pPr>
        <w:pageBreakBefore w:val="0"/>
        <w:widowControl w:val="0"/>
        <w:kinsoku/>
        <w:wordWrap/>
        <w:overflowPunct/>
        <w:topLinePunct w:val="0"/>
        <w:autoSpaceDE/>
        <w:autoSpaceDN/>
        <w:bidi w:val="0"/>
        <w:spacing w:line="576" w:lineRule="exact"/>
        <w:ind w:left="0" w:right="0" w:firstLine="640" w:firstLineChars="200"/>
        <w:jc w:val="both"/>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10</w:t>
      </w:r>
      <w:r>
        <w:rPr>
          <w:rFonts w:hint="eastAsia" w:ascii="Times New Roman" w:hAnsi="Times New Roman" w:eastAsia="仿宋_GB2312" w:cs="仿宋_GB2312"/>
          <w:color w:val="auto"/>
          <w:kern w:val="2"/>
          <w:sz w:val="32"/>
          <w:szCs w:val="32"/>
          <w:highlight w:val="none"/>
          <w:lang w:val="en-US" w:eastAsia="zh-CN" w:bidi="ar-SA"/>
        </w:rPr>
        <w:t>.社会保障和就业（</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）行政事业单位养老支出（</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）机关事业单位职业年金缴费（</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w:t>
      </w:r>
      <w:r>
        <w:rPr>
          <w:rFonts w:ascii="Times New Roman" w:hAnsi="Times New Roman" w:eastAsia="仿宋_GB2312" w:cs="Times New Roman"/>
          <w:sz w:val="32"/>
          <w:szCs w:val="32"/>
          <w:lang w:bidi="ar-SA"/>
        </w:rPr>
        <w:t>机关事业单位职业年金缴费支出，反映机关事业单位实施养老保险制度由单位实际缴纳的职业年金支出</w:t>
      </w:r>
      <w:r>
        <w:rPr>
          <w:rFonts w:ascii="Times New Roman" w:hAnsi="Times New Roman" w:eastAsia="仿宋_GB2312" w:cs="Times New Roman"/>
          <w:color w:val="000000"/>
          <w:sz w:val="32"/>
          <w:szCs w:val="32"/>
          <w:lang w:bidi="ar-SA"/>
        </w:rPr>
        <w:t>。</w:t>
      </w:r>
    </w:p>
    <w:p w14:paraId="78B6E92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11</w:t>
      </w:r>
      <w:r>
        <w:rPr>
          <w:rFonts w:hint="eastAsia" w:ascii="Times New Roman" w:hAnsi="Times New Roman" w:eastAsia="仿宋_GB2312" w:cs="仿宋_GB2312"/>
          <w:color w:val="auto"/>
          <w:kern w:val="2"/>
          <w:sz w:val="32"/>
          <w:szCs w:val="32"/>
          <w:highlight w:val="none"/>
          <w:lang w:val="en-US" w:eastAsia="zh-CN" w:bidi="ar-SA"/>
        </w:rPr>
        <w:t>.卫生健康（</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）行政事业单位医疗（</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）行政单位医疗（</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）：指行政单位医疗，反映用于医疗保障方面的支出，指财政部门集中安排的行政单位的公费医疗经费，按国家规定享受离休人员、红军老战士待遇人员的医疗经费。</w:t>
      </w:r>
    </w:p>
    <w:p w14:paraId="58AD831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12</w:t>
      </w:r>
      <w:r>
        <w:rPr>
          <w:rFonts w:hint="eastAsia" w:ascii="Times New Roman" w:hAnsi="Times New Roman" w:eastAsia="仿宋_GB2312" w:cs="仿宋_GB2312"/>
          <w:color w:val="auto"/>
          <w:kern w:val="2"/>
          <w:sz w:val="32"/>
          <w:szCs w:val="32"/>
          <w:highlight w:val="none"/>
          <w:lang w:val="en-US" w:eastAsia="zh-CN" w:bidi="ar-SA"/>
        </w:rPr>
        <w:t>.住房保障（</w:t>
      </w:r>
      <w:r>
        <w:rPr>
          <w:rFonts w:hint="eastAsia" w:eastAsia="仿宋_GB2312" w:cs="仿宋_GB2312"/>
          <w:color w:val="auto"/>
          <w:kern w:val="2"/>
          <w:sz w:val="32"/>
          <w:szCs w:val="32"/>
          <w:highlight w:val="none"/>
          <w:lang w:val="en-US" w:eastAsia="zh-CN" w:bidi="ar-SA"/>
        </w:rPr>
        <w:t>类</w:t>
      </w:r>
      <w:r>
        <w:rPr>
          <w:rFonts w:hint="eastAsia" w:ascii="Times New Roman" w:hAnsi="Times New Roman" w:eastAsia="仿宋_GB2312" w:cs="仿宋_GB2312"/>
          <w:color w:val="auto"/>
          <w:kern w:val="2"/>
          <w:sz w:val="32"/>
          <w:szCs w:val="32"/>
          <w:highlight w:val="none"/>
          <w:lang w:val="en-US" w:eastAsia="zh-CN" w:bidi="ar-SA"/>
        </w:rPr>
        <w:t>）住房改革（</w:t>
      </w:r>
      <w:r>
        <w:rPr>
          <w:rFonts w:hint="eastAsia" w:eastAsia="仿宋_GB2312" w:cs="仿宋_GB2312"/>
          <w:color w:val="auto"/>
          <w:kern w:val="2"/>
          <w:sz w:val="32"/>
          <w:szCs w:val="32"/>
          <w:highlight w:val="none"/>
          <w:lang w:val="en-US" w:eastAsia="zh-CN" w:bidi="ar-SA"/>
        </w:rPr>
        <w:t>款</w:t>
      </w:r>
      <w:r>
        <w:rPr>
          <w:rFonts w:hint="eastAsia" w:ascii="Times New Roman" w:hAnsi="Times New Roman" w:eastAsia="仿宋_GB2312" w:cs="仿宋_GB2312"/>
          <w:color w:val="auto"/>
          <w:kern w:val="2"/>
          <w:sz w:val="32"/>
          <w:szCs w:val="32"/>
          <w:highlight w:val="none"/>
          <w:lang w:val="en-US" w:eastAsia="zh-CN" w:bidi="ar-SA"/>
        </w:rPr>
        <w:t>）住房公积金（</w:t>
      </w:r>
      <w:r>
        <w:rPr>
          <w:rFonts w:hint="eastAsia" w:eastAsia="仿宋_GB2312" w:cs="仿宋_GB2312"/>
          <w:color w:val="auto"/>
          <w:kern w:val="2"/>
          <w:sz w:val="32"/>
          <w:szCs w:val="32"/>
          <w:highlight w:val="none"/>
          <w:lang w:val="en-US" w:eastAsia="zh-CN" w:bidi="ar-SA"/>
        </w:rPr>
        <w:t>项</w:t>
      </w:r>
      <w:r>
        <w:rPr>
          <w:rFonts w:hint="eastAsia" w:ascii="Times New Roman" w:hAnsi="Times New Roman" w:eastAsia="仿宋_GB2312" w:cs="仿宋_GB2312"/>
          <w:color w:val="auto"/>
          <w:kern w:val="2"/>
          <w:sz w:val="32"/>
          <w:szCs w:val="32"/>
          <w:highlight w:val="none"/>
          <w:lang w:val="en-US" w:eastAsia="zh-CN" w:bidi="ar-SA"/>
        </w:rPr>
        <w:t>）：指住房改革支出，反映行政事业单位按人力资源和社会保障部、财政部规定的基本工资和津贴补贴以及规定比例为职工缴纳的住房公积金。</w:t>
      </w:r>
    </w:p>
    <w:p w14:paraId="544F21A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4A8235B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14</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588C940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15</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29B263D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16</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0A65F2C5">
      <w:pPr>
        <w:spacing w:line="600" w:lineRule="exact"/>
        <w:ind w:firstLine="640"/>
        <w:jc w:val="left"/>
        <w:rPr>
          <w:rStyle w:val="20"/>
          <w:rFonts w:hint="eastAsia" w:ascii="Times New Roman" w:hAnsi="Times New Roman" w:eastAsia="黑体"/>
          <w:b w:val="0"/>
          <w:color w:val="auto"/>
          <w:highlight w:val="none"/>
          <w:lang w:eastAsia="zh-CN"/>
        </w:rPr>
      </w:pPr>
      <w:r>
        <w:rPr>
          <w:rFonts w:hint="eastAsia" w:eastAsia="仿宋_GB2312" w:cs="仿宋_GB2312"/>
          <w:color w:val="auto"/>
          <w:kern w:val="2"/>
          <w:sz w:val="32"/>
          <w:szCs w:val="32"/>
          <w:highlight w:val="none"/>
          <w:lang w:val="en-US" w:eastAsia="zh-CN" w:bidi="ar-SA"/>
        </w:rPr>
        <w:t>17</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bookmarkStart w:id="75" w:name="_Toc15377226"/>
      <w:r>
        <w:rPr>
          <w:rFonts w:hint="eastAsia" w:ascii="Times New Roman" w:hAnsi="Times New Roman" w:eastAsia="仿宋_GB2312" w:cs="仿宋_GB2312"/>
          <w:color w:val="auto"/>
          <w:kern w:val="2"/>
          <w:sz w:val="32"/>
          <w:szCs w:val="32"/>
          <w:highlight w:val="none"/>
          <w:lang w:val="en-US" w:eastAsia="zh-CN" w:bidi="ar-SA"/>
        </w:rPr>
        <w:br w:type="page"/>
      </w:r>
    </w:p>
    <w:p w14:paraId="23244BC6">
      <w:pPr>
        <w:keepNext w:val="0"/>
        <w:keepLines w:val="0"/>
        <w:pageBreakBefore w:val="0"/>
        <w:widowControl w:val="0"/>
        <w:kinsoku/>
        <w:wordWrap/>
        <w:overflowPunct/>
        <w:topLinePunct w:val="0"/>
        <w:autoSpaceDE/>
        <w:autoSpaceDN/>
        <w:bidi w:val="0"/>
        <w:spacing w:line="572" w:lineRule="exact"/>
        <w:jc w:val="center"/>
        <w:textAlignment w:val="auto"/>
        <w:outlineLvl w:val="0"/>
        <w:rPr>
          <w:rFonts w:hint="eastAsia" w:eastAsia="黑体" w:cs="黑体"/>
          <w:color w:val="auto"/>
          <w:sz w:val="44"/>
          <w:szCs w:val="44"/>
          <w:highlight w:val="none"/>
          <w:lang w:val="en-US" w:eastAsia="zh-CN"/>
        </w:rPr>
      </w:pPr>
      <w:bookmarkStart w:id="76" w:name="_Toc29703"/>
      <w:r>
        <w:rPr>
          <w:rFonts w:hint="eastAsia" w:eastAsia="黑体" w:cs="黑体"/>
          <w:color w:val="auto"/>
          <w:sz w:val="44"/>
          <w:szCs w:val="44"/>
          <w:highlight w:val="none"/>
          <w:lang w:eastAsia="zh-CN"/>
        </w:rPr>
        <w:t>第四部分</w:t>
      </w:r>
      <w:r>
        <w:rPr>
          <w:rFonts w:hint="eastAsia" w:eastAsia="黑体" w:cs="黑体"/>
          <w:color w:val="auto"/>
          <w:sz w:val="44"/>
          <w:szCs w:val="44"/>
          <w:highlight w:val="none"/>
          <w:lang w:val="en-US" w:eastAsia="zh-CN"/>
        </w:rPr>
        <w:t xml:space="preserve">  附件</w:t>
      </w:r>
      <w:bookmarkEnd w:id="76"/>
    </w:p>
    <w:p w14:paraId="1FB43615">
      <w:pPr>
        <w:pStyle w:val="2"/>
        <w:rPr>
          <w:lang w:val="en-US" w:eastAsia="zh-CN"/>
        </w:rPr>
      </w:pPr>
    </w:p>
    <w:p w14:paraId="303FC9D0">
      <w:pPr>
        <w:keepNext w:val="0"/>
        <w:keepLines w:val="0"/>
        <w:pageBreakBefore w:val="0"/>
        <w:widowControl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bookmarkStart w:id="77" w:name="_Toc23913"/>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bookmarkEnd w:id="77"/>
    </w:p>
    <w:p w14:paraId="5072567F">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方正小标宋简体" w:cs="Times New Roman"/>
          <w:b w:val="0"/>
          <w:bCs/>
          <w:sz w:val="44"/>
          <w:szCs w:val="44"/>
          <w:highlight w:val="none"/>
          <w:shd w:val="clear" w:color="auto" w:fill="FFFFFF"/>
        </w:rPr>
      </w:pPr>
    </w:p>
    <w:p w14:paraId="61BC671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ascii="Times New Roman" w:hAnsi="Times New Roman" w:eastAsia="仿宋_GB2312" w:cs="Times New Roman"/>
          <w:sz w:val="32"/>
          <w:szCs w:val="32"/>
          <w:highlight w:val="none"/>
          <w:shd w:val="clear" w:color="auto" w:fill="FFFFFF"/>
        </w:rPr>
      </w:pPr>
      <w:r>
        <w:rPr>
          <w:rFonts w:ascii="Times New Roman" w:hAnsi="Times New Roman" w:eastAsia="方正小标宋简体" w:cs="Times New Roman"/>
          <w:b w:val="0"/>
          <w:bCs/>
          <w:sz w:val="44"/>
          <w:szCs w:val="44"/>
          <w:highlight w:val="none"/>
          <w:shd w:val="clear" w:color="auto" w:fill="FFFFFF"/>
        </w:rPr>
        <w:t>部门</w:t>
      </w:r>
      <w:r>
        <w:rPr>
          <w:rFonts w:ascii="Times New Roman" w:hAnsi="Times New Roman" w:eastAsia="方正小标宋简体" w:cs="Times New Roman"/>
          <w:b w:val="0"/>
          <w:bCs/>
          <w:sz w:val="44"/>
          <w:szCs w:val="44"/>
          <w:highlight w:val="none"/>
          <w:shd w:val="clear" w:color="auto" w:fill="FFFFFF"/>
          <w:lang w:eastAsia="zh-CN"/>
        </w:rPr>
        <w:t>预算</w:t>
      </w:r>
      <w:r>
        <w:rPr>
          <w:rFonts w:ascii="Times New Roman" w:hAnsi="Times New Roman" w:eastAsia="方正小标宋简体" w:cs="Times New Roman"/>
          <w:b w:val="0"/>
          <w:bCs/>
          <w:sz w:val="44"/>
          <w:szCs w:val="44"/>
          <w:highlight w:val="none"/>
          <w:shd w:val="clear" w:color="auto" w:fill="FFFFFF"/>
        </w:rPr>
        <w:t>绩效</w:t>
      </w:r>
      <w:r>
        <w:rPr>
          <w:rFonts w:hint="eastAsia" w:ascii="Times New Roman" w:hAnsi="Times New Roman" w:eastAsia="方正小标宋简体" w:cs="Times New Roman"/>
          <w:b w:val="0"/>
          <w:bCs/>
          <w:sz w:val="44"/>
          <w:szCs w:val="44"/>
          <w:highlight w:val="none"/>
          <w:shd w:val="clear" w:color="auto" w:fill="FFFFFF"/>
          <w:lang w:eastAsia="zh-CN"/>
        </w:rPr>
        <w:t>评价</w:t>
      </w:r>
      <w:r>
        <w:rPr>
          <w:rFonts w:ascii="Times New Roman" w:hAnsi="Times New Roman" w:eastAsia="方正小标宋简体" w:cs="Times New Roman"/>
          <w:b w:val="0"/>
          <w:bCs/>
          <w:sz w:val="44"/>
          <w:szCs w:val="44"/>
          <w:highlight w:val="none"/>
          <w:shd w:val="clear" w:color="auto" w:fill="FFFFFF"/>
        </w:rPr>
        <w:t>报告</w:t>
      </w:r>
    </w:p>
    <w:p w14:paraId="1F27E73A">
      <w:pPr>
        <w:keepNext w:val="0"/>
        <w:keepLines w:val="0"/>
        <w:pageBreakBefore w:val="0"/>
        <w:widowControl/>
        <w:kinsoku/>
        <w:wordWrap/>
        <w:overflowPunct/>
        <w:topLinePunct w:val="0"/>
        <w:autoSpaceDE/>
        <w:autoSpaceDN/>
        <w:bidi w:val="0"/>
        <w:adjustRightInd w:val="0"/>
        <w:snapToGrid w:val="0"/>
        <w:spacing w:line="578" w:lineRule="exact"/>
        <w:ind w:firstLine="480" w:firstLineChars="200"/>
        <w:contextualSpacing/>
        <w:jc w:val="left"/>
        <w:textAlignment w:val="auto"/>
        <w:outlineLvl w:val="9"/>
        <w:rPr>
          <w:rFonts w:ascii="Times New Roman" w:hAnsi="Times New Roman" w:eastAsia="黑体" w:cs="Times New Roman"/>
          <w:color w:val="000000"/>
          <w:kern w:val="0"/>
          <w:sz w:val="24"/>
          <w:szCs w:val="32"/>
          <w:highlight w:val="none"/>
          <w:shd w:val="clear" w:color="auto" w:fill="FFFFFF"/>
        </w:rPr>
      </w:pPr>
    </w:p>
    <w:p w14:paraId="21C44283">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rPr>
      </w:pPr>
      <w:r>
        <w:rPr>
          <w:rFonts w:hint="eastAsia" w:ascii="Times New Roman" w:hAnsi="Times New Roman" w:eastAsia="黑体" w:cs="Times New Roman"/>
          <w:color w:val="000000"/>
          <w:kern w:val="0"/>
          <w:sz w:val="32"/>
          <w:szCs w:val="32"/>
          <w:highlight w:val="none"/>
          <w:shd w:val="clear" w:color="auto" w:fill="FFFFFF"/>
          <w:lang w:val="zh-CN"/>
        </w:rPr>
        <w:t>一、</w:t>
      </w:r>
      <w:r>
        <w:rPr>
          <w:rFonts w:ascii="Times New Roman" w:hAnsi="Times New Roman" w:eastAsia="黑体" w:cs="Times New Roman"/>
          <w:color w:val="000000"/>
          <w:kern w:val="0"/>
          <w:sz w:val="32"/>
          <w:szCs w:val="32"/>
          <w:highlight w:val="none"/>
          <w:shd w:val="clear" w:color="auto" w:fill="FFFFFF"/>
          <w:lang w:val="zh-CN"/>
        </w:rPr>
        <w:t>部门（单位）基本情况</w:t>
      </w:r>
    </w:p>
    <w:p w14:paraId="1D918BDC">
      <w:pPr>
        <w:keepNext w:val="0"/>
        <w:keepLines w:val="0"/>
        <w:pageBreakBefore w:val="0"/>
        <w:widowControl/>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cs="Times New Roman"/>
          <w:szCs w:val="32"/>
        </w:rPr>
      </w:pPr>
      <w:r>
        <w:rPr>
          <w:rFonts w:hint="eastAsia" w:ascii="Times New Roman" w:hAnsi="Times New Roman" w:eastAsia="楷体_GB2312" w:cs="楷体_GB2312"/>
          <w:b/>
          <w:color w:val="auto"/>
          <w:sz w:val="32"/>
          <w:szCs w:val="32"/>
          <w:highlight w:val="none"/>
          <w:lang w:val="zh-CN"/>
        </w:rPr>
        <w:t>（一）</w:t>
      </w:r>
      <w:r>
        <w:rPr>
          <w:rFonts w:ascii="Times New Roman" w:hAnsi="Times New Roman" w:eastAsia="楷体_GB2312" w:cs="楷体_GB2312"/>
          <w:b/>
          <w:color w:val="auto"/>
          <w:sz w:val="32"/>
          <w:szCs w:val="32"/>
          <w:highlight w:val="none"/>
          <w:lang w:val="zh-CN"/>
        </w:rPr>
        <w:t>机构组成。</w:t>
      </w:r>
      <w:r>
        <w:rPr>
          <w:rFonts w:hint="eastAsia" w:ascii="Times New Roman" w:hAnsi="Times New Roman" w:eastAsia="仿宋_GB2312" w:cs="仿宋_GB2312"/>
          <w:color w:val="auto"/>
          <w:kern w:val="2"/>
          <w:sz w:val="32"/>
          <w:szCs w:val="32"/>
          <w:highlight w:val="none"/>
          <w:lang w:val="en-US" w:eastAsia="zh-CN" w:bidi="ar-SA"/>
        </w:rPr>
        <w:t>茂县统计局属一级预算单位，内设股室为办公室、综合统计股、专业统计股、城乡社会经济抽样调查队。</w:t>
      </w:r>
    </w:p>
    <w:p w14:paraId="1B12806F">
      <w:pPr>
        <w:keepNext w:val="0"/>
        <w:keepLines w:val="0"/>
        <w:pageBreakBefore w:val="0"/>
        <w:widowControl w:val="0"/>
        <w:kinsoku/>
        <w:wordWrap/>
        <w:overflowPunct/>
        <w:topLinePunct w:val="0"/>
        <w:autoSpaceDE/>
        <w:autoSpaceDN/>
        <w:bidi w:val="0"/>
        <w:adjustRightInd/>
        <w:snapToGrid/>
        <w:spacing w:line="600" w:lineRule="exact"/>
        <w:ind w:firstLine="643" w:firstLineChars="200"/>
        <w:contextualSpacing/>
        <w:textAlignment w:val="auto"/>
        <w:rPr>
          <w:rFonts w:hint="eastAsia" w:ascii="仿宋_GB2312" w:eastAsia="仿宋_GB2312" w:cs="仿宋_GB2312"/>
          <w:color w:val="000000"/>
          <w:kern w:val="0"/>
          <w:sz w:val="32"/>
          <w:szCs w:val="32"/>
          <w:shd w:val="clear" w:color="auto" w:fill="FFFFFF"/>
        </w:rPr>
      </w:pPr>
      <w:r>
        <w:rPr>
          <w:rFonts w:ascii="Times New Roman" w:hAnsi="Times New Roman" w:eastAsia="楷体_GB2312" w:cs="楷体_GB2312"/>
          <w:b/>
          <w:color w:val="auto"/>
          <w:sz w:val="32"/>
          <w:szCs w:val="32"/>
          <w:highlight w:val="none"/>
          <w:lang w:val="zh-CN"/>
        </w:rPr>
        <w:t>（二）机构职能</w:t>
      </w:r>
      <w:r>
        <w:rPr>
          <w:rFonts w:hint="eastAsia" w:ascii="Times New Roman" w:hAnsi="Times New Roman" w:eastAsia="楷体_GB2312" w:cs="楷体_GB2312"/>
          <w:b/>
          <w:color w:val="auto"/>
          <w:sz w:val="32"/>
          <w:szCs w:val="32"/>
          <w:highlight w:val="none"/>
          <w:lang w:val="zh-CN"/>
        </w:rPr>
        <w:t>。</w:t>
      </w:r>
      <w:r>
        <w:rPr>
          <w:rFonts w:hint="eastAsia" w:ascii="仿宋_GB2312" w:eastAsia="仿宋_GB2312" w:cs="仿宋_GB2312"/>
          <w:color w:val="000000"/>
          <w:kern w:val="0"/>
          <w:sz w:val="32"/>
          <w:szCs w:val="32"/>
          <w:shd w:val="clear" w:color="auto" w:fill="FFFFFF"/>
        </w:rPr>
        <w:t>1.依照国家法律、法规、规章、组织领导和综合协调全县各乡镇、各部门的统计和国民经济核算工作，准确、及时、全面地反映县情县力，反映社会经济发展的基本情况，为茂县制定政策、计划、指导经济和社会发展提供依据；监督检查统计法律、法规的实施，查处统计违法案件。</w:t>
      </w:r>
    </w:p>
    <w:p w14:paraId="59FF223C">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2.根据全县宏观管理和科学决策的要求，建立健全全县国民经济核算体系和统计指标体系，制定和管理全县统一的基本报表制度；制定与有关部门共同制定全县统计标准，审定部门统计标准；管理全县统计调查项目，审批全县各乡镇、各部门的统计调查计划、调查方案和统计报表。</w:t>
      </w:r>
    </w:p>
    <w:p w14:paraId="43AE031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3.负责组织实施全县重大的国情国力普查和专项统计调查；汇总、整理全县的基本统计资料；对国民经济运行、科技进步和社会发展情况进行统计分析、预测、监督；向县委、政府及有关部门提供统计信息和咨询建议。</w:t>
      </w:r>
    </w:p>
    <w:p w14:paraId="60D6EEA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4.统一核定、管理、公布、出版全县的基本统计资料，定期发布全县国民经济和社会发展情况的统计信息，积极培育和发展县内信息咨询服务市场。</w:t>
      </w:r>
    </w:p>
    <w:p w14:paraId="51BDC900">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5.负责收集、整理、提供全县性的基本统计资料和全县居民的年度主要统计资料，并对国民经济社会发展和科技进步情况进行分析、预测，向县政府提供统计建议。</w:t>
      </w:r>
    </w:p>
    <w:p w14:paraId="602E52B1">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6.调查、编算、提供消费及零售物价指数资料，进行市场物价分析、预测、监控工作。</w:t>
      </w:r>
    </w:p>
    <w:p w14:paraId="6C2E9334">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7.调查、编算、提供城乡居民家庭收支抽样调查资料，适时反映居民生活消费情况。</w:t>
      </w:r>
    </w:p>
    <w:p w14:paraId="1036DF4E">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8.建立健全和管理全县统计信息自动化系统和统计数据库体系；制定全县各乡镇、各部门统计数据库网络的基本标准和运行规则。</w:t>
      </w:r>
    </w:p>
    <w:p w14:paraId="0212B137">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9.根据州统计局的安排负责组织全县统计系统专业技术资格考试和职务评审，统计人员的统计专业技术岗位培训和继续教育工作。</w:t>
      </w:r>
    </w:p>
    <w:p w14:paraId="4894D39A">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rFonts w:hint="eastAsia" w:ascii="仿宋_GB2312" w:eastAsia="仿宋_GB2312" w:cs="仿宋_GB2312"/>
          <w:color w:val="000000"/>
          <w:kern w:val="0"/>
          <w:sz w:val="32"/>
          <w:szCs w:val="32"/>
          <w:shd w:val="clear" w:color="auto" w:fill="FFFFFF"/>
        </w:rPr>
      </w:pPr>
      <w:r>
        <w:rPr>
          <w:rFonts w:hint="eastAsia" w:ascii="仿宋_GB2312" w:eastAsia="仿宋_GB2312" w:cs="仿宋_GB2312"/>
          <w:color w:val="000000"/>
          <w:kern w:val="0"/>
          <w:sz w:val="32"/>
          <w:szCs w:val="32"/>
          <w:shd w:val="clear" w:color="auto" w:fill="FFFFFF"/>
        </w:rPr>
        <w:t>10.承担县政府公布的有关行政审批事项。</w:t>
      </w:r>
    </w:p>
    <w:p w14:paraId="20196D6D">
      <w:pPr>
        <w:keepNext w:val="0"/>
        <w:keepLines w:val="0"/>
        <w:pageBreakBefore w:val="0"/>
        <w:widowControl/>
        <w:kinsoku/>
        <w:wordWrap/>
        <w:overflowPunct/>
        <w:topLinePunct w:val="0"/>
        <w:autoSpaceDE/>
        <w:autoSpaceDN/>
        <w:bidi w:val="0"/>
        <w:adjustRightInd w:val="0"/>
        <w:snapToGrid w:val="0"/>
        <w:spacing w:line="578" w:lineRule="exact"/>
        <w:ind w:firstLine="640" w:firstLineChars="200"/>
        <w:contextualSpacing/>
        <w:jc w:val="left"/>
        <w:textAlignment w:val="auto"/>
        <w:outlineLvl w:val="9"/>
        <w:rPr>
          <w:lang w:val="zh-CN"/>
        </w:rPr>
      </w:pPr>
      <w:r>
        <w:rPr>
          <w:rFonts w:hint="eastAsia" w:ascii="仿宋_GB2312" w:eastAsia="仿宋_GB2312" w:cs="仿宋_GB2312"/>
          <w:color w:val="000000"/>
          <w:kern w:val="0"/>
          <w:sz w:val="32"/>
          <w:szCs w:val="32"/>
          <w:shd w:val="clear" w:color="auto" w:fill="FFFFFF"/>
        </w:rPr>
        <w:t>11.承办县政府交办的其他事项。</w:t>
      </w:r>
    </w:p>
    <w:p w14:paraId="3A84B6AF">
      <w:pPr>
        <w:keepNext w:val="0"/>
        <w:keepLines w:val="0"/>
        <w:pageBreakBefore w:val="0"/>
        <w:widowControl w:val="0"/>
        <w:kinsoku/>
        <w:wordWrap/>
        <w:overflowPunct/>
        <w:topLinePunct w:val="0"/>
        <w:autoSpaceDE/>
        <w:autoSpaceDN/>
        <w:bidi w:val="0"/>
        <w:adjustRightInd/>
        <w:snapToGrid/>
        <w:spacing w:line="600" w:lineRule="exact"/>
        <w:ind w:firstLine="643" w:firstLineChars="200"/>
        <w:textAlignment w:val="auto"/>
        <w:rPr>
          <w:rFonts w:ascii="Times New Roman" w:hAnsi="Times New Roman" w:eastAsia="仿宋_GB2312"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）人员概况</w:t>
      </w:r>
      <w:r>
        <w:rPr>
          <w:rFonts w:hint="eastAsia" w:ascii="Times New Roman" w:hAnsi="Times New Roman" w:eastAsia="楷体_GB2312" w:cs="Times New Roman"/>
          <w:b/>
          <w:bCs/>
          <w:color w:val="000000"/>
          <w:kern w:val="0"/>
          <w:sz w:val="32"/>
          <w:szCs w:val="32"/>
          <w:highlight w:val="none"/>
          <w:shd w:val="clear" w:color="auto" w:fill="FFFFFF"/>
          <w:lang w:val="zh-CN"/>
        </w:rPr>
        <w:t>。</w:t>
      </w:r>
      <w:r>
        <w:rPr>
          <w:rFonts w:ascii="Times New Roman" w:hAnsi="Times New Roman" w:eastAsia="仿宋_GB2312" w:cs="Times New Roman"/>
          <w:sz w:val="32"/>
          <w:szCs w:val="32"/>
          <w:lang w:val="en-US" w:eastAsia="zh-CN"/>
        </w:rPr>
        <w:t>截至202</w:t>
      </w:r>
      <w:r>
        <w:rPr>
          <w:rFonts w:hint="eastAsia" w:eastAsia="仿宋_GB2312" w:cs="Times New Roman"/>
          <w:sz w:val="32"/>
          <w:szCs w:val="32"/>
          <w:lang w:val="en-US" w:eastAsia="zh-CN"/>
        </w:rPr>
        <w:t>5</w:t>
      </w:r>
      <w:r>
        <w:rPr>
          <w:rFonts w:ascii="Times New Roman" w:hAnsi="Times New Roman" w:eastAsia="仿宋_GB2312" w:cs="Times New Roman"/>
          <w:sz w:val="32"/>
          <w:szCs w:val="32"/>
          <w:lang w:val="en-US" w:eastAsia="zh-CN"/>
        </w:rPr>
        <w:t>年末，</w:t>
      </w:r>
      <w:r>
        <w:rPr>
          <w:rFonts w:hint="eastAsia" w:ascii="Times New Roman" w:hAnsi="Times New Roman" w:eastAsia="仿宋_GB2312" w:cs="仿宋_GB2312"/>
          <w:color w:val="auto"/>
          <w:kern w:val="2"/>
          <w:sz w:val="32"/>
          <w:szCs w:val="32"/>
          <w:highlight w:val="none"/>
          <w:lang w:val="en-US" w:eastAsia="zh-CN" w:bidi="ar-SA"/>
        </w:rPr>
        <w:t>茂县统计局</w:t>
      </w:r>
      <w:r>
        <w:rPr>
          <w:rFonts w:ascii="Times New Roman" w:hAnsi="Times New Roman" w:eastAsia="仿宋_GB2312" w:cs="Times New Roman"/>
          <w:sz w:val="32"/>
          <w:szCs w:val="32"/>
          <w:lang w:val="en-US" w:eastAsia="zh-CN"/>
        </w:rPr>
        <w:t>及下属单位总编制15名</w:t>
      </w:r>
      <w:r>
        <w:rPr>
          <w:rFonts w:hint="eastAsia" w:ascii="仿宋_GB2312" w:eastAsia="仿宋_GB2312" w:cs="仿宋_GB2312"/>
          <w:sz w:val="32"/>
          <w:szCs w:val="32"/>
          <w:lang w:val="en-US" w:eastAsia="zh-CN"/>
        </w:rPr>
        <w:t>,</w:t>
      </w:r>
      <w:r>
        <w:rPr>
          <w:rFonts w:ascii="Times New Roman" w:hAnsi="Times New Roman" w:eastAsia="仿宋_GB2312" w:cs="Times New Roman"/>
          <w:sz w:val="32"/>
          <w:szCs w:val="32"/>
          <w:lang w:val="en-US" w:eastAsia="zh-CN"/>
        </w:rPr>
        <w:t>其中</w:t>
      </w:r>
      <w:r>
        <w:rPr>
          <w:rFonts w:hint="eastAsia" w:ascii="仿宋_GB2312" w:eastAsia="仿宋_GB2312" w:cs="仿宋_GB2312"/>
          <w:sz w:val="32"/>
          <w:szCs w:val="32"/>
          <w:lang w:val="en-US" w:eastAsia="zh-CN"/>
        </w:rPr>
        <w:t>:</w:t>
      </w:r>
      <w:r>
        <w:rPr>
          <w:rFonts w:ascii="Times New Roman" w:hAnsi="Times New Roman" w:eastAsia="仿宋_GB2312" w:cs="Times New Roman"/>
          <w:sz w:val="32"/>
          <w:szCs w:val="32"/>
          <w:lang w:val="en-US" w:eastAsia="zh-CN"/>
        </w:rPr>
        <w:t>行政编制7名</w:t>
      </w:r>
      <w:r>
        <w:rPr>
          <w:rFonts w:hint="eastAsia" w:ascii="仿宋_GB2312" w:eastAsia="仿宋_GB2312" w:cs="仿宋_GB2312"/>
          <w:sz w:val="32"/>
          <w:szCs w:val="32"/>
          <w:lang w:val="en-US" w:eastAsia="zh-CN"/>
        </w:rPr>
        <w:t>,</w:t>
      </w:r>
      <w:r>
        <w:rPr>
          <w:rFonts w:ascii="Times New Roman" w:hAnsi="Times New Roman" w:eastAsia="仿宋_GB2312" w:cs="Times New Roman"/>
          <w:sz w:val="32"/>
          <w:szCs w:val="32"/>
          <w:lang w:val="en-US" w:eastAsia="zh-CN"/>
        </w:rPr>
        <w:t>参照公务员法管理的事业编制8名。在职人员总数12名，其中：行政人员6名，参照公务员法管理的事业人员5名，行政工勤人员1名（占参公编制）；退休人员13人。</w:t>
      </w:r>
    </w:p>
    <w:p w14:paraId="037105F6">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eastAsia="zh-CN"/>
        </w:rPr>
      </w:pPr>
      <w:r>
        <w:rPr>
          <w:rFonts w:ascii="Times New Roman" w:hAnsi="Times New Roman" w:eastAsia="黑体" w:cs="Times New Roman"/>
          <w:color w:val="000000"/>
          <w:kern w:val="0"/>
          <w:sz w:val="32"/>
          <w:szCs w:val="32"/>
          <w:highlight w:val="none"/>
          <w:shd w:val="clear" w:color="auto" w:fill="FFFFFF"/>
          <w:lang w:val="zh-CN" w:eastAsia="zh-CN"/>
        </w:rPr>
        <w:t>二、部门资金收支情况</w:t>
      </w:r>
    </w:p>
    <w:p w14:paraId="682F5EF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收入情况</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茂县统计局2025年年初预算收入数为245.51万元，收入决算数为457.73万元</w:t>
      </w:r>
      <w:r>
        <w:rPr>
          <w:rFonts w:hint="eastAsia" w:eastAsia="仿宋_GB2312" w:cs="Times New Roman"/>
          <w:sz w:val="32"/>
          <w:szCs w:val="32"/>
          <w:lang w:val="en-US" w:eastAsia="zh-CN"/>
        </w:rPr>
        <w:t>。</w:t>
      </w:r>
    </w:p>
    <w:p w14:paraId="7167772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二</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支出情况</w:t>
      </w: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仿宋_GB2312" w:cs="Times New Roman"/>
          <w:sz w:val="32"/>
          <w:szCs w:val="32"/>
          <w:lang w:val="en-US" w:eastAsia="zh-CN"/>
        </w:rPr>
        <w:t>茂县统计局2025年年初预算支出数为245.51万元，支出决算数为457.73万元</w:t>
      </w:r>
      <w:r>
        <w:rPr>
          <w:rFonts w:hint="eastAsia" w:eastAsia="仿宋_GB2312" w:cs="Times New Roman"/>
          <w:sz w:val="32"/>
          <w:szCs w:val="32"/>
          <w:lang w:val="en-US" w:eastAsia="zh-CN"/>
        </w:rPr>
        <w:t>。</w:t>
      </w:r>
    </w:p>
    <w:p w14:paraId="30220730">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b w:val="0"/>
          <w:bCs w:val="0"/>
          <w:color w:val="000000"/>
          <w:kern w:val="0"/>
          <w:sz w:val="32"/>
          <w:szCs w:val="32"/>
          <w:highlight w:val="none"/>
          <w:shd w:val="clear" w:color="auto" w:fill="FFFFFF"/>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w:t>
      </w:r>
      <w:r>
        <w:rPr>
          <w:rFonts w:hint="eastAsia" w:ascii="Times New Roman" w:hAnsi="Times New Roman" w:eastAsia="楷体_GB2312" w:cs="Times New Roman"/>
          <w:b/>
          <w:bCs/>
          <w:color w:val="000000"/>
          <w:kern w:val="0"/>
          <w:sz w:val="32"/>
          <w:szCs w:val="32"/>
          <w:highlight w:val="none"/>
          <w:shd w:val="clear" w:color="auto" w:fill="FFFFFF"/>
          <w:lang w:val="zh-CN"/>
        </w:rPr>
        <w:t>三</w:t>
      </w:r>
      <w:r>
        <w:rPr>
          <w:rFonts w:ascii="Times New Roman" w:hAnsi="Times New Roman" w:eastAsia="楷体_GB2312" w:cs="Times New Roman"/>
          <w:b/>
          <w:bCs/>
          <w:color w:val="000000"/>
          <w:kern w:val="0"/>
          <w:sz w:val="32"/>
          <w:szCs w:val="32"/>
          <w:highlight w:val="none"/>
          <w:shd w:val="clear" w:color="auto" w:fill="FFFFFF"/>
          <w:lang w:val="zh-CN"/>
        </w:rPr>
        <w:t>）结余分配和结转结余情况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en-US" w:eastAsia="zh-CN" w:bidi="ar-SA"/>
        </w:rPr>
        <w:t>茂县统计局</w:t>
      </w:r>
      <w:r>
        <w:rPr>
          <w:rFonts w:hint="eastAsia" w:ascii="Times New Roman" w:hAnsi="Times New Roman" w:eastAsia="仿宋_GB2312" w:cs="Times New Roman"/>
          <w:sz w:val="32"/>
          <w:szCs w:val="32"/>
          <w:lang w:val="en-US" w:eastAsia="zh-CN"/>
        </w:rPr>
        <w:t>202</w:t>
      </w:r>
      <w:r>
        <w:rPr>
          <w:rFonts w:hint="eastAsia" w:eastAsia="仿宋_GB2312" w:cs="Times New Roman"/>
          <w:sz w:val="32"/>
          <w:szCs w:val="32"/>
          <w:lang w:val="en-US" w:eastAsia="zh-CN"/>
        </w:rPr>
        <w:t>5</w:t>
      </w:r>
      <w:r>
        <w:rPr>
          <w:rFonts w:hint="eastAsia" w:ascii="Times New Roman" w:hAnsi="Times New Roman" w:eastAsia="仿宋_GB2312" w:cs="Times New Roman"/>
          <w:sz w:val="32"/>
          <w:szCs w:val="32"/>
          <w:lang w:val="en-US" w:eastAsia="zh-CN"/>
        </w:rPr>
        <w:t>年年末结转和结余0.09万元</w:t>
      </w:r>
      <w:r>
        <w:rPr>
          <w:rFonts w:hint="eastAsia" w:eastAsia="仿宋_GB2312" w:cs="Times New Roman"/>
          <w:sz w:val="32"/>
          <w:szCs w:val="32"/>
          <w:lang w:val="en-US" w:eastAsia="zh-CN"/>
        </w:rPr>
        <w:t>。</w:t>
      </w:r>
    </w:p>
    <w:p w14:paraId="69C9876C">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eastAsia="zh-CN"/>
        </w:rPr>
      </w:pPr>
      <w:r>
        <w:rPr>
          <w:rFonts w:ascii="Times New Roman" w:hAnsi="Times New Roman" w:eastAsia="黑体" w:cs="Times New Roman"/>
          <w:color w:val="000000"/>
          <w:kern w:val="0"/>
          <w:sz w:val="32"/>
          <w:szCs w:val="32"/>
          <w:highlight w:val="none"/>
          <w:shd w:val="clear" w:color="auto" w:fill="FFFFFF"/>
          <w:lang w:val="zh-CN" w:eastAsia="zh-CN"/>
        </w:rPr>
        <w:t>三、部门预算绩效分析</w:t>
      </w:r>
    </w:p>
    <w:p w14:paraId="2D6309FF">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left"/>
        <w:textAlignment w:val="auto"/>
        <w:outlineLvl w:val="9"/>
        <w:rPr>
          <w:rFonts w:ascii="Times New Roman" w:hAnsi="Times New Roman" w:eastAsia="仿宋_GB2312" w:cs="仿宋_GB2312"/>
          <w:color w:val="auto"/>
          <w:kern w:val="2"/>
          <w:sz w:val="32"/>
          <w:szCs w:val="32"/>
          <w:highlight w:val="none"/>
          <w:lang w:val="zh-CN" w:eastAsia="zh-CN" w:bidi="ar-SA"/>
        </w:rPr>
      </w:pPr>
      <w:r>
        <w:rPr>
          <w:rFonts w:ascii="Times New Roman" w:hAnsi="Times New Roman" w:eastAsia="楷体_GB2312" w:cs="Times New Roman"/>
          <w:b/>
          <w:bCs/>
          <w:color w:val="000000"/>
          <w:kern w:val="0"/>
          <w:sz w:val="32"/>
          <w:szCs w:val="32"/>
          <w:highlight w:val="none"/>
          <w:shd w:val="clear" w:color="auto" w:fill="FFFFFF"/>
          <w:lang w:val="zh-CN"/>
        </w:rPr>
        <w:t>（一）</w:t>
      </w:r>
      <w:r>
        <w:rPr>
          <w:rFonts w:hint="eastAsia" w:ascii="Times New Roman" w:hAnsi="Times New Roman" w:eastAsia="楷体_GB2312" w:cs="Times New Roman"/>
          <w:b/>
          <w:bCs/>
          <w:color w:val="000000"/>
          <w:kern w:val="0"/>
          <w:sz w:val="32"/>
          <w:szCs w:val="32"/>
          <w:highlight w:val="none"/>
          <w:shd w:val="clear" w:color="auto" w:fill="FFFFFF"/>
          <w:lang w:val="zh-CN"/>
        </w:rPr>
        <w:t>部门预算</w:t>
      </w:r>
      <w:r>
        <w:rPr>
          <w:rFonts w:ascii="Times New Roman" w:hAnsi="Times New Roman" w:eastAsia="楷体_GB2312" w:cs="Times New Roman"/>
          <w:b/>
          <w:bCs/>
          <w:color w:val="000000"/>
          <w:kern w:val="0"/>
          <w:sz w:val="32"/>
          <w:szCs w:val="32"/>
          <w:highlight w:val="none"/>
          <w:shd w:val="clear" w:color="auto" w:fill="FFFFFF"/>
          <w:lang w:val="zh-CN"/>
        </w:rPr>
        <w:t>总体绩效分析</w:t>
      </w:r>
    </w:p>
    <w:p w14:paraId="49243B91">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1.履职效能。根据我单位职能职责，结合中长期规划和年度工作计划，明确了年度主要工作任务及年度内履职所要达到的总体产出和效果，设定了年度绩效数量指标、成本指标效益指标等。认真组织开展所属单位的绩效监控工作，对项目进度预算执行、投入产出、各项效益的阶段完成情况进行动态跟踪监控，有效使用财政资金，提高财政资金使用效益，保障了本单位工作顺利开展。 </w:t>
      </w:r>
    </w:p>
    <w:p w14:paraId="07B0393D">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预算管理。严格按照相关财务规定要求，加强财务管理。一是在规定的时间之内报送绩效管理相关工作，报送资料齐全。二是在编制预算时，按时填报部门整体支出、项目支出绩效目标申报表。绩效目标申报表目标设置要合理，要符合项目特点，描述清晰明确，要填报新增重大政策、重大项目目标申报表。三是对预算执行中进行有效绩效跟踪监控的。四是认真开展项目支出、财政政策、部门整体支出事后绩效自评工作。五是及时整改绩效评价存在的问题，并及时报送整改报告。六是将项目资金和整体支出绩效自评情况及时在门户网站公开。</w:t>
      </w:r>
    </w:p>
    <w:p w14:paraId="419F2A6C">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财务管理。一是加强预算编制工作，认真做好预算绩效编制。二是提升财务人员工作能力。三是加强财务管理，牢牢把握专款专用及财经纪律审好审细每张票据，确保资金用在“刀刃上”。四是在资金支付时，严格按照预算规定的用途进行资金使用审核，确保资金使用合法合规、安全高效。</w:t>
      </w:r>
    </w:p>
    <w:p w14:paraId="101D6C5A">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4.资产管理。单位在严格遵照《行政单位国有资产管理暂行办法》</w:t>
      </w:r>
      <w:bookmarkStart w:id="94" w:name="_GoBack"/>
      <w:bookmarkEnd w:id="94"/>
      <w:r>
        <w:rPr>
          <w:rFonts w:hint="eastAsia" w:ascii="Times New Roman" w:hAnsi="Times New Roman" w:eastAsia="仿宋_GB2312" w:cs="仿宋_GB2312"/>
          <w:color w:val="auto"/>
          <w:kern w:val="2"/>
          <w:sz w:val="32"/>
          <w:szCs w:val="32"/>
          <w:highlight w:val="none"/>
          <w:lang w:val="en-US" w:eastAsia="zh-CN" w:bidi="ar-SA"/>
        </w:rPr>
        <w:t>《事业单位国有资产管理暂行办法》和《行政事业单位国有资产报告制度》等有关规定的基础上结合本单位的实际情况制定了《茂县统计局资产管理办法》对固定资产的购置、领用、出租、处置、报废等工作程序做出了明确的规定，同时指定单位资产管理负责人，规范资产管理体制，明确责任分工，强化落实单位资产的使用和管理。</w:t>
      </w:r>
    </w:p>
    <w:p w14:paraId="6F8CC931">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ascii="Times New Roman" w:hAnsi="Times New Roman" w:eastAsia="仿宋_GB2312" w:cs="仿宋_GB2312"/>
          <w:color w:val="auto"/>
          <w:kern w:val="2"/>
          <w:sz w:val="32"/>
          <w:szCs w:val="32"/>
          <w:highlight w:val="yellow"/>
          <w:lang w:val="en-US" w:eastAsia="zh-CN" w:bidi="ar-SA"/>
        </w:rPr>
      </w:pPr>
      <w:r>
        <w:rPr>
          <w:rFonts w:ascii="Times New Roman" w:hAnsi="Times New Roman" w:eastAsia="楷体_GB2312" w:cs="Times New Roman"/>
          <w:b/>
          <w:bCs/>
          <w:color w:val="000000"/>
          <w:kern w:val="0"/>
          <w:sz w:val="32"/>
          <w:szCs w:val="32"/>
          <w:highlight w:val="none"/>
          <w:shd w:val="clear" w:color="auto" w:fill="FFFFFF"/>
          <w:lang w:val="zh-CN"/>
        </w:rPr>
        <w:t>（二）部门预算项目绩效分析</w:t>
      </w:r>
    </w:p>
    <w:p w14:paraId="20904CFE">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ascii="Times New Roman" w:hAnsi="Times New Roman" w:eastAsia="仿宋_GB2312" w:cs="仿宋_GB2312"/>
          <w:color w:val="auto"/>
          <w:kern w:val="2"/>
          <w:sz w:val="32"/>
          <w:szCs w:val="32"/>
          <w:highlight w:val="none"/>
          <w:lang w:val="zh-CN" w:eastAsia="zh-CN" w:bidi="ar-SA"/>
        </w:rPr>
      </w:pPr>
      <w:r>
        <w:rPr>
          <w:rFonts w:ascii="Times New Roman" w:hAnsi="Times New Roman" w:eastAsia="仿宋_GB2312" w:cs="仿宋_GB2312"/>
          <w:color w:val="auto"/>
          <w:kern w:val="2"/>
          <w:sz w:val="32"/>
          <w:szCs w:val="32"/>
          <w:highlight w:val="none"/>
          <w:lang w:val="en-US" w:eastAsia="zh-CN" w:bidi="ar-SA"/>
        </w:rPr>
        <w:t>常年项目绩效分析。</w:t>
      </w:r>
      <w:r>
        <w:rPr>
          <w:rFonts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6</w:t>
      </w:r>
      <w:r>
        <w:rPr>
          <w:rFonts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173.67</w:t>
      </w:r>
      <w:r>
        <w:rPr>
          <w:rFonts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ascii="Times New Roman" w:hAnsi="Times New Roman" w:eastAsia="仿宋_GB2312" w:cs="仿宋_GB2312"/>
          <w:color w:val="auto"/>
          <w:kern w:val="2"/>
          <w:sz w:val="32"/>
          <w:szCs w:val="32"/>
          <w:highlight w:val="none"/>
          <w:lang w:val="zh-CN" w:eastAsia="zh-CN" w:bidi="ar-SA"/>
        </w:rPr>
        <w:t>1</w:t>
      </w:r>
      <w:r>
        <w:rPr>
          <w:rFonts w:ascii="Times New Roman" w:hAnsi="Times New Roman" w:eastAsia="仿宋_GB2312" w:cs="仿宋_GB2312"/>
          <w:color w:val="auto"/>
          <w:kern w:val="2"/>
          <w:sz w:val="32"/>
          <w:szCs w:val="32"/>
          <w:highlight w:val="none"/>
          <w:lang w:val="en-US" w:eastAsia="zh-CN" w:bidi="ar-SA"/>
        </w:rPr>
        <w:t>2</w:t>
      </w:r>
      <w:r>
        <w:rPr>
          <w:rFonts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ascii="Times New Roman" w:hAnsi="Times New Roman" w:eastAsia="仿宋_GB2312" w:cs="仿宋_GB2312"/>
          <w:color w:val="auto"/>
          <w:kern w:val="2"/>
          <w:sz w:val="32"/>
          <w:szCs w:val="32"/>
          <w:highlight w:val="none"/>
          <w:lang w:val="zh-CN" w:eastAsia="zh-CN" w:bidi="ar-SA"/>
        </w:rPr>
        <w:t>%，其中：预算结余率大于</w:t>
      </w:r>
      <w:r>
        <w:rPr>
          <w:rFonts w:ascii="Times New Roman" w:hAnsi="Times New Roman" w:eastAsia="仿宋_GB2312" w:cs="仿宋_GB2312"/>
          <w:color w:val="auto"/>
          <w:kern w:val="2"/>
          <w:sz w:val="32"/>
          <w:szCs w:val="32"/>
          <w:highlight w:val="none"/>
          <w:lang w:val="en-US" w:eastAsia="zh-CN" w:bidi="ar-SA"/>
        </w:rPr>
        <w:t>10%</w:t>
      </w:r>
      <w:r>
        <w:rPr>
          <w:rFonts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ascii="Times New Roman" w:hAnsi="Times New Roman" w:eastAsia="仿宋_GB2312" w:cs="仿宋_GB2312"/>
          <w:color w:val="auto"/>
          <w:kern w:val="2"/>
          <w:sz w:val="32"/>
          <w:szCs w:val="32"/>
          <w:highlight w:val="none"/>
          <w:lang w:val="zh-CN" w:eastAsia="zh-CN" w:bidi="ar-SA"/>
        </w:rPr>
        <w:t>个。</w:t>
      </w:r>
    </w:p>
    <w:p w14:paraId="654D96EB">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ascii="Times New Roman" w:hAnsi="Times New Roman" w:eastAsia="仿宋_GB2312" w:cs="仿宋_GB2312"/>
          <w:color w:val="auto"/>
          <w:kern w:val="2"/>
          <w:sz w:val="32"/>
          <w:szCs w:val="32"/>
          <w:highlight w:val="none"/>
          <w:lang w:val="zh-CN" w:eastAsia="zh-CN" w:bidi="ar-SA"/>
        </w:rPr>
      </w:pPr>
      <w:r>
        <w:rPr>
          <w:rFonts w:ascii="Times New Roman" w:hAnsi="Times New Roman" w:eastAsia="仿宋_GB2312" w:cs="仿宋_GB2312"/>
          <w:color w:val="auto"/>
          <w:kern w:val="2"/>
          <w:sz w:val="32"/>
          <w:szCs w:val="32"/>
          <w:highlight w:val="none"/>
          <w:lang w:val="en-US" w:eastAsia="zh-CN" w:bidi="ar-SA"/>
        </w:rPr>
        <w:t>阶段</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_GB2312" w:cs="仿宋_GB2312"/>
          <w:color w:val="auto"/>
          <w:kern w:val="2"/>
          <w:sz w:val="32"/>
          <w:szCs w:val="32"/>
          <w:highlight w:val="none"/>
          <w:lang w:val="en-US" w:eastAsia="zh-CN" w:bidi="ar-SA"/>
        </w:rPr>
        <w:t>一次性</w:t>
      </w:r>
      <w:r>
        <w:rPr>
          <w:rFonts w:hint="eastAsia" w:ascii="Times New Roman" w:hAnsi="Times New Roman" w:eastAsia="仿宋_GB2312" w:cs="仿宋_GB2312"/>
          <w:color w:val="auto"/>
          <w:kern w:val="2"/>
          <w:sz w:val="32"/>
          <w:szCs w:val="32"/>
          <w:highlight w:val="none"/>
          <w:lang w:val="en-US" w:eastAsia="zh-CN" w:bidi="ar-SA"/>
        </w:rPr>
        <w:t>）</w:t>
      </w:r>
      <w:r>
        <w:rPr>
          <w:rFonts w:ascii="Times New Roman" w:hAnsi="Times New Roman" w:eastAsia="仿宋_GB2312" w:cs="仿宋_GB2312"/>
          <w:color w:val="auto"/>
          <w:kern w:val="2"/>
          <w:sz w:val="32"/>
          <w:szCs w:val="32"/>
          <w:highlight w:val="none"/>
          <w:lang w:val="en-US" w:eastAsia="zh-CN" w:bidi="ar-SA"/>
        </w:rPr>
        <w:t>项目绩效分析。</w:t>
      </w:r>
      <w:r>
        <w:rPr>
          <w:rFonts w:ascii="Times New Roman" w:hAnsi="Times New Roman" w:eastAsia="仿宋_GB2312" w:cs="仿宋_GB2312"/>
          <w:color w:val="auto"/>
          <w:kern w:val="2"/>
          <w:sz w:val="32"/>
          <w:szCs w:val="32"/>
          <w:highlight w:val="none"/>
          <w:lang w:val="zh-CN" w:eastAsia="zh-CN" w:bidi="ar-SA"/>
        </w:rPr>
        <w:t>该类项目总数</w:t>
      </w:r>
      <w:r>
        <w:rPr>
          <w:rFonts w:hint="eastAsia" w:eastAsia="仿宋_GB2312" w:cs="仿宋_GB2312"/>
          <w:color w:val="auto"/>
          <w:kern w:val="2"/>
          <w:sz w:val="32"/>
          <w:szCs w:val="32"/>
          <w:highlight w:val="none"/>
          <w:lang w:val="en-US" w:eastAsia="zh-CN" w:bidi="ar-SA"/>
        </w:rPr>
        <w:t>1</w:t>
      </w:r>
      <w:r>
        <w:rPr>
          <w:rFonts w:ascii="Times New Roman" w:hAnsi="Times New Roman" w:eastAsia="仿宋_GB2312" w:cs="仿宋_GB2312"/>
          <w:color w:val="auto"/>
          <w:kern w:val="2"/>
          <w:sz w:val="32"/>
          <w:szCs w:val="32"/>
          <w:highlight w:val="none"/>
          <w:lang w:val="zh-CN" w:eastAsia="zh-CN" w:bidi="ar-SA"/>
        </w:rPr>
        <w:t>个，涉及预算总金额</w:t>
      </w:r>
      <w:r>
        <w:rPr>
          <w:rFonts w:hint="eastAsia" w:ascii="Times New Roman" w:hAnsi="Times New Roman" w:eastAsia="仿宋_GB2312" w:cs="仿宋_GB2312"/>
          <w:color w:val="auto"/>
          <w:kern w:val="2"/>
          <w:sz w:val="32"/>
          <w:szCs w:val="32"/>
          <w:highlight w:val="none"/>
          <w:lang w:val="en-US" w:eastAsia="zh-CN" w:bidi="ar-SA"/>
        </w:rPr>
        <w:t>2.1</w:t>
      </w:r>
      <w:r>
        <w:rPr>
          <w:rFonts w:ascii="Times New Roman" w:hAnsi="Times New Roman" w:eastAsia="仿宋_GB2312" w:cs="仿宋_GB2312"/>
          <w:color w:val="auto"/>
          <w:kern w:val="2"/>
          <w:sz w:val="32"/>
          <w:szCs w:val="32"/>
          <w:highlight w:val="none"/>
          <w:lang w:val="zh-CN" w:eastAsia="zh-CN" w:bidi="ar-SA"/>
        </w:rPr>
        <w:t>万元，1</w:t>
      </w:r>
      <w:r>
        <w:rPr>
          <w:rFonts w:hint="eastAsia" w:ascii="Times New Roman" w:hAnsi="Times New Roman" w:eastAsia="仿宋_GB2312" w:cs="仿宋_GB2312"/>
          <w:color w:val="auto"/>
          <w:kern w:val="2"/>
          <w:sz w:val="32"/>
          <w:szCs w:val="32"/>
          <w:highlight w:val="none"/>
          <w:lang w:val="zh-CN" w:eastAsia="zh-CN" w:bidi="ar-SA"/>
        </w:rPr>
        <w:t>—</w:t>
      </w:r>
      <w:r>
        <w:rPr>
          <w:rFonts w:ascii="Times New Roman" w:hAnsi="Times New Roman" w:eastAsia="仿宋_GB2312" w:cs="仿宋_GB2312"/>
          <w:color w:val="auto"/>
          <w:kern w:val="2"/>
          <w:sz w:val="32"/>
          <w:szCs w:val="32"/>
          <w:highlight w:val="none"/>
          <w:lang w:val="zh-CN" w:eastAsia="zh-CN" w:bidi="ar-SA"/>
        </w:rPr>
        <w:t>1</w:t>
      </w:r>
      <w:r>
        <w:rPr>
          <w:rFonts w:ascii="Times New Roman" w:hAnsi="Times New Roman" w:eastAsia="仿宋_GB2312" w:cs="仿宋_GB2312"/>
          <w:color w:val="auto"/>
          <w:kern w:val="2"/>
          <w:sz w:val="32"/>
          <w:szCs w:val="32"/>
          <w:highlight w:val="none"/>
          <w:lang w:val="en-US" w:eastAsia="zh-CN" w:bidi="ar-SA"/>
        </w:rPr>
        <w:t>2</w:t>
      </w:r>
      <w:r>
        <w:rPr>
          <w:rFonts w:ascii="Times New Roman" w:hAnsi="Times New Roman" w:eastAsia="仿宋_GB2312" w:cs="仿宋_GB2312"/>
          <w:color w:val="auto"/>
          <w:kern w:val="2"/>
          <w:sz w:val="32"/>
          <w:szCs w:val="32"/>
          <w:highlight w:val="none"/>
          <w:lang w:val="zh-CN" w:eastAsia="zh-CN" w:bidi="ar-SA"/>
        </w:rPr>
        <w:t>月预算执行总体进度为</w:t>
      </w:r>
      <w:r>
        <w:rPr>
          <w:rFonts w:hint="eastAsia" w:eastAsia="仿宋_GB2312" w:cs="仿宋_GB2312"/>
          <w:color w:val="auto"/>
          <w:kern w:val="2"/>
          <w:sz w:val="32"/>
          <w:szCs w:val="32"/>
          <w:highlight w:val="none"/>
          <w:lang w:val="en-US" w:eastAsia="zh-CN" w:bidi="ar-SA"/>
        </w:rPr>
        <w:t>100</w:t>
      </w:r>
      <w:r>
        <w:rPr>
          <w:rFonts w:ascii="Times New Roman" w:hAnsi="Times New Roman" w:eastAsia="仿宋_GB2312" w:cs="仿宋_GB2312"/>
          <w:color w:val="auto"/>
          <w:kern w:val="2"/>
          <w:sz w:val="32"/>
          <w:szCs w:val="32"/>
          <w:highlight w:val="none"/>
          <w:lang w:val="zh-CN" w:eastAsia="zh-CN" w:bidi="ar-SA"/>
        </w:rPr>
        <w:t>%，其中：预算结余率大于</w:t>
      </w:r>
      <w:r>
        <w:rPr>
          <w:rFonts w:ascii="Times New Roman" w:hAnsi="Times New Roman" w:eastAsia="仿宋_GB2312" w:cs="仿宋_GB2312"/>
          <w:color w:val="auto"/>
          <w:kern w:val="2"/>
          <w:sz w:val="32"/>
          <w:szCs w:val="32"/>
          <w:highlight w:val="none"/>
          <w:lang w:val="en-US" w:eastAsia="zh-CN" w:bidi="ar-SA"/>
        </w:rPr>
        <w:t>10%</w:t>
      </w:r>
      <w:r>
        <w:rPr>
          <w:rFonts w:ascii="Times New Roman" w:hAnsi="Times New Roman" w:eastAsia="仿宋_GB2312" w:cs="仿宋_GB2312"/>
          <w:color w:val="auto"/>
          <w:kern w:val="2"/>
          <w:sz w:val="32"/>
          <w:szCs w:val="32"/>
          <w:highlight w:val="none"/>
          <w:lang w:val="zh-CN" w:eastAsia="zh-CN" w:bidi="ar-SA"/>
        </w:rPr>
        <w:t>的项目共计</w:t>
      </w:r>
      <w:r>
        <w:rPr>
          <w:rFonts w:hint="eastAsia" w:eastAsia="仿宋_GB2312" w:cs="仿宋_GB2312"/>
          <w:color w:val="auto"/>
          <w:kern w:val="2"/>
          <w:sz w:val="32"/>
          <w:szCs w:val="32"/>
          <w:highlight w:val="none"/>
          <w:lang w:val="en-US" w:eastAsia="zh-CN" w:bidi="ar-SA"/>
        </w:rPr>
        <w:t>0</w:t>
      </w:r>
      <w:r>
        <w:rPr>
          <w:rFonts w:ascii="Times New Roman" w:hAnsi="Times New Roman" w:eastAsia="仿宋_GB2312" w:cs="仿宋_GB2312"/>
          <w:color w:val="auto"/>
          <w:kern w:val="2"/>
          <w:sz w:val="32"/>
          <w:szCs w:val="32"/>
          <w:highlight w:val="none"/>
          <w:lang w:val="zh-CN" w:eastAsia="zh-CN" w:bidi="ar-SA"/>
        </w:rPr>
        <w:t>个。</w:t>
      </w:r>
    </w:p>
    <w:p w14:paraId="7D8998C9">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lang w:val="zh-CN" w:eastAsia="zh-CN" w:bidi="ar-SA"/>
        </w:rPr>
        <w:t>1.</w:t>
      </w:r>
      <w:r>
        <w:rPr>
          <w:rFonts w:hint="eastAsia" w:ascii="Times New Roman" w:hAnsi="Times New Roman" w:eastAsia="仿宋_GB2312" w:cs="仿宋_GB2312"/>
          <w:color w:val="auto"/>
          <w:kern w:val="2"/>
          <w:sz w:val="32"/>
          <w:szCs w:val="32"/>
          <w:highlight w:val="none"/>
          <w:lang w:val="zh-CN" w:eastAsia="zh-CN" w:bidi="ar-SA"/>
        </w:rPr>
        <w:t>项目决策。根据职能职责积极谋划，确定目标任务，积极发挥公共财政职能作用，推动落实稳增长、促改革、调结构、惠民生、防风险各项工作。</w:t>
      </w:r>
    </w:p>
    <w:p w14:paraId="711ACD37">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eastAsia" w:ascii="Times New Roman" w:hAnsi="Times New Roman"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2.项目执行</w:t>
      </w:r>
    </w:p>
    <w:p w14:paraId="0A044B85">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color w:val="000000"/>
          <w:kern w:val="0"/>
          <w:sz w:val="32"/>
          <w:szCs w:val="32"/>
          <w:shd w:val="clear" w:color="auto" w:fill="FFFFFF"/>
          <w:lang w:val="en-US" w:eastAsia="zh-CN" w:bidi="ar-SA"/>
        </w:rPr>
        <w:t>“一套表”联网直报工作经费，预算数32.56万元，支付数32.56万元，执行进度100%。</w:t>
      </w:r>
    </w:p>
    <w:p w14:paraId="55DF0FF1">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color w:val="000000"/>
          <w:kern w:val="0"/>
          <w:sz w:val="32"/>
          <w:szCs w:val="32"/>
          <w:shd w:val="clear" w:color="auto" w:fill="FFFFFF"/>
          <w:lang w:val="en-US" w:eastAsia="zh-CN" w:bidi="ar-SA"/>
        </w:rPr>
        <w:t>全国第五次经济普查，预算数</w:t>
      </w:r>
      <w:r>
        <w:rPr>
          <w:rFonts w:hint="eastAsia" w:eastAsia="仿宋_GB2312" w:cs="Times New Roman"/>
          <w:color w:val="000000"/>
          <w:kern w:val="0"/>
          <w:sz w:val="32"/>
          <w:szCs w:val="32"/>
          <w:shd w:val="clear" w:color="auto" w:fill="FFFFFF"/>
          <w:lang w:val="en-US" w:eastAsia="zh-CN" w:bidi="ar-SA"/>
        </w:rPr>
        <w:t>2.1</w:t>
      </w:r>
      <w:r>
        <w:rPr>
          <w:rFonts w:hint="default" w:ascii="Times New Roman" w:hAnsi="Times New Roman" w:eastAsia="仿宋_GB2312" w:cs="Times New Roman"/>
          <w:color w:val="000000"/>
          <w:kern w:val="0"/>
          <w:sz w:val="32"/>
          <w:szCs w:val="32"/>
          <w:shd w:val="clear" w:color="auto" w:fill="FFFFFF"/>
          <w:lang w:val="en-US" w:eastAsia="zh-CN" w:bidi="ar-SA"/>
        </w:rPr>
        <w:t>万元，支付数</w:t>
      </w:r>
      <w:r>
        <w:rPr>
          <w:rFonts w:hint="eastAsia" w:eastAsia="仿宋_GB2312" w:cs="Times New Roman"/>
          <w:color w:val="000000"/>
          <w:kern w:val="0"/>
          <w:sz w:val="32"/>
          <w:szCs w:val="32"/>
          <w:shd w:val="clear" w:color="auto" w:fill="FFFFFF"/>
          <w:lang w:val="en-US" w:eastAsia="zh-CN" w:bidi="ar-SA"/>
        </w:rPr>
        <w:t>2.1</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14:paraId="65963990">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color w:val="000000"/>
          <w:kern w:val="0"/>
          <w:sz w:val="32"/>
          <w:szCs w:val="32"/>
          <w:shd w:val="clear" w:color="auto" w:fill="FFFFFF"/>
          <w:lang w:val="en-US" w:eastAsia="zh-CN" w:bidi="ar-SA"/>
        </w:rPr>
        <w:t>粮食产量对地遥感抽样调查工作经费</w:t>
      </w:r>
      <w:r>
        <w:rPr>
          <w:rFonts w:hint="eastAsia" w:eastAsia="仿宋_GB2312" w:cs="Times New Roman"/>
          <w:color w:val="000000"/>
          <w:kern w:val="0"/>
          <w:sz w:val="32"/>
          <w:szCs w:val="32"/>
          <w:shd w:val="clear" w:color="auto" w:fill="FFFFFF"/>
          <w:lang w:val="en-US" w:eastAsia="zh-CN" w:bidi="ar-SA"/>
        </w:rPr>
        <w:t>，</w:t>
      </w:r>
      <w:r>
        <w:rPr>
          <w:rFonts w:hint="default" w:ascii="Times New Roman" w:hAnsi="Times New Roman" w:eastAsia="仿宋_GB2312" w:cs="Times New Roman"/>
          <w:color w:val="000000"/>
          <w:kern w:val="0"/>
          <w:sz w:val="32"/>
          <w:szCs w:val="32"/>
          <w:shd w:val="clear" w:color="auto" w:fill="FFFFFF"/>
          <w:lang w:val="en-US" w:eastAsia="zh-CN" w:bidi="ar-SA"/>
        </w:rPr>
        <w:t>预算数</w:t>
      </w:r>
      <w:r>
        <w:rPr>
          <w:rFonts w:hint="eastAsia" w:eastAsia="仿宋_GB2312" w:cs="Times New Roman"/>
          <w:color w:val="000000"/>
          <w:kern w:val="0"/>
          <w:sz w:val="32"/>
          <w:szCs w:val="32"/>
          <w:shd w:val="clear" w:color="auto" w:fill="FFFFFF"/>
          <w:lang w:val="en-US" w:eastAsia="zh-CN" w:bidi="ar-SA"/>
        </w:rPr>
        <w:t>2.29</w:t>
      </w:r>
      <w:r>
        <w:rPr>
          <w:rFonts w:hint="default" w:ascii="Times New Roman" w:hAnsi="Times New Roman" w:eastAsia="仿宋_GB2312" w:cs="Times New Roman"/>
          <w:color w:val="000000"/>
          <w:kern w:val="0"/>
          <w:sz w:val="32"/>
          <w:szCs w:val="32"/>
          <w:shd w:val="clear" w:color="auto" w:fill="FFFFFF"/>
          <w:lang w:val="en-US" w:eastAsia="zh-CN" w:bidi="ar-SA"/>
        </w:rPr>
        <w:t>万元</w:t>
      </w:r>
      <w:r>
        <w:rPr>
          <w:rFonts w:hint="eastAsia" w:eastAsia="仿宋_GB2312" w:cs="Times New Roman"/>
          <w:color w:val="000000"/>
          <w:kern w:val="0"/>
          <w:sz w:val="32"/>
          <w:szCs w:val="32"/>
          <w:shd w:val="clear" w:color="auto" w:fill="FFFFFF"/>
          <w:lang w:val="en-US" w:eastAsia="zh-CN" w:bidi="ar-SA"/>
        </w:rPr>
        <w:t>，</w:t>
      </w:r>
      <w:r>
        <w:rPr>
          <w:rFonts w:hint="default" w:ascii="Times New Roman" w:hAnsi="Times New Roman" w:eastAsia="仿宋_GB2312" w:cs="Times New Roman"/>
          <w:color w:val="000000"/>
          <w:kern w:val="0"/>
          <w:sz w:val="32"/>
          <w:szCs w:val="32"/>
          <w:shd w:val="clear" w:color="auto" w:fill="FFFFFF"/>
          <w:lang w:val="en-US" w:eastAsia="zh-CN" w:bidi="ar-SA"/>
        </w:rPr>
        <w:t>支付数</w:t>
      </w:r>
      <w:r>
        <w:rPr>
          <w:rFonts w:hint="eastAsia" w:eastAsia="仿宋_GB2312" w:cs="Times New Roman"/>
          <w:color w:val="000000"/>
          <w:kern w:val="0"/>
          <w:sz w:val="32"/>
          <w:szCs w:val="32"/>
          <w:shd w:val="clear" w:color="auto" w:fill="FFFFFF"/>
          <w:lang w:val="en-US" w:eastAsia="zh-CN" w:bidi="ar-SA"/>
        </w:rPr>
        <w:t>2.29</w:t>
      </w:r>
      <w:r>
        <w:rPr>
          <w:rFonts w:hint="default" w:ascii="Times New Roman" w:hAnsi="Times New Roman" w:eastAsia="仿宋_GB2312" w:cs="Times New Roman"/>
          <w:color w:val="000000"/>
          <w:kern w:val="0"/>
          <w:sz w:val="32"/>
          <w:szCs w:val="32"/>
          <w:shd w:val="clear" w:color="auto" w:fill="FFFFFF"/>
          <w:lang w:val="en-US" w:eastAsia="zh-CN" w:bidi="ar-SA"/>
        </w:rPr>
        <w:t>万元，执行进度100%。</w:t>
      </w:r>
    </w:p>
    <w:p w14:paraId="27248D16">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color w:val="000000"/>
          <w:kern w:val="0"/>
          <w:sz w:val="32"/>
          <w:szCs w:val="32"/>
          <w:shd w:val="clear" w:color="auto" w:fill="FFFFFF"/>
          <w:lang w:val="en-US" w:eastAsia="zh-CN" w:bidi="ar-SA"/>
        </w:rPr>
        <w:t>聘用协统员经费</w:t>
      </w:r>
      <w:r>
        <w:rPr>
          <w:rFonts w:hint="eastAsia" w:eastAsia="仿宋_GB2312" w:cs="Times New Roman"/>
          <w:color w:val="000000"/>
          <w:kern w:val="0"/>
          <w:sz w:val="32"/>
          <w:szCs w:val="32"/>
          <w:shd w:val="clear" w:color="auto" w:fill="FFFFFF"/>
          <w:lang w:val="en-US" w:eastAsia="zh-CN" w:bidi="ar-SA"/>
        </w:rPr>
        <w:t>，</w:t>
      </w:r>
      <w:r>
        <w:rPr>
          <w:rFonts w:hint="default" w:ascii="Times New Roman" w:hAnsi="Times New Roman" w:eastAsia="仿宋_GB2312" w:cs="Times New Roman"/>
          <w:color w:val="000000"/>
          <w:kern w:val="0"/>
          <w:sz w:val="32"/>
          <w:szCs w:val="32"/>
          <w:shd w:val="clear" w:color="auto" w:fill="FFFFFF"/>
          <w:lang w:val="en-US" w:eastAsia="zh-CN" w:bidi="ar-SA"/>
        </w:rPr>
        <w:t>预算数18.97万元，支付数18.97万元，执行进度100%。</w:t>
      </w:r>
    </w:p>
    <w:p w14:paraId="3F234975">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default" w:ascii="Times New Roman" w:hAnsi="Times New Roman" w:eastAsia="仿宋_GB2312" w:cs="Times New Roman"/>
          <w:color w:val="000000"/>
          <w:kern w:val="0"/>
          <w:sz w:val="32"/>
          <w:szCs w:val="32"/>
          <w:shd w:val="clear" w:color="auto" w:fill="FFFFFF"/>
          <w:lang w:val="en-US" w:eastAsia="zh-CN" w:bidi="ar-SA"/>
        </w:rPr>
      </w:pPr>
      <w:r>
        <w:rPr>
          <w:rFonts w:hint="default" w:ascii="Times New Roman" w:hAnsi="Times New Roman" w:eastAsia="仿宋_GB2312" w:cs="Times New Roman"/>
          <w:color w:val="000000"/>
          <w:kern w:val="0"/>
          <w:sz w:val="32"/>
          <w:szCs w:val="32"/>
          <w:shd w:val="clear" w:color="auto" w:fill="FFFFFF"/>
          <w:lang w:val="en-US" w:eastAsia="zh-CN" w:bidi="ar-SA"/>
        </w:rPr>
        <w:t>城乡住户调查工作经费</w:t>
      </w:r>
      <w:r>
        <w:rPr>
          <w:rFonts w:hint="eastAsia" w:eastAsia="仿宋_GB2312" w:cs="Times New Roman"/>
          <w:color w:val="000000"/>
          <w:kern w:val="0"/>
          <w:sz w:val="32"/>
          <w:szCs w:val="32"/>
          <w:shd w:val="clear" w:color="auto" w:fill="FFFFFF"/>
          <w:lang w:val="en-US" w:eastAsia="zh-CN" w:bidi="ar-SA"/>
        </w:rPr>
        <w:t>，</w:t>
      </w:r>
      <w:r>
        <w:rPr>
          <w:rFonts w:hint="default" w:ascii="Times New Roman" w:hAnsi="Times New Roman" w:eastAsia="仿宋_GB2312" w:cs="Times New Roman"/>
          <w:color w:val="000000"/>
          <w:kern w:val="0"/>
          <w:sz w:val="32"/>
          <w:szCs w:val="32"/>
          <w:shd w:val="clear" w:color="auto" w:fill="FFFFFF"/>
          <w:lang w:val="en-US" w:eastAsia="zh-CN" w:bidi="ar-SA"/>
        </w:rPr>
        <w:t>预算数93.26万元，支付数93.26万元，执行进度100%。</w:t>
      </w:r>
    </w:p>
    <w:p w14:paraId="38344206">
      <w:pPr>
        <w:pageBreakBefore w:val="0"/>
        <w:widowControl w:val="0"/>
        <w:kinsoku/>
        <w:wordWrap/>
        <w:overflowPunct/>
        <w:topLinePunct w:val="0"/>
        <w:bidi w:val="0"/>
        <w:spacing w:before="0" w:beforeLines="0" w:line="576" w:lineRule="exact"/>
        <w:ind w:left="0" w:leftChars="0" w:firstLine="640" w:firstLineChars="200"/>
        <w:jc w:val="left"/>
        <w:textAlignment w:val="auto"/>
        <w:rPr>
          <w:rFonts w:hint="eastAsia"/>
          <w:lang w:val="zh-CN" w:eastAsia="zh-CN"/>
        </w:rPr>
      </w:pPr>
      <w:r>
        <w:rPr>
          <w:rFonts w:hint="default" w:ascii="Times New Roman" w:hAnsi="Times New Roman" w:eastAsia="仿宋_GB2312" w:cs="Times New Roman"/>
          <w:color w:val="000000"/>
          <w:kern w:val="0"/>
          <w:sz w:val="32"/>
          <w:szCs w:val="32"/>
          <w:shd w:val="clear" w:color="auto" w:fill="FFFFFF"/>
          <w:lang w:val="en-US" w:eastAsia="zh-CN" w:bidi="ar-SA"/>
        </w:rPr>
        <w:t>劳动力调查工作经费，预算数12.51万元，支付数12.51万元，执行进度100%。</w:t>
      </w:r>
    </w:p>
    <w:p w14:paraId="6AA8C20D">
      <w:pPr>
        <w:keepNext w:val="0"/>
        <w:keepLines w:val="0"/>
        <w:pageBreakBefore w:val="0"/>
        <w:widowControl w:val="0"/>
        <w:kinsoku/>
        <w:wordWrap/>
        <w:overflowPunct/>
        <w:topLinePunct w:val="0"/>
        <w:autoSpaceDE/>
        <w:autoSpaceDN/>
        <w:bidi w:val="0"/>
        <w:adjustRightInd w:val="0"/>
        <w:snapToGrid w:val="0"/>
        <w:spacing w:line="578" w:lineRule="exact"/>
        <w:ind w:left="0" w:firstLine="640" w:firstLineChars="200"/>
        <w:contextualSpacing/>
        <w:jc w:val="both"/>
        <w:textAlignment w:val="auto"/>
        <w:outlineLvl w:val="9"/>
        <w:rPr>
          <w:rFonts w:hint="eastAsia" w:eastAsia="仿宋_GB2312" w:cs="仿宋_GB2312"/>
          <w:color w:val="auto"/>
          <w:kern w:val="2"/>
          <w:sz w:val="32"/>
          <w:szCs w:val="32"/>
          <w:highlight w:val="none"/>
          <w:lang w:val="zh-CN"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zh-CN" w:eastAsia="zh-CN" w:bidi="ar-SA"/>
        </w:rPr>
        <w:t>目标实现。各项专项经费很好</w:t>
      </w:r>
      <w:r>
        <w:rPr>
          <w:rFonts w:hint="eastAsia" w:eastAsia="仿宋_GB2312" w:cs="仿宋_GB2312"/>
          <w:color w:val="auto"/>
          <w:kern w:val="2"/>
          <w:sz w:val="32"/>
          <w:szCs w:val="32"/>
          <w:highlight w:val="none"/>
          <w:lang w:val="zh-CN" w:eastAsia="zh-CN" w:bidi="ar-SA"/>
        </w:rPr>
        <w:t>地</w:t>
      </w:r>
      <w:r>
        <w:rPr>
          <w:rFonts w:hint="eastAsia" w:ascii="Times New Roman" w:hAnsi="Times New Roman" w:eastAsia="仿宋_GB2312" w:cs="仿宋_GB2312"/>
          <w:color w:val="auto"/>
          <w:kern w:val="2"/>
          <w:sz w:val="32"/>
          <w:szCs w:val="32"/>
          <w:highlight w:val="none"/>
          <w:lang w:val="zh-CN" w:eastAsia="zh-CN" w:bidi="ar-SA"/>
        </w:rPr>
        <w:t>保障了统计业务工作顺利进行。全年基本支出保证了部门的正常运行和日常工作的正常开展，项目支出保障了重点工作的开展，达到预期绩效目标</w:t>
      </w:r>
      <w:r>
        <w:rPr>
          <w:rFonts w:hint="eastAsia" w:eastAsia="仿宋_GB2312" w:cs="仿宋_GB2312"/>
          <w:color w:val="auto"/>
          <w:kern w:val="2"/>
          <w:sz w:val="32"/>
          <w:szCs w:val="32"/>
          <w:highlight w:val="none"/>
          <w:lang w:val="zh-CN" w:eastAsia="zh-CN" w:bidi="ar-SA"/>
        </w:rPr>
        <w:t>。</w:t>
      </w:r>
    </w:p>
    <w:p w14:paraId="5C405EBD">
      <w:pPr>
        <w:keepNext w:val="0"/>
        <w:keepLines w:val="0"/>
        <w:pageBreakBefore w:val="0"/>
        <w:widowControl w:val="0"/>
        <w:kinsoku/>
        <w:wordWrap/>
        <w:overflowPunct/>
        <w:topLinePunct w:val="0"/>
        <w:autoSpaceDE/>
        <w:autoSpaceDN/>
        <w:bidi w:val="0"/>
        <w:adjustRightInd w:val="0"/>
        <w:snapToGrid w:val="0"/>
        <w:spacing w:line="578" w:lineRule="exact"/>
        <w:ind w:left="0" w:firstLine="643" w:firstLineChars="200"/>
        <w:contextualSpacing/>
        <w:jc w:val="both"/>
        <w:textAlignment w:val="auto"/>
        <w:outlineLvl w:val="9"/>
        <w:rPr>
          <w:rFonts w:hint="eastAsia" w:ascii="Times New Roman" w:hAnsi="Times New Roman" w:eastAsia="仿宋_GB2312" w:cs="仿宋_GB2312"/>
          <w:color w:val="auto"/>
          <w:kern w:val="2"/>
          <w:sz w:val="32"/>
          <w:szCs w:val="32"/>
          <w:highlight w:val="none"/>
          <w:lang w:val="zh-CN" w:eastAsia="zh-CN" w:bidi="ar-SA"/>
        </w:rPr>
      </w:pPr>
      <w:r>
        <w:rPr>
          <w:rFonts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楷体_GB2312" w:cs="Times New Roman"/>
          <w:b/>
          <w:bCs/>
          <w:color w:val="000000"/>
          <w:kern w:val="0"/>
          <w:sz w:val="32"/>
          <w:szCs w:val="32"/>
          <w:highlight w:val="none"/>
          <w:shd w:val="clear" w:color="auto" w:fill="FFFFFF"/>
          <w:lang w:val="en-US" w:eastAsia="zh-CN"/>
        </w:rPr>
        <w:t>三</w:t>
      </w:r>
      <w:r>
        <w:rPr>
          <w:rFonts w:ascii="Times New Roman" w:hAnsi="Times New Roman" w:eastAsia="楷体_GB2312" w:cs="Times New Roman"/>
          <w:b/>
          <w:bCs/>
          <w:color w:val="000000"/>
          <w:kern w:val="0"/>
          <w:sz w:val="32"/>
          <w:szCs w:val="32"/>
          <w:highlight w:val="none"/>
          <w:shd w:val="clear" w:color="auto" w:fill="FFFFFF"/>
          <w:lang w:val="zh-CN" w:eastAsia="zh-CN"/>
        </w:rPr>
        <w:t>）绩效结果应用情况</w:t>
      </w:r>
      <w:r>
        <w:rPr>
          <w:rFonts w:hint="eastAsia" w:ascii="Times New Roman" w:hAnsi="Times New Roman" w:eastAsia="楷体_GB2312" w:cs="Times New Roman"/>
          <w:b/>
          <w:bCs/>
          <w:color w:val="000000"/>
          <w:kern w:val="0"/>
          <w:sz w:val="32"/>
          <w:szCs w:val="32"/>
          <w:highlight w:val="none"/>
          <w:shd w:val="clear" w:color="auto" w:fill="FFFFFF"/>
          <w:lang w:val="zh-CN" w:eastAsia="zh-CN"/>
        </w:rPr>
        <w:t>。</w:t>
      </w:r>
      <w:r>
        <w:rPr>
          <w:rFonts w:hint="eastAsia" w:ascii="Times New Roman" w:hAnsi="Times New Roman" w:eastAsia="仿宋_GB2312" w:cs="仿宋_GB2312"/>
          <w:color w:val="auto"/>
          <w:kern w:val="2"/>
          <w:sz w:val="32"/>
          <w:szCs w:val="32"/>
          <w:highlight w:val="none"/>
          <w:lang w:val="zh-CN" w:eastAsia="zh-CN" w:bidi="ar-SA"/>
        </w:rPr>
        <w:t>我单位对部门预算绩效管理工作开展情况认真进行了自评。绩效评价自查开展覆盖全单位及重点支出，将评价结果作为预算安排的重要依据，参照项目年度预算执行情况“三年滚动规划”执行情况统筹项目支出需求，保障重点支出调整支出结构，优化财政资金配置，不断强化绩效理念，推动本部门整体绩效管理水平不断提升。</w:t>
      </w:r>
    </w:p>
    <w:p w14:paraId="57971065">
      <w:pPr>
        <w:keepNext w:val="0"/>
        <w:keepLines w:val="0"/>
        <w:pageBreakBefore w:val="0"/>
        <w:widowControl/>
        <w:kinsoku/>
        <w:wordWrap/>
        <w:overflowPunct/>
        <w:topLinePunct w:val="0"/>
        <w:autoSpaceDE/>
        <w:autoSpaceDN/>
        <w:bidi w:val="0"/>
        <w:adjustRightInd w:val="0"/>
        <w:snapToGrid w:val="0"/>
        <w:spacing w:line="578" w:lineRule="exact"/>
        <w:ind w:left="0" w:firstLine="640" w:firstLineChars="200"/>
        <w:contextualSpacing/>
        <w:jc w:val="left"/>
        <w:textAlignment w:val="auto"/>
        <w:outlineLvl w:val="9"/>
        <w:rPr>
          <w:rFonts w:ascii="Times New Roman" w:hAnsi="Times New Roman" w:eastAsia="黑体" w:cs="Times New Roman"/>
          <w:color w:val="000000"/>
          <w:kern w:val="0"/>
          <w:sz w:val="32"/>
          <w:szCs w:val="32"/>
          <w:highlight w:val="none"/>
          <w:shd w:val="clear" w:color="auto" w:fill="FFFFFF"/>
          <w:lang w:val="zh-CN"/>
        </w:rPr>
      </w:pPr>
      <w:r>
        <w:rPr>
          <w:rFonts w:ascii="Times New Roman" w:hAnsi="Times New Roman" w:eastAsia="黑体" w:cs="Times New Roman"/>
          <w:color w:val="000000"/>
          <w:kern w:val="0"/>
          <w:sz w:val="32"/>
          <w:szCs w:val="32"/>
          <w:highlight w:val="none"/>
          <w:shd w:val="clear" w:color="auto" w:fill="FFFFFF"/>
          <w:lang w:val="zh-CN" w:eastAsia="zh-CN"/>
        </w:rPr>
        <w:t>四、</w:t>
      </w:r>
      <w:r>
        <w:rPr>
          <w:rFonts w:ascii="Times New Roman" w:hAnsi="Times New Roman" w:eastAsia="黑体" w:cs="Times New Roman"/>
          <w:color w:val="000000"/>
          <w:kern w:val="0"/>
          <w:sz w:val="32"/>
          <w:szCs w:val="32"/>
          <w:highlight w:val="none"/>
          <w:shd w:val="clear" w:color="auto" w:fill="FFFFFF"/>
          <w:lang w:val="zh-CN"/>
        </w:rPr>
        <w:t>评价结论及建议</w:t>
      </w:r>
    </w:p>
    <w:p w14:paraId="6442D077">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（一）评价结论。</w:t>
      </w:r>
      <w:r>
        <w:rPr>
          <w:rFonts w:hint="eastAsia" w:ascii="Times New Roman" w:hAnsi="Times New Roman" w:eastAsia="仿宋_GB2312" w:cs="Times New Roman"/>
          <w:sz w:val="32"/>
          <w:szCs w:val="32"/>
          <w:u w:val="none"/>
          <w:lang w:val="en-US" w:eastAsia="zh-CN"/>
        </w:rPr>
        <w:t>2025年我部门整体支出绩效评价自查自评结果良好，全年基本支出保证了部门的正常运行和日常工作的正常开展，项目支出保障了重点工作的开展，达到预期绩效目标，按照2025年部门整体支出绩效评价指标体系自评得分93分。</w:t>
      </w:r>
    </w:p>
    <w:p w14:paraId="798324FB">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rPr>
      </w:pPr>
      <w:r>
        <w:rPr>
          <w:rFonts w:ascii="Times New Roman" w:hAnsi="Times New Roman" w:eastAsia="楷体_GB2312" w:cs="Times New Roman"/>
          <w:b/>
          <w:bCs/>
          <w:color w:val="000000"/>
          <w:kern w:val="0"/>
          <w:sz w:val="32"/>
          <w:szCs w:val="32"/>
          <w:highlight w:val="none"/>
          <w:shd w:val="clear" w:color="auto" w:fill="FFFFFF"/>
          <w:lang w:val="zh-CN"/>
        </w:rPr>
        <w:t>（二）存在问题。</w:t>
      </w:r>
      <w:r>
        <w:rPr>
          <w:rFonts w:hint="eastAsia" w:ascii="Times New Roman" w:hAnsi="Times New Roman" w:eastAsia="仿宋_GB2312" w:cs="Times New Roman"/>
          <w:sz w:val="32"/>
          <w:szCs w:val="32"/>
          <w:u w:val="none"/>
          <w:lang w:val="en-US" w:eastAsia="zh-CN"/>
        </w:rPr>
        <w:t>绩效目标设定有待更科学更合理。</w:t>
      </w:r>
    </w:p>
    <w:p w14:paraId="1D6FACEA">
      <w:pPr>
        <w:keepNext w:val="0"/>
        <w:keepLines w:val="0"/>
        <w:pageBreakBefore w:val="0"/>
        <w:widowControl/>
        <w:kinsoku/>
        <w:wordWrap/>
        <w:overflowPunct/>
        <w:topLinePunct w:val="0"/>
        <w:autoSpaceDE/>
        <w:autoSpaceDN/>
        <w:bidi w:val="0"/>
        <w:adjustRightInd w:val="0"/>
        <w:snapToGrid w:val="0"/>
        <w:spacing w:line="578" w:lineRule="exact"/>
        <w:ind w:firstLine="643" w:firstLineChars="200"/>
        <w:contextualSpacing/>
        <w:jc w:val="left"/>
        <w:textAlignment w:val="auto"/>
        <w:outlineLvl w:val="9"/>
        <w:rPr>
          <w:rFonts w:hint="eastAsia" w:ascii="Times New Roman" w:hAnsi="Times New Roman" w:eastAsia="仿宋_GB2312" w:cs="Times New Roman"/>
          <w:sz w:val="32"/>
          <w:szCs w:val="32"/>
          <w:u w:val="none"/>
          <w:lang w:val="en-US" w:eastAsia="zh-CN"/>
        </w:rPr>
      </w:pPr>
      <w:r>
        <w:rPr>
          <w:rFonts w:ascii="Times New Roman" w:hAnsi="Times New Roman" w:eastAsia="楷体_GB2312" w:cs="Times New Roman"/>
          <w:b/>
          <w:bCs/>
          <w:color w:val="000000"/>
          <w:kern w:val="0"/>
          <w:sz w:val="32"/>
          <w:szCs w:val="32"/>
          <w:highlight w:val="none"/>
          <w:shd w:val="clear" w:color="auto" w:fill="FFFFFF"/>
          <w:lang w:val="zh-CN" w:eastAsia="zh-CN"/>
        </w:rPr>
        <w:t>（三）改进建议。</w:t>
      </w:r>
      <w:bookmarkStart w:id="78" w:name="_Hlk110546638"/>
      <w:r>
        <w:rPr>
          <w:rFonts w:hint="eastAsia" w:ascii="Times New Roman" w:hAnsi="Times New Roman" w:eastAsia="仿宋_GB2312" w:cs="Times New Roman"/>
          <w:sz w:val="32"/>
          <w:szCs w:val="32"/>
          <w:u w:val="none"/>
          <w:lang w:val="en-US" w:eastAsia="zh-CN"/>
        </w:rPr>
        <w:t>针对存在的问题，我们将进一步科学设定绩效目标，加强预算执行管理。一是改进部门收支预算编制，夯实预算基础工作，提高预算编制质量；二是认真研究政策，加强项目绩效目标审核，力求科学合理；三是认真研究重点项目的执行，特别是涉及政府采购的项目，提早规划，提前实施，确保项目顺利实施，提高财政资金的使用效益。</w:t>
      </w:r>
    </w:p>
    <w:p w14:paraId="621C7EC6">
      <w:pPr>
        <w:pStyle w:val="2"/>
        <w:rPr>
          <w:rFonts w:hint="eastAsia" w:ascii="Times New Roman" w:hAnsi="Times New Roman" w:eastAsia="仿宋_GB2312" w:cs="Times New Roman"/>
          <w:sz w:val="32"/>
          <w:szCs w:val="32"/>
          <w:u w:val="none"/>
          <w:lang w:val="en-US" w:eastAsia="zh-CN"/>
        </w:rPr>
      </w:pPr>
    </w:p>
    <w:p w14:paraId="173F9845">
      <w:pPr>
        <w:pStyle w:val="3"/>
        <w:rPr>
          <w:rFonts w:hint="eastAsia" w:ascii="Times New Roman" w:hAnsi="Times New Roman" w:eastAsia="仿宋_GB2312" w:cs="Times New Roman"/>
          <w:sz w:val="32"/>
          <w:szCs w:val="32"/>
          <w:u w:val="none"/>
          <w:lang w:val="en-US" w:eastAsia="zh-CN"/>
        </w:rPr>
      </w:pPr>
    </w:p>
    <w:p w14:paraId="5D7931F4">
      <w:pPr>
        <w:pStyle w:val="3"/>
        <w:keepNext w:val="0"/>
        <w:keepLines w:val="0"/>
        <w:pageBreakBefore/>
        <w:widowControl w:val="0"/>
        <w:kinsoku/>
        <w:wordWrap/>
        <w:overflowPunct/>
        <w:topLinePunct w:val="0"/>
        <w:autoSpaceDE/>
        <w:autoSpaceDN/>
        <w:bidi w:val="0"/>
        <w:adjustRightInd/>
        <w:snapToGrid/>
        <w:ind w:left="0" w:leftChars="0" w:firstLine="0" w:firstLineChars="0"/>
        <w:jc w:val="left"/>
        <w:textAlignment w:val="auto"/>
        <w:rPr>
          <w:rFonts w:hint="eastAsia" w:ascii="Times New Roman" w:hAnsi="Times New Roman" w:eastAsia="方正小标宋简体" w:cs="Times New Roman"/>
          <w:b w:val="0"/>
          <w:bCs/>
          <w:kern w:val="2"/>
          <w:sz w:val="44"/>
          <w:szCs w:val="44"/>
          <w:highlight w:val="none"/>
          <w:shd w:val="clear" w:color="auto" w:fill="FFFFFF"/>
          <w:lang w:val="en-US" w:eastAsia="zh-CN" w:bidi="ar-SA"/>
        </w:rPr>
      </w:pPr>
      <w:r>
        <w:rPr>
          <w:rFonts w:hint="eastAsia" w:ascii="Times New Roman" w:hAnsi="Times New Roman" w:eastAsia="方正小标宋简体" w:cs="Times New Roman"/>
          <w:b w:val="0"/>
          <w:bCs/>
          <w:kern w:val="2"/>
          <w:sz w:val="44"/>
          <w:szCs w:val="44"/>
          <w:highlight w:val="none"/>
          <w:shd w:val="clear" w:color="auto" w:fill="FFFFFF"/>
          <w:lang w:val="en-US" w:eastAsia="zh-CN" w:bidi="ar-SA"/>
        </w:rPr>
        <w:t>部门预算项目支出绩效自评表（2025年度）</w:t>
      </w:r>
    </w:p>
    <w:bookmarkEnd w:id="78"/>
    <w:tbl>
      <w:tblPr>
        <w:tblStyle w:val="1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76"/>
        <w:gridCol w:w="1076"/>
        <w:gridCol w:w="902"/>
        <w:gridCol w:w="1201"/>
        <w:gridCol w:w="396"/>
        <w:gridCol w:w="846"/>
        <w:gridCol w:w="398"/>
        <w:gridCol w:w="852"/>
        <w:gridCol w:w="487"/>
        <w:gridCol w:w="397"/>
        <w:gridCol w:w="1391"/>
      </w:tblGrid>
      <w:tr w14:paraId="2051B8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27035DE2">
            <w:pPr>
              <w:keepNext w:val="0"/>
              <w:keepLines w:val="0"/>
              <w:widowControl/>
              <w:suppressLineNumbers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621D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422320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3CCC85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51322322T000000309164-“一套表”联网直报工作经费</w:t>
            </w:r>
          </w:p>
        </w:tc>
      </w:tr>
      <w:tr w14:paraId="6D22A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459FC0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3B15C9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茂县统计局本级</w:t>
            </w:r>
          </w:p>
        </w:tc>
        <w:tc>
          <w:tcPr>
            <w:tcW w:w="498" w:type="pct"/>
            <w:tcBorders>
              <w:top w:val="nil"/>
              <w:left w:val="nil"/>
              <w:bottom w:val="nil"/>
              <w:right w:val="nil"/>
            </w:tcBorders>
            <w:noWrap w:val="0"/>
            <w:vAlign w:val="center"/>
          </w:tcPr>
          <w:p w14:paraId="2A3609A4">
            <w:pPr>
              <w:keepNext w:val="0"/>
              <w:keepLines w:val="0"/>
              <w:widowControl/>
              <w:suppressLineNumbers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34" w:type="pct"/>
            <w:gridSpan w:val="3"/>
            <w:tcBorders>
              <w:top w:val="single" w:color="000000" w:sz="4" w:space="0"/>
              <w:left w:val="single" w:color="000000" w:sz="4" w:space="0"/>
              <w:bottom w:val="single" w:color="000000" w:sz="4" w:space="0"/>
              <w:right w:val="single" w:color="000000" w:sz="4" w:space="0"/>
            </w:tcBorders>
            <w:noWrap w:val="0"/>
            <w:vAlign w:val="center"/>
          </w:tcPr>
          <w:p w14:paraId="0B8FB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w:t>
            </w:r>
          </w:p>
        </w:tc>
      </w:tr>
      <w:tr w14:paraId="410F5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239403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42F2C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570ED4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61579F45">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34E6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61"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C39E63C">
            <w:pP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8A3836">
            <w:pPr>
              <w:rPr>
                <w:rFonts w:hint="eastAsia" w:ascii="宋体" w:hAnsi="宋体" w:eastAsia="宋体" w:cs="宋体"/>
                <w:i w:val="0"/>
                <w:iCs w:val="0"/>
                <w:color w:val="000000"/>
                <w:sz w:val="18"/>
                <w:szCs w:val="18"/>
                <w:u w:val="none"/>
              </w:rPr>
            </w:pP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07147B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根据《四川统计数据采集处理平台用户管理办法（试行）》和《四川省“一套表”实施方案》要求，为保障我局本年度“一套表”工作顺利开展，需解决“一套表”联网直报工作费用合计元512000元。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具体项目如下：</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“一套表”联网直报基层单位统计人员共110人，按每人每月200元的标准给予补贴，全年合计264000元。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社消零、、工业、建筑业、服务业限下抽样调查和劳动工资补助共135人，按每人每年450元的标准给予补助，全年合计60750元。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“一套表”网络运行费77600元。</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“一套表”办公及其他费用26000元。</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7E8CAF8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以企业统计调查核心指标体系为基础，调查表分年报和定期报表，了解规上企业经营情况。</w:t>
            </w:r>
          </w:p>
        </w:tc>
      </w:tr>
      <w:tr w14:paraId="24966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66A3B3">
            <w:pP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79A92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465AFB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涉及调查单位基本情况、从业人员及工资总额、固定资产支出、财务状况、生产经营情况、能源和水消费、科技活动、信息化情况等方面内容</w:t>
            </w:r>
          </w:p>
        </w:tc>
      </w:tr>
      <w:tr w14:paraId="316855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5A2BC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E06CC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2F179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D35DE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530BCA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AAA7E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DC75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CC9A3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0D06B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C088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6F7C6E6">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7F695C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5C71F9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74CA1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32.56</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6DEEB2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32.56</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4473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613B1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B2064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vMerge w:val="restart"/>
            <w:tcBorders>
              <w:top w:val="single" w:color="000000" w:sz="4" w:space="0"/>
              <w:left w:val="single" w:color="000000" w:sz="4" w:space="0"/>
              <w:bottom w:val="single" w:color="000000" w:sz="4" w:space="0"/>
              <w:right w:val="single" w:color="000000" w:sz="4" w:space="0"/>
            </w:tcBorders>
            <w:noWrap w:val="0"/>
            <w:vAlign w:val="center"/>
          </w:tcPr>
          <w:p w14:paraId="3D35B6E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7D67A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2F1DEE">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15627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2FBFB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845E1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32.56</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2980CB34">
            <w:pPr>
              <w:jc w:val="center"/>
              <w:rPr>
                <w:rFonts w:hint="default"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32.56</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99B6B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9A521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D0238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B7D00C">
            <w:pPr>
              <w:rPr>
                <w:rFonts w:hint="eastAsia" w:ascii="黑体" w:hAnsi="黑体" w:eastAsia="黑体" w:cs="黑体"/>
                <w:i/>
                <w:iCs/>
                <w:color w:val="000000"/>
                <w:sz w:val="18"/>
                <w:szCs w:val="18"/>
                <w:u w:val="none"/>
              </w:rPr>
            </w:pPr>
          </w:p>
        </w:tc>
      </w:tr>
      <w:tr w14:paraId="15894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0227022">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2F31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08766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D2D3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1398D0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32FE6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40E2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96666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C651487">
            <w:pPr>
              <w:rPr>
                <w:rFonts w:hint="eastAsia" w:ascii="黑体" w:hAnsi="黑体" w:eastAsia="黑体" w:cs="黑体"/>
                <w:i/>
                <w:iCs/>
                <w:color w:val="000000"/>
                <w:sz w:val="18"/>
                <w:szCs w:val="18"/>
                <w:u w:val="none"/>
              </w:rPr>
            </w:pPr>
          </w:p>
        </w:tc>
      </w:tr>
      <w:tr w14:paraId="72CBBE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43B3CD">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360F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96E7C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52264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722BF5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91990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E068D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D455D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93E09EC">
            <w:pPr>
              <w:rPr>
                <w:rFonts w:hint="eastAsia" w:ascii="黑体" w:hAnsi="黑体" w:eastAsia="黑体" w:cs="黑体"/>
                <w:i/>
                <w:iCs/>
                <w:color w:val="000000"/>
                <w:sz w:val="18"/>
                <w:szCs w:val="18"/>
                <w:u w:val="none"/>
              </w:rPr>
            </w:pPr>
          </w:p>
        </w:tc>
      </w:tr>
      <w:tr w14:paraId="123A7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4F7CFA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D097C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BC14826">
            <w:pPr>
              <w:jc w:val="center"/>
              <w:rPr>
                <w:rFonts w:hint="eastAsia" w:ascii="微软雅黑" w:hAnsi="微软雅黑" w:eastAsia="微软雅黑" w:cs="微软雅黑"/>
                <w:i/>
                <w:iCs/>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3726ACD">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65FE4E13">
            <w:pPr>
              <w:jc w:val="center"/>
              <w:rPr>
                <w:rFonts w:hint="eastAsia" w:ascii="微软雅黑" w:hAnsi="微软雅黑" w:eastAsia="微软雅黑" w:cs="微软雅黑"/>
                <w:i/>
                <w:iCs/>
                <w:color w:val="000000"/>
                <w:sz w:val="16"/>
                <w:szCs w:val="16"/>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4C5CB7E">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64E93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510B4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D4ACA6">
            <w:pPr>
              <w:rPr>
                <w:rFonts w:hint="eastAsia" w:ascii="黑体" w:hAnsi="黑体" w:eastAsia="黑体" w:cs="黑体"/>
                <w:i/>
                <w:iCs/>
                <w:color w:val="000000"/>
                <w:sz w:val="18"/>
                <w:szCs w:val="18"/>
                <w:u w:val="none"/>
              </w:rPr>
            </w:pPr>
          </w:p>
        </w:tc>
      </w:tr>
      <w:tr w14:paraId="78AF4F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4F63EF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3D5CD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4068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D7899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2D836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2F42F6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6193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6A4D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47417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DA98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E7416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FCCE8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357563">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6B7ACF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504A54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E0A40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联网直报报表人员数量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0A7DC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B33D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C356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156DC0D">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110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6FC21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05D6D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D5EE59F">
            <w:pPr>
              <w:jc w:val="center"/>
              <w:rPr>
                <w:rFonts w:hint="eastAsia" w:ascii="微软雅黑" w:hAnsi="微软雅黑" w:eastAsia="微软雅黑" w:cs="微软雅黑"/>
                <w:i/>
                <w:iCs/>
                <w:color w:val="000000"/>
                <w:sz w:val="16"/>
                <w:szCs w:val="16"/>
                <w:u w:val="none"/>
              </w:rPr>
            </w:pPr>
          </w:p>
        </w:tc>
      </w:tr>
      <w:tr w14:paraId="3F7E1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283AFF">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C58E05C">
            <w:pPr>
              <w:jc w:val="center"/>
              <w:rPr>
                <w:rFonts w:hint="eastAsia" w:ascii="宋体" w:hAnsi="宋体" w:eastAsia="宋体" w:cs="宋体"/>
                <w:i w:val="0"/>
                <w:iCs w:val="0"/>
                <w:color w:val="000000"/>
                <w:sz w:val="18"/>
                <w:szCs w:val="18"/>
                <w:u w:val="none"/>
              </w:rPr>
            </w:pPr>
          </w:p>
        </w:tc>
        <w:tc>
          <w:tcPr>
            <w:tcW w:w="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4DFAC5DD">
            <w:pPr>
              <w:jc w:val="center"/>
              <w:rPr>
                <w:rFonts w:hint="eastAsia" w:ascii="宋体" w:hAnsi="宋体" w:eastAsia="宋体" w:cs="宋体"/>
                <w:i w:val="0"/>
                <w:iCs w:val="0"/>
                <w:color w:val="000000"/>
                <w:sz w:val="18"/>
                <w:szCs w:val="18"/>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ED987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抽样调查人员人数</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97B3C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AA025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160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841B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5A8E44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96E92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F33E1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016F58A">
            <w:pPr>
              <w:jc w:val="center"/>
              <w:rPr>
                <w:rFonts w:hint="eastAsia" w:ascii="微软雅黑" w:hAnsi="微软雅黑" w:eastAsia="微软雅黑" w:cs="微软雅黑"/>
                <w:i/>
                <w:iCs/>
                <w:color w:val="000000"/>
                <w:sz w:val="16"/>
                <w:szCs w:val="16"/>
                <w:u w:val="none"/>
              </w:rPr>
            </w:pPr>
          </w:p>
        </w:tc>
      </w:tr>
      <w:tr w14:paraId="172C2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72B6EF">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CEBAB7">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64E23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F4D22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抽样调查员经费支出合规率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683D8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914DB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812D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AB4504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B3223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40185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A597164">
            <w:pPr>
              <w:jc w:val="center"/>
              <w:rPr>
                <w:rFonts w:hint="eastAsia" w:ascii="微软雅黑" w:hAnsi="微软雅黑" w:eastAsia="微软雅黑" w:cs="微软雅黑"/>
                <w:i/>
                <w:iCs/>
                <w:color w:val="000000"/>
                <w:sz w:val="16"/>
                <w:szCs w:val="16"/>
                <w:u w:val="none"/>
              </w:rPr>
            </w:pPr>
          </w:p>
        </w:tc>
      </w:tr>
      <w:tr w14:paraId="27B96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8513C8">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57B0EF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8F642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D27A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统计工作完成度</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B4003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5C9C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458CD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AF06B0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4735A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E4CD0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4F2B8D9">
            <w:pPr>
              <w:jc w:val="center"/>
              <w:rPr>
                <w:rFonts w:hint="eastAsia" w:ascii="微软雅黑" w:hAnsi="微软雅黑" w:eastAsia="微软雅黑" w:cs="微软雅黑"/>
                <w:i/>
                <w:iCs/>
                <w:color w:val="000000"/>
                <w:sz w:val="16"/>
                <w:szCs w:val="16"/>
                <w:u w:val="none"/>
              </w:rPr>
            </w:pPr>
          </w:p>
        </w:tc>
      </w:tr>
      <w:tr w14:paraId="72FCC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B552499">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4D08D4">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95A44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102C4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为我县经济和社会发展规划、统筹城乡经济发展、教育、就业、社会保障等方面提供数据支撑。减少社会不稳定因素</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F3610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18525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明显减少</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502DB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AA71B4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明显减少</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F6089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0E571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08A5AB7">
            <w:pPr>
              <w:jc w:val="center"/>
              <w:rPr>
                <w:rFonts w:hint="eastAsia" w:ascii="微软雅黑" w:hAnsi="微软雅黑" w:eastAsia="微软雅黑" w:cs="微软雅黑"/>
                <w:i/>
                <w:iCs/>
                <w:color w:val="000000"/>
                <w:sz w:val="16"/>
                <w:szCs w:val="16"/>
                <w:u w:val="none"/>
              </w:rPr>
            </w:pPr>
          </w:p>
        </w:tc>
      </w:tr>
      <w:tr w14:paraId="718AC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08D0D7">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706C5C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88E4E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A69C3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统计报表工作完成满意度</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2575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B5886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50C60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9C67C1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96A1A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A2A00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A99228B">
            <w:pPr>
              <w:jc w:val="center"/>
              <w:rPr>
                <w:rFonts w:hint="eastAsia" w:ascii="微软雅黑" w:hAnsi="微软雅黑" w:eastAsia="微软雅黑" w:cs="微软雅黑"/>
                <w:i/>
                <w:iCs/>
                <w:color w:val="000000"/>
                <w:sz w:val="16"/>
                <w:szCs w:val="16"/>
                <w:u w:val="none"/>
              </w:rPr>
            </w:pPr>
          </w:p>
        </w:tc>
      </w:tr>
      <w:tr w14:paraId="06727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D003FC">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782D6B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678F5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2480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预算成本</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0103F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6C406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428350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AD394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44EC57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325553</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B5A7E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476D4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B61A37E">
            <w:pPr>
              <w:jc w:val="center"/>
              <w:rPr>
                <w:rFonts w:hint="eastAsia" w:ascii="微软雅黑" w:hAnsi="微软雅黑" w:eastAsia="微软雅黑" w:cs="微软雅黑"/>
                <w:i/>
                <w:iCs/>
                <w:color w:val="000000"/>
                <w:sz w:val="16"/>
                <w:szCs w:val="16"/>
                <w:u w:val="none"/>
              </w:rPr>
            </w:pPr>
          </w:p>
        </w:tc>
      </w:tr>
      <w:tr w14:paraId="6D1CE5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665" w:type="pct"/>
            <w:gridSpan w:val="8"/>
            <w:tcBorders>
              <w:top w:val="single" w:color="000000" w:sz="4" w:space="0"/>
              <w:left w:val="single" w:color="000000" w:sz="4" w:space="0"/>
              <w:bottom w:val="single" w:color="000000" w:sz="4" w:space="0"/>
              <w:right w:val="single" w:color="000000" w:sz="4" w:space="0"/>
            </w:tcBorders>
            <w:noWrap w:val="0"/>
            <w:vAlign w:val="center"/>
          </w:tcPr>
          <w:p w14:paraId="502C76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8FBAF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3CBCA9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069A41A">
            <w:pPr>
              <w:rPr>
                <w:rFonts w:hint="eastAsia" w:ascii="宋体" w:hAnsi="宋体" w:eastAsia="宋体" w:cs="宋体"/>
                <w:i w:val="0"/>
                <w:iCs w:val="0"/>
                <w:color w:val="000000"/>
                <w:sz w:val="18"/>
                <w:szCs w:val="18"/>
                <w:u w:val="none"/>
              </w:rPr>
            </w:pPr>
          </w:p>
        </w:tc>
      </w:tr>
      <w:tr w14:paraId="66593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637DA6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308B572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该项目预算执行情况自评得分10分，绩效指标得分98分，该项目以企业统计调查核心指标体系为基础，调查表分年报和定期报表，了解规上企业经营情况。</w:t>
            </w:r>
          </w:p>
        </w:tc>
      </w:tr>
      <w:tr w14:paraId="2C381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51C0BE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69D9A96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F239D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1106C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6D50BD1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DCB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7" w:type="pct"/>
            <w:gridSpan w:val="5"/>
            <w:tcBorders>
              <w:top w:val="single" w:color="000000" w:sz="4" w:space="0"/>
              <w:left w:val="single" w:color="000000" w:sz="4" w:space="0"/>
              <w:bottom w:val="single" w:color="000000" w:sz="4" w:space="0"/>
              <w:right w:val="single" w:color="000000" w:sz="4" w:space="0"/>
            </w:tcBorders>
            <w:noWrap w:val="0"/>
            <w:vAlign w:val="center"/>
          </w:tcPr>
          <w:p w14:paraId="4569E30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项目负责人：赵秀云</w:t>
            </w:r>
          </w:p>
        </w:tc>
        <w:tc>
          <w:tcPr>
            <w:tcW w:w="2562" w:type="pct"/>
            <w:gridSpan w:val="6"/>
            <w:tcBorders>
              <w:top w:val="single" w:color="000000" w:sz="4" w:space="0"/>
              <w:left w:val="single" w:color="000000" w:sz="4" w:space="0"/>
              <w:bottom w:val="single" w:color="000000" w:sz="4" w:space="0"/>
              <w:right w:val="single" w:color="000000" w:sz="4" w:space="0"/>
            </w:tcBorders>
            <w:noWrap w:val="0"/>
            <w:vAlign w:val="center"/>
          </w:tcPr>
          <w:p w14:paraId="67255BED">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财务负责人：赵秀云</w:t>
            </w:r>
          </w:p>
        </w:tc>
      </w:tr>
      <w:tr w14:paraId="3C1B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noWrap w:val="0"/>
            <w:vAlign w:val="center"/>
          </w:tcPr>
          <w:p w14:paraId="6EEBE891">
            <w:pPr>
              <w:rPr>
                <w:rFonts w:hint="eastAsia" w:ascii="宋体" w:hAnsi="宋体" w:eastAsia="宋体" w:cs="宋体"/>
                <w:i w:val="0"/>
                <w:iCs w:val="0"/>
                <w:color w:val="000000"/>
                <w:sz w:val="18"/>
                <w:szCs w:val="18"/>
                <w:u w:val="none"/>
              </w:rPr>
            </w:pPr>
          </w:p>
        </w:tc>
        <w:tc>
          <w:tcPr>
            <w:tcW w:w="631" w:type="pct"/>
            <w:tcBorders>
              <w:top w:val="nil"/>
              <w:left w:val="nil"/>
              <w:bottom w:val="nil"/>
              <w:right w:val="nil"/>
            </w:tcBorders>
            <w:noWrap w:val="0"/>
            <w:vAlign w:val="center"/>
          </w:tcPr>
          <w:p w14:paraId="53D18FAE">
            <w:pPr>
              <w:rPr>
                <w:rFonts w:hint="eastAsia" w:ascii="宋体" w:hAnsi="宋体" w:eastAsia="宋体" w:cs="宋体"/>
                <w:i w:val="0"/>
                <w:iCs w:val="0"/>
                <w:color w:val="000000"/>
                <w:sz w:val="18"/>
                <w:szCs w:val="18"/>
                <w:u w:val="none"/>
              </w:rPr>
            </w:pPr>
          </w:p>
        </w:tc>
        <w:tc>
          <w:tcPr>
            <w:tcW w:w="530" w:type="pct"/>
            <w:tcBorders>
              <w:top w:val="nil"/>
              <w:left w:val="nil"/>
              <w:bottom w:val="nil"/>
              <w:right w:val="nil"/>
            </w:tcBorders>
            <w:noWrap w:val="0"/>
            <w:vAlign w:val="center"/>
          </w:tcPr>
          <w:p w14:paraId="2433EC97">
            <w:pPr>
              <w:rPr>
                <w:rFonts w:hint="eastAsia" w:ascii="宋体" w:hAnsi="宋体" w:eastAsia="宋体" w:cs="宋体"/>
                <w:i w:val="0"/>
                <w:iCs w:val="0"/>
                <w:color w:val="000000"/>
                <w:sz w:val="18"/>
                <w:szCs w:val="18"/>
                <w:u w:val="none"/>
              </w:rPr>
            </w:pPr>
          </w:p>
        </w:tc>
        <w:tc>
          <w:tcPr>
            <w:tcW w:w="705" w:type="pct"/>
            <w:tcBorders>
              <w:top w:val="nil"/>
              <w:left w:val="nil"/>
              <w:bottom w:val="nil"/>
              <w:right w:val="nil"/>
            </w:tcBorders>
            <w:noWrap w:val="0"/>
            <w:vAlign w:val="center"/>
          </w:tcPr>
          <w:p w14:paraId="13A46286">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1D8E7A60">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noWrap w:val="0"/>
            <w:vAlign w:val="center"/>
          </w:tcPr>
          <w:p w14:paraId="29F70603">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6500BD29">
            <w:pPr>
              <w:rPr>
                <w:rFonts w:hint="eastAsia" w:ascii="宋体" w:hAnsi="宋体" w:eastAsia="宋体" w:cs="宋体"/>
                <w:i w:val="0"/>
                <w:iCs w:val="0"/>
                <w:color w:val="000000"/>
                <w:sz w:val="18"/>
                <w:szCs w:val="18"/>
                <w:u w:val="none"/>
              </w:rPr>
            </w:pPr>
          </w:p>
        </w:tc>
        <w:tc>
          <w:tcPr>
            <w:tcW w:w="498" w:type="pct"/>
            <w:tcBorders>
              <w:top w:val="nil"/>
              <w:left w:val="nil"/>
              <w:bottom w:val="nil"/>
              <w:right w:val="nil"/>
            </w:tcBorders>
            <w:noWrap w:val="0"/>
            <w:vAlign w:val="center"/>
          </w:tcPr>
          <w:p w14:paraId="74A6C67B">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noWrap w:val="0"/>
            <w:vAlign w:val="center"/>
          </w:tcPr>
          <w:p w14:paraId="5785693D">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12E26852">
            <w:pPr>
              <w:rPr>
                <w:rFonts w:hint="eastAsia" w:ascii="宋体" w:hAnsi="宋体" w:eastAsia="宋体" w:cs="宋体"/>
                <w:i w:val="0"/>
                <w:iCs w:val="0"/>
                <w:color w:val="000000"/>
                <w:sz w:val="18"/>
                <w:szCs w:val="18"/>
                <w:u w:val="none"/>
              </w:rPr>
            </w:pPr>
          </w:p>
        </w:tc>
        <w:tc>
          <w:tcPr>
            <w:tcW w:w="816" w:type="pct"/>
            <w:tcBorders>
              <w:top w:val="nil"/>
              <w:left w:val="nil"/>
              <w:bottom w:val="nil"/>
              <w:right w:val="nil"/>
            </w:tcBorders>
            <w:noWrap w:val="0"/>
            <w:vAlign w:val="center"/>
          </w:tcPr>
          <w:p w14:paraId="6B4F6B17">
            <w:pPr>
              <w:rPr>
                <w:rFonts w:hint="eastAsia" w:ascii="宋体" w:hAnsi="宋体" w:eastAsia="宋体" w:cs="宋体"/>
                <w:i w:val="0"/>
                <w:iCs w:val="0"/>
                <w:color w:val="000000"/>
                <w:sz w:val="18"/>
                <w:szCs w:val="18"/>
                <w:u w:val="none"/>
              </w:rPr>
            </w:pPr>
          </w:p>
        </w:tc>
      </w:tr>
      <w:tr w14:paraId="17575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21161C87">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5E39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6EE344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7F6560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51322323T000008014019-全国第五次经济普查</w:t>
            </w:r>
          </w:p>
        </w:tc>
      </w:tr>
      <w:tr w14:paraId="66749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2B1B6AB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49B15E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茂县统计局本级</w:t>
            </w:r>
          </w:p>
        </w:tc>
        <w:tc>
          <w:tcPr>
            <w:tcW w:w="498" w:type="pct"/>
            <w:tcBorders>
              <w:top w:val="nil"/>
              <w:left w:val="nil"/>
              <w:bottom w:val="nil"/>
              <w:right w:val="nil"/>
            </w:tcBorders>
            <w:noWrap w:val="0"/>
            <w:vAlign w:val="center"/>
          </w:tcPr>
          <w:p w14:paraId="78B9E2F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34" w:type="pct"/>
            <w:gridSpan w:val="3"/>
            <w:tcBorders>
              <w:top w:val="single" w:color="000000" w:sz="4" w:space="0"/>
              <w:left w:val="single" w:color="000000" w:sz="4" w:space="0"/>
              <w:bottom w:val="single" w:color="000000" w:sz="4" w:space="0"/>
              <w:right w:val="single" w:color="000000" w:sz="4" w:space="0"/>
            </w:tcBorders>
            <w:noWrap w:val="0"/>
            <w:vAlign w:val="center"/>
          </w:tcPr>
          <w:p w14:paraId="48FA82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w:t>
            </w:r>
          </w:p>
        </w:tc>
      </w:tr>
      <w:tr w14:paraId="6B0AC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8"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06F305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50A278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4C99F0F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2E535538">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9F87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3"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4F3D9A0">
            <w:pP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8DAFCA5">
            <w:pPr>
              <w:rPr>
                <w:rFonts w:hint="eastAsia" w:ascii="宋体" w:hAnsi="宋体" w:eastAsia="宋体" w:cs="宋体"/>
                <w:i w:val="0"/>
                <w:iCs w:val="0"/>
                <w:color w:val="000000"/>
                <w:sz w:val="18"/>
                <w:szCs w:val="18"/>
                <w:u w:val="none"/>
              </w:rPr>
            </w:pP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4CE2ED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根据国务院颁布的《全国经济普查条例》规定，全面调查第二产业和第三产业发展规模、布局和效益，全面摸清经济社会发展状况。</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576FFA8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全面调查第二产业和第三产业发展规模、布局和效益，全面摸清经济社会发展状况</w:t>
            </w:r>
          </w:p>
        </w:tc>
      </w:tr>
      <w:tr w14:paraId="616C5A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45331E">
            <w:pP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12423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520A84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主要从调查单位基本属性、从业人员、财务状况、生产经营情况、生产能力原材料和能源消耗、科技活动情况等方面开展调查。</w:t>
            </w:r>
          </w:p>
        </w:tc>
      </w:tr>
      <w:tr w14:paraId="4FE80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6977C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4B1432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782BF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C7C33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412B2C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C7BF2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096E8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C5F3E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D5C7B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5F2F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EC7893C">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17FB6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41A8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7549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1D7777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29C2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E744F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6DA04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vMerge w:val="restart"/>
            <w:tcBorders>
              <w:top w:val="single" w:color="000000" w:sz="4" w:space="0"/>
              <w:left w:val="single" w:color="000000" w:sz="4" w:space="0"/>
              <w:bottom w:val="single" w:color="000000" w:sz="4" w:space="0"/>
              <w:right w:val="single" w:color="000000" w:sz="4" w:space="0"/>
            </w:tcBorders>
            <w:noWrap w:val="0"/>
            <w:vAlign w:val="center"/>
          </w:tcPr>
          <w:p w14:paraId="7590F84B">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9E11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FC66DBD">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B7B01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1342E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D80CA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2FBD0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B889A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12DFB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D5F0D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A1BE0D1">
            <w:pPr>
              <w:rPr>
                <w:rFonts w:hint="eastAsia" w:ascii="黑体" w:hAnsi="黑体" w:eastAsia="黑体" w:cs="黑体"/>
                <w:i/>
                <w:iCs/>
                <w:color w:val="000000"/>
                <w:sz w:val="18"/>
                <w:szCs w:val="18"/>
                <w:u w:val="none"/>
              </w:rPr>
            </w:pPr>
          </w:p>
        </w:tc>
      </w:tr>
      <w:tr w14:paraId="7B3C68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E1999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F72BD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694D5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7E45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3224D2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4D1B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C98CF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544DC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B06AA9">
            <w:pPr>
              <w:rPr>
                <w:rFonts w:hint="eastAsia" w:ascii="黑体" w:hAnsi="黑体" w:eastAsia="黑体" w:cs="黑体"/>
                <w:i/>
                <w:iCs/>
                <w:color w:val="000000"/>
                <w:sz w:val="18"/>
                <w:szCs w:val="18"/>
                <w:u w:val="none"/>
              </w:rPr>
            </w:pPr>
          </w:p>
        </w:tc>
      </w:tr>
      <w:tr w14:paraId="33A74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4C65F9">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628BA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68026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20CAF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7E7E0E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86A8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D296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9B750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6F3A726">
            <w:pPr>
              <w:rPr>
                <w:rFonts w:hint="eastAsia" w:ascii="黑体" w:hAnsi="黑体" w:eastAsia="黑体" w:cs="黑体"/>
                <w:i/>
                <w:iCs/>
                <w:color w:val="000000"/>
                <w:sz w:val="18"/>
                <w:szCs w:val="18"/>
                <w:u w:val="none"/>
              </w:rPr>
            </w:pPr>
          </w:p>
        </w:tc>
      </w:tr>
      <w:tr w14:paraId="1DB7CB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A87F04">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7C801A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237BF6D">
            <w:pPr>
              <w:jc w:val="center"/>
              <w:rPr>
                <w:rFonts w:hint="eastAsia" w:ascii="微软雅黑" w:hAnsi="微软雅黑" w:eastAsia="微软雅黑" w:cs="微软雅黑"/>
                <w:i/>
                <w:iCs/>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29243AE">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028E7BA4">
            <w:pPr>
              <w:jc w:val="center"/>
              <w:rPr>
                <w:rFonts w:hint="eastAsia" w:ascii="微软雅黑" w:hAnsi="微软雅黑" w:eastAsia="微软雅黑" w:cs="微软雅黑"/>
                <w:i/>
                <w:iCs/>
                <w:color w:val="000000"/>
                <w:sz w:val="16"/>
                <w:szCs w:val="16"/>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C38978F">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A68D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8F83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B5C032">
            <w:pPr>
              <w:rPr>
                <w:rFonts w:hint="eastAsia" w:ascii="黑体" w:hAnsi="黑体" w:eastAsia="黑体" w:cs="黑体"/>
                <w:i/>
                <w:iCs/>
                <w:color w:val="000000"/>
                <w:sz w:val="18"/>
                <w:szCs w:val="18"/>
                <w:u w:val="none"/>
              </w:rPr>
            </w:pPr>
          </w:p>
        </w:tc>
      </w:tr>
      <w:tr w14:paraId="2F061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5807E5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9C712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9ED9D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93149F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F9783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8373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AF9D6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CD857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DB2F4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321C6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15BEB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0DE13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246F38F">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64DB1F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E58F8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5B241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普查收尾年完成普查公报任务</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2C9A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4DF7E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00329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套</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9C365B4">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C3A99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60574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CB38F9E">
            <w:pPr>
              <w:jc w:val="center"/>
              <w:rPr>
                <w:rFonts w:hint="eastAsia" w:ascii="微软雅黑" w:hAnsi="微软雅黑" w:eastAsia="微软雅黑" w:cs="微软雅黑"/>
                <w:i/>
                <w:iCs/>
                <w:color w:val="000000"/>
                <w:sz w:val="16"/>
                <w:szCs w:val="16"/>
                <w:u w:val="none"/>
              </w:rPr>
            </w:pPr>
          </w:p>
        </w:tc>
      </w:tr>
      <w:tr w14:paraId="09C4CB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297AB5">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7C9FEAB">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3EF15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01112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普查任务完成率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1F558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C772E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0EA18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29ABB68">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A91AF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CA2B6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D5BB8E4">
            <w:pPr>
              <w:jc w:val="center"/>
              <w:rPr>
                <w:rFonts w:hint="eastAsia" w:ascii="微软雅黑" w:hAnsi="微软雅黑" w:eastAsia="微软雅黑" w:cs="微软雅黑"/>
                <w:i/>
                <w:iCs/>
                <w:color w:val="000000"/>
                <w:sz w:val="16"/>
                <w:szCs w:val="16"/>
                <w:u w:val="none"/>
              </w:rPr>
            </w:pPr>
          </w:p>
        </w:tc>
      </w:tr>
      <w:tr w14:paraId="2FBA8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BC11AF">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D34500">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08CB4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5C06A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经济普查工作期限</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476A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7EEF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4B064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88F1C0B">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56C3C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10CA6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0C1B094">
            <w:pPr>
              <w:jc w:val="center"/>
              <w:rPr>
                <w:rFonts w:hint="eastAsia" w:ascii="微软雅黑" w:hAnsi="微软雅黑" w:eastAsia="微软雅黑" w:cs="微软雅黑"/>
                <w:i/>
                <w:iCs/>
                <w:color w:val="000000"/>
                <w:sz w:val="16"/>
                <w:szCs w:val="16"/>
                <w:u w:val="none"/>
              </w:rPr>
            </w:pPr>
          </w:p>
        </w:tc>
      </w:tr>
      <w:tr w14:paraId="6B320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EFCFE89">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2164D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348A4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5D471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全面调查第二产业和第三产业发展规模、布局和效益</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80F2D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89E6F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A7C42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462BFF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E1F76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97836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11DD1D4">
            <w:pPr>
              <w:jc w:val="center"/>
              <w:rPr>
                <w:rFonts w:hint="eastAsia" w:ascii="微软雅黑" w:hAnsi="微软雅黑" w:eastAsia="微软雅黑" w:cs="微软雅黑"/>
                <w:i/>
                <w:iCs/>
                <w:color w:val="000000"/>
                <w:sz w:val="16"/>
                <w:szCs w:val="16"/>
                <w:u w:val="none"/>
              </w:rPr>
            </w:pPr>
          </w:p>
        </w:tc>
      </w:tr>
      <w:tr w14:paraId="7EA65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5D36805">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333B22">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54B450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7987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第五次全国经济普查，提高企业名录库更新准确率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AB53B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7ADBE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5F6BA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E43ADE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FB11F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4785F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35491A6">
            <w:pPr>
              <w:jc w:val="center"/>
              <w:rPr>
                <w:rFonts w:hint="eastAsia" w:ascii="微软雅黑" w:hAnsi="微软雅黑" w:eastAsia="微软雅黑" w:cs="微软雅黑"/>
                <w:i/>
                <w:iCs/>
                <w:color w:val="000000"/>
                <w:sz w:val="16"/>
                <w:szCs w:val="16"/>
                <w:u w:val="none"/>
              </w:rPr>
            </w:pPr>
          </w:p>
        </w:tc>
      </w:tr>
      <w:tr w14:paraId="5FC5B9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A400A8">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602C9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6E0F3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C5914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提升基本公共服务群众满意度</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E6860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931FB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0871F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5C0553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9AE9F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D876A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E49F167">
            <w:pPr>
              <w:jc w:val="center"/>
              <w:rPr>
                <w:rFonts w:hint="eastAsia" w:ascii="微软雅黑" w:hAnsi="微软雅黑" w:eastAsia="微软雅黑" w:cs="微软雅黑"/>
                <w:i/>
                <w:iCs/>
                <w:color w:val="000000"/>
                <w:sz w:val="16"/>
                <w:szCs w:val="16"/>
                <w:u w:val="none"/>
              </w:rPr>
            </w:pPr>
          </w:p>
        </w:tc>
      </w:tr>
      <w:tr w14:paraId="3F52CC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914FF6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7A5FE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7311F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ADF6A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预算成本</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1F906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62010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33800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DC69A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EDFC46E">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21015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FB365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183AE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785B2C1">
            <w:pPr>
              <w:jc w:val="center"/>
              <w:rPr>
                <w:rFonts w:hint="eastAsia" w:ascii="微软雅黑" w:hAnsi="微软雅黑" w:eastAsia="微软雅黑" w:cs="微软雅黑"/>
                <w:i/>
                <w:iCs/>
                <w:color w:val="000000"/>
                <w:sz w:val="16"/>
                <w:szCs w:val="16"/>
                <w:u w:val="none"/>
              </w:rPr>
            </w:pPr>
          </w:p>
        </w:tc>
      </w:tr>
      <w:tr w14:paraId="1DF97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665" w:type="pct"/>
            <w:gridSpan w:val="8"/>
            <w:tcBorders>
              <w:top w:val="single" w:color="000000" w:sz="4" w:space="0"/>
              <w:left w:val="single" w:color="000000" w:sz="4" w:space="0"/>
              <w:bottom w:val="single" w:color="000000" w:sz="4" w:space="0"/>
              <w:right w:val="single" w:color="000000" w:sz="4" w:space="0"/>
            </w:tcBorders>
            <w:noWrap w:val="0"/>
            <w:vAlign w:val="center"/>
          </w:tcPr>
          <w:p w14:paraId="7F9EF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95581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63E47A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1F6E7B7">
            <w:pPr>
              <w:rPr>
                <w:rFonts w:hint="eastAsia" w:ascii="宋体" w:hAnsi="宋体" w:eastAsia="宋体" w:cs="宋体"/>
                <w:i w:val="0"/>
                <w:iCs w:val="0"/>
                <w:color w:val="000000"/>
                <w:sz w:val="18"/>
                <w:szCs w:val="18"/>
                <w:u w:val="none"/>
              </w:rPr>
            </w:pPr>
          </w:p>
        </w:tc>
      </w:tr>
      <w:tr w14:paraId="5CDA8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20A98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1DE52F8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该项目预算执行情况自评得分10分，绩效指标得分99分，全面调查第二产业和第三产业发展规模、布局和效益，全面摸清经济社会发展状况</w:t>
            </w:r>
          </w:p>
        </w:tc>
      </w:tr>
      <w:tr w14:paraId="077D6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020EE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2A53C1C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96B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639103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0EADCDD9">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D58A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7" w:type="pct"/>
            <w:gridSpan w:val="5"/>
            <w:tcBorders>
              <w:top w:val="single" w:color="000000" w:sz="4" w:space="0"/>
              <w:left w:val="single" w:color="000000" w:sz="4" w:space="0"/>
              <w:bottom w:val="single" w:color="000000" w:sz="4" w:space="0"/>
              <w:right w:val="single" w:color="000000" w:sz="4" w:space="0"/>
            </w:tcBorders>
            <w:noWrap w:val="0"/>
            <w:vAlign w:val="center"/>
          </w:tcPr>
          <w:p w14:paraId="3F318431">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项目负责人：陈邦丽</w:t>
            </w:r>
          </w:p>
        </w:tc>
        <w:tc>
          <w:tcPr>
            <w:tcW w:w="2562" w:type="pct"/>
            <w:gridSpan w:val="6"/>
            <w:tcBorders>
              <w:top w:val="single" w:color="000000" w:sz="4" w:space="0"/>
              <w:left w:val="single" w:color="000000" w:sz="4" w:space="0"/>
              <w:bottom w:val="single" w:color="000000" w:sz="4" w:space="0"/>
              <w:right w:val="single" w:color="000000" w:sz="4" w:space="0"/>
            </w:tcBorders>
            <w:noWrap w:val="0"/>
            <w:vAlign w:val="center"/>
          </w:tcPr>
          <w:p w14:paraId="6458C9C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财务负责人：赵秀云</w:t>
            </w:r>
          </w:p>
        </w:tc>
      </w:tr>
      <w:tr w14:paraId="65671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7ECFAA4E">
            <w:pPr>
              <w:rPr>
                <w:rFonts w:hint="eastAsia" w:ascii="黑体" w:hAnsi="黑体" w:eastAsia="黑体" w:cs="黑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92B77EA">
            <w:pPr>
              <w:rPr>
                <w:rFonts w:hint="eastAsia" w:ascii="黑体" w:hAnsi="黑体" w:eastAsia="黑体" w:cs="黑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89B2CC4">
            <w:pPr>
              <w:rPr>
                <w:rFonts w:hint="eastAsia" w:ascii="黑体" w:hAnsi="黑体" w:eastAsia="黑体" w:cs="黑体"/>
                <w:i w:val="0"/>
                <w:iCs w:val="0"/>
                <w:color w:val="000000"/>
                <w:sz w:val="18"/>
                <w:szCs w:val="18"/>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F0FB6AD">
            <w:pPr>
              <w:rPr>
                <w:rFonts w:hint="eastAsia" w:ascii="黑体" w:hAnsi="黑体" w:eastAsia="黑体" w:cs="黑体"/>
                <w:i w:val="0"/>
                <w:iCs w:val="0"/>
                <w:color w:val="000000"/>
                <w:sz w:val="18"/>
                <w:szCs w:val="18"/>
                <w:u w:val="none"/>
              </w:rPr>
            </w:pP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638E7FF">
            <w:pPr>
              <w:rPr>
                <w:rFonts w:hint="eastAsia" w:ascii="黑体" w:hAnsi="黑体" w:eastAsia="黑体" w:cs="黑体"/>
                <w:i w:val="0"/>
                <w:iCs w:val="0"/>
                <w:color w:val="000000"/>
                <w:sz w:val="18"/>
                <w:szCs w:val="18"/>
                <w:u w:val="none"/>
              </w:rPr>
            </w:pP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5A8C46B0">
            <w:pPr>
              <w:rPr>
                <w:rFonts w:hint="eastAsia" w:ascii="黑体" w:hAnsi="黑体" w:eastAsia="黑体" w:cs="黑体"/>
                <w:i w:val="0"/>
                <w:iCs w:val="0"/>
                <w:color w:val="000000"/>
                <w:sz w:val="18"/>
                <w:szCs w:val="18"/>
                <w:u w:val="none"/>
              </w:rPr>
            </w:pP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34A8CC4">
            <w:pPr>
              <w:rPr>
                <w:rFonts w:hint="eastAsia" w:ascii="黑体" w:hAnsi="黑体" w:eastAsia="黑体" w:cs="黑体"/>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C842221">
            <w:pPr>
              <w:rPr>
                <w:rFonts w:hint="eastAsia" w:ascii="黑体" w:hAnsi="黑体" w:eastAsia="黑体" w:cs="黑体"/>
                <w:i w:val="0"/>
                <w:iCs w:val="0"/>
                <w:color w:val="000000"/>
                <w:sz w:val="18"/>
                <w:szCs w:val="18"/>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82758A2">
            <w:pPr>
              <w:rPr>
                <w:rFonts w:hint="eastAsia" w:ascii="黑体" w:hAnsi="黑体" w:eastAsia="黑体" w:cs="黑体"/>
                <w:i w:val="0"/>
                <w:iCs w:val="0"/>
                <w:color w:val="000000"/>
                <w:sz w:val="18"/>
                <w:szCs w:val="18"/>
                <w:u w:val="none"/>
              </w:rPr>
            </w:pP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334F3C0">
            <w:pPr>
              <w:rPr>
                <w:rFonts w:hint="eastAsia" w:ascii="黑体" w:hAnsi="黑体" w:eastAsia="黑体" w:cs="黑体"/>
                <w:i w:val="0"/>
                <w:iCs w:val="0"/>
                <w:color w:val="000000"/>
                <w:sz w:val="18"/>
                <w:szCs w:val="18"/>
                <w:u w:val="none"/>
              </w:rPr>
            </w:pP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19E042C">
            <w:pPr>
              <w:rPr>
                <w:rFonts w:hint="eastAsia" w:ascii="黑体" w:hAnsi="黑体" w:eastAsia="黑体" w:cs="黑体"/>
                <w:i w:val="0"/>
                <w:iCs w:val="0"/>
                <w:color w:val="000000"/>
                <w:sz w:val="18"/>
                <w:szCs w:val="18"/>
                <w:u w:val="none"/>
              </w:rPr>
            </w:pPr>
          </w:p>
        </w:tc>
      </w:tr>
      <w:tr w14:paraId="24845A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nil"/>
              <w:left w:val="nil"/>
              <w:bottom w:val="nil"/>
              <w:right w:val="nil"/>
            </w:tcBorders>
            <w:noWrap w:val="0"/>
            <w:vAlign w:val="center"/>
          </w:tcPr>
          <w:p w14:paraId="39A1FA9B">
            <w:pPr>
              <w:rPr>
                <w:rFonts w:hint="eastAsia" w:ascii="宋体" w:hAnsi="宋体" w:eastAsia="宋体" w:cs="宋体"/>
                <w:i w:val="0"/>
                <w:iCs w:val="0"/>
                <w:color w:val="000000"/>
                <w:sz w:val="18"/>
                <w:szCs w:val="18"/>
                <w:u w:val="none"/>
              </w:rPr>
            </w:pPr>
          </w:p>
        </w:tc>
        <w:tc>
          <w:tcPr>
            <w:tcW w:w="631" w:type="pct"/>
            <w:tcBorders>
              <w:top w:val="nil"/>
              <w:left w:val="nil"/>
              <w:bottom w:val="nil"/>
              <w:right w:val="nil"/>
            </w:tcBorders>
            <w:noWrap w:val="0"/>
            <w:vAlign w:val="center"/>
          </w:tcPr>
          <w:p w14:paraId="12FFCBFD">
            <w:pPr>
              <w:rPr>
                <w:rFonts w:hint="eastAsia" w:ascii="宋体" w:hAnsi="宋体" w:eastAsia="宋体" w:cs="宋体"/>
                <w:i w:val="0"/>
                <w:iCs w:val="0"/>
                <w:color w:val="000000"/>
                <w:sz w:val="18"/>
                <w:szCs w:val="18"/>
                <w:u w:val="none"/>
              </w:rPr>
            </w:pPr>
          </w:p>
        </w:tc>
        <w:tc>
          <w:tcPr>
            <w:tcW w:w="530" w:type="pct"/>
            <w:tcBorders>
              <w:top w:val="nil"/>
              <w:left w:val="nil"/>
              <w:bottom w:val="nil"/>
              <w:right w:val="nil"/>
            </w:tcBorders>
            <w:noWrap w:val="0"/>
            <w:vAlign w:val="center"/>
          </w:tcPr>
          <w:p w14:paraId="71C26298">
            <w:pPr>
              <w:rPr>
                <w:rFonts w:hint="eastAsia" w:ascii="宋体" w:hAnsi="宋体" w:eastAsia="宋体" w:cs="宋体"/>
                <w:i w:val="0"/>
                <w:iCs w:val="0"/>
                <w:color w:val="000000"/>
                <w:sz w:val="18"/>
                <w:szCs w:val="18"/>
                <w:u w:val="none"/>
              </w:rPr>
            </w:pPr>
          </w:p>
        </w:tc>
        <w:tc>
          <w:tcPr>
            <w:tcW w:w="705" w:type="pct"/>
            <w:tcBorders>
              <w:top w:val="nil"/>
              <w:left w:val="nil"/>
              <w:bottom w:val="nil"/>
              <w:right w:val="nil"/>
            </w:tcBorders>
            <w:noWrap w:val="0"/>
            <w:vAlign w:val="center"/>
          </w:tcPr>
          <w:p w14:paraId="08C8DDA3">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3D9568A9">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noWrap w:val="0"/>
            <w:vAlign w:val="center"/>
          </w:tcPr>
          <w:p w14:paraId="7D81B567">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5D727FB7">
            <w:pPr>
              <w:rPr>
                <w:rFonts w:hint="eastAsia" w:ascii="宋体" w:hAnsi="宋体" w:eastAsia="宋体" w:cs="宋体"/>
                <w:i w:val="0"/>
                <w:iCs w:val="0"/>
                <w:color w:val="000000"/>
                <w:sz w:val="18"/>
                <w:szCs w:val="18"/>
                <w:u w:val="none"/>
              </w:rPr>
            </w:pPr>
          </w:p>
        </w:tc>
        <w:tc>
          <w:tcPr>
            <w:tcW w:w="498" w:type="pct"/>
            <w:tcBorders>
              <w:top w:val="nil"/>
              <w:left w:val="nil"/>
              <w:bottom w:val="nil"/>
              <w:right w:val="nil"/>
            </w:tcBorders>
            <w:noWrap w:val="0"/>
            <w:vAlign w:val="center"/>
          </w:tcPr>
          <w:p w14:paraId="038AC9A0">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noWrap w:val="0"/>
            <w:vAlign w:val="center"/>
          </w:tcPr>
          <w:p w14:paraId="61904A9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35E09A96">
            <w:pPr>
              <w:rPr>
                <w:rFonts w:hint="eastAsia" w:ascii="宋体" w:hAnsi="宋体" w:eastAsia="宋体" w:cs="宋体"/>
                <w:i w:val="0"/>
                <w:iCs w:val="0"/>
                <w:color w:val="000000"/>
                <w:sz w:val="18"/>
                <w:szCs w:val="18"/>
                <w:u w:val="none"/>
              </w:rPr>
            </w:pPr>
          </w:p>
        </w:tc>
        <w:tc>
          <w:tcPr>
            <w:tcW w:w="816" w:type="pct"/>
            <w:tcBorders>
              <w:top w:val="nil"/>
              <w:left w:val="nil"/>
              <w:bottom w:val="nil"/>
              <w:right w:val="nil"/>
            </w:tcBorders>
            <w:noWrap w:val="0"/>
            <w:vAlign w:val="center"/>
          </w:tcPr>
          <w:p w14:paraId="3C3E43E1">
            <w:pPr>
              <w:rPr>
                <w:rFonts w:hint="eastAsia" w:ascii="宋体" w:hAnsi="宋体" w:eastAsia="宋体" w:cs="宋体"/>
                <w:i w:val="0"/>
                <w:iCs w:val="0"/>
                <w:color w:val="000000"/>
                <w:sz w:val="18"/>
                <w:szCs w:val="18"/>
                <w:u w:val="none"/>
              </w:rPr>
            </w:pPr>
          </w:p>
        </w:tc>
      </w:tr>
      <w:tr w14:paraId="08291A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14612448">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F3AA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4EDB75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21B74B3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51322324T000012052547-粮食产量对地遥感抽样调查工作经费</w:t>
            </w:r>
          </w:p>
        </w:tc>
      </w:tr>
      <w:tr w14:paraId="435AB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551E6F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27681A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茂县统计局本级</w:t>
            </w:r>
          </w:p>
        </w:tc>
        <w:tc>
          <w:tcPr>
            <w:tcW w:w="498" w:type="pct"/>
            <w:tcBorders>
              <w:top w:val="nil"/>
              <w:left w:val="nil"/>
              <w:bottom w:val="nil"/>
              <w:right w:val="nil"/>
            </w:tcBorders>
            <w:noWrap w:val="0"/>
            <w:vAlign w:val="center"/>
          </w:tcPr>
          <w:p w14:paraId="3640C48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34" w:type="pct"/>
            <w:gridSpan w:val="3"/>
            <w:tcBorders>
              <w:top w:val="single" w:color="000000" w:sz="4" w:space="0"/>
              <w:left w:val="single" w:color="000000" w:sz="4" w:space="0"/>
              <w:bottom w:val="single" w:color="000000" w:sz="4" w:space="0"/>
              <w:right w:val="single" w:color="000000" w:sz="4" w:space="0"/>
            </w:tcBorders>
            <w:noWrap w:val="0"/>
            <w:vAlign w:val="center"/>
          </w:tcPr>
          <w:p w14:paraId="055ED4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w:t>
            </w:r>
          </w:p>
        </w:tc>
      </w:tr>
      <w:tr w14:paraId="1B121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5518E1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0B0E75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7A315D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23C183E0">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B333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979CD3">
            <w:pP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EB32CF">
            <w:pPr>
              <w:rPr>
                <w:rFonts w:hint="eastAsia" w:ascii="宋体" w:hAnsi="宋体" w:eastAsia="宋体" w:cs="宋体"/>
                <w:i w:val="0"/>
                <w:iCs w:val="0"/>
                <w:color w:val="000000"/>
                <w:sz w:val="18"/>
                <w:szCs w:val="18"/>
                <w:u w:val="none"/>
              </w:rPr>
            </w:pP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3AE757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根据《国家统计局四川调查总队  省统计局  省发改委  省财政厅  省农业厅关于开展粮食产量对地遥感抽样调查工作的通知》（川调字〔2017〕20号）要求，为有序启动我县粮食产量对地遥感抽样调查工作</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36921A4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有序开展我县粮食产量对地遥感抽样调查工作</w:t>
            </w:r>
          </w:p>
        </w:tc>
      </w:tr>
      <w:tr w14:paraId="1BE52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6FF2BE">
            <w:pP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C10B8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59C493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根据国家反馈的样方地进行粮食秋播、夏播、夏收实地测量工作。</w:t>
            </w:r>
          </w:p>
        </w:tc>
      </w:tr>
      <w:tr w14:paraId="1CFC41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77B3A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7C218B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06C38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507A2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1CA538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E79EE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27132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A8393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BB4E5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6F9A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35821DA">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28D42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A5E69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9A952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0DB15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2EC86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8D7DB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892A8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vMerge w:val="restart"/>
            <w:tcBorders>
              <w:top w:val="single" w:color="000000" w:sz="4" w:space="0"/>
              <w:left w:val="single" w:color="000000" w:sz="4" w:space="0"/>
              <w:bottom w:val="single" w:color="000000" w:sz="4" w:space="0"/>
              <w:right w:val="single" w:color="000000" w:sz="4" w:space="0"/>
            </w:tcBorders>
            <w:noWrap w:val="0"/>
            <w:vAlign w:val="center"/>
          </w:tcPr>
          <w:p w14:paraId="4B05CAF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0FEB92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3B4B61">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9C642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3BF90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864BE0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55BF08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2.29</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254FD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52B54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B0A77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46E9E488">
            <w:pPr>
              <w:rPr>
                <w:rFonts w:hint="eastAsia" w:ascii="黑体" w:hAnsi="黑体" w:eastAsia="黑体" w:cs="黑体"/>
                <w:i/>
                <w:iCs/>
                <w:color w:val="000000"/>
                <w:sz w:val="18"/>
                <w:szCs w:val="18"/>
                <w:u w:val="none"/>
              </w:rPr>
            </w:pPr>
          </w:p>
        </w:tc>
      </w:tr>
      <w:tr w14:paraId="585B7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DE760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0B3CD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2160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37946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49B5C3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EE3D6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1952A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7B8D1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32BAA">
            <w:pPr>
              <w:rPr>
                <w:rFonts w:hint="eastAsia" w:ascii="黑体" w:hAnsi="黑体" w:eastAsia="黑体" w:cs="黑体"/>
                <w:i/>
                <w:iCs/>
                <w:color w:val="000000"/>
                <w:sz w:val="18"/>
                <w:szCs w:val="18"/>
                <w:u w:val="none"/>
              </w:rPr>
            </w:pPr>
          </w:p>
        </w:tc>
      </w:tr>
      <w:tr w14:paraId="448FD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0F9B57">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FC503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DFDCC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2FA8F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77CFAC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C606F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853F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033E7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8FB38B8">
            <w:pPr>
              <w:rPr>
                <w:rFonts w:hint="eastAsia" w:ascii="黑体" w:hAnsi="黑体" w:eastAsia="黑体" w:cs="黑体"/>
                <w:i/>
                <w:iCs/>
                <w:color w:val="000000"/>
                <w:sz w:val="18"/>
                <w:szCs w:val="18"/>
                <w:u w:val="none"/>
              </w:rPr>
            </w:pPr>
          </w:p>
        </w:tc>
      </w:tr>
      <w:tr w14:paraId="29F02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914EA6">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6E4BF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2B7AD4D">
            <w:pPr>
              <w:jc w:val="center"/>
              <w:rPr>
                <w:rFonts w:hint="eastAsia" w:ascii="微软雅黑" w:hAnsi="微软雅黑" w:eastAsia="微软雅黑" w:cs="微软雅黑"/>
                <w:i/>
                <w:iCs/>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25D6028">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0B8561BA">
            <w:pPr>
              <w:jc w:val="center"/>
              <w:rPr>
                <w:rFonts w:hint="eastAsia" w:ascii="微软雅黑" w:hAnsi="微软雅黑" w:eastAsia="微软雅黑" w:cs="微软雅黑"/>
                <w:i/>
                <w:iCs/>
                <w:color w:val="000000"/>
                <w:sz w:val="16"/>
                <w:szCs w:val="16"/>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B45FBB3">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9DAE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BA850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2E2BD6">
            <w:pPr>
              <w:rPr>
                <w:rFonts w:hint="eastAsia" w:ascii="黑体" w:hAnsi="黑体" w:eastAsia="黑体" w:cs="黑体"/>
                <w:i/>
                <w:iCs/>
                <w:color w:val="000000"/>
                <w:sz w:val="18"/>
                <w:szCs w:val="18"/>
                <w:u w:val="none"/>
              </w:rPr>
            </w:pPr>
          </w:p>
        </w:tc>
      </w:tr>
      <w:tr w14:paraId="7044EE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6FEB93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6763C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D829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5EFB3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5EDA5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0C3F2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4EEAE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7B494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01DAB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D589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1EC49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609B5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ACDE70">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30BF12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77FBDF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F7B8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聘请村辅调员数量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51337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7BC68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8118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A8FF92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CFE45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2822E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F86D8B5">
            <w:pPr>
              <w:jc w:val="center"/>
              <w:rPr>
                <w:rFonts w:hint="eastAsia" w:ascii="微软雅黑" w:hAnsi="微软雅黑" w:eastAsia="微软雅黑" w:cs="微软雅黑"/>
                <w:i/>
                <w:iCs/>
                <w:color w:val="000000"/>
                <w:sz w:val="16"/>
                <w:szCs w:val="16"/>
                <w:u w:val="none"/>
              </w:rPr>
            </w:pPr>
          </w:p>
        </w:tc>
      </w:tr>
      <w:tr w14:paraId="6F219A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D72722">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8DF705">
            <w:pPr>
              <w:jc w:val="center"/>
              <w:rPr>
                <w:rFonts w:hint="eastAsia" w:ascii="宋体" w:hAnsi="宋体" w:eastAsia="宋体" w:cs="宋体"/>
                <w:i w:val="0"/>
                <w:iCs w:val="0"/>
                <w:color w:val="000000"/>
                <w:sz w:val="18"/>
                <w:szCs w:val="18"/>
                <w:u w:val="none"/>
              </w:rPr>
            </w:pPr>
          </w:p>
        </w:tc>
        <w:tc>
          <w:tcPr>
            <w:tcW w:w="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21FC19">
            <w:pPr>
              <w:jc w:val="center"/>
              <w:rPr>
                <w:rFonts w:hint="eastAsia" w:ascii="宋体" w:hAnsi="宋体" w:eastAsia="宋体" w:cs="宋体"/>
                <w:i w:val="0"/>
                <w:iCs w:val="0"/>
                <w:color w:val="000000"/>
                <w:sz w:val="18"/>
                <w:szCs w:val="18"/>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EF36EA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每个村的样本数量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451B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095B4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A61DE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31C287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3</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4EF72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0C25C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0E51BA5">
            <w:pPr>
              <w:jc w:val="center"/>
              <w:rPr>
                <w:rFonts w:hint="eastAsia" w:ascii="微软雅黑" w:hAnsi="微软雅黑" w:eastAsia="微软雅黑" w:cs="微软雅黑"/>
                <w:i/>
                <w:iCs/>
                <w:color w:val="000000"/>
                <w:sz w:val="16"/>
                <w:szCs w:val="16"/>
                <w:u w:val="none"/>
              </w:rPr>
            </w:pPr>
          </w:p>
        </w:tc>
      </w:tr>
      <w:tr w14:paraId="7E866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34B653">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0E8B7">
            <w:pPr>
              <w:jc w:val="center"/>
              <w:rPr>
                <w:rFonts w:hint="eastAsia" w:ascii="宋体" w:hAnsi="宋体" w:eastAsia="宋体" w:cs="宋体"/>
                <w:i w:val="0"/>
                <w:iCs w:val="0"/>
                <w:color w:val="000000"/>
                <w:sz w:val="18"/>
                <w:szCs w:val="18"/>
                <w:u w:val="none"/>
              </w:rPr>
            </w:pPr>
          </w:p>
        </w:tc>
        <w:tc>
          <w:tcPr>
            <w:tcW w:w="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15F632EC">
            <w:pPr>
              <w:jc w:val="center"/>
              <w:rPr>
                <w:rFonts w:hint="eastAsia" w:ascii="宋体" w:hAnsi="宋体" w:eastAsia="宋体" w:cs="宋体"/>
                <w:i w:val="0"/>
                <w:iCs w:val="0"/>
                <w:color w:val="000000"/>
                <w:sz w:val="18"/>
                <w:szCs w:val="18"/>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4789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样本村数量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31697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9FDF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4ECD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2451769">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6FB6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0D3B9D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BDCD27A">
            <w:pPr>
              <w:jc w:val="center"/>
              <w:rPr>
                <w:rFonts w:hint="eastAsia" w:ascii="微软雅黑" w:hAnsi="微软雅黑" w:eastAsia="微软雅黑" w:cs="微软雅黑"/>
                <w:i/>
                <w:iCs/>
                <w:color w:val="000000"/>
                <w:sz w:val="16"/>
                <w:szCs w:val="16"/>
                <w:u w:val="none"/>
              </w:rPr>
            </w:pPr>
          </w:p>
        </w:tc>
      </w:tr>
      <w:tr w14:paraId="6822D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2929F1">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613A94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97CB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FD19B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为顺利完成此项工作，保障好经费支持</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4264B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2C6B40E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76811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482D6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C19ECF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76811</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9001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46768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F3AF680">
            <w:pPr>
              <w:jc w:val="center"/>
              <w:rPr>
                <w:rFonts w:hint="eastAsia" w:ascii="微软雅黑" w:hAnsi="微软雅黑" w:eastAsia="微软雅黑" w:cs="微软雅黑"/>
                <w:i/>
                <w:iCs/>
                <w:color w:val="000000"/>
                <w:sz w:val="16"/>
                <w:szCs w:val="16"/>
                <w:u w:val="none"/>
              </w:rPr>
            </w:pPr>
          </w:p>
        </w:tc>
      </w:tr>
      <w:tr w14:paraId="0A173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89D4B9">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D63E0CC">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8584F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0AE3E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为本地区粮食趋势发展做好抽样调查，完成各项调查工作</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E4639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299F73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E374B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2EA6365">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A76815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59C5D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FFEE521">
            <w:pPr>
              <w:jc w:val="center"/>
              <w:rPr>
                <w:rFonts w:hint="eastAsia" w:ascii="微软雅黑" w:hAnsi="微软雅黑" w:eastAsia="微软雅黑" w:cs="微软雅黑"/>
                <w:i/>
                <w:iCs/>
                <w:color w:val="000000"/>
                <w:sz w:val="16"/>
                <w:szCs w:val="16"/>
                <w:u w:val="none"/>
              </w:rPr>
            </w:pPr>
          </w:p>
        </w:tc>
      </w:tr>
      <w:tr w14:paraId="33858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3"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018B22">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A64C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5ADB1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520CD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对地粮食遥感抽样调查工作满意度</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4F9DB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D9D69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BE50C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E3F80CC">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EE37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890A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48A668F">
            <w:pPr>
              <w:jc w:val="center"/>
              <w:rPr>
                <w:rFonts w:hint="eastAsia" w:ascii="微软雅黑" w:hAnsi="微软雅黑" w:eastAsia="微软雅黑" w:cs="微软雅黑"/>
                <w:i/>
                <w:iCs/>
                <w:color w:val="000000"/>
                <w:sz w:val="16"/>
                <w:szCs w:val="16"/>
                <w:u w:val="none"/>
              </w:rPr>
            </w:pPr>
          </w:p>
        </w:tc>
      </w:tr>
      <w:tr w14:paraId="7DB9E0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4A4B9D9">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17496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FB510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C4A52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预算成本</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431C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600B5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D589A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6DBE2F0">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6000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A1571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F9BC7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BC17663">
            <w:pPr>
              <w:jc w:val="center"/>
              <w:rPr>
                <w:rFonts w:hint="eastAsia" w:ascii="微软雅黑" w:hAnsi="微软雅黑" w:eastAsia="微软雅黑" w:cs="微软雅黑"/>
                <w:i/>
                <w:iCs/>
                <w:color w:val="000000"/>
                <w:sz w:val="16"/>
                <w:szCs w:val="16"/>
                <w:u w:val="none"/>
              </w:rPr>
            </w:pPr>
          </w:p>
        </w:tc>
      </w:tr>
      <w:tr w14:paraId="0FA21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665" w:type="pct"/>
            <w:gridSpan w:val="8"/>
            <w:tcBorders>
              <w:top w:val="single" w:color="000000" w:sz="4" w:space="0"/>
              <w:left w:val="single" w:color="000000" w:sz="4" w:space="0"/>
              <w:bottom w:val="single" w:color="000000" w:sz="4" w:space="0"/>
              <w:right w:val="single" w:color="000000" w:sz="4" w:space="0"/>
            </w:tcBorders>
            <w:noWrap w:val="0"/>
            <w:vAlign w:val="center"/>
          </w:tcPr>
          <w:p w14:paraId="0A9C35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21C34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882681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106A029">
            <w:pPr>
              <w:rPr>
                <w:rFonts w:hint="eastAsia" w:ascii="宋体" w:hAnsi="宋体" w:eastAsia="宋体" w:cs="宋体"/>
                <w:i w:val="0"/>
                <w:iCs w:val="0"/>
                <w:color w:val="000000"/>
                <w:sz w:val="18"/>
                <w:szCs w:val="18"/>
                <w:u w:val="none"/>
              </w:rPr>
            </w:pPr>
          </w:p>
        </w:tc>
      </w:tr>
      <w:tr w14:paraId="72665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15115E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27470A85">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该项目预算执行情况自评得分10分，绩效指标得分98分，有序开展我县粮食产量对地遥感抽样调查工作。</w:t>
            </w:r>
          </w:p>
        </w:tc>
      </w:tr>
      <w:tr w14:paraId="16901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369351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330F9ACB">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5DBB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79EF61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0905BA2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4446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7" w:type="pct"/>
            <w:gridSpan w:val="5"/>
            <w:tcBorders>
              <w:top w:val="single" w:color="000000" w:sz="4" w:space="0"/>
              <w:left w:val="single" w:color="000000" w:sz="4" w:space="0"/>
              <w:bottom w:val="single" w:color="000000" w:sz="4" w:space="0"/>
              <w:right w:val="single" w:color="000000" w:sz="4" w:space="0"/>
            </w:tcBorders>
            <w:noWrap w:val="0"/>
            <w:vAlign w:val="center"/>
          </w:tcPr>
          <w:p w14:paraId="2BC9343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项目负责人：赵秀云</w:t>
            </w:r>
          </w:p>
        </w:tc>
        <w:tc>
          <w:tcPr>
            <w:tcW w:w="2562" w:type="pct"/>
            <w:gridSpan w:val="6"/>
            <w:tcBorders>
              <w:top w:val="single" w:color="000000" w:sz="4" w:space="0"/>
              <w:left w:val="single" w:color="000000" w:sz="4" w:space="0"/>
              <w:bottom w:val="single" w:color="000000" w:sz="4" w:space="0"/>
              <w:right w:val="single" w:color="000000" w:sz="4" w:space="0"/>
            </w:tcBorders>
            <w:noWrap w:val="0"/>
            <w:vAlign w:val="center"/>
          </w:tcPr>
          <w:p w14:paraId="08FE6242">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财务负责人：赵秀云</w:t>
            </w:r>
          </w:p>
        </w:tc>
      </w:tr>
      <w:tr w14:paraId="047B3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37" w:type="pct"/>
            <w:tcBorders>
              <w:top w:val="nil"/>
              <w:left w:val="nil"/>
              <w:bottom w:val="nil"/>
              <w:right w:val="nil"/>
            </w:tcBorders>
            <w:noWrap w:val="0"/>
            <w:vAlign w:val="center"/>
          </w:tcPr>
          <w:p w14:paraId="09052C93">
            <w:pPr>
              <w:rPr>
                <w:rFonts w:hint="eastAsia" w:ascii="宋体" w:hAnsi="宋体" w:eastAsia="宋体" w:cs="宋体"/>
                <w:i w:val="0"/>
                <w:iCs w:val="0"/>
                <w:color w:val="000000"/>
                <w:sz w:val="18"/>
                <w:szCs w:val="18"/>
                <w:u w:val="none"/>
              </w:rPr>
            </w:pPr>
          </w:p>
        </w:tc>
        <w:tc>
          <w:tcPr>
            <w:tcW w:w="631" w:type="pct"/>
            <w:tcBorders>
              <w:top w:val="nil"/>
              <w:left w:val="nil"/>
              <w:bottom w:val="nil"/>
              <w:right w:val="nil"/>
            </w:tcBorders>
            <w:noWrap w:val="0"/>
            <w:vAlign w:val="center"/>
          </w:tcPr>
          <w:p w14:paraId="330913BC">
            <w:pPr>
              <w:rPr>
                <w:rFonts w:hint="eastAsia" w:ascii="宋体" w:hAnsi="宋体" w:eastAsia="宋体" w:cs="宋体"/>
                <w:i w:val="0"/>
                <w:iCs w:val="0"/>
                <w:color w:val="000000"/>
                <w:sz w:val="18"/>
                <w:szCs w:val="18"/>
                <w:u w:val="none"/>
              </w:rPr>
            </w:pPr>
          </w:p>
        </w:tc>
        <w:tc>
          <w:tcPr>
            <w:tcW w:w="530" w:type="pct"/>
            <w:tcBorders>
              <w:top w:val="nil"/>
              <w:left w:val="nil"/>
              <w:bottom w:val="nil"/>
              <w:right w:val="nil"/>
            </w:tcBorders>
            <w:noWrap w:val="0"/>
            <w:vAlign w:val="center"/>
          </w:tcPr>
          <w:p w14:paraId="433C1E72">
            <w:pPr>
              <w:rPr>
                <w:rFonts w:hint="eastAsia" w:ascii="宋体" w:hAnsi="宋体" w:eastAsia="宋体" w:cs="宋体"/>
                <w:i w:val="0"/>
                <w:iCs w:val="0"/>
                <w:color w:val="000000"/>
                <w:sz w:val="18"/>
                <w:szCs w:val="18"/>
                <w:u w:val="none"/>
              </w:rPr>
            </w:pPr>
          </w:p>
        </w:tc>
        <w:tc>
          <w:tcPr>
            <w:tcW w:w="705" w:type="pct"/>
            <w:tcBorders>
              <w:top w:val="nil"/>
              <w:left w:val="nil"/>
              <w:bottom w:val="nil"/>
              <w:right w:val="nil"/>
            </w:tcBorders>
            <w:noWrap w:val="0"/>
            <w:vAlign w:val="center"/>
          </w:tcPr>
          <w:p w14:paraId="53C0CB39">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5D7A4948">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noWrap w:val="0"/>
            <w:vAlign w:val="center"/>
          </w:tcPr>
          <w:p w14:paraId="71966DA3">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551DC644">
            <w:pPr>
              <w:rPr>
                <w:rFonts w:hint="eastAsia" w:ascii="宋体" w:hAnsi="宋体" w:eastAsia="宋体" w:cs="宋体"/>
                <w:i w:val="0"/>
                <w:iCs w:val="0"/>
                <w:color w:val="000000"/>
                <w:sz w:val="18"/>
                <w:szCs w:val="18"/>
                <w:u w:val="none"/>
              </w:rPr>
            </w:pPr>
          </w:p>
        </w:tc>
        <w:tc>
          <w:tcPr>
            <w:tcW w:w="498" w:type="pct"/>
            <w:tcBorders>
              <w:top w:val="nil"/>
              <w:left w:val="nil"/>
              <w:bottom w:val="nil"/>
              <w:right w:val="nil"/>
            </w:tcBorders>
            <w:noWrap w:val="0"/>
            <w:vAlign w:val="center"/>
          </w:tcPr>
          <w:p w14:paraId="68F0A283">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noWrap w:val="0"/>
            <w:vAlign w:val="center"/>
          </w:tcPr>
          <w:p w14:paraId="1AF0EE01">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4D45707F">
            <w:pPr>
              <w:rPr>
                <w:rFonts w:hint="eastAsia" w:ascii="宋体" w:hAnsi="宋体" w:eastAsia="宋体" w:cs="宋体"/>
                <w:i w:val="0"/>
                <w:iCs w:val="0"/>
                <w:color w:val="000000"/>
                <w:sz w:val="18"/>
                <w:szCs w:val="18"/>
                <w:u w:val="none"/>
              </w:rPr>
            </w:pPr>
          </w:p>
        </w:tc>
        <w:tc>
          <w:tcPr>
            <w:tcW w:w="816" w:type="pct"/>
            <w:tcBorders>
              <w:top w:val="nil"/>
              <w:left w:val="nil"/>
              <w:bottom w:val="nil"/>
              <w:right w:val="nil"/>
            </w:tcBorders>
            <w:noWrap w:val="0"/>
            <w:vAlign w:val="center"/>
          </w:tcPr>
          <w:p w14:paraId="7E807169">
            <w:pPr>
              <w:rPr>
                <w:rFonts w:hint="eastAsia" w:ascii="宋体" w:hAnsi="宋体" w:eastAsia="宋体" w:cs="宋体"/>
                <w:i w:val="0"/>
                <w:iCs w:val="0"/>
                <w:color w:val="000000"/>
                <w:sz w:val="18"/>
                <w:szCs w:val="18"/>
                <w:u w:val="none"/>
              </w:rPr>
            </w:pPr>
          </w:p>
        </w:tc>
      </w:tr>
      <w:tr w14:paraId="4ECD0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72870421">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974CC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36195A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62FD29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51322325T000012291283-聘用协统员经费</w:t>
            </w:r>
          </w:p>
        </w:tc>
      </w:tr>
      <w:tr w14:paraId="7A9F8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15F8FF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6F97E7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茂县统计局本级</w:t>
            </w:r>
          </w:p>
        </w:tc>
        <w:tc>
          <w:tcPr>
            <w:tcW w:w="498" w:type="pct"/>
            <w:tcBorders>
              <w:top w:val="nil"/>
              <w:left w:val="nil"/>
              <w:bottom w:val="nil"/>
              <w:right w:val="nil"/>
            </w:tcBorders>
            <w:noWrap w:val="0"/>
            <w:vAlign w:val="center"/>
          </w:tcPr>
          <w:p w14:paraId="7B6AB32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34" w:type="pct"/>
            <w:gridSpan w:val="3"/>
            <w:tcBorders>
              <w:top w:val="single" w:color="000000" w:sz="4" w:space="0"/>
              <w:left w:val="single" w:color="000000" w:sz="4" w:space="0"/>
              <w:bottom w:val="single" w:color="000000" w:sz="4" w:space="0"/>
              <w:right w:val="single" w:color="000000" w:sz="4" w:space="0"/>
            </w:tcBorders>
            <w:noWrap w:val="0"/>
            <w:vAlign w:val="center"/>
          </w:tcPr>
          <w:p w14:paraId="65AC87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w:t>
            </w:r>
          </w:p>
        </w:tc>
      </w:tr>
      <w:tr w14:paraId="01433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52EDF3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27DE96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2C8A2E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666CC7C1">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447CF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F10806">
            <w:pP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AC94F5">
            <w:pPr>
              <w:rPr>
                <w:rFonts w:hint="eastAsia" w:ascii="宋体" w:hAnsi="宋体" w:eastAsia="宋体" w:cs="宋体"/>
                <w:i w:val="0"/>
                <w:iCs w:val="0"/>
                <w:color w:val="000000"/>
                <w:sz w:val="18"/>
                <w:szCs w:val="18"/>
                <w:u w:val="none"/>
              </w:rPr>
            </w:pP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7ED985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为认真落实习近平总书记关于统计工作重要指示批示精神，进一步夯实全县统计基础，强化统计基础建设，提升统计数据质量，服务高质量发展，根据《中共阿坝州委办公室 阿坝州人民政府办公室印发&lt;关于更加有效发挥统计监督职能作用的实施方案&gt;的通知》（阿委办发〔2023〕9号）《阿坝州人民政府办公室 关于在全州建立首席统计师和协统员制度的通知》（阿府办发〔2023〕18号）要求，结合我县统计工作实际，我局需选聘5名协统员协助开展日常数据收集、审核、处理、分析及各项统计调查等统计工作任务，参与重大国情国力调查、专项调查、普查等工作。</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250CC98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协助开展日常数据收集、审核、处理、分析及各项统计调查等统计工作任务</w:t>
            </w:r>
          </w:p>
        </w:tc>
      </w:tr>
      <w:tr w14:paraId="3F580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7F0854">
            <w:pP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BA28B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03EB7C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协助开展日常数据收集、审核、处理、分析及各项统计调查等统计工作任务</w:t>
            </w:r>
          </w:p>
        </w:tc>
      </w:tr>
      <w:tr w14:paraId="6CD17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73D11E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3FE14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625BC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5C58E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3A20E4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F2757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80BEE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67FEA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6D304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5C263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133FB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5D5AD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C5D86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2DAFC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18.97</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253074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18.97</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8767C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B5A09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DD0E5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vMerge w:val="restart"/>
            <w:tcBorders>
              <w:top w:val="single" w:color="000000" w:sz="4" w:space="0"/>
              <w:left w:val="single" w:color="000000" w:sz="4" w:space="0"/>
              <w:bottom w:val="single" w:color="000000" w:sz="4" w:space="0"/>
              <w:right w:val="single" w:color="000000" w:sz="4" w:space="0"/>
            </w:tcBorders>
            <w:noWrap w:val="0"/>
            <w:vAlign w:val="center"/>
          </w:tcPr>
          <w:p w14:paraId="4AA1D4CC">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46AB4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C94A27">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D034C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5FA4E3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4DD9D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18.97</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032B76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18.97</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253C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8F4E7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5EC4C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7E87499">
            <w:pPr>
              <w:rPr>
                <w:rFonts w:hint="eastAsia" w:ascii="黑体" w:hAnsi="黑体" w:eastAsia="黑体" w:cs="黑体"/>
                <w:i/>
                <w:iCs/>
                <w:color w:val="000000"/>
                <w:sz w:val="18"/>
                <w:szCs w:val="18"/>
                <w:u w:val="none"/>
              </w:rPr>
            </w:pPr>
          </w:p>
        </w:tc>
      </w:tr>
      <w:tr w14:paraId="6FDA85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E4B514">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40FE4F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A0C33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15ACB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265FE9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C8A5AC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FA4C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6771F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468FEE">
            <w:pPr>
              <w:rPr>
                <w:rFonts w:hint="eastAsia" w:ascii="黑体" w:hAnsi="黑体" w:eastAsia="黑体" w:cs="黑体"/>
                <w:i/>
                <w:iCs/>
                <w:color w:val="000000"/>
                <w:sz w:val="18"/>
                <w:szCs w:val="18"/>
                <w:u w:val="none"/>
              </w:rPr>
            </w:pPr>
          </w:p>
        </w:tc>
      </w:tr>
      <w:tr w14:paraId="7A66B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EA12458">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431022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971F9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B98D1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293B92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C920E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2E90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2850F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384492E">
            <w:pPr>
              <w:rPr>
                <w:rFonts w:hint="eastAsia" w:ascii="黑体" w:hAnsi="黑体" w:eastAsia="黑体" w:cs="黑体"/>
                <w:i/>
                <w:iCs/>
                <w:color w:val="000000"/>
                <w:sz w:val="18"/>
                <w:szCs w:val="18"/>
                <w:u w:val="none"/>
              </w:rPr>
            </w:pPr>
          </w:p>
        </w:tc>
      </w:tr>
      <w:tr w14:paraId="6092B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0FC678C">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A1BC9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A58213A">
            <w:pPr>
              <w:jc w:val="center"/>
              <w:rPr>
                <w:rFonts w:hint="eastAsia" w:ascii="微软雅黑" w:hAnsi="微软雅黑" w:eastAsia="微软雅黑" w:cs="微软雅黑"/>
                <w:i/>
                <w:iCs/>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E54E648">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5D5B75D7">
            <w:pPr>
              <w:jc w:val="center"/>
              <w:rPr>
                <w:rFonts w:hint="eastAsia" w:ascii="微软雅黑" w:hAnsi="微软雅黑" w:eastAsia="微软雅黑" w:cs="微软雅黑"/>
                <w:i/>
                <w:iCs/>
                <w:color w:val="000000"/>
                <w:sz w:val="16"/>
                <w:szCs w:val="16"/>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A32C6CD">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061AC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96D81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2B7522C">
            <w:pPr>
              <w:rPr>
                <w:rFonts w:hint="eastAsia" w:ascii="黑体" w:hAnsi="黑体" w:eastAsia="黑体" w:cs="黑体"/>
                <w:i/>
                <w:iCs/>
                <w:color w:val="000000"/>
                <w:sz w:val="18"/>
                <w:szCs w:val="18"/>
                <w:u w:val="none"/>
              </w:rPr>
            </w:pPr>
          </w:p>
        </w:tc>
      </w:tr>
      <w:tr w14:paraId="27C06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3BE839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5376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76214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E4E56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DED4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8DFEE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56F5C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1D7F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9B69A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3C6E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D2CFE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23C3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8A9D706">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457695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81F25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1291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根据工作需要，配备临聘人员数量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FF746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BABE2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03BD5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B975A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E0D80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C6AD8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D6700EC">
            <w:pPr>
              <w:jc w:val="center"/>
              <w:rPr>
                <w:rFonts w:hint="eastAsia" w:ascii="微软雅黑" w:hAnsi="微软雅黑" w:eastAsia="微软雅黑" w:cs="微软雅黑"/>
                <w:i/>
                <w:iCs/>
                <w:color w:val="000000"/>
                <w:sz w:val="16"/>
                <w:szCs w:val="16"/>
                <w:u w:val="none"/>
              </w:rPr>
            </w:pPr>
          </w:p>
        </w:tc>
      </w:tr>
      <w:tr w14:paraId="687EF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8648F8E">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997F24">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DE035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994C9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根据工作需要，聘用五名协统员</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78763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2CF507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6055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CC094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842C2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03BD3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DCF52CC">
            <w:pPr>
              <w:jc w:val="center"/>
              <w:rPr>
                <w:rFonts w:hint="eastAsia" w:ascii="微软雅黑" w:hAnsi="微软雅黑" w:eastAsia="微软雅黑" w:cs="微软雅黑"/>
                <w:i/>
                <w:iCs/>
                <w:color w:val="000000"/>
                <w:sz w:val="16"/>
                <w:szCs w:val="16"/>
                <w:u w:val="none"/>
              </w:rPr>
            </w:pPr>
          </w:p>
        </w:tc>
      </w:tr>
      <w:tr w14:paraId="5D2D9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5FC9AD2">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12E5E6A">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5D9D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ED39C7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临聘人员劳务期限</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32DFF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64F194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ED4C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6883F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BB8B6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25A4C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77886F4">
            <w:pPr>
              <w:jc w:val="center"/>
              <w:rPr>
                <w:rFonts w:hint="eastAsia" w:ascii="微软雅黑" w:hAnsi="微软雅黑" w:eastAsia="微软雅黑" w:cs="微软雅黑"/>
                <w:i/>
                <w:iCs/>
                <w:color w:val="000000"/>
                <w:sz w:val="16"/>
                <w:szCs w:val="16"/>
                <w:u w:val="none"/>
              </w:rPr>
            </w:pPr>
          </w:p>
        </w:tc>
      </w:tr>
      <w:tr w14:paraId="4487A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FEEE23E">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85E0B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5A2A2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52EB6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协统员开展日常数据收集、审核处理分析及各项和统计调查业务。</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72879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30566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09B5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0EA55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BC5A4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46A38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CD3239A">
            <w:pPr>
              <w:jc w:val="center"/>
              <w:rPr>
                <w:rFonts w:hint="eastAsia" w:ascii="微软雅黑" w:hAnsi="微软雅黑" w:eastAsia="微软雅黑" w:cs="微软雅黑"/>
                <w:i/>
                <w:iCs/>
                <w:color w:val="000000"/>
                <w:sz w:val="16"/>
                <w:szCs w:val="16"/>
                <w:u w:val="none"/>
              </w:rPr>
            </w:pPr>
          </w:p>
        </w:tc>
      </w:tr>
      <w:tr w14:paraId="02D47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25A28E2">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2053C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AF4B4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FB9E8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统计工作满意度</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1F2377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48A90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9C201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BEF25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131BE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8B306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5667D4E">
            <w:pPr>
              <w:jc w:val="center"/>
              <w:rPr>
                <w:rFonts w:hint="eastAsia" w:ascii="微软雅黑" w:hAnsi="微软雅黑" w:eastAsia="微软雅黑" w:cs="微软雅黑"/>
                <w:i/>
                <w:iCs/>
                <w:color w:val="000000"/>
                <w:sz w:val="16"/>
                <w:szCs w:val="16"/>
                <w:u w:val="none"/>
              </w:rPr>
            </w:pPr>
          </w:p>
        </w:tc>
      </w:tr>
      <w:tr w14:paraId="7A8224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10EEA0">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114D24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490732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0DA1C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为保障各项统计业务顺利完成，聘请协统员，按照最新薪资标准控制经费</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26A8B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97A8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3817.6</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C4D88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元/月</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D6915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3817.6</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2685F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E0578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256CDE4">
            <w:pPr>
              <w:jc w:val="center"/>
              <w:rPr>
                <w:rFonts w:hint="eastAsia" w:ascii="微软雅黑" w:hAnsi="微软雅黑" w:eastAsia="微软雅黑" w:cs="微软雅黑"/>
                <w:i/>
                <w:iCs/>
                <w:color w:val="000000"/>
                <w:sz w:val="16"/>
                <w:szCs w:val="16"/>
                <w:u w:val="none"/>
              </w:rPr>
            </w:pPr>
          </w:p>
        </w:tc>
      </w:tr>
      <w:tr w14:paraId="5B5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09594B8">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68772C9">
            <w:pPr>
              <w:jc w:val="center"/>
              <w:rPr>
                <w:rFonts w:hint="eastAsia" w:ascii="宋体" w:hAnsi="宋体" w:eastAsia="宋体" w:cs="宋体"/>
                <w:i w:val="0"/>
                <w:iCs w:val="0"/>
                <w:color w:val="000000"/>
                <w:sz w:val="18"/>
                <w:szCs w:val="18"/>
                <w:u w:val="none"/>
              </w:rPr>
            </w:pPr>
          </w:p>
        </w:tc>
        <w:tc>
          <w:tcPr>
            <w:tcW w:w="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10A48FD">
            <w:pPr>
              <w:jc w:val="center"/>
              <w:rPr>
                <w:rFonts w:hint="eastAsia" w:ascii="宋体" w:hAnsi="宋体" w:eastAsia="宋体" w:cs="宋体"/>
                <w:i w:val="0"/>
                <w:iCs w:val="0"/>
                <w:color w:val="000000"/>
                <w:sz w:val="18"/>
                <w:szCs w:val="18"/>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E46D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预算成本</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67884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F63DA6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45811.2</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66416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元/人年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14C64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45811.2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56EAD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DEB0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68D72F3">
            <w:pPr>
              <w:jc w:val="center"/>
              <w:rPr>
                <w:rFonts w:hint="eastAsia" w:ascii="微软雅黑" w:hAnsi="微软雅黑" w:eastAsia="微软雅黑" w:cs="微软雅黑"/>
                <w:i/>
                <w:iCs/>
                <w:color w:val="000000"/>
                <w:sz w:val="16"/>
                <w:szCs w:val="16"/>
                <w:u w:val="none"/>
              </w:rPr>
            </w:pPr>
          </w:p>
        </w:tc>
      </w:tr>
      <w:tr w14:paraId="4CFCF2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665" w:type="pct"/>
            <w:gridSpan w:val="8"/>
            <w:tcBorders>
              <w:top w:val="single" w:color="000000" w:sz="4" w:space="0"/>
              <w:left w:val="single" w:color="000000" w:sz="4" w:space="0"/>
              <w:bottom w:val="single" w:color="000000" w:sz="4" w:space="0"/>
              <w:right w:val="single" w:color="000000" w:sz="4" w:space="0"/>
            </w:tcBorders>
            <w:noWrap w:val="0"/>
            <w:vAlign w:val="center"/>
          </w:tcPr>
          <w:p w14:paraId="51DEA3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51B9F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7252C0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2F97968">
            <w:pPr>
              <w:rPr>
                <w:rFonts w:hint="eastAsia" w:ascii="宋体" w:hAnsi="宋体" w:eastAsia="宋体" w:cs="宋体"/>
                <w:i w:val="0"/>
                <w:iCs w:val="0"/>
                <w:color w:val="000000"/>
                <w:sz w:val="18"/>
                <w:szCs w:val="18"/>
                <w:u w:val="none"/>
              </w:rPr>
            </w:pPr>
          </w:p>
        </w:tc>
      </w:tr>
      <w:tr w14:paraId="4B661E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2A548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5E9E95DA">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该项目预算执行情况自评得分10分，绩效指标得分98分，协助开展日常数据收集、审核、处理、分析及各项统计调查等统计工作任务。</w:t>
            </w:r>
          </w:p>
        </w:tc>
      </w:tr>
      <w:tr w14:paraId="0E8FC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34CDFE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2E32F3FD">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235C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2D48C0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356D2B1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F044A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2437" w:type="pct"/>
            <w:gridSpan w:val="5"/>
            <w:tcBorders>
              <w:top w:val="single" w:color="000000" w:sz="4" w:space="0"/>
              <w:left w:val="single" w:color="000000" w:sz="4" w:space="0"/>
              <w:bottom w:val="single" w:color="000000" w:sz="4" w:space="0"/>
              <w:right w:val="single" w:color="000000" w:sz="4" w:space="0"/>
            </w:tcBorders>
            <w:noWrap w:val="0"/>
            <w:vAlign w:val="center"/>
          </w:tcPr>
          <w:p w14:paraId="2CDE389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项目负责人：赵秀云、陈邦丽</w:t>
            </w:r>
          </w:p>
        </w:tc>
        <w:tc>
          <w:tcPr>
            <w:tcW w:w="2562" w:type="pct"/>
            <w:gridSpan w:val="6"/>
            <w:tcBorders>
              <w:top w:val="single" w:color="000000" w:sz="4" w:space="0"/>
              <w:left w:val="single" w:color="000000" w:sz="4" w:space="0"/>
              <w:bottom w:val="single" w:color="000000" w:sz="4" w:space="0"/>
              <w:right w:val="single" w:color="000000" w:sz="4" w:space="0"/>
            </w:tcBorders>
            <w:noWrap w:val="0"/>
            <w:vAlign w:val="center"/>
          </w:tcPr>
          <w:p w14:paraId="22CFF510">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财务负责人：赵秀云</w:t>
            </w:r>
          </w:p>
        </w:tc>
      </w:tr>
      <w:tr w14:paraId="1A041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337" w:type="pct"/>
            <w:tcBorders>
              <w:top w:val="nil"/>
              <w:left w:val="nil"/>
              <w:bottom w:val="nil"/>
              <w:right w:val="nil"/>
            </w:tcBorders>
            <w:noWrap w:val="0"/>
            <w:vAlign w:val="center"/>
          </w:tcPr>
          <w:p w14:paraId="5807DB84">
            <w:pPr>
              <w:rPr>
                <w:rFonts w:hint="eastAsia" w:ascii="宋体" w:hAnsi="宋体" w:eastAsia="宋体" w:cs="宋体"/>
                <w:i w:val="0"/>
                <w:iCs w:val="0"/>
                <w:color w:val="000000"/>
                <w:sz w:val="18"/>
                <w:szCs w:val="18"/>
                <w:u w:val="none"/>
              </w:rPr>
            </w:pPr>
          </w:p>
        </w:tc>
        <w:tc>
          <w:tcPr>
            <w:tcW w:w="631" w:type="pct"/>
            <w:tcBorders>
              <w:top w:val="nil"/>
              <w:left w:val="nil"/>
              <w:bottom w:val="nil"/>
              <w:right w:val="nil"/>
            </w:tcBorders>
            <w:noWrap w:val="0"/>
            <w:vAlign w:val="center"/>
          </w:tcPr>
          <w:p w14:paraId="6D2E4944">
            <w:pPr>
              <w:rPr>
                <w:rFonts w:hint="eastAsia" w:ascii="宋体" w:hAnsi="宋体" w:eastAsia="宋体" w:cs="宋体"/>
                <w:i w:val="0"/>
                <w:iCs w:val="0"/>
                <w:color w:val="000000"/>
                <w:sz w:val="18"/>
                <w:szCs w:val="18"/>
                <w:u w:val="none"/>
              </w:rPr>
            </w:pPr>
          </w:p>
        </w:tc>
        <w:tc>
          <w:tcPr>
            <w:tcW w:w="530" w:type="pct"/>
            <w:tcBorders>
              <w:top w:val="nil"/>
              <w:left w:val="nil"/>
              <w:bottom w:val="nil"/>
              <w:right w:val="nil"/>
            </w:tcBorders>
            <w:noWrap w:val="0"/>
            <w:vAlign w:val="center"/>
          </w:tcPr>
          <w:p w14:paraId="15CA233A">
            <w:pPr>
              <w:rPr>
                <w:rFonts w:hint="eastAsia" w:ascii="宋体" w:hAnsi="宋体" w:eastAsia="宋体" w:cs="宋体"/>
                <w:i w:val="0"/>
                <w:iCs w:val="0"/>
                <w:color w:val="000000"/>
                <w:sz w:val="18"/>
                <w:szCs w:val="18"/>
                <w:u w:val="none"/>
              </w:rPr>
            </w:pPr>
          </w:p>
        </w:tc>
        <w:tc>
          <w:tcPr>
            <w:tcW w:w="705" w:type="pct"/>
            <w:tcBorders>
              <w:top w:val="nil"/>
              <w:left w:val="nil"/>
              <w:bottom w:val="nil"/>
              <w:right w:val="nil"/>
            </w:tcBorders>
            <w:noWrap w:val="0"/>
            <w:vAlign w:val="center"/>
          </w:tcPr>
          <w:p w14:paraId="63A37D74">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65D04E8A">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noWrap w:val="0"/>
            <w:vAlign w:val="center"/>
          </w:tcPr>
          <w:p w14:paraId="6F119584">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75231F00">
            <w:pPr>
              <w:rPr>
                <w:rFonts w:hint="eastAsia" w:ascii="宋体" w:hAnsi="宋体" w:eastAsia="宋体" w:cs="宋体"/>
                <w:i w:val="0"/>
                <w:iCs w:val="0"/>
                <w:color w:val="000000"/>
                <w:sz w:val="18"/>
                <w:szCs w:val="18"/>
                <w:u w:val="none"/>
              </w:rPr>
            </w:pPr>
          </w:p>
        </w:tc>
        <w:tc>
          <w:tcPr>
            <w:tcW w:w="498" w:type="pct"/>
            <w:tcBorders>
              <w:top w:val="nil"/>
              <w:left w:val="nil"/>
              <w:bottom w:val="nil"/>
              <w:right w:val="nil"/>
            </w:tcBorders>
            <w:noWrap w:val="0"/>
            <w:vAlign w:val="center"/>
          </w:tcPr>
          <w:p w14:paraId="576C10ED">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noWrap w:val="0"/>
            <w:vAlign w:val="center"/>
          </w:tcPr>
          <w:p w14:paraId="76DF8E75">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5956E4C5">
            <w:pPr>
              <w:rPr>
                <w:rFonts w:hint="eastAsia" w:ascii="宋体" w:hAnsi="宋体" w:eastAsia="宋体" w:cs="宋体"/>
                <w:i w:val="0"/>
                <w:iCs w:val="0"/>
                <w:color w:val="000000"/>
                <w:sz w:val="18"/>
                <w:szCs w:val="18"/>
                <w:u w:val="none"/>
              </w:rPr>
            </w:pPr>
          </w:p>
        </w:tc>
        <w:tc>
          <w:tcPr>
            <w:tcW w:w="816" w:type="pct"/>
            <w:tcBorders>
              <w:top w:val="nil"/>
              <w:left w:val="nil"/>
              <w:bottom w:val="nil"/>
              <w:right w:val="nil"/>
            </w:tcBorders>
            <w:noWrap w:val="0"/>
            <w:vAlign w:val="center"/>
          </w:tcPr>
          <w:p w14:paraId="27C325CB">
            <w:pPr>
              <w:rPr>
                <w:rFonts w:hint="eastAsia" w:ascii="宋体" w:hAnsi="宋体" w:eastAsia="宋体" w:cs="宋体"/>
                <w:i w:val="0"/>
                <w:iCs w:val="0"/>
                <w:color w:val="000000"/>
                <w:sz w:val="18"/>
                <w:szCs w:val="18"/>
                <w:u w:val="none"/>
              </w:rPr>
            </w:pPr>
          </w:p>
        </w:tc>
      </w:tr>
      <w:tr w14:paraId="36D31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2FA858B6">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4EB11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0BD14C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264FFD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51322325T000012972757-城乡住户调查工作经费</w:t>
            </w:r>
          </w:p>
        </w:tc>
      </w:tr>
      <w:tr w14:paraId="4E3FCF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676ED9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63852C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茂县统计局本级</w:t>
            </w:r>
          </w:p>
        </w:tc>
        <w:tc>
          <w:tcPr>
            <w:tcW w:w="498" w:type="pct"/>
            <w:tcBorders>
              <w:top w:val="nil"/>
              <w:left w:val="nil"/>
              <w:bottom w:val="nil"/>
              <w:right w:val="nil"/>
            </w:tcBorders>
            <w:noWrap w:val="0"/>
            <w:vAlign w:val="center"/>
          </w:tcPr>
          <w:p w14:paraId="30921D1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34" w:type="pct"/>
            <w:gridSpan w:val="3"/>
            <w:tcBorders>
              <w:top w:val="single" w:color="000000" w:sz="4" w:space="0"/>
              <w:left w:val="single" w:color="000000" w:sz="4" w:space="0"/>
              <w:bottom w:val="single" w:color="000000" w:sz="4" w:space="0"/>
              <w:right w:val="single" w:color="000000" w:sz="4" w:space="0"/>
            </w:tcBorders>
            <w:noWrap w:val="0"/>
            <w:vAlign w:val="center"/>
          </w:tcPr>
          <w:p w14:paraId="6D60EC6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w:t>
            </w:r>
          </w:p>
        </w:tc>
      </w:tr>
      <w:tr w14:paraId="01E83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425763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29CC81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6A9826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61F5AD6C">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DD35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2DA9917">
            <w:pP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775B84">
            <w:pPr>
              <w:rPr>
                <w:rFonts w:hint="eastAsia" w:ascii="宋体" w:hAnsi="宋体" w:eastAsia="宋体" w:cs="宋体"/>
                <w:i w:val="0"/>
                <w:iCs w:val="0"/>
                <w:color w:val="000000"/>
                <w:sz w:val="18"/>
                <w:szCs w:val="18"/>
                <w:u w:val="none"/>
              </w:rPr>
            </w:pP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0525DB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根据《中共阿坝州委办公室、阿坝州人民政府办公室关于进一步加强住户调查和农村贫困监测工作的通知》阿委办〔2019〕38号文件，反映居民家庭收支状况，提供家庭就业、消费、住房、社区发展等有关信息</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4066603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提高调查数据质量，加强收入信息监测，促进城乡居民收入增长，切实保障和改善民生。</w:t>
            </w:r>
          </w:p>
        </w:tc>
      </w:tr>
      <w:tr w14:paraId="13FDDE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1"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9F9AB89">
            <w:pP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7FDE46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2046BC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反映居民家庭收入和支出状况，提供家庭就业、消费、住房、社区发展等有关信息，我县共抽中160户调查户。</w:t>
            </w:r>
          </w:p>
        </w:tc>
      </w:tr>
      <w:tr w14:paraId="69CA7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190D4C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CEF3F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2A297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FE5A6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04DF74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58ED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568F4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F3C82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5407E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35E3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0CD1A0D4">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4CE69D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B1000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3C57A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93.26</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765250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93.26</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AFD6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C4928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280F9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vMerge w:val="restart"/>
            <w:tcBorders>
              <w:top w:val="single" w:color="000000" w:sz="4" w:space="0"/>
              <w:left w:val="single" w:color="000000" w:sz="4" w:space="0"/>
              <w:bottom w:val="single" w:color="000000" w:sz="4" w:space="0"/>
              <w:right w:val="single" w:color="000000" w:sz="4" w:space="0"/>
            </w:tcBorders>
            <w:noWrap w:val="0"/>
            <w:vAlign w:val="center"/>
          </w:tcPr>
          <w:p w14:paraId="68DB5100">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64633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D656CA0">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49D40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F85F9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91428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93.26</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3AD6DE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93.26</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C89BE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EC2F3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205CD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27CA9E">
            <w:pPr>
              <w:rPr>
                <w:rFonts w:hint="eastAsia" w:ascii="黑体" w:hAnsi="黑体" w:eastAsia="黑体" w:cs="黑体"/>
                <w:i/>
                <w:iCs/>
                <w:color w:val="000000"/>
                <w:sz w:val="18"/>
                <w:szCs w:val="18"/>
                <w:u w:val="none"/>
              </w:rPr>
            </w:pPr>
          </w:p>
        </w:tc>
      </w:tr>
      <w:tr w14:paraId="230ECB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7D93890">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EBB90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4FFBA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8392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4C52D01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CAD309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AB2F86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5CE9A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EE911C">
            <w:pPr>
              <w:rPr>
                <w:rFonts w:hint="eastAsia" w:ascii="黑体" w:hAnsi="黑体" w:eastAsia="黑体" w:cs="黑体"/>
                <w:i/>
                <w:iCs/>
                <w:color w:val="000000"/>
                <w:sz w:val="18"/>
                <w:szCs w:val="18"/>
                <w:u w:val="none"/>
              </w:rPr>
            </w:pPr>
          </w:p>
        </w:tc>
      </w:tr>
      <w:tr w14:paraId="20422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4A114F7">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550C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002EE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5365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6F621E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18A18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7F030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1F7E6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0E4BD93D">
            <w:pPr>
              <w:rPr>
                <w:rFonts w:hint="eastAsia" w:ascii="黑体" w:hAnsi="黑体" w:eastAsia="黑体" w:cs="黑体"/>
                <w:i/>
                <w:iCs/>
                <w:color w:val="000000"/>
                <w:sz w:val="18"/>
                <w:szCs w:val="18"/>
                <w:u w:val="none"/>
              </w:rPr>
            </w:pPr>
          </w:p>
        </w:tc>
      </w:tr>
      <w:tr w14:paraId="2437F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742BD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9A64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33BB534">
            <w:pPr>
              <w:jc w:val="center"/>
              <w:rPr>
                <w:rFonts w:hint="eastAsia" w:ascii="微软雅黑" w:hAnsi="微软雅黑" w:eastAsia="微软雅黑" w:cs="微软雅黑"/>
                <w:i/>
                <w:iCs/>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71C29877">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1F9C3C84">
            <w:pPr>
              <w:jc w:val="center"/>
              <w:rPr>
                <w:rFonts w:hint="eastAsia" w:ascii="微软雅黑" w:hAnsi="微软雅黑" w:eastAsia="微软雅黑" w:cs="微软雅黑"/>
                <w:i/>
                <w:iCs/>
                <w:color w:val="000000"/>
                <w:sz w:val="16"/>
                <w:szCs w:val="16"/>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FF3A0B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736FF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7E02A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2D16C5">
            <w:pPr>
              <w:rPr>
                <w:rFonts w:hint="eastAsia" w:ascii="黑体" w:hAnsi="黑体" w:eastAsia="黑体" w:cs="黑体"/>
                <w:i/>
                <w:iCs/>
                <w:color w:val="000000"/>
                <w:sz w:val="18"/>
                <w:szCs w:val="18"/>
                <w:u w:val="none"/>
              </w:rPr>
            </w:pPr>
          </w:p>
        </w:tc>
      </w:tr>
      <w:tr w14:paraId="1AF2B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025BA6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C18CE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E306E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F70B3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2796B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18534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D80508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4B56A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75E79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6954FF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D174B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35D6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10470D">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F045E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93516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852512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纸质记账户数量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92552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0A95B4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079C5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04C71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831D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E7E82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877750B">
            <w:pPr>
              <w:jc w:val="center"/>
              <w:rPr>
                <w:rFonts w:hint="eastAsia" w:ascii="宋体" w:hAnsi="宋体" w:eastAsia="宋体" w:cs="宋体"/>
                <w:i w:val="0"/>
                <w:iCs w:val="0"/>
                <w:color w:val="000000"/>
                <w:sz w:val="18"/>
                <w:szCs w:val="18"/>
                <w:u w:val="none"/>
              </w:rPr>
            </w:pPr>
          </w:p>
        </w:tc>
      </w:tr>
      <w:tr w14:paraId="6DA873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D9BE3C2">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667A31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5A904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A5219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电子记账户数量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D4DD5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56C9D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32F0B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F7BB2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5EB318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E170D4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B851401">
            <w:pPr>
              <w:jc w:val="center"/>
              <w:rPr>
                <w:rFonts w:hint="eastAsia" w:ascii="宋体" w:hAnsi="宋体" w:eastAsia="宋体" w:cs="宋体"/>
                <w:i w:val="0"/>
                <w:iCs w:val="0"/>
                <w:color w:val="000000"/>
                <w:sz w:val="18"/>
                <w:szCs w:val="18"/>
                <w:u w:val="none"/>
              </w:rPr>
            </w:pPr>
          </w:p>
        </w:tc>
      </w:tr>
      <w:tr w14:paraId="30DF14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A74D10A">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E5BD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6CCE0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825E3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保障2025年开展工作所需资金数量</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01530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AE799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944011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39E839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C1F034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932566</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9AEE9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5AF5B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4F4AF4D">
            <w:pPr>
              <w:jc w:val="center"/>
              <w:rPr>
                <w:rFonts w:hint="eastAsia" w:ascii="宋体" w:hAnsi="宋体" w:eastAsia="宋体" w:cs="宋体"/>
                <w:i w:val="0"/>
                <w:iCs w:val="0"/>
                <w:color w:val="000000"/>
                <w:sz w:val="18"/>
                <w:szCs w:val="18"/>
                <w:u w:val="none"/>
              </w:rPr>
            </w:pPr>
          </w:p>
        </w:tc>
      </w:tr>
      <w:tr w14:paraId="33E061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50C152B">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A90587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7B193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27004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反映居民家庭收支状况，提供家庭就业、消费、住房、社区发展等有关信息</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9D113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2949B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49610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D9F322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3873A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9BAA3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3BDAA67">
            <w:pPr>
              <w:jc w:val="center"/>
              <w:rPr>
                <w:rFonts w:hint="eastAsia" w:ascii="宋体" w:hAnsi="宋体" w:eastAsia="宋体" w:cs="宋体"/>
                <w:i w:val="0"/>
                <w:iCs w:val="0"/>
                <w:color w:val="000000"/>
                <w:sz w:val="18"/>
                <w:szCs w:val="18"/>
                <w:u w:val="none"/>
              </w:rPr>
            </w:pPr>
          </w:p>
        </w:tc>
      </w:tr>
      <w:tr w14:paraId="509A02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C4A1B54">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73724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A98F8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00E844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顺利完成住户调查工作，所需记账户补贴经费</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0892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8A977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660000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E06999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9EA77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660000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58D4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547DA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CC7BC85">
            <w:pPr>
              <w:jc w:val="center"/>
              <w:rPr>
                <w:rFonts w:hint="eastAsia" w:ascii="宋体" w:hAnsi="宋体" w:eastAsia="宋体" w:cs="宋体"/>
                <w:i w:val="0"/>
                <w:iCs w:val="0"/>
                <w:color w:val="000000"/>
                <w:sz w:val="18"/>
                <w:szCs w:val="18"/>
                <w:u w:val="none"/>
              </w:rPr>
            </w:pPr>
          </w:p>
        </w:tc>
      </w:tr>
      <w:tr w14:paraId="37197F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D77345">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4AFA42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A011D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1D7F5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全面、准确、及时反映城乡居民收入与消费及其他生活状况</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30D64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87711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B7844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9CF8D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1C455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FD3EA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0482F60">
            <w:pPr>
              <w:jc w:val="center"/>
              <w:rPr>
                <w:rFonts w:hint="eastAsia" w:ascii="宋体" w:hAnsi="宋体" w:eastAsia="宋体" w:cs="宋体"/>
                <w:i w:val="0"/>
                <w:iCs w:val="0"/>
                <w:color w:val="000000"/>
                <w:sz w:val="18"/>
                <w:szCs w:val="18"/>
                <w:u w:val="none"/>
              </w:rPr>
            </w:pPr>
          </w:p>
        </w:tc>
      </w:tr>
      <w:tr w14:paraId="12B2B7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EE83C6">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92F42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04A36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F7E30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辅助调查员、专职编码员年度经费</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CC03A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9BF33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241011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5A459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377CC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241011</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C0AEF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3A58D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45FD8C1">
            <w:pPr>
              <w:jc w:val="center"/>
              <w:rPr>
                <w:rFonts w:hint="eastAsia" w:ascii="宋体" w:hAnsi="宋体" w:eastAsia="宋体" w:cs="宋体"/>
                <w:i w:val="0"/>
                <w:iCs w:val="0"/>
                <w:color w:val="000000"/>
                <w:sz w:val="18"/>
                <w:szCs w:val="18"/>
                <w:u w:val="none"/>
              </w:rPr>
            </w:pPr>
          </w:p>
        </w:tc>
      </w:tr>
      <w:tr w14:paraId="0D992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665" w:type="pct"/>
            <w:gridSpan w:val="8"/>
            <w:tcBorders>
              <w:top w:val="single" w:color="000000" w:sz="4" w:space="0"/>
              <w:left w:val="single" w:color="000000" w:sz="4" w:space="0"/>
              <w:bottom w:val="single" w:color="000000" w:sz="4" w:space="0"/>
              <w:right w:val="single" w:color="000000" w:sz="4" w:space="0"/>
            </w:tcBorders>
            <w:noWrap w:val="0"/>
            <w:vAlign w:val="center"/>
          </w:tcPr>
          <w:p w14:paraId="6A7D06C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BDAFC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12B3A4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68609F4">
            <w:pPr>
              <w:rPr>
                <w:rFonts w:hint="eastAsia" w:ascii="宋体" w:hAnsi="宋体" w:eastAsia="宋体" w:cs="宋体"/>
                <w:i w:val="0"/>
                <w:iCs w:val="0"/>
                <w:color w:val="000000"/>
                <w:sz w:val="18"/>
                <w:szCs w:val="18"/>
                <w:u w:val="none"/>
              </w:rPr>
            </w:pPr>
          </w:p>
        </w:tc>
      </w:tr>
      <w:tr w14:paraId="56F25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5520CFB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7748D9C6">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该项目预算执行情况自评得分10分，绩效指标得分98分。</w:t>
            </w:r>
          </w:p>
        </w:tc>
      </w:tr>
      <w:tr w14:paraId="708A40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39F87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7274E04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33CC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616069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2C28C9FC">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6F6A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7" w:type="pct"/>
            <w:gridSpan w:val="5"/>
            <w:tcBorders>
              <w:top w:val="single" w:color="000000" w:sz="4" w:space="0"/>
              <w:left w:val="single" w:color="000000" w:sz="4" w:space="0"/>
              <w:bottom w:val="single" w:color="000000" w:sz="4" w:space="0"/>
              <w:right w:val="single" w:color="000000" w:sz="4" w:space="0"/>
            </w:tcBorders>
            <w:noWrap w:val="0"/>
            <w:vAlign w:val="center"/>
          </w:tcPr>
          <w:p w14:paraId="1D0F37BA">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项目负责人：陈邦丽</w:t>
            </w:r>
          </w:p>
        </w:tc>
        <w:tc>
          <w:tcPr>
            <w:tcW w:w="2562" w:type="pct"/>
            <w:gridSpan w:val="6"/>
            <w:tcBorders>
              <w:top w:val="single" w:color="000000" w:sz="4" w:space="0"/>
              <w:left w:val="single" w:color="000000" w:sz="4" w:space="0"/>
              <w:bottom w:val="single" w:color="000000" w:sz="4" w:space="0"/>
              <w:right w:val="single" w:color="000000" w:sz="4" w:space="0"/>
            </w:tcBorders>
            <w:noWrap w:val="0"/>
            <w:vAlign w:val="center"/>
          </w:tcPr>
          <w:p w14:paraId="7D2DBAC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财务负责人：赵秀云</w:t>
            </w:r>
          </w:p>
        </w:tc>
      </w:tr>
      <w:tr w14:paraId="7DF0B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37" w:type="pct"/>
            <w:tcBorders>
              <w:top w:val="nil"/>
              <w:left w:val="nil"/>
              <w:bottom w:val="nil"/>
              <w:right w:val="nil"/>
            </w:tcBorders>
            <w:noWrap w:val="0"/>
            <w:vAlign w:val="center"/>
          </w:tcPr>
          <w:p w14:paraId="72CB1774">
            <w:pPr>
              <w:rPr>
                <w:rFonts w:hint="eastAsia" w:ascii="宋体" w:hAnsi="宋体" w:eastAsia="宋体" w:cs="宋体"/>
                <w:i w:val="0"/>
                <w:iCs w:val="0"/>
                <w:color w:val="000000"/>
                <w:sz w:val="18"/>
                <w:szCs w:val="18"/>
                <w:u w:val="none"/>
              </w:rPr>
            </w:pPr>
          </w:p>
        </w:tc>
        <w:tc>
          <w:tcPr>
            <w:tcW w:w="631" w:type="pct"/>
            <w:tcBorders>
              <w:top w:val="nil"/>
              <w:left w:val="nil"/>
              <w:bottom w:val="nil"/>
              <w:right w:val="nil"/>
            </w:tcBorders>
            <w:noWrap w:val="0"/>
            <w:vAlign w:val="center"/>
          </w:tcPr>
          <w:p w14:paraId="15DE3481">
            <w:pPr>
              <w:rPr>
                <w:rFonts w:hint="eastAsia" w:ascii="宋体" w:hAnsi="宋体" w:eastAsia="宋体" w:cs="宋体"/>
                <w:i w:val="0"/>
                <w:iCs w:val="0"/>
                <w:color w:val="000000"/>
                <w:sz w:val="18"/>
                <w:szCs w:val="18"/>
                <w:u w:val="none"/>
              </w:rPr>
            </w:pPr>
          </w:p>
        </w:tc>
        <w:tc>
          <w:tcPr>
            <w:tcW w:w="530" w:type="pct"/>
            <w:tcBorders>
              <w:top w:val="nil"/>
              <w:left w:val="nil"/>
              <w:bottom w:val="nil"/>
              <w:right w:val="nil"/>
            </w:tcBorders>
            <w:noWrap w:val="0"/>
            <w:vAlign w:val="center"/>
          </w:tcPr>
          <w:p w14:paraId="169B9999">
            <w:pPr>
              <w:rPr>
                <w:rFonts w:hint="eastAsia" w:ascii="宋体" w:hAnsi="宋体" w:eastAsia="宋体" w:cs="宋体"/>
                <w:i w:val="0"/>
                <w:iCs w:val="0"/>
                <w:color w:val="000000"/>
                <w:sz w:val="18"/>
                <w:szCs w:val="18"/>
                <w:u w:val="none"/>
              </w:rPr>
            </w:pPr>
          </w:p>
        </w:tc>
        <w:tc>
          <w:tcPr>
            <w:tcW w:w="705" w:type="pct"/>
            <w:tcBorders>
              <w:top w:val="nil"/>
              <w:left w:val="nil"/>
              <w:bottom w:val="nil"/>
              <w:right w:val="nil"/>
            </w:tcBorders>
            <w:noWrap w:val="0"/>
            <w:vAlign w:val="center"/>
          </w:tcPr>
          <w:p w14:paraId="3D688274">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2E813D65">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noWrap w:val="0"/>
            <w:vAlign w:val="center"/>
          </w:tcPr>
          <w:p w14:paraId="76D9FDC6">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569670E1">
            <w:pPr>
              <w:rPr>
                <w:rFonts w:hint="eastAsia" w:ascii="宋体" w:hAnsi="宋体" w:eastAsia="宋体" w:cs="宋体"/>
                <w:i w:val="0"/>
                <w:iCs w:val="0"/>
                <w:color w:val="000000"/>
                <w:sz w:val="18"/>
                <w:szCs w:val="18"/>
                <w:u w:val="none"/>
              </w:rPr>
            </w:pPr>
          </w:p>
        </w:tc>
        <w:tc>
          <w:tcPr>
            <w:tcW w:w="498" w:type="pct"/>
            <w:tcBorders>
              <w:top w:val="nil"/>
              <w:left w:val="nil"/>
              <w:bottom w:val="nil"/>
              <w:right w:val="nil"/>
            </w:tcBorders>
            <w:noWrap w:val="0"/>
            <w:vAlign w:val="center"/>
          </w:tcPr>
          <w:p w14:paraId="2F36686B">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noWrap w:val="0"/>
            <w:vAlign w:val="center"/>
          </w:tcPr>
          <w:p w14:paraId="2D32FD12">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52D133E6">
            <w:pPr>
              <w:rPr>
                <w:rFonts w:hint="eastAsia" w:ascii="宋体" w:hAnsi="宋体" w:eastAsia="宋体" w:cs="宋体"/>
                <w:i w:val="0"/>
                <w:iCs w:val="0"/>
                <w:color w:val="000000"/>
                <w:sz w:val="18"/>
                <w:szCs w:val="18"/>
                <w:u w:val="none"/>
              </w:rPr>
            </w:pPr>
          </w:p>
        </w:tc>
        <w:tc>
          <w:tcPr>
            <w:tcW w:w="816" w:type="pct"/>
            <w:tcBorders>
              <w:top w:val="nil"/>
              <w:left w:val="nil"/>
              <w:bottom w:val="nil"/>
              <w:right w:val="nil"/>
            </w:tcBorders>
            <w:noWrap w:val="0"/>
            <w:vAlign w:val="center"/>
          </w:tcPr>
          <w:p w14:paraId="5CD28857">
            <w:pPr>
              <w:rPr>
                <w:rFonts w:hint="eastAsia" w:ascii="宋体" w:hAnsi="宋体" w:eastAsia="宋体" w:cs="宋体"/>
                <w:i w:val="0"/>
                <w:iCs w:val="0"/>
                <w:color w:val="000000"/>
                <w:sz w:val="18"/>
                <w:szCs w:val="18"/>
                <w:u w:val="none"/>
              </w:rPr>
            </w:pPr>
          </w:p>
        </w:tc>
      </w:tr>
      <w:tr w14:paraId="10645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19295959">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27D0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3E4408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588341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51322325T000012972813-劳动力调查工作经费</w:t>
            </w:r>
          </w:p>
        </w:tc>
      </w:tr>
      <w:tr w14:paraId="05411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3AA9D6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0322A9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茂县统计局本级</w:t>
            </w:r>
          </w:p>
        </w:tc>
        <w:tc>
          <w:tcPr>
            <w:tcW w:w="498" w:type="pct"/>
            <w:tcBorders>
              <w:top w:val="nil"/>
              <w:left w:val="nil"/>
              <w:bottom w:val="nil"/>
              <w:right w:val="nil"/>
            </w:tcBorders>
            <w:noWrap w:val="0"/>
            <w:vAlign w:val="center"/>
          </w:tcPr>
          <w:p w14:paraId="771634F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34" w:type="pct"/>
            <w:gridSpan w:val="3"/>
            <w:tcBorders>
              <w:top w:val="single" w:color="000000" w:sz="4" w:space="0"/>
              <w:left w:val="single" w:color="000000" w:sz="4" w:space="0"/>
              <w:bottom w:val="single" w:color="000000" w:sz="4" w:space="0"/>
              <w:right w:val="single" w:color="000000" w:sz="4" w:space="0"/>
            </w:tcBorders>
            <w:noWrap w:val="0"/>
            <w:vAlign w:val="center"/>
          </w:tcPr>
          <w:p w14:paraId="10F8A7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w:t>
            </w:r>
          </w:p>
        </w:tc>
      </w:tr>
      <w:tr w14:paraId="21DE9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497FAE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34F7A7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33949A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67EFC0F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AED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0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A581025">
            <w:pP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3998B0">
            <w:pPr>
              <w:rPr>
                <w:rFonts w:hint="eastAsia" w:ascii="宋体" w:hAnsi="宋体" w:eastAsia="宋体" w:cs="宋体"/>
                <w:i w:val="0"/>
                <w:iCs w:val="0"/>
                <w:color w:val="000000"/>
                <w:sz w:val="18"/>
                <w:szCs w:val="18"/>
                <w:u w:val="none"/>
              </w:rPr>
            </w:pP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178F66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阿坝州人民政府关于扎实做好劳动力调查工作的通知》（阿府办发〔2021〕29号）要求和州国调队的统一安排，我县四个社区（内南社区、外南社区、雪花井社区、西岳庙社区）作为劳动力调查样本小区，每月将由调查员入户进行抽样采集调查工作。</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48FC4EDF">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顺利完成抽样调查工作</w:t>
            </w:r>
          </w:p>
        </w:tc>
      </w:tr>
      <w:tr w14:paraId="5C4605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166FD0E">
            <w:pP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2FCA4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118022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我县四个社区（内南社区、外南社区、雪花井社区、西岳庙社区）作为劳动力调查样本小区，每月将由调查员入户进行抽样采集调查工作。</w:t>
            </w:r>
          </w:p>
        </w:tc>
      </w:tr>
      <w:tr w14:paraId="76654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20686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C8296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618BD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05135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1802A3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1E1E7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D47A0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76B1CC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A61DE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D0485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6E07EB9A">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C3D24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B4AA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46579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12.51</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3536B9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12.51</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A24D7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A1D641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353A6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vMerge w:val="restart"/>
            <w:tcBorders>
              <w:top w:val="single" w:color="000000" w:sz="4" w:space="0"/>
              <w:left w:val="single" w:color="000000" w:sz="4" w:space="0"/>
              <w:bottom w:val="single" w:color="000000" w:sz="4" w:space="0"/>
              <w:right w:val="single" w:color="000000" w:sz="4" w:space="0"/>
            </w:tcBorders>
            <w:noWrap w:val="0"/>
            <w:vAlign w:val="center"/>
          </w:tcPr>
          <w:p w14:paraId="083817E4">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3262B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8FB887">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863316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5094AC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29CD1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12.51</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16B5B32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12.51</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1E8AD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7CA390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39B90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398CD56">
            <w:pPr>
              <w:rPr>
                <w:rFonts w:hint="eastAsia" w:ascii="黑体" w:hAnsi="黑体" w:eastAsia="黑体" w:cs="黑体"/>
                <w:i/>
                <w:iCs/>
                <w:color w:val="000000"/>
                <w:sz w:val="18"/>
                <w:szCs w:val="18"/>
                <w:u w:val="none"/>
              </w:rPr>
            </w:pPr>
          </w:p>
        </w:tc>
      </w:tr>
      <w:tr w14:paraId="35E3B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62524DE">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912DA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C7C47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3A06C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4AA8FF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097B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B0417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D47D0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7BEC654A">
            <w:pPr>
              <w:rPr>
                <w:rFonts w:hint="eastAsia" w:ascii="黑体" w:hAnsi="黑体" w:eastAsia="黑体" w:cs="黑体"/>
                <w:i/>
                <w:iCs/>
                <w:color w:val="000000"/>
                <w:sz w:val="18"/>
                <w:szCs w:val="18"/>
                <w:u w:val="none"/>
              </w:rPr>
            </w:pPr>
          </w:p>
        </w:tc>
      </w:tr>
      <w:tr w14:paraId="208F1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4648E8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CA5C9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5E7FD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54451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34EEF0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53431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46F5D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7A072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F8F7E08">
            <w:pPr>
              <w:rPr>
                <w:rFonts w:hint="eastAsia" w:ascii="黑体" w:hAnsi="黑体" w:eastAsia="黑体" w:cs="黑体"/>
                <w:i/>
                <w:iCs/>
                <w:color w:val="000000"/>
                <w:sz w:val="18"/>
                <w:szCs w:val="18"/>
                <w:u w:val="none"/>
              </w:rPr>
            </w:pPr>
          </w:p>
        </w:tc>
      </w:tr>
      <w:tr w14:paraId="69000B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3BB6EC2">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459A2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4169301">
            <w:pPr>
              <w:jc w:val="center"/>
              <w:rPr>
                <w:rFonts w:hint="eastAsia" w:ascii="微软雅黑" w:hAnsi="微软雅黑" w:eastAsia="微软雅黑" w:cs="微软雅黑"/>
                <w:i/>
                <w:iCs/>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913A9F3">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6FF72DD5">
            <w:pPr>
              <w:jc w:val="center"/>
              <w:rPr>
                <w:rFonts w:hint="eastAsia" w:ascii="微软雅黑" w:hAnsi="微软雅黑" w:eastAsia="微软雅黑" w:cs="微软雅黑"/>
                <w:i/>
                <w:iCs/>
                <w:color w:val="000000"/>
                <w:sz w:val="16"/>
                <w:szCs w:val="16"/>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A82D669">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70437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76C0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D55812A">
            <w:pPr>
              <w:rPr>
                <w:rFonts w:hint="eastAsia" w:ascii="黑体" w:hAnsi="黑体" w:eastAsia="黑体" w:cs="黑体"/>
                <w:i/>
                <w:iCs/>
                <w:color w:val="000000"/>
                <w:sz w:val="18"/>
                <w:szCs w:val="18"/>
                <w:u w:val="none"/>
              </w:rPr>
            </w:pPr>
          </w:p>
        </w:tc>
      </w:tr>
      <w:tr w14:paraId="4C1C6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2A30F65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2247B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B5732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17351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CCEB3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5F4A4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A3F19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1272E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3A75D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B8A2D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B28F9C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5D96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BBBA766">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E0B05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9830D4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F9449D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顺利完成劳动力调查工作</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CC6C9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532D53A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1EFD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38790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3C385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19842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BED9F0F">
            <w:pPr>
              <w:jc w:val="center"/>
              <w:rPr>
                <w:rFonts w:hint="eastAsia" w:ascii="宋体" w:hAnsi="宋体" w:eastAsia="宋体" w:cs="宋体"/>
                <w:i w:val="0"/>
                <w:iCs w:val="0"/>
                <w:color w:val="000000"/>
                <w:sz w:val="18"/>
                <w:szCs w:val="18"/>
                <w:u w:val="none"/>
              </w:rPr>
            </w:pPr>
          </w:p>
        </w:tc>
      </w:tr>
      <w:tr w14:paraId="6FA7C8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10E37A2F">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42C80D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5B937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747D0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涉及四个社区的调查员</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14AF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B94A9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F5F537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E50E9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22369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9382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5993648">
            <w:pPr>
              <w:jc w:val="center"/>
              <w:rPr>
                <w:rFonts w:hint="eastAsia" w:ascii="宋体" w:hAnsi="宋体" w:eastAsia="宋体" w:cs="宋体"/>
                <w:i w:val="0"/>
                <w:iCs w:val="0"/>
                <w:color w:val="000000"/>
                <w:sz w:val="18"/>
                <w:szCs w:val="18"/>
                <w:u w:val="none"/>
              </w:rPr>
            </w:pPr>
          </w:p>
        </w:tc>
      </w:tr>
      <w:tr w14:paraId="43EDB2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CEEE7A1">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44A7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083BDA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3BB10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聘请业务人员</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77257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39E49DD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B50F6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74478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9889C3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45FE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389C190">
            <w:pPr>
              <w:jc w:val="center"/>
              <w:rPr>
                <w:rFonts w:hint="eastAsia" w:ascii="宋体" w:hAnsi="宋体" w:eastAsia="宋体" w:cs="宋体"/>
                <w:i w:val="0"/>
                <w:iCs w:val="0"/>
                <w:color w:val="000000"/>
                <w:sz w:val="18"/>
                <w:szCs w:val="18"/>
                <w:u w:val="none"/>
              </w:rPr>
            </w:pPr>
          </w:p>
        </w:tc>
      </w:tr>
      <w:tr w14:paraId="19C8C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BD00995">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DA22F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86216C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37A5EB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开展此项工作保障顺利完成，涉及经费128611元</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768010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5B0C9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128611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2B160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D100A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128611</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0C13C0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5086B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3278780">
            <w:pPr>
              <w:jc w:val="center"/>
              <w:rPr>
                <w:rFonts w:hint="eastAsia" w:ascii="宋体" w:hAnsi="宋体" w:eastAsia="宋体" w:cs="宋体"/>
                <w:i w:val="0"/>
                <w:iCs w:val="0"/>
                <w:color w:val="000000"/>
                <w:sz w:val="18"/>
                <w:szCs w:val="18"/>
                <w:u w:val="none"/>
              </w:rPr>
            </w:pPr>
          </w:p>
        </w:tc>
      </w:tr>
      <w:tr w14:paraId="12666A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B7AFA6">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5739B3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C0571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FB645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调查员入户进行抽样采集调查工作，高效完成各项报表任务</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857AC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53446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1BEF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E11906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89E6D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AF085C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16851E7">
            <w:pPr>
              <w:jc w:val="center"/>
              <w:rPr>
                <w:rFonts w:hint="eastAsia" w:ascii="宋体" w:hAnsi="宋体" w:eastAsia="宋体" w:cs="宋体"/>
                <w:i w:val="0"/>
                <w:iCs w:val="0"/>
                <w:color w:val="000000"/>
                <w:sz w:val="18"/>
                <w:szCs w:val="18"/>
                <w:u w:val="none"/>
              </w:rPr>
            </w:pPr>
          </w:p>
        </w:tc>
      </w:tr>
      <w:tr w14:paraId="1C306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04A3D30">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27445D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7E899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13E571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确保劳动力调查工作顺利开展</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9CBE8A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B9995C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A2C8C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885FC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F68E6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31ACF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9232BBF">
            <w:pPr>
              <w:jc w:val="center"/>
              <w:rPr>
                <w:rFonts w:hint="eastAsia" w:ascii="宋体" w:hAnsi="宋体" w:eastAsia="宋体" w:cs="宋体"/>
                <w:i w:val="0"/>
                <w:iCs w:val="0"/>
                <w:color w:val="000000"/>
                <w:sz w:val="18"/>
                <w:szCs w:val="18"/>
                <w:u w:val="none"/>
              </w:rPr>
            </w:pPr>
          </w:p>
        </w:tc>
      </w:tr>
      <w:tr w14:paraId="4679E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1"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84FC7C">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A4061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73E61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7B977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严格控制预算经费</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C4684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469A17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128611</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F644AA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35E5B8F">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125060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5B4D8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B7225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3C0B324C">
            <w:pPr>
              <w:jc w:val="center"/>
              <w:rPr>
                <w:rFonts w:hint="eastAsia" w:ascii="微软雅黑" w:hAnsi="微软雅黑" w:eastAsia="微软雅黑" w:cs="微软雅黑"/>
                <w:i/>
                <w:iCs/>
                <w:color w:val="000000"/>
                <w:sz w:val="16"/>
                <w:szCs w:val="16"/>
                <w:u w:val="none"/>
              </w:rPr>
            </w:pPr>
          </w:p>
        </w:tc>
      </w:tr>
      <w:tr w14:paraId="4624B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665" w:type="pct"/>
            <w:gridSpan w:val="8"/>
            <w:tcBorders>
              <w:top w:val="single" w:color="000000" w:sz="4" w:space="0"/>
              <w:left w:val="single" w:color="000000" w:sz="4" w:space="0"/>
              <w:bottom w:val="single" w:color="000000" w:sz="4" w:space="0"/>
              <w:right w:val="single" w:color="000000" w:sz="4" w:space="0"/>
            </w:tcBorders>
            <w:noWrap w:val="0"/>
            <w:vAlign w:val="center"/>
          </w:tcPr>
          <w:p w14:paraId="635E29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304975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F3740A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CB6CE8D">
            <w:pPr>
              <w:rPr>
                <w:rFonts w:hint="eastAsia" w:ascii="宋体" w:hAnsi="宋体" w:eastAsia="宋体" w:cs="宋体"/>
                <w:i w:val="0"/>
                <w:iCs w:val="0"/>
                <w:color w:val="000000"/>
                <w:sz w:val="18"/>
                <w:szCs w:val="18"/>
                <w:u w:val="none"/>
              </w:rPr>
            </w:pPr>
          </w:p>
        </w:tc>
      </w:tr>
      <w:tr w14:paraId="71184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4E9141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4198EFFE">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该项目预算执行情况自评得分10分，绩效指标得分98分。</w:t>
            </w:r>
          </w:p>
        </w:tc>
      </w:tr>
      <w:tr w14:paraId="2D05E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43D9D8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1379AC73">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88CC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785D18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54E7CA3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BE465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2437" w:type="pct"/>
            <w:gridSpan w:val="5"/>
            <w:tcBorders>
              <w:top w:val="single" w:color="000000" w:sz="4" w:space="0"/>
              <w:left w:val="single" w:color="000000" w:sz="4" w:space="0"/>
              <w:bottom w:val="single" w:color="000000" w:sz="4" w:space="0"/>
              <w:right w:val="single" w:color="000000" w:sz="4" w:space="0"/>
            </w:tcBorders>
            <w:noWrap w:val="0"/>
            <w:vAlign w:val="center"/>
          </w:tcPr>
          <w:p w14:paraId="7BFA3F5E">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项目负责人：陈邦丽</w:t>
            </w:r>
          </w:p>
        </w:tc>
        <w:tc>
          <w:tcPr>
            <w:tcW w:w="2562" w:type="pct"/>
            <w:gridSpan w:val="6"/>
            <w:tcBorders>
              <w:top w:val="single" w:color="000000" w:sz="4" w:space="0"/>
              <w:left w:val="single" w:color="000000" w:sz="4" w:space="0"/>
              <w:bottom w:val="single" w:color="000000" w:sz="4" w:space="0"/>
              <w:right w:val="single" w:color="000000" w:sz="4" w:space="0"/>
            </w:tcBorders>
            <w:noWrap w:val="0"/>
            <w:vAlign w:val="center"/>
          </w:tcPr>
          <w:p w14:paraId="332751E8">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财务负责人：赵秀云</w:t>
            </w:r>
          </w:p>
        </w:tc>
      </w:tr>
      <w:tr w14:paraId="32219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337" w:type="pct"/>
            <w:tcBorders>
              <w:top w:val="nil"/>
              <w:left w:val="nil"/>
              <w:bottom w:val="nil"/>
              <w:right w:val="nil"/>
            </w:tcBorders>
            <w:noWrap w:val="0"/>
            <w:vAlign w:val="center"/>
          </w:tcPr>
          <w:p w14:paraId="56E9B13D">
            <w:pPr>
              <w:rPr>
                <w:rFonts w:hint="eastAsia" w:ascii="宋体" w:hAnsi="宋体" w:eastAsia="宋体" w:cs="宋体"/>
                <w:i w:val="0"/>
                <w:iCs w:val="0"/>
                <w:color w:val="000000"/>
                <w:sz w:val="18"/>
                <w:szCs w:val="18"/>
                <w:u w:val="none"/>
              </w:rPr>
            </w:pPr>
          </w:p>
        </w:tc>
        <w:tc>
          <w:tcPr>
            <w:tcW w:w="631" w:type="pct"/>
            <w:tcBorders>
              <w:top w:val="nil"/>
              <w:left w:val="nil"/>
              <w:bottom w:val="nil"/>
              <w:right w:val="nil"/>
            </w:tcBorders>
            <w:noWrap w:val="0"/>
            <w:vAlign w:val="center"/>
          </w:tcPr>
          <w:p w14:paraId="3B6EFBE0">
            <w:pPr>
              <w:rPr>
                <w:rFonts w:hint="eastAsia" w:ascii="宋体" w:hAnsi="宋体" w:eastAsia="宋体" w:cs="宋体"/>
                <w:i w:val="0"/>
                <w:iCs w:val="0"/>
                <w:color w:val="000000"/>
                <w:sz w:val="18"/>
                <w:szCs w:val="18"/>
                <w:u w:val="none"/>
              </w:rPr>
            </w:pPr>
          </w:p>
        </w:tc>
        <w:tc>
          <w:tcPr>
            <w:tcW w:w="530" w:type="pct"/>
            <w:tcBorders>
              <w:top w:val="nil"/>
              <w:left w:val="nil"/>
              <w:bottom w:val="nil"/>
              <w:right w:val="nil"/>
            </w:tcBorders>
            <w:noWrap w:val="0"/>
            <w:vAlign w:val="center"/>
          </w:tcPr>
          <w:p w14:paraId="32767018">
            <w:pPr>
              <w:rPr>
                <w:rFonts w:hint="eastAsia" w:ascii="宋体" w:hAnsi="宋体" w:eastAsia="宋体" w:cs="宋体"/>
                <w:i w:val="0"/>
                <w:iCs w:val="0"/>
                <w:color w:val="000000"/>
                <w:sz w:val="18"/>
                <w:szCs w:val="18"/>
                <w:u w:val="none"/>
              </w:rPr>
            </w:pPr>
          </w:p>
        </w:tc>
        <w:tc>
          <w:tcPr>
            <w:tcW w:w="705" w:type="pct"/>
            <w:tcBorders>
              <w:top w:val="nil"/>
              <w:left w:val="nil"/>
              <w:bottom w:val="nil"/>
              <w:right w:val="nil"/>
            </w:tcBorders>
            <w:noWrap w:val="0"/>
            <w:vAlign w:val="center"/>
          </w:tcPr>
          <w:p w14:paraId="4B2A3BCC">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213BA3C4">
            <w:pPr>
              <w:rPr>
                <w:rFonts w:hint="eastAsia" w:ascii="宋体" w:hAnsi="宋体" w:eastAsia="宋体" w:cs="宋体"/>
                <w:i w:val="0"/>
                <w:iCs w:val="0"/>
                <w:color w:val="000000"/>
                <w:sz w:val="18"/>
                <w:szCs w:val="18"/>
                <w:u w:val="none"/>
              </w:rPr>
            </w:pPr>
          </w:p>
        </w:tc>
        <w:tc>
          <w:tcPr>
            <w:tcW w:w="496" w:type="pct"/>
            <w:tcBorders>
              <w:top w:val="nil"/>
              <w:left w:val="nil"/>
              <w:bottom w:val="nil"/>
              <w:right w:val="nil"/>
            </w:tcBorders>
            <w:noWrap w:val="0"/>
            <w:vAlign w:val="center"/>
          </w:tcPr>
          <w:p w14:paraId="1D35B944">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6E2349C5">
            <w:pPr>
              <w:rPr>
                <w:rFonts w:hint="eastAsia" w:ascii="宋体" w:hAnsi="宋体" w:eastAsia="宋体" w:cs="宋体"/>
                <w:i w:val="0"/>
                <w:iCs w:val="0"/>
                <w:color w:val="000000"/>
                <w:sz w:val="18"/>
                <w:szCs w:val="18"/>
                <w:u w:val="none"/>
              </w:rPr>
            </w:pPr>
          </w:p>
        </w:tc>
        <w:tc>
          <w:tcPr>
            <w:tcW w:w="498" w:type="pct"/>
            <w:tcBorders>
              <w:top w:val="nil"/>
              <w:left w:val="nil"/>
              <w:bottom w:val="nil"/>
              <w:right w:val="nil"/>
            </w:tcBorders>
            <w:noWrap w:val="0"/>
            <w:vAlign w:val="center"/>
          </w:tcPr>
          <w:p w14:paraId="5E3F5361">
            <w:pPr>
              <w:rPr>
                <w:rFonts w:hint="eastAsia" w:ascii="宋体" w:hAnsi="宋体" w:eastAsia="宋体" w:cs="宋体"/>
                <w:i w:val="0"/>
                <w:iCs w:val="0"/>
                <w:color w:val="000000"/>
                <w:sz w:val="18"/>
                <w:szCs w:val="18"/>
                <w:u w:val="none"/>
              </w:rPr>
            </w:pPr>
          </w:p>
        </w:tc>
        <w:tc>
          <w:tcPr>
            <w:tcW w:w="285" w:type="pct"/>
            <w:tcBorders>
              <w:top w:val="nil"/>
              <w:left w:val="nil"/>
              <w:bottom w:val="nil"/>
              <w:right w:val="nil"/>
            </w:tcBorders>
            <w:noWrap w:val="0"/>
            <w:vAlign w:val="center"/>
          </w:tcPr>
          <w:p w14:paraId="1E285BAA">
            <w:pPr>
              <w:rPr>
                <w:rFonts w:hint="eastAsia" w:ascii="宋体" w:hAnsi="宋体" w:eastAsia="宋体" w:cs="宋体"/>
                <w:i w:val="0"/>
                <w:iCs w:val="0"/>
                <w:color w:val="000000"/>
                <w:sz w:val="18"/>
                <w:szCs w:val="18"/>
                <w:u w:val="none"/>
              </w:rPr>
            </w:pPr>
          </w:p>
        </w:tc>
        <w:tc>
          <w:tcPr>
            <w:tcW w:w="232" w:type="pct"/>
            <w:tcBorders>
              <w:top w:val="nil"/>
              <w:left w:val="nil"/>
              <w:bottom w:val="nil"/>
              <w:right w:val="nil"/>
            </w:tcBorders>
            <w:noWrap w:val="0"/>
            <w:vAlign w:val="center"/>
          </w:tcPr>
          <w:p w14:paraId="6299BA78">
            <w:pPr>
              <w:rPr>
                <w:rFonts w:hint="eastAsia" w:ascii="宋体" w:hAnsi="宋体" w:eastAsia="宋体" w:cs="宋体"/>
                <w:i w:val="0"/>
                <w:iCs w:val="0"/>
                <w:color w:val="000000"/>
                <w:sz w:val="18"/>
                <w:szCs w:val="18"/>
                <w:u w:val="none"/>
              </w:rPr>
            </w:pPr>
          </w:p>
        </w:tc>
        <w:tc>
          <w:tcPr>
            <w:tcW w:w="816" w:type="pct"/>
            <w:tcBorders>
              <w:top w:val="nil"/>
              <w:left w:val="nil"/>
              <w:bottom w:val="nil"/>
              <w:right w:val="nil"/>
            </w:tcBorders>
            <w:noWrap w:val="0"/>
            <w:vAlign w:val="center"/>
          </w:tcPr>
          <w:p w14:paraId="46296DB7">
            <w:pPr>
              <w:rPr>
                <w:rFonts w:hint="eastAsia" w:ascii="宋体" w:hAnsi="宋体" w:eastAsia="宋体" w:cs="宋体"/>
                <w:i w:val="0"/>
                <w:iCs w:val="0"/>
                <w:color w:val="000000"/>
                <w:sz w:val="18"/>
                <w:szCs w:val="18"/>
                <w:u w:val="none"/>
              </w:rPr>
            </w:pPr>
          </w:p>
        </w:tc>
      </w:tr>
      <w:tr w14:paraId="59276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5000" w:type="pct"/>
            <w:gridSpan w:val="11"/>
            <w:tcBorders>
              <w:top w:val="single" w:color="000000" w:sz="4" w:space="0"/>
              <w:left w:val="single" w:color="000000" w:sz="4" w:space="0"/>
              <w:bottom w:val="single" w:color="000000" w:sz="4" w:space="0"/>
              <w:right w:val="single" w:color="000000" w:sz="4" w:space="0"/>
            </w:tcBorders>
            <w:noWrap w:val="0"/>
            <w:vAlign w:val="center"/>
          </w:tcPr>
          <w:p w14:paraId="7C5A81C5">
            <w:pPr>
              <w:keepNext w:val="0"/>
              <w:keepLines w:val="0"/>
              <w:widowControl/>
              <w:suppressLineNumbers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4108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4BB70E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54ABFF8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51322325T000013099784-劳动力调查、第五次经济普查、一套表、城乡住户调查、聘用协统员、粮食产量对地遥感抽样调查等相关经费</w:t>
            </w:r>
          </w:p>
        </w:tc>
      </w:tr>
      <w:tr w14:paraId="3EA4B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9" w:hRule="atLeast"/>
        </w:trPr>
        <w:tc>
          <w:tcPr>
            <w:tcW w:w="969" w:type="pct"/>
            <w:gridSpan w:val="2"/>
            <w:tcBorders>
              <w:top w:val="single" w:color="000000" w:sz="4" w:space="0"/>
              <w:left w:val="single" w:color="000000" w:sz="4" w:space="0"/>
              <w:bottom w:val="single" w:color="000000" w:sz="4" w:space="0"/>
              <w:right w:val="single" w:color="000000" w:sz="4" w:space="0"/>
            </w:tcBorders>
            <w:noWrap w:val="0"/>
            <w:vAlign w:val="center"/>
          </w:tcPr>
          <w:p w14:paraId="1BB89D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34A7A9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茂县统计局本级</w:t>
            </w:r>
          </w:p>
        </w:tc>
        <w:tc>
          <w:tcPr>
            <w:tcW w:w="498" w:type="pct"/>
            <w:tcBorders>
              <w:top w:val="nil"/>
              <w:left w:val="nil"/>
              <w:bottom w:val="nil"/>
              <w:right w:val="nil"/>
            </w:tcBorders>
            <w:noWrap w:val="0"/>
            <w:vAlign w:val="center"/>
          </w:tcPr>
          <w:p w14:paraId="1092A643">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334" w:type="pct"/>
            <w:gridSpan w:val="3"/>
            <w:tcBorders>
              <w:top w:val="single" w:color="000000" w:sz="4" w:space="0"/>
              <w:left w:val="single" w:color="000000" w:sz="4" w:space="0"/>
              <w:bottom w:val="single" w:color="000000" w:sz="4" w:space="0"/>
              <w:right w:val="single" w:color="000000" w:sz="4" w:space="0"/>
            </w:tcBorders>
            <w:noWrap w:val="0"/>
            <w:vAlign w:val="center"/>
          </w:tcPr>
          <w:p w14:paraId="62D746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茂县统计局</w:t>
            </w:r>
          </w:p>
        </w:tc>
      </w:tr>
      <w:tr w14:paraId="05CFA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178A3C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10E783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2E2E0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4E8E94BD">
            <w:pPr>
              <w:keepNext w:val="0"/>
              <w:keepLines w:val="0"/>
              <w:widowControl/>
              <w:suppressLineNumbers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83BF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9F0A7C4">
            <w:pP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50859894">
            <w:pPr>
              <w:rPr>
                <w:rFonts w:hint="eastAsia" w:ascii="宋体" w:hAnsi="宋体" w:eastAsia="宋体" w:cs="宋体"/>
                <w:i w:val="0"/>
                <w:iCs w:val="0"/>
                <w:color w:val="000000"/>
                <w:sz w:val="18"/>
                <w:szCs w:val="18"/>
                <w:u w:val="none"/>
              </w:rPr>
            </w:pPr>
          </w:p>
        </w:tc>
        <w:tc>
          <w:tcPr>
            <w:tcW w:w="2198" w:type="pct"/>
            <w:gridSpan w:val="5"/>
            <w:tcBorders>
              <w:top w:val="single" w:color="000000" w:sz="4" w:space="0"/>
              <w:left w:val="single" w:color="000000" w:sz="4" w:space="0"/>
              <w:bottom w:val="single" w:color="000000" w:sz="4" w:space="0"/>
              <w:right w:val="single" w:color="000000" w:sz="4" w:space="0"/>
            </w:tcBorders>
            <w:noWrap w:val="0"/>
            <w:vAlign w:val="center"/>
          </w:tcPr>
          <w:p w14:paraId="4F6435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根据《中共阿坝州委办公室、阿坝州人民政府办公室关于进一步加强住户调查和农村贫困监测工作的通知》阿委办〔2019〕38号文件要求；根据《四川统计数据采集处理平台用户管理办法（试行）》和《四川省“一套表”实施方案》要求，为保障我局本年度“一套表”工作顺利开展；根据国务院颁布的《全国经济普查条例》规定，全面调查第二产业和第三产业发展规模、布局和效益，全面摸清经济社会发展状况；根据《阿坝州人民政府关于扎实做好劳动力调查工作的通知》（阿府办发〔2021〕29号）要求和州国调队的统一安排，我县四个社区（内南社区、外南社区、雪花井社区、西岳庙社区）作为劳动力调查样本小区，每月将由调查员入户进行抽样采集调查</w:t>
            </w:r>
          </w:p>
        </w:tc>
        <w:tc>
          <w:tcPr>
            <w:tcW w:w="1832" w:type="pct"/>
            <w:gridSpan w:val="4"/>
            <w:tcBorders>
              <w:top w:val="single" w:color="000000" w:sz="4" w:space="0"/>
              <w:left w:val="single" w:color="000000" w:sz="4" w:space="0"/>
              <w:bottom w:val="single" w:color="000000" w:sz="4" w:space="0"/>
              <w:right w:val="single" w:color="000000" w:sz="4" w:space="0"/>
            </w:tcBorders>
            <w:noWrap w:val="0"/>
            <w:vAlign w:val="center"/>
          </w:tcPr>
          <w:p w14:paraId="449D8389">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统计专项经费合并为一个项目库，本级财政统一拨付经费，确保各项统计业务顺利开展。</w:t>
            </w:r>
          </w:p>
        </w:tc>
      </w:tr>
      <w:tr w14:paraId="67770C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FD4F0B">
            <w:pP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0FA2F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030" w:type="pct"/>
            <w:gridSpan w:val="9"/>
            <w:tcBorders>
              <w:top w:val="single" w:color="000000" w:sz="4" w:space="0"/>
              <w:left w:val="single" w:color="000000" w:sz="4" w:space="0"/>
              <w:bottom w:val="single" w:color="000000" w:sz="4" w:space="0"/>
              <w:right w:val="single" w:color="000000" w:sz="4" w:space="0"/>
            </w:tcBorders>
            <w:noWrap w:val="0"/>
            <w:vAlign w:val="center"/>
          </w:tcPr>
          <w:p w14:paraId="3D35FB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统计专项经费合并为一个项目库，本级财政统一拨付经费，确保各项统计业务顺利开展。</w:t>
            </w:r>
          </w:p>
        </w:tc>
      </w:tr>
      <w:tr w14:paraId="62197B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172B215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024677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50AFC5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1E0C70A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7900429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90CF6D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A10312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5FA0F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1C3DD9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B3E3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A6B8975">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5B5124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54F4C2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F521E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6E9120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F6102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6E4BC5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865B3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vMerge w:val="restart"/>
            <w:tcBorders>
              <w:top w:val="single" w:color="000000" w:sz="4" w:space="0"/>
              <w:left w:val="single" w:color="000000" w:sz="4" w:space="0"/>
              <w:bottom w:val="single" w:color="000000" w:sz="4" w:space="0"/>
              <w:right w:val="single" w:color="000000" w:sz="4" w:space="0"/>
            </w:tcBorders>
            <w:noWrap w:val="0"/>
            <w:vAlign w:val="center"/>
          </w:tcPr>
          <w:p w14:paraId="3421E3AF">
            <w:pPr>
              <w:keepNext w:val="0"/>
              <w:keepLines w:val="0"/>
              <w:widowControl/>
              <w:suppressLineNumbers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1.预算执行率=预算执行数/调整后预算数，预算执行率未达到90%的需说明原因（100字以内）;2.年中发生预算调整的（追加或调减）,应单独说明理由；3.其他资金包括：社会投入资金、银行贷款.</w:t>
            </w:r>
          </w:p>
        </w:tc>
      </w:tr>
      <w:tr w14:paraId="127C93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F514EC6">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444136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65FABE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7AF4BB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49FC94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11.99</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E8F12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2911F2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54B263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16454D84">
            <w:pPr>
              <w:rPr>
                <w:rFonts w:hint="eastAsia" w:ascii="黑体" w:hAnsi="黑体" w:eastAsia="黑体" w:cs="黑体"/>
                <w:i/>
                <w:iCs/>
                <w:color w:val="000000"/>
                <w:sz w:val="18"/>
                <w:szCs w:val="18"/>
                <w:u w:val="none"/>
              </w:rPr>
            </w:pPr>
          </w:p>
        </w:tc>
      </w:tr>
      <w:tr w14:paraId="72EADA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61CCB6A">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336464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1B732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45D8E1E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70D181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04AF0D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1421AE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424CE0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22DF2D04">
            <w:pPr>
              <w:rPr>
                <w:rFonts w:hint="eastAsia" w:ascii="黑体" w:hAnsi="黑体" w:eastAsia="黑体" w:cs="黑体"/>
                <w:i/>
                <w:iCs/>
                <w:color w:val="000000"/>
                <w:sz w:val="18"/>
                <w:szCs w:val="18"/>
                <w:u w:val="none"/>
              </w:rPr>
            </w:pPr>
          </w:p>
        </w:tc>
      </w:tr>
      <w:tr w14:paraId="02622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840B58B">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39FD94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FA9F8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934B0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145792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7168D1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0DB96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62554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8CEB160">
            <w:pPr>
              <w:rPr>
                <w:rFonts w:hint="eastAsia" w:ascii="黑体" w:hAnsi="黑体" w:eastAsia="黑体" w:cs="黑体"/>
                <w:i/>
                <w:iCs/>
                <w:color w:val="000000"/>
                <w:sz w:val="18"/>
                <w:szCs w:val="18"/>
                <w:u w:val="none"/>
              </w:rPr>
            </w:pPr>
          </w:p>
        </w:tc>
      </w:tr>
      <w:tr w14:paraId="02B81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5E0A14D6">
            <w:pPr>
              <w:jc w:val="center"/>
              <w:rPr>
                <w:rFonts w:hint="eastAsia" w:ascii="宋体" w:hAnsi="宋体" w:eastAsia="宋体" w:cs="宋体"/>
                <w:i w:val="0"/>
                <w:iCs w:val="0"/>
                <w:color w:val="000000"/>
                <w:sz w:val="18"/>
                <w:szCs w:val="18"/>
                <w:u w:val="none"/>
              </w:rPr>
            </w:pP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1222EA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4893FC88">
            <w:pPr>
              <w:jc w:val="center"/>
              <w:rPr>
                <w:rFonts w:hint="eastAsia" w:ascii="微软雅黑" w:hAnsi="微软雅黑" w:eastAsia="微软雅黑" w:cs="微软雅黑"/>
                <w:i/>
                <w:iCs/>
                <w:color w:val="000000"/>
                <w:sz w:val="16"/>
                <w:szCs w:val="16"/>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8F69CFA">
            <w:pPr>
              <w:jc w:val="center"/>
              <w:rPr>
                <w:rFonts w:hint="eastAsia" w:ascii="微软雅黑" w:hAnsi="微软雅黑" w:eastAsia="微软雅黑" w:cs="微软雅黑"/>
                <w:i/>
                <w:iCs/>
                <w:color w:val="000000"/>
                <w:sz w:val="16"/>
                <w:szCs w:val="16"/>
                <w:u w:val="none"/>
              </w:rPr>
            </w:pPr>
          </w:p>
        </w:tc>
        <w:tc>
          <w:tcPr>
            <w:tcW w:w="962" w:type="pct"/>
            <w:gridSpan w:val="3"/>
            <w:tcBorders>
              <w:top w:val="single" w:color="000000" w:sz="4" w:space="0"/>
              <w:left w:val="single" w:color="000000" w:sz="4" w:space="0"/>
              <w:bottom w:val="single" w:color="000000" w:sz="4" w:space="0"/>
              <w:right w:val="single" w:color="000000" w:sz="4" w:space="0"/>
            </w:tcBorders>
            <w:noWrap w:val="0"/>
            <w:vAlign w:val="center"/>
          </w:tcPr>
          <w:p w14:paraId="3D4C4063">
            <w:pPr>
              <w:jc w:val="center"/>
              <w:rPr>
                <w:rFonts w:hint="eastAsia" w:ascii="微软雅黑" w:hAnsi="微软雅黑" w:eastAsia="微软雅黑" w:cs="微软雅黑"/>
                <w:i/>
                <w:iCs/>
                <w:color w:val="000000"/>
                <w:sz w:val="16"/>
                <w:szCs w:val="16"/>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2485E7E4">
            <w:pPr>
              <w:jc w:val="center"/>
              <w:rPr>
                <w:rFonts w:hint="eastAsia" w:ascii="微软雅黑" w:hAnsi="微软雅黑" w:eastAsia="微软雅黑" w:cs="微软雅黑"/>
                <w:i/>
                <w:iCs/>
                <w:color w:val="000000"/>
                <w:sz w:val="16"/>
                <w:szCs w:val="16"/>
                <w:u w:val="none"/>
              </w:rPr>
            </w:pP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51036B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66E46B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6" w:type="pct"/>
            <w:vMerge w:val="continue"/>
            <w:tcBorders>
              <w:top w:val="single" w:color="000000" w:sz="4" w:space="0"/>
              <w:left w:val="single" w:color="000000" w:sz="4" w:space="0"/>
              <w:bottom w:val="single" w:color="000000" w:sz="4" w:space="0"/>
              <w:right w:val="single" w:color="000000" w:sz="4" w:space="0"/>
            </w:tcBorders>
            <w:noWrap w:val="0"/>
            <w:vAlign w:val="center"/>
          </w:tcPr>
          <w:p w14:paraId="573E6007">
            <w:pPr>
              <w:rPr>
                <w:rFonts w:hint="eastAsia" w:ascii="黑体" w:hAnsi="黑体" w:eastAsia="黑体" w:cs="黑体"/>
                <w:i/>
                <w:iCs/>
                <w:color w:val="000000"/>
                <w:sz w:val="18"/>
                <w:szCs w:val="18"/>
                <w:u w:val="none"/>
              </w:rPr>
            </w:pPr>
          </w:p>
        </w:tc>
      </w:tr>
      <w:tr w14:paraId="15384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337" w:type="pct"/>
            <w:vMerge w:val="restart"/>
            <w:tcBorders>
              <w:top w:val="single" w:color="000000" w:sz="4" w:space="0"/>
              <w:left w:val="single" w:color="000000" w:sz="4" w:space="0"/>
              <w:bottom w:val="single" w:color="000000" w:sz="4" w:space="0"/>
              <w:right w:val="single" w:color="000000" w:sz="4" w:space="0"/>
            </w:tcBorders>
            <w:noWrap w:val="0"/>
            <w:vAlign w:val="center"/>
          </w:tcPr>
          <w:p w14:paraId="6B6983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631" w:type="pct"/>
            <w:tcBorders>
              <w:top w:val="single" w:color="000000" w:sz="4" w:space="0"/>
              <w:left w:val="single" w:color="000000" w:sz="4" w:space="0"/>
              <w:bottom w:val="single" w:color="000000" w:sz="4" w:space="0"/>
              <w:right w:val="single" w:color="000000" w:sz="4" w:space="0"/>
            </w:tcBorders>
            <w:noWrap w:val="0"/>
            <w:vAlign w:val="center"/>
          </w:tcPr>
          <w:p w14:paraId="728D91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2FD6A57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26DBA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D8C34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52892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65310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63C11A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3CBFC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923C4E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54D0B02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2CCCB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519504C">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7571D48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30" w:type="pct"/>
            <w:vMerge w:val="restart"/>
            <w:tcBorders>
              <w:top w:val="single" w:color="000000" w:sz="4" w:space="0"/>
              <w:left w:val="single" w:color="000000" w:sz="4" w:space="0"/>
              <w:bottom w:val="single" w:color="000000" w:sz="4" w:space="0"/>
              <w:right w:val="single" w:color="000000" w:sz="4" w:space="0"/>
            </w:tcBorders>
            <w:noWrap w:val="0"/>
            <w:vAlign w:val="center"/>
          </w:tcPr>
          <w:p w14:paraId="12CEA0D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403A3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涉及经费共聘请相关业务人员</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45D14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77B078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731721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92ED666">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215C0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D7ABF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B0B0386">
            <w:pPr>
              <w:jc w:val="center"/>
              <w:rPr>
                <w:rFonts w:hint="eastAsia" w:ascii="微软雅黑" w:hAnsi="微软雅黑" w:eastAsia="微软雅黑" w:cs="微软雅黑"/>
                <w:i/>
                <w:iCs/>
                <w:color w:val="000000"/>
                <w:sz w:val="16"/>
                <w:szCs w:val="16"/>
                <w:u w:val="none"/>
              </w:rPr>
            </w:pPr>
          </w:p>
        </w:tc>
      </w:tr>
      <w:tr w14:paraId="6960D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A6F71BF">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B895D7">
            <w:pPr>
              <w:jc w:val="center"/>
              <w:rPr>
                <w:rFonts w:hint="eastAsia" w:ascii="宋体" w:hAnsi="宋体" w:eastAsia="宋体" w:cs="宋体"/>
                <w:i w:val="0"/>
                <w:iCs w:val="0"/>
                <w:color w:val="000000"/>
                <w:sz w:val="18"/>
                <w:szCs w:val="18"/>
                <w:u w:val="none"/>
              </w:rPr>
            </w:pPr>
          </w:p>
        </w:tc>
        <w:tc>
          <w:tcPr>
            <w:tcW w:w="530" w:type="pct"/>
            <w:vMerge w:val="continue"/>
            <w:tcBorders>
              <w:top w:val="single" w:color="000000" w:sz="4" w:space="0"/>
              <w:left w:val="single" w:color="000000" w:sz="4" w:space="0"/>
              <w:bottom w:val="single" w:color="000000" w:sz="4" w:space="0"/>
              <w:right w:val="single" w:color="000000" w:sz="4" w:space="0"/>
            </w:tcBorders>
            <w:noWrap w:val="0"/>
            <w:vAlign w:val="center"/>
          </w:tcPr>
          <w:p w14:paraId="7EEF2256">
            <w:pPr>
              <w:jc w:val="center"/>
              <w:rPr>
                <w:rFonts w:hint="eastAsia" w:ascii="宋体" w:hAnsi="宋体" w:eastAsia="宋体" w:cs="宋体"/>
                <w:i w:val="0"/>
                <w:iCs w:val="0"/>
                <w:color w:val="000000"/>
                <w:sz w:val="18"/>
                <w:szCs w:val="18"/>
                <w:u w:val="none"/>
              </w:rPr>
            </w:pP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E3B80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一套表联网直报基层报表人员</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A1678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60D499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37C00E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36A78211">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100</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5DBEF1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C01049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BE2CB72">
            <w:pPr>
              <w:jc w:val="center"/>
              <w:rPr>
                <w:rFonts w:hint="eastAsia" w:ascii="微软雅黑" w:hAnsi="微软雅黑" w:eastAsia="微软雅黑" w:cs="微软雅黑"/>
                <w:i/>
                <w:iCs/>
                <w:color w:val="000000"/>
                <w:sz w:val="16"/>
                <w:szCs w:val="16"/>
                <w:u w:val="none"/>
              </w:rPr>
            </w:pPr>
          </w:p>
        </w:tc>
      </w:tr>
      <w:tr w14:paraId="32D9E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33CA369F">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0A9874DC">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FD299E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3A0C6A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核算数据正确率</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05B861B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4FD10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A3C4CE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0D590EE3">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95</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0EE017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15FC42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2110E6D7">
            <w:pPr>
              <w:jc w:val="center"/>
              <w:rPr>
                <w:rFonts w:hint="eastAsia" w:ascii="微软雅黑" w:hAnsi="微软雅黑" w:eastAsia="微软雅黑" w:cs="微软雅黑"/>
                <w:i/>
                <w:iCs/>
                <w:color w:val="000000"/>
                <w:sz w:val="16"/>
                <w:szCs w:val="16"/>
                <w:u w:val="none"/>
              </w:rPr>
            </w:pPr>
          </w:p>
        </w:tc>
      </w:tr>
      <w:tr w14:paraId="191BC6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47BAA138">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CE01EFF">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4A12F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22BC4D3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一套表联网直报工作制度。</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1C5F3C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565015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71B10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次/年</w:t>
            </w: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4767C817">
            <w:pPr>
              <w:keepNext w:val="0"/>
              <w:keepLines w:val="0"/>
              <w:widowControl/>
              <w:suppressLineNumbers w:val="0"/>
              <w:jc w:val="center"/>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12</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7D43A97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45CB03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DCA6464">
            <w:pPr>
              <w:jc w:val="center"/>
              <w:rPr>
                <w:rFonts w:hint="eastAsia" w:ascii="微软雅黑" w:hAnsi="微软雅黑" w:eastAsia="微软雅黑" w:cs="微软雅黑"/>
                <w:i/>
                <w:iCs/>
                <w:color w:val="000000"/>
                <w:sz w:val="16"/>
                <w:szCs w:val="16"/>
                <w:u w:val="none"/>
              </w:rPr>
            </w:pPr>
          </w:p>
        </w:tc>
      </w:tr>
      <w:tr w14:paraId="2B5E40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A0968F2">
            <w:pPr>
              <w:jc w:val="center"/>
              <w:rPr>
                <w:rFonts w:hint="eastAsia" w:ascii="宋体" w:hAnsi="宋体" w:eastAsia="宋体" w:cs="宋体"/>
                <w:i w:val="0"/>
                <w:iCs w:val="0"/>
                <w:color w:val="000000"/>
                <w:sz w:val="18"/>
                <w:szCs w:val="18"/>
                <w:u w:val="none"/>
              </w:rPr>
            </w:pPr>
          </w:p>
        </w:tc>
        <w:tc>
          <w:tcPr>
            <w:tcW w:w="631" w:type="pct"/>
            <w:vMerge w:val="restart"/>
            <w:tcBorders>
              <w:top w:val="single" w:color="000000" w:sz="4" w:space="0"/>
              <w:left w:val="single" w:color="000000" w:sz="4" w:space="0"/>
              <w:bottom w:val="single" w:color="000000" w:sz="4" w:space="0"/>
              <w:right w:val="single" w:color="000000" w:sz="4" w:space="0"/>
            </w:tcBorders>
            <w:noWrap w:val="0"/>
            <w:vAlign w:val="center"/>
          </w:tcPr>
          <w:p w14:paraId="7498954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36B9105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66DABE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劳动力调查通过了解失业情况，提供调查数据，便于制度政策促进就业</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2A5A6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055435D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进一步促进就业</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F382FB0">
            <w:pPr>
              <w:jc w:val="center"/>
              <w:rPr>
                <w:rFonts w:hint="eastAsia" w:ascii="宋体" w:hAnsi="宋体" w:eastAsia="宋体" w:cs="宋体"/>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7BC6D6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进一步促进就业</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0EC370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79FAE0F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6F00BDE9">
            <w:pPr>
              <w:jc w:val="center"/>
              <w:rPr>
                <w:rFonts w:hint="eastAsia" w:ascii="微软雅黑" w:hAnsi="微软雅黑" w:eastAsia="微软雅黑" w:cs="微软雅黑"/>
                <w:i/>
                <w:iCs/>
                <w:color w:val="000000"/>
                <w:sz w:val="16"/>
                <w:szCs w:val="16"/>
                <w:u w:val="none"/>
              </w:rPr>
            </w:pPr>
          </w:p>
        </w:tc>
      </w:tr>
      <w:tr w14:paraId="086D7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2F82D74F">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3B8357CF">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028A625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00D0E3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提升数据质量，促进各行业健康发展、实现区域经济稳定增长</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3E2688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18AFAE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进一步促进</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214D331">
            <w:pPr>
              <w:jc w:val="center"/>
              <w:rPr>
                <w:rFonts w:hint="eastAsia" w:ascii="宋体" w:hAnsi="宋体" w:eastAsia="宋体" w:cs="宋体"/>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5CFAF9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进一步促进</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4C953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107A12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0343F04D">
            <w:pPr>
              <w:jc w:val="center"/>
              <w:rPr>
                <w:rFonts w:hint="eastAsia" w:ascii="微软雅黑" w:hAnsi="微软雅黑" w:eastAsia="微软雅黑" w:cs="微软雅黑"/>
                <w:i/>
                <w:iCs/>
                <w:color w:val="000000"/>
                <w:sz w:val="16"/>
                <w:szCs w:val="16"/>
                <w:u w:val="none"/>
              </w:rPr>
            </w:pPr>
          </w:p>
        </w:tc>
      </w:tr>
      <w:tr w14:paraId="3D6FA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337" w:type="pct"/>
            <w:vMerge w:val="continue"/>
            <w:tcBorders>
              <w:top w:val="single" w:color="000000" w:sz="4" w:space="0"/>
              <w:left w:val="single" w:color="000000" w:sz="4" w:space="0"/>
              <w:bottom w:val="single" w:color="000000" w:sz="4" w:space="0"/>
              <w:right w:val="single" w:color="000000" w:sz="4" w:space="0"/>
            </w:tcBorders>
            <w:noWrap w:val="0"/>
            <w:vAlign w:val="center"/>
          </w:tcPr>
          <w:p w14:paraId="72BCB8C3">
            <w:pPr>
              <w:jc w:val="center"/>
              <w:rPr>
                <w:rFonts w:hint="eastAsia" w:ascii="宋体" w:hAnsi="宋体" w:eastAsia="宋体" w:cs="宋体"/>
                <w:i w:val="0"/>
                <w:iCs w:val="0"/>
                <w:color w:val="000000"/>
                <w:sz w:val="18"/>
                <w:szCs w:val="18"/>
                <w:u w:val="none"/>
              </w:rPr>
            </w:pPr>
          </w:p>
        </w:tc>
        <w:tc>
          <w:tcPr>
            <w:tcW w:w="631" w:type="pct"/>
            <w:vMerge w:val="continue"/>
            <w:tcBorders>
              <w:top w:val="single" w:color="000000" w:sz="4" w:space="0"/>
              <w:left w:val="single" w:color="000000" w:sz="4" w:space="0"/>
              <w:bottom w:val="single" w:color="000000" w:sz="4" w:space="0"/>
              <w:right w:val="single" w:color="000000" w:sz="4" w:space="0"/>
            </w:tcBorders>
            <w:noWrap w:val="0"/>
            <w:vAlign w:val="center"/>
          </w:tcPr>
          <w:p w14:paraId="6B530462">
            <w:pPr>
              <w:jc w:val="center"/>
              <w:rPr>
                <w:rFonts w:hint="eastAsia" w:ascii="宋体" w:hAnsi="宋体" w:eastAsia="宋体" w:cs="宋体"/>
                <w:i w:val="0"/>
                <w:iCs w:val="0"/>
                <w:color w:val="000000"/>
                <w:sz w:val="18"/>
                <w:szCs w:val="18"/>
                <w:u w:val="none"/>
              </w:rPr>
            </w:pPr>
          </w:p>
        </w:tc>
        <w:tc>
          <w:tcPr>
            <w:tcW w:w="530" w:type="pct"/>
            <w:tcBorders>
              <w:top w:val="single" w:color="000000" w:sz="4" w:space="0"/>
              <w:left w:val="single" w:color="000000" w:sz="4" w:space="0"/>
              <w:bottom w:val="single" w:color="000000" w:sz="4" w:space="0"/>
              <w:right w:val="single" w:color="000000" w:sz="4" w:space="0"/>
            </w:tcBorders>
            <w:noWrap w:val="0"/>
            <w:vAlign w:val="center"/>
          </w:tcPr>
          <w:p w14:paraId="7978B7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705" w:type="pct"/>
            <w:tcBorders>
              <w:top w:val="single" w:color="000000" w:sz="4" w:space="0"/>
              <w:left w:val="single" w:color="000000" w:sz="4" w:space="0"/>
              <w:bottom w:val="single" w:color="000000" w:sz="4" w:space="0"/>
              <w:right w:val="single" w:color="000000" w:sz="4" w:space="0"/>
            </w:tcBorders>
            <w:noWrap w:val="0"/>
            <w:vAlign w:val="center"/>
          </w:tcPr>
          <w:p w14:paraId="5E721BE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持续统计保障能力</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27D935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6" w:type="pct"/>
            <w:tcBorders>
              <w:top w:val="single" w:color="000000" w:sz="4" w:space="0"/>
              <w:left w:val="single" w:color="000000" w:sz="4" w:space="0"/>
              <w:bottom w:val="single" w:color="000000" w:sz="4" w:space="0"/>
              <w:right w:val="single" w:color="000000" w:sz="4" w:space="0"/>
            </w:tcBorders>
            <w:noWrap w:val="0"/>
            <w:vAlign w:val="center"/>
          </w:tcPr>
          <w:p w14:paraId="66566E6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长久</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4E9E81D5">
            <w:pPr>
              <w:jc w:val="center"/>
              <w:rPr>
                <w:rFonts w:hint="eastAsia" w:ascii="宋体" w:hAnsi="宋体" w:eastAsia="宋体" w:cs="宋体"/>
                <w:i w:val="0"/>
                <w:iCs w:val="0"/>
                <w:color w:val="000000"/>
                <w:sz w:val="18"/>
                <w:szCs w:val="18"/>
                <w:u w:val="none"/>
              </w:rPr>
            </w:pPr>
          </w:p>
        </w:tc>
        <w:tc>
          <w:tcPr>
            <w:tcW w:w="498" w:type="pct"/>
            <w:tcBorders>
              <w:top w:val="single" w:color="000000" w:sz="4" w:space="0"/>
              <w:left w:val="single" w:color="000000" w:sz="4" w:space="0"/>
              <w:bottom w:val="single" w:color="000000" w:sz="4" w:space="0"/>
              <w:right w:val="single" w:color="000000" w:sz="4" w:space="0"/>
            </w:tcBorders>
            <w:noWrap w:val="0"/>
            <w:vAlign w:val="center"/>
          </w:tcPr>
          <w:p w14:paraId="1803EA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长久</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2A433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56E2D5B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4944AA27">
            <w:pPr>
              <w:jc w:val="center"/>
              <w:rPr>
                <w:rFonts w:hint="eastAsia" w:ascii="微软雅黑" w:hAnsi="微软雅黑" w:eastAsia="微软雅黑" w:cs="微软雅黑"/>
                <w:i/>
                <w:iCs/>
                <w:color w:val="000000"/>
                <w:sz w:val="16"/>
                <w:szCs w:val="16"/>
                <w:u w:val="none"/>
              </w:rPr>
            </w:pPr>
          </w:p>
        </w:tc>
      </w:tr>
      <w:tr w14:paraId="48182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3665" w:type="pct"/>
            <w:gridSpan w:val="8"/>
            <w:tcBorders>
              <w:top w:val="single" w:color="000000" w:sz="4" w:space="0"/>
              <w:left w:val="single" w:color="000000" w:sz="4" w:space="0"/>
              <w:bottom w:val="single" w:color="000000" w:sz="4" w:space="0"/>
              <w:right w:val="single" w:color="000000" w:sz="4" w:space="0"/>
            </w:tcBorders>
            <w:noWrap w:val="0"/>
            <w:vAlign w:val="center"/>
          </w:tcPr>
          <w:p w14:paraId="3CCA3FE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285" w:type="pct"/>
            <w:tcBorders>
              <w:top w:val="single" w:color="000000" w:sz="4" w:space="0"/>
              <w:left w:val="single" w:color="000000" w:sz="4" w:space="0"/>
              <w:bottom w:val="single" w:color="000000" w:sz="4" w:space="0"/>
              <w:right w:val="single" w:color="000000" w:sz="4" w:space="0"/>
            </w:tcBorders>
            <w:noWrap w:val="0"/>
            <w:vAlign w:val="center"/>
          </w:tcPr>
          <w:p w14:paraId="42C58F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32" w:type="pct"/>
            <w:tcBorders>
              <w:top w:val="single" w:color="000000" w:sz="4" w:space="0"/>
              <w:left w:val="single" w:color="000000" w:sz="4" w:space="0"/>
              <w:bottom w:val="single" w:color="000000" w:sz="4" w:space="0"/>
              <w:right w:val="single" w:color="000000" w:sz="4" w:space="0"/>
            </w:tcBorders>
            <w:noWrap w:val="0"/>
            <w:vAlign w:val="center"/>
          </w:tcPr>
          <w:p w14:paraId="6C67FE6C">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816" w:type="pct"/>
            <w:tcBorders>
              <w:top w:val="single" w:color="000000" w:sz="4" w:space="0"/>
              <w:left w:val="single" w:color="000000" w:sz="4" w:space="0"/>
              <w:bottom w:val="single" w:color="000000" w:sz="4" w:space="0"/>
              <w:right w:val="single" w:color="000000" w:sz="4" w:space="0"/>
            </w:tcBorders>
            <w:noWrap w:val="0"/>
            <w:vAlign w:val="center"/>
          </w:tcPr>
          <w:p w14:paraId="71679928">
            <w:pPr>
              <w:rPr>
                <w:rFonts w:hint="eastAsia" w:ascii="宋体" w:hAnsi="宋体" w:eastAsia="宋体" w:cs="宋体"/>
                <w:i w:val="0"/>
                <w:iCs w:val="0"/>
                <w:color w:val="000000"/>
                <w:sz w:val="18"/>
                <w:szCs w:val="18"/>
                <w:u w:val="none"/>
              </w:rPr>
            </w:pPr>
          </w:p>
        </w:tc>
      </w:tr>
      <w:tr w14:paraId="6513D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5E4330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22BE67A4">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该项目预算执行情况自评得分10分，绩效指标得分98分，确保各项统计业务顺利开展。</w:t>
            </w:r>
          </w:p>
        </w:tc>
      </w:tr>
      <w:tr w14:paraId="1E2D9D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0BBA03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4FCF26E8">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CB124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37" w:type="pct"/>
            <w:tcBorders>
              <w:top w:val="single" w:color="000000" w:sz="4" w:space="0"/>
              <w:left w:val="single" w:color="000000" w:sz="4" w:space="0"/>
              <w:bottom w:val="single" w:color="000000" w:sz="4" w:space="0"/>
              <w:right w:val="single" w:color="000000" w:sz="4" w:space="0"/>
            </w:tcBorders>
            <w:noWrap w:val="0"/>
            <w:vAlign w:val="center"/>
          </w:tcPr>
          <w:p w14:paraId="4279F1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62" w:type="pct"/>
            <w:gridSpan w:val="10"/>
            <w:tcBorders>
              <w:top w:val="single" w:color="000000" w:sz="4" w:space="0"/>
              <w:left w:val="single" w:color="000000" w:sz="4" w:space="0"/>
              <w:bottom w:val="single" w:color="000000" w:sz="4" w:space="0"/>
              <w:right w:val="single" w:color="000000" w:sz="4" w:space="0"/>
            </w:tcBorders>
            <w:noWrap w:val="0"/>
            <w:vAlign w:val="center"/>
          </w:tcPr>
          <w:p w14:paraId="37BDA0C2">
            <w:pPr>
              <w:keepNext w:val="0"/>
              <w:keepLines w:val="0"/>
              <w:widowControl/>
              <w:suppressLineNumbers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32DBE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7" w:type="pct"/>
            <w:gridSpan w:val="5"/>
            <w:tcBorders>
              <w:top w:val="single" w:color="000000" w:sz="4" w:space="0"/>
              <w:left w:val="single" w:color="000000" w:sz="4" w:space="0"/>
              <w:bottom w:val="single" w:color="000000" w:sz="4" w:space="0"/>
              <w:right w:val="single" w:color="000000" w:sz="4" w:space="0"/>
            </w:tcBorders>
            <w:noWrap w:val="0"/>
            <w:vAlign w:val="center"/>
          </w:tcPr>
          <w:p w14:paraId="3CFA421B">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项目负责人：陈邦丽、赵秀云</w:t>
            </w:r>
          </w:p>
        </w:tc>
        <w:tc>
          <w:tcPr>
            <w:tcW w:w="2562" w:type="pct"/>
            <w:gridSpan w:val="6"/>
            <w:tcBorders>
              <w:top w:val="single" w:color="000000" w:sz="4" w:space="0"/>
              <w:left w:val="single" w:color="000000" w:sz="4" w:space="0"/>
              <w:bottom w:val="single" w:color="000000" w:sz="4" w:space="0"/>
              <w:right w:val="single" w:color="000000" w:sz="4" w:space="0"/>
            </w:tcBorders>
            <w:noWrap w:val="0"/>
            <w:vAlign w:val="center"/>
          </w:tcPr>
          <w:p w14:paraId="6C656544">
            <w:pPr>
              <w:keepNext w:val="0"/>
              <w:keepLines w:val="0"/>
              <w:widowControl/>
              <w:suppressLineNumbers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财务负责人：赵秀云</w:t>
            </w:r>
          </w:p>
        </w:tc>
      </w:tr>
    </w:tbl>
    <w:p w14:paraId="287B29A7">
      <w:pPr>
        <w:pStyle w:val="3"/>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eastAsia="仿宋_GB2312" w:cs="Times New Roman"/>
          <w:kern w:val="2"/>
          <w:sz w:val="32"/>
          <w:szCs w:val="32"/>
          <w:u w:val="none"/>
          <w:lang w:val="zh-CN" w:eastAsia="zh-CN"/>
        </w:rPr>
      </w:pPr>
    </w:p>
    <w:p w14:paraId="73DCB816">
      <w:pPr>
        <w:pStyle w:val="3"/>
        <w:keepNext w:val="0"/>
        <w:keepLines w:val="0"/>
        <w:pageBreakBefore w:val="0"/>
        <w:widowControl w:val="0"/>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260284E5">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21AADE84">
      <w:pPr>
        <w:pStyle w:val="9"/>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49EFDD8D">
      <w:pPr>
        <w:pStyle w:val="30"/>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611A9615">
      <w:pPr>
        <w:pStyle w:val="30"/>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w:t>
      </w:r>
    </w:p>
    <w:p w14:paraId="0D43F015">
      <w:pPr>
        <w:pStyle w:val="30"/>
        <w:keepNext w:val="0"/>
        <w:keepLines w:val="0"/>
        <w:pageBreakBefore w:val="0"/>
        <w:widowControl w:val="0"/>
        <w:kinsoku/>
        <w:wordWrap/>
        <w:overflowPunct/>
        <w:topLinePunct w:val="0"/>
        <w:autoSpaceDE/>
        <w:autoSpaceDN/>
        <w:bidi w:val="0"/>
        <w:spacing w:line="578" w:lineRule="exact"/>
        <w:ind w:left="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09465B4A">
      <w:pPr>
        <w:keepNext/>
        <w:keepLines/>
        <w:widowControl w:val="0"/>
        <w:spacing w:before="280" w:after="156" w:line="377" w:lineRule="auto"/>
        <w:jc w:val="center"/>
        <w:outlineLvl w:val="4"/>
        <w:rPr>
          <w:rFonts w:hint="default" w:ascii="Arial" w:hAnsi="Arial" w:eastAsia="黑体" w:cs="Times New Roman"/>
          <w:b/>
          <w:kern w:val="2"/>
          <w:sz w:val="24"/>
          <w:szCs w:val="28"/>
          <w:lang w:val="en-US" w:eastAsia="zh-CN" w:bidi="ar-SA"/>
        </w:rPr>
      </w:pPr>
      <w:r>
        <w:rPr>
          <w:rFonts w:hint="eastAsia" w:ascii="Arial" w:hAnsi="Arial" w:eastAsia="仿宋_GB2312" w:cs="Times New Roman"/>
          <w:b w:val="0"/>
          <w:bCs w:val="0"/>
          <w:kern w:val="0"/>
          <w:position w:val="0"/>
          <w:sz w:val="32"/>
          <w:szCs w:val="32"/>
          <w:highlight w:val="none"/>
          <w:lang w:val="en-US" w:eastAsia="zh-CN" w:bidi="ar-SA"/>
        </w:rPr>
        <w:t>（本部门不涉及此类项目）</w:t>
      </w:r>
    </w:p>
    <w:p w14:paraId="60E3ABCC">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7F47ECC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79"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492AB70F">
      <w:pPr>
        <w:widowControl/>
        <w:jc w:val="center"/>
        <w:outlineLvl w:val="0"/>
        <w:rPr>
          <w:rFonts w:hint="eastAsia" w:ascii="Times New Roman" w:hAnsi="Times New Roman" w:eastAsia="仿宋"/>
          <w:b w:val="0"/>
          <w:color w:val="auto"/>
          <w:highlight w:val="none"/>
        </w:rPr>
      </w:pPr>
      <w:bookmarkStart w:id="80" w:name="_Toc26322"/>
      <w:r>
        <w:rPr>
          <w:rFonts w:hint="eastAsia" w:ascii="Times New Roman" w:hAnsi="Times New Roman" w:eastAsia="黑体"/>
          <w:color w:val="auto"/>
          <w:sz w:val="44"/>
          <w:szCs w:val="44"/>
          <w:highlight w:val="none"/>
        </w:rPr>
        <w:t>第</w:t>
      </w:r>
      <w:r>
        <w:rPr>
          <w:rStyle w:val="20"/>
          <w:rFonts w:hint="eastAsia" w:ascii="Times New Roman" w:hAnsi="Times New Roman" w:eastAsia="黑体"/>
          <w:b w:val="0"/>
          <w:color w:val="auto"/>
          <w:highlight w:val="none"/>
        </w:rPr>
        <w:t>五部分 附表</w:t>
      </w:r>
      <w:bookmarkEnd w:id="75"/>
      <w:bookmarkEnd w:id="79"/>
      <w:bookmarkEnd w:id="80"/>
      <w:bookmarkStart w:id="81" w:name="_Toc15396619"/>
    </w:p>
    <w:p w14:paraId="23BF7BE7">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60A2AEB0">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81"/>
    </w:p>
    <w:p w14:paraId="3228E0FD">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2" w:name="_Toc15396620"/>
      <w:r>
        <w:rPr>
          <w:rFonts w:hint="eastAsia" w:ascii="Times New Roman" w:hAnsi="Times New Roman" w:eastAsia="仿宋_GB2312" w:cs="仿宋_GB2312"/>
          <w:color w:val="auto"/>
          <w:sz w:val="32"/>
          <w:szCs w:val="32"/>
          <w:highlight w:val="none"/>
        </w:rPr>
        <w:t>二、收入决算表</w:t>
      </w:r>
      <w:bookmarkEnd w:id="82"/>
    </w:p>
    <w:p w14:paraId="2D9FB230">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3" w:name="_Toc15396621"/>
      <w:r>
        <w:rPr>
          <w:rFonts w:hint="eastAsia" w:ascii="Times New Roman" w:hAnsi="Times New Roman" w:eastAsia="仿宋_GB2312" w:cs="仿宋_GB2312"/>
          <w:color w:val="auto"/>
          <w:sz w:val="32"/>
          <w:szCs w:val="32"/>
          <w:highlight w:val="none"/>
        </w:rPr>
        <w:t>三、支出决算表</w:t>
      </w:r>
      <w:bookmarkEnd w:id="83"/>
    </w:p>
    <w:p w14:paraId="11F8A04A">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4" w:name="_Toc15396622"/>
      <w:r>
        <w:rPr>
          <w:rFonts w:hint="eastAsia" w:ascii="Times New Roman" w:hAnsi="Times New Roman" w:eastAsia="仿宋_GB2312" w:cs="仿宋_GB2312"/>
          <w:color w:val="auto"/>
          <w:sz w:val="32"/>
          <w:szCs w:val="32"/>
          <w:highlight w:val="none"/>
        </w:rPr>
        <w:t>四、财政拨款收入支出决算总表</w:t>
      </w:r>
      <w:bookmarkEnd w:id="84"/>
    </w:p>
    <w:p w14:paraId="005AB0D0">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5" w:name="_Toc15396623"/>
      <w:r>
        <w:rPr>
          <w:rFonts w:hint="eastAsia" w:ascii="Times New Roman" w:hAnsi="Times New Roman" w:eastAsia="仿宋_GB2312" w:cs="仿宋_GB2312"/>
          <w:color w:val="auto"/>
          <w:sz w:val="32"/>
          <w:szCs w:val="32"/>
          <w:highlight w:val="none"/>
        </w:rPr>
        <w:t>五、财政拨款支出决算明细表</w:t>
      </w:r>
      <w:bookmarkEnd w:id="85"/>
      <w:bookmarkStart w:id="86" w:name="_Toc15396624"/>
    </w:p>
    <w:p w14:paraId="064CA074">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86"/>
    </w:p>
    <w:p w14:paraId="4A2EC91F">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7" w:name="_Toc15396625"/>
      <w:r>
        <w:rPr>
          <w:rFonts w:hint="eastAsia" w:ascii="Times New Roman" w:hAnsi="Times New Roman" w:eastAsia="仿宋_GB2312" w:cs="仿宋_GB2312"/>
          <w:color w:val="auto"/>
          <w:sz w:val="32"/>
          <w:szCs w:val="32"/>
          <w:highlight w:val="none"/>
        </w:rPr>
        <w:t>七、一般公共预算财政拨款支出决算明细表</w:t>
      </w:r>
      <w:bookmarkEnd w:id="87"/>
    </w:p>
    <w:p w14:paraId="1C1B9133">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8" w:name="_Toc15396626"/>
      <w:r>
        <w:rPr>
          <w:rFonts w:hint="eastAsia" w:ascii="Times New Roman" w:hAnsi="Times New Roman" w:eastAsia="仿宋_GB2312" w:cs="仿宋_GB2312"/>
          <w:color w:val="auto"/>
          <w:sz w:val="32"/>
          <w:szCs w:val="32"/>
          <w:highlight w:val="none"/>
        </w:rPr>
        <w:t>八、一般公共预算财政拨款基本支出决算表</w:t>
      </w:r>
      <w:bookmarkEnd w:id="88"/>
    </w:p>
    <w:p w14:paraId="660B9425">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89" w:name="_Toc15396627"/>
      <w:r>
        <w:rPr>
          <w:rFonts w:hint="eastAsia" w:ascii="Times New Roman" w:hAnsi="Times New Roman" w:eastAsia="仿宋_GB2312" w:cs="仿宋_GB2312"/>
          <w:color w:val="auto"/>
          <w:sz w:val="32"/>
          <w:szCs w:val="32"/>
          <w:highlight w:val="none"/>
        </w:rPr>
        <w:t>九、一般公共预算财政拨款项目支出决算表</w:t>
      </w:r>
      <w:bookmarkEnd w:id="89"/>
    </w:p>
    <w:p w14:paraId="6377EAB0">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0" w:name="_Toc15396628"/>
      <w:r>
        <w:rPr>
          <w:rFonts w:hint="eastAsia" w:ascii="Times New Roman" w:hAnsi="Times New Roman" w:eastAsia="仿宋_GB2312" w:cs="仿宋_GB2312"/>
          <w:color w:val="auto"/>
          <w:sz w:val="32"/>
          <w:szCs w:val="32"/>
          <w:highlight w:val="none"/>
        </w:rPr>
        <w:t>十、</w:t>
      </w:r>
      <w:bookmarkEnd w:id="90"/>
      <w:r>
        <w:rPr>
          <w:rFonts w:hint="eastAsia" w:ascii="Times New Roman" w:hAnsi="Times New Roman" w:eastAsia="仿宋_GB2312" w:cs="仿宋_GB2312"/>
          <w:color w:val="auto"/>
          <w:sz w:val="32"/>
          <w:szCs w:val="32"/>
          <w:highlight w:val="none"/>
        </w:rPr>
        <w:t>政府性基金预算财政拨款收入支出决算表</w:t>
      </w:r>
    </w:p>
    <w:p w14:paraId="609911B7">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1" w:name="_Toc15396629"/>
      <w:r>
        <w:rPr>
          <w:rFonts w:hint="eastAsia" w:ascii="Times New Roman" w:hAnsi="Times New Roman" w:eastAsia="仿宋_GB2312" w:cs="仿宋_GB2312"/>
          <w:color w:val="auto"/>
          <w:sz w:val="32"/>
          <w:szCs w:val="32"/>
          <w:highlight w:val="none"/>
        </w:rPr>
        <w:t>十一、</w:t>
      </w:r>
      <w:bookmarkEnd w:id="91"/>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6B491C27">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92" w:name="_Toc15396630"/>
      <w:r>
        <w:rPr>
          <w:rFonts w:hint="eastAsia" w:ascii="Times New Roman" w:hAnsi="Times New Roman" w:eastAsia="仿宋_GB2312" w:cs="仿宋_GB2312"/>
          <w:color w:val="auto"/>
          <w:sz w:val="32"/>
          <w:szCs w:val="32"/>
          <w:highlight w:val="none"/>
        </w:rPr>
        <w:t>十二、</w:t>
      </w:r>
      <w:bookmarkEnd w:id="92"/>
      <w:r>
        <w:rPr>
          <w:rFonts w:hint="eastAsia" w:ascii="Times New Roman" w:hAnsi="Times New Roman" w:eastAsia="仿宋_GB2312" w:cs="仿宋_GB2312"/>
          <w:color w:val="auto"/>
          <w:sz w:val="32"/>
          <w:szCs w:val="32"/>
          <w:highlight w:val="none"/>
          <w:lang w:eastAsia="zh-CN"/>
        </w:rPr>
        <w:t>国有资本经营预算财政拨款支出决算表</w:t>
      </w:r>
    </w:p>
    <w:p w14:paraId="4DDF147F">
      <w:pPr>
        <w:pStyle w:val="15"/>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93" w:name="_Toc15396631"/>
      <w:r>
        <w:rPr>
          <w:rFonts w:hint="eastAsia" w:ascii="Times New Roman" w:hAnsi="Times New Roman" w:eastAsia="仿宋_GB2312" w:cs="仿宋_GB2312"/>
          <w:color w:val="auto"/>
          <w:sz w:val="32"/>
          <w:szCs w:val="32"/>
          <w:highlight w:val="none"/>
        </w:rPr>
        <w:t>十三、</w:t>
      </w:r>
      <w:bookmarkEnd w:id="93"/>
      <w:r>
        <w:rPr>
          <w:rFonts w:hint="eastAsia" w:ascii="Times New Roman" w:hAnsi="Times New Roman" w:eastAsia="仿宋_GB2312" w:cs="仿宋_GB2312"/>
          <w:color w:val="auto"/>
          <w:sz w:val="32"/>
          <w:szCs w:val="32"/>
          <w:highlight w:val="none"/>
          <w:lang w:eastAsia="zh-CN"/>
        </w:rPr>
        <w:t>财政拨款“三公”经费支出决算表</w:t>
      </w:r>
    </w:p>
    <w:p w14:paraId="53870E61">
      <w:pPr>
        <w:rPr>
          <w:rFonts w:hint="eastAsia" w:ascii="Times New Roman" w:hAnsi="Times New Roman"/>
          <w:lang w:eastAsia="zh-CN"/>
        </w:rPr>
      </w:pPr>
    </w:p>
    <w:sectPr>
      <w:footerReference r:id="rId9" w:type="first"/>
      <w:footerReference r:id="rId8"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1030101010101"/>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BAB35">
    <w:pPr>
      <w:pStyle w:val="12"/>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785" cy="139700"/>
              <wp:effectExtent l="0" t="0" r="0" b="0"/>
              <wp:wrapNone/>
              <wp:docPr id="1" name="文本框 2"/>
              <wp:cNvGraphicFramePr/>
              <a:graphic xmlns:a="http://schemas.openxmlformats.org/drawingml/2006/main">
                <a:graphicData uri="http://schemas.microsoft.com/office/word/2010/wordprocessingShape">
                  <wps:wsp>
                    <wps:cNvSpPr/>
                    <wps:spPr>
                      <a:xfrm>
                        <a:off x="0" y="0"/>
                        <a:ext cx="57950" cy="139560"/>
                      </a:xfrm>
                      <a:prstGeom prst="rect">
                        <a:avLst/>
                      </a:prstGeom>
                      <a:noFill/>
                      <a:ln w="6350" cap="flat" cmpd="sng">
                        <a:noFill/>
                        <a:prstDash val="solid"/>
                        <a:round/>
                      </a:ln>
                    </wps:spPr>
                    <wps:txbx>
                      <w:txbxContent>
                        <w:p w14:paraId="47002CB2">
                          <w:pPr>
                            <w:pStyle w:val="12"/>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id="文本框 2" o:spid="_x0000_s1026" o:spt="1" style="position:absolute;left:0pt;margin-top:0pt;height:11pt;width:4.55pt;mso-position-horizontal:center;mso-position-horizontal-relative:margin;mso-wrap-style:none;z-index:251659264;mso-width-relative:page;mso-height-relative:page;" filled="f" stroked="f" coordsize="21600,21600" o:gfxdata="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pP9x3VAAAAAgEAAA8AAAAAAAAAAQAgAAAAIgAAAGRycy9kb3du&#10;cmV2LnhtbFBLAQIUABQAAAAIAIdO4kAn95HlAgIAAPMDAAAOAAAAAAAAAAEAIAAAACQBAABkcnMv&#10;ZTJvRG9jLnhtbFBLBQYAAAAABgAGAFkBAACYBQAAAAA=&#10;">
              <v:fill on="f" focussize="0,0"/>
              <v:stroke on="f" weight="0.5pt" joinstyle="round"/>
              <v:imagedata o:title=""/>
              <o:lock v:ext="edit" aspectratio="f"/>
              <v:textbox inset="0mm,0mm,0mm,0mm" style="mso-fit-shape-to-text:t;">
                <w:txbxContent>
                  <w:p w14:paraId="47002CB2">
                    <w:pPr>
                      <w:pStyle w:val="12"/>
                    </w:pPr>
                    <w:r>
                      <w:fldChar w:fldCharType="begin"/>
                    </w:r>
                    <w:r>
                      <w:instrText xml:space="preserve"> PAGE  \* MERGEFORMAT </w:instrText>
                    </w:r>
                    <w:r>
                      <w:fldChar w:fldCharType="separate"/>
                    </w:r>
                    <w:r>
                      <w:t>2</w:t>
                    </w:r>
                    <w:r>
                      <w:fldChar w:fldCharType="end"/>
                    </w:r>
                  </w:p>
                </w:txbxContent>
              </v:textbox>
            </v:rect>
          </w:pict>
        </mc:Fallback>
      </mc:AlternateContent>
    </w:r>
  </w:p>
  <w:p w14:paraId="2FD7F437">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CDE43D">
    <w:pPr>
      <w:pStyle w:val="12"/>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785" cy="139700"/>
              <wp:effectExtent l="0" t="0" r="0" b="0"/>
              <wp:wrapNone/>
              <wp:docPr id="4" name="文本框 3"/>
              <wp:cNvGraphicFramePr/>
              <a:graphic xmlns:a="http://schemas.openxmlformats.org/drawingml/2006/main">
                <a:graphicData uri="http://schemas.microsoft.com/office/word/2010/wordprocessingShape">
                  <wps:wsp>
                    <wps:cNvSpPr/>
                    <wps:spPr>
                      <a:xfrm>
                        <a:off x="0" y="0"/>
                        <a:ext cx="57950" cy="139560"/>
                      </a:xfrm>
                      <a:prstGeom prst="rect">
                        <a:avLst/>
                      </a:prstGeom>
                      <a:noFill/>
                      <a:ln w="6350" cap="flat" cmpd="sng">
                        <a:noFill/>
                        <a:prstDash val="solid"/>
                        <a:round/>
                      </a:ln>
                    </wps:spPr>
                    <wps:txbx>
                      <w:txbxContent>
                        <w:p w14:paraId="677D5488">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3" o:spid="_x0000_s1026" o:spt="1" style="position:absolute;left:0pt;margin-top:0pt;height:11pt;width:4.55pt;mso-position-horizontal:center;mso-position-horizontal-relative:margin;mso-wrap-style:none;z-index:251659264;mso-width-relative:page;mso-height-relative:page;" filled="f" stroked="f" coordsize="21600,21600" o:gfxdata="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KT/cd1QAAAAIBAAAPAAAAAAAAAAEAIAAAACIAAABkcnMvZG93&#10;bnJldi54bWxQSwECFAAUAAAACACHTuJArWbeTAMCAADzAwAADgAAAAAAAAABACAAAAAkAQAAZHJz&#10;L2Uyb0RvYy54bWxQSwUGAAAAAAYABgBZAQAAmQUAAAAA&#10;">
              <v:fill on="f" focussize="0,0"/>
              <v:stroke on="f" weight="0.5pt" joinstyle="round"/>
              <v:imagedata o:title=""/>
              <o:lock v:ext="edit" aspectratio="f"/>
              <v:textbox inset="0mm,0mm,0mm,0mm" style="mso-fit-shape-to-text:t;">
                <w:txbxContent>
                  <w:p w14:paraId="677D5488">
                    <w:pPr>
                      <w:pStyle w:val="1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6433A1">
    <w:pPr>
      <w:pStyle w:val="12"/>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785" cy="139700"/>
              <wp:effectExtent l="0" t="0" r="0" b="0"/>
              <wp:wrapNone/>
              <wp:docPr id="7" name="文本框 17"/>
              <wp:cNvGraphicFramePr/>
              <a:graphic xmlns:a="http://schemas.openxmlformats.org/drawingml/2006/main">
                <a:graphicData uri="http://schemas.microsoft.com/office/word/2010/wordprocessingShape">
                  <wps:wsp>
                    <wps:cNvSpPr/>
                    <wps:spPr>
                      <a:xfrm>
                        <a:off x="0" y="0"/>
                        <a:ext cx="57950" cy="139560"/>
                      </a:xfrm>
                      <a:prstGeom prst="rect">
                        <a:avLst/>
                      </a:prstGeom>
                      <a:noFill/>
                      <a:ln w="6350" cap="flat" cmpd="sng">
                        <a:noFill/>
                        <a:prstDash val="solid"/>
                        <a:round/>
                      </a:ln>
                    </wps:spPr>
                    <wps:txbx>
                      <w:txbxContent>
                        <w:p w14:paraId="3BBDD732">
                          <w:pPr>
                            <w:pStyle w:val="12"/>
                          </w:pPr>
                          <w:r>
                            <w:fldChar w:fldCharType="begin"/>
                          </w:r>
                          <w:r>
                            <w:instrText xml:space="preserve"> PAGE  \* MERGEFORMAT </w:instrText>
                          </w:r>
                          <w:r>
                            <w:fldChar w:fldCharType="separate"/>
                          </w:r>
                          <w:r>
                            <w:t>2</w:t>
                          </w:r>
                          <w:r>
                            <w:fldChar w:fldCharType="end"/>
                          </w:r>
                        </w:p>
                      </w:txbxContent>
                    </wps:txbx>
                    <wps:bodyPr vert="horz" wrap="none" lIns="0" tIns="0" rIns="0" bIns="0" anchor="t" anchorCtr="0" upright="0">
                      <a:spAutoFit/>
                    </wps:bodyPr>
                  </wps:wsp>
                </a:graphicData>
              </a:graphic>
            </wp:anchor>
          </w:drawing>
        </mc:Choice>
        <mc:Fallback>
          <w:pict>
            <v:rect id="文本框 17" o:spid="_x0000_s1026" o:spt="1" style="position:absolute;left:0pt;margin-top:0pt;height:11pt;width:4.55pt;mso-position-horizontal:center;mso-position-horizontal-relative:margin;mso-wrap-style:none;z-index:251659264;mso-width-relative:page;mso-height-relative:page;" filled="f" stroked="f" coordsize="21600,21600" o:gfxdata="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Ck/3HdUAAAACAQAADwAAAAAAAAABACAAAAAiAAAAZHJzL2Rv&#10;d25yZXYueG1sUEsBAhQAFAAAAAgAh07iQHyvLiYEAgAA9AMAAA4AAAAAAAAAAQAgAAAAJAEAAGRy&#10;cy9lMm9Eb2MueG1sUEsFBgAAAAAGAAYAWQEAAJoFAAAAAA==&#10;">
              <v:fill on="f" focussize="0,0"/>
              <v:stroke on="f" weight="0.5pt" joinstyle="round"/>
              <v:imagedata o:title=""/>
              <o:lock v:ext="edit" aspectratio="f"/>
              <v:textbox inset="0mm,0mm,0mm,0mm" style="mso-fit-shape-to-text:t;">
                <w:txbxContent>
                  <w:p w14:paraId="3BBDD732">
                    <w:pPr>
                      <w:pStyle w:val="12"/>
                    </w:pPr>
                    <w:r>
                      <w:fldChar w:fldCharType="begin"/>
                    </w:r>
                    <w:r>
                      <w:instrText xml:space="preserve"> PAGE  \* MERGEFORMAT </w:instrText>
                    </w:r>
                    <w:r>
                      <w:fldChar w:fldCharType="separate"/>
                    </w:r>
                    <w:r>
                      <w:t>2</w:t>
                    </w:r>
                    <w:r>
                      <w:fldChar w:fldCharType="end"/>
                    </w:r>
                  </w:p>
                </w:txbxContent>
              </v:textbox>
            </v:rect>
          </w:pict>
        </mc:Fallback>
      </mc:AlternateContent>
    </w:r>
  </w:p>
  <w:p w14:paraId="6113FD58">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F1808">
    <w:pPr>
      <w:pStyle w:val="12"/>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57785" cy="139700"/>
              <wp:effectExtent l="0" t="0" r="0" b="0"/>
              <wp:wrapNone/>
              <wp:docPr id="10" name="文本框 18"/>
              <wp:cNvGraphicFramePr/>
              <a:graphic xmlns:a="http://schemas.openxmlformats.org/drawingml/2006/main">
                <a:graphicData uri="http://schemas.microsoft.com/office/word/2010/wordprocessingShape">
                  <wps:wsp>
                    <wps:cNvSpPr/>
                    <wps:spPr>
                      <a:xfrm>
                        <a:off x="0" y="0"/>
                        <a:ext cx="57950" cy="139560"/>
                      </a:xfrm>
                      <a:prstGeom prst="rect">
                        <a:avLst/>
                      </a:prstGeom>
                      <a:noFill/>
                      <a:ln w="6350" cap="flat" cmpd="sng">
                        <a:noFill/>
                        <a:prstDash val="solid"/>
                        <a:round/>
                      </a:ln>
                    </wps:spPr>
                    <wps:txbx>
                      <w:txbxContent>
                        <w:p w14:paraId="0D156A72">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8" o:spid="_x0000_s1026" o:spt="1" style="position:absolute;left:0pt;margin-top:0pt;height:11pt;width:4.55pt;mso-position-horizontal:center;mso-position-horizontal-relative:margin;mso-wrap-style:none;z-index:251659264;mso-width-relative:page;mso-height-relative:page;" filled="f" stroked="f" coordsize="21600,21600" o:gfxdata="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KT/cd1QAAAAIBAAAPAAAAAAAAAAEAIAAAACIAAABkcnMvZG93&#10;bnJldi54bWxQSwECFAAUAAAACACHTuJAO2rRJgMCAAD1AwAADgAAAAAAAAABACAAAAAkAQAAZHJz&#10;L2Uyb0RvYy54bWxQSwUGAAAAAAYABgBZAQAAmQUAAAAA&#10;">
              <v:fill on="f" focussize="0,0"/>
              <v:stroke on="f" weight="0.5pt" joinstyle="round"/>
              <v:imagedata o:title=""/>
              <o:lock v:ext="edit" aspectratio="f"/>
              <v:textbox inset="0mm,0mm,0mm,0mm" style="mso-fit-shape-to-text:t;">
                <w:txbxContent>
                  <w:p w14:paraId="0D156A72">
                    <w:pPr>
                      <w:pStyle w:val="12"/>
                    </w:pPr>
                    <w:r>
                      <w:fldChar w:fldCharType="begin"/>
                    </w:r>
                    <w:r>
                      <w:instrText xml:space="preserve"> PAGE  \* MERGEFORMAT </w:instrText>
                    </w:r>
                    <w:r>
                      <w:fldChar w:fldCharType="separate"/>
                    </w:r>
                    <w:r>
                      <w:t>1</w:t>
                    </w:r>
                    <w:r>
                      <w:fldChar w:fldCharType="end"/>
                    </w:r>
                  </w:p>
                </w:txbxContent>
              </v:textbox>
            </v:rect>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0C495">
    <w:pPr>
      <w:pStyle w:val="12"/>
      <w:jc w:val="center"/>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16205" cy="139700"/>
              <wp:effectExtent l="0" t="0" r="0" b="0"/>
              <wp:wrapNone/>
              <wp:docPr id="13" name="文本框 16"/>
              <wp:cNvGraphicFramePr/>
              <a:graphic xmlns:a="http://schemas.openxmlformats.org/drawingml/2006/main">
                <a:graphicData uri="http://schemas.microsoft.com/office/word/2010/wordprocessingShape">
                  <wps:wsp>
                    <wps:cNvSpPr/>
                    <wps:spPr>
                      <a:xfrm>
                        <a:off x="0" y="0"/>
                        <a:ext cx="115900" cy="139560"/>
                      </a:xfrm>
                      <a:prstGeom prst="rect">
                        <a:avLst/>
                      </a:prstGeom>
                      <a:noFill/>
                      <a:ln w="6350" cap="flat" cmpd="sng">
                        <a:noFill/>
                        <a:prstDash val="solid"/>
                        <a:round/>
                      </a:ln>
                    </wps:spPr>
                    <wps:txbx>
                      <w:txbxContent>
                        <w:p w14:paraId="7793A9F2">
                          <w:pPr>
                            <w:pStyle w:val="12"/>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rect id="文本框 16" o:spid="_x0000_s1026" o:spt="1" style="position:absolute;left:0pt;margin-top:0pt;height:11pt;width:9.15pt;mso-position-horizontal:center;mso-position-horizontal-relative:margin;mso-wrap-style:none;z-index:251659264;mso-width-relative:page;mso-height-relative:page;" filled="f" stroked="f" coordsize="21600,21600" o:gfxdata="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TlUH61gAAAAMBAAAPAAAAAAAAAAEAIAAAACIAAABkcnMv&#10;ZG93bnJldi54bWxQSwECFAAUAAAACACHTuJAvoGXaQUCAAD2AwAADgAAAAAAAAABACAAAAAlAQAA&#10;ZHJzL2Uyb0RvYy54bWxQSwUGAAAAAAYABgBZAQAAnAUAAAAA&#10;">
              <v:fill on="f" focussize="0,0"/>
              <v:stroke on="f" weight="0.5pt" joinstyle="round"/>
              <v:imagedata o:title=""/>
              <o:lock v:ext="edit" aspectratio="f"/>
              <v:textbox inset="0mm,0mm,0mm,0mm" style="mso-fit-shape-to-text:t;">
                <w:txbxContent>
                  <w:p w14:paraId="7793A9F2">
                    <w:pPr>
                      <w:pStyle w:val="12"/>
                    </w:pPr>
                    <w:r>
                      <w:fldChar w:fldCharType="begin"/>
                    </w:r>
                    <w:r>
                      <w:instrText xml:space="preserve"> PAGE  \* MERGEFORMAT </w:instrText>
                    </w:r>
                    <w:r>
                      <w:fldChar w:fldCharType="separate"/>
                    </w:r>
                    <w:r>
                      <w:t>1</w:t>
                    </w:r>
                    <w:r>
                      <w:fldChar w:fldCharType="end"/>
                    </w:r>
                  </w:p>
                </w:txbxContent>
              </v:textbox>
            </v:rect>
          </w:pict>
        </mc:Fallback>
      </mc:AlternateContent>
    </w:r>
  </w:p>
  <w:p w14:paraId="70742C7D">
    <w:pPr>
      <w:pStyle w:val="1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3E54D">
    <w:pPr>
      <w:pStyle w:val="12"/>
    </w:pPr>
    <w:r>
      <w:rPr>
        <w:sz w:val="18"/>
      </w:rPr>
      <mc:AlternateContent>
        <mc:Choice Requires="wps">
          <w:drawing>
            <wp:anchor distT="0" distB="0" distL="113665" distR="113665" simplePos="0" relativeHeight="251659264" behindDoc="0" locked="0" layoutInCell="1" allowOverlap="1">
              <wp:simplePos x="0" y="0"/>
              <wp:positionH relativeFrom="margin">
                <wp:align>center</wp:align>
              </wp:positionH>
              <wp:positionV relativeFrom="paragraph">
                <wp:posOffset>0</wp:posOffset>
              </wp:positionV>
              <wp:extent cx="179705" cy="139700"/>
              <wp:effectExtent l="0" t="0" r="0" b="0"/>
              <wp:wrapNone/>
              <wp:docPr id="16" name="文本框 6"/>
              <wp:cNvGraphicFramePr/>
              <a:graphic xmlns:a="http://schemas.openxmlformats.org/drawingml/2006/main">
                <a:graphicData uri="http://schemas.microsoft.com/office/word/2010/wordprocessingShape">
                  <wps:wsp>
                    <wps:cNvSpPr/>
                    <wps:spPr>
                      <a:xfrm>
                        <a:off x="0" y="0"/>
                        <a:ext cx="179565" cy="139560"/>
                      </a:xfrm>
                      <a:prstGeom prst="rect">
                        <a:avLst/>
                      </a:prstGeom>
                      <a:noFill/>
                      <a:ln w="6350" cap="flat" cmpd="sng">
                        <a:noFill/>
                        <a:prstDash val="solid"/>
                        <a:round/>
                      </a:ln>
                    </wps:spPr>
                    <wps:txbx>
                      <w:txbxContent>
                        <w:p w14:paraId="339A4D75">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rect id="文本框 6" o:spid="_x0000_s1026" o:spt="1" style="position:absolute;left:0pt;margin-top:0pt;height:11pt;width:14.15pt;mso-position-horizontal:center;mso-position-horizontal-relative:margin;mso-wrap-style:none;z-index:251659264;mso-width-relative:page;mso-height-relative:page;" filled="f" stroked="f" coordsize="21600,21600" o:gfxdata="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H/+SV/WAAAAAwEAAA8AAAAAAAAAAQAgAAAAIgAAAGRycy9k&#10;b3ducmV2LnhtbFBLAQIUABQAAAAIAIdO4kAyGxfZBAIAAPUDAAAOAAAAAAAAAAEAIAAAACUBAABk&#10;cnMvZTJvRG9jLnhtbFBLBQYAAAAABgAGAFkBAACbBQAAAAA=&#10;">
              <v:fill on="f" focussize="0,0"/>
              <v:stroke on="f" weight="0.5pt" joinstyle="round"/>
              <v:imagedata o:title=""/>
              <o:lock v:ext="edit" aspectratio="f"/>
              <v:textbox inset="0mm,0mm,0mm,0mm" style="mso-fit-shape-to-text:t;">
                <w:txbxContent>
                  <w:p w14:paraId="339A4D75">
                    <w:pPr>
                      <w:pStyle w:val="1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rect>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03A20">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6988C5D"/>
    <w:multiLevelType w:val="singleLevel"/>
    <w:tmpl w:val="F6988C5D"/>
    <w:lvl w:ilvl="0" w:tentative="0">
      <w:start w:val="1"/>
      <w:numFmt w:val="chineseCounting"/>
      <w:suff w:val="nothing"/>
      <w:lvlText w:val="（%1）"/>
      <w:lvlJc w:val="left"/>
      <w:pPr>
        <w:ind w:left="0" w:firstLine="0"/>
      </w:pPr>
      <w:rPr>
        <w:rFonts w:hint="eastAsia"/>
      </w:rPr>
    </w:lvl>
  </w:abstractNum>
  <w:abstractNum w:abstractNumId="1">
    <w:nsid w:val="FBDD32E8"/>
    <w:multiLevelType w:val="singleLevel"/>
    <w:tmpl w:val="FBDD32E8"/>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dit="readOnly"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ZDY2MDJlYWFjMDUwOThmZTc2OGJmYWExYTI1NWQyZGYifQ=="/>
  </w:docVars>
  <w:rsids>
    <w:rsidRoot w:val="00000000"/>
    <w:rsid w:val="025A529E"/>
    <w:rsid w:val="039C3694"/>
    <w:rsid w:val="04545D1C"/>
    <w:rsid w:val="0F6B0AEA"/>
    <w:rsid w:val="0F8E47D8"/>
    <w:rsid w:val="14F35954"/>
    <w:rsid w:val="1A92257F"/>
    <w:rsid w:val="1ACF1F63"/>
    <w:rsid w:val="1E4B08AA"/>
    <w:rsid w:val="20000B35"/>
    <w:rsid w:val="21793303"/>
    <w:rsid w:val="23D305B4"/>
    <w:rsid w:val="270D0281"/>
    <w:rsid w:val="2A596606"/>
    <w:rsid w:val="2B9D1BD3"/>
    <w:rsid w:val="2C5B5970"/>
    <w:rsid w:val="33ED56C2"/>
    <w:rsid w:val="36874DFF"/>
    <w:rsid w:val="3A63223A"/>
    <w:rsid w:val="3A8B353F"/>
    <w:rsid w:val="3B822B94"/>
    <w:rsid w:val="3BDF1D94"/>
    <w:rsid w:val="3EC20000"/>
    <w:rsid w:val="40F47828"/>
    <w:rsid w:val="428D3E70"/>
    <w:rsid w:val="44407D6F"/>
    <w:rsid w:val="46511AE0"/>
    <w:rsid w:val="46686E80"/>
    <w:rsid w:val="482B455A"/>
    <w:rsid w:val="49080B7C"/>
    <w:rsid w:val="49227764"/>
    <w:rsid w:val="49A34401"/>
    <w:rsid w:val="4AB4508D"/>
    <w:rsid w:val="4B7047B7"/>
    <w:rsid w:val="4BB17561"/>
    <w:rsid w:val="52A01B73"/>
    <w:rsid w:val="539D45B7"/>
    <w:rsid w:val="546818CD"/>
    <w:rsid w:val="57E30A7D"/>
    <w:rsid w:val="5B455FE5"/>
    <w:rsid w:val="5DC44938"/>
    <w:rsid w:val="67892A30"/>
    <w:rsid w:val="69906CF3"/>
    <w:rsid w:val="6B2F38EF"/>
    <w:rsid w:val="6E91041D"/>
    <w:rsid w:val="70981F36"/>
    <w:rsid w:val="70A72179"/>
    <w:rsid w:val="70C20D61"/>
    <w:rsid w:val="75470A9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link w:val="20"/>
    <w:qFormat/>
    <w:uiPriority w:val="0"/>
    <w:pPr>
      <w:keepNext/>
      <w:keepLines/>
      <w:widowControl w:val="0"/>
      <w:spacing w:before="340" w:after="330" w:line="578" w:lineRule="auto"/>
      <w:outlineLvl w:val="0"/>
    </w:pPr>
    <w:rPr>
      <w:b/>
      <w:bCs/>
      <w:kern w:val="44"/>
      <w:sz w:val="44"/>
      <w:szCs w:val="44"/>
    </w:rPr>
  </w:style>
  <w:style w:type="paragraph" w:styleId="6">
    <w:name w:val="heading 2"/>
    <w:basedOn w:val="1"/>
    <w:next w:val="1"/>
    <w:link w:val="21"/>
    <w:qFormat/>
    <w:uiPriority w:val="0"/>
    <w:pPr>
      <w:keepNext/>
      <w:keepLines/>
      <w:widowControl w:val="0"/>
      <w:spacing w:before="260" w:after="260" w:line="415" w:lineRule="auto"/>
      <w:outlineLvl w:val="1"/>
    </w:pPr>
    <w:rPr>
      <w:rFonts w:ascii="Cambria" w:hAnsi="Cambria" w:eastAsia="宋体" w:cs="Times New Roman"/>
      <w:b/>
      <w:bCs/>
      <w:sz w:val="32"/>
      <w:szCs w:val="32"/>
    </w:rPr>
  </w:style>
  <w:style w:type="paragraph" w:styleId="7">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7">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footnote text"/>
    <w:basedOn w:val="1"/>
    <w:next w:val="3"/>
    <w:qFormat/>
    <w:uiPriority w:val="0"/>
    <w:pPr>
      <w:snapToGrid w:val="0"/>
      <w:jc w:val="left"/>
    </w:pPr>
    <w:rPr>
      <w:sz w:val="18"/>
      <w:szCs w:val="18"/>
    </w:rPr>
  </w:style>
  <w:style w:type="paragraph" w:styleId="3">
    <w:name w:val="Body Text First Indent 2"/>
    <w:basedOn w:val="4"/>
    <w:qFormat/>
    <w:uiPriority w:val="0"/>
    <w:pPr>
      <w:ind w:firstLine="200" w:firstLineChars="200"/>
    </w:pPr>
  </w:style>
  <w:style w:type="paragraph" w:styleId="4">
    <w:name w:val="Body Text Indent"/>
    <w:basedOn w:val="1"/>
    <w:next w:val="3"/>
    <w:qFormat/>
    <w:uiPriority w:val="0"/>
    <w:pPr>
      <w:spacing w:after="120"/>
      <w:ind w:left="200" w:leftChars="200"/>
    </w:pPr>
    <w:rPr>
      <w:rFonts w:ascii="仿宋_GB2312" w:hAnsi="仿宋_GB2312"/>
      <w:szCs w:val="32"/>
    </w:rPr>
  </w:style>
  <w:style w:type="paragraph" w:styleId="8">
    <w:name w:val="caption"/>
    <w:basedOn w:val="1"/>
    <w:next w:val="1"/>
    <w:qFormat/>
    <w:uiPriority w:val="0"/>
    <w:rPr>
      <w:rFonts w:ascii="Arial" w:hAnsi="Arial" w:eastAsia="黑体"/>
      <w:sz w:val="20"/>
    </w:rPr>
  </w:style>
  <w:style w:type="paragraph" w:styleId="9">
    <w:name w:val="Body Text"/>
    <w:basedOn w:val="1"/>
    <w:qFormat/>
    <w:uiPriority w:val="0"/>
    <w:pPr>
      <w:spacing w:before="30" w:beforeLines="30"/>
    </w:pPr>
    <w:rPr>
      <w:rFonts w:ascii="仿宋_GB2312" w:eastAsia="仿宋_GB2312"/>
      <w:kern w:val="0"/>
      <w:sz w:val="30"/>
    </w:rPr>
  </w:style>
  <w:style w:type="paragraph" w:styleId="10">
    <w:name w:val="toc 3"/>
    <w:basedOn w:val="1"/>
    <w:next w:val="1"/>
    <w:qFormat/>
    <w:uiPriority w:val="0"/>
    <w:pPr>
      <w:tabs>
        <w:tab w:val="right" w:leader="dot" w:pos="8296"/>
      </w:tabs>
      <w:ind w:left="400" w:leftChars="400"/>
    </w:pPr>
  </w:style>
  <w:style w:type="paragraph" w:styleId="11">
    <w:name w:val="Balloon Text"/>
    <w:basedOn w:val="1"/>
    <w:qFormat/>
    <w:uiPriority w:val="0"/>
    <w:rPr>
      <w:sz w:val="18"/>
      <w:szCs w:val="18"/>
    </w:rPr>
  </w:style>
  <w:style w:type="paragraph" w:styleId="12">
    <w:name w:val="footer"/>
    <w:basedOn w:val="1"/>
    <w:qFormat/>
    <w:uiPriority w:val="0"/>
    <w:pPr>
      <w:tabs>
        <w:tab w:val="center" w:pos="4153"/>
        <w:tab w:val="right" w:pos="8306"/>
      </w:tabs>
      <w:snapToGrid w:val="0"/>
      <w:jc w:val="left"/>
    </w:pPr>
    <w:rPr>
      <w:rFonts w:ascii="Calibri" w:hAnsi="Calibri"/>
      <w:kern w:val="0"/>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4">
    <w:name w:val="toc 1"/>
    <w:basedOn w:val="1"/>
    <w:next w:val="1"/>
    <w:qFormat/>
    <w:uiPriority w:val="0"/>
    <w:pPr>
      <w:tabs>
        <w:tab w:val="right" w:leader="dot" w:pos="8296"/>
      </w:tabs>
      <w:spacing w:before="93"/>
      <w:jc w:val="center"/>
    </w:pPr>
    <w:rPr>
      <w:rFonts w:ascii="仿宋" w:eastAsia="仿宋"/>
      <w:sz w:val="28"/>
      <w:szCs w:val="28"/>
    </w:rPr>
  </w:style>
  <w:style w:type="paragraph" w:styleId="15">
    <w:name w:val="toc 2"/>
    <w:basedOn w:val="1"/>
    <w:next w:val="1"/>
    <w:qFormat/>
    <w:uiPriority w:val="0"/>
    <w:pPr>
      <w:tabs>
        <w:tab w:val="right" w:leader="dot" w:pos="8296"/>
      </w:tabs>
      <w:ind w:left="200" w:leftChars="200"/>
    </w:pPr>
  </w:style>
  <w:style w:type="character" w:styleId="18">
    <w:name w:val="Strong"/>
    <w:basedOn w:val="17"/>
    <w:qFormat/>
    <w:uiPriority w:val="0"/>
    <w:rPr>
      <w:b/>
    </w:rPr>
  </w:style>
  <w:style w:type="character" w:styleId="19">
    <w:name w:val="Hyperlink"/>
    <w:basedOn w:val="17"/>
    <w:qFormat/>
    <w:uiPriority w:val="0"/>
    <w:rPr>
      <w:color w:val="0000FF"/>
      <w:u w:val="single"/>
    </w:rPr>
  </w:style>
  <w:style w:type="character" w:customStyle="1" w:styleId="20">
    <w:name w:val="heading 1 Char"/>
    <w:basedOn w:val="17"/>
    <w:link w:val="5"/>
    <w:qFormat/>
    <w:uiPriority w:val="0"/>
    <w:rPr>
      <w:rFonts w:ascii="Times New Roman" w:hAnsi="Times New Roman" w:eastAsia="宋体" w:cs="Times New Roman"/>
      <w:b/>
      <w:bCs/>
      <w:kern w:val="44"/>
      <w:sz w:val="44"/>
      <w:szCs w:val="44"/>
      <w:lang w:val="en-US" w:eastAsia="zh-CN" w:bidi="ar-SA"/>
    </w:rPr>
  </w:style>
  <w:style w:type="character" w:customStyle="1" w:styleId="21">
    <w:name w:val="heading 2 Char"/>
    <w:basedOn w:val="17"/>
    <w:link w:val="6"/>
    <w:qFormat/>
    <w:uiPriority w:val="0"/>
    <w:rPr>
      <w:rFonts w:ascii="Cambria" w:hAnsi="Cambria" w:eastAsia="宋体" w:cs="Times New Roman"/>
      <w:b/>
      <w:bCs/>
      <w:kern w:val="2"/>
      <w:sz w:val="32"/>
      <w:szCs w:val="32"/>
      <w:lang w:val="en-US" w:eastAsia="zh-CN" w:bidi="ar-SA"/>
    </w:rPr>
  </w:style>
  <w:style w:type="paragraph" w:customStyle="1" w:styleId="22">
    <w:name w:val="标题 5（有编号）（绿盟科技）"/>
    <w:next w:val="1"/>
    <w:qFormat/>
    <w:uiPriority w:val="0"/>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3">
    <w:name w:val="Header Char"/>
    <w:basedOn w:val="17"/>
    <w:qFormat/>
    <w:uiPriority w:val="0"/>
    <w:rPr>
      <w:rFonts w:ascii="Times New Roman" w:hAnsi="Times New Roman"/>
      <w:sz w:val="18"/>
      <w:szCs w:val="18"/>
    </w:rPr>
  </w:style>
  <w:style w:type="character" w:customStyle="1" w:styleId="24">
    <w:name w:val="Footer Char"/>
    <w:basedOn w:val="17"/>
    <w:qFormat/>
    <w:uiPriority w:val="0"/>
    <w:rPr>
      <w:rFonts w:ascii="Times New Roman" w:hAnsi="Times New Roman"/>
      <w:sz w:val="18"/>
      <w:szCs w:val="18"/>
    </w:rPr>
  </w:style>
  <w:style w:type="character" w:customStyle="1" w:styleId="25">
    <w:name w:val="Body Text Char"/>
    <w:basedOn w:val="17"/>
    <w:qFormat/>
    <w:uiPriority w:val="0"/>
    <w:rPr>
      <w:rFonts w:ascii="Times New Roman" w:hAnsi="Times New Roman"/>
      <w:szCs w:val="24"/>
    </w:rPr>
  </w:style>
  <w:style w:type="paragraph" w:customStyle="1" w:styleId="26">
    <w:name w:val="Default"/>
    <w:qFormat/>
    <w:uiPriority w:val="0"/>
    <w:pPr>
      <w:widowControl w:val="0"/>
      <w:autoSpaceDE w:val="0"/>
      <w:autoSpaceDN w:val="0"/>
      <w:adjustRightInd w:val="0"/>
    </w:pPr>
    <w:rPr>
      <w:rFonts w:ascii="仿宋" w:hAnsi="Times New Roman" w:eastAsia="仿宋" w:cs="仿宋"/>
      <w:color w:val="000000"/>
      <w:sz w:val="24"/>
      <w:szCs w:val="24"/>
      <w:lang w:val="en-US" w:eastAsia="zh-CN" w:bidi="ar-SA"/>
    </w:rPr>
  </w:style>
  <w:style w:type="paragraph" w:styleId="27">
    <w:name w:val="List Paragraph"/>
    <w:basedOn w:val="1"/>
    <w:qFormat/>
    <w:uiPriority w:val="0"/>
    <w:pPr>
      <w:ind w:firstLine="200" w:firstLineChars="200"/>
    </w:pPr>
  </w:style>
  <w:style w:type="paragraph" w:customStyle="1" w:styleId="28">
    <w:name w:val="TOC 标题1"/>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29">
    <w:name w:val="TOC Heading"/>
    <w:basedOn w:val="5"/>
    <w:next w:val="1"/>
    <w:qFormat/>
    <w:uiPriority w:val="0"/>
    <w:pPr>
      <w:keepNext/>
      <w:keepLines/>
      <w:widowControl/>
      <w:spacing w:before="480" w:after="0" w:line="276" w:lineRule="auto"/>
      <w:jc w:val="left"/>
      <w:outlineLvl w:val="9"/>
    </w:pPr>
    <w:rPr>
      <w:rFonts w:ascii="Cambria" w:hAnsi="Cambria" w:eastAsia="宋体" w:cs="Times New Roman"/>
      <w:color w:val="376092"/>
      <w:kern w:val="0"/>
      <w:sz w:val="28"/>
      <w:szCs w:val="28"/>
    </w:rPr>
  </w:style>
  <w:style w:type="paragraph" w:customStyle="1" w:styleId="30">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theme" Target="theme/theme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收入、支出决算总计变动情况图</a:t>
            </a:r>
            <a:endParaRPr lang="zh-CN"/>
          </a:p>
        </c:rich>
      </c:tx>
      <c:layout/>
      <c:overlay val="0"/>
      <c:spPr>
        <a:noFill/>
        <a:ln>
          <a:noFill/>
        </a:ln>
      </c:spPr>
    </c:title>
    <c:autoTitleDeleted val="0"/>
    <c:plotArea>
      <c:layout/>
      <c:barChart>
        <c:barDir val="col"/>
        <c:grouping val="clustered"/>
        <c:varyColors val="0"/>
        <c:ser>
          <c:idx val="0"/>
          <c:order val="0"/>
          <c:tx>
            <c:strRef>
              <c:f>'Sheet1'!$B$1</c:f>
              <c:strCache>
                <c:ptCount val="1"/>
                <c:pt idx="0">
                  <c:v>2024</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收入</c:v>
                </c:pt>
                <c:pt idx="1">
                  <c:v>支出</c:v>
                </c:pt>
              </c:strCache>
            </c:strRef>
          </c:cat>
          <c:val>
            <c:numRef>
              <c:f>'Sheet1'!$B$2:$B$3</c:f>
              <c:numCache>
                <c:formatCode>General</c:formatCode>
                <c:ptCount val="2"/>
                <c:pt idx="0">
                  <c:v>434.15</c:v>
                </c:pt>
                <c:pt idx="1">
                  <c:v>434.15</c:v>
                </c:pt>
              </c:numCache>
            </c:numRef>
          </c:val>
        </c:ser>
        <c:ser>
          <c:idx val="1"/>
          <c:order val="1"/>
          <c:tx>
            <c:strRef>
              <c:f>'Sheet1'!$C$1</c:f>
              <c:strCache>
                <c:ptCount val="1"/>
                <c:pt idx="0">
                  <c:v>2025</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'Sheet1'!$A$2:$A$3</c:f>
              <c:strCache>
                <c:ptCount val="2"/>
                <c:pt idx="0">
                  <c:v>收入</c:v>
                </c:pt>
                <c:pt idx="1">
                  <c:v>支出</c:v>
                </c:pt>
              </c:strCache>
            </c:strRef>
          </c:cat>
          <c:val>
            <c:numRef>
              <c:f>'Sheet1'!$C$2:$C$3</c:f>
              <c:numCache>
                <c:formatCode>General</c:formatCode>
                <c:ptCount val="2"/>
                <c:pt idx="0">
                  <c:v>457.73</c:v>
                </c:pt>
                <c:pt idx="1">
                  <c:v>458.73</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min val="0"/>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d96be41f-5bde-4984-9e46-e04242633831}"/>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收入决算结构图</a:t>
            </a:r>
            <a:endParaRPr lang="zh-CN"/>
          </a:p>
        </c:rich>
      </c:tx>
      <c:layout/>
      <c:overlay val="0"/>
      <c:spPr>
        <a:noFill/>
        <a:ln>
          <a:noFill/>
        </a:ln>
      </c:spPr>
    </c:title>
    <c:autoTitleDeleted val="0"/>
    <c:plotArea>
      <c:layout/>
      <c:pieChart>
        <c:varyColors val="1"/>
        <c:ser>
          <c:idx val="0"/>
          <c:order val="0"/>
          <c:tx>
            <c:strRef>
              <c:f>'Sheet1 (2)'!$B$1</c:f>
              <c:strCache>
                <c:ptCount val="1"/>
                <c:pt idx="0">
                  <c:v>本年收入</c:v>
                </c:pt>
              </c:strCache>
            </c:strRef>
          </c:tx>
          <c:spPr>
            <a:solidFill>
              <a:srgbClr val="4F81BD"/>
            </a:solidFill>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numFmt formatCode="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(2)'!$A$2:$A$3</c:f>
              <c:strCache>
                <c:ptCount val="2"/>
                <c:pt idx="0">
                  <c:v>一般公共预算财政拨款收入</c:v>
                </c:pt>
                <c:pt idx="1">
                  <c:v>其他收入</c:v>
                </c:pt>
              </c:strCache>
            </c:strRef>
          </c:cat>
          <c:val>
            <c:numRef>
              <c:f>'Sheet1 (2)'!$B$2:$B$3</c:f>
              <c:numCache>
                <c:formatCode>0%</c:formatCode>
                <c:ptCount val="2"/>
                <c:pt idx="0">
                  <c:v>0.978</c:v>
                </c:pt>
                <c:pt idx="1">
                  <c:v>0.022</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93191da1-623b-4774-b92c-802a7fd240c4}"/>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支出决算结构图</a:t>
            </a:r>
            <a:endParaRPr lang="zh-CN"/>
          </a:p>
        </c:rich>
      </c:tx>
      <c:layout/>
      <c:overlay val="0"/>
      <c:spPr>
        <a:noFill/>
        <a:ln>
          <a:noFill/>
        </a:ln>
      </c:spPr>
    </c:title>
    <c:autoTitleDeleted val="0"/>
    <c:plotArea>
      <c:layout/>
      <c:pieChart>
        <c:varyColors val="1"/>
        <c:ser>
          <c:idx val="0"/>
          <c:order val="0"/>
          <c:tx>
            <c:strRef>
              <c:f>'Sheet1 (3)'!$B$1</c:f>
              <c:strCache>
                <c:ptCount val="1"/>
                <c:pt idx="0">
                  <c:v>本年支出</c:v>
                </c:pt>
              </c:strCache>
            </c:strRef>
          </c:tx>
          <c:spPr>
            <a:solidFill>
              <a:srgbClr val="4F81BD"/>
            </a:solidFill>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Lbls>
            <c:numFmt formatCode="0.0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(3)'!$A$2:$A$3</c:f>
              <c:strCache>
                <c:ptCount val="2"/>
                <c:pt idx="0">
                  <c:v>基本支出</c:v>
                </c:pt>
                <c:pt idx="1">
                  <c:v>项目支出</c:v>
                </c:pt>
              </c:strCache>
            </c:strRef>
          </c:cat>
          <c:val>
            <c:numRef>
              <c:f>'Sheet1 (3)'!$B$2:$B$3</c:f>
              <c:numCache>
                <c:formatCode>0.00%</c:formatCode>
                <c:ptCount val="2"/>
                <c:pt idx="0">
                  <c:v>0.621</c:v>
                </c:pt>
                <c:pt idx="1">
                  <c:v>0.379</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fefbbd46-e5ad-4635-a83a-a4606c7f4253}"/>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财政拨款收、支决算总计变动情况</a:t>
            </a:r>
            <a:endParaRPr lang="zh-CN"/>
          </a:p>
        </c:rich>
      </c:tx>
      <c:layout/>
      <c:overlay val="0"/>
      <c:spPr>
        <a:noFill/>
        <a:ln>
          <a:noFill/>
        </a:ln>
      </c:spPr>
    </c:title>
    <c:autoTitleDeleted val="0"/>
    <c:plotArea>
      <c:layout/>
      <c:barChart>
        <c:barDir val="col"/>
        <c:grouping val="clustered"/>
        <c:varyColors val="0"/>
        <c:ser>
          <c:idx val="0"/>
          <c:order val="0"/>
          <c:tx>
            <c:strRef>
              <c:f>'Sheet1 (4)'!$B$1</c:f>
              <c:strCache>
                <c:ptCount val="1"/>
                <c:pt idx="0">
                  <c:v>2024</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财政拨款收入</c:v>
                </c:pt>
                <c:pt idx="1">
                  <c:v>财政拨款支出</c:v>
                </c:pt>
              </c:strCache>
            </c:strRef>
          </c:cat>
          <c:val>
            <c:numRef>
              <c:f>'Sheet1 (4)'!$B$2:$B$3</c:f>
              <c:numCache>
                <c:formatCode>General</c:formatCode>
                <c:ptCount val="2"/>
                <c:pt idx="0">
                  <c:v>434.15</c:v>
                </c:pt>
                <c:pt idx="1">
                  <c:v>434.15</c:v>
                </c:pt>
              </c:numCache>
            </c:numRef>
          </c:val>
        </c:ser>
        <c:ser>
          <c:idx val="1"/>
          <c:order val="1"/>
          <c:tx>
            <c:strRef>
              <c:f>'Sheet1 (4)'!$C$1</c:f>
              <c:strCache>
                <c:ptCount val="1"/>
                <c:pt idx="0">
                  <c:v>2025</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(4)'!$A$2:$A$3</c:f>
              <c:strCache>
                <c:ptCount val="2"/>
                <c:pt idx="0">
                  <c:v>财政拨款收入</c:v>
                </c:pt>
                <c:pt idx="1">
                  <c:v>财政拨款支出</c:v>
                </c:pt>
              </c:strCache>
            </c:strRef>
          </c:cat>
          <c:val>
            <c:numRef>
              <c:f>'Sheet1 (4)'!$C$2:$C$3</c:f>
              <c:numCache>
                <c:formatCode>General</c:formatCode>
                <c:ptCount val="2"/>
                <c:pt idx="0">
                  <c:v>447.73</c:v>
                </c:pt>
                <c:pt idx="1">
                  <c:v>447.73</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min val="0"/>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2def9e55-23bd-46e8-b7ae-b01520c74614}"/>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一般公共预算财政拨款支出决算变动情况</a:t>
            </a:r>
            <a:endParaRPr lang="zh-CN"/>
          </a:p>
        </c:rich>
      </c:tx>
      <c:layout/>
      <c:overlay val="0"/>
      <c:spPr>
        <a:noFill/>
        <a:ln>
          <a:noFill/>
        </a:ln>
      </c:spPr>
    </c:title>
    <c:autoTitleDeleted val="0"/>
    <c:plotArea>
      <c:layout/>
      <c:barChart>
        <c:barDir val="col"/>
        <c:grouping val="clustered"/>
        <c:varyColors val="0"/>
        <c:ser>
          <c:idx val="0"/>
          <c:order val="0"/>
          <c:tx>
            <c:strRef>
              <c:f>'Sheet1 (5)'!$B$1</c:f>
              <c:strCache>
                <c:ptCount val="1"/>
                <c:pt idx="0">
                  <c:v>2024</c:v>
                </c:pt>
              </c:strCache>
            </c:strRef>
          </c:tx>
          <c:spPr>
            <a:solidFill>
              <a:srgbClr val="4F81B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c:f>
              <c:strCache>
                <c:ptCount val="1"/>
                <c:pt idx="0">
                  <c:v>一般公共预算财政拨款支出</c:v>
                </c:pt>
              </c:strCache>
            </c:strRef>
          </c:cat>
          <c:val>
            <c:numRef>
              <c:f>Sheet1 (5)!$B$2</c:f>
              <c:numCache>
                <c:formatCode>General</c:formatCode>
                <c:ptCount val="1"/>
                <c:pt idx="0">
                  <c:v>434.15</c:v>
                </c:pt>
              </c:numCache>
            </c:numRef>
          </c:val>
        </c:ser>
        <c:ser>
          <c:idx val="1"/>
          <c:order val="1"/>
          <c:tx>
            <c:strRef>
              <c:f>'Sheet1 (5)'!$C$1</c:f>
              <c:strCache>
                <c:ptCount val="1"/>
                <c:pt idx="0">
                  <c:v>2025</c:v>
                </c:pt>
              </c:strCache>
            </c:strRef>
          </c:tx>
          <c:spPr>
            <a:solidFill>
              <a:srgbClr val="C0504D"/>
            </a:solidFill>
            <a:ln>
              <a:noFill/>
            </a:ln>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ext>
            </c:extLst>
          </c:dLbls>
          <c:cat>
            <c:strRef>
              <c:f>'Sheet1 (5)'!$A$2</c:f>
              <c:strCache>
                <c:ptCount val="1"/>
                <c:pt idx="0">
                  <c:v>一般公共预算财政拨款支出</c:v>
                </c:pt>
              </c:strCache>
            </c:strRef>
          </c:cat>
          <c:val>
            <c:numRef>
              <c:f>Sheet1 (5)!$C$2</c:f>
              <c:numCache>
                <c:formatCode>General</c:formatCode>
                <c:ptCount val="1"/>
                <c:pt idx="0">
                  <c:v>447.73</c:v>
                </c:pt>
              </c:numCache>
            </c:numRef>
          </c:val>
        </c:ser>
        <c:dLbls>
          <c:showLegendKey val="0"/>
          <c:showVal val="1"/>
          <c:showCatName val="0"/>
          <c:showSerName val="0"/>
          <c:showPercent val="0"/>
          <c:showBubbleSize val="0"/>
        </c:dLbls>
        <c:gapWidth val="246"/>
        <c:overlap val="-28"/>
        <c:axId val="0"/>
        <c:axId val="1"/>
      </c:barChart>
      <c:catAx>
        <c:axId val="0"/>
        <c:scaling>
          <c:orientation val="minMax"/>
        </c:scaling>
        <c:delete val="0"/>
        <c:axPos val="b"/>
        <c:numFmt formatCode="General" sourceLinked="1"/>
        <c:majorTickMark val="none"/>
        <c:minorTickMark val="none"/>
        <c:tickLblPos val="nextTo"/>
        <c:spPr>
          <a:ln w="6350" cap="flat" cmpd="sng" algn="ctr">
            <a:solidFill>
              <a:srgbClr val="D9D9D9"/>
            </a:solid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1"/>
        <c:crosses val="autoZero"/>
        <c:auto val="1"/>
        <c:lblAlgn val="ctr"/>
        <c:lblOffset val="100"/>
        <c:noMultiLvlLbl val="0"/>
      </c:catAx>
      <c:valAx>
        <c:axId val="1"/>
        <c:scaling>
          <c:orientation val="minMax"/>
          <c:min val="0"/>
        </c:scaling>
        <c:delete val="0"/>
        <c:axPos val="l"/>
        <c:majorGridlines>
          <c:spPr>
            <a:ln w="6350" cap="flat" cmpd="sng" algn="ctr">
              <a:solidFill>
                <a:srgbClr val="E6E6E6"/>
              </a:solidFill>
              <a:prstDash val="solid"/>
              <a:round/>
            </a:ln>
          </c:spPr>
        </c:majorGridlines>
        <c:numFmt formatCode="General" sourceLinked="1"/>
        <c:majorTickMark val="none"/>
        <c:minorTickMark val="none"/>
        <c:tickLblPos val="nextTo"/>
        <c:spPr>
          <a:ln w="9525" cap="flat" cmpd="sng" algn="ctr">
            <a:noFill/>
            <a:prstDash val="solid"/>
            <a:round/>
          </a:ln>
        </c:spPr>
        <c:txPr>
          <a:bodyPr rot="-6000000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crossAx val="0"/>
        <c:crossesAt val="1"/>
        <c:crossBetween val="between"/>
      </c:valAx>
      <c:spPr>
        <a:noFill/>
        <a:ln>
          <a:noFill/>
        </a:ln>
      </c:spPr>
    </c:plotArea>
    <c:legend>
      <c:legendPos val="b"/>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d09919ed-7f45-498b-ac3f-f08196a7fb5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1" i="0" u="none" strike="noStrike" kern="1200" baseline="0">
                <a:solidFill>
                  <a:srgbClr val="404040"/>
                </a:solidFill>
                <a:latin typeface="Times New Roman" panose="02020603050405020304"/>
                <a:ea typeface="宋体" panose="02010600030101010101" charset="-122"/>
                <a:cs typeface="Arial" panose="020B0604020202020204" pitchFamily="2"/>
              </a:defRPr>
            </a:pPr>
            <a:r>
              <a:rPr lang="zh-CN"/>
              <a:t>一般公共预算财政拨款支出决算结构</a:t>
            </a:r>
            <a:endParaRPr lang="zh-CN"/>
          </a:p>
        </c:rich>
      </c:tx>
      <c:layout/>
      <c:overlay val="0"/>
      <c:spPr>
        <a:noFill/>
        <a:ln>
          <a:noFill/>
        </a:ln>
      </c:spPr>
    </c:title>
    <c:autoTitleDeleted val="0"/>
    <c:plotArea>
      <c:layout/>
      <c:pieChart>
        <c:varyColors val="1"/>
        <c:ser>
          <c:idx val="0"/>
          <c:order val="0"/>
          <c:tx>
            <c:strRef>
              <c:f>'Sheet1 (6)'!$B$1</c:f>
              <c:strCache>
                <c:ptCount val="1"/>
                <c:pt idx="0">
                  <c:v>一般公共预算财政拨款支出占比</c:v>
                </c:pt>
              </c:strCache>
            </c:strRef>
          </c:tx>
          <c:spPr>
            <a:solidFill>
              <a:srgbClr val="4F81BD"/>
            </a:solidFill>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Pt>
            <c:idx val="3"/>
            <c:bubble3D val="0"/>
            <c:spPr>
              <a:solidFill>
                <a:srgbClr val="8064A2"/>
              </a:solidFill>
              <a:ln w="6350">
                <a:solidFill>
                  <a:srgbClr val="FFFFFF"/>
                </a:solidFill>
                <a:prstDash val="solid"/>
              </a:ln>
            </c:spPr>
          </c:dPt>
          <c:dLbls>
            <c:numFmt formatCode="0.0%"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(6)'!$A$2:$A$5</c:f>
              <c:strCache>
                <c:ptCount val="4"/>
                <c:pt idx="0">
                  <c:v>一般公共服务支出</c:v>
                </c:pt>
                <c:pt idx="1">
                  <c:v>社会保障和就业支出</c:v>
                </c:pt>
                <c:pt idx="2">
                  <c:v>卫生健康支出</c:v>
                </c:pt>
                <c:pt idx="3">
                  <c:v>住房保障支出</c:v>
                </c:pt>
              </c:strCache>
            </c:strRef>
          </c:cat>
          <c:val>
            <c:numRef>
              <c:f>'Sheet1 (6)'!$B$2:$B$5</c:f>
              <c:numCache>
                <c:formatCode>0.0%</c:formatCode>
                <c:ptCount val="4"/>
                <c:pt idx="0">
                  <c:v>0.843</c:v>
                </c:pt>
                <c:pt idx="1">
                  <c:v>0.079</c:v>
                </c:pt>
                <c:pt idx="2">
                  <c:v>0.035</c:v>
                </c:pt>
                <c:pt idx="3">
                  <c:v>0.043</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3f3ee6d8-d1b4-4a1d-8c79-6d66effb55ba}"/>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rgbClr val="000000"/>
                </a:solidFill>
                <a:latin typeface="Times New Roman" panose="02020603050405020304"/>
                <a:ea typeface="宋体" panose="02010600030101010101" charset="-122"/>
                <a:cs typeface="Arial" panose="020B0604020202020204" pitchFamily="2"/>
              </a:defRPr>
            </a:pPr>
            <a:r>
              <a:rPr lang="zh-CN" sz="1400" b="1" i="0" u="none" strike="noStrike" baseline="0">
                <a:solidFill>
                  <a:srgbClr val="404040"/>
                </a:solidFill>
                <a:latin typeface="Times New Roman" panose="02020603050405020304"/>
                <a:ea typeface="宋体" panose="02010600030101010101" charset="-122"/>
                <a:cs typeface="Arial" panose="020B0604020202020204" pitchFamily="2"/>
              </a:rPr>
              <a:t>财政拨款“三公”经费支出结构</a:t>
            </a:r>
            <a:endParaRPr lang="zh-CN" sz="1400" b="1" i="0" u="none" strike="noStrike" baseline="0">
              <a:solidFill>
                <a:srgbClr val="404040"/>
              </a:solidFill>
              <a:latin typeface="Times New Roman" panose="02020603050405020304"/>
              <a:ea typeface="宋体" panose="02010600030101010101" charset="-122"/>
              <a:cs typeface="Arial" panose="020B0604020202020204" pitchFamily="2"/>
            </a:endParaRPr>
          </a:p>
        </c:rich>
      </c:tx>
      <c:layout/>
      <c:overlay val="0"/>
      <c:spPr>
        <a:noFill/>
        <a:ln>
          <a:noFill/>
        </a:ln>
      </c:spPr>
    </c:title>
    <c:autoTitleDeleted val="0"/>
    <c:plotArea>
      <c:layout/>
      <c:pieChart>
        <c:varyColors val="1"/>
        <c:ser>
          <c:idx val="0"/>
          <c:order val="0"/>
          <c:tx>
            <c:strRef>
              <c:f>'Sheet1 (7)'!$B$1</c:f>
              <c:strCache>
                <c:ptCount val="1"/>
                <c:pt idx="0">
                  <c:v>“三公”经费财政拨款支出</c:v>
                </c:pt>
              </c:strCache>
            </c:strRef>
          </c:tx>
          <c:spPr>
            <a:solidFill>
              <a:srgbClr val="4F81BD"/>
            </a:solidFill>
          </c:spPr>
          <c:explosion val="0"/>
          <c:dPt>
            <c:idx val="0"/>
            <c:bubble3D val="0"/>
            <c:spPr>
              <a:solidFill>
                <a:srgbClr val="4F81BD"/>
              </a:solidFill>
              <a:ln w="6350">
                <a:solidFill>
                  <a:srgbClr val="FFFFFF"/>
                </a:solidFill>
                <a:prstDash val="solid"/>
              </a:ln>
            </c:spPr>
          </c:dPt>
          <c:dPt>
            <c:idx val="1"/>
            <c:bubble3D val="0"/>
            <c:spPr>
              <a:solidFill>
                <a:srgbClr val="C0504D"/>
              </a:solidFill>
              <a:ln w="6350">
                <a:solidFill>
                  <a:srgbClr val="FFFFFF"/>
                </a:solidFill>
                <a:prstDash val="solid"/>
              </a:ln>
            </c:spPr>
          </c:dPt>
          <c:dPt>
            <c:idx val="2"/>
            <c:bubble3D val="0"/>
            <c:spPr>
              <a:solidFill>
                <a:srgbClr val="9BBB59"/>
              </a:solidFill>
              <a:ln w="6350">
                <a:solidFill>
                  <a:srgbClr val="FFFFFF"/>
                </a:solidFill>
                <a:prstDash val="solid"/>
              </a:ln>
            </c:spPr>
          </c:dPt>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404040"/>
                    </a:solidFill>
                    <a:latin typeface="Times New Roman" panose="02020603050405020304"/>
                    <a:ea typeface="宋体" panose="02010600030101010101" charset="-122"/>
                    <a:cs typeface="Arial" panose="020B0604020202020204" pitchFamily="2"/>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ext>
            </c:extLst>
          </c:dLbls>
          <c:cat>
            <c:strRef>
              <c:f>'Sheet1 (7)'!$A$2:$A$4</c:f>
              <c:strCache>
                <c:ptCount val="3"/>
                <c:pt idx="0">
                  <c:v>因公出国</c:v>
                </c:pt>
                <c:pt idx="1">
                  <c:v>公车用车购置及运行维护费</c:v>
                </c:pt>
                <c:pt idx="2">
                  <c:v>公务接待费</c:v>
                </c:pt>
              </c:strCache>
            </c:strRef>
          </c:cat>
          <c:val>
            <c:numRef>
              <c:f>'Sheet1 (7)'!$B$2:$B$4</c:f>
              <c:numCache>
                <c:formatCode>General</c:formatCode>
                <c:ptCount val="3"/>
                <c:pt idx="0">
                  <c:v>0</c:v>
                </c:pt>
                <c:pt idx="1">
                  <c:v>1</c:v>
                </c:pt>
              </c:numCache>
            </c:numRef>
          </c:val>
        </c:ser>
        <c:dLbls>
          <c:showLegendKey val="0"/>
          <c:showVal val="1"/>
          <c:showCatName val="0"/>
          <c:showSerName val="0"/>
          <c:showPercent val="0"/>
          <c:showBubbleSize val="0"/>
          <c:showLeaderLines val="1"/>
        </c:dLbls>
        <c:firstSliceAng val="0"/>
      </c:pieChart>
      <c:spPr>
        <a:noFill/>
        <a:ln>
          <a:noFill/>
        </a:ln>
      </c:spPr>
    </c:plotArea>
    <c:legend>
      <c:legendPos val="t"/>
      <c:layout/>
      <c:overlay val="0"/>
      <c:spPr>
        <a:noFill/>
        <a:ln>
          <a:noFill/>
        </a:ln>
      </c:spPr>
      <c:txPr>
        <a:bodyPr rot="0" spcFirstLastPara="0" vertOverflow="ellipsis" vert="horz" wrap="square" anchor="ctr" anchorCtr="1"/>
        <a:lstStyle/>
        <a:p>
          <a:pPr>
            <a:defRPr lang="zh-CN" sz="900" b="0" i="0" u="none" strike="noStrike" kern="1200" baseline="0">
              <a:solidFill>
                <a:srgbClr val="595959"/>
              </a:solidFill>
              <a:latin typeface="Times New Roman" panose="02020603050405020304"/>
              <a:ea typeface="宋体" panose="02010600030101010101" charset="-122"/>
              <a:cs typeface="Arial" panose="020B0604020202020204" pitchFamily="2"/>
            </a:defRPr>
          </a:pPr>
        </a:p>
      </c:txPr>
    </c:legend>
    <c:plotVisOnly val="1"/>
    <c:dispBlanksAs val="gap"/>
    <c:showDLblsOverMax val="0"/>
    <c:extLst>
      <c:ext uri="{0b15fc19-7d7d-44ad-8c2d-2c3a37ce22c3}">
        <chartProps xmlns="https://web.wps.cn/et/2018/main" chartId="{91b25a18-d3cf-4cb1-a0d7-320037c58f66}"/>
      </c:ext>
    </c:extLst>
  </c:chart>
  <c:spPr>
    <a:solidFill>
      <a:srgbClr val="FFFFFF"/>
    </a:solidFill>
    <a:ln w="6350" cap="flat" cmpd="sng" algn="ctr">
      <a:solidFill>
        <a:srgbClr val="D9D9D9"/>
      </a:solidFill>
      <a:prstDash val="solid"/>
      <a:round/>
    </a:ln>
  </c:spPr>
  <c:txPr>
    <a:bodyPr/>
    <a:lstStyle/>
    <a:p>
      <a:pPr>
        <a:defRPr lang="zh-CN" sz="1000" b="0" i="0" u="none" strike="noStrike" baseline="0">
          <a:solidFill>
            <a:srgbClr val="000000"/>
          </a:solidFill>
          <a:latin typeface="Times New Roman" panose="02020603050405020304"/>
          <a:ea typeface="宋体" panose="02010600030101010101" charset="-122"/>
          <a:cs typeface="Arial" panose="020B0604020202020204" pitchFamily="2"/>
        </a:defRPr>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四川省财政厅</Company>
  <Pages>36</Pages>
  <Words>7280</Words>
  <Characters>7831</Characters>
  <Lines>2457</Lines>
  <Paragraphs>1164</Paragraphs>
  <TotalTime>26</TotalTime>
  <ScaleCrop>false</ScaleCrop>
  <LinksUpToDate>false</LinksUpToDate>
  <CharactersWithSpaces>7971</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v</cp:lastModifiedBy>
  <cp:lastPrinted>2026-09-03T10:15:00Z</cp:lastPrinted>
  <dcterms:modified xsi:type="dcterms:W3CDTF">2026-09-07T01:21:27Z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ACC9AF419AAD4A188CD2AA557CF7FC39_13</vt:lpwstr>
  </property>
  <property fmtid="{D5CDD505-2E9C-101B-9397-08002B2CF9AE}" pid="4" name="KSOTemplateDocerSaveRecord">
    <vt:lpwstr>eyJoZGlkIjoiNTViMTQ1Yzc4MWIwOGFmOTQzNjZkYmYxYjc2ZTdmNjAiLCJ1c2VySWQiOiI0NjYyMDY4NjEifQ==</vt:lpwstr>
  </property>
</Properties>
</file>