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bin" ContentType="application/vnd.openxmlformats-officedocument.oleObject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10219C2">
      <w:pPr>
        <w:spacing w:line="600" w:lineRule="exact"/>
        <w:jc w:val="center"/>
        <w:outlineLvl w:val="0"/>
        <w:rPr>
          <w:rFonts w:ascii="方正小标宋简体" w:eastAsia="方正小标宋简体"/>
          <w:color w:val="000000"/>
          <w:sz w:val="72"/>
          <w:szCs w:val="72"/>
        </w:rPr>
      </w:pPr>
      <w:bookmarkStart w:id="0" w:name="_Toc15396599"/>
      <w:bookmarkStart w:id="1" w:name="_Toc15377196"/>
    </w:p>
    <w:p w14:paraId="6D075053">
      <w:pPr>
        <w:spacing w:line="600" w:lineRule="exact"/>
        <w:jc w:val="center"/>
        <w:outlineLvl w:val="0"/>
        <w:rPr>
          <w:rFonts w:ascii="方正小标宋简体" w:eastAsia="方正小标宋简体"/>
          <w:color w:val="000000"/>
          <w:sz w:val="72"/>
          <w:szCs w:val="72"/>
        </w:rPr>
      </w:pPr>
    </w:p>
    <w:p w14:paraId="35F5C434">
      <w:pPr>
        <w:pStyle w:val="8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2025年度</w:t>
      </w:r>
    </w:p>
    <w:p w14:paraId="7C6DA703">
      <w:pPr>
        <w:pStyle w:val="8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四川省阿坝州茂县信访局</w:t>
      </w:r>
    </w:p>
    <w:p w14:paraId="133287BB">
      <w:pPr>
        <w:pStyle w:val="8"/>
        <w:jc w:val="center"/>
        <w:rPr>
          <w:rFonts w:hint="default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单位决算(本级)</w:t>
      </w:r>
    </w:p>
    <w:p w14:paraId="5D80F318">
      <w:pPr>
        <w:widowControl/>
        <w:jc w:val="center"/>
        <w:rPr>
          <w:rFonts w:ascii="方正小标宋简体" w:eastAsia="方正小标宋简体"/>
          <w:color w:val="000000"/>
          <w:sz w:val="36"/>
          <w:szCs w:val="36"/>
        </w:rPr>
      </w:pPr>
    </w:p>
    <w:p w14:paraId="7011066D">
      <w:pPr>
        <w:rPr>
          <w:rFonts w:ascii="方正小标宋简体" w:eastAsia="方正小标宋简体"/>
          <w:sz w:val="36"/>
          <w:szCs w:val="36"/>
        </w:rPr>
      </w:pPr>
    </w:p>
    <w:p w14:paraId="15AFECB8">
      <w:pPr>
        <w:rPr>
          <w:rFonts w:ascii="方正小标宋简体" w:eastAsia="方正小标宋简体"/>
          <w:sz w:val="36"/>
          <w:szCs w:val="36"/>
        </w:rPr>
      </w:pPr>
    </w:p>
    <w:p w14:paraId="56FD920B">
      <w:pPr>
        <w:rPr>
          <w:rFonts w:ascii="方正小标宋简体" w:eastAsia="方正小标宋简体"/>
          <w:sz w:val="36"/>
          <w:szCs w:val="36"/>
        </w:rPr>
      </w:pPr>
    </w:p>
    <w:p w14:paraId="35B950AB">
      <w:pPr>
        <w:rPr>
          <w:rFonts w:ascii="方正小标宋简体" w:eastAsia="方正小标宋简体"/>
          <w:sz w:val="36"/>
          <w:szCs w:val="36"/>
        </w:rPr>
      </w:pPr>
    </w:p>
    <w:p w14:paraId="623B0A87">
      <w:pPr>
        <w:rPr>
          <w:rFonts w:ascii="方正小标宋简体" w:eastAsia="方正小标宋简体"/>
          <w:sz w:val="36"/>
          <w:szCs w:val="36"/>
        </w:rPr>
      </w:pPr>
    </w:p>
    <w:p w14:paraId="36664F99">
      <w:pPr>
        <w:autoSpaceDE w:val="0"/>
        <w:autoSpaceDN w:val="0"/>
        <w:adjustRightInd w:val="0"/>
        <w:jc w:val="left"/>
        <w:rPr>
          <w:rFonts w:hint="eastAsia" w:ascii="仿宋_GB2312" w:eastAsia="仿宋_GB2312" w:cs="仿宋_GB2312"/>
          <w:sz w:val="32"/>
          <w:szCs w:val="32"/>
          <w:lang w:eastAsia="zh-CN"/>
        </w:rPr>
      </w:pPr>
    </w:p>
    <w:p w14:paraId="74C521CF">
      <w:pPr>
        <w:autoSpaceDE w:val="0"/>
        <w:autoSpaceDN w:val="0"/>
        <w:adjustRightInd w:val="0"/>
        <w:ind w:firstLine="1280" w:firstLineChars="400"/>
        <w:jc w:val="left"/>
        <w:rPr>
          <w:rFonts w:hint="eastAsia" w:ascii="仿宋_GB2312" w:eastAsia="仿宋_GB2312" w:cs="仿宋_GB2312"/>
          <w:sz w:val="32"/>
          <w:szCs w:val="32"/>
          <w:lang w:eastAsia="zh-CN"/>
        </w:rPr>
      </w:pPr>
    </w:p>
    <w:p w14:paraId="4C9499AD">
      <w:pPr>
        <w:autoSpaceDE w:val="0"/>
        <w:autoSpaceDN w:val="0"/>
        <w:adjustRightInd w:val="0"/>
        <w:jc w:val="both"/>
        <w:rPr>
          <w:rFonts w:hint="eastAsia" w:eastAsia="仿宋_GB2312"/>
          <w:sz w:val="32"/>
          <w:szCs w:val="32"/>
          <w:lang w:eastAsia="zh-CN"/>
        </w:rPr>
      </w:pPr>
    </w:p>
    <w:p w14:paraId="1C5E1F6E">
      <w:pPr>
        <w:widowControl/>
        <w:jc w:val="left"/>
        <w:rPr>
          <w:rFonts w:ascii="方正小标宋简体" w:eastAsia="方正小标宋简体"/>
          <w:sz w:val="36"/>
          <w:szCs w:val="36"/>
        </w:rPr>
      </w:pPr>
    </w:p>
    <w:p w14:paraId="78087001">
      <w:pPr>
        <w:pageBreakBefore w:val="0"/>
        <w:widowControl/>
        <w:kinsoku/>
        <w:wordWrap/>
        <w:overflowPunct/>
        <w:topLinePunct w:val="0"/>
        <w:bidi w:val="0"/>
        <w:spacing w:line="576" w:lineRule="exact"/>
        <w:jc w:val="center"/>
        <w:textAlignment w:val="auto"/>
        <w:rPr>
          <w:rFonts w:ascii="黑体" w:eastAsia="黑体"/>
          <w:color w:val="000000"/>
          <w:sz w:val="48"/>
          <w:szCs w:val="48"/>
        </w:rPr>
      </w:pPr>
      <w:r>
        <w:rPr>
          <w:rFonts w:ascii="方正小标宋简体" w:eastAsia="方正小标宋简体"/>
          <w:sz w:val="36"/>
          <w:szCs w:val="36"/>
        </w:rPr>
        <w:br w:type="page"/>
      </w:r>
      <w:r>
        <w:rPr>
          <w:rFonts w:hint="eastAsia" w:ascii="黑体" w:eastAsia="黑体"/>
          <w:color w:val="000000"/>
          <w:sz w:val="48"/>
          <w:szCs w:val="48"/>
        </w:rPr>
        <w:t>目录</w:t>
      </w:r>
    </w:p>
    <w:p w14:paraId="42A88DB6">
      <w:pPr>
        <w:pStyle w:val="13"/>
        <w:pageBreakBefore w:val="0"/>
        <w:widowControl w:val="0"/>
        <w:kinsoku/>
        <w:wordWrap/>
        <w:overflowPunct/>
        <w:topLinePunct w:val="0"/>
        <w:bidi w:val="0"/>
        <w:spacing w:line="576" w:lineRule="exact"/>
        <w:jc w:val="center"/>
        <w:textAlignment w:val="auto"/>
        <w:rPr>
          <w:rFonts w:hint="eastAsia" w:ascii="仿宋_GB2312" w:eastAsia="仿宋_GB2312" w:cs="仿宋_GB2312"/>
          <w:bCs/>
          <w:sz w:val="28"/>
          <w:szCs w:val="28"/>
        </w:rPr>
      </w:pPr>
      <w:r>
        <w:rPr>
          <w:rFonts w:hint="eastAsia" w:ascii="仿宋_GB2312" w:eastAsia="仿宋_GB2312" w:cs="仿宋_GB2312"/>
          <w:bCs/>
          <w:sz w:val="28"/>
          <w:szCs w:val="28"/>
        </w:rPr>
        <w:t>公开时间：202</w:t>
      </w:r>
      <w:r>
        <w:rPr>
          <w:rFonts w:hint="eastAsia" w:ascii="仿宋_GB2312" w:eastAsia="仿宋_GB2312" w:cs="仿宋_GB2312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Cs/>
          <w:sz w:val="28"/>
          <w:szCs w:val="28"/>
        </w:rPr>
        <w:t>年</w:t>
      </w:r>
      <w:r>
        <w:rPr>
          <w:rFonts w:hint="eastAsia" w:ascii="仿宋_GB2312" w:eastAsia="仿宋_GB2312" w:cs="仿宋_GB2312"/>
          <w:bCs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Cs/>
          <w:sz w:val="28"/>
          <w:szCs w:val="28"/>
        </w:rPr>
        <w:t>月</w:t>
      </w:r>
      <w:r>
        <w:rPr>
          <w:rFonts w:hint="eastAsia" w:ascii="仿宋_GB2312" w:eastAsia="仿宋_GB2312" w:cs="仿宋_GB2312"/>
          <w:bCs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 w:cs="仿宋_GB2312"/>
          <w:bCs/>
          <w:sz w:val="28"/>
          <w:szCs w:val="28"/>
        </w:rPr>
        <w:t>日</w:t>
      </w:r>
    </w:p>
    <w:p w14:paraId="1BBCC152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TOC \o "1-3" \h \u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instrText xml:space="preserve"> HYPERLINK \l _Toc23324 </w:instrTex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bidi="ar-SA"/>
        </w:rPr>
        <w:t>第</w:t>
      </w:r>
      <w:r>
        <w:rPr>
          <w:rFonts w:hint="eastAsia" w:ascii="Times New Roman" w:hAnsi="Times New Roman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一部分 单位概况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ab/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fldChar w:fldCharType="end"/>
      </w:r>
    </w:p>
    <w:p w14:paraId="3D787CD9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_Toc14656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kern w:val="2"/>
          <w:sz w:val="32"/>
          <w:szCs w:val="32"/>
          <w:lang w:bidi="ar-SA"/>
        </w:rPr>
        <w:t>一、主要职责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06E9F126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_Toc30733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bCs/>
          <w:sz w:val="32"/>
          <w:szCs w:val="32"/>
        </w:rPr>
        <w:t>（一）主要职能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7F866339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_Toc10669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kern w:val="2"/>
          <w:sz w:val="32"/>
          <w:szCs w:val="32"/>
          <w:lang w:bidi="ar-SA"/>
        </w:rPr>
        <w:t>二、机构设置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43BD8F8A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 HYPERLINK \l _Toc26951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bidi="ar-SA"/>
        </w:rPr>
        <w:t>第二部分 202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5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bidi="ar-SA"/>
        </w:rPr>
        <w:t>年度单位决算情况说明</w:t>
      </w:r>
      <w:r>
        <w:rPr>
          <w:rFonts w:hint="eastAsia" w:ascii="仿宋_GB2312" w:eastAsia="仿宋_GB2312" w:cs="仿宋_GB2312"/>
          <w:sz w:val="28"/>
          <w:szCs w:val="28"/>
        </w:rPr>
        <w:tab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 w:cs="仿宋_GB2312"/>
          <w:sz w:val="28"/>
          <w:szCs w:val="28"/>
        </w:rPr>
        <w:fldChar w:fldCharType="end"/>
      </w:r>
    </w:p>
    <w:p w14:paraId="0546E5B4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_Toc12554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一、 收入支出决算总体情况说明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257E4157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_Toc11583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二、 收入决算情况说明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5DC336C0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_Toc18578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三、 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60E4A43B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_Toc26488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四、 财政拨款收入支出决算总体情况说明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5F89B0AF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_Toc5657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五、 一般公共预算财政拨款支出决算情况说明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0C8B9605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_Toc3691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（一）一般公共预算财政拨款支出决算总体情况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4D4742E4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_Toc26183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（二）一般公共预算财政拨款支出决算结构情况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7E6DD8E3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_Toc29675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（三）一般公共预算财政拨款支出决算具体情况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52FAD1A6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_Toc17476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六、一般公共预算财政拨款基本支出决算情况说明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8</w:t>
      </w:r>
    </w:p>
    <w:p w14:paraId="4E925C7E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_Toc31902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七、财政拨款“三公”经费支出决算情况说明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7BF2135D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_Toc22479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（一）“三公”经费财政拨款支出决算总体情况说明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52C6D8E4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_Toc30765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（二）“三公”经费财政拨款支出决算具体情况说明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</w:t>
      </w:r>
    </w:p>
    <w:p w14:paraId="16AA5755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_Toc1331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八、政府性基金预算支出决算情况说明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0DCBA212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_Toc18417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九、国有资本经营预算支出决算情况说明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4B225B56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_Toc26033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-SA"/>
        </w:rPr>
        <w:t>十、其他重要事项的情况说明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256A0EC7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_Toc12341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（一）机关运行经费支出情况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</w:p>
    <w:p w14:paraId="2E733C4E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_Toc9297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（二）政府采购支出情况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</w:p>
    <w:p w14:paraId="2F93B944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_Toc20536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（三）国有资产占有使用情况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</w:p>
    <w:p w14:paraId="127935A1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_Toc27201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（四）预算绩效管理情况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</w:p>
    <w:p w14:paraId="47618244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 HYPERLINK \l _Toc24473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第三部分 名词解释</w:t>
      </w:r>
      <w:r>
        <w:rPr>
          <w:rFonts w:hint="eastAsia" w:ascii="仿宋_GB2312" w:eastAsia="仿宋_GB2312" w:cs="仿宋_GB2312"/>
          <w:sz w:val="28"/>
          <w:szCs w:val="28"/>
        </w:rPr>
        <w:tab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2</w:t>
      </w:r>
    </w:p>
    <w:p w14:paraId="4FA4FCAD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 HYPERLINK \l _Toc9504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 w:bidi="ar-SA"/>
        </w:rPr>
        <w:t>第四部分 附表</w:t>
      </w:r>
      <w:r>
        <w:rPr>
          <w:rFonts w:hint="eastAsia" w:ascii="仿宋_GB2312" w:eastAsia="仿宋_GB2312" w:cs="仿宋_GB2312"/>
          <w:sz w:val="28"/>
          <w:szCs w:val="28"/>
        </w:rPr>
        <w:tab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4</w:t>
      </w:r>
    </w:p>
    <w:p w14:paraId="3C041D6E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4ADD4B1D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38752C4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8015DCF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5A4CE70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6C2D7E0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29EDDAC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20C2ACA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242F1A9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14B1E1C8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AF4D9D7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1B079882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FB6DCC5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42FDEEC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1EADE039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3531F88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7AC4883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FB0F9F2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9B88C82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2A70B89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24FD5BB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一、收入支出决算总表</w:t>
      </w:r>
    </w:p>
    <w:p w14:paraId="115E49A0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二、收入决算表</w:t>
      </w:r>
    </w:p>
    <w:p w14:paraId="4D575898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eastAsia="仿宋" w:cs="Times New Roman"/>
          <w:b w:val="0"/>
          <w:color w:val="000000"/>
          <w:kern w:val="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三、支</w:t>
      </w:r>
      <w:r>
        <w:rPr>
          <w:rFonts w:hint="eastAsia" w:ascii="仿宋" w:eastAsia="仿宋" w:cs="Times New Roman"/>
          <w:b w:val="0"/>
          <w:color w:val="000000"/>
          <w:kern w:val="2"/>
          <w:sz w:val="32"/>
          <w:szCs w:val="32"/>
          <w:lang w:bidi="ar-SA"/>
        </w:rPr>
        <w:t>出决算表</w:t>
      </w:r>
    </w:p>
    <w:p w14:paraId="4609957F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四、财政拨款收入支出决算总表</w:t>
      </w:r>
    </w:p>
    <w:p w14:paraId="627230EE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五、财政拨款支出决算明细表</w:t>
      </w:r>
    </w:p>
    <w:p w14:paraId="2BB39845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六、一般公共预算财政拨款支出决算表</w:t>
      </w:r>
    </w:p>
    <w:p w14:paraId="2AB550A2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七、一般公共预算财政拨款支出决算明细表</w:t>
      </w:r>
    </w:p>
    <w:p w14:paraId="6C069BD7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八、一般公共预算财政拨款基本支出决算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明细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表</w:t>
      </w:r>
    </w:p>
    <w:p w14:paraId="3C3B77A9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九、一般公共预算财政拨款项目支出决算表</w:t>
      </w:r>
    </w:p>
    <w:p w14:paraId="4C5BEE47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十、政府性基金预算财政拨款收入支出决算表</w:t>
      </w:r>
    </w:p>
    <w:p w14:paraId="43F3AB5F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十一、国有资本经营预算财政拨款收入支出决算表</w:t>
      </w:r>
    </w:p>
    <w:p w14:paraId="507B3B4B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十二、国有资本经营预算财政拨款支出决算表</w:t>
      </w:r>
    </w:p>
    <w:p w14:paraId="3B369CBD">
      <w:pPr>
        <w:pStyle w:val="14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十三、财政拨款“三公”经费支出决算表</w:t>
      </w:r>
    </w:p>
    <w:p w14:paraId="7CB7EC03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759D6CF6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3DC92D26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0017A159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2FC4CFD1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1453E7A6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7CA0625D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1FB5425F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59869682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7AE6B3AF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2B6F0552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525AEB90">
      <w:pPr>
        <w:pageBreakBefore w:val="0"/>
        <w:widowControl w:val="0"/>
        <w:kinsoku/>
        <w:wordWrap/>
        <w:overflowPunct/>
        <w:topLinePunct w:val="0"/>
        <w:bidi w:val="0"/>
        <w:spacing w:line="240" w:lineRule="auto"/>
        <w:textAlignment w:val="auto"/>
        <w:rPr>
          <w:rStyle w:val="29"/>
          <w:rFonts w:hint="eastAsia" w:ascii="黑体" w:eastAsia="黑体"/>
          <w:b w:val="0"/>
          <w:bCs w:val="0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Style w:val="29"/>
          <w:rFonts w:hint="eastAsia" w:ascii="黑体" w:eastAsia="黑体"/>
          <w:b w:val="0"/>
          <w:bCs w:val="0"/>
        </w:rPr>
        <w:t>第一部分</w:t>
      </w:r>
      <w:r>
        <w:rPr>
          <w:rFonts w:hint="eastAsia" w:ascii="黑体" w:eastAsia="黑体"/>
          <w:b w:val="0"/>
        </w:rPr>
        <w:t xml:space="preserve"> </w:t>
      </w:r>
      <w:r>
        <w:rPr>
          <w:rStyle w:val="29"/>
          <w:rFonts w:hint="eastAsia" w:ascii="黑体" w:eastAsia="黑体"/>
          <w:b w:val="0"/>
          <w:bCs w:val="0"/>
        </w:rPr>
        <w:t>单位概况</w:t>
      </w:r>
      <w:bookmarkEnd w:id="0"/>
      <w:bookmarkEnd w:id="1"/>
    </w:p>
    <w:p w14:paraId="03B2EE38">
      <w:pPr>
        <w:rPr>
          <w:rFonts w:hint="eastAsia" w:asci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 xml:space="preserve"> </w:t>
      </w:r>
    </w:p>
    <w:p w14:paraId="071442CC">
      <w:pPr>
        <w:ind w:firstLine="960" w:firstLineChars="300"/>
        <w:rPr>
          <w:rFonts w:hint="eastAsia" w:ascii="黑体" w:eastAsia="黑体" w:cs="黑体"/>
          <w:sz w:val="32"/>
          <w:szCs w:val="32"/>
          <w:lang w:eastAsia="zh-CN"/>
        </w:rPr>
      </w:pPr>
      <w:r>
        <w:rPr>
          <w:rFonts w:hint="eastAsia" w:ascii="黑体" w:eastAsia="黑体" w:cs="黑体"/>
          <w:sz w:val="32"/>
          <w:szCs w:val="32"/>
        </w:rPr>
        <w:t>一、主要</w:t>
      </w:r>
      <w:r>
        <w:rPr>
          <w:rFonts w:hint="eastAsia" w:ascii="黑体" w:eastAsia="黑体" w:cs="黑体"/>
          <w:sz w:val="32"/>
          <w:szCs w:val="32"/>
          <w:lang w:eastAsia="zh-CN"/>
        </w:rPr>
        <w:t>职责</w:t>
      </w:r>
    </w:p>
    <w:p w14:paraId="7187C475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楷体_GB2312" w:eastAsia="楷体_GB2312" w:cs="楷体_GB2312"/>
          <w:b/>
          <w:bCs/>
          <w:sz w:val="32"/>
          <w:szCs w:val="32"/>
        </w:rPr>
        <w:t>（一）主要职能</w:t>
      </w:r>
    </w:p>
    <w:p w14:paraId="2D4AB3B2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</w:rPr>
        <w:t>1.起草有关信访工作的规范性文件草案。制定信访问题排查化解、风险评估等制度并组织实施，提出改进和加强信访工作的意见和建议。负责本部门依法行政工作。</w:t>
      </w:r>
    </w:p>
    <w:p w14:paraId="11A528CF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2.负责向县委、县政府反映来信来电来访中提出的重要建议、意见和问题，综合研判信访信息，开展调查研究，提出相关建议。</w:t>
      </w:r>
    </w:p>
    <w:p w14:paraId="51D2BE0E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3.综合协调指导全县信访工作，推动建立健全信访工作的协调配合机制。督促检查县直各部门（单位）和乡镇信访工作，总结推广信访工作先进经验，协调信访工作宣传和信息发布。</w:t>
      </w:r>
    </w:p>
    <w:p w14:paraId="7FC54503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4.负责处理县内外群众、境外人士、法人及其他组织通过信访渠道给县委、县政府及领导同志的来信来电，接待来访。</w:t>
      </w:r>
    </w:p>
    <w:p w14:paraId="755B850A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5.承担协调处理群众进京到省去州来县集体上访和非正常上访的责任，综合协调处理跨地区、跨部门的重要信访问题。</w:t>
      </w:r>
    </w:p>
    <w:p w14:paraId="1023A9E0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6.负责落实国家、省、州、县领导批示交办信访事项，受理、交办、转办（送）群众来信、来电、来访、网上信访提出的信访事项，督促检查重要信访事项的处理和落实。</w:t>
      </w:r>
    </w:p>
    <w:p w14:paraId="5FDA147A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7.加强对信访问题排查化解和社情民意汇集分析，重点开展法律法规政策宣传和思想教育疏导，将信访工作的重点由事后处理转移到事前排查化解，增强信访工作的预见性和针对性。</w:t>
      </w:r>
    </w:p>
    <w:p w14:paraId="06E18BB9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8.加强对重大信访事项的督查督办，完善信访诉求表达方式，进一步畅通信访渠道，确保信访工作决策部署得到贯彻落实，推动群众信访问题得到妥善解决。</w:t>
      </w:r>
    </w:p>
    <w:p w14:paraId="054D1F7B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9.建立和完善信访信息汇集分析机制，指导信访信息系统建设和应用。</w:t>
      </w:r>
    </w:p>
    <w:p w14:paraId="5D4876E0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10.开展网上信访工作，探索“互联网+信访”新模式，推动信访信息化建设。</w:t>
      </w:r>
    </w:p>
    <w:p w14:paraId="07ED6028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11.承担县信访工作联席会议、县政府信访事项复查复核委员会日常工作，督促落实有关事项。</w:t>
      </w:r>
    </w:p>
    <w:p w14:paraId="647BA34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12.完成县委、县政府交办的其他任务。</w:t>
      </w:r>
    </w:p>
    <w:p w14:paraId="3C456426">
      <w:pPr>
        <w:rPr>
          <w:rFonts w:hint="eastAsia" w:ascii="黑体" w:eastAsia="黑体" w:cs="黑体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二、机构设置</w:t>
      </w:r>
    </w:p>
    <w:p w14:paraId="4CC7166E">
      <w:pPr>
        <w:ind w:firstLine="64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茂县信访局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本级</w:t>
      </w:r>
      <w:r>
        <w:rPr>
          <w:rFonts w:hint="eastAsia" w:ascii="仿宋_GB2312" w:eastAsia="仿宋_GB2312" w:cs="仿宋_GB2312"/>
          <w:sz w:val="32"/>
          <w:szCs w:val="32"/>
        </w:rPr>
        <w:t>下属二级单位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个，其中行政单位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个，参照公务员法管理的事业单位0个，其他事业单位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个。</w:t>
      </w:r>
      <w:bookmarkStart w:id="2" w:name="_Toc15396602"/>
      <w:bookmarkStart w:id="3" w:name="_Toc15377204"/>
    </w:p>
    <w:p w14:paraId="666A8CC1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253781B6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60FAABFA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4BD91962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7E61A887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00665837">
      <w:pPr>
        <w:widowControl/>
        <w:jc w:val="both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26DA0DDE">
      <w:pPr>
        <w:widowControl/>
        <w:ind w:firstLine="880" w:firstLineChars="200"/>
        <w:jc w:val="both"/>
        <w:rPr>
          <w:rStyle w:val="29"/>
          <w:rFonts w:hint="eastAsia" w:ascii="黑体" w:eastAsia="黑体"/>
          <w:b w:val="0"/>
          <w:bCs w:val="0"/>
        </w:rPr>
      </w:pPr>
    </w:p>
    <w:p w14:paraId="7F1FB581">
      <w:pPr>
        <w:widowControl/>
        <w:ind w:firstLine="880" w:firstLineChars="200"/>
        <w:jc w:val="both"/>
        <w:rPr>
          <w:rStyle w:val="29"/>
          <w:rFonts w:hint="eastAsia" w:ascii="黑体" w:eastAsia="黑体"/>
          <w:b w:val="0"/>
          <w:bCs w:val="0"/>
        </w:rPr>
      </w:pPr>
    </w:p>
    <w:p w14:paraId="0FAE7ECE">
      <w:pPr>
        <w:widowControl/>
        <w:ind w:firstLine="880" w:firstLineChars="200"/>
        <w:jc w:val="both"/>
        <w:rPr>
          <w:rStyle w:val="29"/>
          <w:rFonts w:ascii="黑体" w:eastAsia="黑体"/>
          <w:b w:val="0"/>
          <w:bCs w:val="0"/>
        </w:rPr>
      </w:pPr>
      <w:r>
        <w:rPr>
          <w:rStyle w:val="29"/>
          <w:rFonts w:hint="eastAsia" w:ascii="黑体" w:eastAsia="黑体"/>
          <w:b w:val="0"/>
          <w:bCs w:val="0"/>
        </w:rPr>
        <w:t>第二部分 20</w:t>
      </w:r>
      <w:r>
        <w:rPr>
          <w:rStyle w:val="29"/>
          <w:rFonts w:hint="eastAsia" w:ascii="黑体" w:eastAsia="黑体"/>
          <w:b w:val="0"/>
          <w:bCs w:val="0"/>
          <w:lang w:val="en-US" w:eastAsia="zh-CN"/>
        </w:rPr>
        <w:t>25</w:t>
      </w:r>
      <w:r>
        <w:rPr>
          <w:rStyle w:val="29"/>
          <w:rFonts w:hint="eastAsia" w:ascii="黑体" w:eastAsia="黑体"/>
          <w:b w:val="0"/>
          <w:bCs w:val="0"/>
        </w:rPr>
        <w:t>年度</w:t>
      </w:r>
      <w:r>
        <w:rPr>
          <w:rStyle w:val="29"/>
          <w:rFonts w:hint="eastAsia" w:ascii="黑体" w:eastAsia="黑体"/>
          <w:b w:val="0"/>
          <w:bCs w:val="0"/>
          <w:lang w:eastAsia="zh-CN"/>
        </w:rPr>
        <w:t>单位</w:t>
      </w:r>
      <w:r>
        <w:rPr>
          <w:rStyle w:val="29"/>
          <w:rFonts w:hint="eastAsia" w:ascii="黑体" w:eastAsia="黑体"/>
          <w:b w:val="0"/>
          <w:bCs w:val="0"/>
        </w:rPr>
        <w:t>决算情况说明</w:t>
      </w:r>
      <w:bookmarkEnd w:id="2"/>
      <w:bookmarkEnd w:id="3"/>
    </w:p>
    <w:p w14:paraId="6CB70324">
      <w:pPr>
        <w:jc w:val="center"/>
      </w:pPr>
    </w:p>
    <w:p w14:paraId="601A02B8">
      <w:pPr>
        <w:pStyle w:val="35"/>
        <w:spacing w:line="600" w:lineRule="exact"/>
        <w:ind w:left="0" w:firstLine="640" w:firstLineChars="200"/>
        <w:outlineLvl w:val="1"/>
        <w:rPr>
          <w:rStyle w:val="30"/>
          <w:rFonts w:ascii="黑体" w:eastAsia="黑体"/>
          <w:b w:val="0"/>
        </w:rPr>
      </w:pPr>
      <w:bookmarkStart w:id="4" w:name="_Toc15396603"/>
      <w:bookmarkStart w:id="5" w:name="_Toc15377205"/>
      <w:r>
        <w:rPr>
          <w:rFonts w:hint="eastAsia" w:ascii="黑体" w:eastAsia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eastAsia="黑体"/>
          <w:color w:val="000000"/>
          <w:sz w:val="32"/>
          <w:szCs w:val="32"/>
        </w:rPr>
        <w:t>收</w:t>
      </w:r>
      <w:r>
        <w:rPr>
          <w:rStyle w:val="30"/>
          <w:rFonts w:hint="eastAsia" w:ascii="黑体" w:eastAsia="黑体"/>
          <w:b w:val="0"/>
        </w:rPr>
        <w:t>入支出决算总体情况说明</w:t>
      </w:r>
      <w:bookmarkEnd w:id="4"/>
      <w:bookmarkEnd w:id="5"/>
    </w:p>
    <w:p w14:paraId="27A25040">
      <w:pPr>
        <w:ind w:firstLine="64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年度收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、支</w:t>
      </w:r>
      <w:r>
        <w:rPr>
          <w:rFonts w:hint="eastAsia" w:ascii="仿宋_GB2312" w:eastAsia="仿宋_GB2312" w:cs="仿宋_GB2312"/>
          <w:sz w:val="32"/>
          <w:szCs w:val="32"/>
        </w:rPr>
        <w:t>总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计均为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</w:t>
      </w:r>
      <w:r>
        <w:rPr>
          <w:rFonts w:hint="eastAsia" w:ascii="仿宋_GB2312" w:eastAsia="仿宋_GB2312" w:cs="仿宋_GB2312"/>
          <w:sz w:val="32"/>
          <w:szCs w:val="32"/>
        </w:rPr>
        <w:t>万元。与20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eastAsia="仿宋_GB2312" w:cs="仿宋_GB2312"/>
          <w:sz w:val="32"/>
          <w:szCs w:val="32"/>
        </w:rPr>
        <w:t>相比，收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、支总计各增加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1.28</w:t>
      </w:r>
      <w:r>
        <w:rPr>
          <w:rFonts w:hint="eastAsia" w:ascii="仿宋_GB2312" w:eastAsia="仿宋_GB2312" w:cs="仿宋_GB2312"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，增长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0.81</w:t>
      </w:r>
      <w:r>
        <w:rPr>
          <w:rFonts w:hint="eastAsia" w:ascii="仿宋_GB2312" w:eastAsia="仿宋_GB2312" w:cs="仿宋_GB2312"/>
          <w:sz w:val="32"/>
          <w:szCs w:val="32"/>
        </w:rPr>
        <w:t>%。主要变动原因是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人员增加。</w:t>
      </w:r>
    </w:p>
    <w:p w14:paraId="2AEEF165">
      <w:pPr>
        <w:spacing w:line="600" w:lineRule="exact"/>
        <w:ind w:firstLine="640" w:firstLineChars="200"/>
        <w:rPr>
          <w:rFonts w:hint="eastAsia" w:asci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6" o:spid="_x0000_s1026" o:spt="75" alt="image1" type="#_x0000_t75" style="position:absolute;left:0pt;margin-left:40.1pt;margin-top:20.75pt;height:197.35pt;width:341.7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square"/>
          </v:shape>
          <o:OLEObject Type="Embed" ProgID="Package" ShapeID="_x0000_s1026" DrawAspect="Content" ObjectID="_1468075725" r:id="rId8">
            <o:LockedField>false</o:LockedField>
          </o:OLEObject>
        </w:pict>
      </w:r>
    </w:p>
    <w:p w14:paraId="526BD4DB">
      <w:pPr>
        <w:spacing w:line="600" w:lineRule="exact"/>
        <w:ind w:firstLine="640" w:firstLineChars="200"/>
        <w:rPr>
          <w:rFonts w:hint="eastAsia" w:ascii="仿宋" w:eastAsia="仿宋"/>
          <w:color w:val="000000"/>
          <w:sz w:val="32"/>
          <w:szCs w:val="32"/>
          <w:lang w:eastAsia="zh-CN"/>
        </w:rPr>
      </w:pPr>
    </w:p>
    <w:p w14:paraId="3155338F">
      <w:pPr>
        <w:spacing w:line="600" w:lineRule="exact"/>
        <w:ind w:firstLine="640" w:firstLineChars="200"/>
        <w:rPr>
          <w:rStyle w:val="30"/>
          <w:rFonts w:ascii="黑体" w:eastAsia="黑体"/>
          <w:b w:val="0"/>
        </w:rPr>
      </w:pPr>
      <w:bookmarkStart w:id="6" w:name="_Toc15377206"/>
      <w:bookmarkStart w:id="7" w:name="_Toc15396604"/>
    </w:p>
    <w:p w14:paraId="42ED9A9A">
      <w:pPr>
        <w:pStyle w:val="35"/>
        <w:spacing w:line="600" w:lineRule="exact"/>
        <w:ind w:left="0" w:firstLine="640" w:firstLineChars="200"/>
        <w:outlineLvl w:val="1"/>
        <w:rPr>
          <w:rStyle w:val="30"/>
          <w:rFonts w:ascii="黑体" w:eastAsia="黑体"/>
          <w:b w:val="0"/>
        </w:rPr>
      </w:pPr>
      <w:r>
        <w:rPr>
          <w:rFonts w:hint="eastAsia" w:ascii="黑体" w:eastAsia="黑体"/>
          <w:color w:val="000000"/>
          <w:sz w:val="32"/>
          <w:szCs w:val="32"/>
          <w:lang w:eastAsia="zh-CN"/>
        </w:rPr>
        <w:t>二、</w:t>
      </w:r>
      <w:r>
        <w:rPr>
          <w:rFonts w:hint="eastAsia" w:ascii="黑体" w:eastAsia="黑体"/>
          <w:color w:val="000000"/>
          <w:sz w:val="32"/>
          <w:szCs w:val="32"/>
        </w:rPr>
        <w:t>收</w:t>
      </w:r>
      <w:r>
        <w:rPr>
          <w:rStyle w:val="30"/>
          <w:rFonts w:hint="eastAsia" w:ascii="黑体" w:eastAsia="黑体"/>
          <w:b w:val="0"/>
        </w:rPr>
        <w:t>入决算情况说明</w:t>
      </w:r>
      <w:bookmarkEnd w:id="6"/>
      <w:bookmarkEnd w:id="7"/>
    </w:p>
    <w:p w14:paraId="72BD8872">
      <w:pPr>
        <w:ind w:firstLine="64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年度本年收入合计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万元，其中：一般公共预算财政拨款收入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</w:t>
      </w:r>
    </w:p>
    <w:p w14:paraId="41A25D52">
      <w:pPr>
        <w:pStyle w:val="35"/>
        <w:spacing w:line="600" w:lineRule="exact"/>
        <w:outlineLvl w:val="1"/>
        <w:rPr>
          <w:rFonts w:hint="eastAsia" w:ascii="黑体" w:eastAsia="黑体"/>
          <w:color w:val="000000"/>
          <w:sz w:val="32"/>
          <w:szCs w:val="32"/>
          <w:lang w:val="en-US" w:eastAsia="zh-CN"/>
        </w:rPr>
      </w:pPr>
      <w:bookmarkStart w:id="8" w:name="_Toc15396605"/>
      <w:bookmarkStart w:id="9" w:name="_Toc15377207"/>
      <w:r>
        <w:rPr>
          <w:rFonts w:ascii="仿宋_GB2312" w:eastAsia="仿宋_GB2312"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241300</wp:posOffset>
            </wp:positionH>
            <wp:positionV relativeFrom="paragraph">
              <wp:posOffset>90805</wp:posOffset>
            </wp:positionV>
            <wp:extent cx="5038090" cy="1970405"/>
            <wp:effectExtent l="0" t="0" r="10160" b="10795"/>
            <wp:wrapSquare wrapText="bothSides"/>
            <wp:docPr id="3" name="图片 1" descr="0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1_副本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197040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</w:p>
    <w:p w14:paraId="76303F88">
      <w:pPr>
        <w:pStyle w:val="35"/>
        <w:spacing w:line="600" w:lineRule="exact"/>
        <w:ind w:left="638" w:leftChars="304" w:firstLine="0" w:firstLineChars="0"/>
        <w:outlineLvl w:val="1"/>
        <w:rPr>
          <w:rStyle w:val="30"/>
          <w:rFonts w:ascii="黑体" w:eastAsia="黑体"/>
          <w:b w:val="0"/>
        </w:rPr>
      </w:pPr>
      <w:r>
        <w:rPr>
          <w:rFonts w:hint="eastAsia" w:ascii="黑体" w:eastAsia="黑体"/>
          <w:color w:val="000000"/>
          <w:sz w:val="32"/>
          <w:szCs w:val="32"/>
          <w:lang w:eastAsia="zh-CN"/>
        </w:rPr>
        <w:t>三、</w:t>
      </w:r>
      <w:r>
        <w:rPr>
          <w:rFonts w:hint="eastAsia" w:ascii="黑体" w:eastAsia="黑体"/>
          <w:color w:val="000000"/>
          <w:sz w:val="32"/>
          <w:szCs w:val="32"/>
        </w:rPr>
        <w:t>支</w:t>
      </w:r>
      <w:r>
        <w:rPr>
          <w:rStyle w:val="30"/>
          <w:rFonts w:hint="eastAsia" w:ascii="黑体" w:eastAsia="黑体"/>
          <w:b w:val="0"/>
        </w:rPr>
        <w:t>出决算情况说明</w:t>
      </w:r>
      <w:bookmarkEnd w:id="8"/>
      <w:bookmarkEnd w:id="9"/>
    </w:p>
    <w:p w14:paraId="262D4ED9">
      <w:pPr>
        <w:spacing w:line="600" w:lineRule="exact"/>
        <w:ind w:firstLine="640" w:firstLineChars="200"/>
        <w:outlineLvl w:val="1"/>
        <w:rPr>
          <w:rFonts w:hint="eastAsia" w:ascii="仿宋" w:eastAsia="仿宋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年度本年支出合计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其中：基本支出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154.13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96.86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%；项目支出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5.00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3.14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</w:t>
      </w:r>
    </w:p>
    <w:p w14:paraId="45C8850D">
      <w:pPr>
        <w:spacing w:line="240" w:lineRule="auto"/>
        <w:ind w:firstLine="0" w:firstLineChars="0"/>
        <w:outlineLvl w:val="1"/>
        <w:rPr>
          <w:rFonts w:hint="eastAsia" w:asci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eastAsia="仿宋"/>
          <w:color w:val="00000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464185</wp:posOffset>
            </wp:positionH>
            <wp:positionV relativeFrom="paragraph">
              <wp:posOffset>144145</wp:posOffset>
            </wp:positionV>
            <wp:extent cx="4576445" cy="1674495"/>
            <wp:effectExtent l="0" t="0" r="39" b="26"/>
            <wp:wrapSquare wrapText="bothSides"/>
            <wp:docPr id="6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566CD4AE">
      <w:pPr>
        <w:spacing w:line="600" w:lineRule="exact"/>
        <w:ind w:firstLine="640" w:firstLineChars="200"/>
        <w:outlineLvl w:val="1"/>
        <w:rPr>
          <w:rFonts w:hint="eastAsia" w:ascii="仿宋" w:eastAsia="仿宋"/>
          <w:color w:val="000000"/>
          <w:sz w:val="32"/>
          <w:szCs w:val="32"/>
        </w:rPr>
      </w:pPr>
    </w:p>
    <w:p w14:paraId="6CC884E3">
      <w:pPr>
        <w:spacing w:line="600" w:lineRule="exact"/>
        <w:ind w:firstLine="640" w:firstLineChars="200"/>
        <w:outlineLvl w:val="1"/>
        <w:rPr>
          <w:rFonts w:hint="eastAsia" w:ascii="仿宋" w:eastAsia="仿宋"/>
          <w:color w:val="000000"/>
          <w:sz w:val="32"/>
          <w:szCs w:val="32"/>
        </w:rPr>
      </w:pPr>
    </w:p>
    <w:p w14:paraId="0FD0FC75">
      <w:pPr>
        <w:spacing w:line="240" w:lineRule="auto"/>
        <w:ind w:firstLine="0"/>
        <w:jc w:val="center"/>
        <w:outlineLvl w:val="1"/>
        <w:rPr>
          <w:rFonts w:hint="eastAsia" w:ascii="仿宋" w:eastAsia="仿宋"/>
          <w:color w:val="000000"/>
          <w:sz w:val="32"/>
          <w:szCs w:val="32"/>
        </w:rPr>
      </w:pPr>
    </w:p>
    <w:p w14:paraId="3F9F28C8">
      <w:pPr>
        <w:spacing w:line="600" w:lineRule="exact"/>
        <w:outlineLvl w:val="1"/>
        <w:rPr>
          <w:rFonts w:ascii="黑体" w:eastAsia="黑体"/>
          <w:color w:val="000000"/>
          <w:sz w:val="32"/>
          <w:szCs w:val="32"/>
        </w:rPr>
      </w:pPr>
      <w:bookmarkStart w:id="10" w:name="_Toc15396606"/>
      <w:bookmarkStart w:id="11" w:name="_Toc15377208"/>
    </w:p>
    <w:p w14:paraId="72A5FB3E">
      <w:pPr>
        <w:spacing w:line="600" w:lineRule="exact"/>
        <w:ind w:firstLine="640" w:firstLineChars="200"/>
        <w:outlineLvl w:val="1"/>
        <w:rPr>
          <w:rStyle w:val="30"/>
          <w:rFonts w:ascii="黑体" w:eastAsia="黑体"/>
          <w:b w:val="0"/>
        </w:rPr>
      </w:pPr>
      <w:r>
        <w:rPr>
          <w:rFonts w:hint="eastAsia" w:ascii="黑体" w:eastAsia="黑体"/>
          <w:color w:val="000000"/>
          <w:sz w:val="32"/>
          <w:szCs w:val="32"/>
        </w:rPr>
        <w:t>四、财</w:t>
      </w:r>
      <w:r>
        <w:rPr>
          <w:rStyle w:val="30"/>
          <w:rFonts w:hint="eastAsia" w:ascii="黑体" w:eastAsia="黑体"/>
          <w:b w:val="0"/>
        </w:rPr>
        <w:t>政拨款收入支出决算总体情况说明</w:t>
      </w:r>
      <w:bookmarkEnd w:id="10"/>
      <w:bookmarkEnd w:id="11"/>
    </w:p>
    <w:p w14:paraId="1DD0B55D">
      <w:pPr>
        <w:spacing w:line="600" w:lineRule="exact"/>
        <w:ind w:firstLine="640" w:firstLineChars="200"/>
        <w:rPr>
          <w:rFonts w:ascii="仿宋" w:eastAsia="仿宋"/>
          <w:color w:val="000000"/>
          <w:sz w:val="32"/>
          <w:szCs w:val="32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年度财政拨款收、支总计均为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与20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年相比，财政拨款收、支出总计各增加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1.28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万元，增长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0.81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%。主要变动原因是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人员增加。</w:t>
      </w:r>
    </w:p>
    <w:p w14:paraId="6E5FBB06">
      <w:pPr>
        <w:spacing w:line="600" w:lineRule="exact"/>
        <w:rPr>
          <w:rFonts w:ascii="仿宋" w:eastAsia="仿宋"/>
          <w:b/>
          <w:color w:val="00B05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7" o:spid="_x0000_s1027" o:spt="75" alt="image3" type="#_x0000_t75" style="position:absolute;left:0pt;margin-left:41.35pt;margin-top:10.95pt;height:176.75pt;width:369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square"/>
          </v:shape>
          <o:OLEObject Type="Embed" ProgID="Package" ShapeID="_x0000_s1027" DrawAspect="Content" ObjectID="_1468075726" r:id="rId12">
            <o:LockedField>false</o:LockedField>
          </o:OLEObject>
        </w:pict>
      </w:r>
    </w:p>
    <w:p w14:paraId="6DB8B177">
      <w:pPr>
        <w:spacing w:line="600" w:lineRule="exact"/>
        <w:ind w:firstLine="640" w:firstLineChars="200"/>
        <w:outlineLvl w:val="1"/>
        <w:rPr>
          <w:rStyle w:val="30"/>
          <w:rFonts w:ascii="黑体" w:eastAsia="黑体"/>
          <w:b w:val="0"/>
        </w:rPr>
      </w:pPr>
      <w:bookmarkStart w:id="12" w:name="_Toc15396607"/>
      <w:bookmarkStart w:id="13" w:name="_Toc15377209"/>
      <w:r>
        <w:rPr>
          <w:rFonts w:hint="eastAsia" w:ascii="黑体" w:eastAsia="黑体"/>
          <w:color w:val="000000"/>
          <w:sz w:val="32"/>
          <w:szCs w:val="32"/>
        </w:rPr>
        <w:t>五、</w:t>
      </w:r>
      <w:r>
        <w:rPr>
          <w:rFonts w:hint="eastAsia" w:ascii="黑体" w:eastAsia="黑体"/>
          <w:b/>
          <w:color w:val="000000"/>
          <w:sz w:val="32"/>
          <w:szCs w:val="32"/>
        </w:rPr>
        <w:t>一</w:t>
      </w:r>
      <w:r>
        <w:rPr>
          <w:rStyle w:val="30"/>
          <w:rFonts w:hint="eastAsia" w:ascii="黑体" w:eastAsia="黑体"/>
          <w:b w:val="0"/>
        </w:rPr>
        <w:t>般公共预算财政拨款支出决算情况说明</w:t>
      </w:r>
      <w:bookmarkEnd w:id="12"/>
      <w:bookmarkEnd w:id="13"/>
    </w:p>
    <w:p w14:paraId="1398FFF8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bookmarkStart w:id="14" w:name="_Toc15377210"/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（一）一般公共预算财政拨款支出决算总体情况</w:t>
      </w:r>
      <w:bookmarkEnd w:id="14"/>
    </w:p>
    <w:p w14:paraId="1640155E">
      <w:pPr>
        <w:spacing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年度一般公共预算财政拨款支出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万元，占本年支出合计的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%。与20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年相比，一般公共预算财政拨款支出增加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1.28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万元，增长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0.81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%。主要变动原因是</w:t>
      </w:r>
      <w:bookmarkStart w:id="15" w:name="_Toc15377211"/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人员增加。</w:t>
      </w:r>
    </w:p>
    <w:p w14:paraId="6B0BF70A">
      <w:pPr>
        <w:spacing w:line="600" w:lineRule="exact"/>
        <w:ind w:firstLine="640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8" o:spid="_x0000_s1028" o:spt="75" alt="image4" type="#_x0000_t75" style="position:absolute;left:0pt;margin-left:35pt;margin-top:4.4pt;height:160.1pt;width:345.1pt;mso-wrap-distance-left:9pt;mso-wrap-distance-right:9pt;z-index:251659264;mso-width-relative:page;mso-height-relative:page;" o:ole="t" filled="f" o:preferrelative="t" stroked="f" coordsize="21600,21600" wrapcoords="21592 -2 0 0 0 21599 21592 21601 8 21601 21600 21599 21600 0 8 -2 21592 -2">
            <v:path/>
            <v:fill on="f" focussize="0,0"/>
            <v:stroke on="f"/>
            <v:imagedata r:id="rId15" o:title=""/>
            <o:lock v:ext="edit" aspectratio="t"/>
            <w10:wrap type="tight"/>
          </v:shape>
          <o:OLEObject Type="Embed" ProgID="Package" ShapeID="_x0000_s1028" DrawAspect="Content" ObjectID="_1468075727" r:id="rId14">
            <o:LockedField>false</o:LockedField>
          </o:OLEObject>
        </w:pict>
      </w:r>
    </w:p>
    <w:p w14:paraId="46248B58">
      <w:pPr>
        <w:spacing w:line="600" w:lineRule="exact"/>
        <w:ind w:firstLine="643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</w:p>
    <w:p w14:paraId="12AEE405">
      <w:pPr>
        <w:spacing w:line="600" w:lineRule="exact"/>
        <w:ind w:firstLine="643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</w:p>
    <w:p w14:paraId="08449262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（二）一般公共预算财政拨款支出决算结构情况</w:t>
      </w:r>
      <w:bookmarkEnd w:id="15"/>
    </w:p>
    <w:p w14:paraId="05108E12">
      <w:pPr>
        <w:spacing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年度一般公共预算财政拨款支出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主要用于以下方面: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一般公共服务支出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120.96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76.01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社会保障和就业支出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19.38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12.18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卫生健康支出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7.9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4.96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住房保障支出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10.89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6.84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</w:t>
      </w:r>
    </w:p>
    <w:p w14:paraId="1285B97B">
      <w:pPr>
        <w:spacing w:line="600" w:lineRule="exact"/>
        <w:ind w:firstLine="640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  <w:bookmarkStart w:id="16" w:name="_Toc15377212"/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9" o:spid="_x0000_s1029" o:spt="75" alt="image5" type="#_x0000_t75" style="position:absolute;left:0pt;margin-left:44.75pt;margin-top:16.35pt;height:175.25pt;width:348.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square"/>
          </v:shape>
          <o:OLEObject Type="Embed" ProgID="Package" ShapeID="_x0000_s1029" DrawAspect="Content" ObjectID="_1468075728" r:id="rId16">
            <o:LockedField>false</o:LockedField>
          </o:OLEObject>
        </w:pict>
      </w:r>
    </w:p>
    <w:p w14:paraId="52203338">
      <w:pPr>
        <w:spacing w:line="600" w:lineRule="exact"/>
        <w:ind w:firstLine="643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</w:p>
    <w:p w14:paraId="23C81087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（三）一般公共预算财政拨款支出决算具体情况</w:t>
      </w:r>
      <w:bookmarkEnd w:id="16"/>
    </w:p>
    <w:p w14:paraId="38512B9F">
      <w:pPr>
        <w:spacing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bookmarkStart w:id="17" w:name="_Toc15377444"/>
      <w:bookmarkStart w:id="18" w:name="_Toc15377213"/>
      <w:bookmarkStart w:id="19" w:name="_Toc15378460"/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年度一般公共预算支出决算数为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159.13万元，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%。其中：</w:t>
      </w:r>
      <w:bookmarkEnd w:id="17"/>
      <w:bookmarkEnd w:id="18"/>
      <w:bookmarkEnd w:id="19"/>
    </w:p>
    <w:p w14:paraId="6F44718C">
      <w:pPr>
        <w:spacing w:line="600" w:lineRule="exact"/>
        <w:ind w:firstLine="643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一般公共服务（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）信访事务（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）行政运行（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 xml:space="preserve"> 支出决算为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115.96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,决算数与预算数持平。</w:t>
      </w:r>
    </w:p>
    <w:p w14:paraId="5E79A594">
      <w:pPr>
        <w:spacing w:line="600" w:lineRule="exact"/>
        <w:ind w:firstLine="643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一般公共服务（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）政府办公厅（室）及相关机构事务（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）一般行政管理事务（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 xml:space="preserve"> 支出决算为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,决算数与预算数持平。</w:t>
      </w:r>
    </w:p>
    <w:p w14:paraId="724A1BBE">
      <w:pPr>
        <w:spacing w:line="600" w:lineRule="exact"/>
        <w:ind w:firstLine="643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.社会保障和就业（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）行政事业单位养老支出（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）机关事业单位基本养老保险缴费支出（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 xml:space="preserve"> 支出决算为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12.89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,决算数与预算数持平。</w:t>
      </w:r>
    </w:p>
    <w:p w14:paraId="10B5D581">
      <w:pPr>
        <w:spacing w:line="600" w:lineRule="exact"/>
        <w:ind w:firstLine="643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.社会保障和就业（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）行政事业单位养老支出（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）机关事业单位职业年金缴费支出（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 xml:space="preserve"> 支出决算为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6.49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,决算数与预算数持平。</w:t>
      </w:r>
    </w:p>
    <w:p w14:paraId="2AC44FC0">
      <w:pPr>
        <w:spacing w:line="240" w:lineRule="auto"/>
        <w:ind w:firstLine="640" w:firstLineChars="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卫生健康（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）行政事业单位医疗（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）行政单位医疗（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支出决算为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7.9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,决算数与预算数持平。    </w:t>
      </w:r>
    </w:p>
    <w:p w14:paraId="60337067">
      <w:pPr>
        <w:spacing w:line="240" w:lineRule="auto"/>
        <w:ind w:firstLine="640" w:firstLineChars="0"/>
        <w:rPr>
          <w:rStyle w:val="18"/>
          <w:rFonts w:hint="eastAsia" w:ascii="仿宋" w:eastAsia="仿宋"/>
          <w:b w:val="0"/>
          <w:bCs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住房保障（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）住房改革支出（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）住房公积金（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）: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 xml:space="preserve"> 支出决算为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10.89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,决算数与预算数持平。</w:t>
      </w:r>
    </w:p>
    <w:p w14:paraId="3418A8AE">
      <w:pPr>
        <w:tabs>
          <w:tab w:val="right" w:pos="8306"/>
        </w:tabs>
        <w:spacing w:line="600" w:lineRule="exact"/>
        <w:ind w:firstLine="640" w:firstLineChars="200"/>
        <w:outlineLvl w:val="1"/>
        <w:rPr>
          <w:rStyle w:val="30"/>
        </w:rPr>
      </w:pPr>
      <w:bookmarkStart w:id="20" w:name="_Toc15377214"/>
      <w:bookmarkStart w:id="21" w:name="_Toc15396608"/>
      <w:r>
        <w:rPr>
          <w:rStyle w:val="30"/>
          <w:rFonts w:hint="eastAsia" w:ascii="黑体" w:eastAsia="黑体"/>
          <w:b w:val="0"/>
        </w:rPr>
        <w:t>六、一般公共预算财政拨款基本支出决算情况说明</w:t>
      </w:r>
      <w:bookmarkEnd w:id="20"/>
      <w:bookmarkEnd w:id="21"/>
      <w:r>
        <w:rPr>
          <w:rStyle w:val="30"/>
          <w:rFonts w:ascii="黑体" w:eastAsia="黑体"/>
          <w:b w:val="0"/>
        </w:rPr>
        <w:tab/>
      </w:r>
    </w:p>
    <w:p w14:paraId="5EB2A755">
      <w:pPr>
        <w:spacing w:line="240" w:lineRule="auto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年度一般公共预算财政拨款基本支出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154.13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万元，其中：</w:t>
      </w:r>
    </w:p>
    <w:p w14:paraId="39AF2B33">
      <w:pPr>
        <w:spacing w:line="240" w:lineRule="auto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人员经费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139.42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万元，主要包括：基本工资、津贴补贴、奖金、机关事业单位基本养老保险缴费、职业年金缴费、职工基本医疗保险缴费、其他社会保障缴费、住房公积金、医疗费补助、对个人和家庭的补助。</w:t>
      </w:r>
    </w:p>
    <w:p w14:paraId="6012B4B4">
      <w:pPr>
        <w:spacing w:line="240" w:lineRule="auto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公用经费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14.7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万元，主要包括：办公费、电费、邮电费、差旅费、公务接待费、公务用车运行维护费、其他商品和服务支出。</w:t>
      </w:r>
    </w:p>
    <w:p w14:paraId="00CBE543">
      <w:pPr>
        <w:spacing w:line="600" w:lineRule="exact"/>
        <w:ind w:firstLine="640"/>
        <w:outlineLvl w:val="1"/>
        <w:rPr>
          <w:rStyle w:val="30"/>
          <w:rFonts w:ascii="黑体" w:eastAsia="黑体"/>
          <w:b w:val="0"/>
        </w:rPr>
      </w:pPr>
      <w:bookmarkStart w:id="22" w:name="_Toc15377215"/>
      <w:bookmarkStart w:id="23" w:name="_Toc15396609"/>
      <w:r>
        <w:rPr>
          <w:rFonts w:hint="eastAsia" w:ascii="黑体" w:eastAsia="黑体"/>
          <w:color w:val="000000"/>
          <w:sz w:val="32"/>
          <w:szCs w:val="32"/>
        </w:rPr>
        <w:t>七、</w:t>
      </w:r>
      <w:r>
        <w:rPr>
          <w:rStyle w:val="30"/>
          <w:rFonts w:hint="eastAsia" w:ascii="黑体" w:eastAsia="黑体"/>
          <w:b w:val="0"/>
        </w:rPr>
        <w:t>财政拨款</w:t>
      </w:r>
      <w:r>
        <w:rPr>
          <w:rStyle w:val="30"/>
          <w:rFonts w:hint="eastAsia" w:ascii="黑体" w:eastAsia="黑体"/>
        </w:rPr>
        <w:t>“</w:t>
      </w:r>
      <w:r>
        <w:rPr>
          <w:rStyle w:val="30"/>
          <w:rFonts w:hint="eastAsia" w:ascii="黑体" w:eastAsia="黑体"/>
          <w:b w:val="0"/>
        </w:rPr>
        <w:t>三公”经费支出决算情况说明</w:t>
      </w:r>
      <w:bookmarkEnd w:id="22"/>
      <w:bookmarkEnd w:id="23"/>
    </w:p>
    <w:p w14:paraId="71738872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bookmarkStart w:id="24" w:name="_Toc15377216"/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（一）“三公”经费财政拨款支出决算总体情况说明</w:t>
      </w:r>
      <w:bookmarkEnd w:id="24"/>
    </w:p>
    <w:p w14:paraId="3CBA69C7">
      <w:pPr>
        <w:spacing w:line="240" w:lineRule="auto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bookmarkStart w:id="25" w:name="_Toc15377217"/>
      <w:r>
        <w:rPr>
          <w:rFonts w:hint="eastAsia" w:asci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年度“三公”经费财政拨款支出决算为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3.73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万元，完成预算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%，与上年度相比减少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0.33万元，下降8.13%。决算数小于预算数的主要原因是：厉行节约。</w:t>
      </w:r>
    </w:p>
    <w:p w14:paraId="1ADAD361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（二）“三公”经费财政拨款支出决算具体情况说明</w:t>
      </w:r>
      <w:bookmarkEnd w:id="25"/>
    </w:p>
    <w:p w14:paraId="02578BDC">
      <w:pPr>
        <w:spacing w:line="240" w:lineRule="auto"/>
        <w:ind w:firstLine="640" w:firstLineChars="20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pict>
          <v:shape id="Object 20" o:spid="_x0000_s1031" o:spt="75" alt="image6" type="#_x0000_t75" style="position:absolute;left:0pt;margin-top:131.45pt;height:150.2pt;width:408.3pt;mso-position-horizontal:center;mso-wrap-distance-bottom:0pt;mso-wrap-distance-left:9pt;mso-wrap-distance-right:9pt;mso-wrap-distance-top:0pt;z-index:251660288;mso-width-relative:page;mso-height-relative:page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square"/>
          </v:shape>
          <o:OLEObject Type="Embed" ProgID="Excel.Chart.8" ShapeID="Object 20" DrawAspect="Content" ObjectID="_1468075729" r:id="rId18">
            <o:LockedField>false</o:LockedField>
          </o:OLEObject>
        </w:pic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年度“三公”经费财政拨款支出决算中，因公出国（境）费支出决算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%；公务用车购置及运行维护费支出决算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3.66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98.12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%；公务接待费支出决算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0.07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1.88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%。具体情况如下：</w:t>
      </w:r>
    </w:p>
    <w:p w14:paraId="0D9DD916">
      <w:pPr>
        <w:spacing w:line="600" w:lineRule="exact"/>
        <w:ind w:left="638" w:leftChars="304" w:firstLine="331" w:firstLineChars="103"/>
        <w:rPr>
          <w:rFonts w:hint="eastAsia" w:asci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 xml:space="preserve">                                                                                                               </w:t>
      </w:r>
      <w:r>
        <w:rPr>
          <w:rFonts w:hint="eastAsia" w:asci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/>
        </w:rPr>
        <w:t xml:space="preserve">                            </w:t>
      </w:r>
    </w:p>
    <w:p w14:paraId="12A6FB37">
      <w:pPr>
        <w:pageBreakBefore w:val="0"/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bookmarkStart w:id="26" w:name="_Toc15396612"/>
      <w:bookmarkStart w:id="27" w:name="_Toc15377221"/>
      <w:r>
        <w:rPr>
          <w:rFonts w:ascii="仿宋_GB2312" w:eastAsia="仿宋_GB2312"/>
          <w:b/>
          <w:color w:val="auto"/>
          <w:sz w:val="32"/>
          <w:szCs w:val="32"/>
          <w:highlight w:val="none"/>
        </w:rPr>
        <w:t>1.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因公出国（境）经费支出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Style w:val="18"/>
          <w:rFonts w:ascii="仿宋" w:hAnsi="仿宋" w:eastAsia="仿宋"/>
          <w:b w:val="0"/>
          <w:bCs/>
          <w:color w:val="auto"/>
          <w:sz w:val="32"/>
          <w:szCs w:val="32"/>
          <w:highlight w:val="none"/>
        </w:rPr>
        <w:t>%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全年安排因公出国（境）团组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次，出国（境）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人。因公出国（境）支出决算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与202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相比无变化。</w:t>
      </w:r>
    </w:p>
    <w:p w14:paraId="49D0BF32">
      <w:pPr>
        <w:pageBreakBefore w:val="0"/>
        <w:kinsoku/>
        <w:wordWrap/>
        <w:overflowPunct/>
        <w:topLinePunct w:val="0"/>
        <w:bidi w:val="0"/>
        <w:spacing w:line="560" w:lineRule="exact"/>
        <w:ind w:firstLine="640"/>
        <w:textAlignment w:val="auto"/>
        <w:rPr>
          <w:rFonts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ascii="仿宋_GB2312" w:eastAsia="仿宋_GB2312"/>
          <w:b/>
          <w:color w:val="auto"/>
          <w:sz w:val="32"/>
          <w:szCs w:val="32"/>
          <w:highlight w:val="none"/>
        </w:rPr>
        <w:t>2.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公务用车购置及运行维护费支出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3.66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万元,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color w:val="auto"/>
          <w:sz w:val="32"/>
          <w:szCs w:val="32"/>
          <w:highlight w:val="none"/>
        </w:rPr>
        <w:t>%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公务用车购置及运行维护费支出决算比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度减少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0.3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7.58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。主要原因是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：公务车年限较长，使用率较低，维修费用减少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</w:p>
    <w:p w14:paraId="406BD000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截至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12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31日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，单位共有公务用车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辆，其中：轿车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辆、越野车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辆、载客汽车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辆。</w:t>
      </w:r>
    </w:p>
    <w:p w14:paraId="08A63908">
      <w:pPr>
        <w:pageBreakBefore w:val="0"/>
        <w:kinsoku/>
        <w:wordWrap/>
        <w:overflowPunct/>
        <w:topLinePunct w:val="0"/>
        <w:bidi w:val="0"/>
        <w:spacing w:line="56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/>
          <w:color w:val="auto"/>
          <w:sz w:val="32"/>
          <w:szCs w:val="32"/>
          <w:highlight w:val="none"/>
        </w:rPr>
        <w:t>公务用车运行维护费支出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3.66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万元。主要用于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矛盾纠纷排查化解、协调处理信访事项、信访维稳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等所需的公务用车燃料费、维修费、过路过桥费、保险费等支出。</w:t>
      </w:r>
    </w:p>
    <w:p w14:paraId="6FCC20F5">
      <w:pPr>
        <w:pageBreakBefore w:val="0"/>
        <w:kinsoku/>
        <w:wordWrap/>
        <w:overflowPunct/>
        <w:topLinePunct w:val="0"/>
        <w:bidi w:val="0"/>
        <w:spacing w:line="56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ascii="仿宋_GB2312" w:eastAsia="仿宋_GB2312"/>
          <w:b/>
          <w:color w:val="auto"/>
          <w:sz w:val="32"/>
          <w:szCs w:val="32"/>
          <w:highlight w:val="none"/>
        </w:rPr>
        <w:t>3.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公务接待费支出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0.07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</w:rPr>
        <w:t>完成预算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  <w:lang w:val="en-US" w:eastAsia="zh-CN"/>
        </w:rPr>
        <w:t>100</w:t>
      </w:r>
      <w:r>
        <w:rPr>
          <w:rStyle w:val="18"/>
          <w:rFonts w:ascii="仿宋" w:hAnsi="仿宋" w:eastAsia="仿宋"/>
          <w:b w:val="0"/>
          <w:bCs/>
          <w:color w:val="auto"/>
          <w:sz w:val="32"/>
          <w:szCs w:val="32"/>
          <w:highlight w:val="none"/>
        </w:rPr>
        <w:t>%</w:t>
      </w:r>
      <w:r>
        <w:rPr>
          <w:rStyle w:val="18"/>
          <w:rFonts w:hint="eastAsia" w:ascii="仿宋" w:hAnsi="仿宋" w:eastAsia="仿宋"/>
          <w:b w:val="0"/>
          <w:bCs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公务接待费支出决算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与202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度相比减少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0.02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22.22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。主要原因是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：严格遵守中央八项规定，减少了不必要的开支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。其中：</w:t>
      </w:r>
    </w:p>
    <w:p w14:paraId="1F856679">
      <w:pPr>
        <w:pageBreakBefore w:val="0"/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highlight w:val="none"/>
        </w:rPr>
        <w:t>国内公务接待支出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0.07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万元，主要用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执行开展业务活动开支的餐费。国内公务接待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批次，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人次（不包括陪同人员），共计支出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0.07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万元，具体内容包括：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接待上级部门调研、督导、业务指导餐费。</w:t>
      </w:r>
    </w:p>
    <w:p w14:paraId="145EA320">
      <w:pPr>
        <w:pageBreakBefore w:val="0"/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ascii="黑体" w:eastAsia="黑体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highlight w:val="none"/>
        </w:rPr>
        <w:t>外事接待支出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外事接待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批次，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次（不包括陪同人员）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，共计支出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万元。</w:t>
      </w:r>
    </w:p>
    <w:p w14:paraId="125F4E71">
      <w:pPr>
        <w:rPr>
          <w:rFonts w:hint="eastAsia" w:ascii="黑体" w:eastAsia="黑体" w:cs="黑体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八、政府性基金预算支出决算情况说明</w:t>
      </w:r>
    </w:p>
    <w:p w14:paraId="7D66AB94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政府性基金预算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财政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拨款支出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万元。</w:t>
      </w:r>
    </w:p>
    <w:p w14:paraId="56B1E04E">
      <w:pPr>
        <w:rPr>
          <w:rFonts w:hint="eastAsia" w:ascii="黑体" w:eastAsia="黑体" w:cs="黑体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eastAsia="黑体" w:cs="黑体"/>
          <w:b w:val="0"/>
          <w:bCs w:val="0"/>
          <w:sz w:val="32"/>
          <w:szCs w:val="32"/>
        </w:rPr>
        <w:t>九、国有资本经营预算支出决算情况说明</w:t>
      </w:r>
    </w:p>
    <w:p w14:paraId="7E5C8BA1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国有资本经营预算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财政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拨款支出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万元。</w:t>
      </w:r>
    </w:p>
    <w:p w14:paraId="2966C7A0">
      <w:pPr>
        <w:spacing w:line="600" w:lineRule="exact"/>
        <w:ind w:firstLine="640" w:firstLineChars="200"/>
        <w:outlineLvl w:val="1"/>
        <w:rPr>
          <w:rStyle w:val="30"/>
          <w:rFonts w:ascii="黑体" w:eastAsia="黑体"/>
        </w:rPr>
      </w:pPr>
      <w:r>
        <w:rPr>
          <w:rFonts w:hint="eastAsia" w:ascii="黑体" w:eastAsia="黑体"/>
          <w:color w:val="000000"/>
          <w:sz w:val="32"/>
          <w:szCs w:val="32"/>
        </w:rPr>
        <w:t>十</w:t>
      </w:r>
      <w:r>
        <w:rPr>
          <w:rStyle w:val="30"/>
          <w:rFonts w:hint="eastAsia" w:ascii="黑体" w:eastAsia="黑体"/>
        </w:rPr>
        <w:t>、</w:t>
      </w:r>
      <w:r>
        <w:rPr>
          <w:rStyle w:val="30"/>
          <w:rFonts w:hint="eastAsia" w:ascii="黑体" w:eastAsia="黑体"/>
          <w:b w:val="0"/>
        </w:rPr>
        <w:t>其他重要事项的情况说明</w:t>
      </w:r>
      <w:bookmarkEnd w:id="26"/>
      <w:bookmarkEnd w:id="27"/>
    </w:p>
    <w:p w14:paraId="69721AE8">
      <w:pPr>
        <w:spacing w:line="600" w:lineRule="exact"/>
        <w:ind w:firstLine="643" w:firstLineChars="200"/>
        <w:outlineLvl w:val="2"/>
        <w:rPr>
          <w:rFonts w:hint="eastAsia" w:ascii="楷体_GB2312" w:eastAsia="楷体_GB2312" w:cs="楷体_GB2312"/>
          <w:color w:val="000000"/>
          <w:sz w:val="32"/>
          <w:szCs w:val="32"/>
        </w:rPr>
      </w:pPr>
      <w:bookmarkStart w:id="28" w:name="_Toc15377222"/>
      <w:r>
        <w:rPr>
          <w:rFonts w:hint="eastAsia" w:ascii="楷体_GB2312" w:eastAsia="楷体_GB2312" w:cs="楷体_GB2312"/>
          <w:b/>
          <w:color w:val="000000"/>
          <w:sz w:val="32"/>
          <w:szCs w:val="32"/>
        </w:rPr>
        <w:t>（一）机关运行经费支出情况</w:t>
      </w:r>
      <w:bookmarkEnd w:id="28"/>
    </w:p>
    <w:p w14:paraId="16CBC3D5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度</w:t>
      </w:r>
      <w:r>
        <w:rPr>
          <w:rFonts w:hint="eastAsia" w:ascii="仿宋_GB2312" w:eastAsia="仿宋_GB2312"/>
          <w:color w:val="000000"/>
          <w:sz w:val="32"/>
          <w:szCs w:val="32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茂县信访局（本级）</w:t>
      </w:r>
      <w:r>
        <w:rPr>
          <w:rFonts w:hint="eastAsia" w:ascii="仿宋_GB2312" w:eastAsia="仿宋_GB2312"/>
          <w:color w:val="000000"/>
          <w:sz w:val="32"/>
          <w:szCs w:val="32"/>
        </w:rPr>
        <w:t>机关运行经费支出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14.7</w:t>
      </w:r>
      <w:r>
        <w:rPr>
          <w:rFonts w:hint="eastAsia" w:ascii="仿宋_GB2312" w:eastAsia="仿宋_GB2312"/>
          <w:color w:val="000000"/>
          <w:sz w:val="32"/>
          <w:szCs w:val="32"/>
        </w:rPr>
        <w:t>万元，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与</w:t>
      </w: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度相比减少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0.91</w:t>
      </w:r>
      <w:r>
        <w:rPr>
          <w:rFonts w:hint="eastAsia" w:ascii="仿宋_GB2312" w:eastAsia="仿宋_GB2312"/>
          <w:color w:val="000000"/>
          <w:sz w:val="32"/>
          <w:szCs w:val="32"/>
        </w:rPr>
        <w:t>万元，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5.83</w:t>
      </w:r>
      <w:r>
        <w:rPr>
          <w:rFonts w:ascii="仿宋_GB2312" w:eastAsia="仿宋_GB2312"/>
          <w:color w:val="000000"/>
          <w:sz w:val="32"/>
          <w:szCs w:val="32"/>
        </w:rPr>
        <w:t>%</w:t>
      </w:r>
      <w:r>
        <w:rPr>
          <w:rFonts w:hint="eastAsia" w:ascii="仿宋_GB2312" w:eastAsia="仿宋_GB2312"/>
          <w:color w:val="000000"/>
          <w:sz w:val="32"/>
          <w:szCs w:val="32"/>
        </w:rPr>
        <w:t>。主要原因是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厉行节约。</w:t>
      </w:r>
    </w:p>
    <w:p w14:paraId="4CCAEB79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hint="eastAsia" w:ascii="楷体_GB2312" w:eastAsia="楷体_GB2312" w:cs="楷体_GB2312"/>
          <w:b/>
          <w:color w:val="000000"/>
          <w:sz w:val="32"/>
          <w:szCs w:val="32"/>
        </w:rPr>
      </w:pPr>
      <w:bookmarkStart w:id="29" w:name="_Toc15377223"/>
      <w:r>
        <w:rPr>
          <w:rFonts w:hint="eastAsia" w:ascii="楷体_GB2312" w:eastAsia="楷体_GB2312" w:cs="楷体_GB2312"/>
          <w:b/>
          <w:color w:val="000000"/>
          <w:sz w:val="32"/>
          <w:szCs w:val="32"/>
        </w:rPr>
        <w:t>（二）政府采购支出情况</w:t>
      </w:r>
      <w:bookmarkEnd w:id="29"/>
    </w:p>
    <w:p w14:paraId="067CD98E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bookmarkStart w:id="30" w:name="_Toc15377224"/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茂县信访局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政府采购支出总额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万元，其中：政府采购货物支出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万元、政府采购工程支出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万元、政府采购服务支出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万元。授予中小企业合同金额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万元，占政府采购支出总额的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，其中：授予小微企业合同金额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万元，占政府采购支出总额的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</w:p>
    <w:p w14:paraId="30B54E18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hint="eastAsia" w:ascii="楷体_GB2312" w:eastAsia="楷体_GB2312" w:cs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 w:cs="楷体_GB2312"/>
          <w:b/>
          <w:color w:val="000000"/>
          <w:sz w:val="32"/>
          <w:szCs w:val="32"/>
        </w:rPr>
        <w:t>（三）国有资产占有使用情况</w:t>
      </w:r>
      <w:bookmarkEnd w:id="30"/>
    </w:p>
    <w:p w14:paraId="0F97955B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截至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12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31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茂县信访局（本级）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共有车辆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辆，其中：主要领导干部用车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辆、机要通信用车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辆、应急保障用车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辆、其他用车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辆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。单价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50万元以上通用设备0台（套），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单价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100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万元以上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专用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设备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（不含车辆）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台（套）。</w:t>
      </w:r>
    </w:p>
    <w:p w14:paraId="7959734D">
      <w:pPr>
        <w:autoSpaceDE w:val="0"/>
        <w:autoSpaceDN w:val="0"/>
        <w:adjustRightInd w:val="0"/>
        <w:spacing w:line="600" w:lineRule="exact"/>
        <w:ind w:firstLine="643" w:firstLineChars="200"/>
        <w:jc w:val="left"/>
        <w:rPr>
          <w:rFonts w:hint="eastAsia" w:ascii="仿宋" w:eastAsia="仿宋"/>
          <w:b/>
          <w:bCs/>
          <w:color w:val="000000"/>
          <w:sz w:val="32"/>
          <w:szCs w:val="32"/>
        </w:rPr>
      </w:pP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（四）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预算绩效管理情况</w:t>
      </w:r>
    </w:p>
    <w:p w14:paraId="0F7BFF5A">
      <w:pPr>
        <w:spacing w:line="600" w:lineRule="exact"/>
        <w:ind w:firstLine="640" w:firstLineChars="200"/>
        <w:jc w:val="both"/>
        <w:outlineLvl w:val="0"/>
        <w:rPr>
          <w:rFonts w:hint="eastAsia" w:ascii="黑体" w:eastAsia="黑体"/>
          <w:color w:val="000000"/>
          <w:sz w:val="44"/>
          <w:szCs w:val="44"/>
          <w:lang w:eastAsia="zh-CN"/>
        </w:rPr>
      </w:pPr>
      <w:bookmarkStart w:id="31" w:name="_Toc15396613"/>
      <w:bookmarkStart w:id="32" w:name="_Toc15377225"/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zh-CN" w:eastAsia="zh-CN" w:bidi="ar-SA"/>
        </w:rPr>
        <w:t>根据预算绩效管理要求，本单位在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2025年度预算编制阶段，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zh-CN" w:eastAsia="zh-CN" w:bidi="ar-SA"/>
        </w:rPr>
        <w:t>组织对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0个项目开展了预算事前绩效评估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zh-CN" w:eastAsia="zh-CN" w:bidi="ar-SA"/>
        </w:rPr>
        <w:t>，对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0个项目编制了绩效目标，预算执行过程中，选取0个项目开展绩效监控，组织对0个项目开展绩效自评。                                             </w:t>
      </w:r>
    </w:p>
    <w:p w14:paraId="73DA8064">
      <w:pPr>
        <w:spacing w:line="600" w:lineRule="exact"/>
        <w:jc w:val="both"/>
        <w:outlineLvl w:val="0"/>
        <w:rPr>
          <w:rFonts w:hint="eastAsia" w:ascii="黑体" w:eastAsia="黑体"/>
          <w:color w:val="000000"/>
          <w:sz w:val="44"/>
          <w:szCs w:val="44"/>
          <w:lang w:eastAsia="zh-CN"/>
        </w:rPr>
      </w:pPr>
    </w:p>
    <w:p w14:paraId="377F663E">
      <w:pPr>
        <w:spacing w:line="600" w:lineRule="exact"/>
        <w:jc w:val="both"/>
        <w:outlineLvl w:val="0"/>
        <w:rPr>
          <w:rFonts w:hint="eastAsia" w:ascii="黑体" w:eastAsia="黑体"/>
          <w:color w:val="000000"/>
          <w:sz w:val="44"/>
          <w:szCs w:val="44"/>
          <w:lang w:eastAsia="zh-CN"/>
        </w:rPr>
      </w:pPr>
    </w:p>
    <w:p w14:paraId="2D5049D5">
      <w:pPr>
        <w:spacing w:line="600" w:lineRule="exact"/>
        <w:jc w:val="center"/>
        <w:outlineLvl w:val="0"/>
        <w:rPr>
          <w:rFonts w:hint="eastAsia" w:ascii="黑体" w:eastAsia="黑体"/>
          <w:color w:val="000000"/>
          <w:sz w:val="44"/>
          <w:szCs w:val="44"/>
          <w:lang w:eastAsia="zh-CN"/>
        </w:rPr>
      </w:pPr>
    </w:p>
    <w:p w14:paraId="1C0760BD">
      <w:pPr>
        <w:spacing w:line="600" w:lineRule="exact"/>
        <w:jc w:val="center"/>
        <w:outlineLvl w:val="0"/>
        <w:rPr>
          <w:rFonts w:hint="eastAsia" w:ascii="黑体" w:eastAsia="黑体"/>
          <w:color w:val="000000"/>
          <w:sz w:val="44"/>
          <w:szCs w:val="44"/>
          <w:lang w:eastAsia="zh-CN"/>
        </w:rPr>
      </w:pPr>
    </w:p>
    <w:p w14:paraId="40BD6DCC">
      <w:pPr>
        <w:spacing w:line="600" w:lineRule="exact"/>
        <w:jc w:val="center"/>
        <w:outlineLvl w:val="0"/>
        <w:rPr>
          <w:rFonts w:hint="eastAsia" w:ascii="黑体" w:eastAsia="黑体"/>
          <w:color w:val="000000"/>
          <w:sz w:val="44"/>
          <w:szCs w:val="44"/>
          <w:lang w:eastAsia="zh-CN"/>
        </w:rPr>
      </w:pPr>
    </w:p>
    <w:p w14:paraId="6729CF56">
      <w:pPr>
        <w:spacing w:line="600" w:lineRule="exact"/>
        <w:jc w:val="center"/>
        <w:outlineLvl w:val="0"/>
        <w:rPr>
          <w:rStyle w:val="29"/>
          <w:rFonts w:ascii="黑体" w:eastAsia="黑体"/>
          <w:b w:val="0"/>
        </w:rPr>
      </w:pPr>
      <w:bookmarkStart w:id="61" w:name="_GoBack"/>
      <w:bookmarkEnd w:id="61"/>
      <w:r>
        <w:rPr>
          <w:rFonts w:hint="eastAsia" w:ascii="黑体" w:eastAsia="黑体"/>
          <w:color w:val="000000"/>
          <w:sz w:val="44"/>
          <w:szCs w:val="44"/>
          <w:lang w:eastAsia="zh-CN"/>
        </w:rPr>
        <w:t>第三部分</w:t>
      </w:r>
      <w:r>
        <w:rPr>
          <w:rFonts w:hint="eastAsia" w:ascii="黑体" w:eastAsia="黑体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eastAsia" w:ascii="黑体" w:eastAsia="黑体"/>
          <w:color w:val="000000"/>
          <w:sz w:val="44"/>
          <w:szCs w:val="44"/>
        </w:rPr>
        <w:t>名</w:t>
      </w:r>
      <w:r>
        <w:rPr>
          <w:rStyle w:val="29"/>
          <w:rFonts w:hint="eastAsia" w:ascii="黑体" w:eastAsia="黑体"/>
          <w:b w:val="0"/>
        </w:rPr>
        <w:t>词解释</w:t>
      </w:r>
      <w:bookmarkEnd w:id="31"/>
      <w:bookmarkEnd w:id="32"/>
    </w:p>
    <w:p w14:paraId="6927CEA4">
      <w:pPr>
        <w:spacing w:line="600" w:lineRule="exact"/>
        <w:jc w:val="left"/>
        <w:rPr>
          <w:rFonts w:ascii="宋体"/>
          <w:b/>
          <w:color w:val="000000"/>
          <w:sz w:val="44"/>
          <w:szCs w:val="44"/>
        </w:rPr>
      </w:pPr>
    </w:p>
    <w:p w14:paraId="3FE350C7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财政拨款收入：指单位从同级财政部门取得的财政预算资金。</w:t>
      </w:r>
    </w:p>
    <w:p w14:paraId="2F0D9DF0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事业收入：指事业单位开展专业业务活动及辅助活动取得的收入。</w:t>
      </w:r>
    </w:p>
    <w:p w14:paraId="5CBE2328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其他收入：指单位取得的除上述收入以外的各项收入。</w:t>
      </w:r>
    </w:p>
    <w:p w14:paraId="40976BAD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年初结转和结余：指以前年度尚未完成、结转到本年按有关规定继续使用的资金。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702F8762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结余分配：指事业单位按照会计制度规定</w:t>
      </w:r>
      <w:r>
        <w:rPr>
          <w:rFonts w:hint="eastAsia" w:ascii="仿宋_GB2312" w:eastAsia="仿宋_GB2312"/>
          <w:sz w:val="32"/>
          <w:szCs w:val="32"/>
          <w:lang w:eastAsia="zh-CN"/>
        </w:rPr>
        <w:t>缴纳的所得税、提取的专用结余以及转入非财政拨款结余的金额等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F1C05D0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6.</w:t>
      </w:r>
      <w:r>
        <w:rPr>
          <w:rFonts w:hint="eastAsia" w:ascii="仿宋_GB2312" w:eastAsia="仿宋_GB2312"/>
          <w:sz w:val="32"/>
          <w:szCs w:val="32"/>
        </w:rPr>
        <w:t>年末结转和结余：指单位按有关规定结转到下年或以后年度继续使用的资金。</w:t>
      </w:r>
    </w:p>
    <w:p w14:paraId="1D14720B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ascii="仿宋_GB2312" w:eastAsia="仿宋_GB2312"/>
          <w:color w:val="000000"/>
          <w:sz w:val="32"/>
          <w:szCs w:val="32"/>
        </w:rPr>
        <w:t>.</w:t>
      </w:r>
      <w:r>
        <w:rPr>
          <w:rFonts w:hint="eastAsia" w:ascii="仿宋_GB2312" w:eastAsia="仿宋_GB2312"/>
          <w:color w:val="000000"/>
          <w:sz w:val="32"/>
          <w:szCs w:val="32"/>
        </w:rPr>
        <w:t>一般公共服务（类）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信访事务</w:t>
      </w:r>
      <w:r>
        <w:rPr>
          <w:rFonts w:hint="eastAsia" w:ascii="仿宋_GB2312" w:eastAsia="仿宋_GB2312"/>
          <w:color w:val="000000"/>
          <w:sz w:val="32"/>
          <w:szCs w:val="32"/>
        </w:rPr>
        <w:t>（款）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行政运行</w:t>
      </w:r>
      <w:r>
        <w:rPr>
          <w:rFonts w:hint="eastAsia" w:ascii="仿宋_GB2312" w:eastAsia="仿宋_GB2312"/>
          <w:color w:val="000000"/>
          <w:sz w:val="32"/>
          <w:szCs w:val="32"/>
        </w:rPr>
        <w:t>（项）：指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一般行政运行支出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214F3B8B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8.</w:t>
      </w:r>
      <w:r>
        <w:rPr>
          <w:rFonts w:hint="eastAsia" w:ascii="仿宋_GB2312" w:eastAsia="仿宋_GB2312"/>
          <w:color w:val="000000"/>
          <w:sz w:val="32"/>
          <w:szCs w:val="32"/>
        </w:rPr>
        <w:t>一般公共服务（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政府办公厅（室）及相关机构事务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一般行政管理事务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）: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指一般行政管理事务支出。</w:t>
      </w:r>
    </w:p>
    <w:p w14:paraId="23E7C7FC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9. 社会保障和就业（类）行政事业单位养老支出（款）机关事业单位基本养老保险缴费支出（项）:指机关事业单位基本养老保险缴费支出。                                                                                   </w:t>
      </w:r>
    </w:p>
    <w:p w14:paraId="59BFF0D0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10.</w:t>
      </w:r>
      <w:r>
        <w:rPr>
          <w:rFonts w:hint="eastAsia" w:ascii="仿宋_GB2312" w:eastAsia="仿宋_GB2312"/>
          <w:color w:val="000000"/>
          <w:sz w:val="32"/>
          <w:szCs w:val="32"/>
        </w:rPr>
        <w:t>社会保障和就业（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行政事业单位养老支出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机关事业单位职业年金缴费支出（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: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指机关事业单位职业年金缴费支出。</w:t>
      </w:r>
    </w:p>
    <w:p w14:paraId="085D28E9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000000"/>
          <w:sz w:val="32"/>
          <w:szCs w:val="32"/>
        </w:rPr>
        <w:t>.卫生健康（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行政事业单位医疗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行政单位医疗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color w:val="000000"/>
          <w:sz w:val="32"/>
          <w:szCs w:val="32"/>
        </w:rPr>
        <w:t>）: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指行政单位医疗支出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52C968D3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12.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住房保障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住房改革支出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住房公积金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）: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指住房公积金支出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2221868E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13.</w:t>
      </w:r>
      <w:r>
        <w:rPr>
          <w:rFonts w:hint="eastAsia" w:ascii="仿宋_GB2312" w:eastAsia="仿宋_GB2312"/>
          <w:color w:val="000000"/>
          <w:sz w:val="32"/>
          <w:szCs w:val="32"/>
        </w:rPr>
        <w:t>基本支出：指为保障机构正常运转、完成日常工作任务而发生的人员支出和公用支出。</w:t>
      </w:r>
    </w:p>
    <w:p w14:paraId="689779E3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14.</w:t>
      </w:r>
      <w:r>
        <w:rPr>
          <w:rFonts w:hint="eastAsia" w:ascii="仿宋_GB2312" w:eastAsia="仿宋_GB2312"/>
          <w:sz w:val="32"/>
          <w:szCs w:val="32"/>
        </w:rPr>
        <w:t>“三公”经费：指</w:t>
      </w:r>
      <w:r>
        <w:rPr>
          <w:rFonts w:hint="eastAsia" w:ascii="仿宋_GB2312" w:eastAsia="仿宋_GB2312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>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等支出；公务接待费反映单位按规定开支的各类公务接待（含外宾接待）支出。</w:t>
      </w:r>
    </w:p>
    <w:p w14:paraId="43D3A1E9"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640" w:firstLineChars="200"/>
        <w:jc w:val="both"/>
        <w:textAlignment w:val="auto"/>
        <w:rPr>
          <w:rFonts w:ascii="仿宋_GB2312" w:eastAsia="仿宋_GB2312" w:cs="黑体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15</w:t>
      </w:r>
      <w:r>
        <w:rPr>
          <w:rFonts w:ascii="仿宋_GB2312" w:eastAsia="仿宋_GB2312"/>
          <w:color w:val="000000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机关运行经费：为保障行政单位（含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74213300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</w:p>
    <w:p w14:paraId="4BF3B121">
      <w:pPr>
        <w:pStyle w:val="34"/>
        <w:spacing w:line="560" w:lineRule="exact"/>
        <w:ind w:firstLine="640" w:firstLineChars="200"/>
        <w:rPr>
          <w:rFonts w:ascii="仿宋_GB2312" w:eastAsia="仿宋_GB2312" w:cs="黑体"/>
          <w:sz w:val="32"/>
          <w:szCs w:val="32"/>
        </w:rPr>
      </w:pPr>
    </w:p>
    <w:p w14:paraId="61A85C95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jc w:val="both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  <w:bookmarkStart w:id="33" w:name="_Toc6196"/>
      <w:bookmarkStart w:id="34" w:name="_Toc9504"/>
    </w:p>
    <w:p w14:paraId="15E51F0E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jc w:val="center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638C0167">
      <w:pPr>
        <w:pStyle w:val="2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7C0709A4">
      <w:pPr>
        <w:pStyle w:val="3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1B19EDB5">
      <w:pPr>
        <w:pStyle w:val="3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67CD52B3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jc w:val="center"/>
        <w:textAlignment w:val="auto"/>
        <w:outlineLvl w:val="0"/>
        <w:rPr>
          <w:rFonts w:hint="eastAsia" w:ascii="仿宋" w:eastAsia="仿宋" w:cs="Times New Roman"/>
          <w:b w:val="0"/>
          <w:color w:val="000000"/>
          <w:kern w:val="2"/>
          <w:sz w:val="32"/>
          <w:szCs w:val="32"/>
          <w:lang w:bidi="ar-SA"/>
        </w:rPr>
      </w:pPr>
      <w:r>
        <w:rPr>
          <w:rFonts w:hint="eastAsia" w:ascii="黑体" w:eastAsia="黑体" w:cs="Times New Roman"/>
          <w:color w:val="000000"/>
          <w:sz w:val="44"/>
          <w:szCs w:val="44"/>
        </w:rPr>
        <w:t>第</w:t>
      </w:r>
      <w:r>
        <w:rPr>
          <w:rFonts w:hint="eastAsia" w:ascii="黑体" w:eastAsia="黑体" w:cs="Times New Roman"/>
          <w:color w:val="000000"/>
          <w:sz w:val="44"/>
          <w:szCs w:val="44"/>
          <w:lang w:eastAsia="zh-CN"/>
        </w:rPr>
        <w:t>四</w:t>
      </w:r>
      <w:r>
        <w:rPr>
          <w:rFonts w:hint="eastAsia" w:ascii="黑体" w:eastAsia="黑体" w:cs="Times New Roman"/>
          <w:color w:val="000000"/>
          <w:sz w:val="44"/>
          <w:szCs w:val="44"/>
        </w:rPr>
        <w:t>部分 附表</w:t>
      </w:r>
      <w:bookmarkEnd w:id="33"/>
      <w:bookmarkEnd w:id="34"/>
      <w:bookmarkStart w:id="35" w:name="_Toc12986"/>
      <w:bookmarkStart w:id="36" w:name="_Toc26370"/>
    </w:p>
    <w:p w14:paraId="462819C9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一、收入支出决算总表</w:t>
      </w:r>
      <w:bookmarkEnd w:id="35"/>
      <w:bookmarkEnd w:id="36"/>
    </w:p>
    <w:p w14:paraId="53D7C3AB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37" w:name="_Toc13062"/>
      <w:bookmarkStart w:id="38" w:name="_Toc13591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二、收入决算表</w:t>
      </w:r>
      <w:bookmarkEnd w:id="37"/>
      <w:bookmarkEnd w:id="38"/>
    </w:p>
    <w:p w14:paraId="58EC7E8E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39" w:name="_Toc16600"/>
      <w:bookmarkStart w:id="40" w:name="_Toc29688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三、支出决算表</w:t>
      </w:r>
      <w:bookmarkEnd w:id="39"/>
      <w:bookmarkEnd w:id="40"/>
    </w:p>
    <w:p w14:paraId="5C7CC3ED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41" w:name="_Toc5964"/>
      <w:bookmarkStart w:id="42" w:name="_Toc26630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四、财政拨款收入支出决算总表</w:t>
      </w:r>
      <w:bookmarkEnd w:id="41"/>
      <w:bookmarkEnd w:id="42"/>
    </w:p>
    <w:p w14:paraId="11CFA60F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43" w:name="_Toc14273"/>
      <w:bookmarkStart w:id="44" w:name="_Toc19934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五、财政拨款支出决算明细表</w:t>
      </w:r>
      <w:bookmarkEnd w:id="43"/>
      <w:bookmarkEnd w:id="44"/>
    </w:p>
    <w:p w14:paraId="7A6DAEA4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45" w:name="_Toc16449"/>
      <w:bookmarkStart w:id="46" w:name="_Toc6686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六、一般公共预算财政拨款支出决算表</w:t>
      </w:r>
      <w:bookmarkEnd w:id="45"/>
      <w:bookmarkEnd w:id="46"/>
    </w:p>
    <w:p w14:paraId="37DE35AD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47" w:name="_Toc3478"/>
      <w:bookmarkStart w:id="48" w:name="_Toc19514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七、一般公共预算财政拨款支出决算明细表</w:t>
      </w:r>
      <w:bookmarkEnd w:id="47"/>
      <w:bookmarkEnd w:id="48"/>
    </w:p>
    <w:p w14:paraId="26AC3F66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49" w:name="_Toc17352"/>
      <w:bookmarkStart w:id="50" w:name="_Toc191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八、一般公共预算财政拨款基本支出决算明细表</w:t>
      </w:r>
      <w:bookmarkEnd w:id="49"/>
      <w:bookmarkEnd w:id="50"/>
    </w:p>
    <w:p w14:paraId="67598661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1" w:name="_Toc5204"/>
      <w:bookmarkStart w:id="52" w:name="_Toc3726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九、一般公共预算财政拨款项目支出决算表</w:t>
      </w:r>
      <w:bookmarkEnd w:id="51"/>
      <w:bookmarkEnd w:id="52"/>
    </w:p>
    <w:p w14:paraId="7F6B3A33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3" w:name="_Toc20756"/>
      <w:bookmarkStart w:id="54" w:name="_Toc20056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十、政府性基金预算财政拨款收入支出决算表</w:t>
      </w:r>
      <w:bookmarkEnd w:id="53"/>
      <w:bookmarkEnd w:id="54"/>
    </w:p>
    <w:p w14:paraId="7A82FB79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5" w:name="_Toc21387"/>
      <w:bookmarkStart w:id="56" w:name="_Toc13849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十一、国有资本经营预算财政拨款收入支出决算表</w:t>
      </w:r>
      <w:bookmarkEnd w:id="55"/>
      <w:bookmarkEnd w:id="56"/>
    </w:p>
    <w:p w14:paraId="52EEEA5B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7" w:name="_Toc1140"/>
      <w:bookmarkStart w:id="58" w:name="_Toc13099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十二、国有资本经营预算财政拨款支出决算表</w:t>
      </w:r>
      <w:bookmarkEnd w:id="57"/>
      <w:bookmarkEnd w:id="58"/>
    </w:p>
    <w:p w14:paraId="6DE195CF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9" w:name="_Toc25065"/>
      <w:bookmarkStart w:id="60" w:name="_Toc24957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十三、财政拨款“三公”经费支出决算表</w:t>
      </w:r>
      <w:bookmarkEnd w:id="59"/>
      <w:bookmarkEnd w:id="60"/>
    </w:p>
    <w:p w14:paraId="166C88C9">
      <w:pPr>
        <w:bidi w:val="0"/>
        <w:rPr>
          <w:lang w:val="en-US" w:eastAsia="zh-CN"/>
        </w:rPr>
      </w:pPr>
    </w:p>
    <w:p w14:paraId="4FFF8E1D">
      <w:pPr>
        <w:bidi w:val="0"/>
        <w:rPr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440" w:right="1576" w:bottom="1440" w:left="1576" w:header="851" w:footer="992" w:gutter="0"/>
      <w:pgNumType w:fmt="numberInDash" w:start="0"/>
      <w:cols w:space="720" w:num="1"/>
      <w:titlePg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">
    <w:altName w:val="Lucida Sans Unicode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A988E">
    <w:pPr>
      <w:pStyle w:val="1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220"/>
      </w:tabs>
      <w:rPr>
        <w:b/>
        <w:sz w:val="28"/>
      </w:rPr>
    </w:pPr>
    <w:r>
      <w:rPr>
        <w:rStyle w:val="19"/>
        <w:b/>
        <w:sz w:val="28"/>
      </w:rPr>
      <w:fldChar w:fldCharType="begin"/>
    </w:r>
    <w:r>
      <w:rPr>
        <w:rStyle w:val="19"/>
        <w:b/>
        <w:sz w:val="28"/>
      </w:rPr>
      <w:instrText xml:space="preserve">Page</w:instrText>
    </w:r>
    <w:r>
      <w:rPr>
        <w:rStyle w:val="19"/>
        <w:b/>
        <w:sz w:val="28"/>
      </w:rPr>
      <w:fldChar w:fldCharType="separate"/>
    </w:r>
    <w:r>
      <w:rPr>
        <w:rStyle w:val="19"/>
        <w:rFonts w:hint="eastAsia"/>
        <w:b/>
        <w:sz w:val="28"/>
      </w:rPr>
      <w:t>— 1 —</w:t>
    </w:r>
    <w:r>
      <w:rPr>
        <w:rStyle w:val="19"/>
        <w:b/>
        <w:sz w:val="28"/>
      </w:rPr>
      <w:fldChar w:fldCharType="end"/>
    </w:r>
  </w:p>
  <w:p w14:paraId="6DC412C1">
    <w:pPr>
      <w:pStyle w:val="11"/>
      <w:tabs>
        <w:tab w:val="center" w:pos="4220"/>
        <w:tab w:val="clear" w:pos="4153"/>
        <w:tab w:val="clear" w:pos="8306"/>
      </w:tabs>
      <w:ind w:right="360" w:firstLine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5A7A7">
    <w:pPr>
      <w:pStyle w:val="1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19"/>
      </w:rPr>
      <w:fldChar w:fldCharType="begin"/>
    </w:r>
    <w:r>
      <w:rPr>
        <w:rStyle w:val="19"/>
      </w:rPr>
      <w:instrText xml:space="preserve">Page</w:instrText>
    </w:r>
    <w:r>
      <w:rPr>
        <w:rStyle w:val="19"/>
      </w:rPr>
      <w:fldChar w:fldCharType="separate"/>
    </w:r>
    <w:r>
      <w:rPr>
        <w:rStyle w:val="19"/>
      </w:rPr>
      <w:t>0</w:t>
    </w:r>
    <w:r>
      <w:rPr>
        <w:rStyle w:val="19"/>
      </w:rPr>
      <w:fldChar w:fldCharType="end"/>
    </w:r>
  </w:p>
  <w:p w14:paraId="0A613642">
    <w:pPr>
      <w:pStyle w:val="11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right="360" w:firstLine="360"/>
    </w:pPr>
    <w:r>
      <w:rPr>
        <w:rStyle w:val="19"/>
      </w:rPr>
      <w:fldChar w:fldCharType="begin"/>
    </w:r>
    <w:r>
      <w:rPr>
        <w:rStyle w:val="19"/>
      </w:rPr>
      <w:instrText xml:space="preserve">Page</w:instrText>
    </w:r>
    <w:r>
      <w:rPr>
        <w:rStyle w:val="19"/>
      </w:rPr>
      <w:fldChar w:fldCharType="separate"/>
    </w:r>
    <w:r>
      <w:rPr>
        <w:rStyle w:val="19"/>
        <w:rFonts w:hint="eastAsia"/>
      </w:rPr>
      <w:t>— 1 —</w:t>
    </w:r>
    <w:r>
      <w:rPr>
        <w:rStyle w:val="19"/>
      </w:rPr>
      <w:fldChar w:fldCharType="end"/>
    </w:r>
  </w:p>
  <w:p w14:paraId="49239377"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08590">
    <w:pPr>
      <w:pStyle w:val="1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E322E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3OTYyMTRjMzQ2YzRlYzkxODQ0OTRjNTBhMjgyYWQifQ=="/>
  </w:docVars>
  <w:rsids>
    <w:rsidRoot w:val="00000000"/>
    <w:rsid w:val="010E72CB"/>
    <w:rsid w:val="018E183C"/>
    <w:rsid w:val="030E6A10"/>
    <w:rsid w:val="03F6348B"/>
    <w:rsid w:val="049A4077"/>
    <w:rsid w:val="056F2E0E"/>
    <w:rsid w:val="05854E9B"/>
    <w:rsid w:val="07780B7B"/>
    <w:rsid w:val="08F747B7"/>
    <w:rsid w:val="09461CD6"/>
    <w:rsid w:val="09EF4328"/>
    <w:rsid w:val="0C9927BA"/>
    <w:rsid w:val="0CA534EF"/>
    <w:rsid w:val="0CF8144C"/>
    <w:rsid w:val="0D6B65B1"/>
    <w:rsid w:val="0E206F12"/>
    <w:rsid w:val="0F6C0C55"/>
    <w:rsid w:val="0F9D4A1B"/>
    <w:rsid w:val="0FAB4813"/>
    <w:rsid w:val="0FC64EF0"/>
    <w:rsid w:val="111B2222"/>
    <w:rsid w:val="114B685F"/>
    <w:rsid w:val="11F8610A"/>
    <w:rsid w:val="12907582"/>
    <w:rsid w:val="12A97FAE"/>
    <w:rsid w:val="12D31F47"/>
    <w:rsid w:val="139D5DF5"/>
    <w:rsid w:val="159266A5"/>
    <w:rsid w:val="17326391"/>
    <w:rsid w:val="18AE078C"/>
    <w:rsid w:val="196651CF"/>
    <w:rsid w:val="1A0331FE"/>
    <w:rsid w:val="1CB763CB"/>
    <w:rsid w:val="1CEC7E01"/>
    <w:rsid w:val="1D6A72FB"/>
    <w:rsid w:val="1E5E47E0"/>
    <w:rsid w:val="1F4315DA"/>
    <w:rsid w:val="1FFD3A60"/>
    <w:rsid w:val="20841BE6"/>
    <w:rsid w:val="209C728D"/>
    <w:rsid w:val="20AD28F4"/>
    <w:rsid w:val="20B44934"/>
    <w:rsid w:val="20F77C64"/>
    <w:rsid w:val="20F85F56"/>
    <w:rsid w:val="21491AF3"/>
    <w:rsid w:val="217A6C7B"/>
    <w:rsid w:val="218141B4"/>
    <w:rsid w:val="22731412"/>
    <w:rsid w:val="22DE117B"/>
    <w:rsid w:val="235F2713"/>
    <w:rsid w:val="23BE3501"/>
    <w:rsid w:val="283C7D9D"/>
    <w:rsid w:val="2888032F"/>
    <w:rsid w:val="289B6C0E"/>
    <w:rsid w:val="28DA5593"/>
    <w:rsid w:val="28E44026"/>
    <w:rsid w:val="29FD439E"/>
    <w:rsid w:val="2A225F57"/>
    <w:rsid w:val="2A7A723E"/>
    <w:rsid w:val="2B447F8C"/>
    <w:rsid w:val="2DB3100A"/>
    <w:rsid w:val="2E612427"/>
    <w:rsid w:val="2EFF3C8C"/>
    <w:rsid w:val="2F494923"/>
    <w:rsid w:val="30740B8E"/>
    <w:rsid w:val="32EF1E88"/>
    <w:rsid w:val="337B6B3F"/>
    <w:rsid w:val="33F203F2"/>
    <w:rsid w:val="342112C0"/>
    <w:rsid w:val="342F41AF"/>
    <w:rsid w:val="343706EB"/>
    <w:rsid w:val="34F160E8"/>
    <w:rsid w:val="359C74CB"/>
    <w:rsid w:val="35E022B4"/>
    <w:rsid w:val="36DD1A1E"/>
    <w:rsid w:val="36E942D2"/>
    <w:rsid w:val="37C05236"/>
    <w:rsid w:val="37EB3CC7"/>
    <w:rsid w:val="380037ED"/>
    <w:rsid w:val="3A1A37A9"/>
    <w:rsid w:val="3A7909FE"/>
    <w:rsid w:val="3AF52546"/>
    <w:rsid w:val="3C0B1989"/>
    <w:rsid w:val="3D543599"/>
    <w:rsid w:val="3DDF0D0F"/>
    <w:rsid w:val="3E0B1343"/>
    <w:rsid w:val="3E3E687E"/>
    <w:rsid w:val="3F0A38C9"/>
    <w:rsid w:val="3FBF6165"/>
    <w:rsid w:val="40BC6B48"/>
    <w:rsid w:val="40FD5B3B"/>
    <w:rsid w:val="41595743"/>
    <w:rsid w:val="41777224"/>
    <w:rsid w:val="4295347D"/>
    <w:rsid w:val="42DC5DB5"/>
    <w:rsid w:val="431E79AD"/>
    <w:rsid w:val="440469A6"/>
    <w:rsid w:val="445A645C"/>
    <w:rsid w:val="4494376B"/>
    <w:rsid w:val="453E6C9F"/>
    <w:rsid w:val="454D7D6F"/>
    <w:rsid w:val="46410AC4"/>
    <w:rsid w:val="4652002D"/>
    <w:rsid w:val="470E7D1E"/>
    <w:rsid w:val="490F7F13"/>
    <w:rsid w:val="49DD2759"/>
    <w:rsid w:val="4A1F04AA"/>
    <w:rsid w:val="4AE1508B"/>
    <w:rsid w:val="4F3854C4"/>
    <w:rsid w:val="4F6B5525"/>
    <w:rsid w:val="4FCE7CFE"/>
    <w:rsid w:val="50F644C2"/>
    <w:rsid w:val="517F5754"/>
    <w:rsid w:val="52E00CE4"/>
    <w:rsid w:val="530F1F9F"/>
    <w:rsid w:val="555B0286"/>
    <w:rsid w:val="55CC1950"/>
    <w:rsid w:val="56C66CC8"/>
    <w:rsid w:val="57197CD1"/>
    <w:rsid w:val="578A1F12"/>
    <w:rsid w:val="586631C9"/>
    <w:rsid w:val="58FB7307"/>
    <w:rsid w:val="5969563F"/>
    <w:rsid w:val="596E1AC6"/>
    <w:rsid w:val="5A712B2E"/>
    <w:rsid w:val="5C2C6147"/>
    <w:rsid w:val="5C5C540C"/>
    <w:rsid w:val="5DDC717D"/>
    <w:rsid w:val="5EA26B50"/>
    <w:rsid w:val="5EAC2CE3"/>
    <w:rsid w:val="5F1E20CE"/>
    <w:rsid w:val="5F615C89"/>
    <w:rsid w:val="5FFC6E06"/>
    <w:rsid w:val="602A2D2E"/>
    <w:rsid w:val="60501C2F"/>
    <w:rsid w:val="6056529D"/>
    <w:rsid w:val="60DF7FBD"/>
    <w:rsid w:val="612E4AA0"/>
    <w:rsid w:val="616D4A65"/>
    <w:rsid w:val="623E2002"/>
    <w:rsid w:val="62AC2121"/>
    <w:rsid w:val="638D1D6F"/>
    <w:rsid w:val="64D92F75"/>
    <w:rsid w:val="69301CF8"/>
    <w:rsid w:val="69EE6CD8"/>
    <w:rsid w:val="6AD83C99"/>
    <w:rsid w:val="6B5A7319"/>
    <w:rsid w:val="6B874966"/>
    <w:rsid w:val="6B8F2222"/>
    <w:rsid w:val="6B9A0376"/>
    <w:rsid w:val="6BE04F09"/>
    <w:rsid w:val="6C2C42D2"/>
    <w:rsid w:val="6C7F08A6"/>
    <w:rsid w:val="6DDE6F4D"/>
    <w:rsid w:val="6E8421A4"/>
    <w:rsid w:val="70070B5A"/>
    <w:rsid w:val="71FA02AB"/>
    <w:rsid w:val="73651863"/>
    <w:rsid w:val="739C5CBB"/>
    <w:rsid w:val="73AD1C57"/>
    <w:rsid w:val="73C4767E"/>
    <w:rsid w:val="745B39A7"/>
    <w:rsid w:val="74F2110B"/>
    <w:rsid w:val="755E0069"/>
    <w:rsid w:val="756845CD"/>
    <w:rsid w:val="75A3300B"/>
    <w:rsid w:val="75FF1592"/>
    <w:rsid w:val="76DC406F"/>
    <w:rsid w:val="773447C1"/>
    <w:rsid w:val="773F060A"/>
    <w:rsid w:val="77AC143B"/>
    <w:rsid w:val="78C45B73"/>
    <w:rsid w:val="78EB1E1C"/>
    <w:rsid w:val="78F26C89"/>
    <w:rsid w:val="78F83387"/>
    <w:rsid w:val="791B013F"/>
    <w:rsid w:val="7A445EF2"/>
    <w:rsid w:val="7AD87AFF"/>
    <w:rsid w:val="7B921E3F"/>
    <w:rsid w:val="7BB1559A"/>
    <w:rsid w:val="7C4F3DF1"/>
    <w:rsid w:val="7CF03F88"/>
    <w:rsid w:val="7D216F20"/>
    <w:rsid w:val="7DBE4D80"/>
    <w:rsid w:val="7EB92052"/>
    <w:rsid w:val="7F423DEF"/>
    <w:rsid w:val="7FDF2220"/>
    <w:rsid w:val="7FED3B30"/>
    <w:rsid w:val="BE37A6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6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link w:val="30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8">
    <w:name w:val="Body Text"/>
    <w:basedOn w:val="1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9">
    <w:name w:val="toc 3"/>
    <w:basedOn w:val="1"/>
    <w:next w:val="1"/>
    <w:qFormat/>
    <w:uiPriority w:val="0"/>
    <w:pPr>
      <w:tabs>
        <w:tab w:val="right" w:leader="dot" w:pos="8296"/>
      </w:tabs>
      <w:ind w:left="400" w:leftChars="400"/>
    </w:p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3">
    <w:name w:val="toc 1"/>
    <w:basedOn w:val="1"/>
    <w:next w:val="1"/>
    <w:qFormat/>
    <w:uiPriority w:val="0"/>
    <w:pPr>
      <w:tabs>
        <w:tab w:val="right" w:leader="dot" w:pos="8296"/>
      </w:tabs>
      <w:spacing w:before="93"/>
      <w:jc w:val="center"/>
    </w:pPr>
    <w:rPr>
      <w:rFonts w:ascii="仿宋" w:eastAsia="仿宋"/>
      <w:sz w:val="28"/>
      <w:szCs w:val="28"/>
    </w:rPr>
  </w:style>
  <w:style w:type="paragraph" w:styleId="14">
    <w:name w:val="toc 2"/>
    <w:basedOn w:val="1"/>
    <w:next w:val="1"/>
    <w:qFormat/>
    <w:uiPriority w:val="0"/>
    <w:pPr>
      <w:tabs>
        <w:tab w:val="right" w:leader="dot" w:pos="8296"/>
      </w:tabs>
      <w:ind w:left="200" w:leftChars="200"/>
    </w:p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basedOn w:val="17"/>
    <w:qFormat/>
    <w:uiPriority w:val="0"/>
  </w:style>
  <w:style w:type="character" w:styleId="20">
    <w:name w:val="FollowedHyperlink"/>
    <w:basedOn w:val="17"/>
    <w:qFormat/>
    <w:uiPriority w:val="0"/>
    <w:rPr>
      <w:color w:val="000000"/>
      <w:u w:val="none"/>
    </w:rPr>
  </w:style>
  <w:style w:type="character" w:styleId="21">
    <w:name w:val="Emphasis"/>
    <w:basedOn w:val="17"/>
    <w:qFormat/>
    <w:uiPriority w:val="0"/>
  </w:style>
  <w:style w:type="character" w:styleId="22">
    <w:name w:val="HTML Definition"/>
    <w:basedOn w:val="17"/>
    <w:qFormat/>
    <w:uiPriority w:val="0"/>
  </w:style>
  <w:style w:type="character" w:styleId="23">
    <w:name w:val="HTML Acronym"/>
    <w:basedOn w:val="17"/>
    <w:qFormat/>
    <w:uiPriority w:val="0"/>
  </w:style>
  <w:style w:type="character" w:styleId="24">
    <w:name w:val="HTML Variable"/>
    <w:basedOn w:val="17"/>
    <w:qFormat/>
    <w:uiPriority w:val="0"/>
  </w:style>
  <w:style w:type="character" w:styleId="25">
    <w:name w:val="Hyperlink"/>
    <w:basedOn w:val="17"/>
    <w:qFormat/>
    <w:uiPriority w:val="0"/>
    <w:rPr>
      <w:color w:val="0000FF"/>
      <w:u w:val="single"/>
    </w:rPr>
  </w:style>
  <w:style w:type="character" w:styleId="26">
    <w:name w:val="HTML Code"/>
    <w:basedOn w:val="17"/>
    <w:qFormat/>
    <w:uiPriority w:val="0"/>
    <w:rPr>
      <w:rFonts w:ascii="Courier New" w:hAnsi="Courier New"/>
      <w:sz w:val="20"/>
      <w:u w:val="single"/>
    </w:rPr>
  </w:style>
  <w:style w:type="character" w:styleId="27">
    <w:name w:val="HTML Cite"/>
    <w:basedOn w:val="17"/>
    <w:qFormat/>
    <w:uiPriority w:val="0"/>
  </w:style>
  <w:style w:type="paragraph" w:customStyle="1" w:styleId="28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character" w:customStyle="1" w:styleId="29">
    <w:name w:val="heading 1 Char"/>
    <w:basedOn w:val="17"/>
    <w:link w:val="5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30">
    <w:name w:val="heading 2 Char"/>
    <w:basedOn w:val="17"/>
    <w:link w:val="6"/>
    <w:qFormat/>
    <w:uiPriority w:val="0"/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31">
    <w:name w:val="Header Char"/>
    <w:basedOn w:val="17"/>
    <w:qFormat/>
    <w:uiPriority w:val="0"/>
    <w:rPr>
      <w:rFonts w:ascii="Times New Roman" w:hAnsi="Times New Roman"/>
      <w:sz w:val="18"/>
      <w:szCs w:val="18"/>
    </w:rPr>
  </w:style>
  <w:style w:type="character" w:customStyle="1" w:styleId="32">
    <w:name w:val="Footer Char"/>
    <w:basedOn w:val="17"/>
    <w:qFormat/>
    <w:uiPriority w:val="0"/>
    <w:rPr>
      <w:rFonts w:ascii="Times New Roman" w:hAnsi="Times New Roman"/>
      <w:sz w:val="18"/>
      <w:szCs w:val="18"/>
    </w:rPr>
  </w:style>
  <w:style w:type="character" w:customStyle="1" w:styleId="33">
    <w:name w:val="Body Text Char"/>
    <w:basedOn w:val="17"/>
    <w:qFormat/>
    <w:uiPriority w:val="0"/>
    <w:rPr>
      <w:rFonts w:ascii="Times New Roman" w:hAnsi="Times New Roman"/>
      <w:szCs w:val="24"/>
    </w:r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35">
    <w:name w:val="List Paragraph"/>
    <w:basedOn w:val="1"/>
    <w:qFormat/>
    <w:uiPriority w:val="0"/>
    <w:pPr>
      <w:ind w:firstLine="200" w:firstLineChars="200"/>
    </w:pPr>
  </w:style>
  <w:style w:type="paragraph" w:customStyle="1" w:styleId="36">
    <w:name w:val="TOC 标题1"/>
    <w:basedOn w:val="5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6091"/>
      <w:kern w:val="0"/>
      <w:sz w:val="28"/>
      <w:szCs w:val="28"/>
    </w:rPr>
  </w:style>
  <w:style w:type="paragraph" w:customStyle="1" w:styleId="37">
    <w:name w:val="TOC Heading"/>
    <w:basedOn w:val="5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6091"/>
      <w:kern w:val="0"/>
      <w:sz w:val="28"/>
      <w:szCs w:val="28"/>
    </w:rPr>
  </w:style>
  <w:style w:type="character" w:customStyle="1" w:styleId="38">
    <w:name w:val="apple-converted-space"/>
    <w:basedOn w:val="17"/>
    <w:qFormat/>
    <w:uiPriority w:val="0"/>
  </w:style>
  <w:style w:type="paragraph" w:customStyle="1" w:styleId="39">
    <w:name w:val="_Style 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paragraph" w:customStyle="1" w:styleId="40">
    <w:name w:val="_Style 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character" w:customStyle="1" w:styleId="41">
    <w:name w:val="hover17"/>
    <w:basedOn w:val="17"/>
    <w:qFormat/>
    <w:uiPriority w:val="0"/>
    <w:rPr>
      <w:color w:val="FFFFFF"/>
    </w:rPr>
  </w:style>
  <w:style w:type="character" w:customStyle="1" w:styleId="42">
    <w:name w:val="active"/>
    <w:basedOn w:val="17"/>
    <w:qFormat/>
    <w:uiPriority w:val="0"/>
    <w:rPr>
      <w:color w:val="FFFFFF"/>
    </w:rPr>
  </w:style>
  <w:style w:type="character" w:customStyle="1" w:styleId="43">
    <w:name w:val="page_next"/>
    <w:basedOn w:val="17"/>
    <w:qFormat/>
    <w:uiPriority w:val="0"/>
  </w:style>
  <w:style w:type="character" w:customStyle="1" w:styleId="44">
    <w:name w:val="page_prev"/>
    <w:basedOn w:val="17"/>
    <w:qFormat/>
    <w:uiPriority w:val="0"/>
  </w:style>
  <w:style w:type="character" w:customStyle="1" w:styleId="45">
    <w:name w:val="white"/>
    <w:basedOn w:val="17"/>
    <w:qFormat/>
    <w:uiPriority w:val="0"/>
    <w:rPr>
      <w:rFonts w:ascii="黑体" w:eastAsia="黑体" w:cs="黑体"/>
    </w:rPr>
  </w:style>
  <w:style w:type="character" w:customStyle="1" w:styleId="46">
    <w:name w:val="hover15"/>
    <w:basedOn w:val="17"/>
    <w:qFormat/>
    <w:uiPriority w:val="0"/>
    <w:rPr>
      <w:color w:val="FFFFFF"/>
    </w:rPr>
  </w:style>
  <w:style w:type="character" w:customStyle="1" w:styleId="47">
    <w:name w:val="15"/>
    <w:basedOn w:val="17"/>
    <w:qFormat/>
    <w:uiPriority w:val="0"/>
    <w:rPr>
      <w:rFonts w:ascii="Calibri" w:hAnsi="Calibri" w:cs="Calibri"/>
      <w:b/>
    </w:rPr>
  </w:style>
  <w:style w:type="paragraph" w:customStyle="1" w:styleId="48">
    <w:name w:val="_Style 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paragraph" w:customStyle="1" w:styleId="49">
    <w:name w:val="_Style 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character" w:customStyle="1" w:styleId="50">
    <w:name w:val="first-child1"/>
    <w:basedOn w:val="17"/>
    <w:qFormat/>
    <w:uiPriority w:val="0"/>
  </w:style>
  <w:style w:type="character" w:customStyle="1" w:styleId="51">
    <w:name w:val="layui-layer-tabnow"/>
    <w:basedOn w:val="17"/>
    <w:qFormat/>
    <w:uiPriority w:val="0"/>
    <w:rPr>
      <w:bdr w:val="single" w:color="CCCCCC" w:sz="6" w:space="0"/>
      <w:shd w:val="clear" w:color="auto" w:fill="FFFFFF"/>
    </w:rPr>
  </w:style>
  <w:style w:type="character" w:customStyle="1" w:styleId="52">
    <w:name w:val="first-child"/>
    <w:basedOn w:val="17"/>
    <w:qFormat/>
    <w:uiPriority w:val="0"/>
  </w:style>
  <w:style w:type="character" w:customStyle="1" w:styleId="53">
    <w:name w:val="time"/>
    <w:basedOn w:val="17"/>
    <w:qFormat/>
    <w:uiPriority w:val="0"/>
    <w:rPr>
      <w:color w:val="999999"/>
      <w:sz w:val="18"/>
      <w:szCs w:val="18"/>
    </w:rPr>
  </w:style>
  <w:style w:type="character" w:customStyle="1" w:styleId="54">
    <w:name w:val="time1"/>
    <w:basedOn w:val="17"/>
    <w:qFormat/>
    <w:uiPriority w:val="0"/>
    <w:rPr>
      <w:shd w:val="clear" w:color="auto" w:fill="F5F7FB"/>
    </w:rPr>
  </w:style>
  <w:style w:type="character" w:customStyle="1" w:styleId="55">
    <w:name w:val="time2"/>
    <w:basedOn w:val="17"/>
    <w:qFormat/>
    <w:uiPriority w:val="0"/>
    <w:rPr>
      <w:color w:val="888888"/>
    </w:rPr>
  </w:style>
  <w:style w:type="character" w:customStyle="1" w:styleId="56">
    <w:name w:val="time3"/>
    <w:basedOn w:val="17"/>
    <w:qFormat/>
    <w:uiPriority w:val="0"/>
    <w:rPr>
      <w:color w:val="888888"/>
    </w:rPr>
  </w:style>
  <w:style w:type="character" w:customStyle="1" w:styleId="57">
    <w:name w:val="time4"/>
    <w:basedOn w:val="17"/>
    <w:qFormat/>
    <w:uiPriority w:val="0"/>
    <w:rPr>
      <w:color w:val="888888"/>
    </w:rPr>
  </w:style>
  <w:style w:type="paragraph" w:customStyle="1" w:styleId="58">
    <w:name w:val="WPSOffice手动目录 1"/>
    <w:qFormat/>
    <w:uiPriority w:val="0"/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paragraph" w:customStyle="1" w:styleId="59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paragraph" w:customStyle="1" w:styleId="60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61">
    <w:name w:val="标题 1 Char"/>
    <w:basedOn w:val="17"/>
    <w:link w:val="5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6.emf"/><Relationship Id="rId18" Type="http://schemas.openxmlformats.org/officeDocument/2006/relationships/oleObject" Target="embeddings/oleObject5.bin"/><Relationship Id="rId17" Type="http://schemas.openxmlformats.org/officeDocument/2006/relationships/image" Target="media/image5.emf"/><Relationship Id="rId16" Type="http://schemas.openxmlformats.org/officeDocument/2006/relationships/oleObject" Target="embeddings/oleObject4.bin"/><Relationship Id="rId15" Type="http://schemas.openxmlformats.org/officeDocument/2006/relationships/image" Target="media/image4.emf"/><Relationship Id="rId14" Type="http://schemas.openxmlformats.org/officeDocument/2006/relationships/oleObject" Target="embeddings/oleObject3.bin"/><Relationship Id="rId13" Type="http://schemas.openxmlformats.org/officeDocument/2006/relationships/image" Target="media/image3.emf"/><Relationship Id="rId12" Type="http://schemas.openxmlformats.org/officeDocument/2006/relationships/oleObject" Target="embeddings/oleObject2.bin"/><Relationship Id="rId11" Type="http://schemas.openxmlformats.org/officeDocument/2006/relationships/chart" Target="charts/chart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baseline="0">
                <a:solidFill>
                  <a:srgbClr val="595959"/>
                </a:solidFill>
                <a:latin typeface="Times New Roman" panose="02020603050405020304"/>
                <a:ea typeface="宋体" panose="02010600030101010101" charset="-122"/>
                <a:cs typeface="Lucida Sans"/>
              </a:defRPr>
            </a:pPr>
            <a:r>
              <a:rPr lang="zh-CN"/>
              <a:t>支出</a:t>
            </a:r>
            <a:endParaRPr lang="zh-CN"/>
          </a:p>
        </c:rich>
      </c:tx>
      <c:layout/>
      <c:overlay val="0"/>
      <c:spPr>
        <a:noFill/>
        <a:ln>
          <a:noFill/>
        </a:ln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基本支出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explosion val="0"/>
          <c:dPt>
            <c:idx val="0"/>
            <c:bubble3D val="0"/>
            <c:explosion val="0"/>
            <c:spPr>
              <a:solidFill>
                <a:srgbClr val="4F81BD"/>
              </a:solidFill>
              <a:ln w="19050">
                <a:solidFill>
                  <a:srgbClr val="FFFFFF"/>
                </a:solidFill>
                <a:prstDash val="solid"/>
              </a:ln>
            </c:spPr>
          </c:dPt>
          <c:dPt>
            <c:idx val="1"/>
            <c:bubble3D val="0"/>
            <c:explosion val="0"/>
            <c:spPr>
              <a:solidFill>
                <a:srgbClr val="C0504D"/>
              </a:solidFill>
              <a:ln w="19050">
                <a:solidFill>
                  <a:srgbClr val="FFFFFF"/>
                </a:solidFill>
                <a:prstDash val="solid"/>
              </a:ln>
            </c:spPr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zh-CN" sz="900" b="0" i="0" u="none" strike="noStrike" kern="1200" baseline="0">
                        <a:solidFill>
                          <a:srgbClr val="404040"/>
                        </a:solidFill>
                        <a:latin typeface="Times New Roman" panose="02020603050405020304"/>
                        <a:ea typeface="宋体" panose="02010600030101010101" charset="-122"/>
                        <a:cs typeface="Lucida Sans"/>
                      </a:defRPr>
                    </a:pPr>
                    <a:r>
                      <a:rPr lang="en-US" altLang="zh-CN" sz="900" b="0" i="0" u="none" strike="noStrike" baseline="0">
                        <a:solidFill>
                          <a:srgbClr val="404040"/>
                        </a:solidFill>
                        <a:latin typeface="Times New Roman" panose="02020603050405020304"/>
                        <a:ea typeface="宋体" panose="02010600030101010101" charset="-122"/>
                        <a:cs typeface="Lucida Sans"/>
                      </a:rPr>
                      <a:t>96.86</a:t>
                    </a:r>
                    <a:r>
                      <a:rPr lang="zh-CN" sz="900" b="0" i="0" u="none" strike="noStrike" baseline="0">
                        <a:solidFill>
                          <a:srgbClr val="404040"/>
                        </a:solidFill>
                        <a:latin typeface="Times New Roman" panose="02020603050405020304"/>
                        <a:ea typeface="宋体" panose="02010600030101010101" charset="-122"/>
                        <a:cs typeface="Lucida Sans"/>
                      </a:rPr>
                      <a:t>%</a:t>
                    </a:r>
                    <a:endParaRPr lang="zh-CN" sz="900" b="0" i="0" u="none" strike="noStrike" baseline="0">
                      <a:solidFill>
                        <a:srgbClr val="404040"/>
                      </a:solidFill>
                      <a:latin typeface="Times New Roman" panose="02020603050405020304"/>
                      <a:ea typeface="宋体" panose="02010600030101010101" charset="-122"/>
                      <a:cs typeface="Lucida Sans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900" b="0" i="0" u="none" strike="noStrike" kern="1200" baseline="0">
                      <a:solidFill>
                        <a:srgbClr val="404040"/>
                      </a:solidFill>
                      <a:latin typeface="Times New Roman" panose="02020603050405020304"/>
                      <a:ea typeface="宋体" panose="02010600030101010101" charset="-122"/>
                      <a:cs typeface="Lucida Sans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zh-CN" sz="900" b="0" i="0" u="none" strike="noStrike" kern="1200" baseline="0">
                        <a:solidFill>
                          <a:srgbClr val="404040"/>
                        </a:solidFill>
                        <a:latin typeface="Times New Roman" panose="02020603050405020304"/>
                        <a:ea typeface="宋体" panose="02010600030101010101" charset="-122"/>
                        <a:cs typeface="Lucida Sans"/>
                      </a:defRPr>
                    </a:pPr>
                    <a:r>
                      <a:rPr lang="en-US" altLang="zh-CN" sz="900" b="0" i="0" u="none" strike="noStrike" baseline="0">
                        <a:solidFill>
                          <a:srgbClr val="404040"/>
                        </a:solidFill>
                        <a:latin typeface="Times New Roman" panose="02020603050405020304"/>
                        <a:ea typeface="宋体" panose="02010600030101010101" charset="-122"/>
                        <a:cs typeface="Lucida Sans"/>
                      </a:rPr>
                      <a:t>3.14</a:t>
                    </a:r>
                    <a:r>
                      <a:rPr lang="zh-CN" sz="900" b="0" i="0" u="none" strike="noStrike" baseline="0">
                        <a:solidFill>
                          <a:srgbClr val="404040"/>
                        </a:solidFill>
                        <a:latin typeface="Times New Roman" panose="02020603050405020304"/>
                        <a:ea typeface="宋体" panose="02010600030101010101" charset="-122"/>
                        <a:cs typeface="Lucida Sans"/>
                      </a:rPr>
                      <a:t>%</a:t>
                    </a:r>
                    <a:endParaRPr lang="zh-CN" sz="900" b="0" i="0" u="none" strike="noStrike" baseline="0">
                      <a:solidFill>
                        <a:srgbClr val="404040"/>
                      </a:solidFill>
                      <a:latin typeface="Times New Roman" panose="02020603050405020304"/>
                      <a:ea typeface="宋体" panose="02010600030101010101" charset="-122"/>
                      <a:cs typeface="Lucida Sans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900" b="0" i="0" u="none" strike="noStrike" kern="1200" baseline="0">
                      <a:solidFill>
                        <a:srgbClr val="404040"/>
                      </a:solidFill>
                      <a:latin typeface="Times New Roman" panose="02020603050405020304"/>
                      <a:ea typeface="宋体" panose="02010600030101010101" charset="-122"/>
                      <a:cs typeface="Lucida Sans"/>
                    </a:defRPr>
                  </a:pPr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rgbClr val="404040"/>
                    </a:solidFill>
                    <a:latin typeface="Times New Roman" panose="02020603050405020304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Sheet1!$A$2:$A$3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Sheet1!$B$2:$B$3</c:f>
              <c:numCache>
                <c:formatCode>0.00%</c:formatCode>
                <c:ptCount val="2"/>
                <c:pt idx="0">
                  <c:v>0.9683</c:v>
                </c:pt>
                <c:pt idx="1">
                  <c:v>0.0317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</c:spPr>
    </c:plotArea>
    <c:legend>
      <c:legendPos val="b"/>
      <c:layout/>
      <c:overlay val="0"/>
      <c:spPr>
        <a:noFill/>
        <a:ln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/>
              </a:solidFill>
              <a:latin typeface="Times New Roman" panose="02020603050405020304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25a178c-fbe8-4dca-9315-5c497baf4fc2}"/>
      </c:ext>
    </c:extLst>
  </c:chart>
  <c:spPr>
    <a:solidFill>
      <a:srgbClr val="FFFFFF"/>
    </a:solidFill>
    <a:ln w="6350" cap="flat" cmpd="sng" algn="ctr">
      <a:solidFill>
        <a:srgbClr val="D9D9D9"/>
      </a:solidFill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Times New Roman" panose="02020603050405020304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  <customShpInfo spid="_x0000_s103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/>
    <sectPr xmlns="http://www.yozosoft.com.cn/officeDocument/2016/customData" pgNumType="\* ArabicDash2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30F596-B437-442A-A532-8ED397237C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四川省财政厅</Company>
  <Pages>16</Pages>
  <Words>4737</Words>
  <Characters>5137</Characters>
  <Lines>374</Lines>
  <Paragraphs>155</Paragraphs>
  <TotalTime>5</TotalTime>
  <ScaleCrop>false</ScaleCrop>
  <LinksUpToDate>false</LinksUpToDate>
  <CharactersWithSpaces>5544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2020-08-04T09:49:00Z</dcterms:created>
  <dc:creator>曹颖</dc:creator>
  <cp:lastModifiedBy>冉军</cp:lastModifiedBy>
  <cp:lastPrinted>2026-08-27T02:31:00Z</cp:lastPrinted>
  <dcterms:modified xsi:type="dcterms:W3CDTF">2026-08-28T01:52:38Z</dcterms:modified>
  <dc:title>四川省***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28FED1D9B227418EA4B0C633B4042FBF_13</vt:lpwstr>
  </property>
  <property fmtid="{D5CDD505-2E9C-101B-9397-08002B2CF9AE}" pid="4" name="KSOTemplateDocerSaveRecord">
    <vt:lpwstr>eyJoZGlkIjoiMzZjNGFlMTlkMjY0YmIzNTVlZTJjZmFjZTQzMzliNDEiLCJ1c2VySWQiOiI3OTU1MDA3MjkifQ==</vt:lpwstr>
  </property>
</Properties>
</file>