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262B">
      <w:pPr>
        <w:spacing w:line="600" w:lineRule="exact"/>
        <w:jc w:val="center"/>
        <w:outlineLvl w:val="0"/>
        <w:rPr>
          <w:rFonts w:ascii="方正小标宋简体" w:eastAsia="方正小标宋简体"/>
          <w:color w:val="000000"/>
          <w:sz w:val="72"/>
          <w:szCs w:val="72"/>
        </w:rPr>
      </w:pPr>
      <w:bookmarkStart w:id="0" w:name="_Toc15396599"/>
      <w:bookmarkStart w:id="1" w:name="_Toc15377196"/>
    </w:p>
    <w:p w14:paraId="3B102E7B">
      <w:pPr>
        <w:spacing w:line="600" w:lineRule="exact"/>
        <w:jc w:val="center"/>
        <w:outlineLvl w:val="0"/>
        <w:rPr>
          <w:rFonts w:ascii="方正小标宋简体" w:eastAsia="方正小标宋简体"/>
          <w:color w:val="000000"/>
          <w:sz w:val="72"/>
          <w:szCs w:val="72"/>
        </w:rPr>
      </w:pPr>
    </w:p>
    <w:p w14:paraId="05D1DFC2">
      <w:pPr>
        <w:pStyle w:val="6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2" w:name="_Toc15378441"/>
      <w:bookmarkStart w:id="3" w:name="_Toc15396475"/>
      <w:bookmarkStart w:id="4" w:name="_Toc15396597"/>
      <w:bookmarkStart w:id="5" w:name="_Toc15377193"/>
      <w:bookmarkStart w:id="6" w:name="_Toc15377425"/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2025年度</w:t>
      </w:r>
      <w:bookmarkEnd w:id="2"/>
      <w:bookmarkEnd w:id="3"/>
      <w:bookmarkEnd w:id="4"/>
      <w:bookmarkEnd w:id="5"/>
      <w:bookmarkEnd w:id="6"/>
    </w:p>
    <w:p w14:paraId="604E0028">
      <w:pPr>
        <w:pStyle w:val="6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7" w:name="_Toc15377426"/>
      <w:bookmarkStart w:id="8" w:name="_Toc15396598"/>
      <w:bookmarkStart w:id="9" w:name="_Toc15396476"/>
      <w:bookmarkStart w:id="10" w:name="_Toc15378442"/>
      <w:bookmarkStart w:id="11" w:name="_Toc15377194"/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四川省阿坝州</w:t>
      </w:r>
      <w:bookmarkStart w:id="12" w:name="_Toc15306268"/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茂县信访接待中心</w:t>
      </w:r>
    </w:p>
    <w:p w14:paraId="2E0A9CDB">
      <w:pPr>
        <w:pStyle w:val="6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44"/>
          <w:szCs w:val="44"/>
          <w:highlight w:val="none"/>
          <w:lang w:val="en-US" w:eastAsia="zh-CN" w:bidi="ar-SA"/>
        </w:rPr>
        <w:t>单位决算</w:t>
      </w:r>
    </w:p>
    <w:bookmarkEnd w:id="7"/>
    <w:bookmarkEnd w:id="8"/>
    <w:bookmarkEnd w:id="9"/>
    <w:bookmarkEnd w:id="10"/>
    <w:bookmarkEnd w:id="11"/>
    <w:bookmarkEnd w:id="12"/>
    <w:p w14:paraId="2D58B8BE">
      <w:pPr>
        <w:widowControl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p w14:paraId="4252B623">
      <w:pPr>
        <w:rPr>
          <w:rFonts w:ascii="方正小标宋简体" w:eastAsia="方正小标宋简体"/>
          <w:sz w:val="36"/>
          <w:szCs w:val="36"/>
        </w:rPr>
      </w:pPr>
    </w:p>
    <w:p w14:paraId="36B7E658">
      <w:pPr>
        <w:rPr>
          <w:rFonts w:ascii="方正小标宋简体" w:eastAsia="方正小标宋简体"/>
          <w:sz w:val="36"/>
          <w:szCs w:val="36"/>
        </w:rPr>
      </w:pPr>
    </w:p>
    <w:p w14:paraId="1376EAEE">
      <w:pPr>
        <w:rPr>
          <w:rFonts w:ascii="方正小标宋简体" w:eastAsia="方正小标宋简体"/>
          <w:sz w:val="36"/>
          <w:szCs w:val="36"/>
        </w:rPr>
      </w:pPr>
    </w:p>
    <w:p w14:paraId="61EEAD79">
      <w:pPr>
        <w:rPr>
          <w:rFonts w:ascii="方正小标宋简体" w:eastAsia="方正小标宋简体"/>
          <w:sz w:val="36"/>
          <w:szCs w:val="36"/>
        </w:rPr>
      </w:pPr>
    </w:p>
    <w:p w14:paraId="01A23B1A">
      <w:pPr>
        <w:rPr>
          <w:rFonts w:ascii="方正小标宋简体" w:eastAsia="方正小标宋简体"/>
          <w:sz w:val="36"/>
          <w:szCs w:val="36"/>
        </w:rPr>
      </w:pPr>
    </w:p>
    <w:p w14:paraId="43E0F833">
      <w:pPr>
        <w:rPr>
          <w:rFonts w:ascii="方正小标宋简体" w:eastAsia="方正小标宋简体"/>
          <w:sz w:val="36"/>
          <w:szCs w:val="36"/>
        </w:rPr>
      </w:pPr>
    </w:p>
    <w:p w14:paraId="2E825F32">
      <w:pPr>
        <w:autoSpaceDE w:val="0"/>
        <w:autoSpaceDN w:val="0"/>
        <w:adjustRightInd w:val="0"/>
        <w:jc w:val="both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</w:p>
    <w:p w14:paraId="6634DE04">
      <w:pPr>
        <w:autoSpaceDE w:val="0"/>
        <w:autoSpaceDN w:val="0"/>
        <w:adjustRightInd w:val="0"/>
        <w:jc w:val="left"/>
        <w:rPr>
          <w:rFonts w:hint="eastAsia" w:eastAsia="仿宋_GB2312"/>
          <w:sz w:val="32"/>
          <w:szCs w:val="32"/>
          <w:lang w:eastAsia="zh-CN"/>
        </w:rPr>
      </w:pPr>
    </w:p>
    <w:p w14:paraId="4EF6B326">
      <w:pPr>
        <w:widowControl/>
        <w:jc w:val="left"/>
        <w:rPr>
          <w:rFonts w:ascii="方正小标宋简体" w:eastAsia="方正小标宋简体"/>
          <w:sz w:val="36"/>
          <w:szCs w:val="36"/>
        </w:rPr>
      </w:pPr>
    </w:p>
    <w:p w14:paraId="3B3BFE50">
      <w:pPr>
        <w:pageBreakBefore w:val="0"/>
        <w:widowControl/>
        <w:kinsoku/>
        <w:wordWrap/>
        <w:overflowPunct/>
        <w:topLinePunct w:val="0"/>
        <w:bidi w:val="0"/>
        <w:spacing w:line="576" w:lineRule="exact"/>
        <w:jc w:val="center"/>
        <w:textAlignment w:val="auto"/>
        <w:rPr>
          <w:rFonts w:ascii="黑体" w:eastAsia="黑体"/>
          <w:color w:val="000000"/>
          <w:sz w:val="48"/>
          <w:szCs w:val="48"/>
        </w:rPr>
      </w:pPr>
      <w:r>
        <w:rPr>
          <w:rFonts w:ascii="方正小标宋简体" w:eastAsia="方正小标宋简体"/>
          <w:sz w:val="36"/>
          <w:szCs w:val="36"/>
        </w:rPr>
        <w:br w:type="page"/>
      </w:r>
      <w:r>
        <w:rPr>
          <w:rFonts w:hint="eastAsia" w:ascii="黑体" w:eastAsia="黑体"/>
          <w:color w:val="000000"/>
          <w:sz w:val="48"/>
          <w:szCs w:val="48"/>
        </w:rPr>
        <w:t>目录</w:t>
      </w:r>
    </w:p>
    <w:p w14:paraId="62F70343">
      <w:pPr>
        <w:pStyle w:val="13"/>
        <w:pageBreakBefore w:val="0"/>
        <w:widowControl w:val="0"/>
        <w:kinsoku/>
        <w:wordWrap/>
        <w:overflowPunct/>
        <w:topLinePunct w:val="0"/>
        <w:bidi w:val="0"/>
        <w:spacing w:line="576" w:lineRule="exact"/>
        <w:jc w:val="center"/>
        <w:textAlignment w:val="auto"/>
        <w:rPr>
          <w:rFonts w:hint="eastAsia" w:ascii="仿宋_GB2312" w:eastAsia="仿宋_GB2312" w:cs="仿宋_GB2312"/>
          <w:bCs/>
          <w:sz w:val="28"/>
          <w:szCs w:val="28"/>
        </w:rPr>
      </w:pPr>
      <w:r>
        <w:rPr>
          <w:rFonts w:hint="eastAsia" w:ascii="仿宋_GB2312" w:eastAsia="仿宋_GB2312" w:cs="仿宋_GB2312"/>
          <w:bCs/>
          <w:sz w:val="28"/>
          <w:szCs w:val="28"/>
        </w:rPr>
        <w:t>公开时间：202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Cs/>
          <w:sz w:val="28"/>
          <w:szCs w:val="28"/>
        </w:rPr>
        <w:t>年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eastAsia="仿宋_GB2312" w:cs="仿宋_GB2312"/>
          <w:bCs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 w:cs="仿宋_GB2312"/>
          <w:bCs/>
          <w:sz w:val="28"/>
          <w:szCs w:val="28"/>
        </w:rPr>
        <w:t>日</w:t>
      </w:r>
    </w:p>
    <w:p w14:paraId="7E1D108D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240" w:lineRule="auto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TOC \o "1-3" \h \u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sz w:val="32"/>
          <w:szCs w:val="32"/>
        </w:rPr>
        <w:instrText xml:space="preserve"> HYPERLINK \l _Toc23324 </w:instrText>
      </w:r>
      <w:r>
        <w:rPr>
          <w:rFonts w:hint="eastAsia" w:ascii="黑体" w:hAnsi="黑体" w:eastAsia="黑体" w:cs="黑体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bidi="ar-SA"/>
        </w:rPr>
        <w:t>第一部分 单位概况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fldChar w:fldCharType="end"/>
      </w:r>
    </w:p>
    <w:p w14:paraId="512C9E3F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_Toc14656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bidi="ar-SA"/>
        </w:rPr>
        <w:t>一、主要职责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1A1E5460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_Toc30733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bCs/>
          <w:sz w:val="32"/>
          <w:szCs w:val="32"/>
        </w:rPr>
        <w:t>（一）主要职能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182F045E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_Toc10669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bidi="ar-SA"/>
        </w:rPr>
        <w:t>二、机构设置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86CE71E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_Toc26951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bidi="ar-SA"/>
        </w:rPr>
        <w:t>第二部分 202</w:t>
      </w: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5</w:t>
      </w:r>
      <w:r>
        <w:rPr>
          <w:rFonts w:hint="eastAsia" w:ascii="黑体" w:hAnsi="黑体" w:eastAsia="黑体" w:cs="黑体"/>
          <w:sz w:val="32"/>
          <w:szCs w:val="32"/>
          <w:lang w:bidi="ar-SA"/>
        </w:rPr>
        <w:t>年度单位决算情况说明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</w:p>
    <w:p w14:paraId="00F8B0F6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_Toc12554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一、 收入支出决算总体情况说明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369ECBC1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_Toc11583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二、 收入决算情况说明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BEDFFF4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_Toc18578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三、 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77E5ECBE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_Toc26488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四、 财政拨款收入支出决算总体情况说明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3C4C7DB8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_Toc5657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五、 一般公共预算财政拨款支出决算情况说明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3650B5F7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_Toc3691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（一）一般公共预算财政拨款支出决算总体情况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6DCC03E8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_Toc26183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（二）一般公共预算财政拨款支出决算结构情况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0C472CF4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_Toc29675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（三）一般公共预算财政拨款支出决算具体情况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585792A9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_Toc17476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六、一般公共预算财政拨款基本支出决算情况说明 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</w:rPr>
        <w:t> 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0C49A42C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_Toc31902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七、财政拨款“三公”经费支出决算情况说明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3CA2EFB0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_Toc22479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（一）“三公”经费财政拨款支出决算总体情况说明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664AFFE0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_Toc30765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（二）“三公”经费财政拨款支出决算具体情况说明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6AE35F27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_Toc1331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八、政府性基金预算支出决算情况说明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</w:p>
    <w:p w14:paraId="40A2A70A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_Toc18417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九、国有资本经营预算支出决算情况说明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76DE3ED0">
      <w:pPr>
        <w:pStyle w:val="59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_Toc26033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十、其他重要事项的情况说明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63FED81E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_Toc12341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（一）机关运行经费支出情况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795F66DA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_Toc9297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（二）政府采购支出情况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41AA24A1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_Toc20536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（三）国有资产占有使用情况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292D4AE0">
      <w:pPr>
        <w:pStyle w:val="60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\l _Toc27201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（四）预算绩效管理情况</w:t>
      </w:r>
      <w:r>
        <w:rPr>
          <w:rFonts w:hint="eastAsia" w:ascii="仿宋_GB2312" w:eastAsia="仿宋_GB2312" w:cs="仿宋_GB2312"/>
          <w:sz w:val="32"/>
          <w:szCs w:val="32"/>
        </w:rPr>
        <w:tab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</w:p>
    <w:p w14:paraId="1293AFEB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_Toc24473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bidi="ar-SA"/>
        </w:rPr>
        <w:t>第三部分 名词解释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1</w:t>
      </w:r>
    </w:p>
    <w:p w14:paraId="6FEA77B9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eastAsia="仿宋_GB2312" w:cs="仿宋_GB2312"/>
          <w:sz w:val="28"/>
          <w:szCs w:val="28"/>
        </w:rPr>
        <w:instrText xml:space="preserve"> HYPERLINK \l _Toc9504 </w:instrText>
      </w:r>
      <w:r>
        <w:rPr>
          <w:rFonts w:hint="eastAsia" w:ascii="仿宋_GB2312" w:eastAsia="仿宋_GB2312" w:cs="仿宋_GB2312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bidi="ar-SA"/>
        </w:rPr>
        <w:t>第</w:t>
      </w:r>
      <w:r>
        <w:rPr>
          <w:rFonts w:hint="eastAsia" w:ascii="黑体" w:hAnsi="黑体" w:eastAsia="黑体" w:cs="黑体"/>
          <w:sz w:val="32"/>
          <w:szCs w:val="32"/>
          <w:lang w:eastAsia="zh-CN" w:bidi="ar-SA"/>
        </w:rPr>
        <w:t>四</w:t>
      </w:r>
      <w:r>
        <w:rPr>
          <w:rFonts w:hint="eastAsia" w:ascii="黑体" w:hAnsi="黑体" w:eastAsia="黑体" w:cs="黑体"/>
          <w:sz w:val="32"/>
          <w:szCs w:val="32"/>
          <w:lang w:bidi="ar-SA"/>
        </w:rPr>
        <w:t>部分 附表</w:t>
      </w:r>
      <w:r>
        <w:rPr>
          <w:rFonts w:hint="eastAsia" w:ascii="仿宋_GB2312" w:eastAsia="仿宋_GB2312" w:cs="仿宋_GB2312"/>
          <w:sz w:val="28"/>
          <w:szCs w:val="28"/>
        </w:rPr>
        <w:tab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3</w:t>
      </w:r>
    </w:p>
    <w:p w14:paraId="40B67A2D">
      <w:pPr>
        <w:pStyle w:val="58"/>
        <w:pageBreakBefore w:val="0"/>
        <w:tabs>
          <w:tab w:val="right" w:leader="dot" w:pos="8306"/>
        </w:tabs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6D0019D1">
      <w:pPr>
        <w:rPr>
          <w:rFonts w:hint="eastAsia" w:ascii="仿宋_GB2312" w:eastAsia="仿宋_GB2312" w:cs="仿宋_GB2312"/>
          <w:sz w:val="28"/>
          <w:szCs w:val="28"/>
        </w:rPr>
      </w:pPr>
    </w:p>
    <w:p w14:paraId="3AF021FA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 xml:space="preserve">   </w:t>
      </w:r>
    </w:p>
    <w:p w14:paraId="039DAFD2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6A19A5DA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D929B5E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004467A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4EF6B5FE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527B85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0EE34FD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5174EB3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CC5A0EF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E52333B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6F922169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6EC4142B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79080A51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711F7B4C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C9D34E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5A2431A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C0F2D62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479067B7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33C762E1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881527A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AFBB54F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2D583CDA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58CDAE78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200A294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1CA3CAA2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4EF9BC24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eastAsia="仿宋_GB2312" w:cs="仿宋_GB2312"/>
          <w:sz w:val="28"/>
          <w:szCs w:val="28"/>
          <w:lang w:val="en-US" w:eastAsia="zh-CN"/>
        </w:rPr>
      </w:pPr>
    </w:p>
    <w:p w14:paraId="0536EA63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一、收入支出决算总表</w:t>
      </w:r>
    </w:p>
    <w:p w14:paraId="6EEED004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二、收入决算表</w:t>
      </w:r>
    </w:p>
    <w:p w14:paraId="2F8A2010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三、支出决算表</w:t>
      </w:r>
    </w:p>
    <w:p w14:paraId="7CD52BB1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四、财政拨款收入支出决算总表</w:t>
      </w:r>
    </w:p>
    <w:p w14:paraId="6652C45B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五、财政拨款支出决算明细表</w:t>
      </w:r>
    </w:p>
    <w:p w14:paraId="27DB73FF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六、一般公共预算财政拨款支出决算表</w:t>
      </w:r>
    </w:p>
    <w:p w14:paraId="6768C779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七、一般公共预算财政拨款支出决算明细表</w:t>
      </w:r>
    </w:p>
    <w:p w14:paraId="4FA01807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八、一般公共预算财政拨款基本支出决算表</w:t>
      </w:r>
    </w:p>
    <w:p w14:paraId="69E856D8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九、一般公共预算财政拨款项目支出决算表</w:t>
      </w:r>
    </w:p>
    <w:p w14:paraId="6BBD9706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十、政府性基金预算财政拨款收入支出决算表</w:t>
      </w:r>
    </w:p>
    <w:p w14:paraId="0C1B89AF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十一、国有资本经营预算财政拨款收入支出决算表</w:t>
      </w:r>
    </w:p>
    <w:p w14:paraId="5FED7F97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十二、国有资本经营预算财政拨款支出决算表</w:t>
      </w:r>
    </w:p>
    <w:p w14:paraId="6445A1DB">
      <w:pPr>
        <w:pStyle w:val="15"/>
        <w:pageBreakBefore w:val="0"/>
        <w:suppressAutoHyphens/>
        <w:kinsoku/>
        <w:wordWrap/>
        <w:overflowPunct/>
        <w:topLinePunct w:val="0"/>
        <w:bidi w:val="0"/>
        <w:adjustRightInd w:val="0"/>
        <w:snapToGrid w:val="0"/>
        <w:spacing w:line="560" w:lineRule="exact"/>
        <w:ind w:left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十三、财政拨款“三公”经费支出决算表</w:t>
      </w:r>
    </w:p>
    <w:p w14:paraId="6377E0CC">
      <w:pPr>
        <w:pStyle w:val="14"/>
        <w:rPr>
          <w:rFonts w:hint="eastAsia" w:ascii="仿宋_GB2312" w:eastAsia="仿宋_GB2312" w:cs="仿宋_GB2312"/>
          <w:sz w:val="28"/>
          <w:szCs w:val="28"/>
        </w:rPr>
      </w:pPr>
    </w:p>
    <w:p w14:paraId="3D96450B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31FC40FF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3F8AD108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3229E7A7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110CE71A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2589D4FD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16BD7E72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3FB60728">
      <w:pPr>
        <w:pStyle w:val="8"/>
        <w:rPr>
          <w:rFonts w:hint="eastAsia" w:ascii="仿宋_GB2312" w:eastAsia="仿宋_GB2312" w:cs="仿宋_GB2312"/>
          <w:sz w:val="28"/>
          <w:szCs w:val="28"/>
        </w:rPr>
      </w:pPr>
    </w:p>
    <w:p w14:paraId="0BFDF8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240" w:after="240" w:afterAutospacing="0" w:line="240" w:lineRule="auto"/>
        <w:ind w:firstLine="2200" w:firstLineChars="500"/>
        <w:jc w:val="both"/>
        <w:textAlignment w:val="auto"/>
        <w:rPr>
          <w:rStyle w:val="29"/>
          <w:rFonts w:hint="eastAsia" w:ascii="黑体" w:eastAsia="黑体"/>
          <w:b w:val="0"/>
          <w:bCs w:val="0"/>
          <w:i w:val="0"/>
          <w:strike w:val="0"/>
          <w:color w:val="auto"/>
          <w:sz w:val="32"/>
          <w:u w:val="none"/>
        </w:rPr>
      </w:pPr>
      <w:r>
        <w:rPr>
          <w:rFonts w:hint="eastAsia" w:ascii="黑体" w:eastAsia="黑体"/>
          <w:b w:val="0"/>
          <w:i w:val="0"/>
          <w:strike w:val="0"/>
          <w:color w:val="auto"/>
          <w:sz w:val="44"/>
          <w:szCs w:val="44"/>
          <w:u w:val="none"/>
        </w:rPr>
        <w:t xml:space="preserve">第一部分 </w:t>
      </w:r>
      <w:r>
        <w:rPr>
          <w:rFonts w:hint="eastAsia" w:ascii="黑体" w:eastAsia="黑体"/>
          <w:b w:val="0"/>
          <w:i w:val="0"/>
          <w:strike w:val="0"/>
          <w:color w:val="auto"/>
          <w:sz w:val="44"/>
          <w:szCs w:val="44"/>
          <w:u w:val="none"/>
          <w:lang w:eastAsia="zh-CN"/>
        </w:rPr>
        <w:t>单位</w:t>
      </w:r>
      <w:r>
        <w:rPr>
          <w:rStyle w:val="29"/>
          <w:rFonts w:hint="eastAsia" w:ascii="黑体" w:eastAsia="黑体"/>
          <w:b w:val="0"/>
          <w:bCs w:val="0"/>
          <w:i w:val="0"/>
          <w:strike w:val="0"/>
          <w:color w:val="auto"/>
          <w:sz w:val="44"/>
          <w:szCs w:val="44"/>
          <w:u w:val="none"/>
        </w:rPr>
        <w:t>概况</w:t>
      </w:r>
      <w:bookmarkEnd w:id="0"/>
      <w:bookmarkEnd w:id="1"/>
    </w:p>
    <w:p w14:paraId="2D708BBB">
      <w:pPr>
        <w:spacing w:beforeAutospacing="0"/>
        <w:ind w:firstLine="640" w:firstLineChars="200"/>
        <w:rPr>
          <w:rFonts w:hint="eastAsia" w:ascii="黑体" w:eastAsia="黑体" w:cs="黑体"/>
          <w:sz w:val="32"/>
          <w:szCs w:val="32"/>
          <w:lang w:eastAsia="zh-CN"/>
        </w:rPr>
      </w:pPr>
      <w:r>
        <w:rPr>
          <w:rFonts w:hint="eastAsia" w:ascii="黑体" w:eastAsia="黑体" w:cs="黑体"/>
          <w:sz w:val="32"/>
          <w:szCs w:val="32"/>
        </w:rPr>
        <w:t>一、主要</w:t>
      </w:r>
      <w:r>
        <w:rPr>
          <w:rFonts w:hint="eastAsia" w:ascii="黑体" w:eastAsia="黑体" w:cs="黑体"/>
          <w:sz w:val="32"/>
          <w:szCs w:val="32"/>
          <w:lang w:eastAsia="zh-CN"/>
        </w:rPr>
        <w:t>职责</w:t>
      </w:r>
    </w:p>
    <w:p w14:paraId="320E1AD3">
      <w:pPr>
        <w:ind w:firstLine="643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楷体_GB2312" w:eastAsia="楷体_GB2312" w:cs="楷体_GB2312"/>
          <w:b/>
          <w:bCs/>
          <w:sz w:val="32"/>
          <w:szCs w:val="32"/>
        </w:rPr>
        <w:t>（一）主要职能</w:t>
      </w:r>
    </w:p>
    <w:p w14:paraId="1B82F96C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1.起草有关信访工作的规范性文件草案。制定信访问题排查化解、风险评估等制度并组织实施，提出改进和加强信访工作的意见和建议。负责本部门依法行政工作。</w:t>
      </w:r>
    </w:p>
    <w:p w14:paraId="7DE68E22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2.负责向县委、县政府反映来信来电来访中提出的重要建议、意见和问题，综合研判信访信息，开展调查研究，提出相关建议。</w:t>
      </w:r>
    </w:p>
    <w:p w14:paraId="35D8B817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3.综合协调指导全县信访工作，推动建立健全信访工作的协调配合机制。督促检查县直各部门（单位）和乡镇信访工作，总结推广信访工作先进经验，协调信访工作宣传和信息发布。</w:t>
      </w:r>
    </w:p>
    <w:p w14:paraId="40025420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4.负责处理县内外群众、境外人士、法人及其他组织通过信访渠道给县委、县政府及领导同志的来信来电，接待来访。</w:t>
      </w:r>
    </w:p>
    <w:p w14:paraId="5A334C9A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5.承担协调处理群众进京到省去州来县集体上访和非正常上访的责任，综合协调处理跨地区、跨部门的重要信访问题。</w:t>
      </w:r>
    </w:p>
    <w:p w14:paraId="2B58A8BA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6.负责落实国家、省、州、县领导批示交办信访事项，受理、交办、转办（送）群众来信、来电、来访、网上信访提出的信访事项，督促检查重要信访事项的处理和落实。</w:t>
      </w:r>
    </w:p>
    <w:p w14:paraId="7969A88B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7.加强对信访问题排查化解和社情民意汇集分析，重点开展法律法规政策宣传和思想教育疏导，将信访工作的重点由事后处理转移到事前排查化解，增强信访工作的预见性和针对性。</w:t>
      </w:r>
    </w:p>
    <w:p w14:paraId="36087E9C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8.加强对重大信访事项的督查督办，完善信访诉求表达方式，进一步畅通信访渠道，确保信访工作决策部署得到贯彻落实，推动群众信访问题得到妥善解决。</w:t>
      </w:r>
    </w:p>
    <w:p w14:paraId="3718CDD6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9.建立和完善信访信息汇集分析机制，指导信访信息系统建设和应用。</w:t>
      </w:r>
    </w:p>
    <w:p w14:paraId="519DF0D8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10.开展网上信访工作，探索“互联网+信访”新模式，推动信访信息化建设。</w:t>
      </w:r>
    </w:p>
    <w:p w14:paraId="372CC072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11.承担县信访工作联席会议、县政府信访事项复查复核委员会日常工作，督促落实有关事项。</w:t>
      </w:r>
    </w:p>
    <w:p w14:paraId="68418CAC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12.完成县委、县政府交办的其他任务。</w:t>
      </w:r>
    </w:p>
    <w:p w14:paraId="0AE965B8">
      <w:pPr>
        <w:rPr>
          <w:rFonts w:hint="eastAsia" w:ascii="黑体" w:eastAsia="黑体" w:cs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二、机构设置</w:t>
      </w:r>
    </w:p>
    <w:p w14:paraId="309E2D59">
      <w:pPr>
        <w:ind w:firstLine="64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茂县信访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接待中心</w:t>
      </w:r>
      <w:r>
        <w:rPr>
          <w:rFonts w:hint="eastAsia" w:ascii="仿宋_GB2312" w:eastAsia="仿宋_GB2312" w:cs="仿宋_GB2312"/>
          <w:sz w:val="32"/>
          <w:szCs w:val="32"/>
        </w:rPr>
        <w:t>下属二级单位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个，其中行政单位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个，参照公务员法管理的事业单位0个，其他事业单位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个。</w:t>
      </w:r>
      <w:bookmarkStart w:id="13" w:name="_Toc15377204"/>
      <w:bookmarkStart w:id="14" w:name="_Toc15396602"/>
    </w:p>
    <w:p w14:paraId="64B1F26A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1B9D70BE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5274A81E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43133FB5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05D35E16">
      <w:pPr>
        <w:widowControl/>
        <w:jc w:val="center"/>
        <w:rPr>
          <w:rStyle w:val="29"/>
          <w:rFonts w:hint="eastAsia" w:ascii="黑体" w:eastAsia="黑体"/>
          <w:b w:val="0"/>
          <w:bCs w:val="0"/>
          <w:lang w:val="en-US" w:eastAsia="zh-CN"/>
        </w:rPr>
      </w:pPr>
    </w:p>
    <w:p w14:paraId="717D3494">
      <w:pPr>
        <w:pStyle w:val="2"/>
        <w:rPr>
          <w:rFonts w:hint="eastAsia"/>
          <w:lang w:val="en-US" w:eastAsia="zh-CN"/>
        </w:rPr>
      </w:pPr>
    </w:p>
    <w:p w14:paraId="27C7C3CC">
      <w:pPr>
        <w:pStyle w:val="2"/>
        <w:rPr>
          <w:rFonts w:hint="eastAsia"/>
          <w:lang w:val="en-US" w:eastAsia="zh-CN"/>
        </w:rPr>
      </w:pPr>
    </w:p>
    <w:p w14:paraId="56761C43">
      <w:pPr>
        <w:widowControl/>
        <w:jc w:val="center"/>
        <w:rPr>
          <w:rStyle w:val="29"/>
          <w:rFonts w:hint="eastAsia" w:ascii="黑体" w:eastAsia="黑体"/>
          <w:b w:val="0"/>
          <w:bCs w:val="0"/>
        </w:rPr>
      </w:pPr>
    </w:p>
    <w:p w14:paraId="6B6FCF08">
      <w:pPr>
        <w:widowControl/>
        <w:jc w:val="center"/>
        <w:rPr>
          <w:rStyle w:val="29"/>
          <w:rFonts w:ascii="黑体" w:eastAsia="黑体"/>
          <w:b w:val="0"/>
          <w:bCs w:val="0"/>
        </w:rPr>
      </w:pPr>
      <w:r>
        <w:rPr>
          <w:rStyle w:val="29"/>
          <w:rFonts w:hint="eastAsia" w:ascii="黑体" w:eastAsia="黑体"/>
          <w:b w:val="0"/>
          <w:bCs w:val="0"/>
        </w:rPr>
        <w:t>第二部分 20</w:t>
      </w:r>
      <w:r>
        <w:rPr>
          <w:rStyle w:val="29"/>
          <w:rFonts w:hint="eastAsia" w:ascii="黑体" w:eastAsia="黑体"/>
          <w:b w:val="0"/>
          <w:bCs w:val="0"/>
          <w:lang w:val="en-US" w:eastAsia="zh-CN"/>
        </w:rPr>
        <w:t>25</w:t>
      </w:r>
      <w:r>
        <w:rPr>
          <w:rStyle w:val="29"/>
          <w:rFonts w:hint="eastAsia" w:ascii="黑体" w:eastAsia="黑体"/>
          <w:b w:val="0"/>
          <w:bCs w:val="0"/>
        </w:rPr>
        <w:t>年度</w:t>
      </w:r>
      <w:r>
        <w:rPr>
          <w:rStyle w:val="29"/>
          <w:rFonts w:hint="eastAsia" w:ascii="黑体" w:eastAsia="黑体"/>
          <w:b w:val="0"/>
          <w:bCs w:val="0"/>
          <w:lang w:eastAsia="zh-CN"/>
        </w:rPr>
        <w:t>单位</w:t>
      </w:r>
      <w:r>
        <w:rPr>
          <w:rStyle w:val="29"/>
          <w:rFonts w:hint="eastAsia" w:ascii="黑体" w:eastAsia="黑体"/>
          <w:b w:val="0"/>
          <w:bCs w:val="0"/>
        </w:rPr>
        <w:t>决算情况说明</w:t>
      </w:r>
      <w:bookmarkEnd w:id="13"/>
      <w:bookmarkEnd w:id="14"/>
    </w:p>
    <w:p w14:paraId="6CFC2661">
      <w:pPr>
        <w:jc w:val="center"/>
      </w:pPr>
    </w:p>
    <w:p w14:paraId="44D7DF34">
      <w:pPr>
        <w:pStyle w:val="35"/>
        <w:spacing w:line="600" w:lineRule="exact"/>
        <w:ind w:left="0" w:firstLine="640" w:firstLineChars="200"/>
        <w:outlineLvl w:val="1"/>
        <w:rPr>
          <w:rStyle w:val="30"/>
          <w:rFonts w:ascii="黑体" w:eastAsia="黑体"/>
          <w:b w:val="0"/>
        </w:rPr>
      </w:pPr>
      <w:bookmarkStart w:id="15" w:name="_Toc15377205"/>
      <w:bookmarkStart w:id="16" w:name="_Toc15396603"/>
      <w:r>
        <w:rPr>
          <w:rFonts w:hint="eastAsia" w:ascii="黑体" w:eastAsia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eastAsia="黑体"/>
          <w:color w:val="000000"/>
          <w:sz w:val="32"/>
          <w:szCs w:val="32"/>
        </w:rPr>
        <w:t>收</w:t>
      </w:r>
      <w:r>
        <w:rPr>
          <w:rStyle w:val="30"/>
          <w:rFonts w:hint="eastAsia" w:ascii="黑体" w:eastAsia="黑体"/>
          <w:b w:val="0"/>
        </w:rPr>
        <w:t>入支出决算总体情况说明</w:t>
      </w:r>
      <w:bookmarkEnd w:id="15"/>
      <w:bookmarkEnd w:id="16"/>
    </w:p>
    <w:p w14:paraId="18D927E0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年度收、支总计均为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万元。与20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年度相比，收、支总计各增加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9.21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7.45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%。主要变动原因是：人员工资、保险、公积金正常增长。</w:t>
      </w:r>
    </w:p>
    <w:p w14:paraId="2A96E214">
      <w:pPr>
        <w:spacing w:line="600" w:lineRule="exact"/>
        <w:ind w:firstLine="640" w:firstLineChars="200"/>
        <w:rPr>
          <w:rFonts w:hint="eastAsia" w:asci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6" o:spid="_x0000_s1026" o:spt="75" alt="image1" type="#_x0000_t75" style="position:absolute;left:0pt;margin-left:40.1pt;margin-top:20.75pt;height:197.35pt;width:341.7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square"/>
          </v:shape>
          <o:OLEObject Type="Embed" ProgID="Package" ShapeID="_x0000_s1026" DrawAspect="Content" ObjectID="_1468075725" r:id="rId8">
            <o:LockedField>false</o:LockedField>
          </o:OLEObject>
        </w:pict>
      </w:r>
    </w:p>
    <w:p w14:paraId="5F7CDDD6">
      <w:pPr>
        <w:spacing w:line="600" w:lineRule="exact"/>
        <w:ind w:firstLine="640" w:firstLineChars="200"/>
        <w:rPr>
          <w:rFonts w:hint="eastAsia" w:ascii="仿宋" w:eastAsia="仿宋"/>
          <w:color w:val="000000"/>
          <w:sz w:val="32"/>
          <w:szCs w:val="32"/>
          <w:lang w:eastAsia="zh-CN"/>
        </w:rPr>
      </w:pPr>
    </w:p>
    <w:p w14:paraId="71600A48">
      <w:pPr>
        <w:spacing w:line="600" w:lineRule="exact"/>
        <w:ind w:firstLine="640" w:firstLineChars="200"/>
        <w:rPr>
          <w:rStyle w:val="30"/>
          <w:rFonts w:ascii="黑体" w:eastAsia="黑体"/>
          <w:b w:val="0"/>
        </w:rPr>
      </w:pPr>
      <w:bookmarkStart w:id="17" w:name="_Toc15396604"/>
      <w:bookmarkStart w:id="18" w:name="_Toc15377206"/>
    </w:p>
    <w:p w14:paraId="43AC7492">
      <w:pPr>
        <w:pStyle w:val="35"/>
        <w:spacing w:line="600" w:lineRule="exact"/>
        <w:ind w:left="0" w:firstLine="640" w:firstLineChars="200"/>
        <w:outlineLvl w:val="1"/>
        <w:rPr>
          <w:rStyle w:val="30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32"/>
          <w:szCs w:val="32"/>
          <w:lang w:eastAsia="zh-CN"/>
        </w:rPr>
        <w:t>二、</w:t>
      </w:r>
      <w:r>
        <w:rPr>
          <w:rFonts w:hint="eastAsia" w:ascii="黑体" w:eastAsia="黑体"/>
          <w:color w:val="000000"/>
          <w:sz w:val="32"/>
          <w:szCs w:val="32"/>
        </w:rPr>
        <w:t>收</w:t>
      </w:r>
      <w:r>
        <w:rPr>
          <w:rStyle w:val="30"/>
          <w:rFonts w:hint="eastAsia" w:ascii="黑体" w:eastAsia="黑体"/>
          <w:b w:val="0"/>
        </w:rPr>
        <w:t>入决算情况说明</w:t>
      </w:r>
      <w:bookmarkEnd w:id="17"/>
      <w:bookmarkEnd w:id="18"/>
    </w:p>
    <w:p w14:paraId="20E81B71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年度本年收入合计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万元，其中：一般公共预算财政拨款收入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22B24498">
      <w:pPr>
        <w:pStyle w:val="35"/>
        <w:spacing w:line="600" w:lineRule="exact"/>
        <w:outlineLvl w:val="1"/>
        <w:rPr>
          <w:rFonts w:hint="eastAsia" w:ascii="黑体" w:eastAsia="黑体"/>
          <w:color w:val="000000"/>
          <w:sz w:val="32"/>
          <w:szCs w:val="32"/>
          <w:lang w:val="en-US" w:eastAsia="zh-CN"/>
        </w:rPr>
      </w:pPr>
      <w:bookmarkStart w:id="19" w:name="_Toc15377207"/>
      <w:bookmarkStart w:id="20" w:name="_Toc15396605"/>
      <w:r>
        <w:rPr>
          <w:rFonts w:ascii="仿宋_GB2312" w:eastAsia="仿宋_GB2312"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452755</wp:posOffset>
            </wp:positionV>
            <wp:extent cx="5344160" cy="1744980"/>
            <wp:effectExtent l="0" t="0" r="45" b="27"/>
            <wp:wrapSquare wrapText="bothSides"/>
            <wp:docPr id="3" name="图片 1" descr="0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1_副本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174498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</w:p>
    <w:p w14:paraId="6EFFA092">
      <w:pPr>
        <w:pStyle w:val="35"/>
        <w:spacing w:line="600" w:lineRule="exact"/>
        <w:ind w:left="638" w:leftChars="304" w:firstLine="0" w:firstLineChars="0"/>
        <w:outlineLvl w:val="1"/>
        <w:rPr>
          <w:rStyle w:val="30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eastAsia="黑体"/>
          <w:color w:val="000000"/>
          <w:sz w:val="32"/>
          <w:szCs w:val="32"/>
        </w:rPr>
        <w:t>支</w:t>
      </w:r>
      <w:r>
        <w:rPr>
          <w:rStyle w:val="30"/>
          <w:rFonts w:hint="eastAsia" w:ascii="黑体" w:eastAsia="黑体"/>
          <w:b w:val="0"/>
        </w:rPr>
        <w:t>出决算情况说明</w:t>
      </w:r>
      <w:bookmarkEnd w:id="19"/>
      <w:bookmarkEnd w:id="20"/>
    </w:p>
    <w:p w14:paraId="1DC045BE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年度本年支出合计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其中：基本支出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35FDC5D3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412115</wp:posOffset>
            </wp:positionH>
            <wp:positionV relativeFrom="paragraph">
              <wp:posOffset>264160</wp:posOffset>
            </wp:positionV>
            <wp:extent cx="4717415" cy="1782445"/>
            <wp:effectExtent l="0" t="0" r="40" b="36"/>
            <wp:wrapSquare wrapText="bothSides"/>
            <wp:docPr id="6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768D80C2">
      <w:pPr>
        <w:spacing w:line="600" w:lineRule="exact"/>
        <w:ind w:firstLine="640" w:firstLineChars="200"/>
        <w:outlineLvl w:val="1"/>
        <w:rPr>
          <w:rStyle w:val="30"/>
          <w:rFonts w:ascii="黑体" w:eastAsia="黑体"/>
          <w:b w:val="0"/>
        </w:rPr>
      </w:pPr>
      <w:bookmarkStart w:id="21" w:name="_Toc15377208"/>
      <w:bookmarkStart w:id="22" w:name="_Toc15396606"/>
      <w:r>
        <w:rPr>
          <w:rFonts w:hint="eastAsia" w:ascii="黑体" w:eastAsia="黑体"/>
          <w:color w:val="000000"/>
          <w:sz w:val="32"/>
          <w:szCs w:val="32"/>
        </w:rPr>
        <w:t>四、财</w:t>
      </w:r>
      <w:r>
        <w:rPr>
          <w:rStyle w:val="30"/>
          <w:rFonts w:hint="eastAsia" w:ascii="黑体" w:eastAsia="黑体"/>
          <w:b w:val="0"/>
        </w:rPr>
        <w:t>政拨款收入支出决算总体情况说明</w:t>
      </w:r>
      <w:bookmarkEnd w:id="21"/>
      <w:bookmarkEnd w:id="22"/>
    </w:p>
    <w:p w14:paraId="5D4E1641">
      <w:pPr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年度财政拨款收、支总计均为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万元。与20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年度相比，财政拨款收、支总计各增加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9.21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7.45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%。主要变动原因是：人员工资、保险、公积金正常增长。</w:t>
      </w:r>
    </w:p>
    <w:p w14:paraId="51C25C74">
      <w:pPr>
        <w:spacing w:line="600" w:lineRule="exact"/>
        <w:rPr>
          <w:rFonts w:ascii="仿宋" w:eastAsia="仿宋"/>
          <w:b/>
          <w:color w:val="00B05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7" o:spid="_x0000_s1027" o:spt="75" alt="image3" type="#_x0000_t75" style="position:absolute;left:0pt;margin-left:33pt;margin-top:5.1pt;height:176.75pt;width:369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square"/>
          </v:shape>
          <o:OLEObject Type="Embed" ProgID="Package" ShapeID="_x0000_s1027" DrawAspect="Content" ObjectID="_1468075726" r:id="rId12">
            <o:LockedField>false</o:LockedField>
          </o:OLEObject>
        </w:pict>
      </w:r>
    </w:p>
    <w:p w14:paraId="56B8D08E">
      <w:pPr>
        <w:spacing w:line="600" w:lineRule="exact"/>
        <w:ind w:firstLine="640" w:firstLineChars="200"/>
        <w:outlineLvl w:val="1"/>
        <w:rPr>
          <w:rStyle w:val="30"/>
          <w:rFonts w:ascii="黑体" w:eastAsia="黑体"/>
          <w:b w:val="0"/>
        </w:rPr>
      </w:pPr>
      <w:bookmarkStart w:id="23" w:name="_Toc15396607"/>
      <w:bookmarkStart w:id="24" w:name="_Toc15377209"/>
      <w:r>
        <w:rPr>
          <w:rFonts w:hint="eastAsia" w:ascii="黑体" w:eastAsia="黑体"/>
          <w:color w:val="000000"/>
          <w:sz w:val="32"/>
          <w:szCs w:val="32"/>
        </w:rPr>
        <w:t>五、</w:t>
      </w:r>
      <w:r>
        <w:rPr>
          <w:rFonts w:hint="eastAsia" w:ascii="黑体" w:eastAsia="黑体"/>
          <w:b/>
          <w:color w:val="000000"/>
          <w:sz w:val="32"/>
          <w:szCs w:val="32"/>
        </w:rPr>
        <w:t>一</w:t>
      </w:r>
      <w:r>
        <w:rPr>
          <w:rStyle w:val="30"/>
          <w:rFonts w:hint="eastAsia" w:ascii="黑体" w:eastAsia="黑体"/>
          <w:b w:val="0"/>
        </w:rPr>
        <w:t>般公共预算财政拨款支出决算情况说明</w:t>
      </w:r>
      <w:bookmarkEnd w:id="23"/>
      <w:bookmarkEnd w:id="24"/>
    </w:p>
    <w:p w14:paraId="3A2DEA2C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bookmarkStart w:id="25" w:name="_Toc15377210"/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（一）一般公共预算财政拨款支出决算总体情况</w:t>
      </w:r>
      <w:bookmarkEnd w:id="25"/>
    </w:p>
    <w:p w14:paraId="59DAC0CC">
      <w:pPr>
        <w:ind w:firstLine="640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年度一般公共预算财政拨款支出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万元，占本年支出合计的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%。与20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年度相比，一般公共预算财政拨款支出增加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9.21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万元，增长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7.45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%。主要变动原因是</w:t>
      </w:r>
      <w:bookmarkStart w:id="26" w:name="_Toc15377211"/>
      <w:r>
        <w:rPr>
          <w:rFonts w:hint="eastAsia" w:ascii="仿宋_GB2312" w:eastAsia="仿宋_GB2312" w:cs="仿宋_GB2312"/>
          <w:sz w:val="32"/>
          <w:szCs w:val="32"/>
          <w:lang w:eastAsia="zh-CN"/>
        </w:rPr>
        <w:t>：人员工资、保险、公积金正常增长。</w:t>
      </w:r>
    </w:p>
    <w:p w14:paraId="7213B7FF">
      <w:pPr>
        <w:spacing w:line="600" w:lineRule="exact"/>
        <w:ind w:firstLine="640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8" o:spid="_x0000_s1028" o:spt="75" alt="image4" type="#_x0000_t75" style="position:absolute;left:0pt;margin-left:35pt;margin-top:4.4pt;height:160.1pt;width:345.1pt;mso-wrap-distance-left:9pt;mso-wrap-distance-right:9pt;z-index:251659264;mso-width-relative:page;mso-height-relative:page;" o:ole="t" filled="f" o:preferrelative="t" stroked="f" coordsize="21600,21600" wrapcoords="21592 -2 0 0 0 21599 21592 21601 8 21601 21600 21599 21600 0 8 -2 21592 -2">
            <v:path/>
            <v:fill on="f" focussize="0,0"/>
            <v:stroke on="f"/>
            <v:imagedata r:id="rId15" o:title=""/>
            <o:lock v:ext="edit" aspectratio="t"/>
            <w10:wrap type="tight"/>
          </v:shape>
          <o:OLEObject Type="Embed" ProgID="Package" ShapeID="_x0000_s1028" DrawAspect="Content" ObjectID="_1468075727" r:id="rId14">
            <o:LockedField>false</o:LockedField>
          </o:OLEObject>
        </w:pict>
      </w:r>
    </w:p>
    <w:p w14:paraId="1DA1B88C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6B7B92CB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57C8B3A8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（二）一般公共预算财政拨款支出决算结构情况</w:t>
      </w:r>
      <w:bookmarkEnd w:id="26"/>
    </w:p>
    <w:p w14:paraId="680B52C3">
      <w:pPr>
        <w:ind w:firstLine="640"/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年度一般公共预算财政拨款支出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132.77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主要用于以下方面: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一般公共服务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100.58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75.76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社会保障和就业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16.55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12.47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卫生健康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6.44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4.85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%；</w:t>
      </w:r>
      <w:r>
        <w:rPr>
          <w:rFonts w:hint="eastAsia" w:ascii="仿宋_GB2312" w:eastAsia="仿宋_GB2312" w:cs="仿宋_GB2312"/>
          <w:b/>
          <w:bCs/>
          <w:sz w:val="32"/>
          <w:szCs w:val="32"/>
          <w:lang w:eastAsia="zh-CN"/>
        </w:rPr>
        <w:t>住房保障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9.2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万元，占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6.93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%。</w:t>
      </w:r>
    </w:p>
    <w:p w14:paraId="1909B2A3">
      <w:pPr>
        <w:spacing w:line="600" w:lineRule="exact"/>
        <w:ind w:firstLine="640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  <w:bookmarkStart w:id="27" w:name="_Toc15377212"/>
      <w:r>
        <w:rPr>
          <w:rFonts w:hint="eastAsia" w:ascii="仿宋_GB2312" w:eastAsia="仿宋_GB2312"/>
          <w:color w:val="000000"/>
          <w:sz w:val="32"/>
          <w:szCs w:val="32"/>
        </w:rPr>
        <w:pict>
          <v:shape id="_x0000_s1029" o:spid="_x0000_s1029" o:spt="75" alt="image5" type="#_x0000_t75" style="position:absolute;left:0pt;margin-left:43.1pt;margin-top:16.35pt;height:175.25pt;width:348.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square"/>
          </v:shape>
          <o:OLEObject Type="Embed" ProgID="Package" ShapeID="_x0000_s1029" DrawAspect="Content" ObjectID="_1468075728" r:id="rId16">
            <o:LockedField>false</o:LockedField>
          </o:OLEObject>
        </w:pict>
      </w:r>
    </w:p>
    <w:p w14:paraId="19E70790">
      <w:pPr>
        <w:spacing w:line="600" w:lineRule="exact"/>
        <w:ind w:firstLine="643" w:firstLineChars="200"/>
        <w:outlineLvl w:val="2"/>
        <w:rPr>
          <w:rFonts w:hint="eastAsia" w:ascii="仿宋" w:eastAsia="仿宋"/>
          <w:b/>
          <w:color w:val="000000"/>
          <w:sz w:val="32"/>
          <w:szCs w:val="32"/>
        </w:rPr>
      </w:pPr>
    </w:p>
    <w:p w14:paraId="2E55E54B">
      <w:pPr>
        <w:spacing w:line="600" w:lineRule="exact"/>
        <w:ind w:firstLine="643" w:firstLineChars="20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（三）一般公共预算财政拨款支出决算具体情况</w:t>
      </w:r>
      <w:bookmarkEnd w:id="27"/>
    </w:p>
    <w:p w14:paraId="27EB37AB">
      <w:pPr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bookmarkStart w:id="28" w:name="_Toc15378460"/>
      <w:bookmarkStart w:id="29" w:name="_Toc15377444"/>
      <w:bookmarkStart w:id="30" w:name="_Toc15377213"/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2025年度一般公共预算支出决算数为132.77万元，完成预算100%。其中：</w:t>
      </w:r>
      <w:bookmarkEnd w:id="28"/>
      <w:bookmarkEnd w:id="29"/>
      <w:bookmarkEnd w:id="30"/>
    </w:p>
    <w:p w14:paraId="36191A1B">
      <w:pPr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 xml:space="preserve">1.一般公共服务（类）信访事务（款）事业运行（项）: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支出决算为100.58万元，完成预算100%,决算数与预算数持平。</w:t>
      </w:r>
    </w:p>
    <w:p w14:paraId="10D87AA9">
      <w:pPr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 xml:space="preserve">2.社会保障和就业（类）行政事业单位养老支出（款）机关事业单位基本养老保险缴费支出（项）: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支出决算为11.07万元，完成预算100%,决算数与预算数持平。</w:t>
      </w:r>
    </w:p>
    <w:p w14:paraId="4B4B46BF">
      <w:pPr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 xml:space="preserve">3.社会保障和就业（类）行政事业单位养老支出（款）机关事业单位职业年金缴费支出（项）: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支出决算为5.48万元，完成预算100%,决算数与预算数持平。</w:t>
      </w:r>
    </w:p>
    <w:p w14:paraId="31B45E18">
      <w:pPr>
        <w:ind w:firstLine="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 xml:space="preserve"> 4.卫生健康（类）行政事业单位医疗（款）事业单位医疗（项）: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支出决算为6.44万元，完成预算100%,决算数与预算数持平。</w:t>
      </w:r>
    </w:p>
    <w:p w14:paraId="68AEA3F8">
      <w:pPr>
        <w:ind w:firstLine="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 xml:space="preserve"> 5.住房保障（类）住房改革支出（款）住房公积金（项）: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支出决算为9.2万元，完成预算100%,决算数与预算数持平。</w:t>
      </w:r>
    </w:p>
    <w:p w14:paraId="3B189E7A">
      <w:pPr>
        <w:tabs>
          <w:tab w:val="right" w:pos="8306"/>
        </w:tabs>
        <w:spacing w:line="600" w:lineRule="exact"/>
        <w:ind w:firstLine="640" w:firstLineChars="200"/>
        <w:outlineLvl w:val="1"/>
        <w:rPr>
          <w:rStyle w:val="30"/>
        </w:rPr>
      </w:pPr>
      <w:bookmarkStart w:id="31" w:name="_Toc15377214"/>
      <w:bookmarkStart w:id="32" w:name="_Toc15396608"/>
      <w:r>
        <w:rPr>
          <w:rFonts w:hint="eastAsia" w:ascii="黑体" w:eastAsia="黑体"/>
          <w:color w:val="000000"/>
          <w:sz w:val="32"/>
          <w:szCs w:val="32"/>
        </w:rPr>
        <w:t>六</w:t>
      </w:r>
      <w:r>
        <w:rPr>
          <w:rFonts w:hint="eastAsia" w:ascii="黑体" w:eastAsia="黑体"/>
          <w:b/>
          <w:color w:val="000000"/>
          <w:sz w:val="32"/>
          <w:szCs w:val="32"/>
        </w:rPr>
        <w:t>、一</w:t>
      </w:r>
      <w:r>
        <w:rPr>
          <w:rStyle w:val="30"/>
          <w:rFonts w:hint="eastAsia" w:ascii="黑体" w:eastAsia="黑体"/>
          <w:b w:val="0"/>
        </w:rPr>
        <w:t>般公共预算财政拨款基本支出决算情况说明</w:t>
      </w:r>
      <w:bookmarkEnd w:id="31"/>
      <w:bookmarkEnd w:id="32"/>
    </w:p>
    <w:p w14:paraId="5A233D2D"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2025年度一般公共预算财政拨款基本支出132.77万元，其中：</w:t>
      </w:r>
    </w:p>
    <w:p w14:paraId="03462674"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人员经费117.7万元，主要包括：基本工资、津贴补贴、绩效工资、机关事业单位基本养老保险缴费、职业年金缴费、职工基本医疗保险缴费、其他社会保障缴费、住房公积金、医疗费补助、对个人和家庭的补助。</w:t>
      </w:r>
    </w:p>
    <w:p w14:paraId="5CDA133D"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bookmarkStart w:id="74" w:name="_GoBack"/>
      <w:bookmarkEnd w:id="74"/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公用经费15.07万元，主要包括：办公费、电费、差旅费、劳务费、其他商品和服务支出。</w:t>
      </w:r>
    </w:p>
    <w:p w14:paraId="4BC2987F">
      <w:pPr>
        <w:spacing w:line="600" w:lineRule="exact"/>
        <w:ind w:firstLine="640"/>
        <w:outlineLvl w:val="1"/>
        <w:rPr>
          <w:rStyle w:val="30"/>
          <w:rFonts w:ascii="黑体" w:eastAsia="黑体"/>
          <w:b w:val="0"/>
        </w:rPr>
      </w:pPr>
      <w:bookmarkStart w:id="33" w:name="_Toc15396609"/>
      <w:bookmarkStart w:id="34" w:name="_Toc15377215"/>
      <w:r>
        <w:rPr>
          <w:rFonts w:hint="eastAsia" w:ascii="黑体" w:eastAsia="黑体"/>
          <w:color w:val="000000"/>
          <w:sz w:val="32"/>
          <w:szCs w:val="32"/>
        </w:rPr>
        <w:t>七、</w:t>
      </w:r>
      <w:r>
        <w:rPr>
          <w:rStyle w:val="30"/>
          <w:rFonts w:hint="eastAsia" w:ascii="黑体" w:eastAsia="黑体"/>
          <w:b w:val="0"/>
        </w:rPr>
        <w:t>财政拨款</w:t>
      </w:r>
      <w:r>
        <w:rPr>
          <w:rStyle w:val="30"/>
          <w:rFonts w:hint="eastAsia" w:ascii="黑体" w:eastAsia="黑体"/>
        </w:rPr>
        <w:t>“</w:t>
      </w:r>
      <w:r>
        <w:rPr>
          <w:rStyle w:val="30"/>
          <w:rFonts w:hint="eastAsia" w:ascii="黑体" w:eastAsia="黑体"/>
          <w:b w:val="0"/>
        </w:rPr>
        <w:t>三公”经费支出决算情况说明</w:t>
      </w:r>
      <w:bookmarkEnd w:id="33"/>
      <w:bookmarkEnd w:id="34"/>
    </w:p>
    <w:p w14:paraId="1403BE2B">
      <w:pPr>
        <w:spacing w:line="600" w:lineRule="exact"/>
        <w:ind w:firstLine="640"/>
        <w:outlineLvl w:val="2"/>
        <w:rPr>
          <w:rFonts w:hint="eastAsia" w:ascii="楷体" w:hAnsi="楷体" w:eastAsia="楷体" w:cs="楷体"/>
          <w:b/>
          <w:color w:val="000000"/>
          <w:sz w:val="32"/>
          <w:szCs w:val="32"/>
        </w:rPr>
      </w:pPr>
      <w:bookmarkStart w:id="35" w:name="_Toc15377216"/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（一）“三公”经费财政拨款支出决算总体情况说明</w:t>
      </w:r>
      <w:bookmarkEnd w:id="35"/>
    </w:p>
    <w:p w14:paraId="44C388E2">
      <w:pPr>
        <w:spacing w:line="600" w:lineRule="exact"/>
        <w:ind w:firstLine="640"/>
        <w:rPr>
          <w:rFonts w:ascii="仿宋" w:eastAsia="仿宋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2025年度“三公”经费财政拨款支出决算为0万元,其原因是：茂县信访接待中心是茂县信访局下属事业单位，“三公”经费支出在茂县信访局（本级）列支。</w:t>
      </w:r>
    </w:p>
    <w:p w14:paraId="7A0A98A8">
      <w:pPr>
        <w:spacing w:line="600" w:lineRule="exact"/>
        <w:ind w:firstLine="640"/>
        <w:outlineLvl w:val="2"/>
        <w:rPr>
          <w:rFonts w:ascii="仿宋" w:eastAsia="仿宋"/>
          <w:b/>
          <w:color w:val="000000"/>
          <w:sz w:val="32"/>
          <w:szCs w:val="32"/>
        </w:rPr>
      </w:pPr>
      <w:bookmarkStart w:id="36" w:name="_Toc15377217"/>
      <w:r>
        <w:rPr>
          <w:rFonts w:hint="eastAsia" w:ascii="仿宋" w:eastAsia="仿宋"/>
          <w:b/>
          <w:color w:val="000000"/>
          <w:sz w:val="32"/>
          <w:szCs w:val="32"/>
        </w:rPr>
        <w:t>（二）“三公”经费财政拨款支出决算具体情况说明</w:t>
      </w:r>
      <w:bookmarkEnd w:id="36"/>
    </w:p>
    <w:p w14:paraId="071C7AA1">
      <w:pPr>
        <w:spacing w:line="600" w:lineRule="exact"/>
        <w:ind w:firstLine="64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2025年度“三公”经费财政拨款支出决算数，因公出国（境）费支出决算0万元，占0%；公务用车购置及运行维护费支出决算0万元，占0%；公务接待费支出决算0万元，占0%。具体情况如下：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                            </w:t>
      </w:r>
    </w:p>
    <w:p w14:paraId="3A794EB2">
      <w:pPr>
        <w:spacing w:line="600" w:lineRule="exact"/>
        <w:ind w:firstLine="643" w:firstLineChars="200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b/>
          <w:bCs w:val="0"/>
          <w:color w:val="000000"/>
          <w:kern w:val="2"/>
          <w:sz w:val="32"/>
          <w:szCs w:val="32"/>
          <w:lang w:val="en-US" w:eastAsia="zh-CN"/>
        </w:rPr>
        <w:t>1.因公出国（境）经费支出0万元，完成预算0%。</w:t>
      </w:r>
      <w:r>
        <w:rPr>
          <w:rFonts w:hint="eastAsia" w:ascii="仿宋_GB2312" w:eastAsia="仿宋_GB2312" w:cs="仿宋_GB2312"/>
          <w:color w:val="000000"/>
          <w:kern w:val="2"/>
          <w:sz w:val="32"/>
          <w:szCs w:val="32"/>
          <w:lang w:val="en-US" w:eastAsia="zh-CN"/>
        </w:rPr>
        <w:t>全年安排因公出国（境）团组0次，出国（境）0人。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 xml:space="preserve">                                                       </w:t>
      </w:r>
    </w:p>
    <w:p w14:paraId="45492FEB">
      <w:pPr>
        <w:spacing w:line="600" w:lineRule="exact"/>
        <w:ind w:firstLine="640"/>
        <w:rPr>
          <w:rFonts w:hint="eastAsia" w:ascii="仿宋_GB2312" w:eastAsia="仿宋_GB2312"/>
          <w:b/>
          <w:color w:val="000000"/>
          <w:sz w:val="32"/>
          <w:szCs w:val="32"/>
          <w:lang w:eastAsia="zh-CN"/>
        </w:rPr>
      </w:pPr>
      <w:r>
        <w:rPr>
          <w:rFonts w:ascii="仿宋_GB2312" w:eastAsia="仿宋_GB2312"/>
          <w:b/>
          <w:bCs w:val="0"/>
          <w:color w:val="000000"/>
          <w:sz w:val="32"/>
          <w:szCs w:val="32"/>
        </w:rPr>
        <w:t>2.</w:t>
      </w:r>
      <w:r>
        <w:rPr>
          <w:rFonts w:hint="eastAsia" w:ascii="仿宋_GB2312" w:eastAsia="仿宋_GB2312"/>
          <w:b/>
          <w:bCs w:val="0"/>
          <w:color w:val="000000"/>
          <w:sz w:val="32"/>
          <w:szCs w:val="32"/>
        </w:rPr>
        <w:t>公务用车购置</w:t>
      </w:r>
      <w:r>
        <w:rPr>
          <w:rFonts w:hint="eastAsia" w:ascii="仿宋_GB2312" w:eastAsia="仿宋_GB2312"/>
          <w:b/>
          <w:bCs w:val="0"/>
          <w:color w:val="000000"/>
          <w:sz w:val="32"/>
          <w:szCs w:val="32"/>
          <w:lang w:eastAsia="zh-CN"/>
        </w:rPr>
        <w:t>及运行维护费支出</w:t>
      </w:r>
      <w:r>
        <w:rPr>
          <w:rFonts w:hint="eastAsia" w:ascii="仿宋_GB2312" w:eastAsia="仿宋_GB2312"/>
          <w:b/>
          <w:bCs w:val="0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b/>
          <w:bCs w:val="0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b/>
          <w:bCs w:val="0"/>
          <w:color w:val="000000"/>
          <w:sz w:val="32"/>
          <w:szCs w:val="32"/>
          <w:lang w:eastAsia="zh-CN"/>
        </w:rPr>
        <w:t>，</w:t>
      </w:r>
      <w:r>
        <w:rPr>
          <w:rStyle w:val="19"/>
          <w:rFonts w:hint="eastAsia" w:ascii="仿宋" w:eastAsia="仿宋"/>
          <w:b/>
          <w:bCs w:val="0"/>
          <w:color w:val="000000"/>
          <w:sz w:val="32"/>
          <w:szCs w:val="32"/>
        </w:rPr>
        <w:t>完成预算</w:t>
      </w:r>
      <w:r>
        <w:rPr>
          <w:rStyle w:val="19"/>
          <w:rFonts w:hint="eastAsia" w:ascii="仿宋" w:eastAsia="仿宋"/>
          <w:b/>
          <w:bCs w:val="0"/>
          <w:color w:val="000000"/>
          <w:sz w:val="32"/>
          <w:szCs w:val="32"/>
          <w:lang w:val="en-US" w:eastAsia="zh-CN"/>
        </w:rPr>
        <w:t>0</w:t>
      </w:r>
      <w:r>
        <w:rPr>
          <w:rStyle w:val="19"/>
          <w:rFonts w:ascii="仿宋" w:eastAsia="仿宋"/>
          <w:b/>
          <w:bCs w:val="0"/>
          <w:color w:val="000000"/>
          <w:sz w:val="32"/>
          <w:szCs w:val="32"/>
        </w:rPr>
        <w:t>%</w:t>
      </w:r>
      <w:r>
        <w:rPr>
          <w:rStyle w:val="19"/>
          <w:rFonts w:hint="eastAsia" w:ascii="仿宋" w:eastAsia="仿宋"/>
          <w:b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>公务用车购置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及运行维护费支出决算与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度相比无变化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519508DD">
      <w:pPr>
        <w:rPr>
          <w:rFonts w:hint="eastAsia" w:ascii="仿宋_GB2312" w:eastAsia="仿宋_GB2312" w:cs="仿宋_GB2312"/>
          <w:sz w:val="32"/>
          <w:szCs w:val="32"/>
        </w:rPr>
      </w:pPr>
      <w:bookmarkStart w:id="37" w:name="_Toc15396612"/>
      <w:bookmarkStart w:id="38" w:name="_Toc15377221"/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3.公务接待费支出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万元，完成预算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%。</w:t>
      </w:r>
      <w:r>
        <w:rPr>
          <w:rFonts w:hint="eastAsia" w:ascii="仿宋_GB2312" w:eastAsia="仿宋_GB2312" w:cs="仿宋_GB2312"/>
          <w:sz w:val="32"/>
          <w:szCs w:val="32"/>
        </w:rPr>
        <w:t>公务接待费支出决算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与</w:t>
      </w: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度相比无变化</w:t>
      </w:r>
      <w:r>
        <w:rPr>
          <w:rFonts w:hint="eastAsia" w:ascii="仿宋_GB2312" w:eastAsia="仿宋_GB2312" w:cs="仿宋_GB2312"/>
          <w:sz w:val="32"/>
          <w:szCs w:val="32"/>
        </w:rPr>
        <w:t>。其中：</w:t>
      </w:r>
    </w:p>
    <w:p w14:paraId="53D4791E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国内公务接待支出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，国内公务接待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批次，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人次（不包括陪同人员），共计支出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</w:p>
    <w:p w14:paraId="38296073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外事接待支出</w:t>
      </w:r>
      <w:r>
        <w:rPr>
          <w:rFonts w:hint="eastAsia" w:ascii="仿宋_GB2312" w:eastAsia="仿宋_GB2312" w:cs="仿宋_GB2312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b/>
          <w:bCs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，外事接待0批次，0人，共计支出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 w14:paraId="48893944">
      <w:pPr>
        <w:rPr>
          <w:rFonts w:hint="eastAsia" w:ascii="黑体" w:eastAsia="黑体" w:cs="黑体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八、政府性基金预算支出决算情况说明</w:t>
      </w:r>
    </w:p>
    <w:p w14:paraId="5EDC750F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eastAsia="仿宋_GB2312" w:cs="仿宋_GB2312"/>
          <w:sz w:val="32"/>
          <w:szCs w:val="32"/>
        </w:rPr>
        <w:t>政府性基金预算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财政</w:t>
      </w:r>
      <w:r>
        <w:rPr>
          <w:rFonts w:hint="eastAsia" w:ascii="仿宋_GB2312" w:eastAsia="仿宋_GB2312" w:cs="仿宋_GB2312"/>
          <w:sz w:val="32"/>
          <w:szCs w:val="32"/>
        </w:rPr>
        <w:t>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 w14:paraId="6C550D18">
      <w:pPr>
        <w:rPr>
          <w:rFonts w:hint="eastAsia" w:ascii="黑体" w:eastAsia="黑体" w:cs="黑体"/>
          <w:b w:val="0"/>
          <w:bCs w:val="0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黑体" w:eastAsia="黑体" w:cs="黑体"/>
          <w:b w:val="0"/>
          <w:bCs w:val="0"/>
          <w:sz w:val="32"/>
          <w:szCs w:val="32"/>
        </w:rPr>
        <w:t>九、国有资本经营预算支出决算情况说明</w:t>
      </w:r>
    </w:p>
    <w:p w14:paraId="4A21F48F"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度</w:t>
      </w:r>
      <w:r>
        <w:rPr>
          <w:rFonts w:hint="eastAsia" w:ascii="仿宋_GB2312" w:eastAsia="仿宋_GB2312" w:cs="仿宋_GB2312"/>
          <w:sz w:val="32"/>
          <w:szCs w:val="32"/>
        </w:rPr>
        <w:t>国有资本经营预算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财政</w:t>
      </w:r>
      <w:r>
        <w:rPr>
          <w:rFonts w:hint="eastAsia" w:ascii="仿宋_GB2312" w:eastAsia="仿宋_GB2312" w:cs="仿宋_GB2312"/>
          <w:sz w:val="32"/>
          <w:szCs w:val="32"/>
        </w:rPr>
        <w:t>拨款支出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 w14:paraId="3F5C1A43">
      <w:pPr>
        <w:spacing w:line="600" w:lineRule="exact"/>
        <w:ind w:firstLine="640" w:firstLineChars="200"/>
        <w:outlineLvl w:val="1"/>
        <w:rPr>
          <w:rStyle w:val="30"/>
          <w:rFonts w:ascii="黑体" w:eastAsia="黑体"/>
        </w:rPr>
      </w:pPr>
      <w:r>
        <w:rPr>
          <w:rFonts w:hint="eastAsia" w:ascii="黑体" w:eastAsia="黑体"/>
          <w:color w:val="000000"/>
          <w:sz w:val="32"/>
          <w:szCs w:val="32"/>
        </w:rPr>
        <w:t>十</w:t>
      </w:r>
      <w:r>
        <w:rPr>
          <w:rStyle w:val="30"/>
          <w:rFonts w:hint="eastAsia" w:ascii="黑体" w:eastAsia="黑体"/>
        </w:rPr>
        <w:t>、</w:t>
      </w:r>
      <w:r>
        <w:rPr>
          <w:rStyle w:val="30"/>
          <w:rFonts w:hint="eastAsia" w:ascii="黑体" w:eastAsia="黑体"/>
          <w:b w:val="0"/>
        </w:rPr>
        <w:t>其他重要事项的情况说明</w:t>
      </w:r>
      <w:bookmarkEnd w:id="37"/>
      <w:bookmarkEnd w:id="38"/>
    </w:p>
    <w:p w14:paraId="14FCBD97">
      <w:pPr>
        <w:spacing w:line="600" w:lineRule="exact"/>
        <w:ind w:firstLine="643" w:firstLineChars="200"/>
        <w:outlineLvl w:val="2"/>
        <w:rPr>
          <w:rFonts w:hint="eastAsia" w:ascii="楷体_GB2312" w:eastAsia="楷体_GB2312" w:cs="楷体_GB2312"/>
          <w:color w:val="000000"/>
          <w:sz w:val="32"/>
          <w:szCs w:val="32"/>
        </w:rPr>
      </w:pPr>
      <w:bookmarkStart w:id="39" w:name="_Toc15377222"/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（一）机关运行经费支出情况</w:t>
      </w:r>
      <w:bookmarkEnd w:id="39"/>
    </w:p>
    <w:p w14:paraId="0C2AEE7B"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茂县信访接待中心</w:t>
      </w:r>
      <w:r>
        <w:rPr>
          <w:rFonts w:hint="eastAsia" w:ascii="仿宋_GB2312" w:eastAsia="仿宋_GB2312"/>
          <w:color w:val="000000"/>
          <w:sz w:val="32"/>
          <w:szCs w:val="32"/>
        </w:rPr>
        <w:t>机关运行经费支出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15.07</w:t>
      </w:r>
      <w:r>
        <w:rPr>
          <w:rFonts w:hint="eastAsia" w:ascii="仿宋_GB2312" w:eastAsia="仿宋_GB2312"/>
          <w:color w:val="000000"/>
          <w:sz w:val="32"/>
          <w:szCs w:val="32"/>
        </w:rPr>
        <w:t>万元，</w:t>
      </w:r>
      <w:r>
        <w:rPr>
          <w:rFonts w:hint="eastAsia" w:ascii="仿宋_GB2312" w:eastAsia="仿宋_GB2312" w:cs="仿宋_GB2312"/>
          <w:b w:val="0"/>
          <w:bCs/>
          <w:color w:val="000000"/>
          <w:kern w:val="2"/>
          <w:sz w:val="32"/>
          <w:szCs w:val="32"/>
          <w:lang w:val="en-US" w:eastAsia="zh-CN"/>
        </w:rPr>
        <w:t>比2024年度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1.73</w:t>
      </w:r>
      <w:r>
        <w:rPr>
          <w:rFonts w:hint="eastAsia" w:ascii="仿宋_GB2312" w:eastAsia="仿宋_GB2312"/>
          <w:color w:val="000000"/>
          <w:sz w:val="32"/>
          <w:szCs w:val="32"/>
        </w:rPr>
        <w:t>万元，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12.97</w:t>
      </w:r>
      <w:r>
        <w:rPr>
          <w:rFonts w:ascii="仿宋_GB2312" w:eastAsia="仿宋_GB2312"/>
          <w:color w:val="000000"/>
          <w:sz w:val="32"/>
          <w:szCs w:val="32"/>
        </w:rPr>
        <w:t>%</w:t>
      </w:r>
      <w:r>
        <w:rPr>
          <w:rFonts w:hint="eastAsia" w:ascii="仿宋_GB2312" w:eastAsia="仿宋_GB2312"/>
          <w:color w:val="000000"/>
          <w:sz w:val="32"/>
          <w:szCs w:val="32"/>
        </w:rPr>
        <w:t>。主要原因是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：工作任务增加。</w:t>
      </w:r>
    </w:p>
    <w:p w14:paraId="0859CE7C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hint="eastAsia" w:ascii="楷体_GB2312" w:eastAsia="楷体_GB2312" w:cs="楷体_GB2312"/>
          <w:b/>
          <w:color w:val="000000"/>
          <w:sz w:val="32"/>
          <w:szCs w:val="32"/>
        </w:rPr>
      </w:pPr>
      <w:bookmarkStart w:id="40" w:name="_Toc15377223"/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（二）政府采购支出情况</w:t>
      </w:r>
      <w:bookmarkEnd w:id="40"/>
    </w:p>
    <w:p w14:paraId="2D94D011">
      <w:pPr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度</w:t>
      </w:r>
      <w:r>
        <w:rPr>
          <w:rFonts w:hint="eastAsia" w:ascii="仿宋_GB2312" w:eastAsia="仿宋_GB2312"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茂县信访接待中心</w:t>
      </w:r>
      <w:r>
        <w:rPr>
          <w:rFonts w:hint="eastAsia" w:ascii="仿宋_GB2312" w:eastAsia="仿宋_GB2312"/>
          <w:color w:val="000000"/>
          <w:sz w:val="32"/>
          <w:szCs w:val="32"/>
        </w:rPr>
        <w:t>政府采购支出总额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万元，其中：政府采购货物支出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万元、政府采购工程支出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万元、政府采购服务支出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>授予中小企业合同金额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其中：授予小微企业合同金额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，占政府采购支出总额的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0%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2222B357">
      <w:pPr>
        <w:autoSpaceDE w:val="0"/>
        <w:autoSpaceDN w:val="0"/>
        <w:adjustRightInd w:val="0"/>
        <w:spacing w:line="600" w:lineRule="exact"/>
        <w:ind w:firstLine="643" w:firstLineChars="200"/>
        <w:jc w:val="left"/>
        <w:outlineLvl w:val="2"/>
        <w:rPr>
          <w:rFonts w:hint="eastAsia" w:ascii="楷体_GB2312" w:eastAsia="楷体_GB2312" w:cs="楷体_GB2312"/>
          <w:b/>
          <w:color w:val="000000"/>
          <w:sz w:val="32"/>
          <w:szCs w:val="32"/>
        </w:rPr>
      </w:pPr>
      <w:bookmarkStart w:id="41" w:name="_Toc15377224"/>
      <w:r>
        <w:rPr>
          <w:rFonts w:hint="eastAsia" w:ascii="楷体_GB2312" w:eastAsia="楷体_GB2312" w:cs="楷体_GB2312"/>
          <w:b/>
          <w:color w:val="000000"/>
          <w:sz w:val="32"/>
          <w:szCs w:val="32"/>
        </w:rPr>
        <w:t>（三）国有资产占有使用情况</w:t>
      </w:r>
      <w:bookmarkEnd w:id="41"/>
    </w:p>
    <w:p w14:paraId="3F8DC046"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截至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ascii="仿宋_GB2312" w:eastAsia="仿宋_GB2312"/>
          <w:color w:val="000000"/>
          <w:sz w:val="32"/>
          <w:szCs w:val="32"/>
        </w:rPr>
        <w:t>12</w:t>
      </w:r>
      <w:r>
        <w:rPr>
          <w:rFonts w:hint="eastAsia" w:ascii="仿宋_GB2312" w:eastAsia="仿宋_GB2312"/>
          <w:color w:val="000000"/>
          <w:sz w:val="32"/>
          <w:szCs w:val="32"/>
        </w:rPr>
        <w:t>月</w:t>
      </w:r>
      <w:r>
        <w:rPr>
          <w:rFonts w:ascii="仿宋_GB2312" w:eastAsia="仿宋_GB2312"/>
          <w:color w:val="000000"/>
          <w:sz w:val="32"/>
          <w:szCs w:val="32"/>
        </w:rPr>
        <w:t>31</w:t>
      </w:r>
      <w:r>
        <w:rPr>
          <w:rFonts w:hint="eastAsia" w:ascii="仿宋_GB2312" w:eastAsia="仿宋_GB2312"/>
          <w:color w:val="000000"/>
          <w:sz w:val="32"/>
          <w:szCs w:val="32"/>
        </w:rPr>
        <w:t>日，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茂县信访接待中心</w:t>
      </w:r>
      <w:r>
        <w:rPr>
          <w:rFonts w:hint="eastAsia" w:ascii="仿宋_GB2312" w:eastAsia="仿宋_GB2312"/>
          <w:color w:val="000000"/>
          <w:sz w:val="32"/>
          <w:szCs w:val="32"/>
        </w:rPr>
        <w:t>共有车辆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辆，其中：主要领导干部用车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辆、机要通信用车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辆、应急保障用车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辆、其他用车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辆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</w:rPr>
        <w:t>单价</w:t>
      </w:r>
      <w:r>
        <w:rPr>
          <w:rFonts w:ascii="仿宋_GB2312" w:eastAsia="仿宋_GB2312"/>
          <w:color w:val="000000"/>
          <w:sz w:val="32"/>
          <w:szCs w:val="32"/>
        </w:rPr>
        <w:t>50</w:t>
      </w:r>
      <w:r>
        <w:rPr>
          <w:rFonts w:hint="eastAsia" w:ascii="仿宋_GB2312" w:eastAsia="仿宋_GB2312"/>
          <w:color w:val="000000"/>
          <w:sz w:val="32"/>
          <w:szCs w:val="32"/>
        </w:rPr>
        <w:t>万元以上通用设备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台（套），单价</w:t>
      </w:r>
      <w:r>
        <w:rPr>
          <w:rFonts w:ascii="仿宋_GB2312" w:eastAsia="仿宋_GB2312"/>
          <w:color w:val="000000"/>
          <w:sz w:val="32"/>
          <w:szCs w:val="32"/>
        </w:rPr>
        <w:t>100</w:t>
      </w:r>
      <w:r>
        <w:rPr>
          <w:rFonts w:hint="eastAsia" w:ascii="仿宋_GB2312" w:eastAsia="仿宋_GB2312"/>
          <w:color w:val="000000"/>
          <w:sz w:val="32"/>
          <w:szCs w:val="32"/>
        </w:rPr>
        <w:t>万元以上专用设备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台（套）。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</w:t>
      </w:r>
    </w:p>
    <w:p w14:paraId="2DF221EE">
      <w:pPr>
        <w:autoSpaceDE w:val="0"/>
        <w:autoSpaceDN w:val="0"/>
        <w:adjustRightInd w:val="0"/>
        <w:spacing w:line="600" w:lineRule="exact"/>
        <w:ind w:firstLine="643" w:firstLineChars="200"/>
        <w:jc w:val="left"/>
        <w:rPr>
          <w:rFonts w:hint="eastAsia" w:ascii="仿宋" w:eastAsia="仿宋"/>
          <w:b/>
          <w:bCs/>
          <w:color w:val="000000"/>
          <w:sz w:val="32"/>
          <w:szCs w:val="32"/>
        </w:rPr>
      </w:pP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（四）</w:t>
      </w:r>
      <w:r>
        <w:rPr>
          <w:rFonts w:hint="eastAsia" w:ascii="楷体_GB2312" w:eastAsia="楷体_GB2312" w:cs="楷体_GB2312"/>
          <w:b/>
          <w:bCs/>
          <w:color w:val="000000"/>
          <w:sz w:val="32"/>
          <w:szCs w:val="32"/>
        </w:rPr>
        <w:t>预算绩效管理情况</w:t>
      </w:r>
    </w:p>
    <w:p w14:paraId="46F0F5D7">
      <w:pPr>
        <w:widowControl/>
        <w:adjustRightInd w:val="0"/>
        <w:snapToGrid w:val="0"/>
        <w:spacing w:line="580" w:lineRule="exact"/>
        <w:ind w:firstLine="640" w:firstLineChars="200"/>
        <w:contextualSpacing/>
        <w:jc w:val="left"/>
        <w:rPr>
          <w:rFonts w:hint="eastAsia" w:ascii="黑体" w:eastAsia="黑体"/>
          <w:color w:val="000000"/>
          <w:sz w:val="44"/>
          <w:szCs w:val="44"/>
          <w:lang w:eastAsia="zh-CN"/>
        </w:rPr>
      </w:pPr>
      <w:bookmarkStart w:id="42" w:name="_Toc15396613"/>
      <w:bookmarkStart w:id="43" w:name="_Toc15377225"/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根据预算绩效管理要求，本单位在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2025年度预算编制阶段，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组织对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0个项目开展了预算事前绩效评估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zh-CN" w:eastAsia="zh-CN" w:bidi="ar-SA"/>
        </w:rPr>
        <w:t>，对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0个项目编制了绩效目标，预算执行过程中，选取0个项目开展绩效监控，组织对0个项目开展绩效自评。</w:t>
      </w:r>
    </w:p>
    <w:p w14:paraId="5FF7C49D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  <w:lang w:eastAsia="zh-CN"/>
        </w:rPr>
      </w:pPr>
    </w:p>
    <w:p w14:paraId="15F5167B">
      <w:pPr>
        <w:spacing w:line="600" w:lineRule="exact"/>
        <w:ind w:firstLine="2200" w:firstLineChars="500"/>
        <w:jc w:val="both"/>
        <w:outlineLvl w:val="0"/>
        <w:rPr>
          <w:rStyle w:val="29"/>
          <w:rFonts w:ascii="黑体" w:eastAsia="黑体"/>
          <w:b w:val="0"/>
        </w:rPr>
      </w:pPr>
      <w:r>
        <w:rPr>
          <w:rFonts w:hint="eastAsia" w:ascii="黑体" w:eastAsia="黑体"/>
          <w:color w:val="000000"/>
          <w:sz w:val="44"/>
          <w:szCs w:val="44"/>
          <w:lang w:eastAsia="zh-CN"/>
        </w:rPr>
        <w:t>第三部分</w:t>
      </w:r>
      <w:r>
        <w:rPr>
          <w:rFonts w:hint="eastAsia" w:ascii="黑体" w:eastAsia="黑体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ascii="黑体" w:eastAsia="黑体"/>
          <w:color w:val="000000"/>
          <w:sz w:val="44"/>
          <w:szCs w:val="44"/>
        </w:rPr>
        <w:t>名</w:t>
      </w:r>
      <w:r>
        <w:rPr>
          <w:rStyle w:val="29"/>
          <w:rFonts w:hint="eastAsia" w:ascii="黑体" w:eastAsia="黑体"/>
          <w:b w:val="0"/>
        </w:rPr>
        <w:t>词解释</w:t>
      </w:r>
      <w:bookmarkEnd w:id="42"/>
      <w:bookmarkEnd w:id="43"/>
    </w:p>
    <w:p w14:paraId="55061CC6">
      <w:pPr>
        <w:spacing w:line="600" w:lineRule="exact"/>
        <w:jc w:val="left"/>
        <w:rPr>
          <w:rFonts w:ascii="宋体"/>
          <w:b/>
          <w:color w:val="000000"/>
          <w:sz w:val="44"/>
          <w:szCs w:val="44"/>
        </w:rPr>
      </w:pPr>
    </w:p>
    <w:p w14:paraId="3FE350C7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财政拨款收入：指单位从同级财政部门取得的财政预算资金。</w:t>
      </w:r>
    </w:p>
    <w:p w14:paraId="2F0D9DF0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事业收入：指事业单位开展专业业务活动及辅助活动取得的收入。</w:t>
      </w:r>
    </w:p>
    <w:p w14:paraId="5CBE2328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其他收入：指单位取得的除上述收入以外的各项收入。</w:t>
      </w:r>
    </w:p>
    <w:p w14:paraId="40976BAD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年初结转和结余：指以前年度尚未完成、结转到本年按有关规定继续使用的资金。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702F8762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结余分配：指事业单位按照会计制度规定</w:t>
      </w:r>
      <w:r>
        <w:rPr>
          <w:rFonts w:hint="eastAsia" w:ascii="仿宋_GB2312" w:eastAsia="仿宋_GB2312"/>
          <w:sz w:val="32"/>
          <w:szCs w:val="32"/>
          <w:lang w:eastAsia="zh-CN"/>
        </w:rPr>
        <w:t>缴纳的所得税、提取的专用结余以及转入非财政拨款结余的金额等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F1C05D0">
      <w:pPr>
        <w:pStyle w:val="34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6.</w:t>
      </w:r>
      <w:r>
        <w:rPr>
          <w:rFonts w:hint="eastAsia" w:ascii="仿宋_GB2312" w:eastAsia="仿宋_GB2312"/>
          <w:sz w:val="32"/>
          <w:szCs w:val="32"/>
        </w:rPr>
        <w:t>年末结转和结余：指单位按有关规定结转到下年或以后年度继续使用的资金。</w:t>
      </w:r>
    </w:p>
    <w:p w14:paraId="1D14720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ascii="仿宋_GB2312" w:eastAsia="仿宋_GB2312"/>
          <w:color w:val="000000"/>
          <w:sz w:val="32"/>
          <w:szCs w:val="32"/>
        </w:rPr>
        <w:t>.</w:t>
      </w:r>
      <w:r>
        <w:rPr>
          <w:rFonts w:hint="eastAsia" w:ascii="仿宋_GB2312" w:eastAsia="仿宋_GB2312"/>
          <w:color w:val="000000"/>
          <w:sz w:val="32"/>
          <w:szCs w:val="32"/>
        </w:rPr>
        <w:t>一般公共服务（类）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信访事务</w:t>
      </w:r>
      <w:r>
        <w:rPr>
          <w:rFonts w:hint="eastAsia" w:ascii="仿宋_GB2312" w:eastAsia="仿宋_GB2312"/>
          <w:color w:val="000000"/>
          <w:sz w:val="32"/>
          <w:szCs w:val="32"/>
        </w:rPr>
        <w:t>（款）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事业运行</w:t>
      </w:r>
      <w:r>
        <w:rPr>
          <w:rFonts w:hint="eastAsia" w:ascii="仿宋_GB2312" w:eastAsia="仿宋_GB2312"/>
          <w:color w:val="000000"/>
          <w:sz w:val="32"/>
          <w:szCs w:val="32"/>
        </w:rPr>
        <w:t>（项）：指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事业运行支出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214F3B8B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8.社会保障和就业（类）行政事业单位养老支出（款）机关事业单位基本养老保险缴费支出（项）:指机关事业单位基本养老保险缴费支出。</w:t>
      </w:r>
    </w:p>
    <w:p w14:paraId="23E7C7FC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_GB2312" w:eastAsia="仿宋_GB2312"/>
          <w:color w:val="000000"/>
          <w:sz w:val="32"/>
          <w:szCs w:val="32"/>
        </w:rPr>
        <w:t>社会保障和就业（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行政事业单位养老支出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机关事业单位职业年金缴费支出（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指机关事业单位职业年金缴费支出。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                                                                            </w:t>
      </w:r>
    </w:p>
    <w:p w14:paraId="59BFF0D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10.</w:t>
      </w:r>
      <w:r>
        <w:rPr>
          <w:rFonts w:hint="eastAsia" w:ascii="仿宋_GB2312" w:eastAsia="仿宋_GB2312"/>
          <w:color w:val="000000"/>
          <w:sz w:val="32"/>
          <w:szCs w:val="32"/>
        </w:rPr>
        <w:t>卫生健康（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行政事业单位医疗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事业单位医疗（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</w:rPr>
        <w:t>: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指事业单位医疗支出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085D28E9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000000"/>
          <w:sz w:val="32"/>
          <w:szCs w:val="32"/>
        </w:rPr>
        <w:t>.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住房保障支出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类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住房改革支出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款</w:t>
      </w:r>
      <w:r>
        <w:rPr>
          <w:rFonts w:hint="eastAsia" w:ascii="仿宋_GB2312" w:eastAsia="仿宋_GB2312"/>
          <w:color w:val="000000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住房公积金</w:t>
      </w:r>
      <w:r>
        <w:rPr>
          <w:rFonts w:hint="eastAsia" w:ascii="仿宋_GB2312" w:eastAsia="仿宋_GB2312"/>
          <w:color w:val="000000"/>
          <w:sz w:val="32"/>
          <w:szCs w:val="32"/>
        </w:rPr>
        <w:t>（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项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）: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指住房公积金支出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 w14:paraId="058BE6CE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12.</w:t>
      </w:r>
      <w:r>
        <w:rPr>
          <w:rFonts w:hint="eastAsia" w:ascii="仿宋_GB2312" w:eastAsia="仿宋_GB2312"/>
          <w:color w:val="000000"/>
          <w:sz w:val="32"/>
          <w:szCs w:val="32"/>
        </w:rPr>
        <w:t>基本支出：指为保障机构正常运转、完成日常工作任务而发生的人员支出和公用支出。</w:t>
      </w:r>
    </w:p>
    <w:p w14:paraId="53768072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13.</w:t>
      </w:r>
      <w:r>
        <w:rPr>
          <w:rFonts w:hint="eastAsia" w:ascii="仿宋_GB2312" w:eastAsia="仿宋_GB2312"/>
          <w:sz w:val="32"/>
          <w:szCs w:val="32"/>
        </w:rPr>
        <w:t>“三公”经费：指</w:t>
      </w: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等支出；公务接待费反映单位按规定开支的各类公务接待（含外宾接待）支出。</w:t>
      </w:r>
    </w:p>
    <w:p w14:paraId="35F03ECD">
      <w:pPr>
        <w:pStyle w:val="34"/>
        <w:spacing w:line="560" w:lineRule="exact"/>
        <w:ind w:firstLine="640" w:firstLineChars="200"/>
        <w:rPr>
          <w:rFonts w:ascii="仿宋_GB2312" w:eastAsia="仿宋_GB2312" w:cs="黑体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14.</w:t>
      </w:r>
      <w:r>
        <w:rPr>
          <w:rFonts w:hint="eastAsia" w:ascii="仿宋_GB2312" w:eastAsia="仿宋_GB2312"/>
          <w:sz w:val="32"/>
          <w:szCs w:val="32"/>
        </w:rPr>
        <w:t>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5EE7EAE0">
      <w:pPr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 w14:paraId="2FF8FB78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</w:rPr>
      </w:pPr>
      <w:bookmarkStart w:id="44" w:name="_Toc15396614"/>
      <w:bookmarkStart w:id="45" w:name="_Toc15377226"/>
    </w:p>
    <w:p w14:paraId="73B9ABE9">
      <w:pPr>
        <w:spacing w:line="600" w:lineRule="exact"/>
        <w:jc w:val="center"/>
        <w:outlineLvl w:val="0"/>
        <w:rPr>
          <w:rFonts w:hint="eastAsia" w:ascii="黑体" w:eastAsia="黑体"/>
          <w:color w:val="000000"/>
          <w:sz w:val="44"/>
          <w:szCs w:val="44"/>
        </w:rPr>
      </w:pPr>
    </w:p>
    <w:bookmarkEnd w:id="44"/>
    <w:bookmarkEnd w:id="45"/>
    <w:p w14:paraId="301CEA37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  <w:bookmarkStart w:id="46" w:name="_Toc6196"/>
      <w:bookmarkStart w:id="47" w:name="_Toc9504"/>
    </w:p>
    <w:p w14:paraId="3BC4CBF0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46E8E113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3B55BEDC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60D2E144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22A9269F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黑体" w:eastAsia="黑体" w:cs="Times New Roman"/>
          <w:color w:val="000000"/>
          <w:sz w:val="44"/>
          <w:szCs w:val="44"/>
        </w:rPr>
      </w:pPr>
    </w:p>
    <w:p w14:paraId="56E75798">
      <w:pPr>
        <w:pageBreakBefore w:val="0"/>
        <w:widowControl w:val="0"/>
        <w:kinsoku/>
        <w:wordWrap/>
        <w:overflowPunct/>
        <w:topLinePunct w:val="0"/>
        <w:bidi w:val="0"/>
        <w:spacing w:line="576" w:lineRule="exact"/>
        <w:ind w:firstLine="2640" w:firstLineChars="600"/>
        <w:jc w:val="both"/>
        <w:textAlignment w:val="auto"/>
        <w:outlineLvl w:val="0"/>
        <w:rPr>
          <w:rFonts w:hint="eastAsia" w:ascii="仿宋" w:eastAsia="仿宋" w:cs="Times New Roman"/>
          <w:b w:val="0"/>
          <w:color w:val="000000"/>
          <w:kern w:val="2"/>
          <w:sz w:val="32"/>
          <w:szCs w:val="32"/>
          <w:lang w:bidi="ar-SA"/>
        </w:rPr>
      </w:pPr>
      <w:r>
        <w:rPr>
          <w:rFonts w:hint="eastAsia" w:ascii="黑体" w:eastAsia="黑体" w:cs="Times New Roman"/>
          <w:color w:val="000000"/>
          <w:sz w:val="44"/>
          <w:szCs w:val="44"/>
        </w:rPr>
        <w:t>第</w:t>
      </w:r>
      <w:r>
        <w:rPr>
          <w:rFonts w:hint="eastAsia" w:ascii="黑体" w:eastAsia="黑体" w:cs="Times New Roman"/>
          <w:color w:val="000000"/>
          <w:sz w:val="44"/>
          <w:szCs w:val="44"/>
          <w:lang w:eastAsia="zh-CN"/>
        </w:rPr>
        <w:t>四</w:t>
      </w:r>
      <w:r>
        <w:rPr>
          <w:rFonts w:hint="eastAsia" w:ascii="黑体" w:eastAsia="黑体" w:cs="Times New Roman"/>
          <w:color w:val="000000"/>
          <w:sz w:val="44"/>
          <w:szCs w:val="44"/>
        </w:rPr>
        <w:t>部分 附表</w:t>
      </w:r>
      <w:bookmarkEnd w:id="46"/>
      <w:bookmarkEnd w:id="47"/>
      <w:bookmarkStart w:id="48" w:name="_Toc12986"/>
      <w:bookmarkStart w:id="49" w:name="_Toc26370"/>
    </w:p>
    <w:p w14:paraId="69E231C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一、收入支出决算总表</w:t>
      </w:r>
      <w:bookmarkEnd w:id="48"/>
      <w:bookmarkEnd w:id="49"/>
    </w:p>
    <w:p w14:paraId="6A34440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0" w:name="_Toc13062"/>
      <w:bookmarkStart w:id="51" w:name="_Toc13591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二、收入决算表</w:t>
      </w:r>
      <w:bookmarkEnd w:id="50"/>
      <w:bookmarkEnd w:id="51"/>
    </w:p>
    <w:p w14:paraId="1582E82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2" w:name="_Toc16600"/>
      <w:bookmarkStart w:id="53" w:name="_Toc29688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三、支出决算表</w:t>
      </w:r>
      <w:bookmarkEnd w:id="52"/>
      <w:bookmarkEnd w:id="53"/>
    </w:p>
    <w:p w14:paraId="347C20C3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4" w:name="_Toc5964"/>
      <w:bookmarkStart w:id="55" w:name="_Toc26630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四、财政拨款收入支出决算总表</w:t>
      </w:r>
      <w:bookmarkEnd w:id="54"/>
      <w:bookmarkEnd w:id="55"/>
    </w:p>
    <w:p w14:paraId="596E995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6" w:name="_Toc14273"/>
      <w:bookmarkStart w:id="57" w:name="_Toc19934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五、财政拨款支出决算明细表</w:t>
      </w:r>
      <w:bookmarkEnd w:id="56"/>
      <w:bookmarkEnd w:id="57"/>
    </w:p>
    <w:p w14:paraId="24A869B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58" w:name="_Toc6686"/>
      <w:bookmarkStart w:id="59" w:name="_Toc16449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六、一般公共预算财政拨款支出决算表</w:t>
      </w:r>
      <w:bookmarkEnd w:id="58"/>
      <w:bookmarkEnd w:id="59"/>
    </w:p>
    <w:p w14:paraId="2678543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60" w:name="_Toc19514"/>
      <w:bookmarkStart w:id="61" w:name="_Toc3478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七、一般公共预算财政拨款支出决算明细表</w:t>
      </w:r>
      <w:bookmarkEnd w:id="60"/>
      <w:bookmarkEnd w:id="61"/>
    </w:p>
    <w:p w14:paraId="4D24635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62" w:name="_Toc191"/>
      <w:bookmarkStart w:id="63" w:name="_Toc17352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八、一般公共预算财政拨款基本支出决算表</w:t>
      </w:r>
      <w:bookmarkEnd w:id="62"/>
      <w:bookmarkEnd w:id="63"/>
    </w:p>
    <w:p w14:paraId="1C73A480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64" w:name="_Toc3726"/>
      <w:bookmarkStart w:id="65" w:name="_Toc5204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九、一般公共预算财政拨款项目支出决算表</w:t>
      </w:r>
      <w:bookmarkEnd w:id="64"/>
      <w:bookmarkEnd w:id="65"/>
    </w:p>
    <w:p w14:paraId="565E21D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66" w:name="_Toc20756"/>
      <w:bookmarkStart w:id="67" w:name="_Toc20056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十、政府性基金预算财政拨款收入支出决算表</w:t>
      </w:r>
      <w:bookmarkEnd w:id="66"/>
      <w:bookmarkEnd w:id="67"/>
    </w:p>
    <w:p w14:paraId="09FE4ED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68" w:name="_Toc13849"/>
      <w:bookmarkStart w:id="69" w:name="_Toc21387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十一、国有资本经营预算财政拨款收入支出决算表</w:t>
      </w:r>
      <w:bookmarkEnd w:id="68"/>
      <w:bookmarkEnd w:id="69"/>
    </w:p>
    <w:p w14:paraId="5821ED0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70" w:name="_Toc1140"/>
      <w:bookmarkStart w:id="71" w:name="_Toc13099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十二、国有资本经营预算财政拨款支出决算表</w:t>
      </w:r>
      <w:bookmarkEnd w:id="70"/>
      <w:bookmarkEnd w:id="71"/>
    </w:p>
    <w:p w14:paraId="69CA0B5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bidi w:val="0"/>
        <w:spacing w:before="260" w:beforeAutospacing="0" w:after="260" w:afterAutospacing="0" w:line="576" w:lineRule="exact"/>
        <w:jc w:val="both"/>
        <w:textAlignment w:val="auto"/>
        <w:outlineLvl w:val="1"/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</w:pPr>
      <w:bookmarkStart w:id="72" w:name="_Toc24957"/>
      <w:bookmarkStart w:id="73" w:name="_Toc25065"/>
      <w:r>
        <w:rPr>
          <w:rFonts w:hint="eastAsia" w:ascii="仿宋_GB2312" w:hAnsi="Times New Roman" w:eastAsia="仿宋_GB2312" w:cs="仿宋"/>
          <w:b w:val="0"/>
          <w:bCs w:val="0"/>
          <w:color w:val="000000"/>
          <w:sz w:val="32"/>
          <w:szCs w:val="32"/>
          <w:lang w:val="en-US" w:eastAsia="zh-CN" w:bidi="ar-SA"/>
        </w:rPr>
        <w:t>十三、财政拨款“三公”经费支出决算表</w:t>
      </w:r>
      <w:bookmarkEnd w:id="72"/>
      <w:bookmarkEnd w:id="73"/>
    </w:p>
    <w:p w14:paraId="43B5AA91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440" w:right="1576" w:bottom="1440" w:left="1576" w:header="851" w:footer="992" w:gutter="0"/>
      <w:pgNumType w:fmt="numberInDash" w:start="0"/>
      <w:cols w:space="720" w:num="1"/>
      <w:titlePg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">
    <w:altName w:val="Lucida Sans Unicode"/>
    <w:panose1 w:val="00000000000000000000"/>
    <w:charset w:val="0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6FB8C">
    <w:pPr>
      <w:pStyle w:val="1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b/>
        <w:sz w:val="28"/>
      </w:rPr>
    </w:pPr>
    <w:r>
      <w:rPr>
        <w:rStyle w:val="20"/>
        <w:b/>
        <w:sz w:val="28"/>
      </w:rPr>
      <w:fldChar w:fldCharType="begin"/>
    </w:r>
    <w:r>
      <w:rPr>
        <w:rStyle w:val="20"/>
        <w:b/>
        <w:sz w:val="28"/>
      </w:rPr>
      <w:instrText xml:space="preserve">Page</w:instrText>
    </w:r>
    <w:r>
      <w:rPr>
        <w:rStyle w:val="20"/>
        <w:b/>
        <w:sz w:val="28"/>
      </w:rPr>
      <w:fldChar w:fldCharType="separate"/>
    </w:r>
    <w:r>
      <w:rPr>
        <w:rStyle w:val="20"/>
        <w:rFonts w:hint="eastAsia"/>
        <w:b/>
        <w:sz w:val="28"/>
      </w:rPr>
      <w:t>— 4 —</w:t>
    </w:r>
    <w:r>
      <w:rPr>
        <w:rStyle w:val="20"/>
        <w:b/>
        <w:sz w:val="28"/>
      </w:rPr>
      <w:fldChar w:fldCharType="end"/>
    </w:r>
  </w:p>
  <w:p w14:paraId="07BC3837">
    <w:pPr>
      <w:pStyle w:val="11"/>
      <w:ind w:left="0"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7834C">
    <w:pPr>
      <w:pStyle w:val="1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20"/>
      </w:rPr>
      <w:fldChar w:fldCharType="begin"/>
    </w:r>
    <w:r>
      <w:rPr>
        <w:rStyle w:val="20"/>
      </w:rPr>
      <w:instrText xml:space="preserve">Page</w:instrText>
    </w:r>
    <w:r>
      <w:rPr>
        <w:rStyle w:val="20"/>
      </w:rPr>
      <w:fldChar w:fldCharType="separate"/>
    </w:r>
    <w:r>
      <w:rPr>
        <w:rStyle w:val="20"/>
        <w:rFonts w:hint="eastAsia"/>
      </w:rPr>
      <w:t>— 3 —</w:t>
    </w:r>
    <w:r>
      <w:rPr>
        <w:rStyle w:val="20"/>
      </w:rPr>
      <w:fldChar w:fldCharType="end"/>
    </w:r>
  </w:p>
  <w:p w14:paraId="48812CC0">
    <w:pPr>
      <w:pStyle w:val="1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right="360" w:firstLine="360"/>
    </w:pPr>
    <w:r>
      <w:rPr>
        <w:rStyle w:val="20"/>
      </w:rPr>
      <w:fldChar w:fldCharType="begin"/>
    </w:r>
    <w:r>
      <w:rPr>
        <w:rStyle w:val="20"/>
      </w:rPr>
      <w:instrText xml:space="preserve">Page</w:instrText>
    </w:r>
    <w:r>
      <w:rPr>
        <w:rStyle w:val="20"/>
      </w:rPr>
      <w:fldChar w:fldCharType="separate"/>
    </w:r>
    <w:r>
      <w:rPr>
        <w:rStyle w:val="20"/>
      </w:rPr>
      <w:t>1</w:t>
    </w:r>
    <w:r>
      <w:rPr>
        <w:rStyle w:val="20"/>
      </w:rPr>
      <w:fldChar w:fldCharType="end"/>
    </w:r>
  </w:p>
  <w:p w14:paraId="7743DA01">
    <w:pPr>
      <w:pStyle w:val="11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D9010"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CBEA5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3OTYyMTRjMzQ2YzRlYzkxODQ0OTRjNTBhMjgyYWQifQ=="/>
  </w:docVars>
  <w:rsids>
    <w:rsidRoot w:val="00000000"/>
    <w:rsid w:val="002235CA"/>
    <w:rsid w:val="00B32474"/>
    <w:rsid w:val="00DD0316"/>
    <w:rsid w:val="00F30ADB"/>
    <w:rsid w:val="02543D5F"/>
    <w:rsid w:val="02AE0F75"/>
    <w:rsid w:val="03F04E05"/>
    <w:rsid w:val="03FB03BA"/>
    <w:rsid w:val="04C86C51"/>
    <w:rsid w:val="05AA7659"/>
    <w:rsid w:val="066E30C6"/>
    <w:rsid w:val="06B55198"/>
    <w:rsid w:val="06E95DE7"/>
    <w:rsid w:val="073F2CB4"/>
    <w:rsid w:val="074D53D1"/>
    <w:rsid w:val="079061F5"/>
    <w:rsid w:val="07CD6512"/>
    <w:rsid w:val="097C0540"/>
    <w:rsid w:val="09E23546"/>
    <w:rsid w:val="0B3C4A7C"/>
    <w:rsid w:val="0B744AF7"/>
    <w:rsid w:val="0B7B1FE3"/>
    <w:rsid w:val="0B9A2BAF"/>
    <w:rsid w:val="0C3628D7"/>
    <w:rsid w:val="0C7015F6"/>
    <w:rsid w:val="0CB97065"/>
    <w:rsid w:val="0D075066"/>
    <w:rsid w:val="0D3216B4"/>
    <w:rsid w:val="0F2C6214"/>
    <w:rsid w:val="0F322D9A"/>
    <w:rsid w:val="0F8F6F95"/>
    <w:rsid w:val="114F61E9"/>
    <w:rsid w:val="1198152B"/>
    <w:rsid w:val="13FF6D0D"/>
    <w:rsid w:val="154F3251"/>
    <w:rsid w:val="159266A5"/>
    <w:rsid w:val="15973CBB"/>
    <w:rsid w:val="1697741D"/>
    <w:rsid w:val="17F51F92"/>
    <w:rsid w:val="187512F1"/>
    <w:rsid w:val="18A35753"/>
    <w:rsid w:val="19AF4C20"/>
    <w:rsid w:val="1B0C1FB3"/>
    <w:rsid w:val="1B7A59A1"/>
    <w:rsid w:val="1C577A1E"/>
    <w:rsid w:val="1C8D7DE8"/>
    <w:rsid w:val="1CB12C17"/>
    <w:rsid w:val="1CEE1106"/>
    <w:rsid w:val="1D015CB6"/>
    <w:rsid w:val="1E764DB5"/>
    <w:rsid w:val="1EE14925"/>
    <w:rsid w:val="1F3E5153"/>
    <w:rsid w:val="1F455AB4"/>
    <w:rsid w:val="21386C61"/>
    <w:rsid w:val="220620E3"/>
    <w:rsid w:val="227C6712"/>
    <w:rsid w:val="229D6DB5"/>
    <w:rsid w:val="23834AD2"/>
    <w:rsid w:val="23AE5B30"/>
    <w:rsid w:val="24B22726"/>
    <w:rsid w:val="24EB1F38"/>
    <w:rsid w:val="250741E9"/>
    <w:rsid w:val="253D7326"/>
    <w:rsid w:val="25FD7B6A"/>
    <w:rsid w:val="269B0BF8"/>
    <w:rsid w:val="27BD4EFC"/>
    <w:rsid w:val="28C6149F"/>
    <w:rsid w:val="290F5140"/>
    <w:rsid w:val="29347D47"/>
    <w:rsid w:val="29FB2A69"/>
    <w:rsid w:val="2A604F0E"/>
    <w:rsid w:val="2E9A6B96"/>
    <w:rsid w:val="313F54DB"/>
    <w:rsid w:val="314D5E4A"/>
    <w:rsid w:val="322941B2"/>
    <w:rsid w:val="32992A91"/>
    <w:rsid w:val="32B4753C"/>
    <w:rsid w:val="32C46957"/>
    <w:rsid w:val="34645984"/>
    <w:rsid w:val="34AC6C79"/>
    <w:rsid w:val="34CC3DC9"/>
    <w:rsid w:val="34E70F05"/>
    <w:rsid w:val="35602EE0"/>
    <w:rsid w:val="3598597D"/>
    <w:rsid w:val="364D2448"/>
    <w:rsid w:val="37924C79"/>
    <w:rsid w:val="3817420E"/>
    <w:rsid w:val="3A9315A8"/>
    <w:rsid w:val="3C2B5E46"/>
    <w:rsid w:val="3D900F90"/>
    <w:rsid w:val="3E225E87"/>
    <w:rsid w:val="3F03223E"/>
    <w:rsid w:val="3F63308A"/>
    <w:rsid w:val="3F6525B0"/>
    <w:rsid w:val="3F7C1A35"/>
    <w:rsid w:val="422E75D1"/>
    <w:rsid w:val="455C49D9"/>
    <w:rsid w:val="45A079F2"/>
    <w:rsid w:val="48735B79"/>
    <w:rsid w:val="48E32CA1"/>
    <w:rsid w:val="49F8205B"/>
    <w:rsid w:val="4B0C247A"/>
    <w:rsid w:val="4C3C4CAD"/>
    <w:rsid w:val="4C835716"/>
    <w:rsid w:val="4CCB138D"/>
    <w:rsid w:val="4CDE68F4"/>
    <w:rsid w:val="4D9235C9"/>
    <w:rsid w:val="4DDE15B7"/>
    <w:rsid w:val="4E901F73"/>
    <w:rsid w:val="4EA25710"/>
    <w:rsid w:val="4F672375"/>
    <w:rsid w:val="50F54C60"/>
    <w:rsid w:val="510F2848"/>
    <w:rsid w:val="51FF0643"/>
    <w:rsid w:val="522B7999"/>
    <w:rsid w:val="531F6437"/>
    <w:rsid w:val="53A31046"/>
    <w:rsid w:val="54A20A24"/>
    <w:rsid w:val="54E35FFA"/>
    <w:rsid w:val="58562652"/>
    <w:rsid w:val="59433972"/>
    <w:rsid w:val="59DF307F"/>
    <w:rsid w:val="5AE16125"/>
    <w:rsid w:val="5AEA186F"/>
    <w:rsid w:val="5B243716"/>
    <w:rsid w:val="5B47134C"/>
    <w:rsid w:val="5B912538"/>
    <w:rsid w:val="5BFE1639"/>
    <w:rsid w:val="5DFE3E44"/>
    <w:rsid w:val="60195438"/>
    <w:rsid w:val="612D3C7B"/>
    <w:rsid w:val="61AD63FD"/>
    <w:rsid w:val="621D1385"/>
    <w:rsid w:val="636C7B02"/>
    <w:rsid w:val="64522045"/>
    <w:rsid w:val="65E43CBA"/>
    <w:rsid w:val="67871AEB"/>
    <w:rsid w:val="67C779FD"/>
    <w:rsid w:val="6823620F"/>
    <w:rsid w:val="686A5976"/>
    <w:rsid w:val="696A1062"/>
    <w:rsid w:val="6B014FD4"/>
    <w:rsid w:val="6BD526E8"/>
    <w:rsid w:val="6C027255"/>
    <w:rsid w:val="6C136D6D"/>
    <w:rsid w:val="6C2471CC"/>
    <w:rsid w:val="6C465F32"/>
    <w:rsid w:val="6C705F6D"/>
    <w:rsid w:val="6DF1680F"/>
    <w:rsid w:val="6E0C0BE2"/>
    <w:rsid w:val="6E0E5A3E"/>
    <w:rsid w:val="6E3D233E"/>
    <w:rsid w:val="6E6E0BD2"/>
    <w:rsid w:val="6EA0700B"/>
    <w:rsid w:val="70416FE8"/>
    <w:rsid w:val="704F233D"/>
    <w:rsid w:val="71B20DD6"/>
    <w:rsid w:val="728A6B08"/>
    <w:rsid w:val="734737A0"/>
    <w:rsid w:val="735C194C"/>
    <w:rsid w:val="74213FF1"/>
    <w:rsid w:val="74B92A7C"/>
    <w:rsid w:val="75FB1DE0"/>
    <w:rsid w:val="766146C3"/>
    <w:rsid w:val="76A032AE"/>
    <w:rsid w:val="76D21489"/>
    <w:rsid w:val="77075720"/>
    <w:rsid w:val="773F4EBA"/>
    <w:rsid w:val="78F10039"/>
    <w:rsid w:val="79A21549"/>
    <w:rsid w:val="7B160627"/>
    <w:rsid w:val="7DDB2C8C"/>
    <w:rsid w:val="7E863124"/>
    <w:rsid w:val="7E9071BE"/>
    <w:rsid w:val="7EF7251E"/>
    <w:rsid w:val="7F596D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0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6">
    <w:name w:val="Body Text"/>
    <w:basedOn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7">
    <w:name w:val="Body Text Indent"/>
    <w:basedOn w:val="1"/>
    <w:next w:val="8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 First Indent 2"/>
    <w:basedOn w:val="7"/>
    <w:unhideWhenUsed/>
    <w:qFormat/>
    <w:uiPriority w:val="99"/>
    <w:pPr>
      <w:ind w:firstLine="420" w:firstLineChars="200"/>
    </w:pPr>
  </w:style>
  <w:style w:type="paragraph" w:styleId="9">
    <w:name w:val="toc 3"/>
    <w:basedOn w:val="1"/>
    <w:next w:val="1"/>
    <w:qFormat/>
    <w:uiPriority w:val="0"/>
    <w:pPr>
      <w:tabs>
        <w:tab w:val="right" w:leader="dot" w:pos="8296"/>
      </w:tabs>
      <w:ind w:left="400" w:leftChars="400"/>
    </w:p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3">
    <w:name w:val="toc 1"/>
    <w:basedOn w:val="1"/>
    <w:next w:val="1"/>
    <w:qFormat/>
    <w:uiPriority w:val="0"/>
    <w:pPr>
      <w:tabs>
        <w:tab w:val="right" w:leader="dot" w:pos="8296"/>
      </w:tabs>
      <w:spacing w:before="93"/>
      <w:jc w:val="center"/>
    </w:pPr>
    <w:rPr>
      <w:rFonts w:ascii="仿宋" w:eastAsia="仿宋"/>
      <w:sz w:val="28"/>
      <w:szCs w:val="28"/>
    </w:rPr>
  </w:style>
  <w:style w:type="paragraph" w:styleId="14">
    <w:name w:val="footnote text"/>
    <w:basedOn w:val="1"/>
    <w:next w:val="8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oc 2"/>
    <w:basedOn w:val="1"/>
    <w:next w:val="1"/>
    <w:qFormat/>
    <w:uiPriority w:val="0"/>
    <w:pPr>
      <w:tabs>
        <w:tab w:val="right" w:leader="dot" w:pos="8296"/>
      </w:tabs>
      <w:ind w:left="200" w:leftChars="200"/>
    </w:pPr>
  </w:style>
  <w:style w:type="paragraph" w:styleId="1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qFormat/>
    <w:uiPriority w:val="0"/>
    <w:rPr>
      <w:color w:val="000000"/>
      <w:u w:val="none"/>
    </w:rPr>
  </w:style>
  <w:style w:type="character" w:styleId="22">
    <w:name w:val="Emphasis"/>
    <w:basedOn w:val="18"/>
    <w:qFormat/>
    <w:uiPriority w:val="0"/>
  </w:style>
  <w:style w:type="character" w:styleId="23">
    <w:name w:val="HTML Definition"/>
    <w:basedOn w:val="18"/>
    <w:qFormat/>
    <w:uiPriority w:val="0"/>
  </w:style>
  <w:style w:type="character" w:styleId="24">
    <w:name w:val="HTML Acronym"/>
    <w:basedOn w:val="18"/>
    <w:qFormat/>
    <w:uiPriority w:val="0"/>
  </w:style>
  <w:style w:type="character" w:styleId="25">
    <w:name w:val="HTML Variable"/>
    <w:basedOn w:val="18"/>
    <w:qFormat/>
    <w:uiPriority w:val="0"/>
  </w:style>
  <w:style w:type="character" w:styleId="26">
    <w:name w:val="Hyperlink"/>
    <w:basedOn w:val="18"/>
    <w:qFormat/>
    <w:uiPriority w:val="0"/>
    <w:rPr>
      <w:color w:val="0000FF"/>
      <w:u w:val="single"/>
    </w:rPr>
  </w:style>
  <w:style w:type="character" w:styleId="27">
    <w:name w:val="HTML Code"/>
    <w:basedOn w:val="18"/>
    <w:qFormat/>
    <w:uiPriority w:val="0"/>
    <w:rPr>
      <w:rFonts w:ascii="Courier New" w:hAnsi="Courier New"/>
      <w:sz w:val="20"/>
      <w:u w:val="single"/>
    </w:rPr>
  </w:style>
  <w:style w:type="character" w:styleId="28">
    <w:name w:val="HTML Cite"/>
    <w:basedOn w:val="18"/>
    <w:qFormat/>
    <w:uiPriority w:val="0"/>
  </w:style>
  <w:style w:type="character" w:customStyle="1" w:styleId="29">
    <w:name w:val="heading 1 Char"/>
    <w:basedOn w:val="18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30">
    <w:name w:val="heading 2 Char"/>
    <w:basedOn w:val="18"/>
    <w:link w:val="4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31">
    <w:name w:val="Header Char"/>
    <w:basedOn w:val="18"/>
    <w:qFormat/>
    <w:uiPriority w:val="0"/>
    <w:rPr>
      <w:rFonts w:ascii="Times New Roman" w:hAnsi="Times New Roman"/>
      <w:sz w:val="18"/>
      <w:szCs w:val="18"/>
    </w:rPr>
  </w:style>
  <w:style w:type="character" w:customStyle="1" w:styleId="32">
    <w:name w:val="Footer Char"/>
    <w:basedOn w:val="18"/>
    <w:qFormat/>
    <w:uiPriority w:val="0"/>
    <w:rPr>
      <w:rFonts w:ascii="Times New Roman" w:hAnsi="Times New Roman"/>
      <w:sz w:val="18"/>
      <w:szCs w:val="18"/>
    </w:rPr>
  </w:style>
  <w:style w:type="character" w:customStyle="1" w:styleId="33">
    <w:name w:val="Body Text Char"/>
    <w:basedOn w:val="18"/>
    <w:qFormat/>
    <w:uiPriority w:val="0"/>
    <w:rPr>
      <w:rFonts w:ascii="Times New Roman" w:hAnsi="Times New Roman"/>
      <w:szCs w:val="24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35">
    <w:name w:val="List Paragraph"/>
    <w:basedOn w:val="1"/>
    <w:qFormat/>
    <w:uiPriority w:val="0"/>
    <w:pPr>
      <w:ind w:firstLine="200" w:firstLineChars="200"/>
    </w:pPr>
  </w:style>
  <w:style w:type="paragraph" w:customStyle="1" w:styleId="36">
    <w:name w:val="TOC 标题1"/>
    <w:basedOn w:val="3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6091"/>
      <w:kern w:val="0"/>
      <w:sz w:val="28"/>
      <w:szCs w:val="28"/>
    </w:rPr>
  </w:style>
  <w:style w:type="paragraph" w:customStyle="1" w:styleId="37">
    <w:name w:val="TOC Heading"/>
    <w:basedOn w:val="3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6091"/>
      <w:kern w:val="0"/>
      <w:sz w:val="28"/>
      <w:szCs w:val="28"/>
    </w:rPr>
  </w:style>
  <w:style w:type="character" w:customStyle="1" w:styleId="38">
    <w:name w:val="apple-converted-space"/>
    <w:basedOn w:val="18"/>
    <w:qFormat/>
    <w:uiPriority w:val="0"/>
  </w:style>
  <w:style w:type="paragraph" w:customStyle="1" w:styleId="39">
    <w:name w:val="_Style 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paragraph" w:customStyle="1" w:styleId="40">
    <w:name w:val="_Style 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character" w:customStyle="1" w:styleId="41">
    <w:name w:val="hover17"/>
    <w:basedOn w:val="18"/>
    <w:qFormat/>
    <w:uiPriority w:val="0"/>
    <w:rPr>
      <w:color w:val="FFFFFF"/>
    </w:rPr>
  </w:style>
  <w:style w:type="character" w:customStyle="1" w:styleId="42">
    <w:name w:val="active"/>
    <w:basedOn w:val="18"/>
    <w:qFormat/>
    <w:uiPriority w:val="0"/>
    <w:rPr>
      <w:color w:val="FFFFFF"/>
    </w:rPr>
  </w:style>
  <w:style w:type="character" w:customStyle="1" w:styleId="43">
    <w:name w:val="page_next"/>
    <w:basedOn w:val="18"/>
    <w:qFormat/>
    <w:uiPriority w:val="0"/>
  </w:style>
  <w:style w:type="character" w:customStyle="1" w:styleId="44">
    <w:name w:val="page_prev"/>
    <w:basedOn w:val="18"/>
    <w:qFormat/>
    <w:uiPriority w:val="0"/>
  </w:style>
  <w:style w:type="character" w:customStyle="1" w:styleId="45">
    <w:name w:val="white"/>
    <w:basedOn w:val="18"/>
    <w:qFormat/>
    <w:uiPriority w:val="0"/>
    <w:rPr>
      <w:rFonts w:ascii="黑体" w:eastAsia="黑体" w:cs="黑体"/>
    </w:rPr>
  </w:style>
  <w:style w:type="character" w:customStyle="1" w:styleId="46">
    <w:name w:val="hover15"/>
    <w:basedOn w:val="18"/>
    <w:qFormat/>
    <w:uiPriority w:val="0"/>
    <w:rPr>
      <w:color w:val="FFFFFF"/>
    </w:rPr>
  </w:style>
  <w:style w:type="character" w:customStyle="1" w:styleId="47">
    <w:name w:val="15"/>
    <w:basedOn w:val="18"/>
    <w:qFormat/>
    <w:uiPriority w:val="0"/>
    <w:rPr>
      <w:rFonts w:ascii="Calibri" w:hAnsi="Calibri" w:cs="Calibri"/>
      <w:b/>
    </w:rPr>
  </w:style>
  <w:style w:type="paragraph" w:customStyle="1" w:styleId="48">
    <w:name w:val="_Style 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paragraph" w:customStyle="1" w:styleId="49">
    <w:name w:val="_Style 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hAnsi="Arial" w:eastAsia="宋体"/>
      <w:vanish/>
      <w:sz w:val="16"/>
    </w:rPr>
  </w:style>
  <w:style w:type="character" w:customStyle="1" w:styleId="50">
    <w:name w:val="first-child1"/>
    <w:basedOn w:val="18"/>
    <w:qFormat/>
    <w:uiPriority w:val="0"/>
  </w:style>
  <w:style w:type="character" w:customStyle="1" w:styleId="51">
    <w:name w:val="layui-layer-tabnow"/>
    <w:basedOn w:val="18"/>
    <w:qFormat/>
    <w:uiPriority w:val="0"/>
    <w:rPr>
      <w:bdr w:val="single" w:color="CCCCCC" w:sz="6" w:space="0"/>
      <w:shd w:val="clear" w:color="auto" w:fill="FFFFFF"/>
    </w:rPr>
  </w:style>
  <w:style w:type="character" w:customStyle="1" w:styleId="52">
    <w:name w:val="first-child"/>
    <w:basedOn w:val="18"/>
    <w:qFormat/>
    <w:uiPriority w:val="0"/>
  </w:style>
  <w:style w:type="character" w:customStyle="1" w:styleId="53">
    <w:name w:val="time"/>
    <w:basedOn w:val="18"/>
    <w:qFormat/>
    <w:uiPriority w:val="0"/>
    <w:rPr>
      <w:color w:val="999999"/>
      <w:sz w:val="18"/>
      <w:szCs w:val="18"/>
    </w:rPr>
  </w:style>
  <w:style w:type="character" w:customStyle="1" w:styleId="54">
    <w:name w:val="time1"/>
    <w:basedOn w:val="18"/>
    <w:qFormat/>
    <w:uiPriority w:val="0"/>
    <w:rPr>
      <w:shd w:val="clear" w:color="auto" w:fill="F5F7FB"/>
    </w:rPr>
  </w:style>
  <w:style w:type="character" w:customStyle="1" w:styleId="55">
    <w:name w:val="time2"/>
    <w:basedOn w:val="18"/>
    <w:qFormat/>
    <w:uiPriority w:val="0"/>
    <w:rPr>
      <w:color w:val="888888"/>
    </w:rPr>
  </w:style>
  <w:style w:type="character" w:customStyle="1" w:styleId="56">
    <w:name w:val="time3"/>
    <w:basedOn w:val="18"/>
    <w:qFormat/>
    <w:uiPriority w:val="0"/>
    <w:rPr>
      <w:color w:val="888888"/>
    </w:rPr>
  </w:style>
  <w:style w:type="character" w:customStyle="1" w:styleId="57">
    <w:name w:val="time4"/>
    <w:basedOn w:val="18"/>
    <w:qFormat/>
    <w:uiPriority w:val="0"/>
    <w:rPr>
      <w:color w:val="888888"/>
    </w:rPr>
  </w:style>
  <w:style w:type="paragraph" w:customStyle="1" w:styleId="58">
    <w:name w:val="WPSOffice手动目录 1"/>
    <w:qFormat/>
    <w:uiPriority w:val="0"/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59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6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image" Target="media/image5.emf"/><Relationship Id="rId16" Type="http://schemas.openxmlformats.org/officeDocument/2006/relationships/oleObject" Target="embeddings/oleObject4.bin"/><Relationship Id="rId15" Type="http://schemas.openxmlformats.org/officeDocument/2006/relationships/image" Target="media/image4.emf"/><Relationship Id="rId14" Type="http://schemas.openxmlformats.org/officeDocument/2006/relationships/oleObject" Target="embeddings/oleObject3.bin"/><Relationship Id="rId13" Type="http://schemas.openxmlformats.org/officeDocument/2006/relationships/image" Target="media/image3.emf"/><Relationship Id="rId12" Type="http://schemas.openxmlformats.org/officeDocument/2006/relationships/oleObject" Target="embeddings/oleObject2.bin"/><Relationship Id="rId11" Type="http://schemas.openxmlformats.org/officeDocument/2006/relationships/chart" Target="charts/chart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400" b="0" i="0" u="none" strike="noStrike" kern="1200" baseline="0">
                <a:solidFill>
                  <a:srgbClr val="595959"/>
                </a:solidFill>
                <a:latin typeface="Times New Roman" panose="02020603050405020304"/>
                <a:ea typeface="宋体" panose="02010600030101010101" charset="-122"/>
                <a:cs typeface="Lucida Sans"/>
              </a:defRPr>
            </a:pPr>
            <a:r>
              <a:rPr lang="zh-CN"/>
              <a:t>支出决算</a:t>
            </a:r>
            <a:endParaRPr lang="zh-CN"/>
          </a:p>
        </c:rich>
      </c:tx>
      <c:layout/>
      <c:overlay val="0"/>
      <c:spPr>
        <a:noFill/>
        <a:ln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41210124"/>
          <c:y val="0.2714642"/>
          <c:w val="0.18468165"/>
          <c:h val="0.48877805"/>
        </c:manualLayout>
      </c:layout>
      <c:pieChart>
        <c:varyColors val="1"/>
        <c:ser>
          <c:idx val="0"/>
          <c:order val="0"/>
          <c:tx>
            <c:strRef>
              <c:f>'Sheet1'!$B$1</c:f>
              <c:strCache>
                <c:ptCount val="1"/>
                <c:pt idx="0">
                  <c:v>基本支出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</c:spPr>
          <c:explosion val="0"/>
          <c:dPt>
            <c:idx val="0"/>
            <c:bubble3D val="0"/>
            <c:explosion val="0"/>
            <c:spPr>
              <a:solidFill>
                <a:srgbClr val="4F81BD"/>
              </a:solidFill>
              <a:ln w="19050">
                <a:solidFill>
                  <a:srgbClr val="FFFFFF"/>
                </a:solidFill>
                <a:prstDash val="solid"/>
              </a:ln>
            </c:spPr>
          </c:dPt>
          <c:dPt>
            <c:idx val="1"/>
            <c:bubble3D val="0"/>
            <c:explosion val="0"/>
            <c:spPr>
              <a:solidFill>
                <a:srgbClr val="C0504D"/>
              </a:solidFill>
              <a:ln w="19050">
                <a:solidFill>
                  <a:srgbClr val="FFFFFF"/>
                </a:solidFill>
                <a:prstDash val="solid"/>
              </a:ln>
            </c:spPr>
          </c:dPt>
          <c:dLbls>
            <c:dLbl>
              <c:idx val="0"/>
              <c:delete val="1"/>
            </c:dLbl>
            <c:dLbl>
              <c:idx val="1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rgbClr val="000000"/>
                    </a:solidFill>
                    <a:latin typeface="Times New Roman" panose="02020603050405020304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'Sheet1'!$A$2:$A$3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'Sheet1'!$B$2:$B$3</c:f>
              <c:numCache>
                <c:formatCode>0.00%</c:formatCode>
                <c:ptCount val="2"/>
                <c:pt idx="0">
                  <c:v>0.9894</c:v>
                </c:pt>
                <c:pt idx="1">
                  <c:v>0.0106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</c:spPr>
    </c:plotArea>
    <c:legend>
      <c:legendPos val="b"/>
      <c:legendEntry>
        <c:idx val="1"/>
        <c:delete val="1"/>
      </c:legendEntry>
      <c:layout>
        <c:manualLayout>
          <c:xMode val="edge"/>
          <c:yMode val="edge"/>
          <c:x val="0.40045768"/>
          <c:y val="0.77876735"/>
          <c:w val="0.18333557"/>
          <c:h val="0.17491984"/>
        </c:manualLayout>
      </c:layout>
      <c:overlay val="0"/>
      <c:spPr>
        <a:noFill/>
        <a:ln>
          <a:noFill/>
        </a:ln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rgbClr val="595959"/>
              </a:solidFill>
              <a:latin typeface="Times New Roman" panose="02020603050405020304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fe01769-4b84-4ef0-b820-5ca78423e868}"/>
      </c:ext>
    </c:extLst>
  </c:chart>
  <c:spPr>
    <a:solidFill>
      <a:srgbClr val="FFFFFF"/>
    </a:solidFill>
    <a:ln w="6350" cap="flat" cmpd="sng" algn="ctr">
      <a:solidFill>
        <a:srgbClr val="D9D9D9"/>
      </a:solidFill>
      <a:prstDash val="solid"/>
      <a:round/>
    </a:ln>
  </c:spPr>
  <c:txPr>
    <a:bodyPr/>
    <a:lstStyle/>
    <a:p>
      <a:pPr>
        <a:defRPr lang="zh-CN" sz="1000" b="0" i="0" u="none" strike="noStrike" baseline="0">
          <a:solidFill>
            <a:srgbClr val="000000"/>
          </a:solidFill>
          <a:latin typeface="Times New Roman" panose="02020603050405020304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/>
    <sectPr xmlns="http://www.yozosoft.com.cn/officeDocument/2016/customData" pgNumType="\* ArabicDash2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77B916-4E61-4B4B-8820-E31D1DC498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四川省财政厅</Company>
  <Pages>15</Pages>
  <Words>4304</Words>
  <Characters>4616</Characters>
  <Lines>344</Lines>
  <Paragraphs>150</Paragraphs>
  <TotalTime>7</TotalTime>
  <ScaleCrop>false</ScaleCrop>
  <LinksUpToDate>false</LinksUpToDate>
  <CharactersWithSpaces>5006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2020-08-04T09:49:00Z</dcterms:created>
  <dc:creator>曹颖</dc:creator>
  <cp:lastModifiedBy>冉军</cp:lastModifiedBy>
  <cp:lastPrinted>2026-08-26T09:31:00Z</cp:lastPrinted>
  <dcterms:modified xsi:type="dcterms:W3CDTF">2026-08-28T01:55:12Z</dcterms:modified>
  <dc:title>四川省***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800014C07C6A4CB18DFCA5A95FDFBD60_13</vt:lpwstr>
  </property>
  <property fmtid="{D5CDD505-2E9C-101B-9397-08002B2CF9AE}" pid="4" name="KSOTemplateDocerSaveRecord">
    <vt:lpwstr>eyJoZGlkIjoiMzZjNGFlMTlkMjY0YmIzNTVlZTJjZmFjZTQzMzliNDEiLCJ1c2VySWQiOiI3OTU1MDA3MjkifQ==</vt:lpwstr>
  </property>
</Properties>
</file>