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ageBreakBefore w:val="0"/>
        <w:widowControl w:val="0"/>
        <w:kinsoku/>
        <w:wordWrap/>
        <w:overflowPunct/>
        <w:topLinePunct w:val="0"/>
        <w:bidi w:val="0"/>
        <w:rPr>
          <w:rFonts w:ascii="宋体" w:eastAsia="宋体"/>
          <w:b/>
          <w:sz w:val="72"/>
          <w:szCs w:val="72"/>
        </w:rPr>
      </w:pPr>
      <w:bookmarkStart w:id="0" w:name="_Toc15378441"/>
      <w:bookmarkStart w:id="1" w:name="_Toc15396597"/>
      <w:bookmarkStart w:id="2" w:name="_Toc15377425"/>
      <w:bookmarkStart w:id="3" w:name="_Toc15396475"/>
      <w:bookmarkStart w:id="4" w:name="_Toc15377193"/>
      <w:bookmarkStart w:id="5" w:name="_Toc15306267"/>
      <w:bookmarkStart w:id="6" w:name="_GoBack"/>
      <w:bookmarkEnd w:id="6"/>
    </w:p>
    <w:p>
      <w:pPr>
        <w:pStyle w:val="15"/>
        <w:pageBreakBefore w:val="0"/>
        <w:widowControl w:val="0"/>
        <w:kinsoku/>
        <w:wordWrap/>
        <w:overflowPunct/>
        <w:topLinePunct w:val="0"/>
        <w:bidi w:val="0"/>
        <w:ind w:firstLine="0"/>
      </w:pPr>
    </w:p>
    <w:p>
      <w:pPr>
        <w:pageBreakBefore w:val="0"/>
        <w:widowControl w:val="0"/>
        <w:kinsoku/>
        <w:wordWrap/>
        <w:overflowPunct/>
        <w:topLinePunct w:val="0"/>
        <w:bidi w:val="0"/>
        <w:jc w:val="center"/>
        <w:rPr>
          <w:rFonts w:ascii="宋体" w:eastAsia="宋体"/>
          <w:b/>
          <w:sz w:val="72"/>
          <w:szCs w:val="72"/>
        </w:rPr>
      </w:pPr>
      <w:r>
        <w:rPr>
          <w:rFonts w:ascii="宋体" w:eastAsia="宋体" w:hint="eastAsia"/>
          <w:b/>
          <w:sz w:val="72"/>
          <w:szCs w:val="72"/>
        </w:rPr>
        <w:t>2021年度</w:t>
      </w:r>
      <w:bookmarkEnd w:id="0"/>
      <w:bookmarkEnd w:id="1"/>
      <w:bookmarkEnd w:id="2"/>
      <w:bookmarkEnd w:id="3"/>
      <w:bookmarkEnd w:id="4"/>
    </w:p>
    <w:p>
      <w:pPr>
        <w:pageBreakBefore w:val="0"/>
        <w:widowControl w:val="0"/>
        <w:kinsoku/>
        <w:wordWrap/>
        <w:overflowPunct/>
        <w:topLinePunct w:val="0"/>
        <w:bidi w:val="0"/>
        <w:jc w:val="center"/>
        <w:rPr>
          <w:rFonts w:ascii="宋体" w:eastAsia="宋体"/>
          <w:b/>
          <w:sz w:val="72"/>
          <w:szCs w:val="72"/>
        </w:rPr>
      </w:pPr>
      <w:bookmarkStart w:id="7" w:name="_Toc15378442"/>
      <w:bookmarkStart w:id="8" w:name="_Toc15306268"/>
      <w:bookmarkStart w:id="9" w:name="_Toc15396476"/>
      <w:bookmarkStart w:id="10" w:name="_Toc15377194"/>
      <w:bookmarkStart w:id="11" w:name="_Toc15396598"/>
      <w:bookmarkStart w:id="12" w:name="_Toc15377426"/>
      <w:bookmarkEnd w:id="5"/>
      <w:r>
        <w:rPr>
          <w:rFonts w:ascii="宋体" w:eastAsia="宋体"/>
          <w:b/>
          <w:sz w:val="72"/>
          <w:szCs w:val="72"/>
        </w:rPr>
        <w:t>阿坝州茂县林业和草原局行政</w:t>
      </w:r>
      <w:r>
        <w:rPr>
          <w:rFonts w:ascii="宋体" w:eastAsia="宋体" w:hint="eastAsia"/>
          <w:b/>
          <w:sz w:val="72"/>
          <w:szCs w:val="72"/>
        </w:rPr>
        <w:t>部门决算</w:t>
      </w:r>
      <w:bookmarkEnd w:id="7"/>
      <w:bookmarkEnd w:id="8"/>
      <w:bookmarkEnd w:id="9"/>
      <w:bookmarkEnd w:id="10"/>
      <w:bookmarkEnd w:id="11"/>
      <w:bookmarkEnd w:id="12"/>
      <w:r>
        <w:rPr>
          <w:rFonts w:ascii="宋体" w:eastAsia="宋体" w:hint="eastAsia"/>
          <w:b/>
          <w:sz w:val="72"/>
          <w:szCs w:val="72"/>
        </w:rPr>
        <w:t>编制说明</w:t>
      </w: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tabs>
          <w:tab w:val="left" w:pos="3600"/>
        </w:tabs>
        <w:kinsoku/>
        <w:wordWrap/>
        <w:overflowPunct/>
        <w:topLinePunct w:val="0"/>
        <w:bidi w:val="0"/>
      </w:pPr>
      <w:r>
        <w:tab/>
      </w: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Style w:val="15"/>
        <w:pageBreakBefore w:val="0"/>
        <w:widowControl w:val="0"/>
        <w:kinsoku/>
        <w:wordWrap/>
        <w:overflowPunct/>
        <w:topLinePunct w:val="0"/>
        <w:bidi w:val="0"/>
      </w:pPr>
    </w:p>
    <w:p>
      <w:pPr>
        <w:pageBreakBefore w:val="0"/>
        <w:widowControl w:val="0"/>
        <w:kinsoku/>
        <w:wordWrap/>
        <w:overflowPunct/>
        <w:topLinePunct w:val="0"/>
        <w:autoSpaceDE w:val="0"/>
        <w:autoSpaceDN w:val="0"/>
        <w:bidi w:val="0"/>
        <w:adjustRightInd w:val="0"/>
        <w:ind w:leftChars="200" w:left="420"/>
        <w:jc w:val="left"/>
        <w:rPr>
          <w:rFonts w:ascii="宋体"/>
          <w:sz w:val="32"/>
          <w:szCs w:val="32"/>
        </w:rPr>
      </w:pPr>
      <w:r>
        <w:rPr>
          <w:rFonts w:ascii="宋体" w:cs="仿宋_GB2312" w:hint="eastAsia"/>
          <w:sz w:val="32"/>
          <w:szCs w:val="32"/>
        </w:rPr>
        <w:t>保密审查情况：已审查，内容审定</w:t>
      </w:r>
    </w:p>
    <w:p>
      <w:pPr>
        <w:pageBreakBefore w:val="0"/>
        <w:widowControl w:val="0"/>
        <w:kinsoku/>
        <w:wordWrap/>
        <w:overflowPunct/>
        <w:topLinePunct w:val="0"/>
        <w:autoSpaceDE w:val="0"/>
        <w:autoSpaceDN w:val="0"/>
        <w:bidi w:val="0"/>
        <w:adjustRightInd w:val="0"/>
        <w:ind w:leftChars="200" w:left="420"/>
        <w:jc w:val="left"/>
        <w:rPr>
          <w:rFonts w:ascii="宋体"/>
          <w:sz w:val="32"/>
          <w:szCs w:val="32"/>
        </w:rPr>
      </w:pPr>
      <w:r>
        <w:rPr>
          <w:rFonts w:ascii="宋体" w:cs="仿宋_GB2312" w:hint="eastAsia"/>
          <w:sz w:val="32"/>
          <w:szCs w:val="32"/>
        </w:rPr>
        <w:t>部门主要负责人审签情况：已审签，同意对外公开</w:t>
      </w:r>
    </w:p>
    <w:p>
      <w:pPr>
        <w:pageBreakBefore w:val="0"/>
        <w:widowControl/>
        <w:kinsoku/>
        <w:wordWrap/>
        <w:overflowPunct/>
        <w:topLinePunct w:val="0"/>
        <w:bidi w:val="0"/>
        <w:jc w:val="center"/>
        <w:rPr>
          <w:rFonts w:ascii="黑体" w:eastAsia="黑体"/>
          <w:color w:val="000000"/>
          <w:sz w:val="48"/>
          <w:szCs w:val="48"/>
        </w:rPr>
      </w:pPr>
      <w:r>
        <w:rPr>
          <w:rFonts w:ascii="方正小标宋简体" w:eastAsia="方正小标宋简体"/>
          <w:color w:val="000000"/>
          <w:sz w:val="36"/>
          <w:szCs w:val="36"/>
        </w:rPr>
        <w:br w:type="page"/>
      </w:r>
      <w:r>
        <w:rPr>
          <w:rFonts w:ascii="黑体" w:eastAsia="黑体" w:hint="eastAsia"/>
          <w:color w:val="000000"/>
          <w:sz w:val="48"/>
          <w:szCs w:val="48"/>
        </w:rPr>
        <w:t>目录</w:t>
      </w:r>
      <w:bookmarkStart w:id="13" w:name="_Toc15377196"/>
    </w:p>
    <w:p>
      <w:pPr>
        <w:pStyle w:val="22"/>
        <w:pageBreakBefore w:val="0"/>
        <w:widowControl w:val="0"/>
        <w:tabs>
          <w:tab w:val="right" w:leader="dot" w:pos="8296"/>
        </w:tabs>
        <w:kinsoku/>
        <w:wordWrap/>
        <w:overflowPunct/>
        <w:topLinePunct w:val="0"/>
        <w:bidi w:val="0"/>
        <w:spacing w:before="0"/>
        <w:rPr>
          <w:rFonts w:ascii="Calibri" w:eastAsia="宋体" w:cs="Arial" w:hAnsi="Calibri"/>
          <w:sz w:val="21"/>
          <w:szCs w:val="22"/>
        </w:rPr>
      </w:pPr>
      <w:r>
        <w:rPr>
          <w:caps w:val="0"/>
          <w:smallCaps/>
          <w:sz w:val="20"/>
          <w:szCs w:val="20"/>
        </w:rPr>
        <w:fldChar w:fldCharType="begin"/>
      </w:r>
      <w:r>
        <w:rPr>
          <w:caps w:val="0"/>
          <w:smallCaps/>
          <w:sz w:val="20"/>
          <w:szCs w:val="20"/>
        </w:rPr>
        <w:instrText xml:space="preserve"> TOC \o "1-2" \h \z \u </w:instrText>
      </w:r>
      <w:r>
        <w:rPr>
          <w:caps w:val="0"/>
          <w:smallCaps/>
          <w:sz w:val="20"/>
          <w:szCs w:val="20"/>
        </w:rPr>
        <w:fldChar w:fldCharType="separate"/>
      </w:r>
      <w:r>
        <w:fldChar w:fldCharType="begin"/>
      </w:r>
      <w:r>
        <w:instrText xml:space="preserve"> HYPERLINK \l "_Toc113981009" </w:instrText>
      </w:r>
      <w:r>
        <w:fldChar w:fldCharType="separate"/>
      </w:r>
      <w:r>
        <w:rPr>
          <w:rFonts w:ascii="黑体" w:eastAsia="黑体" w:cs="黑体"/>
        </w:rPr>
        <w:t>第一部分 部门概况</w:t>
      </w:r>
      <w:r>
        <w:tab/>
      </w:r>
      <w:r>
        <w:fldChar w:fldCharType="begin"/>
      </w:r>
      <w:r>
        <w:instrText xml:space="preserve"> PAGEREF _Toc113981009 \h </w:instrText>
      </w:r>
      <w:r>
        <w:fldChar w:fldCharType="separate"/>
      </w:r>
      <w:r>
        <w:t>3</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"_Toc113981010" </w:instrText>
      </w:r>
      <w:r>
        <w:fldChar w:fldCharType="separate"/>
      </w:r>
      <w:r>
        <w:rPr>
          <w:rFonts w:ascii="黑体" w:eastAsia="黑体"/>
        </w:rPr>
        <w:t>一、基本职能及主要工作</w:t>
      </w:r>
      <w:r>
        <w:tab/>
      </w:r>
      <w:r>
        <w:fldChar w:fldCharType="begin"/>
      </w:r>
      <w:r>
        <w:instrText xml:space="preserve"> PAGEREF _Toc113981010 \h </w:instrText>
      </w:r>
      <w:r>
        <w:fldChar w:fldCharType="separate"/>
      </w:r>
      <w:r>
        <w:t>3</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"_Toc113981011" </w:instrText>
      </w:r>
      <w:r>
        <w:fldChar w:fldCharType="separate"/>
      </w:r>
      <w:r>
        <w:rPr>
          <w:rFonts w:ascii="黑体" w:eastAsia="黑体"/>
        </w:rPr>
        <w:t>二、机构设置</w:t>
      </w:r>
      <w:r>
        <w:tab/>
      </w:r>
      <w:r>
        <w:fldChar w:fldCharType="begin"/>
      </w:r>
      <w:r>
        <w:instrText xml:space="preserve"> PAGEREF _Toc113981011 \h </w:instrText>
      </w:r>
      <w:r>
        <w:fldChar w:fldCharType="separate"/>
      </w:r>
      <w:r>
        <w:t>3</w:t>
      </w:r>
      <w:r>
        <w:fldChar w:fldCharType="end"/>
      </w:r>
      <w:r>
        <w:fldChar w:fldCharType="end"/>
      </w:r>
    </w:p>
    <w:p>
      <w:pPr>
        <w:pStyle w:val="22"/>
        <w:pageBreakBefore w:val="0"/>
        <w:widowControl w:val="0"/>
        <w:tabs>
          <w:tab w:val="right" w:leader="dot" w:pos="8296"/>
        </w:tabs>
        <w:kinsoku/>
        <w:wordWrap/>
        <w:overflowPunct/>
        <w:topLinePunct w:val="0"/>
        <w:bidi w:val="0"/>
        <w:spacing w:before="0"/>
        <w:rPr>
          <w:rFonts w:ascii="Calibri" w:eastAsia="宋体" w:cs="Arial" w:hAnsi="Calibri"/>
          <w:sz w:val="21"/>
          <w:szCs w:val="22"/>
        </w:rPr>
      </w:pPr>
      <w:r>
        <w:fldChar w:fldCharType="begin"/>
      </w:r>
      <w:r>
        <w:instrText xml:space="preserve"> HYPERLINK \l "_Toc113981012" </w:instrText>
      </w:r>
      <w:r>
        <w:fldChar w:fldCharType="separate"/>
      </w:r>
      <w:r>
        <w:rPr>
          <w:rFonts w:ascii="黑体" w:eastAsia="黑体" w:cs="黑体" w:hint="eastAsia"/>
        </w:rPr>
        <w:t>第二部分</w:t>
      </w:r>
      <w:r>
        <w:rPr>
          <w:rFonts w:ascii="黑体" w:eastAsia="黑体" w:cs="黑体"/>
        </w:rPr>
        <w:t xml:space="preserve"> 2021年度部门决算情况说明</w:t>
      </w:r>
      <w:r>
        <w:tab/>
      </w:r>
      <w:r>
        <w:fldChar w:fldCharType="begin"/>
      </w:r>
      <w:r>
        <w:instrText xml:space="preserve"> PAGEREF _Toc113981012 \h </w:instrText>
      </w:r>
      <w:r>
        <w:fldChar w:fldCharType="separate"/>
      </w:r>
      <w:r>
        <w:t>4</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"_Toc113981013" </w:instrText>
      </w:r>
      <w:r>
        <w:fldChar w:fldCharType="separate"/>
      </w:r>
      <w:r>
        <w:rPr>
          <w:rFonts w:ascii="黑体" w:eastAsia="黑体"/>
        </w:rPr>
        <w:t>一、收入支出决算总体情况说明</w:t>
      </w:r>
      <w:r>
        <w:tab/>
      </w:r>
      <w:r>
        <w:fldChar w:fldCharType="begin"/>
      </w:r>
      <w:r>
        <w:instrText xml:space="preserve"> PAGEREF _Toc113981013 \h </w:instrText>
      </w:r>
      <w:r>
        <w:fldChar w:fldCharType="separate"/>
      </w:r>
      <w:r>
        <w:t>4</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"_Toc113981014" </w:instrText>
      </w:r>
      <w:r>
        <w:fldChar w:fldCharType="separate"/>
      </w:r>
      <w:r>
        <w:rPr>
          <w:rFonts w:ascii="黑体" w:eastAsia="黑体"/>
        </w:rPr>
        <w:t>二、收入决算情况说明</w:t>
      </w:r>
      <w:r>
        <w:tab/>
      </w:r>
      <w:r>
        <w:fldChar w:fldCharType="begin"/>
      </w:r>
      <w:r>
        <w:instrText xml:space="preserve"> PAGEREF _Toc113981014 \h </w:instrText>
      </w:r>
      <w:r>
        <w:fldChar w:fldCharType="separate"/>
      </w:r>
      <w:r>
        <w:t>4</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"_Toc113981015" </w:instrText>
      </w:r>
      <w:r>
        <w:fldChar w:fldCharType="separate"/>
      </w:r>
      <w:r>
        <w:rPr>
          <w:rFonts w:ascii="黑体" w:eastAsia="黑体"/>
        </w:rPr>
        <w:t>三、支出决算情况说明</w:t>
      </w:r>
      <w:r>
        <w:tab/>
      </w:r>
      <w:r>
        <w:fldChar w:fldCharType="begin"/>
      </w:r>
      <w:r>
        <w:instrText xml:space="preserve"> PAGEREF _Toc113981015 \h </w:instrText>
      </w:r>
      <w:r>
        <w:fldChar w:fldCharType="separate"/>
      </w:r>
      <w:r>
        <w:t>5</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"_Toc113981016" </w:instrText>
      </w:r>
      <w:r>
        <w:fldChar w:fldCharType="separate"/>
      </w:r>
      <w:r>
        <w:rPr>
          <w:rFonts w:ascii="黑体" w:eastAsia="黑体"/>
        </w:rPr>
        <w:t>四、财政拨款收入支出决算总体情况说明</w:t>
      </w:r>
      <w:r>
        <w:tab/>
      </w:r>
      <w:r>
        <w:fldChar w:fldCharType="begin"/>
      </w:r>
      <w:r>
        <w:instrText xml:space="preserve"> PAGEREF _Toc113981016 \h </w:instrText>
      </w:r>
      <w:r>
        <w:fldChar w:fldCharType="separate"/>
      </w:r>
      <w:r>
        <w:t>6</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"_Toc113981017" </w:instrText>
      </w:r>
      <w:r>
        <w:fldChar w:fldCharType="separate"/>
      </w:r>
      <w:r>
        <w:rPr>
          <w:rFonts w:ascii="黑体" w:eastAsia="黑体"/>
        </w:rPr>
        <w:t>五、一般公共预算财政拨款支出决算情况说明</w:t>
      </w:r>
      <w:r>
        <w:tab/>
      </w:r>
      <w:r>
        <w:fldChar w:fldCharType="begin"/>
      </w:r>
      <w:r>
        <w:instrText xml:space="preserve"> PAGEREF _Toc113981017 \h </w:instrText>
      </w:r>
      <w:r>
        <w:fldChar w:fldCharType="separate"/>
      </w:r>
      <w:r>
        <w:t>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"_Toc113981018" </w:instrText>
      </w:r>
      <w:r>
        <w:fldChar w:fldCharType="separate"/>
      </w:r>
      <w:r>
        <w:rPr>
          <w:rFonts w:ascii="黑体" w:eastAsia="黑体"/>
        </w:rPr>
        <w:t>六、一般公共预算财政拨款基本支出决算情况说明</w:t>
      </w:r>
      <w:r>
        <w:tab/>
      </w:r>
      <w:r>
        <w:fldChar w:fldCharType="begin"/>
      </w:r>
      <w:r>
        <w:instrText xml:space="preserve"> PAGEREF _Toc113981018 \h </w:instrText>
      </w:r>
      <w:r>
        <w:fldChar w:fldCharType="separate"/>
      </w:r>
      <w:r>
        <w:t>9</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"_Toc113981019" </w:instrText>
      </w:r>
      <w:r>
        <w:fldChar w:fldCharType="separate"/>
      </w:r>
      <w:r>
        <w:rPr>
          <w:rFonts w:ascii="黑体" w:eastAsia="黑体"/>
        </w:rPr>
        <w:t>七、“三公”经费财政拨款支出决算情况说明</w:t>
      </w:r>
      <w:r>
        <w:tab/>
      </w:r>
      <w:r>
        <w:fldChar w:fldCharType="begin"/>
      </w:r>
      <w:r>
        <w:instrText xml:space="preserve"> PAGEREF _Toc113981019 \h </w:instrText>
      </w:r>
      <w:r>
        <w:fldChar w:fldCharType="separate"/>
      </w:r>
      <w:r>
        <w:t>9</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"_Toc113981020" </w:instrText>
      </w:r>
      <w:r>
        <w:fldChar w:fldCharType="separate"/>
      </w:r>
      <w:r>
        <w:rPr>
          <w:rFonts w:ascii="黑体" w:eastAsia="黑体"/>
        </w:rPr>
        <w:t>八、政府性基金预算支出决算情况说明</w:t>
      </w:r>
      <w:r>
        <w:tab/>
      </w:r>
      <w:r>
        <w:fldChar w:fldCharType="begin"/>
      </w:r>
      <w:r>
        <w:instrText xml:space="preserve"> PAGEREF _Toc113981020 \h </w:instrText>
      </w:r>
      <w:r>
        <w:fldChar w:fldCharType="separate"/>
      </w:r>
      <w:r>
        <w:t>11</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"_Toc113981021" </w:instrText>
      </w:r>
      <w:r>
        <w:fldChar w:fldCharType="separate"/>
      </w:r>
      <w:r>
        <w:rPr>
          <w:rFonts w:ascii="黑体" w:eastAsia="黑体"/>
        </w:rPr>
        <w:t>九、国有资本经营预算支出决算情况说明</w:t>
      </w:r>
      <w:r>
        <w:tab/>
      </w:r>
      <w:r>
        <w:fldChar w:fldCharType="begin"/>
      </w:r>
      <w:r>
        <w:instrText xml:space="preserve"> PAGEREF _Toc113981021 \h </w:instrText>
      </w:r>
      <w:r>
        <w:fldChar w:fldCharType="separate"/>
      </w:r>
      <w:r>
        <w:t>12</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"_Toc113981022" </w:instrText>
      </w:r>
      <w:r>
        <w:fldChar w:fldCharType="separate"/>
      </w:r>
      <w:r>
        <w:rPr>
          <w:rFonts w:ascii="黑体" w:eastAsia="黑体"/>
        </w:rPr>
        <w:t>十、其他重要事项的情况说明</w:t>
      </w:r>
      <w:r>
        <w:tab/>
      </w:r>
      <w:r>
        <w:fldChar w:fldCharType="begin"/>
      </w:r>
      <w:r>
        <w:instrText xml:space="preserve"> PAGEREF _Toc113981022 \h </w:instrText>
      </w:r>
      <w:r>
        <w:fldChar w:fldCharType="separate"/>
      </w:r>
      <w:r>
        <w:t>12</w:t>
      </w:r>
      <w:r>
        <w:fldChar w:fldCharType="end"/>
      </w:r>
      <w:r>
        <w:fldChar w:fldCharType="end"/>
      </w:r>
    </w:p>
    <w:p>
      <w:pPr>
        <w:pStyle w:val="22"/>
        <w:pageBreakBefore w:val="0"/>
        <w:widowControl w:val="0"/>
        <w:tabs>
          <w:tab w:val="right" w:leader="dot" w:pos="8296"/>
        </w:tabs>
        <w:kinsoku/>
        <w:wordWrap/>
        <w:overflowPunct/>
        <w:topLinePunct w:val="0"/>
        <w:bidi w:val="0"/>
        <w:spacing w:before="0"/>
        <w:rPr>
          <w:rFonts w:ascii="Calibri" w:eastAsia="宋体" w:cs="Arial" w:hAnsi="Calibri"/>
          <w:sz w:val="21"/>
          <w:szCs w:val="22"/>
        </w:rPr>
      </w:pPr>
      <w:r>
        <w:fldChar w:fldCharType="begin"/>
      </w:r>
      <w:r>
        <w:instrText xml:space="preserve"> HYPERLINK \l "_Toc113981023" </w:instrText>
      </w:r>
      <w:r>
        <w:fldChar w:fldCharType="separate"/>
      </w:r>
      <w:r>
        <w:rPr>
          <w:rFonts w:ascii="黑体" w:eastAsia="黑体" w:cs="黑体"/>
        </w:rPr>
        <w:t>第三部分 名词解释</w:t>
      </w:r>
      <w:r>
        <w:tab/>
      </w:r>
      <w:r>
        <w:fldChar w:fldCharType="begin"/>
      </w:r>
      <w:r>
        <w:instrText xml:space="preserve"> PAGEREF _Toc113981023 \h </w:instrText>
      </w:r>
      <w:r>
        <w:fldChar w:fldCharType="separate"/>
      </w:r>
      <w:r>
        <w:t>14</w:t>
      </w:r>
      <w:r>
        <w:fldChar w:fldCharType="end"/>
      </w:r>
      <w:r>
        <w:fldChar w:fldCharType="end"/>
      </w:r>
    </w:p>
    <w:p>
      <w:pPr>
        <w:pStyle w:val="22"/>
        <w:pageBreakBefore w:val="0"/>
        <w:widowControl w:val="0"/>
        <w:tabs>
          <w:tab w:val="right" w:leader="dot" w:pos="8296"/>
        </w:tabs>
        <w:kinsoku/>
        <w:wordWrap/>
        <w:overflowPunct/>
        <w:topLinePunct w:val="0"/>
        <w:bidi w:val="0"/>
        <w:spacing w:before="0"/>
        <w:rPr>
          <w:rFonts w:ascii="Calibri" w:eastAsia="宋体" w:cs="Arial" w:hAnsi="Calibri"/>
          <w:sz w:val="21"/>
          <w:szCs w:val="22"/>
        </w:rPr>
      </w:pPr>
      <w:r>
        <w:fldChar w:fldCharType="begin"/>
      </w:r>
      <w:r>
        <w:instrText xml:space="preserve"> HYPERLINK \l "_Toc113981024" </w:instrText>
      </w:r>
      <w:r>
        <w:fldChar w:fldCharType="separate"/>
      </w:r>
      <w:r>
        <w:rPr>
          <w:rFonts w:ascii="黑体" w:eastAsia="黑体" w:cs="黑体"/>
        </w:rPr>
        <w:t>第四部分 附件</w:t>
      </w:r>
      <w:r>
        <w:tab/>
      </w:r>
      <w:r>
        <w:fldChar w:fldCharType="begin"/>
      </w:r>
      <w:r>
        <w:instrText xml:space="preserve"> PAGEREF _Toc113981024 \h </w:instrText>
      </w:r>
      <w:r>
        <w:fldChar w:fldCharType="separate"/>
      </w:r>
      <w:r>
        <w:t>16</w:t>
      </w:r>
      <w:r>
        <w:fldChar w:fldCharType="end"/>
      </w:r>
      <w:r>
        <w:fldChar w:fldCharType="end"/>
      </w:r>
    </w:p>
    <w:p>
      <w:pPr>
        <w:pStyle w:val="22"/>
        <w:pageBreakBefore w:val="0"/>
        <w:widowControl w:val="0"/>
        <w:tabs>
          <w:tab w:val="right" w:leader="dot" w:pos="8296"/>
        </w:tabs>
        <w:kinsoku/>
        <w:wordWrap/>
        <w:overflowPunct/>
        <w:topLinePunct w:val="0"/>
        <w:bidi w:val="0"/>
        <w:spacing w:before="0"/>
        <w:rPr>
          <w:rFonts w:ascii="Calibri" w:eastAsia="宋体" w:cs="Arial" w:hAnsi="Calibri"/>
          <w:sz w:val="21"/>
          <w:szCs w:val="22"/>
        </w:rPr>
      </w:pPr>
      <w:r>
        <w:fldChar w:fldCharType="begin"/>
      </w:r>
      <w:r>
        <w:instrText xml:space="preserve"> HYPERLINK \l "_Toc113981025" </w:instrText>
      </w:r>
      <w:r>
        <w:fldChar w:fldCharType="separate"/>
      </w:r>
      <w:r>
        <w:rPr>
          <w:rFonts w:ascii="黑体" w:eastAsia="黑体" w:cs="黑体"/>
        </w:rPr>
        <w:t>第五部分 附表</w:t>
      </w:r>
      <w:r>
        <w:tab/>
      </w:r>
      <w:r>
        <w:fldChar w:fldCharType="begin"/>
      </w:r>
      <w:r>
        <w:instrText xml:space="preserve"> PAGEREF _Toc113981025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"_Toc113981026" </w:instrText>
      </w:r>
      <w:r>
        <w:fldChar w:fldCharType="separate"/>
      </w:r>
      <w:r>
        <w:rPr>
          <w:rFonts w:ascii="黑体" w:eastAsia="黑体"/>
        </w:rPr>
        <w:t>一、收入支出决算总表</w:t>
      </w:r>
      <w:r>
        <w:tab/>
      </w:r>
      <w:r>
        <w:fldChar w:fldCharType="begin"/>
      </w:r>
      <w:r>
        <w:instrText xml:space="preserve"> PAGEREF _Toc113981026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"_Toc113981027" </w:instrText>
      </w:r>
      <w:r>
        <w:fldChar w:fldCharType="separate"/>
      </w:r>
      <w:r>
        <w:rPr>
          <w:rFonts w:ascii="黑体" w:eastAsia="黑体"/>
        </w:rPr>
        <w:t>二、收入决算表</w:t>
      </w:r>
      <w:r>
        <w:tab/>
      </w:r>
      <w:r>
        <w:fldChar w:fldCharType="begin"/>
      </w:r>
      <w:r>
        <w:instrText xml:space="preserve"> PAGEREF _Toc113981027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"_Toc113981028" </w:instrText>
      </w:r>
      <w:r>
        <w:fldChar w:fldCharType="separate"/>
      </w:r>
      <w:r>
        <w:rPr>
          <w:rFonts w:ascii="黑体" w:eastAsia="黑体"/>
        </w:rPr>
        <w:t>三、支出决算表</w:t>
      </w:r>
      <w:r>
        <w:tab/>
      </w:r>
      <w:r>
        <w:fldChar w:fldCharType="begin"/>
      </w:r>
      <w:r>
        <w:instrText xml:space="preserve"> PAGEREF _Toc113981028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"_Toc113981029" </w:instrText>
      </w:r>
      <w:r>
        <w:fldChar w:fldCharType="separate"/>
      </w:r>
      <w:r>
        <w:rPr>
          <w:rFonts w:ascii="黑体" w:eastAsia="黑体"/>
        </w:rPr>
        <w:t>四、财政拨款收入支出决算总表</w:t>
      </w:r>
      <w:r>
        <w:tab/>
      </w:r>
      <w:r>
        <w:fldChar w:fldCharType="begin"/>
      </w:r>
      <w:r>
        <w:instrText xml:space="preserve"> PAGEREF _Toc113981029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"_Toc113981030" </w:instrText>
      </w:r>
      <w:r>
        <w:fldChar w:fldCharType="separate"/>
      </w:r>
      <w:r>
        <w:rPr>
          <w:rFonts w:ascii="黑体" w:eastAsia="黑体"/>
        </w:rPr>
        <w:t>五、财政拨款支出决算明细表</w:t>
      </w:r>
      <w:r>
        <w:tab/>
      </w:r>
      <w:r>
        <w:fldChar w:fldCharType="begin"/>
      </w:r>
      <w:r>
        <w:instrText xml:space="preserve"> PAGEREF _Toc113981030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"_Toc113981031" </w:instrText>
      </w:r>
      <w:r>
        <w:fldChar w:fldCharType="separate"/>
      </w:r>
      <w:r>
        <w:rPr>
          <w:rFonts w:ascii="黑体" w:eastAsia="黑体"/>
        </w:rPr>
        <w:t>六、一般公共预算财政拨款支出决算表</w:t>
      </w:r>
      <w:r>
        <w:tab/>
      </w:r>
      <w:r>
        <w:fldChar w:fldCharType="begin"/>
      </w:r>
      <w:r>
        <w:instrText xml:space="preserve"> PAGEREF _Toc113981031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"_Toc113981032" </w:instrText>
      </w:r>
      <w:r>
        <w:fldChar w:fldCharType="separate"/>
      </w:r>
      <w:r>
        <w:rPr>
          <w:rFonts w:ascii="黑体" w:eastAsia="黑体"/>
        </w:rPr>
        <w:t>七、一般公共预算财政拨款支出决算明细表</w:t>
      </w:r>
      <w:r>
        <w:tab/>
      </w:r>
      <w:r>
        <w:fldChar w:fldCharType="begin"/>
      </w:r>
      <w:r>
        <w:instrText xml:space="preserve"> PAGEREF _Toc113981032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"_Toc113981033" </w:instrText>
      </w:r>
      <w:r>
        <w:fldChar w:fldCharType="separate"/>
      </w:r>
      <w:r>
        <w:rPr>
          <w:rFonts w:ascii="黑体" w:eastAsia="黑体"/>
        </w:rPr>
        <w:t>八、一般公共预算财政拨款基本支出决算表</w:t>
      </w:r>
      <w:r>
        <w:tab/>
      </w:r>
      <w:r>
        <w:fldChar w:fldCharType="begin"/>
      </w:r>
      <w:r>
        <w:instrText xml:space="preserve"> PAGEREF _Toc113981033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"_Toc113981034" </w:instrText>
      </w:r>
      <w:r>
        <w:fldChar w:fldCharType="separate"/>
      </w:r>
      <w:r>
        <w:rPr>
          <w:rFonts w:ascii="黑体" w:eastAsia="黑体"/>
        </w:rPr>
        <w:t>九、一般公共预算财政拨款项目支出决算表</w:t>
      </w:r>
      <w:r>
        <w:tab/>
      </w:r>
      <w:r>
        <w:fldChar w:fldCharType="begin"/>
      </w:r>
      <w:r>
        <w:instrText xml:space="preserve"> PAGEREF _Toc113981034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"_Toc113981035" </w:instrText>
      </w:r>
      <w:r>
        <w:fldChar w:fldCharType="separate"/>
      </w:r>
      <w:r>
        <w:rPr>
          <w:rFonts w:ascii="黑体" w:eastAsia="黑体"/>
        </w:rPr>
        <w:t>十、一般公共预算财政拨款“三公”经费支出决算表</w:t>
      </w:r>
      <w:r>
        <w:tab/>
      </w:r>
      <w:r>
        <w:fldChar w:fldCharType="begin"/>
      </w:r>
      <w:r>
        <w:instrText xml:space="preserve"> PAGEREF _Toc113981035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"_Toc113981036" </w:instrText>
      </w:r>
      <w:r>
        <w:fldChar w:fldCharType="separate"/>
      </w:r>
      <w:r>
        <w:rPr>
          <w:rFonts w:ascii="黑体" w:eastAsia="黑体"/>
        </w:rPr>
        <w:t>十一、政府性基金预算财政拨款收入支出决算表</w:t>
      </w:r>
      <w:r>
        <w:tab/>
      </w:r>
      <w:r>
        <w:fldChar w:fldCharType="begin"/>
      </w:r>
      <w:r>
        <w:instrText xml:space="preserve"> PAGEREF _Toc113981036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"_Toc113981037" </w:instrText>
      </w:r>
      <w:r>
        <w:fldChar w:fldCharType="separate"/>
      </w:r>
      <w:r>
        <w:rPr>
          <w:rFonts w:ascii="黑体" w:eastAsia="黑体"/>
        </w:rPr>
        <w:t>十二、政府性基金预算财政拨款“三公”经费支出决算表</w:t>
      </w:r>
      <w:r>
        <w:tab/>
      </w:r>
      <w:r>
        <w:fldChar w:fldCharType="begin"/>
      </w:r>
      <w:r>
        <w:instrText xml:space="preserve"> PAGEREF _Toc113981037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"_Toc113981038" </w:instrText>
      </w:r>
      <w:r>
        <w:fldChar w:fldCharType="separate"/>
      </w:r>
      <w:r>
        <w:rPr>
          <w:rFonts w:ascii="黑体" w:eastAsia="黑体"/>
        </w:rPr>
        <w:t>十三、国有资本经营预算财政拨款收入支出决算表</w:t>
      </w:r>
      <w:r>
        <w:tab/>
      </w:r>
      <w:r>
        <w:fldChar w:fldCharType="begin"/>
      </w:r>
      <w:r>
        <w:instrText xml:space="preserve"> PAGEREF _Toc113981038 \h </w:instrText>
      </w:r>
      <w:r>
        <w:fldChar w:fldCharType="separate"/>
      </w:r>
      <w:r>
        <w:t>17</w:t>
      </w:r>
      <w:r>
        <w:fldChar w:fldCharType="end"/>
      </w:r>
      <w:r>
        <w:fldChar w:fldCharType="end"/>
      </w:r>
    </w:p>
    <w:p>
      <w:pPr>
        <w:pStyle w:val="24"/>
        <w:pageBreakBefore w:val="0"/>
        <w:widowControl w:val="0"/>
        <w:tabs>
          <w:tab w:val="right" w:leader="dot" w:pos="8296"/>
        </w:tabs>
        <w:kinsoku/>
        <w:wordWrap/>
        <w:overflowPunct/>
        <w:topLinePunct w:val="0"/>
        <w:bidi w:val="0"/>
        <w:rPr>
          <w:rFonts w:ascii="Calibri" w:eastAsia="宋体" w:cs="Arial" w:hAnsi="Calibri"/>
          <w:szCs w:val="22"/>
        </w:rPr>
      </w:pPr>
      <w:r>
        <w:fldChar w:fldCharType="begin"/>
      </w:r>
      <w:r>
        <w:instrText xml:space="preserve"> HYPERLINK \l "_Toc113981039" </w:instrText>
      </w:r>
      <w:r>
        <w:fldChar w:fldCharType="separate"/>
      </w:r>
      <w:r>
        <w:rPr>
          <w:rFonts w:ascii="黑体" w:eastAsia="黑体"/>
        </w:rPr>
        <w:t>十四、国有资本经营预算财政拨款支出决算表</w:t>
      </w:r>
      <w:r>
        <w:tab/>
      </w:r>
      <w:r>
        <w:fldChar w:fldCharType="begin"/>
      </w:r>
      <w:r>
        <w:instrText xml:space="preserve"> PAGEREF _Toc113981039 \h </w:instrText>
      </w:r>
      <w:r>
        <w:fldChar w:fldCharType="separate"/>
      </w:r>
      <w:r>
        <w:t>17</w:t>
      </w:r>
      <w:r>
        <w:fldChar w:fldCharType="end"/>
      </w:r>
      <w:r>
        <w:fldChar w:fldCharType="end"/>
      </w:r>
    </w:p>
    <w:p>
      <w:pPr>
        <w:pStyle w:val="15"/>
        <w:pageBreakBefore w:val="0"/>
        <w:widowControl w:val="0"/>
        <w:kinsoku/>
        <w:wordWrap/>
        <w:overflowPunct/>
        <w:topLinePunct w:val="0"/>
        <w:bidi w:val="0"/>
      </w:pPr>
      <w:r>
        <w:rPr>
          <w:caps w:val="0"/>
          <w:smallCaps/>
          <w:szCs w:val="20"/>
        </w:rPr>
        <w:fldChar w:fldCharType="end"/>
      </w:r>
    </w:p>
    <w:p>
      <w:pPr>
        <w:pStyle w:val="1"/>
        <w:keepNext/>
        <w:keepLines/>
        <w:pageBreakBefore w:val="0"/>
        <w:widowControl w:val="0"/>
        <w:kinsoku/>
        <w:wordWrap/>
        <w:overflowPunct/>
        <w:topLinePunct w:val="0"/>
        <w:bidi w:val="0"/>
        <w:spacing w:before="0" w:after="0" w:line="560" w:lineRule="exact"/>
        <w:jc w:val="center"/>
        <w:rPr>
          <w:rFonts w:ascii="黑体" w:eastAsia="黑体" w:cs="黑体" w:hint="eastAsia"/>
        </w:rPr>
      </w:pPr>
      <w:bookmarkStart w:id="14" w:name="_Toc111208495"/>
      <w:bookmarkStart w:id="15" w:name="_Toc113981009"/>
    </w:p>
    <w:p>
      <w:pPr>
        <w:pStyle w:val="1"/>
        <w:keepNext/>
        <w:keepLines/>
        <w:pageBreakBefore w:val="0"/>
        <w:widowControl w:val="0"/>
        <w:kinsoku/>
        <w:wordWrap/>
        <w:overflowPunct/>
        <w:topLinePunct w:val="0"/>
        <w:bidi w:val="0"/>
        <w:spacing w:before="0" w:after="0" w:line="560" w:lineRule="exact"/>
        <w:jc w:val="center"/>
        <w:rPr>
          <w:rFonts w:ascii="黑体" w:eastAsia="黑体" w:cs="黑体"/>
          <w:b w:val="0"/>
          <w:bCs w:val="0"/>
        </w:rPr>
      </w:pPr>
      <w:r>
        <w:rPr>
          <w:rFonts w:ascii="黑体" w:eastAsia="黑体" w:cs="黑体" w:hint="eastAsia"/>
        </w:rPr>
        <w:t xml:space="preserve">第一部分 </w:t>
      </w:r>
      <w:r>
        <w:rPr>
          <w:rStyle w:val="1Char"/>
          <w:rFonts w:ascii="黑体" w:eastAsia="黑体" w:cs="黑体" w:hint="eastAsia"/>
          <w:b/>
          <w:bCs w:val="0"/>
        </w:rPr>
        <w:t>部门概况</w:t>
      </w:r>
      <w:bookmarkEnd w:id="13"/>
      <w:bookmarkEnd w:id="14"/>
      <w:bookmarkEnd w:id="15"/>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16" w:name="_Toc15377197"/>
      <w:bookmarkStart w:id="17" w:name="_Toc111208496"/>
      <w:bookmarkStart w:id="18" w:name="_Toc113981010"/>
      <w:r>
        <w:rPr>
          <w:rFonts w:ascii="黑体" w:eastAsia="黑体" w:cs="Times New Roman" w:hint="eastAsia"/>
          <w:bCs w:val="0"/>
          <w:color w:val="000000"/>
        </w:rPr>
        <w:t>一、基本职能及主要工作</w:t>
      </w:r>
      <w:bookmarkStart w:id="19" w:name="_Toc15377198"/>
      <w:bookmarkStart w:id="20" w:name="_Toc15378445"/>
      <w:bookmarkEnd w:id="16"/>
      <w:bookmarkEnd w:id="17"/>
      <w:bookmarkEnd w:id="18"/>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outlineLvl w:val="2"/>
        <w:rPr>
          <w:rFonts w:ascii="楷体" w:eastAsia="楷体" w:cs="楷体" w:hint="eastAsia"/>
          <w:b/>
          <w:bCs w:val="0"/>
          <w:color w:val="000000"/>
          <w:sz w:val="32"/>
          <w:szCs w:val="32"/>
          <w:lang w:eastAsia="zh-CN"/>
        </w:rPr>
      </w:pPr>
      <w:r>
        <w:rPr>
          <w:rFonts w:ascii="楷体" w:eastAsia="楷体" w:cs="楷体" w:hint="eastAsia"/>
          <w:b/>
          <w:bCs w:val="0"/>
          <w:color w:val="000000"/>
          <w:sz w:val="32"/>
          <w:szCs w:val="32"/>
        </w:rPr>
        <w:t>（一）主要职能</w:t>
      </w:r>
      <w:bookmarkEnd w:id="19"/>
      <w:bookmarkEnd w:id="20"/>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outlineLvl w:val="2"/>
        <w:rPr>
          <w:rFonts w:ascii="仿宋_GB2312" w:eastAsia="仿宋_GB2312" w:cs="仿宋_GB2312" w:hint="eastAsia"/>
          <w:sz w:val="32"/>
          <w:szCs w:val="32"/>
        </w:rPr>
      </w:pPr>
      <w:r>
        <w:rPr>
          <w:rFonts w:ascii="仿宋_GB2312" w:eastAsia="仿宋_GB2312" w:cs="仿宋_GB2312" w:hint="eastAsia"/>
          <w:color w:val="000000"/>
          <w:sz w:val="32"/>
          <w:szCs w:val="32"/>
        </w:rPr>
        <w:t>1.贯彻执行党和国家的林业方针、政策、法律、法规、规章和有关决议、决定，结合我县的实际和国民经济发展的需要,制定相应的实施办法并组织实施,完善林业政策和管理制度。2.编制全县林业发展的中长期规划和年度计划,负责林业信息的收集整理,指导、协调林业生产建设总体布局,林业产业结构调整,森林资源和规划计划的实施,并指导林业企业产权制度改革和林业经济体制改革。3.主管全县森林资源,负责森林资源保护管理的基础设施建设,编制和执行采伐限额,监督检查木材凭证采伐,加工运输、供应等林政管理工作,负责林地、林权管理及征占用林地的清查、初审,主管森林资源有偿使用并监督林地开发利用,负责国有森林资源管理。4.负责指导全县天然林资源保护工程、生态环境治理工程、退耕还林(草)工程的实施,组织实施全县植树造林、国土绿化、防沙治沙及各类林业基地及工程项目建设,对县属国有林场、苗圃、森林公园、自然保护区、集体林场实行宏观管理,引进外援项目,组织实施环境建设、水土保持、农田基本建设等方面造林绿化和林果发展项目,指导和监督全县自用材和生活用材的采伐。5.负责全县野生动物、植物资源的保护管理和合理开发利用,对宝顶沟自然保护区管理处工作进行指导,负责森林公园的规划、审批和上报审批、立项等工作。6.指导和调控全县林业生产的发展,负责全县木材生产、采伐、运输、加工、综合利用，林产林化、森林旅游、木本药材等林业产业实行宏观管理、指导和监督,管理好林产品市场</w:t>
      </w:r>
      <w:r>
        <w:rPr>
          <w:rFonts w:ascii="仿宋_GB2312" w:eastAsia="仿宋_GB2312" w:cs="仿宋_GB2312" w:hint="eastAsia"/>
          <w:color w:val="000000"/>
          <w:sz w:val="32"/>
          <w:szCs w:val="32"/>
          <w:lang w:eastAsia="zh-CN"/>
        </w:rPr>
        <w:t>。</w:t>
      </w:r>
      <w:r>
        <w:rPr>
          <w:rFonts w:ascii="仿宋_GB2312" w:eastAsia="仿宋_GB2312" w:cs="仿宋_GB2312" w:hint="eastAsia"/>
          <w:color w:val="000000"/>
          <w:sz w:val="32"/>
          <w:szCs w:val="32"/>
        </w:rPr>
        <w:t>7.指导、监督全县林业系统财务工作,组织编制、上报或转报林业基本建设、多种经营、技术改造、转产项目并指导实施或直接组织实施。8.管理林业执法体系建设和林业执法工作领导县森林公安局搞好全县森林公安队伍建设和森林公安工作,监督和查处破坏森林资源和野生动物资源的案(事)件,负责搞好全县森林防火、森林病虫鼠害防治、森林植物检疫、保护森林资源和维护林区治安。9.制定林业科技发展规划,组织科技试验、研究、示范及技术培训,技术推广工作,负责全县林业教育和专业人才的培训、引进,负责管理局机关公务员、科技人员及直属企业、事业单位的干部职工,制定全县林业行业干部培训,人才培养的中长期计划和实施林业宣传动员工作。10.负责规划、指导、实施山区林业综合开发,配合有关部门做好水土保持、林业扶贫等组织实施工作。11.深入研究生态建设特别是自然保护区建设问题,稳步推进自然保护区体制创新,落实生态保护和建设的主体责任创新项目实施方式,全面推进川西藏区生态保护与建设工程、湿地保护、防沙治沙等项目建设。12.负责有关林业方面的涉外工作、承担县政府公布的有关行政审批事项、承办县政府交办的其他事项。</w:t>
      </w:r>
    </w:p>
    <w:p>
      <w:pPr>
        <w:pageBreakBefore w:val="0"/>
        <w:widowControl w:val="0"/>
        <w:kinsoku/>
        <w:wordWrap/>
        <w:overflowPunct/>
        <w:topLinePunct w:val="0"/>
        <w:bidi w:val="0"/>
        <w:spacing w:line="560" w:lineRule="exact"/>
        <w:ind w:firstLineChars="200" w:firstLine="640"/>
        <w:outlineLvl w:val="2"/>
        <w:rPr>
          <w:rFonts w:ascii="楷体" w:eastAsia="楷体" w:cs="楷体" w:hint="eastAsia"/>
          <w:b/>
          <w:bCs w:val="0"/>
          <w:color w:val="000000"/>
          <w:sz w:val="32"/>
          <w:szCs w:val="32"/>
        </w:rPr>
      </w:pPr>
      <w:bookmarkStart w:id="21" w:name="_Toc15378446"/>
      <w:bookmarkStart w:id="22" w:name="_Toc15377199"/>
      <w:r>
        <w:rPr>
          <w:rFonts w:ascii="楷体" w:eastAsia="楷体" w:cs="楷体" w:hint="eastAsia"/>
          <w:b/>
          <w:bCs w:val="0"/>
          <w:color w:val="000000"/>
          <w:sz w:val="32"/>
          <w:szCs w:val="32"/>
        </w:rPr>
        <w:t>（二）2021重点工作完成情况</w:t>
      </w:r>
      <w:bookmarkStart w:id="23" w:name="_Toc15377200"/>
      <w:bookmarkEnd w:id="21"/>
      <w:bookmarkEnd w:id="22"/>
    </w:p>
    <w:p>
      <w:pPr>
        <w:pageBreakBefore w:val="0"/>
        <w:widowControl w:val="0"/>
        <w:kinsoku/>
        <w:wordWrap/>
        <w:overflowPunct/>
        <w:topLinePunct w:val="0"/>
        <w:bidi w:val="0"/>
        <w:spacing w:line="560" w:lineRule="exact"/>
        <w:rPr>
          <w:rFonts w:ascii="仿宋" w:eastAsia="仿宋" w:hint="eastAsia"/>
          <w:color w:val="00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Chars="200" w:left="420" w:firstLineChars="200" w:firstLine="640"/>
        <w:textAlignment w:val="auto"/>
        <w:rPr>
          <w:rFonts w:ascii="仿宋_GB2312" w:eastAsia="仿宋_GB2312" w:cs="仿宋_GB2312" w:hint="eastAsia"/>
          <w:b/>
          <w:bCs/>
          <w:color w:val="000000"/>
          <w:sz w:val="32"/>
          <w:szCs w:val="32"/>
        </w:rPr>
      </w:pPr>
      <w:bookmarkStart w:id="24" w:name="_Toc15377204"/>
      <w:bookmarkEnd w:id="23"/>
      <w:r>
        <w:rPr>
          <w:rFonts w:ascii="仿宋_GB2312" w:eastAsia="仿宋_GB2312" w:cs="仿宋_GB2312" w:hint="eastAsia"/>
          <w:b/>
          <w:bCs/>
          <w:color w:val="000000"/>
          <w:sz w:val="32"/>
          <w:szCs w:val="32"/>
          <w:lang w:val="en-US" w:eastAsia="zh-CN"/>
        </w:rPr>
        <w:t>1.</w:t>
      </w:r>
      <w:r>
        <w:rPr>
          <w:rFonts w:ascii="仿宋_GB2312" w:eastAsia="仿宋_GB2312" w:cs="仿宋_GB2312" w:hint="eastAsia"/>
          <w:b/>
          <w:bCs/>
          <w:color w:val="000000"/>
          <w:sz w:val="32"/>
          <w:szCs w:val="32"/>
        </w:rPr>
        <w:t>森林草原资源保护</w:t>
      </w:r>
    </w:p>
    <w:p>
      <w:pPr>
        <w:keepNext w:val="0"/>
        <w:keepLines w:val="0"/>
        <w:pageBreakBefore w:val="0"/>
        <w:widowControl w:val="0"/>
        <w:kinsoku/>
        <w:wordWrap/>
        <w:overflowPunct/>
        <w:topLinePunct w:val="0"/>
        <w:autoSpaceDE/>
        <w:autoSpaceDN/>
        <w:bidi w:val="0"/>
        <w:adjustRightInd/>
        <w:snapToGrid/>
        <w:spacing w:line="560" w:lineRule="exact"/>
        <w:ind w:left="420"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落实保护和发展森林资源目标责任制，</w:t>
      </w:r>
      <w:r>
        <w:rPr>
          <w:rFonts w:ascii="仿宋_GB2312" w:eastAsia="仿宋_GB2312" w:cs="仿宋_GB2312" w:hint="eastAsia"/>
          <w:color w:val="000000"/>
          <w:sz w:val="32"/>
          <w:szCs w:val="32"/>
          <w:lang w:eastAsia="zh-CN"/>
        </w:rPr>
        <w:t>增加</w:t>
      </w:r>
      <w:r>
        <w:rPr>
          <w:rFonts w:ascii="仿宋_GB2312" w:eastAsia="仿宋_GB2312" w:cs="仿宋_GB2312" w:hint="eastAsia"/>
          <w:color w:val="000000"/>
          <w:sz w:val="32"/>
          <w:szCs w:val="32"/>
        </w:rPr>
        <w:t>林地保有量</w:t>
      </w:r>
      <w:r>
        <w:rPr>
          <w:rFonts w:ascii="仿宋_GB2312" w:eastAsia="仿宋_GB2312" w:cs="仿宋_GB2312" w:hint="eastAsia"/>
          <w:color w:val="000000"/>
          <w:sz w:val="32"/>
          <w:szCs w:val="32"/>
          <w:lang w:eastAsia="zh-CN"/>
        </w:rPr>
        <w:t>和</w:t>
      </w:r>
      <w:r>
        <w:rPr>
          <w:rFonts w:ascii="仿宋_GB2312" w:eastAsia="仿宋_GB2312" w:cs="仿宋_GB2312" w:hint="eastAsia"/>
          <w:color w:val="000000"/>
          <w:sz w:val="32"/>
          <w:szCs w:val="32"/>
        </w:rPr>
        <w:t>森林覆盖率；对县域内现存古树进行日常管护。落实保护和发展森林资源目标责任制，与各镇签订保护发展森林资源目标责任书。完成</w:t>
      </w:r>
      <w:r>
        <w:rPr>
          <w:rFonts w:ascii="仿宋_GB2312" w:eastAsia="仿宋_GB2312" w:cs="仿宋_GB2312" w:hint="eastAsia"/>
          <w:color w:val="000000"/>
          <w:sz w:val="32"/>
          <w:szCs w:val="32"/>
          <w:lang w:eastAsia="zh-CN"/>
        </w:rPr>
        <w:t>了</w:t>
      </w:r>
      <w:r>
        <w:rPr>
          <w:rFonts w:ascii="仿宋_GB2312" w:eastAsia="仿宋_GB2312" w:cs="仿宋_GB2312" w:hint="eastAsia"/>
          <w:color w:val="000000"/>
          <w:sz w:val="32"/>
          <w:szCs w:val="32"/>
        </w:rPr>
        <w:t>全县2021年森林督查暨森林资源管理“一张图”年度更新；扎实开展林政案件执法，依法行政，开展“规范林业执法行为提升林业执法能力”专项行动，深入开展行政审批制度和深化政务服务“最多跑一次”一体化改革，认真落实法律顾问制度。</w:t>
      </w:r>
    </w:p>
    <w:p>
      <w:pPr>
        <w:keepNext w:val="0"/>
        <w:keepLines w:val="0"/>
        <w:pageBreakBefore w:val="0"/>
        <w:widowControl w:val="0"/>
        <w:kinsoku/>
        <w:wordWrap/>
        <w:overflowPunct/>
        <w:topLinePunct w:val="0"/>
        <w:autoSpaceDE/>
        <w:autoSpaceDN/>
        <w:bidi w:val="0"/>
        <w:adjustRightInd/>
        <w:snapToGrid/>
        <w:spacing w:line="560" w:lineRule="exact"/>
        <w:ind w:leftChars="200" w:left="420" w:firstLineChars="200" w:firstLine="640"/>
        <w:textAlignment w:val="auto"/>
        <w:rPr>
          <w:rFonts w:ascii="仿宋_GB2312" w:eastAsia="仿宋_GB2312" w:cs="仿宋_GB2312" w:hint="eastAsia"/>
          <w:b/>
          <w:bCs/>
          <w:color w:val="000000"/>
          <w:sz w:val="32"/>
          <w:szCs w:val="32"/>
        </w:rPr>
      </w:pPr>
      <w:r>
        <w:rPr>
          <w:rFonts w:ascii="仿宋_GB2312" w:eastAsia="仿宋_GB2312" w:cs="仿宋_GB2312" w:hint="eastAsia"/>
          <w:b/>
          <w:bCs/>
          <w:color w:val="000000"/>
          <w:sz w:val="32"/>
          <w:szCs w:val="32"/>
          <w:lang w:val="en-US" w:eastAsia="zh-CN"/>
        </w:rPr>
        <w:t>2.</w:t>
      </w:r>
      <w:r>
        <w:rPr>
          <w:rFonts w:ascii="仿宋_GB2312" w:eastAsia="仿宋_GB2312" w:cs="仿宋_GB2312" w:hint="eastAsia"/>
          <w:b/>
          <w:bCs/>
          <w:color w:val="000000"/>
          <w:sz w:val="32"/>
          <w:szCs w:val="32"/>
        </w:rPr>
        <w:t>野生动植物保护</w:t>
      </w:r>
    </w:p>
    <w:p>
      <w:pPr>
        <w:keepNext w:val="0"/>
        <w:keepLines w:val="0"/>
        <w:pageBreakBefore w:val="0"/>
        <w:widowControl w:val="0"/>
        <w:kinsoku/>
        <w:wordWrap/>
        <w:overflowPunct/>
        <w:topLinePunct w:val="0"/>
        <w:autoSpaceDE/>
        <w:autoSpaceDN/>
        <w:bidi w:val="0"/>
        <w:adjustRightInd/>
        <w:snapToGrid/>
        <w:spacing w:line="560" w:lineRule="exact"/>
        <w:ind w:left="420"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对全县野生动物、野生植物进行有效保护，发放野生动植物图鉴</w:t>
      </w:r>
      <w:r>
        <w:rPr>
          <w:rFonts w:ascii="仿宋_GB2312" w:eastAsia="仿宋_GB2312" w:cs="仿宋_GB2312" w:hint="eastAsia"/>
          <w:color w:val="000000"/>
          <w:sz w:val="32"/>
          <w:szCs w:val="32"/>
          <w:lang w:eastAsia="zh-CN"/>
        </w:rPr>
        <w:t>、</w:t>
      </w:r>
      <w:r>
        <w:rPr>
          <w:rFonts w:ascii="仿宋_GB2312" w:eastAsia="仿宋_GB2312" w:cs="仿宋_GB2312" w:hint="eastAsia"/>
          <w:color w:val="000000"/>
          <w:sz w:val="32"/>
          <w:szCs w:val="32"/>
        </w:rPr>
        <w:t>野生动物宣传册</w:t>
      </w:r>
      <w:r>
        <w:rPr>
          <w:rFonts w:ascii="仿宋_GB2312" w:eastAsia="仿宋_GB2312" w:cs="仿宋_GB2312" w:hint="eastAsia"/>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Chars="200" w:left="420" w:firstLineChars="200" w:firstLine="640"/>
        <w:textAlignment w:val="auto"/>
        <w:rPr>
          <w:rFonts w:ascii="仿宋_GB2312" w:eastAsia="仿宋_GB2312" w:cs="仿宋_GB2312" w:hint="eastAsia"/>
          <w:b/>
          <w:bCs/>
          <w:color w:val="000000"/>
          <w:sz w:val="32"/>
          <w:szCs w:val="32"/>
        </w:rPr>
      </w:pPr>
      <w:r>
        <w:rPr>
          <w:rFonts w:ascii="仿宋_GB2312" w:eastAsia="仿宋_GB2312" w:cs="仿宋_GB2312" w:hint="eastAsia"/>
          <w:b/>
          <w:bCs/>
          <w:color w:val="000000"/>
          <w:sz w:val="32"/>
          <w:szCs w:val="32"/>
          <w:lang w:val="en-US" w:eastAsia="zh-CN"/>
        </w:rPr>
        <w:t>3.</w:t>
      </w:r>
      <w:r>
        <w:rPr>
          <w:rFonts w:ascii="仿宋_GB2312" w:eastAsia="仿宋_GB2312" w:cs="仿宋_GB2312" w:hint="eastAsia"/>
          <w:b/>
          <w:bCs/>
          <w:color w:val="000000"/>
          <w:sz w:val="32"/>
          <w:szCs w:val="32"/>
        </w:rPr>
        <w:t>生态建设项目推进。</w:t>
      </w:r>
    </w:p>
    <w:p>
      <w:pPr>
        <w:keepNext w:val="0"/>
        <w:keepLines w:val="0"/>
        <w:pageBreakBefore w:val="0"/>
        <w:widowControl w:val="0"/>
        <w:kinsoku/>
        <w:wordWrap/>
        <w:overflowPunct/>
        <w:topLinePunct w:val="0"/>
        <w:autoSpaceDE/>
        <w:autoSpaceDN/>
        <w:bidi w:val="0"/>
        <w:adjustRightInd/>
        <w:snapToGrid/>
        <w:spacing w:line="560" w:lineRule="exact"/>
        <w:ind w:left="420"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实施茂县2021年度绿色廊道巩固提升项目（2021年茂县服务省文旅大会绿化美化），完成茂县境内G213及G347沿线绿色廊道缺损苗木的栽植和补植；实施2019年飞虹乡浅沟村干旱河谷综合治理造林工程，完成造林面积1112亩，栽植各类苗木111395株</w:t>
      </w:r>
      <w:r>
        <w:rPr>
          <w:rFonts w:ascii="仿宋_GB2312" w:eastAsia="仿宋_GB2312" w:cs="仿宋_GB2312" w:hint="eastAsia"/>
          <w:color w:val="000000"/>
          <w:sz w:val="32"/>
          <w:szCs w:val="32"/>
          <w:lang w:eastAsia="zh-CN"/>
        </w:rPr>
        <w:t>。</w:t>
      </w:r>
      <w:r>
        <w:rPr>
          <w:rFonts w:ascii="仿宋_GB2312" w:eastAsia="仿宋_GB2312" w:cs="仿宋_GB2312" w:hint="eastAsia"/>
          <w:color w:val="000000"/>
          <w:sz w:val="32"/>
          <w:szCs w:val="32"/>
        </w:rPr>
        <w:t>完成2021年管护期内营造林补植补造及管护项目</w:t>
      </w:r>
      <w:r>
        <w:rPr>
          <w:rFonts w:ascii="仿宋_GB2312" w:eastAsia="仿宋_GB2312" w:cs="仿宋_GB2312" w:hint="eastAsia"/>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Chars="200" w:left="420" w:firstLineChars="200" w:firstLine="640"/>
        <w:textAlignment w:val="auto"/>
        <w:rPr>
          <w:rFonts w:ascii="仿宋_GB2312" w:eastAsia="仿宋_GB2312" w:cs="仿宋_GB2312" w:hint="eastAsia"/>
          <w:b/>
          <w:bCs/>
          <w:color w:val="000000"/>
          <w:sz w:val="32"/>
          <w:szCs w:val="32"/>
        </w:rPr>
      </w:pPr>
      <w:r>
        <w:rPr>
          <w:rFonts w:ascii="仿宋_GB2312" w:eastAsia="仿宋_GB2312" w:cs="仿宋_GB2312" w:hint="eastAsia"/>
          <w:b/>
          <w:bCs/>
          <w:color w:val="000000"/>
          <w:sz w:val="32"/>
          <w:szCs w:val="32"/>
          <w:lang w:val="en-US" w:eastAsia="zh-CN"/>
        </w:rPr>
        <w:t>4.</w:t>
      </w:r>
      <w:r>
        <w:rPr>
          <w:rFonts w:ascii="仿宋_GB2312" w:eastAsia="仿宋_GB2312" w:cs="仿宋_GB2312" w:hint="eastAsia"/>
          <w:b/>
          <w:bCs/>
          <w:color w:val="000000"/>
          <w:sz w:val="32"/>
          <w:szCs w:val="32"/>
        </w:rPr>
        <w:t>惠民补贴资金兑现</w:t>
      </w:r>
    </w:p>
    <w:p>
      <w:pPr>
        <w:keepNext w:val="0"/>
        <w:keepLines w:val="0"/>
        <w:pageBreakBefore w:val="0"/>
        <w:widowControl w:val="0"/>
        <w:kinsoku/>
        <w:wordWrap/>
        <w:overflowPunct/>
        <w:topLinePunct w:val="0"/>
        <w:autoSpaceDE/>
        <w:autoSpaceDN/>
        <w:bidi w:val="0"/>
        <w:adjustRightInd/>
        <w:snapToGrid/>
        <w:spacing w:line="560" w:lineRule="exact"/>
        <w:ind w:left="420"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生态公益性岗位。在全县范围内选用符合条件的生态护林员（草管员）。集体公益林生态效益补偿金。兑现落实全县集体公益林生态效益补偿金</w:t>
      </w:r>
      <w:r>
        <w:rPr>
          <w:rFonts w:ascii="仿宋_GB2312" w:eastAsia="仿宋_GB2312" w:cs="仿宋_GB2312" w:hint="eastAsia"/>
          <w:color w:val="000000"/>
          <w:sz w:val="32"/>
          <w:szCs w:val="32"/>
          <w:lang w:eastAsia="zh-CN"/>
        </w:rPr>
        <w:t>和</w:t>
      </w:r>
      <w:r>
        <w:rPr>
          <w:rFonts w:ascii="仿宋_GB2312" w:eastAsia="仿宋_GB2312" w:cs="仿宋_GB2312" w:hint="eastAsia"/>
          <w:color w:val="000000"/>
          <w:sz w:val="32"/>
          <w:szCs w:val="32"/>
        </w:rPr>
        <w:t>集体和个人天然商品林停伐补助。</w:t>
      </w:r>
    </w:p>
    <w:p>
      <w:pPr>
        <w:keepNext w:val="0"/>
        <w:keepLines w:val="0"/>
        <w:pageBreakBefore w:val="0"/>
        <w:widowControl w:val="0"/>
        <w:kinsoku/>
        <w:wordWrap/>
        <w:overflowPunct/>
        <w:topLinePunct w:val="0"/>
        <w:autoSpaceDE/>
        <w:autoSpaceDN/>
        <w:bidi w:val="0"/>
        <w:adjustRightInd/>
        <w:snapToGrid/>
        <w:spacing w:line="560" w:lineRule="exact"/>
        <w:ind w:leftChars="200" w:left="420" w:firstLineChars="200" w:firstLine="640"/>
        <w:textAlignment w:val="auto"/>
        <w:rPr>
          <w:rFonts w:ascii="仿宋_GB2312" w:eastAsia="仿宋_GB2312" w:cs="仿宋_GB2312" w:hint="eastAsia"/>
          <w:b/>
          <w:bCs/>
          <w:color w:val="000000"/>
          <w:sz w:val="32"/>
          <w:szCs w:val="32"/>
        </w:rPr>
      </w:pPr>
      <w:r>
        <w:rPr>
          <w:rFonts w:ascii="仿宋_GB2312" w:eastAsia="仿宋_GB2312" w:cs="仿宋_GB2312" w:hint="eastAsia"/>
          <w:b/>
          <w:bCs/>
          <w:color w:val="000000"/>
          <w:sz w:val="32"/>
          <w:szCs w:val="32"/>
          <w:lang w:val="en-US" w:eastAsia="zh-CN"/>
        </w:rPr>
        <w:t>5.</w:t>
      </w:r>
      <w:r>
        <w:rPr>
          <w:rFonts w:ascii="仿宋_GB2312" w:eastAsia="仿宋_GB2312" w:cs="仿宋_GB2312" w:hint="eastAsia"/>
          <w:b/>
          <w:bCs/>
          <w:color w:val="000000"/>
          <w:sz w:val="32"/>
          <w:szCs w:val="32"/>
        </w:rPr>
        <w:t>大熊猫国家公园建设</w:t>
      </w:r>
    </w:p>
    <w:p>
      <w:pPr>
        <w:keepNext w:val="0"/>
        <w:keepLines w:val="0"/>
        <w:pageBreakBefore w:val="0"/>
        <w:widowControl w:val="0"/>
        <w:kinsoku/>
        <w:wordWrap/>
        <w:overflowPunct/>
        <w:topLinePunct w:val="0"/>
        <w:autoSpaceDE/>
        <w:autoSpaceDN/>
        <w:bidi w:val="0"/>
        <w:adjustRightInd/>
        <w:snapToGrid/>
        <w:spacing w:line="560" w:lineRule="exact"/>
        <w:ind w:left="420" w:firstLineChars="200" w:firstLine="640"/>
        <w:textAlignment w:val="auto"/>
        <w:rPr>
          <w:rFonts w:ascii="仿宋_GB2312" w:eastAsia="仿宋_GB2312" w:cs="仿宋_GB2312" w:hint="eastAsia"/>
          <w:b/>
          <w:bCs/>
          <w:color w:val="000000"/>
          <w:sz w:val="32"/>
          <w:szCs w:val="32"/>
          <w:lang w:eastAsia="zh-CN"/>
        </w:rPr>
      </w:pPr>
      <w:r>
        <w:rPr>
          <w:rFonts w:ascii="仿宋_GB2312" w:eastAsia="仿宋_GB2312" w:cs="仿宋_GB2312" w:hint="eastAsia"/>
          <w:color w:val="000000"/>
          <w:sz w:val="32"/>
          <w:szCs w:val="32"/>
        </w:rPr>
        <w:t>实施大熊猫国家公园茂县园区导示标牌建设项目，在土地岭和荞面沟分别建设一处导示标志。实施茂县2021年大熊猫国家公园补助建设项目，新建成覆盖永和村和团结村的监测系统、实施大熊猫国家茂县片区生态保护建设</w:t>
      </w:r>
      <w:r>
        <w:rPr>
          <w:rFonts w:ascii="仿宋_GB2312" w:eastAsia="仿宋_GB2312" w:cs="仿宋_GB2312" w:hint="eastAsia"/>
          <w:b w:val="0"/>
          <w:bCs w:val="0"/>
          <w:color w:val="000000"/>
          <w:sz w:val="32"/>
          <w:szCs w:val="32"/>
        </w:rPr>
        <w:t>项目</w:t>
      </w:r>
      <w:r>
        <w:rPr>
          <w:rFonts w:ascii="仿宋_GB2312" w:eastAsia="仿宋_GB2312" w:cs="仿宋_GB2312" w:hint="eastAsia"/>
          <w:b w:val="0"/>
          <w:bCs w:val="0"/>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Chars="200" w:left="420" w:firstLineChars="200" w:firstLine="640"/>
        <w:textAlignment w:val="auto"/>
        <w:rPr>
          <w:rFonts w:ascii="仿宋_GB2312" w:eastAsia="仿宋_GB2312" w:cs="仿宋_GB2312" w:hint="eastAsia"/>
          <w:b/>
          <w:bCs/>
          <w:color w:val="000000"/>
          <w:sz w:val="32"/>
          <w:szCs w:val="32"/>
          <w:lang w:val="en-US" w:eastAsia="zh-CN"/>
        </w:rPr>
      </w:pPr>
      <w:r>
        <w:rPr>
          <w:rFonts w:ascii="仿宋_GB2312" w:eastAsia="仿宋_GB2312" w:cs="仿宋_GB2312" w:hint="eastAsia"/>
          <w:b/>
          <w:bCs/>
          <w:color w:val="000000"/>
          <w:sz w:val="32"/>
          <w:szCs w:val="32"/>
          <w:lang w:val="en-US" w:eastAsia="zh-CN"/>
        </w:rPr>
        <w:t>6.</w:t>
      </w:r>
      <w:r>
        <w:rPr>
          <w:rFonts w:ascii="仿宋_GB2312" w:eastAsia="仿宋_GB2312" w:cs="仿宋_GB2312" w:hint="eastAsia"/>
          <w:b/>
          <w:bCs/>
          <w:color w:val="000000"/>
          <w:sz w:val="32"/>
          <w:szCs w:val="32"/>
        </w:rPr>
        <w:t>森林草原防灭火</w:t>
      </w:r>
      <w:r>
        <w:rPr>
          <w:rFonts w:ascii="仿宋_GB2312" w:eastAsia="仿宋_GB2312" w:cs="仿宋_GB2312" w:hint="eastAsia"/>
          <w:b/>
          <w:bCs/>
          <w:color w:val="00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Chars="200" w:left="420"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压实责任抓隐患整治。成立5个以局领导班子带队的包片督导组，对全县11个镇防火责任包干到人头。制定《茂县森林草原火灾风险隐患排查整治运行规程》，压实各单位隐患排查整治责任。制定《茂县生态护林（草）员管理实施细则》和《茂县生态护林（草）员考核细则》</w:t>
      </w:r>
      <w:r>
        <w:rPr>
          <w:rFonts w:ascii="仿宋_GB2312" w:eastAsia="仿宋_GB2312" w:cs="仿宋_GB2312" w:hint="eastAsia"/>
          <w:color w:val="000000"/>
          <w:sz w:val="32"/>
          <w:szCs w:val="32"/>
          <w:lang w:eastAsia="zh-CN"/>
        </w:rPr>
        <w:t>。</w:t>
      </w:r>
      <w:r>
        <w:rPr>
          <w:rFonts w:ascii="仿宋_GB2312" w:eastAsia="仿宋_GB2312" w:cs="仿宋_GB2312" w:hint="eastAsia"/>
          <w:color w:val="000000"/>
          <w:sz w:val="32"/>
          <w:szCs w:val="32"/>
        </w:rPr>
        <w:t>扑火队伍建设，森林草原专业扑火队伍靠前驻训，集中待命，保持战备状态</w:t>
      </w:r>
      <w:r>
        <w:rPr>
          <w:rFonts w:ascii="仿宋_GB2312" w:eastAsia="仿宋_GB2312" w:cs="仿宋_GB2312" w:hint="eastAsia"/>
          <w:color w:val="000000"/>
          <w:sz w:val="32"/>
          <w:szCs w:val="32"/>
          <w:lang w:eastAsia="zh-CN"/>
        </w:rPr>
        <w:t>。</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Chars="200" w:firstLine="640"/>
        <w:textAlignment w:val="auto"/>
        <w:rPr>
          <w:rFonts w:ascii="黑体" w:eastAsia="黑体" w:cs="Times New Roman" w:hint="eastAsia"/>
          <w:bCs w:val="0"/>
          <w:color w:val="000000"/>
        </w:rPr>
      </w:pPr>
      <w:bookmarkStart w:id="25" w:name="_Toc113981011"/>
      <w:bookmarkStart w:id="26" w:name="_Toc111208497"/>
      <w:r>
        <w:rPr>
          <w:rFonts w:ascii="黑体" w:eastAsia="黑体" w:cs="Times New Roman" w:hint="eastAsia"/>
          <w:bCs w:val="0"/>
          <w:color w:val="000000"/>
        </w:rPr>
        <w:t>二、机构设置</w:t>
      </w:r>
      <w:bookmarkEnd w:id="25"/>
      <w:bookmarkEnd w:id="26"/>
    </w:p>
    <w:p>
      <w:pPr>
        <w:pStyle w:val="2"/>
        <w:keepNext/>
        <w:keepLines/>
        <w:pageBreakBefore w:val="0"/>
        <w:widowControl w:val="0"/>
        <w:kinsoku/>
        <w:wordWrap/>
        <w:overflowPunct/>
        <w:topLinePunct w:val="0"/>
        <w:autoSpaceDE/>
        <w:autoSpaceDN/>
        <w:bidi w:val="0"/>
        <w:adjustRightInd/>
        <w:snapToGrid/>
        <w:spacing w:before="0" w:after="0" w:line="560" w:lineRule="exact"/>
        <w:ind w:firstLineChars="200" w:firstLine="640"/>
        <w:textAlignment w:val="auto"/>
        <w:rPr>
          <w:rFonts w:ascii="仿宋_GB2312" w:eastAsia="仿宋_GB2312" w:cs="仿宋_GB2312" w:hint="eastAsia"/>
          <w:b w:val="0"/>
          <w:bCs w:val="0"/>
          <w:color w:val="000000"/>
          <w:sz w:val="32"/>
          <w:szCs w:val="32"/>
        </w:rPr>
      </w:pPr>
      <w:r>
        <w:rPr>
          <w:rFonts w:ascii="仿宋_GB2312" w:eastAsia="仿宋_GB2312" w:cs="仿宋_GB2312" w:hint="eastAsia"/>
          <w:b w:val="0"/>
          <w:bCs w:val="0"/>
          <w:color w:val="000000"/>
          <w:sz w:val="32"/>
          <w:szCs w:val="32"/>
        </w:rPr>
        <w:t>茂县林业和草原局属一级预算单位,下属二级预算单位 0 个,其中：行政单位0个，参照公务员法管理的事业单位 0个,其他事业单位 0个;参照公务员法管理的事业单位是:0个;其他事业单位分别是:0个。纳入茂县林业和草原局202</w:t>
      </w:r>
      <w:r>
        <w:rPr>
          <w:rFonts w:ascii="仿宋_GB2312" w:eastAsia="仿宋_GB2312" w:cs="仿宋_GB2312" w:hint="eastAsia"/>
          <w:b w:val="0"/>
          <w:bCs w:val="0"/>
          <w:color w:val="000000"/>
          <w:sz w:val="32"/>
          <w:szCs w:val="32"/>
          <w:lang w:val="en-US" w:eastAsia="zh-CN"/>
        </w:rPr>
        <w:t>1</w:t>
      </w:r>
      <w:r>
        <w:rPr>
          <w:rFonts w:ascii="仿宋_GB2312" w:eastAsia="仿宋_GB2312" w:cs="仿宋_GB2312" w:hint="eastAsia"/>
          <w:b w:val="0"/>
          <w:bCs w:val="0"/>
          <w:color w:val="000000"/>
          <w:sz w:val="32"/>
          <w:szCs w:val="32"/>
        </w:rPr>
        <w:t>年度部门决算编制范围的二级预算单位包括0个。</w:t>
      </w:r>
    </w:p>
    <w:p>
      <w:pPr>
        <w:pageBreakBefore w:val="0"/>
        <w:widowControl/>
        <w:kinsoku/>
        <w:wordWrap/>
        <w:overflowPunct/>
        <w:topLinePunct w:val="0"/>
        <w:bidi w:val="0"/>
        <w:spacing w:line="560" w:lineRule="exact"/>
        <w:jc w:val="left"/>
        <w:rPr>
          <w:rFonts w:ascii="仿宋_GB2312" w:eastAsia="仿宋_GB2312"/>
          <w:b/>
          <w:bCs/>
          <w:color w:val="000000"/>
          <w:kern w:val="44"/>
          <w:sz w:val="44"/>
          <w:szCs w:val="44"/>
        </w:rPr>
      </w:pPr>
      <w:r>
        <w:rPr>
          <w:rFonts w:ascii="仿宋_GB2312" w:eastAsia="仿宋_GB2312"/>
          <w:color w:val="000000"/>
        </w:rPr>
        <w:br w:type="page"/>
      </w:r>
    </w:p>
    <w:p>
      <w:pPr>
        <w:pStyle w:val="1"/>
        <w:keepNext/>
        <w:keepLines/>
        <w:pageBreakBefore w:val="0"/>
        <w:widowControl w:val="0"/>
        <w:kinsoku/>
        <w:wordWrap/>
        <w:overflowPunct/>
        <w:topLinePunct w:val="0"/>
        <w:bidi w:val="0"/>
        <w:spacing w:before="0" w:after="0" w:line="560" w:lineRule="exact"/>
        <w:jc w:val="center"/>
        <w:rPr>
          <w:rFonts w:ascii="黑体" w:eastAsia="黑体" w:cs="黑体"/>
        </w:rPr>
      </w:pPr>
      <w:bookmarkStart w:id="27" w:name="_Toc111208498"/>
      <w:bookmarkStart w:id="28" w:name="_Toc113981012"/>
      <w:r>
        <w:rPr>
          <w:rFonts w:ascii="黑体" w:eastAsia="黑体" w:cs="黑体" w:hint="eastAsia"/>
        </w:rPr>
        <w:t>第二部分</w:t>
      </w:r>
      <w:r>
        <w:rPr>
          <w:rFonts w:ascii="黑体" w:eastAsia="黑体" w:cs="黑体"/>
        </w:rPr>
        <w:t xml:space="preserve"> </w:t>
      </w:r>
      <w:r>
        <w:rPr>
          <w:rFonts w:ascii="黑体" w:eastAsia="黑体" w:cs="黑体" w:hint="eastAsia"/>
        </w:rPr>
        <w:t>2021年度部门决算情况说明</w:t>
      </w:r>
      <w:bookmarkEnd w:id="24"/>
      <w:bookmarkEnd w:id="27"/>
      <w:bookmarkEnd w:id="28"/>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hint="eastAsia"/>
          <w:bCs w:val="0"/>
          <w:color w:val="000000"/>
        </w:rPr>
      </w:pPr>
      <w:bookmarkStart w:id="29" w:name="_Toc15377205"/>
      <w:bookmarkStart w:id="30" w:name="_Toc113981013"/>
      <w:bookmarkStart w:id="31" w:name="_Toc111208499"/>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r>
        <w:rPr>
          <w:rFonts w:ascii="黑体" w:eastAsia="黑体" w:cs="Times New Roman" w:hint="eastAsia"/>
          <w:bCs w:val="0"/>
          <w:color w:val="000000"/>
        </w:rPr>
        <w:t>一、收入支出决算总体情况说</w:t>
      </w:r>
      <w:bookmarkEnd w:id="29"/>
      <w:r>
        <w:rPr>
          <w:rFonts w:ascii="黑体" w:eastAsia="黑体" w:cs="Times New Roman" w:hint="eastAsia"/>
          <w:bCs w:val="0"/>
          <w:color w:val="000000"/>
        </w:rPr>
        <w:t>明</w:t>
      </w:r>
      <w:bookmarkEnd w:id="30"/>
      <w:bookmarkEnd w:id="31"/>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B0F0"/>
          <w:sz w:val="32"/>
          <w:szCs w:val="32"/>
          <w:lang w:val="en-US" w:eastAsia="zh-CN"/>
        </w:rPr>
      </w:pPr>
      <w:r>
        <w:rPr>
          <w:rFonts w:ascii="仿宋_GB2312" w:eastAsia="仿宋_GB2312" w:cs="仿宋_GB2312" w:hint="eastAsia"/>
          <w:color w:val="000000"/>
          <w:sz w:val="32"/>
          <w:szCs w:val="32"/>
        </w:rPr>
        <w:t>2021年度收、支总计13716.58万元。与2020年相比，收、支总计各增加710.94万元，增加5.47 %。主要变动原因是项目增加</w:t>
      </w:r>
      <w:r>
        <w:rPr>
          <w:rFonts w:ascii="仿宋_GB2312" w:eastAsia="仿宋_GB2312" w:cs="仿宋_GB2312" w:hint="eastAsia"/>
          <w:color w:val="000000"/>
          <w:sz w:val="32"/>
          <w:szCs w:val="32"/>
          <w:lang w:eastAsia="zh-CN"/>
        </w:rPr>
        <w:t>。</w:t>
      </w:r>
    </w:p>
    <w:p>
      <w:pPr>
        <w:pageBreakBefore w:val="0"/>
        <w:widowControl w:val="0"/>
        <w:kinsoku/>
        <w:wordWrap/>
        <w:overflowPunct/>
        <w:topLinePunct w:val="0"/>
        <w:bidi w:val="0"/>
        <w:spacing w:line="560" w:lineRule="exact"/>
        <w:ind w:firstLineChars="500" w:firstLine="1600"/>
        <w:rPr>
          <w:rFonts w:ascii="仿宋" w:eastAsia="仿宋" w:hint="eastAsia"/>
          <w:color w:val="000000"/>
          <w:sz w:val="32"/>
          <w:szCs w:val="32"/>
        </w:rPr>
      </w:pPr>
      <w:r>
        <w:rPr>
          <w:rFonts w:ascii="仿宋_GB2312" w:eastAsia="仿宋_GB2312" w:cs="仿宋_GB2312" w:hint="eastAsia"/>
          <w:color w:val="000000"/>
          <w:sz w:val="32"/>
          <w:szCs w:val="32"/>
        </w:rPr>
        <w:t>（图1：收、支决算总计变动情况图）</w:t>
      </w: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ageBreakBefore w:val="0"/>
        <w:widowControl w:val="0"/>
        <w:kinsoku/>
        <w:wordWrap/>
        <w:overflowPunct/>
        <w:topLinePunct w:val="0"/>
        <w:bidi w:val="0"/>
        <w:spacing w:line="560" w:lineRule="exact"/>
        <w:ind w:firstLineChars="200" w:firstLine="560"/>
        <w:jc w:val="center"/>
        <w:rPr>
          <w:rFonts w:ascii="仿宋_GB2312" w:eastAsia="仿宋_GB2312"/>
          <w:color w:val="000000"/>
          <w:sz w:val="28"/>
          <w:szCs w:val="28"/>
        </w:rPr>
      </w:pPr>
    </w:p>
    <w:p>
      <w:pPr>
        <w:pStyle w:val="15"/>
        <w:pageBreakBefore w:val="0"/>
        <w:widowControl w:val="0"/>
        <w:kinsoku/>
        <w:wordWrap/>
        <w:overflowPunct/>
        <w:topLinePunct w:val="0"/>
        <w:bidi w:val="0"/>
        <w:spacing w:line="560" w:lineRule="exact"/>
      </w:pPr>
      <w:r>
        <w:drawing>
          <wp:anchor distT="0" distB="0" distL="114300" distR="114300" simplePos="0" relativeHeight="18" behindDoc="0" locked="0" layoutInCell="1" hidden="0" allowOverlap="1">
            <wp:simplePos x="0" y="0"/>
            <wp:positionH relativeFrom="column">
              <wp:posOffset>431799</wp:posOffset>
            </wp:positionH>
            <wp:positionV relativeFrom="paragraph">
              <wp:posOffset>-2649220</wp:posOffset>
            </wp:positionV>
            <wp:extent cx="5095874" cy="2715260"/>
            <wp:effectExtent l="0" t="0" r="18" b="10"/>
            <wp:wrapSquare wrapText="bothSides"/>
            <wp:docPr id="1" name="图表 1"/>
            <wp:cNvGraphicFramePr>
              <a:graphicFrameLocks noChangeAspect="0"/>
            </wp:cNvGraphicFramePr>
            <a:graphic>
              <a:graphicData uri="http://schemas.openxmlformats.org/drawingml/2006/chart">
                <c:chart xmlns:c="http://schemas.openxmlformats.org/drawingml/2006/chart" r:id="rId4"/>
              </a:graphicData>
            </a:graphic>
          </wp:anchor>
        </w:drawing>
      </w:r>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32" w:name="_Toc15377206"/>
      <w:bookmarkStart w:id="33" w:name="_Toc111208500"/>
      <w:bookmarkStart w:id="34" w:name="_Toc113981014"/>
      <w:r>
        <w:rPr>
          <w:rFonts w:ascii="黑体" w:eastAsia="黑体" w:cs="Times New Roman" w:hint="eastAsia"/>
          <w:bCs w:val="0"/>
          <w:color w:val="000000"/>
        </w:rPr>
        <w:t>二、收入决算情况说明</w:t>
      </w:r>
      <w:bookmarkEnd w:id="32"/>
      <w:bookmarkEnd w:id="33"/>
      <w:bookmarkEnd w:id="34"/>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2021年本年收入合计11288.47万元，其中：一般公共预算财政拨款收入10610.26万元，占93.99%；政府性基金预算财政拨款收入678.21万元，占6.01%；国有资本经营预算财政拨款收入0.00万元；上级补助收入0.00万元；事业收入0.00万元%；经营收入0.00万元；附属单位上缴收入0.00万元，；其他收入0.00万元。</w:t>
      </w:r>
    </w:p>
    <w:p>
      <w:pPr>
        <w:pageBreakBefore w:val="0"/>
        <w:widowControl w:val="0"/>
        <w:kinsoku/>
        <w:wordWrap/>
        <w:overflowPunct/>
        <w:topLinePunct w:val="0"/>
        <w:bidi w:val="0"/>
        <w:spacing w:line="560" w:lineRule="exact"/>
        <w:ind w:firstLineChars="200" w:firstLine="640"/>
        <w:rPr>
          <w:rFonts w:ascii="仿宋_GB2312" w:eastAsia="仿宋_GB2312" w:cs="仿宋_GB2312" w:hint="eastAsia"/>
          <w:color w:val="000000"/>
          <w:sz w:val="32"/>
          <w:szCs w:val="32"/>
        </w:rPr>
      </w:pPr>
    </w:p>
    <w:p>
      <w:pPr>
        <w:pageBreakBefore w:val="0"/>
        <w:widowControl w:val="0"/>
        <w:kinsoku/>
        <w:wordWrap/>
        <w:overflowPunct/>
        <w:topLinePunct w:val="0"/>
        <w:bidi w:val="0"/>
        <w:spacing w:line="560" w:lineRule="exact"/>
        <w:ind w:firstLineChars="200" w:firstLine="640"/>
        <w:rPr>
          <w:rFonts w:ascii="仿宋_GB2312" w:eastAsia="仿宋_GB2312" w:cs="仿宋_GB2312" w:hint="eastAsia"/>
          <w:color w:val="000000"/>
          <w:sz w:val="32"/>
          <w:szCs w:val="32"/>
        </w:rPr>
      </w:pPr>
    </w:p>
    <w:p>
      <w:pPr>
        <w:pageBreakBefore w:val="0"/>
        <w:widowControl w:val="0"/>
        <w:kinsoku/>
        <w:wordWrap/>
        <w:overflowPunct/>
        <w:topLinePunct w:val="0"/>
        <w:bidi w:val="0"/>
        <w:spacing w:line="560" w:lineRule="exact"/>
        <w:ind w:firstLineChars="200" w:firstLine="640"/>
        <w:rPr>
          <w:rFonts w:ascii="仿宋_GB2312" w:eastAsia="仿宋_GB2312" w:cs="仿宋_GB2312" w:hint="eastAsia"/>
          <w:color w:val="000000"/>
          <w:sz w:val="32"/>
          <w:szCs w:val="32"/>
        </w:rPr>
      </w:pPr>
    </w:p>
    <w:p>
      <w:pPr>
        <w:pageBreakBefore w:val="0"/>
        <w:widowControl w:val="0"/>
        <w:kinsoku/>
        <w:wordWrap/>
        <w:overflowPunct/>
        <w:topLinePunct w:val="0"/>
        <w:bidi w:val="0"/>
        <w:spacing w:line="560" w:lineRule="exact"/>
        <w:ind w:firstLineChars="800" w:firstLine="2560"/>
        <w:rPr>
          <w:rFonts w:ascii="仿宋" w:eastAsia="仿宋" w:hint="eastAsia"/>
          <w:color w:val="000000"/>
          <w:sz w:val="32"/>
          <w:szCs w:val="32"/>
        </w:rPr>
      </w:pPr>
      <w:r>
        <w:rPr>
          <w:rFonts w:ascii="仿宋_GB2312" w:eastAsia="仿宋_GB2312" w:cs="仿宋_GB2312" w:hint="eastAsia"/>
          <w:color w:val="000000"/>
          <w:sz w:val="32"/>
          <w:szCs w:val="32"/>
        </w:rPr>
        <w:t>（图2：收入决算结构图）</w:t>
      </w:r>
      <w:r>
        <w:rPr>
          <w:rFonts w:ascii="仿宋_GB2312" w:eastAsia="仿宋_GB2312" w:hint="eastAsia"/>
          <w:color w:val="FF0000"/>
          <w:sz w:val="32"/>
          <w:szCs w:val="32"/>
        </w:rPr>
        <w:drawing>
          <wp:anchor distT="0" distB="0" distL="114300" distR="114300" simplePos="0" relativeHeight="20" behindDoc="0" locked="0" layoutInCell="1" hidden="0" allowOverlap="1">
            <wp:simplePos x="0" y="0"/>
            <wp:positionH relativeFrom="column">
              <wp:posOffset>552450</wp:posOffset>
            </wp:positionH>
            <wp:positionV relativeFrom="paragraph">
              <wp:posOffset>438785</wp:posOffset>
            </wp:positionV>
            <wp:extent cx="4665980" cy="2447924"/>
            <wp:effectExtent l="0" t="0" r="40" b="37"/>
            <wp:wrapSquare wrapText="bothSides"/>
            <wp:docPr id="2" name="图表 2"/>
            <wp:cNvGraphicFramePr>
              <a:graphicFrameLocks noChangeAspect="0"/>
            </wp:cNvGraphicFramePr>
            <a:graphic>
              <a:graphicData uri="http://schemas.openxmlformats.org/drawingml/2006/chart">
                <c:chart xmlns:c="http://schemas.openxmlformats.org/drawingml/2006/chart" r:id="rId5"/>
              </a:graphicData>
            </a:graphic>
          </wp:anchor>
        </w:drawing>
      </w: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23"/>
        <w:pageBreakBefore w:val="0"/>
        <w:widowControl w:val="0"/>
        <w:kinsoku/>
        <w:wordWrap/>
        <w:overflowPunct/>
        <w:topLinePunct w:val="0"/>
        <w:bidi w:val="0"/>
        <w:spacing w:line="560" w:lineRule="exact"/>
        <w:jc w:val="center"/>
      </w:pPr>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35" w:name="_Toc15377207"/>
      <w:bookmarkStart w:id="36" w:name="_Toc111208501"/>
      <w:bookmarkStart w:id="37" w:name="_Toc113981015"/>
      <w:r>
        <w:rPr>
          <w:rFonts w:ascii="黑体" w:eastAsia="黑体" w:cs="Times New Roman" w:hint="eastAsia"/>
          <w:bCs w:val="0"/>
          <w:color w:val="000000"/>
        </w:rPr>
        <w:t>三、支出决算情况说明</w:t>
      </w:r>
      <w:bookmarkEnd w:id="35"/>
      <w:bookmarkEnd w:id="36"/>
      <w:bookmarkEnd w:id="37"/>
    </w:p>
    <w:p>
      <w:pPr>
        <w:pStyle w:val="15"/>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2021年本年支出合计13716.58万元，其中：基本支出489.17万元，占3.57%；项目支出13227.42万元，占96.43%；上缴上级支出0.00万元；经营支出0.00万元；对附属单位补助支出0.00万元。</w:t>
      </w:r>
    </w:p>
    <w:p>
      <w:pPr>
        <w:keepNext w:val="0"/>
        <w:keepLines w:val="0"/>
        <w:pageBreakBefore w:val="0"/>
        <w:widowControl w:val="0"/>
        <w:kinsoku/>
        <w:wordWrap/>
        <w:overflowPunct/>
        <w:topLinePunct w:val="0"/>
        <w:autoSpaceDE/>
        <w:autoSpaceDN/>
        <w:bidi w:val="0"/>
        <w:adjustRightInd/>
        <w:snapToGrid/>
        <w:spacing w:line="560" w:lineRule="exact"/>
        <w:ind w:firstLineChars="600" w:firstLine="1920"/>
        <w:textAlignment w:val="auto"/>
        <w:rPr>
          <w:rFonts w:ascii="仿宋" w:eastAsia="仿宋" w:hint="eastAsia"/>
          <w:color w:val="000000"/>
          <w:sz w:val="32"/>
          <w:szCs w:val="32"/>
        </w:rPr>
      </w:pPr>
      <w:r>
        <w:rPr>
          <w:rFonts w:ascii="仿宋_GB2312" w:eastAsia="仿宋_GB2312" w:cs="仿宋_GB2312" w:hint="eastAsia"/>
          <w:color w:val="000000"/>
          <w:sz w:val="32"/>
          <w:szCs w:val="32"/>
        </w:rPr>
        <w:t>（图3：支出决算结构图）</w:t>
      </w:r>
    </w:p>
    <w:p>
      <w:pPr>
        <w:pStyle w:val="15"/>
        <w:rPr>
          <w:rFonts w:ascii="仿宋" w:eastAsia="仿宋" w:hint="eastAsia"/>
          <w:color w:val="000000"/>
          <w:sz w:val="32"/>
          <w:szCs w:val="32"/>
        </w:rPr>
      </w:pPr>
      <w:r>
        <w:rPr>
          <w:rFonts w:ascii="仿宋_GB2312" w:eastAsia="仿宋_GB2312" w:hint="eastAsia"/>
          <w:color w:val="FF0000"/>
          <w:sz w:val="32"/>
          <w:szCs w:val="32"/>
        </w:rPr>
        <w:drawing>
          <wp:anchor distT="0" distB="0" distL="114300" distR="114300" simplePos="0" relativeHeight="22" behindDoc="0" locked="0" layoutInCell="1" hidden="0" allowOverlap="1">
            <wp:simplePos x="0" y="0"/>
            <wp:positionH relativeFrom="column">
              <wp:posOffset>400050</wp:posOffset>
            </wp:positionH>
            <wp:positionV relativeFrom="paragraph">
              <wp:posOffset>63499</wp:posOffset>
            </wp:positionV>
            <wp:extent cx="4885690" cy="2742565"/>
            <wp:effectExtent l="0" t="1" r="10" b="20"/>
            <wp:wrapSquare wrapText="bothSides"/>
            <wp:docPr id="3" name="图表 3"/>
            <wp:cNvGraphicFramePr>
              <a:graphicFrameLocks noChangeAspect="0"/>
            </wp:cNvGraphicFramePr>
            <a:graphic>
              <a:graphicData uri="http://schemas.openxmlformats.org/drawingml/2006/chart">
                <c:chart xmlns:c="http://schemas.openxmlformats.org/drawingml/2006/chart" r:id="rId6"/>
              </a:graphicData>
            </a:graphic>
          </wp:anchor>
        </w:drawing>
      </w: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ind w:left="0" w:firstLine="0"/>
        <w:rPr>
          <w:rFonts w:ascii="仿宋" w:eastAsia="仿宋" w:hint="eastAsia"/>
          <w:color w:val="000000"/>
          <w:sz w:val="32"/>
          <w:szCs w:val="32"/>
        </w:rPr>
      </w:pPr>
    </w:p>
    <w:p>
      <w:pPr>
        <w:pStyle w:val="15"/>
        <w:rPr>
          <w:rFonts w:ascii="仿宋" w:eastAsia="仿宋" w:hint="eastAsia"/>
          <w:color w:val="000000"/>
          <w:sz w:val="32"/>
          <w:szCs w:val="32"/>
        </w:rPr>
      </w:pPr>
    </w:p>
    <w:p>
      <w:pPr>
        <w:pageBreakBefore w:val="0"/>
        <w:widowControl w:val="0"/>
        <w:kinsoku/>
        <w:wordWrap/>
        <w:overflowPunct/>
        <w:topLinePunct w:val="0"/>
        <w:bidi w:val="0"/>
        <w:spacing w:line="560" w:lineRule="exact"/>
        <w:jc w:val="center"/>
        <w:rPr>
          <w:rFonts w:ascii="仿宋_GB2312" w:eastAsia="仿宋_GB2312"/>
          <w:color w:val="FF0000"/>
          <w:sz w:val="32"/>
          <w:szCs w:val="32"/>
        </w:rPr>
      </w:pPr>
    </w:p>
    <w:p>
      <w:pPr>
        <w:pStyle w:val="15"/>
        <w:pageBreakBefore w:val="0"/>
        <w:widowControl w:val="0"/>
        <w:kinsoku/>
        <w:wordWrap/>
        <w:overflowPunct/>
        <w:topLinePunct w:val="0"/>
        <w:bidi w:val="0"/>
        <w:spacing w:line="560" w:lineRule="exact"/>
        <w:ind w:left="0" w:firstLine="0"/>
      </w:pPr>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38" w:name="_Toc15377208"/>
      <w:bookmarkStart w:id="39" w:name="_Toc111208502"/>
      <w:bookmarkStart w:id="40" w:name="_Toc113981016"/>
      <w:r>
        <w:rPr>
          <w:rFonts w:ascii="黑体" w:eastAsia="黑体" w:cs="Times New Roman" w:hint="eastAsia"/>
          <w:bCs w:val="0"/>
          <w:color w:val="000000"/>
        </w:rPr>
        <w:t>四、财政拨款收入支出决算总体情况说明</w:t>
      </w:r>
      <w:bookmarkEnd w:id="38"/>
      <w:bookmarkEnd w:id="39"/>
      <w:bookmarkEnd w:id="40"/>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2021年财政拨款收、支总计13716.58万元。与2020年相比，财政拨款收、支总计各增加710.94万元，增加5.47 %。主要变动原因是项目增加</w:t>
      </w:r>
    </w:p>
    <w:p>
      <w:pPr>
        <w:keepNext w:val="0"/>
        <w:keepLines w:val="0"/>
        <w:pageBreakBefore w:val="0"/>
        <w:widowControl w:val="0"/>
        <w:kinsoku/>
        <w:wordWrap/>
        <w:overflowPunct/>
        <w:topLinePunct w:val="0"/>
        <w:autoSpaceDE/>
        <w:autoSpaceDN/>
        <w:bidi w:val="0"/>
        <w:adjustRightInd/>
        <w:snapToGrid/>
        <w:spacing w:line="560" w:lineRule="exact"/>
        <w:ind w:firstLineChars="500" w:firstLine="160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（图4：财政拨款收、支决算总计变动情况）</w:t>
      </w:r>
    </w:p>
    <w:p>
      <w:pPr>
        <w:pStyle w:val="15"/>
        <w:ind w:left="0" w:firstLine="0"/>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pageBreakBefore w:val="0"/>
        <w:widowControl w:val="0"/>
        <w:kinsoku/>
        <w:wordWrap/>
        <w:overflowPunct/>
        <w:topLinePunct w:val="0"/>
        <w:bidi w:val="0"/>
        <w:spacing w:line="560" w:lineRule="exact"/>
        <w:ind w:firstLine="0"/>
      </w:pPr>
    </w:p>
    <w:p>
      <w:pPr>
        <w:pStyle w:val="15"/>
        <w:pageBreakBefore w:val="0"/>
        <w:widowControl w:val="0"/>
        <w:kinsoku/>
        <w:wordWrap/>
        <w:overflowPunct/>
        <w:topLinePunct w:val="0"/>
        <w:bidi w:val="0"/>
        <w:spacing w:line="560" w:lineRule="exact"/>
        <w:jc w:val="left"/>
      </w:pPr>
      <w:r>
        <w:rPr>
          <w:rFonts w:ascii="仿宋_GB2312" w:eastAsia="仿宋_GB2312" w:hint="eastAsia"/>
          <w:color w:val="000000"/>
          <w:sz w:val="32"/>
          <w:szCs w:val="32"/>
        </w:rPr>
        <w:drawing>
          <wp:anchor distT="0" distB="0" distL="0" distR="0" simplePos="0" relativeHeight="24" behindDoc="0" locked="0" layoutInCell="1" hidden="0" allowOverlap="1">
            <wp:simplePos x="0" y="0"/>
            <wp:positionH relativeFrom="column">
              <wp:posOffset>431799</wp:posOffset>
            </wp:positionH>
            <wp:positionV relativeFrom="paragraph">
              <wp:posOffset>-2896870</wp:posOffset>
            </wp:positionV>
            <wp:extent cx="4981575" cy="3390900"/>
            <wp:effectExtent l="0" t="0" r="19" b="43"/>
            <wp:wrapSquare wrapText="bothSides"/>
            <wp:docPr id="4" name="图表 12"/>
            <wp:cNvGraphicFramePr>
              <a:graphicFrameLocks noChangeAspect="0"/>
            </wp:cNvGraphicFramePr>
            <a:graphic>
              <a:graphicData uri="http://schemas.openxmlformats.org/drawingml/2006/chart">
                <c:chart xmlns:c="http://schemas.openxmlformats.org/drawingml/2006/chart" r:id="rId7"/>
              </a:graphicData>
            </a:graphic>
          </wp:anchor>
        </w:drawing>
      </w:r>
    </w:p>
    <w:p>
      <w:pPr>
        <w:pStyle w:val="15"/>
        <w:pageBreakBefore w:val="0"/>
        <w:widowControl w:val="0"/>
        <w:kinsoku/>
        <w:wordWrap/>
        <w:overflowPunct/>
        <w:topLinePunct w:val="0"/>
        <w:bidi w:val="0"/>
        <w:spacing w:line="560" w:lineRule="exact"/>
        <w:jc w:val="center"/>
      </w:pPr>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41" w:name="_Toc15377209"/>
      <w:bookmarkStart w:id="42" w:name="_Toc111208503"/>
      <w:bookmarkStart w:id="43" w:name="_Toc113981017"/>
      <w:r>
        <w:rPr>
          <w:rFonts w:ascii="黑体" w:eastAsia="黑体" w:cs="Times New Roman" w:hint="eastAsia"/>
          <w:bCs w:val="0"/>
          <w:color w:val="000000"/>
        </w:rPr>
        <w:t>五、一般公共预算财政拨款支出决算情况说</w:t>
      </w:r>
      <w:bookmarkEnd w:id="41"/>
      <w:r>
        <w:rPr>
          <w:rFonts w:ascii="黑体" w:eastAsia="黑体" w:cs="Times New Roman" w:hint="eastAsia"/>
          <w:bCs w:val="0"/>
          <w:color w:val="000000"/>
        </w:rPr>
        <w:t>明</w:t>
      </w:r>
      <w:bookmarkEnd w:id="42"/>
      <w:bookmarkEnd w:id="43"/>
    </w:p>
    <w:p>
      <w:pPr>
        <w:pageBreakBefore w:val="0"/>
        <w:widowControl w:val="0"/>
        <w:kinsoku/>
        <w:wordWrap/>
        <w:overflowPunct/>
        <w:topLinePunct w:val="0"/>
        <w:bidi w:val="0"/>
        <w:spacing w:line="560" w:lineRule="exact"/>
        <w:ind w:firstLineChars="200" w:firstLine="640"/>
        <w:outlineLvl w:val="2"/>
        <w:rPr>
          <w:rFonts w:ascii="楷体" w:eastAsia="楷体" w:cs="楷体" w:hint="eastAsia"/>
          <w:b/>
          <w:color w:val="000000"/>
          <w:sz w:val="32"/>
          <w:szCs w:val="32"/>
        </w:rPr>
      </w:pPr>
      <w:bookmarkStart w:id="44" w:name="_Toc15377210"/>
      <w:r>
        <w:rPr>
          <w:rFonts w:ascii="楷体" w:eastAsia="楷体" w:cs="楷体" w:hint="eastAsia"/>
          <w:b/>
          <w:color w:val="000000"/>
          <w:sz w:val="32"/>
          <w:szCs w:val="32"/>
        </w:rPr>
        <w:t>（一）一般公共预算财政拨款支出决算总体情况</w:t>
      </w:r>
      <w:bookmarkEnd w:id="44"/>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val="en-US" w:eastAsia="zh-CN"/>
        </w:rPr>
      </w:pPr>
      <w:bookmarkStart w:id="45" w:name="_Toc15377211"/>
      <w:r>
        <w:rPr>
          <w:rFonts w:ascii="仿宋_GB2312" w:eastAsia="仿宋_GB2312" w:cs="仿宋_GB2312" w:hint="eastAsia"/>
          <w:color w:val="000000"/>
          <w:sz w:val="32"/>
          <w:szCs w:val="32"/>
        </w:rPr>
        <w:t>2021年一般公共预算财政拨款支出13038.37万元，占本年支出合计的95.06%。与2020相比，一般公共预算财政拨款增加3315.44万元，增加34.10 %。主要变动原因是项目增加</w:t>
      </w:r>
      <w:r>
        <w:rPr>
          <w:rFonts w:ascii="仿宋_GB2312" w:eastAsia="仿宋_GB2312" w:cs="仿宋_GB2312" w:hint="eastAsia"/>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 w:eastAsia="仿宋" w:hint="eastAsia"/>
          <w:color w:val="000000"/>
          <w:sz w:val="32"/>
          <w:szCs w:val="32"/>
        </w:rPr>
      </w:pPr>
      <w:r>
        <w:rPr>
          <w:rFonts w:ascii="仿宋_GB2312" w:eastAsia="仿宋_GB2312" w:cs="仿宋_GB2312" w:hint="eastAsia"/>
          <w:color w:val="000000"/>
          <w:sz w:val="32"/>
          <w:szCs w:val="32"/>
        </w:rPr>
        <w:t>（图5：一般公共预算财政拨款支出决算变动情况）</w:t>
      </w:r>
    </w:p>
    <w:p>
      <w:pPr>
        <w:pStyle w:val="15"/>
        <w:rPr>
          <w:rFonts w:ascii="仿宋" w:eastAsia="仿宋" w:hint="eastAsia"/>
          <w:color w:val="000000"/>
          <w:sz w:val="32"/>
          <w:szCs w:val="32"/>
        </w:rPr>
      </w:pPr>
      <w:r>
        <w:rPr>
          <w:rFonts w:ascii="仿宋_GB2312" w:eastAsia="仿宋_GB2312" w:hint="eastAsia"/>
          <w:b/>
          <w:color w:val="000000"/>
          <w:sz w:val="32"/>
          <w:szCs w:val="32"/>
        </w:rPr>
        <w:drawing>
          <wp:anchor distT="0" distB="0" distL="0" distR="0" simplePos="0" relativeHeight="26" behindDoc="0" locked="0" layoutInCell="1" hidden="0" allowOverlap="1">
            <wp:simplePos x="0" y="0"/>
            <wp:positionH relativeFrom="column">
              <wp:posOffset>447675</wp:posOffset>
            </wp:positionH>
            <wp:positionV relativeFrom="paragraph">
              <wp:posOffset>30480</wp:posOffset>
            </wp:positionV>
            <wp:extent cx="4734560" cy="3112135"/>
            <wp:effectExtent l="0" t="0" r="41" b="16"/>
            <wp:wrapSquare wrapText="bothSides"/>
            <wp:docPr id="5" name="图表 4"/>
            <wp:cNvGraphicFramePr>
              <a:graphicFrameLocks noChangeAspect="0"/>
            </wp:cNvGraphicFramePr>
            <a:graphic>
              <a:graphicData uri="http://schemas.openxmlformats.org/drawingml/2006/chart">
                <c:chart xmlns:c="http://schemas.openxmlformats.org/drawingml/2006/chart" r:id="rId8"/>
              </a:graphicData>
            </a:graphic>
          </wp:anchor>
        </w:drawing>
      </w: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hint="eastAsia"/>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pageBreakBefore w:val="0"/>
        <w:widowControl w:val="0"/>
        <w:kinsoku/>
        <w:wordWrap/>
        <w:overflowPunct/>
        <w:topLinePunct w:val="0"/>
        <w:bidi w:val="0"/>
        <w:spacing w:line="560" w:lineRule="exact"/>
        <w:ind w:firstLine="0"/>
        <w:rPr>
          <w:rFonts w:ascii="仿宋_GB2312" w:eastAsia="仿宋_GB2312"/>
          <w:b/>
          <w:color w:val="000000"/>
          <w:sz w:val="32"/>
          <w:szCs w:val="32"/>
        </w:rPr>
      </w:pPr>
    </w:p>
    <w:p>
      <w:pPr>
        <w:pageBreakBefore w:val="0"/>
        <w:widowControl w:val="0"/>
        <w:kinsoku/>
        <w:wordWrap/>
        <w:overflowPunct/>
        <w:topLinePunct w:val="0"/>
        <w:bidi w:val="0"/>
        <w:spacing w:line="560" w:lineRule="exact"/>
        <w:ind w:firstLineChars="200" w:firstLine="640"/>
        <w:outlineLvl w:val="2"/>
        <w:rPr>
          <w:rFonts w:ascii="楷体" w:eastAsia="楷体" w:cs="楷体" w:hint="eastAsia"/>
          <w:b/>
          <w:color w:val="000000"/>
          <w:sz w:val="32"/>
          <w:szCs w:val="32"/>
        </w:rPr>
      </w:pPr>
      <w:r>
        <w:rPr>
          <w:rFonts w:ascii="楷体" w:eastAsia="楷体" w:cs="楷体" w:hint="eastAsia"/>
          <w:b/>
          <w:color w:val="000000"/>
          <w:sz w:val="32"/>
          <w:szCs w:val="32"/>
        </w:rPr>
        <w:t>（二）一般公共预算财政拨款支出决算结构情况</w:t>
      </w:r>
      <w:bookmarkEnd w:id="45"/>
      <w:r>
        <w:rPr>
          <w:rFonts w:ascii="楷体" w:eastAsia="楷体" w:cs="楷体" w:hint="eastAsia"/>
          <w:b/>
          <w:color w:val="000000"/>
          <w:sz w:val="32"/>
          <w:szCs w:val="32"/>
        </w:rPr>
        <w:t>（一般公共预算收支表）</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2021年一般公共预算财政拨款支出13038.37万元，主要用于以下方面:社会保障和就业支出29.85万元，占0.23%；卫生健康支出31.25万元，占0.24%；节能环保支出4873.10万元，占37.38%；农林水支出7338.29万元，占56.28%；交通运输支出193.86万元，占1.49%；住房保障支出26.61万元，占0.20%；灾害防治及应急管理支出236.21万元，占1.81%；其他支出309.20万元，占2.37%。</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Chars="300" w:firstLine="960"/>
        <w:textAlignment w:val="auto"/>
        <w:rPr>
          <w:rFonts w:ascii="仿宋" w:eastAsia="仿宋" w:hint="eastAsia"/>
          <w:color w:val="000000"/>
          <w:sz w:val="32"/>
          <w:szCs w:val="32"/>
        </w:rPr>
      </w:pPr>
      <w:r>
        <w:rPr>
          <w:rFonts w:ascii="仿宋_GB2312" w:eastAsia="仿宋_GB2312" w:cs="仿宋_GB2312" w:hint="eastAsia"/>
          <w:color w:val="000000"/>
          <w:sz w:val="32"/>
          <w:szCs w:val="32"/>
        </w:rPr>
        <w:t>（图6：一般公共预算财政拨款支出决算结构）</w:t>
      </w:r>
      <w:bookmarkStart w:id="46" w:name="_Toc15377212"/>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pageBreakBefore w:val="0"/>
        <w:widowControl w:val="0"/>
        <w:kinsoku/>
        <w:wordWrap/>
        <w:overflowPunct/>
        <w:topLinePunct w:val="0"/>
        <w:bidi w:val="0"/>
        <w:spacing w:line="560" w:lineRule="exact"/>
      </w:pPr>
      <w:r>
        <w:drawing>
          <wp:anchor distT="0" distB="0" distL="0" distR="0" simplePos="0" relativeHeight="28" behindDoc="0" locked="0" layoutInCell="1" hidden="0" allowOverlap="1">
            <wp:simplePos x="0" y="0"/>
            <wp:positionH relativeFrom="column">
              <wp:posOffset>431799</wp:posOffset>
            </wp:positionH>
            <wp:positionV relativeFrom="paragraph">
              <wp:posOffset>-2611120</wp:posOffset>
            </wp:positionV>
            <wp:extent cx="4333240" cy="2886075"/>
            <wp:effectExtent l="0" t="0" r="2" b="44"/>
            <wp:wrapSquare wrapText="bothSides"/>
            <wp:docPr id="6" name="图表 1"/>
            <wp:cNvGraphicFramePr>
              <a:graphicFrameLocks noChangeAspect="0"/>
            </wp:cNvGraphicFramePr>
            <a:graphic>
              <a:graphicData uri="http://schemas.openxmlformats.org/drawingml/2006/chart">
                <c:chart xmlns:c="http://schemas.openxmlformats.org/drawingml/2006/chart" r:id="rId9"/>
              </a:graphicData>
            </a:graphic>
          </wp:anchor>
        </w:drawing>
      </w:r>
    </w:p>
    <w:p>
      <w:pPr>
        <w:pageBreakBefore w:val="0"/>
        <w:widowControl w:val="0"/>
        <w:kinsoku/>
        <w:wordWrap/>
        <w:overflowPunct/>
        <w:topLinePunct w:val="0"/>
        <w:bidi w:val="0"/>
        <w:spacing w:line="560" w:lineRule="exact"/>
        <w:ind w:firstLineChars="200" w:firstLine="640"/>
        <w:outlineLvl w:val="2"/>
        <w:rPr>
          <w:rFonts w:ascii="楷体" w:eastAsia="楷体" w:cs="楷体" w:hint="eastAsia"/>
          <w:b/>
          <w:color w:val="000000"/>
          <w:sz w:val="32"/>
          <w:szCs w:val="32"/>
        </w:rPr>
      </w:pPr>
      <w:r>
        <w:rPr>
          <w:rFonts w:ascii="楷体" w:eastAsia="楷体" w:cs="楷体" w:hint="eastAsia"/>
          <w:b/>
          <w:color w:val="000000"/>
          <w:sz w:val="32"/>
          <w:szCs w:val="32"/>
        </w:rPr>
        <w:t>（三）一般公共预算财政拨款支出决算具体情况</w:t>
      </w:r>
      <w:bookmarkEnd w:id="46"/>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bookmarkStart w:id="47" w:name="_Toc15378460"/>
      <w:bookmarkStart w:id="48" w:name="_Toc15377213"/>
      <w:bookmarkStart w:id="49" w:name="_Toc15377444"/>
      <w:r>
        <w:rPr>
          <w:rFonts w:ascii="仿宋_GB2312" w:eastAsia="仿宋_GB2312" w:cs="仿宋_GB2312" w:hint="eastAsia"/>
          <w:color w:val="000000"/>
          <w:sz w:val="32"/>
          <w:szCs w:val="32"/>
        </w:rPr>
        <w:t>2021年一般公共预算支出决算数为13038.37万</w:t>
      </w:r>
      <w:r>
        <w:rPr>
          <w:rFonts w:ascii="仿宋_GB2312" w:eastAsia="仿宋_GB2312" w:cs="仿宋_GB2312" w:hint="eastAsia"/>
          <w:color w:val="000000"/>
          <w:sz w:val="32"/>
          <w:szCs w:val="32"/>
          <w:lang w:eastAsia="zh-CN"/>
        </w:rPr>
        <w:t>元</w:t>
      </w:r>
      <w:r>
        <w:rPr>
          <w:rFonts w:ascii="仿宋_GB2312" w:eastAsia="仿宋_GB2312" w:cs="仿宋_GB2312" w:hint="eastAsia"/>
          <w:color w:val="000000"/>
          <w:sz w:val="32"/>
          <w:szCs w:val="32"/>
        </w:rPr>
        <w:t>，完成预算100%。其中：</w:t>
      </w:r>
      <w:bookmarkEnd w:id="47"/>
      <w:bookmarkEnd w:id="48"/>
      <w:bookmarkEnd w:id="49"/>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lang w:val="en-US" w:eastAsia="zh-CN"/>
        </w:rPr>
        <w:t>1.</w:t>
      </w:r>
      <w:r>
        <w:rPr>
          <w:rFonts w:ascii="仿宋_GB2312" w:eastAsia="仿宋_GB2312" w:cs="仿宋_GB2312" w:hint="eastAsia"/>
          <w:color w:val="000000"/>
          <w:sz w:val="32"/>
          <w:szCs w:val="32"/>
        </w:rPr>
        <w:t>社会保障和就业支出（208）行政事业单位养老支出（20805）机关事业单位基本养老保险缴费支出（2080505）支出决算19.90万元，完成预算100%。</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lang w:val="en-US" w:eastAsia="zh-CN"/>
        </w:rPr>
        <w:t>2.</w:t>
      </w:r>
      <w:r>
        <w:rPr>
          <w:rFonts w:ascii="仿宋_GB2312" w:eastAsia="仿宋_GB2312" w:cs="仿宋_GB2312" w:hint="eastAsia"/>
          <w:color w:val="000000"/>
          <w:sz w:val="32"/>
          <w:szCs w:val="32"/>
        </w:rPr>
        <w:t>社会保障和就业支出（208）行政事业单位养老支出（20805）机关事业单位职业年金缴费支出（2080506）支出决算9.95万元，完成预算100%。</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3.卫生健康支出（210）公共卫生（21004）重大公共卫生服务（2100409）支出决算14.67万元，完成预算100%。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4.卫生健康支出（210）行政事业单位医疗（21011）行政单位医疗（2101101）支出决算16.58万元，完成预算100%。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 w:eastAsia="仿宋" w:hint="eastAsia"/>
          <w:color w:val="000000"/>
          <w:sz w:val="32"/>
          <w:szCs w:val="32"/>
          <w:lang w:eastAsia="zh-CN"/>
        </w:rPr>
      </w:pPr>
      <w:r>
        <w:rPr>
          <w:rFonts w:ascii="仿宋_GB2312" w:eastAsia="仿宋_GB2312" w:cs="仿宋_GB2312" w:hint="eastAsia"/>
          <w:color w:val="000000"/>
          <w:sz w:val="32"/>
          <w:szCs w:val="32"/>
        </w:rPr>
        <w:t>5.节能环保支出（211）自然生态保护（21104）生态保护（2110401）支出决算4388.82万元，完成预算100%。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6.节能环保支出（211）天然林保护（21105）森林管护（2110501）支出决算10.39万元，完成预算100%。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7.节能环保支出（211）天然林保护（21105）社会保险补助（2110502）支出决算306.07万元，完成预算100%。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8.节能环保支出（211）退耕还林还草（21106）退耕现金（2110602）支出决算167.82万元，完成预算100%。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9.农林水支出（213）林业和草原（21302）行政运行（2130201）支出决算416.12万元，完成预算100%。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10.农林水支出（213）林业和草原（21302）森林资源培育（2130205）支出决算655.61万元，完成预算100%。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11.农林水支出（213）林业和草原（21302）森林资源管理（2130207）支出决算1734.27万元，完成预算100%。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12.农林水支出（213）林业和草原（21302）森林生态效益补偿（2130209）支出决算3542.47万元，完成预算100%。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13.农林水支出（213）林业和草原（21302）动植物保护（2130211）支出决算18.17万元，完成预算100%。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14.农林水支出（213）林业和草原（21302）林业草原防灾减灾（2130234）支出决算250.82万元，完成预算100%。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15.农林水支出（213）林业和草原（21302）其他林业和草原支出（2130299）支出决算675.95万元，完成预算100%。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16.农林水支出（213）扶贫（21305）其他扶贫支出（2130599）支出决算2.89万元，完成预算100%。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val="en-US" w:eastAsia="zh-CN"/>
        </w:rPr>
      </w:pPr>
      <w:r>
        <w:rPr>
          <w:rFonts w:ascii="仿宋_GB2312" w:eastAsia="仿宋_GB2312" w:cs="仿宋_GB2312" w:hint="eastAsia"/>
          <w:color w:val="000000"/>
          <w:sz w:val="32"/>
          <w:szCs w:val="32"/>
        </w:rPr>
        <w:t>17.农林水支出（213）其他农林水支出（21399）其他农林水支出（2139999）支出决算42.00万元，完成预算100%。</w:t>
      </w:r>
      <w:r>
        <w:rPr>
          <w:rFonts w:ascii="仿宋_GB2312" w:eastAsia="仿宋_GB2312" w:cs="仿宋_GB2312" w:hint="eastAsia"/>
          <w:color w:val="00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lang w:val="en-US" w:eastAsia="zh-CN"/>
        </w:rPr>
        <w:t>18.</w:t>
      </w:r>
      <w:r>
        <w:rPr>
          <w:rFonts w:ascii="仿宋_GB2312" w:eastAsia="仿宋_GB2312" w:cs="仿宋_GB2312" w:hint="eastAsia"/>
          <w:color w:val="000000"/>
          <w:sz w:val="32"/>
          <w:szCs w:val="32"/>
        </w:rPr>
        <w:t>交通运输支出（214）公路水路运输（21401）其他公路水路运输支出（2140199）支出决算193.86万元，完成预算100%</w:t>
      </w:r>
      <w:r>
        <w:rPr>
          <w:rFonts w:ascii="仿宋_GB2312" w:eastAsia="仿宋_GB2312" w:cs="仿宋_GB2312" w:hint="eastAsia"/>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19.住房保障支出（221）住房改革支出（22102）住房公积金（2210201）支出决算23.56万元，完成预算100%。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20.住房保障支出（221）住房改革支出（22102）购房补贴（2210203）支出决算3.05万元，完成预算100%。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21.灾害防治及应急管理支出（224）自然灾害防治（22406）森林草原防灾减灾（2240602）支出决算236.21万元，完成预算100%。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22.其他支出（229）其他支出（22999）其他支出（2299999）支出决算309.20万元，完成预算100%。</w:t>
      </w:r>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 w:val="0"/>
          <w:color w:val="000000"/>
        </w:rPr>
      </w:pPr>
      <w:bookmarkStart w:id="50" w:name="_Toc15377214"/>
      <w:bookmarkStart w:id="51" w:name="_Toc113981018"/>
      <w:bookmarkStart w:id="52" w:name="_Toc111208504"/>
      <w:r>
        <w:rPr>
          <w:rFonts w:ascii="黑体" w:eastAsia="黑体" w:cs="Times New Roman" w:hint="eastAsia"/>
          <w:bCs w:val="0"/>
          <w:color w:val="000000"/>
        </w:rPr>
        <w:t>六、一般公共预算财政拨款基本支出决算情况说</w:t>
      </w:r>
      <w:bookmarkEnd w:id="50"/>
      <w:r>
        <w:rPr>
          <w:rFonts w:ascii="黑体" w:eastAsia="黑体" w:cs="Times New Roman" w:hint="eastAsia"/>
          <w:bCs w:val="0"/>
          <w:color w:val="000000"/>
        </w:rPr>
        <w:t>明</w:t>
      </w:r>
      <w:bookmarkEnd w:id="51"/>
      <w:bookmarkEnd w:id="52"/>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2021年一般公共预算财政拨款基本支出489.17万元，其中：</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人员经费471.57万元，主要包括：基本工资74.67万元、津贴补贴71.97万元、奖金101.79万元、机关事业单位基本养老保险缴费19.90万元、职业年金缴费9.95万元、职工基本医疗保险缴费16.58万元、其他社会保障缴费0.55万元、住房公积金23.56万元、医疗费0.82万元、抚恤金52.32万元、生活补助98.68万元、医疗费补助0.69万元、奖励金0.08万元。</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公用经费17.60万元，主要包括：办公费2.37万元、水费0.72万元、电费2.07万元、邮电费1.06万元、差旅费6.50万元、培训费0.28万元、公务接待费0.27万元、专用燃料费0.08万元、公务用车运行维护费4.25万元。</w:t>
      </w:r>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53" w:name="_Toc113981019"/>
      <w:bookmarkStart w:id="54" w:name="_Toc15377215"/>
      <w:bookmarkStart w:id="55" w:name="_Toc111208505"/>
      <w:r>
        <w:rPr>
          <w:rFonts w:ascii="黑体" w:eastAsia="黑体" w:cs="Times New Roman" w:hint="eastAsia"/>
          <w:bCs w:val="0"/>
          <w:color w:val="000000"/>
        </w:rPr>
        <w:t>七、“三公”经费财政拨款支出决算情况说明</w:t>
      </w:r>
      <w:bookmarkEnd w:id="53"/>
      <w:bookmarkEnd w:id="54"/>
      <w:bookmarkEnd w:id="55"/>
    </w:p>
    <w:p>
      <w:pPr>
        <w:pageBreakBefore w:val="0"/>
        <w:widowControl w:val="0"/>
        <w:kinsoku/>
        <w:wordWrap/>
        <w:overflowPunct/>
        <w:topLinePunct w:val="0"/>
        <w:bidi w:val="0"/>
        <w:spacing w:line="560" w:lineRule="exact"/>
        <w:ind w:firstLineChars="200" w:firstLine="640"/>
        <w:outlineLvl w:val="2"/>
        <w:rPr>
          <w:rFonts w:ascii="楷体" w:eastAsia="楷体" w:cs="楷体" w:hint="eastAsia"/>
          <w:b/>
          <w:color w:val="000000"/>
          <w:sz w:val="32"/>
          <w:szCs w:val="32"/>
        </w:rPr>
      </w:pPr>
      <w:bookmarkStart w:id="56" w:name="_Toc15377216"/>
      <w:r>
        <w:rPr>
          <w:rFonts w:ascii="楷体" w:eastAsia="楷体" w:cs="楷体" w:hint="eastAsia"/>
          <w:b/>
          <w:color w:val="000000"/>
          <w:sz w:val="32"/>
          <w:szCs w:val="32"/>
        </w:rPr>
        <w:t>（一）“三公”经费财政拨款支出决算总体情况说明</w:t>
      </w:r>
      <w:bookmarkEnd w:id="56"/>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2021年“三公”经费财政拨款支出决算为4.52万元，完成预算100.00%。</w:t>
      </w:r>
      <w:bookmarkStart w:id="57" w:name="_Toc15377217"/>
    </w:p>
    <w:p>
      <w:pPr>
        <w:pageBreakBefore w:val="0"/>
        <w:widowControl w:val="0"/>
        <w:kinsoku/>
        <w:wordWrap/>
        <w:overflowPunct/>
        <w:topLinePunct w:val="0"/>
        <w:bidi w:val="0"/>
        <w:spacing w:line="560" w:lineRule="exact"/>
        <w:ind w:firstLineChars="200" w:firstLine="640"/>
        <w:outlineLvl w:val="2"/>
        <w:rPr>
          <w:rFonts w:ascii="楷体" w:eastAsia="楷体" w:cs="楷体" w:hint="eastAsia"/>
          <w:b/>
          <w:color w:val="000000"/>
          <w:sz w:val="32"/>
          <w:szCs w:val="32"/>
        </w:rPr>
      </w:pPr>
      <w:r>
        <w:rPr>
          <w:rFonts w:ascii="楷体" w:eastAsia="楷体" w:cs="楷体" w:hint="eastAsia"/>
          <w:b/>
          <w:color w:val="000000"/>
          <w:sz w:val="32"/>
          <w:szCs w:val="32"/>
        </w:rPr>
        <w:t>（二）“三公”经费财政拨款支出决算具体情况说明</w:t>
      </w:r>
      <w:bookmarkEnd w:id="57"/>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2021年“三公”经费财政拨款支出4.52万</w:t>
      </w:r>
      <w:r>
        <w:rPr>
          <w:rFonts w:ascii="仿宋_GB2312" w:eastAsia="仿宋_GB2312" w:cs="仿宋_GB2312" w:hint="eastAsia"/>
          <w:color w:val="000000"/>
          <w:sz w:val="32"/>
          <w:szCs w:val="32"/>
          <w:lang w:eastAsia="zh-CN"/>
        </w:rPr>
        <w:t>元</w:t>
      </w:r>
      <w:r>
        <w:rPr>
          <w:rFonts w:ascii="仿宋_GB2312" w:eastAsia="仿宋_GB2312" w:cs="仿宋_GB2312" w:hint="eastAsia"/>
          <w:color w:val="000000"/>
          <w:sz w:val="32"/>
          <w:szCs w:val="32"/>
        </w:rPr>
        <w:t>，因公出国（境）费支出决算0.00万元；公务用车购置及运行维护费支出决算4.25万元，占93.98%；公务接待费支出决算0.27万元，占6.02%。具体情况如下：</w:t>
      </w:r>
    </w:p>
    <w:p>
      <w:pPr>
        <w:keepNext w:val="0"/>
        <w:keepLines w:val="0"/>
        <w:pageBreakBefore w:val="0"/>
        <w:widowControl w:val="0"/>
        <w:kinsoku/>
        <w:wordWrap/>
        <w:overflowPunct/>
        <w:topLinePunct w:val="0"/>
        <w:autoSpaceDE/>
        <w:autoSpaceDN/>
        <w:bidi w:val="0"/>
        <w:adjustRightInd/>
        <w:snapToGrid/>
        <w:spacing w:line="560" w:lineRule="exact"/>
        <w:ind w:firstLineChars="400" w:firstLine="1280"/>
        <w:textAlignment w:val="auto"/>
        <w:rPr>
          <w:rFonts w:ascii="仿宋" w:eastAsia="仿宋" w:hint="eastAsia"/>
          <w:color w:val="000000"/>
          <w:sz w:val="32"/>
          <w:szCs w:val="32"/>
        </w:rPr>
      </w:pPr>
      <w:r>
        <w:rPr>
          <w:rFonts w:ascii="仿宋_GB2312" w:eastAsia="仿宋_GB2312" w:cs="仿宋_GB2312" w:hint="eastAsia"/>
          <w:color w:val="000000"/>
          <w:sz w:val="32"/>
          <w:szCs w:val="32"/>
        </w:rPr>
        <w:t>（图7：“三公”经费财政拨款支出结构）</w:t>
      </w: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rPr>
          <w:rFonts w:ascii="仿宋" w:eastAsia="仿宋" w:hint="eastAsia"/>
          <w:color w:val="000000"/>
          <w:sz w:val="32"/>
          <w:szCs w:val="32"/>
        </w:rPr>
      </w:pPr>
    </w:p>
    <w:p>
      <w:pPr>
        <w:pStyle w:val="15"/>
        <w:pageBreakBefore w:val="0"/>
        <w:widowControl w:val="0"/>
        <w:kinsoku/>
        <w:wordWrap/>
        <w:overflowPunct/>
        <w:topLinePunct w:val="0"/>
        <w:bidi w:val="0"/>
        <w:spacing w:line="560" w:lineRule="exact"/>
        <w:rPr>
          <w:rFonts w:ascii="仿宋_GB2312" w:eastAsia="仿宋_GB2312"/>
          <w:color w:val="000000"/>
          <w:sz w:val="32"/>
          <w:szCs w:val="32"/>
        </w:rPr>
      </w:pPr>
      <w:r>
        <w:drawing>
          <wp:anchor distT="0" distB="0" distL="0" distR="0" simplePos="0" relativeHeight="30" behindDoc="0" locked="0" layoutInCell="1" hidden="0" allowOverlap="1">
            <wp:simplePos x="0" y="0"/>
            <wp:positionH relativeFrom="column">
              <wp:posOffset>436245</wp:posOffset>
            </wp:positionH>
            <wp:positionV relativeFrom="paragraph">
              <wp:posOffset>-2606675</wp:posOffset>
            </wp:positionV>
            <wp:extent cx="4333240" cy="2886075"/>
            <wp:effectExtent l="0" t="0" r="2" b="44"/>
            <wp:wrapSquare wrapText="bothSides"/>
            <wp:docPr id="7" name="图表 6"/>
            <wp:cNvGraphicFramePr>
              <a:graphicFrameLocks noChangeAspect="0"/>
            </wp:cNvGraphicFramePr>
            <a:graphic>
              <a:graphicData uri="http://schemas.openxmlformats.org/drawingml/2006/chart">
                <c:chart xmlns:c="http://schemas.openxmlformats.org/drawingml/2006/chart" r:id="rId10"/>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 xml:space="preserve">1.因公出国（境）经费支出0万元。全年安排因公出国（境）团组0次，出国（境）0人。因公出国（境）支出决算比2020年增加0万元。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 xml:space="preserve">2.公务用车购置及运行维护费支出4.25万元,完成预算100.00%。公务用车购置及运行维护费支出决算比2020年减少0.72万元，减少14.49%。主要原因是压缩三公经费支出。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color w:val="000000"/>
          <w:sz w:val="32"/>
          <w:szCs w:val="32"/>
          <w:lang w:val="en-US" w:eastAsia="zh-CN"/>
        </w:rPr>
      </w:pPr>
      <w:r>
        <w:rPr>
          <w:rFonts w:ascii="仿宋_GB2312" w:eastAsia="仿宋_GB2312" w:cs="仿宋_GB2312" w:hint="eastAsia"/>
          <w:color w:val="000000"/>
          <w:sz w:val="32"/>
          <w:szCs w:val="32"/>
        </w:rPr>
        <w:t>其中：公务用车购置支出0.00万元。截至2021年12月底，单位共有公务用车28辆，其中：轿车0辆、越野车4辆、载客汽车5辆</w:t>
      </w:r>
      <w:r>
        <w:rPr>
          <w:rFonts w:ascii="仿宋_GB2312" w:eastAsia="仿宋_GB2312" w:cs="仿宋_GB2312" w:hint="eastAsia"/>
          <w:color w:val="000000"/>
          <w:sz w:val="32"/>
          <w:szCs w:val="32"/>
          <w:lang w:eastAsia="zh-CN"/>
        </w:rPr>
        <w:t>、其他车型</w:t>
      </w:r>
      <w:r>
        <w:rPr>
          <w:rFonts w:ascii="仿宋_GB2312" w:eastAsia="仿宋_GB2312" w:cs="仿宋_GB2312" w:hint="eastAsia"/>
          <w:color w:val="000000"/>
          <w:sz w:val="32"/>
          <w:szCs w:val="32"/>
          <w:lang w:val="en-US" w:eastAsia="zh-CN"/>
        </w:rPr>
        <w:t>19辆。</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 xml:space="preserve">公务用车运行维护费支出4.25万元。主要用于压缩三公经费支出。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3.公务接待费支出0.27万元，完成预算100.00%。公务接待费支出决算比2020年减少0.02万元，减少6.75%。</w:t>
      </w:r>
      <w:bookmarkStart w:id="58" w:name="_Toc15377218"/>
      <w:r>
        <w:rPr>
          <w:rFonts w:ascii="仿宋_GB2312" w:eastAsia="仿宋_GB2312" w:cs="仿宋_GB2312" w:hint="eastAsia"/>
          <w:color w:val="000000"/>
          <w:sz w:val="32"/>
          <w:szCs w:val="32"/>
        </w:rPr>
        <w:t xml:space="preserve">主要原因是压缩三公经费支出。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国内公务接待支出0.27万元。国内公务接待5批次，25人次（不包括陪同人员），共计支出0.27万元。</w:t>
      </w:r>
    </w:p>
    <w:p>
      <w:pPr>
        <w:pStyle w:val="15"/>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外事接待支出0万元，外事接待0批次，0人，共计支出0万元。</w:t>
      </w:r>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59" w:name="_Toc111208506"/>
      <w:bookmarkStart w:id="60" w:name="_Toc113981020"/>
      <w:r>
        <w:rPr>
          <w:rFonts w:ascii="黑体" w:eastAsia="黑体" w:cs="Times New Roman" w:hint="eastAsia"/>
          <w:bCs w:val="0"/>
          <w:color w:val="000000"/>
        </w:rPr>
        <w:t>八、政府性基金预算支出决算情况说明</w:t>
      </w:r>
      <w:bookmarkEnd w:id="58"/>
      <w:bookmarkEnd w:id="59"/>
      <w:bookmarkEnd w:id="60"/>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color w:val="000000"/>
          <w:sz w:val="32"/>
          <w:szCs w:val="32"/>
        </w:rPr>
        <w:t>2021年政府性基金预算拨款支出678.21万元。</w:t>
      </w:r>
      <w:bookmarkStart w:id="61" w:name="_Toc15377219"/>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62" w:name="_Toc111208507"/>
      <w:bookmarkStart w:id="63" w:name="_Toc113981021"/>
      <w:r>
        <w:rPr>
          <w:rFonts w:ascii="黑体" w:eastAsia="黑体" w:cs="Times New Roman" w:hint="eastAsia"/>
          <w:bCs w:val="0"/>
          <w:color w:val="000000"/>
        </w:rPr>
        <w:t>九、国有资本经营预算支出决算情况说明</w:t>
      </w:r>
      <w:bookmarkEnd w:id="61"/>
      <w:bookmarkEnd w:id="62"/>
      <w:bookmarkEnd w:id="63"/>
    </w:p>
    <w:p>
      <w:pPr>
        <w:pageBreakBefore w:val="0"/>
        <w:widowControl w:val="0"/>
        <w:kinsoku/>
        <w:wordWrap/>
        <w:overflowPunct/>
        <w:topLinePunct w:val="0"/>
        <w:bidi w:val="0"/>
        <w:spacing w:line="560" w:lineRule="exact"/>
        <w:ind w:firstLine="640"/>
        <w:rPr>
          <w:rFonts w:ascii="仿宋_GB2312" w:eastAsia="仿宋_GB2312" w:cs="仿宋_GB2312" w:hint="eastAsia"/>
          <w:sz w:val="32"/>
          <w:szCs w:val="32"/>
        </w:rPr>
      </w:pPr>
      <w:r>
        <w:rPr>
          <w:rFonts w:ascii="仿宋_GB2312" w:eastAsia="仿宋_GB2312" w:cs="仿宋_GB2312" w:hint="eastAsia"/>
          <w:color w:val="000000"/>
          <w:sz w:val="32"/>
          <w:szCs w:val="32"/>
        </w:rPr>
        <w:t>2021年国有资本经营预算拨款支出0万元。</w:t>
      </w:r>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64" w:name="_Toc15377221"/>
      <w:bookmarkStart w:id="65" w:name="_Toc111208508"/>
      <w:bookmarkStart w:id="66" w:name="_Toc113981022"/>
      <w:r>
        <w:rPr>
          <w:rFonts w:ascii="黑体" w:eastAsia="黑体" w:cs="Times New Roman" w:hint="eastAsia"/>
          <w:bCs w:val="0"/>
          <w:color w:val="000000"/>
        </w:rPr>
        <w:t>十、其他重要事项的情况说明</w:t>
      </w:r>
      <w:bookmarkEnd w:id="64"/>
      <w:bookmarkEnd w:id="65"/>
      <w:bookmarkEnd w:id="66"/>
    </w:p>
    <w:p>
      <w:pPr>
        <w:pageBreakBefore w:val="0"/>
        <w:widowControl w:val="0"/>
        <w:kinsoku/>
        <w:wordWrap/>
        <w:overflowPunct/>
        <w:topLinePunct w:val="0"/>
        <w:bidi w:val="0"/>
        <w:spacing w:line="560" w:lineRule="exact"/>
        <w:ind w:firstLineChars="200" w:firstLine="640"/>
        <w:outlineLvl w:val="2"/>
        <w:rPr>
          <w:rFonts w:ascii="楷体" w:eastAsia="楷体" w:cs="楷体" w:hint="eastAsia"/>
          <w:b/>
          <w:color w:val="000000"/>
          <w:sz w:val="32"/>
          <w:szCs w:val="32"/>
        </w:rPr>
      </w:pPr>
      <w:bookmarkStart w:id="67" w:name="_Toc15377222"/>
      <w:r>
        <w:rPr>
          <w:rFonts w:ascii="楷体" w:eastAsia="楷体" w:cs="楷体" w:hint="eastAsia"/>
          <w:b/>
          <w:color w:val="000000"/>
          <w:sz w:val="32"/>
          <w:szCs w:val="32"/>
        </w:rPr>
        <w:t>（一）机关运行经费支出情况</w:t>
      </w:r>
      <w:bookmarkEnd w:id="67"/>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 w:eastAsia="仿宋"/>
          <w:color w:val="000000"/>
          <w:sz w:val="32"/>
          <w:szCs w:val="32"/>
        </w:rPr>
      </w:pPr>
      <w:r>
        <w:rPr>
          <w:rFonts w:ascii="仿宋_GB2312" w:eastAsia="仿宋_GB2312" w:cs="仿宋_GB2312" w:hint="eastAsia"/>
          <w:color w:val="000000"/>
          <w:sz w:val="32"/>
          <w:szCs w:val="32"/>
        </w:rPr>
        <w:t>2021年，机关运行经费支出17.60万元，比2020年减少3.68万元，减少17.28 %。主要原因是压缩经费支出。</w:t>
      </w:r>
      <w:r>
        <w:rPr>
          <w:rFonts w:ascii="仿宋" w:eastAsia="仿宋" w:hint="eastAsia"/>
          <w:color w:val="000000"/>
          <w:sz w:val="32"/>
          <w:szCs w:val="32"/>
        </w:rPr>
        <w:t xml:space="preserve"> </w:t>
      </w:r>
    </w:p>
    <w:p>
      <w:pPr>
        <w:pageBreakBefore w:val="0"/>
        <w:widowControl w:val="0"/>
        <w:kinsoku/>
        <w:wordWrap/>
        <w:overflowPunct/>
        <w:topLinePunct w:val="0"/>
        <w:bidi w:val="0"/>
        <w:spacing w:line="560" w:lineRule="exact"/>
        <w:ind w:firstLineChars="200" w:firstLine="640"/>
        <w:outlineLvl w:val="2"/>
        <w:rPr>
          <w:rFonts w:ascii="楷体" w:eastAsia="楷体" w:cs="楷体" w:hint="eastAsia"/>
          <w:b/>
          <w:color w:val="000000"/>
          <w:sz w:val="32"/>
          <w:szCs w:val="32"/>
        </w:rPr>
      </w:pPr>
      <w:bookmarkStart w:id="68" w:name="_Toc15377223"/>
      <w:r>
        <w:rPr>
          <w:rFonts w:ascii="楷体" w:eastAsia="楷体" w:cs="楷体" w:hint="eastAsia"/>
          <w:b/>
          <w:color w:val="000000"/>
          <w:sz w:val="32"/>
          <w:szCs w:val="32"/>
        </w:rPr>
        <w:t>（二）政府采购支出情况</w:t>
      </w:r>
      <w:bookmarkEnd w:id="68"/>
      <w:r>
        <w:rPr>
          <w:rFonts w:ascii="楷体" w:eastAsia="楷体" w:cs="楷体" w:hint="eastAsia"/>
          <w:b/>
          <w:color w:val="000000"/>
          <w:sz w:val="32"/>
          <w:szCs w:val="32"/>
        </w:rPr>
        <w:t>(机构运行信息表)</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olor w:val="000000"/>
          <w:sz w:val="32"/>
          <w:szCs w:val="32"/>
        </w:rPr>
      </w:pPr>
      <w:r>
        <w:rPr>
          <w:rFonts w:ascii="仿宋" w:eastAsia="仿宋" w:hint="eastAsia"/>
          <w:color w:val="000000"/>
          <w:sz w:val="32"/>
          <w:szCs w:val="32"/>
        </w:rPr>
        <w:t>2021年，政府采购支出总额2491.43万元，其中：政府采购货物支出1344.86万元、政府采购工程支出796.77万元、政府采购服务支出349.80万元。授予中小企业合同金额2491.43万元，其中：授予小微企业合同金额2491.43万元，占总合同的100.00%。</w:t>
      </w:r>
    </w:p>
    <w:p>
      <w:pPr>
        <w:pageBreakBefore w:val="0"/>
        <w:widowControl w:val="0"/>
        <w:kinsoku/>
        <w:wordWrap/>
        <w:overflowPunct/>
        <w:topLinePunct w:val="0"/>
        <w:bidi w:val="0"/>
        <w:spacing w:line="560" w:lineRule="exact"/>
        <w:ind w:firstLineChars="200" w:firstLine="640"/>
        <w:outlineLvl w:val="2"/>
        <w:rPr>
          <w:rFonts w:ascii="楷体" w:eastAsia="楷体" w:cs="楷体" w:hint="eastAsia"/>
          <w:b/>
          <w:color w:val="000000"/>
          <w:sz w:val="32"/>
          <w:szCs w:val="32"/>
        </w:rPr>
      </w:pPr>
      <w:bookmarkStart w:id="69" w:name="_Toc15377224"/>
      <w:r>
        <w:rPr>
          <w:rFonts w:ascii="楷体" w:eastAsia="楷体" w:cs="楷体" w:hint="eastAsia"/>
          <w:b/>
          <w:color w:val="000000"/>
          <w:sz w:val="32"/>
          <w:szCs w:val="32"/>
        </w:rPr>
        <w:t>（三）国有资产占有使用情况</w:t>
      </w:r>
      <w:bookmarkEnd w:id="69"/>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截至2021年12月31日，共有车辆28辆，其中：主要领导干部用车0辆、机要通信用车0辆、应急保障用车0辆、其他用车0辆</w:t>
      </w:r>
      <w:r>
        <w:rPr>
          <w:rFonts w:ascii="仿宋_GB2312" w:eastAsia="仿宋_GB2312" w:cs="仿宋_GB2312" w:hint="eastAsia"/>
          <w:color w:val="000000"/>
          <w:sz w:val="32"/>
          <w:szCs w:val="32"/>
          <w:lang w:eastAsia="zh-CN"/>
        </w:rPr>
        <w:t>、执法执勤用车</w:t>
      </w:r>
      <w:r>
        <w:rPr>
          <w:rFonts w:ascii="仿宋_GB2312" w:eastAsia="仿宋_GB2312" w:cs="仿宋_GB2312" w:hint="eastAsia"/>
          <w:color w:val="000000"/>
          <w:sz w:val="32"/>
          <w:szCs w:val="32"/>
          <w:lang w:val="en-US" w:eastAsia="zh-CN"/>
        </w:rPr>
        <w:t>9辆、特种专业技术用车19辆</w:t>
      </w:r>
      <w:r>
        <w:rPr>
          <w:rFonts w:ascii="仿宋_GB2312" w:eastAsia="仿宋_GB2312" w:cs="仿宋_GB2312" w:hint="eastAsia"/>
          <w:color w:val="000000"/>
          <w:sz w:val="32"/>
          <w:szCs w:val="32"/>
        </w:rPr>
        <w:t>。单价50万元以上通用设备0台（套），单价100万元以上专用设备0台（套）。</w:t>
      </w:r>
    </w:p>
    <w:p>
      <w:pPr>
        <w:pageBreakBefore w:val="0"/>
        <w:widowControl w:val="0"/>
        <w:kinsoku/>
        <w:wordWrap/>
        <w:overflowPunct/>
        <w:topLinePunct w:val="0"/>
        <w:bidi w:val="0"/>
        <w:spacing w:line="560" w:lineRule="exact"/>
        <w:ind w:firstLineChars="200" w:firstLine="640"/>
        <w:outlineLvl w:val="2"/>
        <w:rPr>
          <w:rFonts w:ascii="楷体" w:eastAsia="楷体" w:cs="楷体" w:hint="eastAsia"/>
          <w:b/>
          <w:color w:val="000000"/>
          <w:sz w:val="32"/>
          <w:szCs w:val="32"/>
        </w:rPr>
      </w:pPr>
      <w:r>
        <w:rPr>
          <w:rFonts w:ascii="楷体" w:eastAsia="楷体" w:cs="楷体" w:hint="eastAsia"/>
          <w:b/>
          <w:color w:val="000000"/>
          <w:sz w:val="32"/>
          <w:szCs w:val="32"/>
        </w:rPr>
        <w:t>（四）预算绩效管理情况</w:t>
      </w:r>
    </w:p>
    <w:p>
      <w:pPr>
        <w:pStyle w:val="34"/>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sz w:val="32"/>
          <w:szCs w:val="32"/>
        </w:rPr>
      </w:pPr>
      <w:r>
        <w:rPr>
          <w:rFonts w:ascii="仿宋_GB2312" w:eastAsia="仿宋_GB2312" w:cs="仿宋_GB2312" w:hint="eastAsia"/>
          <w:sz w:val="32"/>
          <w:szCs w:val="32"/>
        </w:rPr>
        <w:t>根据预算绩效管理要求，</w:t>
      </w:r>
      <w:r>
        <w:rPr>
          <w:rFonts w:ascii="仿宋_GB2312" w:eastAsia="仿宋_GB2312" w:cs="仿宋_GB2312" w:hint="eastAsia"/>
          <w:sz w:val="32"/>
          <w:szCs w:val="32"/>
          <w:lang w:eastAsia="zh-CN"/>
        </w:rPr>
        <w:t>茂县林业和草原局</w:t>
      </w:r>
      <w:r>
        <w:rPr>
          <w:rFonts w:ascii="仿宋_GB2312" w:eastAsia="仿宋_GB2312" w:cs="仿宋_GB2312" w:hint="eastAsia"/>
          <w:sz w:val="32"/>
          <w:szCs w:val="32"/>
        </w:rPr>
        <w:t>在年初预算编制阶段，组织对</w:t>
      </w:r>
      <w:r>
        <w:rPr>
          <w:rFonts w:ascii="仿宋_GB2312" w:eastAsia="仿宋_GB2312" w:cs="仿宋_GB2312" w:hint="eastAsia"/>
          <w:sz w:val="32"/>
          <w:szCs w:val="32"/>
          <w:lang w:val="en-US" w:eastAsia="zh-CN"/>
        </w:rPr>
        <w:t>5</w:t>
      </w:r>
      <w:r>
        <w:rPr>
          <w:rFonts w:ascii="仿宋_GB2312" w:eastAsia="仿宋_GB2312" w:cs="仿宋_GB2312" w:hint="eastAsia"/>
          <w:sz w:val="32"/>
          <w:szCs w:val="32"/>
        </w:rPr>
        <w:t>项目开展了预算事前绩效评估，对</w:t>
      </w:r>
      <w:r>
        <w:rPr>
          <w:rFonts w:ascii="仿宋_GB2312" w:eastAsia="仿宋_GB2312" w:cs="仿宋_GB2312" w:hint="eastAsia"/>
          <w:sz w:val="32"/>
          <w:szCs w:val="32"/>
          <w:lang w:val="en-US" w:eastAsia="zh-CN"/>
        </w:rPr>
        <w:t>5</w:t>
      </w:r>
      <w:r>
        <w:rPr>
          <w:rFonts w:ascii="仿宋_GB2312" w:eastAsia="仿宋_GB2312" w:cs="仿宋_GB2312" w:hint="eastAsia"/>
          <w:sz w:val="32"/>
          <w:szCs w:val="32"/>
        </w:rPr>
        <w:t>个项目编制了绩效目标，预算执行过程中，选取</w:t>
      </w:r>
      <w:r>
        <w:rPr>
          <w:rFonts w:ascii="仿宋_GB2312" w:eastAsia="仿宋_GB2312" w:cs="仿宋_GB2312" w:hint="eastAsia"/>
          <w:sz w:val="32"/>
          <w:szCs w:val="32"/>
          <w:lang w:val="en-US" w:eastAsia="zh-CN"/>
        </w:rPr>
        <w:t>5</w:t>
      </w:r>
      <w:r>
        <w:rPr>
          <w:rFonts w:ascii="仿宋_GB2312" w:eastAsia="仿宋_GB2312" w:cs="仿宋_GB2312" w:hint="eastAsia"/>
          <w:sz w:val="32"/>
          <w:szCs w:val="32"/>
        </w:rPr>
        <w:t>个项目开展绩效监控，年终执行完毕后，对</w:t>
      </w:r>
      <w:r>
        <w:rPr>
          <w:rFonts w:ascii="仿宋_GB2312" w:eastAsia="仿宋_GB2312" w:cs="仿宋_GB2312" w:hint="eastAsia"/>
          <w:sz w:val="32"/>
          <w:szCs w:val="32"/>
          <w:lang w:val="en-US" w:eastAsia="zh-CN"/>
        </w:rPr>
        <w:t>5</w:t>
      </w:r>
      <w:r>
        <w:rPr>
          <w:rFonts w:ascii="仿宋_GB2312" w:eastAsia="仿宋_GB2312" w:cs="仿宋_GB2312" w:hint="eastAsia"/>
          <w:sz w:val="32"/>
          <w:szCs w:val="32"/>
        </w:rPr>
        <w:t>个项目开展了绩效目标完成情况自评。</w:t>
      </w:r>
    </w:p>
    <w:p>
      <w:pPr>
        <w:pStyle w:val="34"/>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茂县林业和草原局</w:t>
      </w:r>
      <w:r>
        <w:rPr>
          <w:rFonts w:ascii="仿宋_GB2312" w:eastAsia="仿宋_GB2312" w:cs="仿宋_GB2312" w:hint="eastAsia"/>
          <w:sz w:val="32"/>
          <w:szCs w:val="32"/>
        </w:rPr>
        <w:t>按要求对</w:t>
      </w:r>
      <w:r>
        <w:rPr>
          <w:rFonts w:ascii="仿宋_GB2312" w:eastAsia="仿宋_GB2312" w:cs="仿宋_GB2312"/>
          <w:sz w:val="32"/>
          <w:szCs w:val="32"/>
        </w:rPr>
        <w:t>202</w:t>
      </w:r>
      <w:r>
        <w:rPr>
          <w:rFonts w:ascii="仿宋_GB2312" w:eastAsia="仿宋_GB2312" w:cs="仿宋_GB2312" w:hint="eastAsia"/>
          <w:sz w:val="32"/>
          <w:szCs w:val="32"/>
          <w:lang w:val="en-US" w:eastAsia="zh-CN"/>
        </w:rPr>
        <w:t>1</w:t>
      </w:r>
      <w:r>
        <w:rPr>
          <w:rFonts w:ascii="仿宋_GB2312" w:eastAsia="仿宋_GB2312" w:cs="仿宋_GB2312" w:hint="eastAsia"/>
          <w:sz w:val="32"/>
          <w:szCs w:val="32"/>
        </w:rPr>
        <w:t>年部门整体支出开展绩效自评，从评价情况来看</w:t>
      </w:r>
      <w:r>
        <w:rPr>
          <w:rFonts w:ascii="仿宋_GB2312" w:eastAsia="仿宋_GB2312" w:cs="仿宋_GB2312" w:hint="eastAsia"/>
          <w:sz w:val="32"/>
          <w:szCs w:val="32"/>
          <w:lang w:val="en-US" w:eastAsia="zh-CN"/>
        </w:rPr>
        <w:t>2021</w:t>
      </w:r>
      <w:r>
        <w:rPr>
          <w:rFonts w:ascii="仿宋_GB2312" w:eastAsia="仿宋_GB2312" w:hint="eastAsia"/>
          <w:sz w:val="32"/>
          <w:szCs w:val="32"/>
        </w:rPr>
        <w:t>年我单位整体支出绩效评价自查自评结果良好,全年基本支出保证了单位的正常运行和日常工作的正常开展,项目支出保障了重点工作的开展,绩效目标得到较好实现,绩效管理水平不断提高,绩效指标体系逐渐丰富和完善</w:t>
      </w:r>
      <w:r>
        <w:rPr>
          <w:rFonts w:ascii="仿宋_GB2312" w:eastAsia="仿宋_GB2312" w:cs="仿宋_GB2312" w:hint="eastAsia"/>
          <w:sz w:val="32"/>
          <w:szCs w:val="32"/>
        </w:rPr>
        <w:t>。</w:t>
      </w:r>
    </w:p>
    <w:p>
      <w:pPr>
        <w:pStyle w:val="34"/>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sz w:val="32"/>
          <w:szCs w:val="32"/>
        </w:rPr>
      </w:pPr>
      <w:r>
        <w:rPr>
          <w:rFonts w:ascii="仿宋_GB2312" w:eastAsia="仿宋_GB2312" w:cs="仿宋_GB2312" w:hint="eastAsia"/>
          <w:sz w:val="32"/>
          <w:szCs w:val="32"/>
          <w:lang w:val="en-US" w:eastAsia="zh-CN"/>
        </w:rPr>
        <w:t>1.</w:t>
      </w:r>
      <w:r>
        <w:rPr>
          <w:rFonts w:ascii="仿宋_GB2312" w:eastAsia="仿宋_GB2312" w:cs="仿宋_GB2312" w:hint="eastAsia"/>
          <w:b/>
          <w:bCs/>
          <w:sz w:val="32"/>
          <w:szCs w:val="32"/>
        </w:rPr>
        <w:t>项目绩效目标完成情况</w:t>
      </w:r>
    </w:p>
    <w:p>
      <w:pPr>
        <w:pStyle w:val="41"/>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本部门在202</w:t>
      </w:r>
      <w:r>
        <w:rPr>
          <w:rFonts w:ascii="仿宋_GB2312" w:eastAsia="仿宋_GB2312" w:cs="仿宋_GB2312" w:hint="eastAsia"/>
          <w:sz w:val="32"/>
          <w:szCs w:val="32"/>
          <w:lang w:val="en-US" w:eastAsia="zh-CN"/>
        </w:rPr>
        <w:t>1</w:t>
      </w:r>
      <w:r>
        <w:rPr>
          <w:rFonts w:ascii="仿宋_GB2312" w:eastAsia="仿宋_GB2312" w:cs="仿宋_GB2312" w:hint="eastAsia"/>
          <w:sz w:val="32"/>
          <w:szCs w:val="32"/>
        </w:rPr>
        <w:t>年度部门决算中反映“</w:t>
      </w:r>
      <w:r>
        <w:rPr>
          <w:rFonts w:ascii="仿宋_GB2312" w:eastAsia="仿宋_GB2312" w:cs="仿宋_GB2312" w:hint="eastAsia"/>
          <w:sz w:val="32"/>
          <w:szCs w:val="32"/>
          <w:lang w:eastAsia="zh-CN"/>
        </w:rPr>
        <w:t>生态护林（草）员</w:t>
      </w:r>
      <w:r>
        <w:rPr>
          <w:rFonts w:ascii="仿宋_GB2312" w:eastAsia="仿宋_GB2312" w:cs="仿宋_GB2312" w:hint="eastAsia"/>
          <w:sz w:val="32"/>
          <w:szCs w:val="32"/>
        </w:rPr>
        <w:t>”</w:t>
      </w:r>
      <w:r>
        <w:rPr>
          <w:rFonts w:ascii="仿宋_GB2312" w:eastAsia="仿宋_GB2312" w:cs="仿宋_GB2312" w:hint="eastAsia"/>
          <w:sz w:val="32"/>
          <w:szCs w:val="32"/>
          <w:lang w:eastAsia="zh-CN"/>
        </w:rPr>
        <w:t>“集体和天然商品林停伐管护补助项目”</w:t>
      </w:r>
      <w:r>
        <w:rPr>
          <w:rFonts w:ascii="仿宋_GB2312" w:eastAsia="仿宋_GB2312" w:cs="仿宋_GB2312" w:hint="eastAsia"/>
          <w:sz w:val="32"/>
          <w:szCs w:val="32"/>
        </w:rPr>
        <w:t>“茂县茅香坪工区至土地岭防灭火道路项目”</w:t>
      </w:r>
      <w:r>
        <w:rPr>
          <w:rFonts w:ascii="仿宋_GB2312" w:eastAsia="仿宋_GB2312" w:cs="仿宋_GB2312" w:hint="eastAsia"/>
          <w:sz w:val="32"/>
          <w:szCs w:val="32"/>
          <w:lang w:eastAsia="zh-CN"/>
        </w:rPr>
        <w:t>“森林生态效益补偿”</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防火阻隔系统建设项目</w:t>
      </w:r>
      <w:r>
        <w:rPr>
          <w:rFonts w:ascii="仿宋_GB2312" w:eastAsia="仿宋_GB2312" w:cs="仿宋_GB2312" w:hint="eastAsia"/>
          <w:sz w:val="32"/>
          <w:szCs w:val="32"/>
        </w:rPr>
        <w:t>”等</w:t>
      </w:r>
      <w:r>
        <w:rPr>
          <w:rFonts w:ascii="仿宋_GB2312" w:eastAsia="仿宋_GB2312" w:cs="仿宋_GB2312" w:hint="eastAsia"/>
          <w:sz w:val="32"/>
          <w:szCs w:val="32"/>
          <w:lang w:val="en-US" w:eastAsia="zh-CN"/>
        </w:rPr>
        <w:t>5</w:t>
      </w:r>
      <w:r>
        <w:rPr>
          <w:rFonts w:ascii="仿宋_GB2312" w:eastAsia="仿宋_GB2312" w:cs="仿宋_GB2312" w:hint="eastAsia"/>
          <w:sz w:val="32"/>
          <w:szCs w:val="32"/>
        </w:rPr>
        <w:t>个项目绩效目标实际完成情况。</w:t>
      </w:r>
      <w:r>
        <w:rPr>
          <w:rFonts w:ascii="仿宋_GB2312" w:eastAsia="仿宋_GB2312" w:cs="仿宋_GB2312" w:hint="eastAsia"/>
          <w:sz w:val="32"/>
          <w:szCs w:val="32"/>
          <w:lang w:val="en-US" w:eastAsia="zh-CN"/>
        </w:rPr>
        <w:t xml:space="preserve">     </w:t>
      </w:r>
    </w:p>
    <w:p>
      <w:pPr>
        <w:pStyle w:val="41"/>
        <w:keepNext w:val="0"/>
        <w:keepLines w:val="0"/>
        <w:pageBreakBefore w:val="0"/>
        <w:widowControl w:val="0"/>
        <w:kinsoku/>
        <w:wordWrap/>
        <w:overflowPunct/>
        <w:topLinePunct w:val="0"/>
        <w:autoSpaceDE/>
        <w:autoSpaceDN/>
        <w:bidi w:val="0"/>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w:t>
      </w:r>
      <w:r>
        <w:rPr>
          <w:rFonts w:ascii="仿宋_GB2312" w:eastAsia="仿宋_GB2312" w:cs="仿宋_GB2312" w:hint="eastAsia"/>
          <w:sz w:val="32"/>
          <w:szCs w:val="32"/>
          <w:lang w:val="zh-CN" w:eastAsia="zh-CN"/>
        </w:rPr>
        <w:t>生态护林（草）员</w:t>
      </w:r>
      <w:r>
        <w:rPr>
          <w:rFonts w:ascii="仿宋_GB2312" w:eastAsia="仿宋_GB2312" w:cs="仿宋_GB2312" w:hint="eastAsia"/>
          <w:sz w:val="32"/>
          <w:szCs w:val="32"/>
          <w:lang w:val="en-US" w:eastAsia="zh-CN"/>
        </w:rPr>
        <w:t>项目</w:t>
      </w:r>
      <w:r>
        <w:rPr>
          <w:rFonts w:ascii="仿宋_GB2312" w:eastAsia="仿宋_GB2312" w:cs="仿宋_GB2312" w:hint="eastAsia"/>
          <w:sz w:val="32"/>
          <w:szCs w:val="32"/>
          <w:lang w:eastAsia="zh-CN"/>
        </w:rPr>
        <w:t>绩效目</w:t>
      </w:r>
      <w:r>
        <w:rPr>
          <w:rFonts w:ascii="仿宋_GB2312" w:eastAsia="仿宋_GB2312" w:cs="仿宋_GB2312" w:hint="eastAsia"/>
          <w:sz w:val="32"/>
          <w:szCs w:val="32"/>
        </w:rPr>
        <w:t>标完成情况</w:t>
      </w:r>
      <w:r>
        <w:rPr>
          <w:rFonts w:ascii="仿宋_GB2312" w:eastAsia="仿宋_GB2312" w:cs="仿宋_GB2312" w:hint="eastAsia"/>
          <w:b/>
          <w:bCs/>
          <w:color w:val="000000"/>
          <w:sz w:val="32"/>
          <w:szCs w:val="32"/>
          <w:shd w:val="clear" w:color="auto" w:fill="FFFFFF"/>
          <w:lang w:val="zh-CN" w:eastAsia="zh-CN"/>
        </w:rPr>
        <w:t>。</w:t>
      </w:r>
      <w:r>
        <w:rPr>
          <w:rFonts w:ascii="仿宋_GB2312" w:eastAsia="仿宋_GB2312" w:cs="仿宋_GB2312" w:hint="eastAsia"/>
          <w:sz w:val="32"/>
          <w:szCs w:val="32"/>
        </w:rPr>
        <w:t>项目全年预算数</w:t>
      </w:r>
      <w:r>
        <w:rPr>
          <w:rFonts w:ascii="仿宋_GB2312" w:eastAsia="仿宋_GB2312" w:cs="仿宋_GB2312" w:hint="eastAsia"/>
          <w:sz w:val="32"/>
          <w:szCs w:val="32"/>
          <w:lang w:val="en-US" w:eastAsia="zh-CN"/>
        </w:rPr>
        <w:t>301</w:t>
      </w:r>
      <w:r>
        <w:rPr>
          <w:rFonts w:ascii="仿宋_GB2312" w:eastAsia="仿宋_GB2312" w:cs="仿宋_GB2312" w:hint="eastAsia"/>
          <w:sz w:val="32"/>
          <w:szCs w:val="32"/>
        </w:rPr>
        <w:t>万元，执行数为</w:t>
      </w:r>
      <w:r>
        <w:rPr>
          <w:rFonts w:ascii="仿宋_GB2312" w:eastAsia="仿宋_GB2312" w:cs="仿宋_GB2312" w:hint="eastAsia"/>
          <w:sz w:val="32"/>
          <w:szCs w:val="32"/>
          <w:lang w:val="en-US" w:eastAsia="zh-CN"/>
        </w:rPr>
        <w:t>301</w:t>
      </w:r>
      <w:r>
        <w:rPr>
          <w:rFonts w:ascii="仿宋_GB2312" w:eastAsia="仿宋_GB2312" w:cs="仿宋_GB2312" w:hint="eastAsia"/>
          <w:sz w:val="32"/>
          <w:szCs w:val="32"/>
        </w:rPr>
        <w:t>万元，完成预算的</w:t>
      </w:r>
      <w:r>
        <w:rPr>
          <w:rFonts w:ascii="仿宋_GB2312" w:eastAsia="仿宋_GB2312" w:cs="仿宋_GB2312" w:hint="eastAsia"/>
          <w:sz w:val="32"/>
          <w:szCs w:val="32"/>
          <w:lang w:val="en-US" w:eastAsia="zh-CN"/>
        </w:rPr>
        <w:t>100</w:t>
      </w:r>
      <w:r>
        <w:rPr>
          <w:rFonts w:ascii="仿宋_GB2312" w:eastAsia="仿宋_GB2312" w:cs="仿宋_GB2312" w:hint="eastAsia"/>
          <w:sz w:val="32"/>
          <w:szCs w:val="32"/>
        </w:rPr>
        <w:t>%。通过生态</w:t>
      </w:r>
      <w:r>
        <w:rPr>
          <w:rFonts w:ascii="仿宋_GB2312" w:eastAsia="仿宋_GB2312" w:cs="仿宋_GB2312" w:hint="eastAsia"/>
          <w:sz w:val="32"/>
          <w:szCs w:val="32"/>
          <w:lang w:eastAsia="zh-CN"/>
        </w:rPr>
        <w:t>管护员项目</w:t>
      </w:r>
      <w:r>
        <w:rPr>
          <w:rFonts w:ascii="仿宋_GB2312" w:eastAsia="仿宋_GB2312" w:cs="仿宋_GB2312" w:hint="eastAsia"/>
          <w:sz w:val="32"/>
          <w:szCs w:val="32"/>
        </w:rPr>
        <w:t>实施，进一步扩大了护林管护队伍，加强了生态保护建设，林草综合覆盖率逐步提高，森林面积蓄积实现双增长，持续改善和优化生态环境。发现的主要问题</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无</w:t>
      </w:r>
      <w:r>
        <w:rPr>
          <w:rFonts w:ascii="仿宋_GB2312" w:eastAsia="仿宋_GB2312" w:cs="仿宋_GB2312" w:hint="eastAsia"/>
          <w:sz w:val="32"/>
          <w:szCs w:val="32"/>
        </w:rPr>
        <w:t>。下一步改进措施</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无。</w:t>
      </w:r>
    </w:p>
    <w:p>
      <w:pPr>
        <w:pStyle w:val="41"/>
        <w:keepNext w:val="0"/>
        <w:keepLines w:val="0"/>
        <w:pageBreakBefore w:val="0"/>
        <w:widowControl w:val="0"/>
        <w:kinsoku/>
        <w:wordWrap/>
        <w:overflowPunct/>
        <w:topLinePunct w:val="0"/>
        <w:autoSpaceDE/>
        <w:autoSpaceDN/>
        <w:bidi w:val="0"/>
        <w:spacing w:line="560" w:lineRule="exact"/>
        <w:ind w:firstLineChars="200" w:firstLine="640"/>
        <w:textAlignment w:val="auto"/>
        <w:rPr>
          <w:rFonts w:ascii="仿宋_GB2312" w:eastAsia="仿宋_GB2312" w:cs="仿宋_GB2312" w:hint="eastAsia"/>
          <w:sz w:val="32"/>
          <w:szCs w:val="32"/>
          <w:lang w:eastAsia="zh-CN"/>
        </w:rPr>
      </w:pPr>
      <w:r>
        <w:rPr>
          <w:rFonts w:ascii="仿宋_GB2312" w:eastAsia="仿宋_GB2312" w:cs="仿宋_GB2312" w:hint="eastAsia"/>
          <w:sz w:val="32"/>
          <w:szCs w:val="32"/>
          <w:lang w:val="en-US" w:eastAsia="zh-CN"/>
        </w:rPr>
        <w:t>（2）集体和个人天然商品林停伐管护补助项目绩效</w:t>
      </w:r>
      <w:r>
        <w:rPr>
          <w:rFonts w:ascii="仿宋_GB2312" w:eastAsia="仿宋_GB2312" w:cs="仿宋_GB2312" w:hint="eastAsia"/>
          <w:sz w:val="32"/>
          <w:szCs w:val="32"/>
        </w:rPr>
        <w:t>目标完成情况</w:t>
      </w:r>
      <w:r>
        <w:rPr>
          <w:rFonts w:ascii="仿宋_GB2312" w:eastAsia="仿宋_GB2312" w:cs="仿宋_GB2312" w:hint="eastAsia"/>
          <w:b/>
          <w:bCs/>
          <w:color w:val="000000"/>
          <w:sz w:val="32"/>
          <w:szCs w:val="32"/>
          <w:shd w:val="clear" w:color="auto" w:fill="FFFFFF"/>
          <w:lang w:eastAsia="zh-CN"/>
        </w:rPr>
        <w:t>。</w:t>
      </w:r>
      <w:r>
        <w:rPr>
          <w:rFonts w:ascii="仿宋_GB2312" w:eastAsia="仿宋_GB2312" w:cs="仿宋_GB2312" w:hint="eastAsia"/>
          <w:sz w:val="32"/>
          <w:szCs w:val="32"/>
        </w:rPr>
        <w:t>项目全年预算数</w:t>
      </w:r>
      <w:r>
        <w:rPr>
          <w:rFonts w:ascii="仿宋_GB2312" w:eastAsia="仿宋_GB2312" w:cs="仿宋_GB2312" w:hint="eastAsia"/>
          <w:sz w:val="32"/>
          <w:szCs w:val="32"/>
          <w:lang w:val="en-US" w:eastAsia="zh-CN"/>
        </w:rPr>
        <w:t>397.3</w:t>
      </w:r>
      <w:r>
        <w:rPr>
          <w:rFonts w:ascii="仿宋_GB2312" w:eastAsia="仿宋_GB2312" w:cs="仿宋_GB2312" w:hint="eastAsia"/>
          <w:sz w:val="32"/>
          <w:szCs w:val="32"/>
        </w:rPr>
        <w:t>万元，执行数为</w:t>
      </w:r>
      <w:r>
        <w:rPr>
          <w:rFonts w:ascii="仿宋_GB2312" w:eastAsia="仿宋_GB2312" w:cs="仿宋_GB2312" w:hint="eastAsia"/>
          <w:sz w:val="32"/>
          <w:szCs w:val="32"/>
          <w:lang w:val="en-US" w:eastAsia="zh-CN"/>
        </w:rPr>
        <w:t>397.3</w:t>
      </w:r>
      <w:r>
        <w:rPr>
          <w:rFonts w:ascii="仿宋_GB2312" w:eastAsia="仿宋_GB2312" w:cs="仿宋_GB2312" w:hint="eastAsia"/>
          <w:sz w:val="32"/>
          <w:szCs w:val="32"/>
        </w:rPr>
        <w:t>万元，完成预算的</w:t>
      </w:r>
      <w:r>
        <w:rPr>
          <w:rFonts w:ascii="仿宋_GB2312" w:eastAsia="仿宋_GB2312" w:cs="仿宋_GB2312" w:hint="eastAsia"/>
          <w:sz w:val="32"/>
          <w:szCs w:val="32"/>
          <w:lang w:val="en-US" w:eastAsia="zh-CN"/>
        </w:rPr>
        <w:t>100</w:t>
      </w:r>
      <w:r>
        <w:rPr>
          <w:rFonts w:ascii="仿宋_GB2312" w:eastAsia="仿宋_GB2312" w:cs="仿宋_GB2312" w:hint="eastAsia"/>
          <w:sz w:val="32"/>
          <w:szCs w:val="32"/>
        </w:rPr>
        <w:t>%。通过实施集体和个人所有天然商品林停伐补助，使全县涉及</w:t>
      </w:r>
      <w:r>
        <w:rPr>
          <w:rFonts w:ascii="仿宋_GB2312" w:eastAsia="仿宋_GB2312" w:cs="仿宋_GB2312" w:hint="eastAsia"/>
          <w:sz w:val="32"/>
          <w:szCs w:val="32"/>
          <w:lang w:val="en-US" w:eastAsia="zh-CN"/>
        </w:rPr>
        <w:t>11</w:t>
      </w:r>
      <w:r>
        <w:rPr>
          <w:rFonts w:ascii="仿宋_GB2312" w:eastAsia="仿宋_GB2312" w:cs="仿宋_GB2312" w:hint="eastAsia"/>
          <w:sz w:val="32"/>
          <w:szCs w:val="32"/>
        </w:rPr>
        <w:t>个镇，</w:t>
      </w:r>
      <w:r>
        <w:rPr>
          <w:rFonts w:ascii="仿宋_GB2312" w:eastAsia="仿宋_GB2312" w:cs="仿宋_GB2312" w:hint="eastAsia"/>
          <w:sz w:val="32"/>
          <w:szCs w:val="32"/>
          <w:lang w:val="en-US" w:eastAsia="zh-CN"/>
        </w:rPr>
        <w:t>69</w:t>
      </w:r>
      <w:r>
        <w:rPr>
          <w:rFonts w:ascii="仿宋_GB2312" w:eastAsia="仿宋_GB2312" w:cs="仿宋_GB2312" w:hint="eastAsia"/>
          <w:sz w:val="32"/>
          <w:szCs w:val="32"/>
        </w:rPr>
        <w:t>个村，农户1.7万余户，受益人口5万余人。增加了群众收入，提高当地群众生活生产水平和改善了生活生产条件</w:t>
      </w:r>
      <w:r>
        <w:rPr>
          <w:rFonts w:ascii="仿宋_GB2312" w:eastAsia="仿宋_GB2312" w:cs="仿宋_GB2312" w:hint="eastAsia"/>
          <w:sz w:val="32"/>
          <w:szCs w:val="32"/>
          <w:lang w:val="en-US" w:eastAsia="zh-CN"/>
        </w:rPr>
        <w:t>,</w:t>
      </w:r>
      <w:r>
        <w:rPr>
          <w:rFonts w:ascii="仿宋_GB2312" w:eastAsia="仿宋_GB2312" w:cs="仿宋_GB2312" w:hint="eastAsia"/>
          <w:sz w:val="32"/>
          <w:szCs w:val="32"/>
        </w:rPr>
        <w:t>增强了水源涵养能力，保护了生态环境和生物多样性，为建设长江上游重要生态屏障作了巨大贡献。发现的主要问题</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无</w:t>
      </w:r>
      <w:r>
        <w:rPr>
          <w:rFonts w:ascii="仿宋_GB2312" w:eastAsia="仿宋_GB2312" w:cs="仿宋_GB2312" w:hint="eastAsia"/>
          <w:sz w:val="32"/>
          <w:szCs w:val="32"/>
        </w:rPr>
        <w:t>。下一步改进措施</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无。</w:t>
      </w:r>
    </w:p>
    <w:p>
      <w:pPr>
        <w:pStyle w:val="41"/>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eastAsia="zh-CN"/>
        </w:rPr>
      </w:pPr>
      <w:r>
        <w:rPr>
          <w:rFonts w:ascii="仿宋_GB2312" w:eastAsia="仿宋_GB2312" w:cs="仿宋_GB2312" w:hint="eastAsia"/>
          <w:sz w:val="32"/>
          <w:szCs w:val="32"/>
          <w:lang w:val="en-US" w:eastAsia="zh-CN"/>
        </w:rPr>
        <w:t>（3）</w:t>
      </w:r>
      <w:r>
        <w:rPr>
          <w:rFonts w:ascii="仿宋_GB2312" w:eastAsia="仿宋_GB2312" w:cs="仿宋_GB2312" w:hint="eastAsia"/>
          <w:sz w:val="32"/>
          <w:szCs w:val="32"/>
        </w:rPr>
        <w:t>茂县茅香坪工区至土地岭防灭火道路项目</w:t>
      </w:r>
      <w:r>
        <w:rPr>
          <w:rFonts w:ascii="仿宋_GB2312" w:eastAsia="仿宋_GB2312" w:cs="仿宋_GB2312" w:hint="eastAsia"/>
          <w:sz w:val="32"/>
          <w:szCs w:val="32"/>
          <w:lang w:val="en-US" w:eastAsia="zh-CN"/>
        </w:rPr>
        <w:t>项目绩效目</w:t>
      </w:r>
      <w:r>
        <w:rPr>
          <w:rFonts w:ascii="仿宋_GB2312" w:eastAsia="仿宋_GB2312" w:cs="仿宋_GB2312" w:hint="eastAsia"/>
          <w:sz w:val="32"/>
          <w:szCs w:val="32"/>
        </w:rPr>
        <w:t>标完</w:t>
      </w:r>
      <w:r>
        <w:rPr>
          <w:rFonts w:ascii="仿宋_GB2312" w:eastAsia="仿宋_GB2312" w:cs="仿宋_GB2312" w:hint="eastAsia"/>
          <w:sz w:val="32"/>
          <w:szCs w:val="32"/>
          <w:lang w:val="en-US" w:eastAsia="zh-CN"/>
        </w:rPr>
        <w:t>成情况。项目全年预算数210万元，执行数为199.729189万元，完成预算的95.11%。通过项目实施，</w:t>
      </w:r>
      <w:r>
        <w:rPr>
          <w:rFonts w:ascii="仿宋_GB2312" w:eastAsia="仿宋_GB2312" w:cs="仿宋_GB2312" w:hint="eastAsia"/>
          <w:sz w:val="32"/>
          <w:szCs w:val="32"/>
        </w:rPr>
        <w:t>有利于保护</w:t>
      </w:r>
      <w:r>
        <w:rPr>
          <w:rFonts w:ascii="仿宋_GB2312" w:eastAsia="仿宋_GB2312" w:cs="仿宋_GB2312" w:hint="eastAsia"/>
          <w:sz w:val="32"/>
          <w:szCs w:val="32"/>
          <w:lang w:val="en-US" w:eastAsia="zh-CN"/>
        </w:rPr>
        <w:t>土地岭国有林区</w:t>
      </w:r>
      <w:r>
        <w:rPr>
          <w:rFonts w:ascii="仿宋_GB2312" w:eastAsia="仿宋_GB2312" w:cs="仿宋_GB2312" w:hint="eastAsia"/>
          <w:sz w:val="32"/>
          <w:szCs w:val="32"/>
        </w:rPr>
        <w:t>森林资源的稳定，促进林业事业发展，维护人居生态环境，改善人们生产、生活条件</w:t>
      </w:r>
      <w:r>
        <w:rPr>
          <w:rFonts w:ascii="仿宋_GB2312" w:eastAsia="仿宋_GB2312" w:cs="仿宋_GB2312" w:hint="eastAsia"/>
          <w:sz w:val="32"/>
          <w:szCs w:val="32"/>
          <w:lang w:eastAsia="zh-CN"/>
        </w:rPr>
        <w:t>，</w:t>
      </w:r>
      <w:r>
        <w:rPr>
          <w:rFonts w:ascii="仿宋_GB2312" w:eastAsia="仿宋_GB2312" w:cs="仿宋_GB2312" w:hint="eastAsia"/>
          <w:sz w:val="32"/>
          <w:szCs w:val="32"/>
        </w:rPr>
        <w:t>同时，有效保护以森林为主的自然生态系统，维护生物多样性</w:t>
      </w:r>
      <w:r>
        <w:rPr>
          <w:rFonts w:ascii="仿宋_GB2312" w:eastAsia="仿宋_GB2312" w:cs="仿宋_GB2312" w:hint="eastAsia"/>
          <w:sz w:val="32"/>
          <w:szCs w:val="32"/>
          <w:lang w:eastAsia="zh-CN"/>
        </w:rPr>
        <w:t>。</w:t>
      </w:r>
      <w:r>
        <w:rPr>
          <w:rFonts w:ascii="仿宋_GB2312" w:eastAsia="仿宋_GB2312" w:cs="仿宋_GB2312" w:hint="eastAsia"/>
          <w:sz w:val="32"/>
          <w:szCs w:val="32"/>
        </w:rPr>
        <w:t>发现的主要问题</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无</w:t>
      </w:r>
      <w:r>
        <w:rPr>
          <w:rFonts w:ascii="仿宋_GB2312" w:eastAsia="仿宋_GB2312" w:cs="仿宋_GB2312" w:hint="eastAsia"/>
          <w:sz w:val="32"/>
          <w:szCs w:val="32"/>
        </w:rPr>
        <w:t>。下一步改进措施</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无。</w:t>
      </w:r>
    </w:p>
    <w:p>
      <w:pPr>
        <w:pStyle w:val="41"/>
        <w:keepNext w:val="0"/>
        <w:keepLines w:val="0"/>
        <w:pageBreakBefore w:val="0"/>
        <w:widowControl w:val="0"/>
        <w:kinsoku/>
        <w:wordWrap/>
        <w:overflowPunct/>
        <w:topLinePunct w:val="0"/>
        <w:autoSpaceDE/>
        <w:autoSpaceDN/>
        <w:bidi w:val="0"/>
        <w:spacing w:line="560" w:lineRule="exact"/>
        <w:ind w:left="0" w:firstLineChars="200" w:firstLine="640"/>
        <w:textAlignment w:val="auto"/>
        <w:rPr>
          <w:rFonts w:ascii="仿宋_GB2312" w:eastAsia="仿宋_GB2312" w:cs="仿宋_GB2312" w:hint="eastAsia"/>
          <w:sz w:val="32"/>
          <w:szCs w:val="32"/>
          <w:lang w:eastAsia="zh-CN"/>
        </w:rPr>
      </w:pPr>
      <w:r>
        <w:rPr>
          <w:rFonts w:ascii="仿宋_GB2312" w:eastAsia="仿宋_GB2312" w:cs="仿宋_GB2312" w:hint="eastAsia"/>
          <w:sz w:val="32"/>
          <w:szCs w:val="32"/>
          <w:lang w:val="en-US" w:eastAsia="zh-CN"/>
        </w:rPr>
        <w:t>（4）森林生态效益补偿资金项目绩效</w:t>
      </w:r>
      <w:r>
        <w:rPr>
          <w:rFonts w:ascii="仿宋_GB2312" w:eastAsia="仿宋_GB2312" w:cs="仿宋_GB2312" w:hint="eastAsia"/>
          <w:sz w:val="32"/>
          <w:szCs w:val="32"/>
        </w:rPr>
        <w:t>目标完成情况</w:t>
      </w:r>
      <w:r>
        <w:rPr>
          <w:rFonts w:ascii="仿宋_GB2312" w:eastAsia="仿宋_GB2312" w:cs="仿宋_GB2312" w:hint="eastAsia"/>
          <w:b/>
          <w:bCs w:val="0"/>
          <w:color w:val="000000"/>
          <w:sz w:val="32"/>
          <w:szCs w:val="32"/>
          <w:lang w:val="en-US" w:eastAsia="zh-CN"/>
        </w:rPr>
        <w:t>。</w:t>
      </w:r>
      <w:r>
        <w:rPr>
          <w:rFonts w:ascii="仿宋_GB2312" w:eastAsia="仿宋_GB2312" w:cs="仿宋_GB2312" w:hint="eastAsia"/>
          <w:sz w:val="32"/>
          <w:szCs w:val="32"/>
        </w:rPr>
        <w:t>项目全年预算数</w:t>
      </w:r>
      <w:r>
        <w:rPr>
          <w:rFonts w:ascii="仿宋_GB2312" w:eastAsia="仿宋_GB2312" w:cs="仿宋_GB2312" w:hint="eastAsia"/>
          <w:sz w:val="32"/>
          <w:szCs w:val="32"/>
          <w:lang w:val="en-US" w:eastAsia="zh-CN"/>
        </w:rPr>
        <w:t>3369.8</w:t>
      </w:r>
      <w:r>
        <w:rPr>
          <w:rFonts w:ascii="仿宋_GB2312" w:eastAsia="仿宋_GB2312" w:cs="仿宋_GB2312" w:hint="eastAsia"/>
          <w:sz w:val="32"/>
          <w:szCs w:val="32"/>
        </w:rPr>
        <w:t>万元，执行数为</w:t>
      </w:r>
      <w:r>
        <w:rPr>
          <w:rFonts w:ascii="仿宋_GB2312" w:eastAsia="仿宋_GB2312" w:cs="仿宋_GB2312" w:hint="eastAsia"/>
          <w:sz w:val="32"/>
          <w:szCs w:val="32"/>
          <w:lang w:val="en-US" w:eastAsia="zh-CN"/>
        </w:rPr>
        <w:t>3369.622407</w:t>
      </w:r>
      <w:r>
        <w:rPr>
          <w:rFonts w:ascii="仿宋_GB2312" w:eastAsia="仿宋_GB2312" w:cs="仿宋_GB2312" w:hint="eastAsia"/>
          <w:sz w:val="32"/>
          <w:szCs w:val="32"/>
        </w:rPr>
        <w:t>万元，完成预算的</w:t>
      </w:r>
      <w:r>
        <w:rPr>
          <w:rFonts w:ascii="仿宋_GB2312" w:eastAsia="仿宋_GB2312" w:cs="仿宋_GB2312" w:hint="eastAsia"/>
          <w:sz w:val="32"/>
          <w:szCs w:val="32"/>
          <w:lang w:val="en-US" w:eastAsia="zh-CN"/>
        </w:rPr>
        <w:t>99.99</w:t>
      </w:r>
      <w:r>
        <w:rPr>
          <w:rFonts w:ascii="仿宋_GB2312" w:eastAsia="仿宋_GB2312" w:cs="仿宋_GB2312" w:hint="eastAsia"/>
          <w:sz w:val="32"/>
          <w:szCs w:val="32"/>
        </w:rPr>
        <w:t>%。通过项目实施，使全县11个乡镇104个村。2.2万户，8.9万人受益。平均人均增收月400元，增加了群众收入，提高当地群众生活生产水平和改善了生活生产条件。为茂县精准扶贫、精准脱贫打下了坚实的基础，有效地改善民生，有力地促进林区社会的和谐稳定。发现的主要问题</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无</w:t>
      </w:r>
      <w:r>
        <w:rPr>
          <w:rFonts w:ascii="仿宋_GB2312" w:eastAsia="仿宋_GB2312" w:cs="仿宋_GB2312" w:hint="eastAsia"/>
          <w:sz w:val="32"/>
          <w:szCs w:val="32"/>
        </w:rPr>
        <w:t>。下一步改进措施</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无。</w:t>
      </w:r>
    </w:p>
    <w:p>
      <w:pPr>
        <w:pStyle w:val="41"/>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（5）防火阻隔系统建设项目绩效</w:t>
      </w:r>
      <w:r>
        <w:rPr>
          <w:rFonts w:ascii="仿宋_GB2312" w:eastAsia="仿宋_GB2312" w:cs="仿宋_GB2312" w:hint="eastAsia"/>
          <w:sz w:val="32"/>
          <w:szCs w:val="32"/>
        </w:rPr>
        <w:t>目标完成情况</w:t>
      </w:r>
      <w:r>
        <w:rPr>
          <w:rFonts w:ascii="仿宋_GB2312" w:eastAsia="仿宋_GB2312" w:cs="仿宋_GB2312" w:hint="eastAsia"/>
          <w:b/>
          <w:bCs w:val="0"/>
          <w:color w:val="000000"/>
          <w:sz w:val="32"/>
          <w:szCs w:val="32"/>
          <w:lang w:val="en-US" w:eastAsia="zh-CN"/>
        </w:rPr>
        <w:t>。</w:t>
      </w:r>
      <w:r>
        <w:rPr>
          <w:rFonts w:ascii="仿宋_GB2312" w:eastAsia="仿宋_GB2312" w:cs="仿宋_GB2312" w:hint="eastAsia"/>
          <w:sz w:val="32"/>
          <w:szCs w:val="32"/>
        </w:rPr>
        <w:t>项目全年预算数</w:t>
      </w:r>
      <w:r>
        <w:rPr>
          <w:rFonts w:ascii="仿宋_GB2312" w:eastAsia="仿宋_GB2312" w:cs="仿宋_GB2312" w:hint="eastAsia"/>
          <w:sz w:val="32"/>
          <w:szCs w:val="32"/>
          <w:lang w:val="en-US" w:eastAsia="zh-CN"/>
        </w:rPr>
        <w:t>126</w:t>
      </w:r>
      <w:r>
        <w:rPr>
          <w:rFonts w:ascii="仿宋_GB2312" w:eastAsia="仿宋_GB2312" w:cs="仿宋_GB2312" w:hint="eastAsia"/>
          <w:sz w:val="32"/>
          <w:szCs w:val="32"/>
        </w:rPr>
        <w:t>万元，执行数为</w:t>
      </w:r>
      <w:r>
        <w:rPr>
          <w:rFonts w:ascii="仿宋_GB2312" w:eastAsia="仿宋_GB2312" w:cs="仿宋_GB2312" w:hint="eastAsia"/>
          <w:sz w:val="32"/>
          <w:szCs w:val="32"/>
          <w:lang w:val="en-US" w:eastAsia="zh-CN"/>
        </w:rPr>
        <w:t>57.934271</w:t>
      </w:r>
      <w:r>
        <w:rPr>
          <w:rFonts w:ascii="仿宋_GB2312" w:eastAsia="仿宋_GB2312" w:cs="仿宋_GB2312" w:hint="eastAsia"/>
          <w:sz w:val="32"/>
          <w:szCs w:val="32"/>
        </w:rPr>
        <w:t>万元，完成预算的</w:t>
      </w:r>
      <w:r>
        <w:rPr>
          <w:rFonts w:ascii="仿宋_GB2312" w:eastAsia="仿宋_GB2312" w:cs="仿宋_GB2312" w:hint="eastAsia"/>
          <w:sz w:val="32"/>
          <w:szCs w:val="32"/>
          <w:lang w:val="en-US" w:eastAsia="zh-CN"/>
        </w:rPr>
        <w:t>46.98</w:t>
      </w:r>
      <w:r>
        <w:rPr>
          <w:rFonts w:ascii="仿宋_GB2312" w:eastAsia="仿宋_GB2312" w:cs="仿宋_GB2312" w:hint="eastAsia"/>
          <w:sz w:val="32"/>
          <w:szCs w:val="32"/>
        </w:rPr>
        <w:t>%。通过项目实施，</w:t>
      </w:r>
      <w:r>
        <w:rPr>
          <w:rFonts w:ascii="仿宋_GB2312" w:eastAsia="仿宋_GB2312" w:cs="仿宋_GB2312" w:hint="eastAsia"/>
          <w:sz w:val="32"/>
          <w:szCs w:val="32"/>
          <w:lang w:val="en-US" w:eastAsia="zh-CN"/>
        </w:rPr>
        <w:t>极大地提升了茂县重点林区森林草原防灭火能力；项目建设过程会产生大量的劳务用工，增加了当地农户的经济收入。预期会减少项目实施区域森林草原火灾受灾面积，产生了较好的社会效益。发现的主要问题:无。下一步改进措施:无。</w:t>
      </w:r>
    </w:p>
    <w:p>
      <w:pPr>
        <w:pStyle w:val="2"/>
        <w:rPr>
          <w:rFonts w:ascii="仿宋_GB2312" w:eastAsia="仿宋_GB2312" w:cs="仿宋_GB2312" w:hint="eastAsia"/>
          <w:sz w:val="32"/>
          <w:szCs w:val="32"/>
          <w:lang w:val="en-US" w:eastAsia="zh-CN"/>
        </w:rPr>
      </w:pPr>
    </w:p>
    <w:p>
      <w:pPr>
        <w:rPr>
          <w:rFonts w:ascii="仿宋_GB2312" w:eastAsia="仿宋_GB2312" w:cs="仿宋_GB2312" w:hint="eastAsia"/>
          <w:sz w:val="32"/>
          <w:szCs w:val="32"/>
          <w:lang w:val="en-US" w:eastAsia="zh-CN"/>
        </w:rPr>
      </w:pPr>
    </w:p>
    <w:p>
      <w:pPr>
        <w:pStyle w:val="15"/>
        <w:rPr>
          <w:rFonts w:ascii="仿宋_GB2312" w:eastAsia="仿宋_GB2312" w:cs="仿宋_GB2312" w:hint="eastAsia"/>
          <w:sz w:val="32"/>
          <w:szCs w:val="32"/>
          <w:lang w:val="en-US" w:eastAsia="zh-CN"/>
        </w:rPr>
      </w:pPr>
    </w:p>
    <w:p>
      <w:pPr>
        <w:pStyle w:val="15"/>
        <w:rPr>
          <w:rFonts w:ascii="仿宋_GB2312" w:eastAsia="仿宋_GB2312" w:cs="仿宋_GB2312" w:hint="eastAsia"/>
          <w:sz w:val="32"/>
          <w:szCs w:val="32"/>
          <w:lang w:val="en-US" w:eastAsia="zh-CN"/>
        </w:rPr>
      </w:pPr>
    </w:p>
    <w:p>
      <w:pPr>
        <w:pStyle w:val="15"/>
        <w:rPr>
          <w:rFonts w:ascii="仿宋_GB2312" w:eastAsia="仿宋_GB2312" w:cs="仿宋_GB2312" w:hint="eastAsia"/>
          <w:sz w:val="32"/>
          <w:szCs w:val="32"/>
          <w:lang w:val="en-US" w:eastAsia="zh-CN"/>
        </w:rPr>
      </w:pPr>
    </w:p>
    <w:p>
      <w:pPr>
        <w:pStyle w:val="15"/>
        <w:rPr>
          <w:rFonts w:ascii="仿宋_GB2312" w:eastAsia="仿宋_GB2312" w:cs="仿宋_GB2312" w:hint="eastAsia"/>
          <w:sz w:val="32"/>
          <w:szCs w:val="32"/>
          <w:lang w:val="en-US" w:eastAsia="zh-CN"/>
        </w:rPr>
      </w:pPr>
    </w:p>
    <w:p>
      <w:pPr>
        <w:pStyle w:val="15"/>
        <w:rPr>
          <w:rFonts w:ascii="仿宋_GB2312" w:eastAsia="仿宋_GB2312" w:cs="仿宋_GB2312" w:hint="eastAsia"/>
          <w:sz w:val="32"/>
          <w:szCs w:val="32"/>
          <w:lang w:val="en-US" w:eastAsia="zh-CN"/>
        </w:rPr>
      </w:pPr>
    </w:p>
    <w:p>
      <w:pPr>
        <w:pStyle w:val="15"/>
        <w:rPr>
          <w:rFonts w:ascii="仿宋_GB2312" w:eastAsia="仿宋_GB2312" w:cs="仿宋_GB2312" w:hint="eastAsia"/>
          <w:sz w:val="32"/>
          <w:szCs w:val="32"/>
          <w:lang w:val="en-US" w:eastAsia="zh-CN"/>
        </w:rPr>
      </w:pPr>
    </w:p>
    <w:tbl>
      <w:tblPr>
        <w:tblpPr w:leftFromText="180" w:rightFromText="180" w:vertAnchor="text" w:horzAnchor="page" w:tblpX="1027" w:tblpY="1068"/>
        <w:tblOverlap w:val="never"/>
        <w:tblW w:w="9960"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390"/>
        <w:gridCol w:w="1367"/>
        <w:gridCol w:w="1025"/>
        <w:gridCol w:w="2392"/>
        <w:gridCol w:w="2394"/>
        <w:gridCol w:w="2392"/>
      </w:tblGrid>
      <w:tr>
        <w:trPr>
          <w:trHeight w:val="1034"/>
        </w:trPr>
        <w:tc>
          <w:tcPr>
            <w:tcW w:w="9960" w:type="dxa"/>
            <w:gridSpan w:val="6"/>
            <w:tcBorders>
              <w:top w:val="nil"/>
              <w:left w:val="nil"/>
              <w:bottom w:val="nil"/>
              <w:right w:val="nil"/>
            </w:tcBorders>
            <w:tcMar>
              <w:top w:w="15" w:type="dxa"/>
              <w:left w:w="15" w:type="dxa"/>
              <w:right w:w="15" w:type="dxa"/>
            </w:tcMar>
            <w:vAlign w:val="center"/>
          </w:tcPr>
          <w:p>
            <w:pPr>
              <w:widowControl/>
              <w:jc w:val="center"/>
              <w:textAlignment w:val="center"/>
              <w:rPr>
                <w:rFonts w:ascii="仿宋_GB2312" w:eastAsia="仿宋_GB2312" w:cs="仿宋_GB2312" w:hint="eastAsia"/>
                <w:b/>
                <w:bCs/>
                <w:color w:val="000000"/>
                <w:kern w:val="0"/>
                <w:sz w:val="36"/>
                <w:szCs w:val="36"/>
                <w:lang w:eastAsia="zh-CN"/>
              </w:rPr>
            </w:pPr>
            <w:r>
              <w:rPr>
                <w:rFonts w:ascii="仿宋_GB2312" w:eastAsia="仿宋_GB2312" w:cs="仿宋_GB2312" w:hint="eastAsia"/>
                <w:b/>
                <w:bCs/>
                <w:color w:val="000000"/>
                <w:kern w:val="0"/>
                <w:sz w:val="36"/>
                <w:szCs w:val="36"/>
              </w:rPr>
              <w:t>项目绩效目标完成情况表</w:t>
            </w:r>
          </w:p>
          <w:p>
            <w:pPr>
              <w:widowControl/>
              <w:jc w:val="center"/>
              <w:textAlignment w:val="center"/>
              <w:rPr>
                <w:rFonts w:ascii="仿宋_GB2312" w:eastAsia="仿宋_GB2312" w:cs="仿宋_GB2312" w:hint="eastAsia"/>
                <w:color w:val="000000"/>
                <w:sz w:val="36"/>
                <w:szCs w:val="36"/>
              </w:rPr>
            </w:pPr>
            <w:r>
              <w:rPr>
                <w:rFonts w:ascii="仿宋_GB2312" w:eastAsia="仿宋_GB2312" w:cs="仿宋_GB2312" w:hint="eastAsia"/>
                <w:color w:val="000000"/>
                <w:kern w:val="0"/>
                <w:sz w:val="36"/>
                <w:szCs w:val="36"/>
              </w:rPr>
              <w:t>(2021年度)</w:t>
            </w:r>
          </w:p>
        </w:tc>
      </w:tr>
      <w:tr>
        <w:trPr>
          <w:trHeight w:val="276"/>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项目名称</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lang w:val="en-US" w:eastAsia="zh-CN"/>
              </w:rPr>
              <w:t>1.</w:t>
            </w:r>
            <w:r>
              <w:rPr>
                <w:rFonts w:ascii="仿宋_GB2312" w:eastAsia="仿宋_GB2312" w:cs="仿宋_GB2312" w:hint="eastAsia"/>
                <w:color w:val="000000"/>
                <w:kern w:val="0"/>
                <w:sz w:val="24"/>
                <w:lang w:val="zh-CN" w:eastAsia="zh-CN"/>
              </w:rPr>
              <w:t>生态护林（草）员</w:t>
            </w:r>
            <w:r>
              <w:rPr>
                <w:rFonts w:ascii="仿宋_GB2312" w:eastAsia="仿宋_GB2312" w:cs="仿宋_GB2312" w:hint="eastAsia"/>
                <w:color w:val="000000"/>
                <w:kern w:val="0"/>
                <w:sz w:val="24"/>
                <w:lang w:val="en-US" w:eastAsia="zh-CN"/>
              </w:rPr>
              <w:t>项目；2.集体和个人天然商品林停伐管护补助项目；3.茂县茅香坪工区至土地岭防灭火道路项目；4.森林生态效益补偿资金项目；5.防火阻隔系统建设项目</w:t>
            </w:r>
          </w:p>
        </w:tc>
      </w:tr>
      <w:tr>
        <w:trPr>
          <w:trHeight w:val="276"/>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预算单位</w:t>
            </w:r>
          </w:p>
        </w:tc>
        <w:tc>
          <w:tcPr>
            <w:tcW w:w="7178"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lang w:eastAsia="zh-CN"/>
              </w:rPr>
            </w:pPr>
            <w:r>
              <w:rPr>
                <w:rFonts w:ascii="仿宋_GB2312" w:eastAsia="仿宋_GB2312" w:cs="仿宋_GB2312" w:hint="eastAsia"/>
                <w:color w:val="000000"/>
                <w:sz w:val="24"/>
                <w:lang w:eastAsia="zh-CN"/>
              </w:rPr>
              <w:t>茂县林业和草原局</w:t>
            </w:r>
          </w:p>
        </w:tc>
      </w:tr>
      <w:tr>
        <w:trPr>
          <w:trHeight w:val="276"/>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预算执行情况(万元)</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预算数: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lang w:val="en-US" w:eastAsia="zh-CN"/>
              </w:rPr>
            </w:pPr>
            <w:r>
              <w:rPr>
                <w:rFonts w:ascii="仿宋_GB2312" w:eastAsia="仿宋_GB2312" w:cs="仿宋_GB2312" w:hint="eastAsia"/>
                <w:color w:val="000000"/>
                <w:sz w:val="24"/>
                <w:lang w:val="en-US" w:eastAsia="zh-CN"/>
              </w:rPr>
              <w:t>4404.1</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执行数: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lang w:val="en-US" w:eastAsia="zh-CN"/>
              </w:rPr>
            </w:pPr>
            <w:r>
              <w:rPr>
                <w:rFonts w:ascii="仿宋_GB2312" w:eastAsia="仿宋_GB2312" w:cs="仿宋_GB2312" w:hint="eastAsia"/>
                <w:color w:val="000000"/>
                <w:sz w:val="24"/>
                <w:lang w:val="en-US" w:eastAsia="zh-CN"/>
              </w:rPr>
              <w:t>4325.585867</w:t>
            </w:r>
          </w:p>
        </w:tc>
      </w:tr>
      <w:tr>
        <w:trPr>
          <w:trHeight w:val="276"/>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其中-财政拨款: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p>
        </w:tc>
      </w:tr>
      <w:tr>
        <w:trPr>
          <w:trHeight w:val="1511"/>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lang w:val="en-US" w:eastAsia="zh-CN"/>
              </w:rPr>
            </w:pPr>
            <w:r>
              <w:rPr>
                <w:rFonts w:ascii="仿宋_GB2312" w:eastAsia="仿宋_GB2312" w:cs="仿宋_GB2312" w:hint="eastAsia"/>
                <w:color w:val="000000"/>
                <w:sz w:val="24"/>
                <w:lang w:val="en-US" w:eastAsia="zh-CN"/>
              </w:rPr>
              <w:t>0</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其它资金:</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jc w:val="center"/>
              <w:rPr>
                <w:rFonts w:ascii="仿宋_GB2312" w:eastAsia="仿宋_GB2312" w:cs="仿宋_GB2312" w:hint="eastAsia"/>
                <w:color w:val="000000"/>
                <w:sz w:val="24"/>
                <w:lang w:val="en-US" w:eastAsia="zh-CN"/>
              </w:rPr>
            </w:pPr>
            <w:r>
              <w:rPr>
                <w:rFonts w:ascii="仿宋_GB2312" w:eastAsia="仿宋_GB2312" w:cs="仿宋_GB2312" w:hint="eastAsia"/>
                <w:color w:val="000000"/>
                <w:sz w:val="24"/>
                <w:lang w:val="en-US" w:eastAsia="zh-CN"/>
              </w:rPr>
              <w:t>0</w:t>
            </w:r>
          </w:p>
        </w:tc>
      </w:tr>
      <w:tr>
        <w:trPr>
          <w:trHeight w:val="276"/>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年度目标完成情况</w:t>
            </w: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实际完成目标</w:t>
            </w:r>
          </w:p>
        </w:tc>
      </w:tr>
      <w:tr>
        <w:trPr>
          <w:trHeight w:val="1159"/>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tc>
        <w:tc>
          <w:tcPr>
            <w:tcW w:w="4784"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仿宋_GB2312" w:eastAsia="仿宋_GB2312" w:cs="仿宋_GB2312" w:hint="eastAsia"/>
                <w:color w:val="000000"/>
                <w:sz w:val="24"/>
              </w:rPr>
            </w:pPr>
            <w:r>
              <w:rPr>
                <w:rFonts w:ascii="仿宋_GB2312" w:eastAsia="仿宋_GB2312" w:cs="仿宋_GB2312" w:hint="eastAsia"/>
                <w:color w:val="000000"/>
                <w:sz w:val="24"/>
                <w:lang w:eastAsia="zh-CN"/>
              </w:rPr>
              <w:t>一、</w:t>
            </w:r>
            <w:r>
              <w:rPr>
                <w:rFonts w:ascii="仿宋_GB2312" w:eastAsia="仿宋_GB2312" w:cs="仿宋_GB2312" w:hint="eastAsia"/>
                <w:color w:val="000000"/>
                <w:sz w:val="24"/>
              </w:rPr>
              <w:t>生态护林员</w:t>
            </w:r>
            <w:r>
              <w:rPr>
                <w:rFonts w:ascii="仿宋_GB2312" w:eastAsia="仿宋_GB2312" w:cs="仿宋_GB2312" w:hint="eastAsia"/>
                <w:color w:val="000000"/>
                <w:sz w:val="24"/>
                <w:lang w:eastAsia="zh-CN"/>
              </w:rPr>
              <w:t>。</w:t>
            </w:r>
            <w:r>
              <w:rPr>
                <w:rFonts w:ascii="仿宋_GB2312" w:eastAsia="仿宋_GB2312" w:cs="仿宋_GB2312" w:hint="eastAsia"/>
                <w:color w:val="000000"/>
                <w:sz w:val="24"/>
              </w:rPr>
              <w:t>202</w:t>
            </w:r>
            <w:r>
              <w:rPr>
                <w:rFonts w:ascii="仿宋_GB2312" w:eastAsia="仿宋_GB2312" w:cs="仿宋_GB2312" w:hint="eastAsia"/>
                <w:color w:val="000000"/>
                <w:sz w:val="24"/>
                <w:lang w:val="en-US" w:eastAsia="zh-CN"/>
              </w:rPr>
              <w:t>1</w:t>
            </w:r>
            <w:r>
              <w:rPr>
                <w:rFonts w:ascii="仿宋_GB2312" w:eastAsia="仿宋_GB2312" w:cs="仿宋_GB2312" w:hint="eastAsia"/>
                <w:color w:val="000000"/>
                <w:sz w:val="24"/>
              </w:rPr>
              <w:t>年生态护林员管护补助标准为10000元/年，全县生态护林员管护集体公益林面积不低于500亩，补助资金</w:t>
            </w:r>
            <w:r>
              <w:rPr>
                <w:rFonts w:ascii="仿宋_GB2312" w:eastAsia="仿宋_GB2312" w:cs="仿宋_GB2312" w:hint="eastAsia"/>
                <w:color w:val="000000"/>
                <w:sz w:val="24"/>
                <w:lang w:val="en-US" w:eastAsia="zh-CN"/>
              </w:rPr>
              <w:t>301</w:t>
            </w:r>
            <w:r>
              <w:rPr>
                <w:rFonts w:ascii="仿宋_GB2312" w:eastAsia="仿宋_GB2312" w:cs="仿宋_GB2312" w:hint="eastAsia"/>
                <w:color w:val="000000"/>
                <w:sz w:val="24"/>
              </w:rPr>
              <w:t>万元，涉及11个乡镇</w:t>
            </w:r>
            <w:r>
              <w:rPr>
                <w:rFonts w:ascii="仿宋_GB2312" w:eastAsia="仿宋_GB2312" w:cs="仿宋_GB2312" w:hint="eastAsia"/>
                <w:color w:val="000000"/>
                <w:sz w:val="24"/>
                <w:lang w:val="en-US" w:eastAsia="zh-CN"/>
              </w:rPr>
              <w:t>301</w:t>
            </w:r>
            <w:r>
              <w:rPr>
                <w:rFonts w:ascii="仿宋_GB2312" w:eastAsia="仿宋_GB2312" w:cs="仿宋_GB2312" w:hint="eastAsia"/>
                <w:color w:val="000000"/>
                <w:sz w:val="24"/>
              </w:rPr>
              <w:t>名建档立卡贫困户。资金兑现计划按季度支付。</w:t>
            </w:r>
          </w:p>
          <w:p>
            <w:pPr>
              <w:widowControl/>
              <w:jc w:val="left"/>
              <w:textAlignment w:val="center"/>
              <w:rPr>
                <w:rFonts w:ascii="仿宋_GB2312" w:eastAsia="仿宋_GB2312" w:cs="仿宋_GB2312" w:hint="eastAsia"/>
                <w:color w:val="000000"/>
                <w:sz w:val="24"/>
              </w:rPr>
            </w:pPr>
            <w:r>
              <w:rPr>
                <w:rFonts w:ascii="仿宋_GB2312" w:eastAsia="仿宋_GB2312" w:cs="仿宋_GB2312" w:hint="eastAsia"/>
                <w:color w:val="000000"/>
                <w:sz w:val="24"/>
                <w:lang w:eastAsia="zh-CN"/>
              </w:rPr>
              <w:t>二、</w:t>
            </w:r>
            <w:r>
              <w:rPr>
                <w:rFonts w:ascii="仿宋_GB2312" w:eastAsia="仿宋_GB2312" w:cs="仿宋_GB2312" w:hint="eastAsia"/>
                <w:color w:val="000000"/>
                <w:kern w:val="0"/>
                <w:sz w:val="24"/>
                <w:lang w:val="en-US" w:eastAsia="zh-CN"/>
              </w:rPr>
              <w:t>集体和个人天然商品林停伐管护补助项目：</w:t>
            </w:r>
            <w:r>
              <w:rPr>
                <w:rFonts w:ascii="仿宋_GB2312" w:eastAsia="仿宋_GB2312" w:cs="仿宋_GB2312" w:hint="eastAsia"/>
                <w:color w:val="000000"/>
                <w:sz w:val="24"/>
              </w:rPr>
              <w:t>。2开展草原防火工作.3开展草原监理执法工作.4开展禁牧、草畜平衡两项制度落实工作.5竣工核算工作.6草原生态保护宣传工作.7草原建设项目工作</w:t>
            </w:r>
          </w:p>
          <w:p>
            <w:pPr>
              <w:widowControl/>
              <w:jc w:val="left"/>
              <w:textAlignment w:val="center"/>
              <w:rPr>
                <w:rFonts w:ascii="仿宋_GB2312" w:eastAsia="仿宋_GB2312" w:cs="仿宋_GB2312" w:hint="eastAsia"/>
                <w:color w:val="000000"/>
                <w:kern w:val="0"/>
                <w:sz w:val="24"/>
                <w:lang w:val="en-US" w:eastAsia="zh-CN"/>
              </w:rPr>
            </w:pPr>
            <w:r>
              <w:rPr>
                <w:rFonts w:ascii="仿宋_GB2312" w:eastAsia="仿宋_GB2312" w:cs="仿宋_GB2312" w:hint="eastAsia"/>
                <w:color w:val="000000"/>
                <w:kern w:val="0"/>
                <w:sz w:val="24"/>
                <w:lang w:val="en-US" w:eastAsia="zh-CN"/>
              </w:rPr>
              <w:t>三、改扩建森林防灭火道路7公里（其中：碎石道路7000米。排水沟7000米，过水涵洞13道，单柱式警告标志28个）。设计公路等级为四级公路（Ⅱ类）、设计速度15km/h。</w:t>
            </w:r>
          </w:p>
          <w:p>
            <w:pPr>
              <w:widowControl/>
              <w:jc w:val="left"/>
              <w:textAlignment w:val="center"/>
              <w:rPr>
                <w:rFonts w:ascii="仿宋_GB2312" w:eastAsia="仿宋_GB2312" w:cs="仿宋_GB2312" w:hint="eastAsia"/>
                <w:color w:val="000000"/>
                <w:kern w:val="0"/>
                <w:sz w:val="24"/>
                <w:lang w:val="en-US" w:eastAsia="zh-CN"/>
              </w:rPr>
            </w:pPr>
            <w:r>
              <w:rPr>
                <w:rFonts w:ascii="仿宋_GB2312" w:eastAsia="仿宋_GB2312" w:cs="仿宋_GB2312" w:hint="eastAsia"/>
                <w:color w:val="000000"/>
                <w:kern w:val="0"/>
                <w:sz w:val="24"/>
                <w:lang w:val="en-US" w:eastAsia="zh-CN"/>
              </w:rPr>
              <w:t>四、森林生态效益补偿资金项目，2021年我县集体和个人所有天然商品林停伐补助总面积为26.1994万亩，投入资金397.3万元，全县资金兑现涉及11个镇，69个村，农户1.5万余户，受益人口5万余人</w:t>
            </w:r>
          </w:p>
          <w:p>
            <w:pPr>
              <w:widowControl/>
              <w:jc w:val="left"/>
              <w:textAlignment w:val="center"/>
              <w:rPr>
                <w:rFonts w:ascii="仿宋_GB2312" w:eastAsia="仿宋_GB2312" w:cs="仿宋_GB2312" w:hint="eastAsia"/>
                <w:color w:val="000000"/>
                <w:kern w:val="0"/>
                <w:sz w:val="24"/>
                <w:lang w:val="en-US" w:eastAsia="zh-CN"/>
              </w:rPr>
            </w:pPr>
            <w:r>
              <w:rPr>
                <w:rFonts w:ascii="仿宋_GB2312" w:eastAsia="仿宋_GB2312" w:cs="仿宋_GB2312" w:hint="eastAsia"/>
                <w:color w:val="000000"/>
                <w:kern w:val="0"/>
                <w:sz w:val="24"/>
                <w:lang w:val="en-US" w:eastAsia="zh-CN"/>
              </w:rPr>
              <w:t>五、新建1800亩防火阻隔带，在县城周边林农交界地带建防火隔离带675亩，在凤仪镇小沟炸药库周围及土地岭、松坪沟等重点林区建设防火隔离带1125亩。</w:t>
            </w:r>
          </w:p>
          <w:p>
            <w:pPr>
              <w:widowControl/>
              <w:jc w:val="left"/>
              <w:textAlignment w:val="center"/>
              <w:rPr>
                <w:rFonts w:ascii="仿宋_GB2312" w:eastAsia="仿宋_GB2312" w:cs="仿宋_GB2312" w:hint="eastAsia"/>
                <w:color w:val="000000"/>
                <w:sz w:val="24"/>
              </w:rPr>
            </w:pPr>
          </w:p>
          <w:p>
            <w:pPr>
              <w:widowControl/>
              <w:jc w:val="center"/>
              <w:textAlignment w:val="center"/>
              <w:rPr>
                <w:rFonts w:ascii="仿宋_GB2312" w:eastAsia="仿宋_GB2312" w:cs="仿宋_GB2312" w:hint="eastAsia"/>
                <w:color w:val="000000"/>
                <w:sz w:val="24"/>
              </w:rPr>
            </w:pP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仿宋_GB2312" w:eastAsia="仿宋_GB2312" w:cs="仿宋_GB2312" w:hint="eastAsia"/>
                <w:color w:val="000000"/>
                <w:sz w:val="24"/>
              </w:rPr>
            </w:pPr>
            <w:r>
              <w:rPr>
                <w:rFonts w:ascii="仿宋_GB2312" w:eastAsia="仿宋_GB2312" w:cs="仿宋_GB2312" w:hint="eastAsia"/>
                <w:color w:val="000000"/>
                <w:sz w:val="24"/>
                <w:lang w:eastAsia="zh-CN"/>
              </w:rPr>
              <w:t>一、</w:t>
            </w:r>
            <w:r>
              <w:rPr>
                <w:rFonts w:ascii="仿宋_GB2312" w:eastAsia="仿宋_GB2312" w:cs="仿宋_GB2312" w:hint="eastAsia"/>
                <w:color w:val="000000"/>
                <w:sz w:val="24"/>
              </w:rPr>
              <w:t>生态护林员</w:t>
            </w:r>
            <w:r>
              <w:rPr>
                <w:rFonts w:ascii="仿宋_GB2312" w:eastAsia="仿宋_GB2312" w:cs="仿宋_GB2312" w:hint="eastAsia"/>
                <w:color w:val="000000"/>
                <w:sz w:val="24"/>
                <w:lang w:eastAsia="zh-CN"/>
              </w:rPr>
              <w:t>。</w:t>
            </w:r>
            <w:r>
              <w:rPr>
                <w:rFonts w:ascii="仿宋_GB2312" w:eastAsia="仿宋_GB2312" w:cs="仿宋_GB2312" w:hint="eastAsia"/>
                <w:color w:val="000000"/>
                <w:sz w:val="24"/>
              </w:rPr>
              <w:t>202</w:t>
            </w:r>
            <w:r>
              <w:rPr>
                <w:rFonts w:ascii="仿宋_GB2312" w:eastAsia="仿宋_GB2312" w:cs="仿宋_GB2312" w:hint="eastAsia"/>
                <w:color w:val="000000"/>
                <w:sz w:val="24"/>
                <w:lang w:val="en-US" w:eastAsia="zh-CN"/>
              </w:rPr>
              <w:t>1</w:t>
            </w:r>
            <w:r>
              <w:rPr>
                <w:rFonts w:ascii="仿宋_GB2312" w:eastAsia="仿宋_GB2312" w:cs="仿宋_GB2312" w:hint="eastAsia"/>
                <w:color w:val="000000"/>
                <w:sz w:val="24"/>
              </w:rPr>
              <w:t>年生态护林员管护补助标准为10000元/年，全县生态护林员管护集体公益林面积不低于500亩，补助资金</w:t>
            </w:r>
            <w:r>
              <w:rPr>
                <w:rFonts w:ascii="仿宋_GB2312" w:eastAsia="仿宋_GB2312" w:cs="仿宋_GB2312" w:hint="eastAsia"/>
                <w:color w:val="000000"/>
                <w:sz w:val="24"/>
                <w:lang w:val="en-US" w:eastAsia="zh-CN"/>
              </w:rPr>
              <w:t>301</w:t>
            </w:r>
            <w:r>
              <w:rPr>
                <w:rFonts w:ascii="仿宋_GB2312" w:eastAsia="仿宋_GB2312" w:cs="仿宋_GB2312" w:hint="eastAsia"/>
                <w:color w:val="000000"/>
                <w:sz w:val="24"/>
              </w:rPr>
              <w:t>万元，涉及11个乡镇</w:t>
            </w:r>
            <w:r>
              <w:rPr>
                <w:rFonts w:ascii="仿宋_GB2312" w:eastAsia="仿宋_GB2312" w:cs="仿宋_GB2312" w:hint="eastAsia"/>
                <w:color w:val="000000"/>
                <w:sz w:val="24"/>
                <w:lang w:val="en-US" w:eastAsia="zh-CN"/>
              </w:rPr>
              <w:t>301</w:t>
            </w:r>
            <w:r>
              <w:rPr>
                <w:rFonts w:ascii="仿宋_GB2312" w:eastAsia="仿宋_GB2312" w:cs="仿宋_GB2312" w:hint="eastAsia"/>
                <w:color w:val="000000"/>
                <w:sz w:val="24"/>
              </w:rPr>
              <w:t>名建档立卡贫困户</w:t>
            </w:r>
            <w:r>
              <w:rPr>
                <w:rFonts w:ascii="仿宋_GB2312" w:eastAsia="仿宋_GB2312" w:cs="仿宋_GB2312" w:hint="eastAsia"/>
                <w:color w:val="000000"/>
                <w:sz w:val="24"/>
                <w:lang w:eastAsia="zh-CN"/>
              </w:rPr>
              <w:t>、二、</w:t>
            </w:r>
            <w:r>
              <w:rPr>
                <w:rFonts w:ascii="仿宋_GB2312" w:eastAsia="仿宋_GB2312" w:cs="仿宋_GB2312" w:hint="eastAsia"/>
                <w:color w:val="000000"/>
                <w:sz w:val="24"/>
              </w:rPr>
              <w:t>2021年我县集体和个人所有天然商品林停伐补助总面积为26.1994万亩，全县资金兑现涉及11个镇，69个村，农户1.5万余户，受益人口5万余人。项目资金的实际支出3972981.76万元，资金开支用于兑现集体和个人所有天然商品林停伐补助助标准为15.1644元/亩，支付进度100%。支付依据根据财务要求合规合法，资金支付与预算相符，并对相关问题进行了说明。</w:t>
            </w:r>
            <w:r>
              <w:rPr>
                <w:rFonts w:ascii="仿宋_GB2312" w:eastAsia="仿宋_GB2312" w:cs="仿宋_GB2312" w:hint="eastAsia"/>
                <w:color w:val="000000"/>
                <w:sz w:val="24"/>
                <w:lang w:eastAsia="zh-CN"/>
              </w:rPr>
              <w:t>三、</w:t>
            </w:r>
            <w:r>
              <w:rPr>
                <w:rFonts w:ascii="仿宋_GB2312" w:eastAsia="仿宋_GB2312" w:cs="仿宋_GB2312" w:hint="eastAsia"/>
                <w:color w:val="000000"/>
                <w:sz w:val="24"/>
              </w:rPr>
              <w:t>成投资总额1,997,291.89元，其中：建筑安装工程投资1,697,146.00元、待摊投资300,145.89元</w:t>
            </w:r>
            <w:r>
              <w:rPr>
                <w:rFonts w:ascii="仿宋_GB2312" w:eastAsia="仿宋_GB2312" w:cs="仿宋_GB2312" w:hint="eastAsia"/>
                <w:color w:val="000000"/>
                <w:sz w:val="24"/>
                <w:lang w:val="en-US" w:eastAsia="zh-CN"/>
              </w:rPr>
              <w:t>.已支付1938596.11元。</w:t>
            </w:r>
            <w:r>
              <w:rPr>
                <w:rFonts w:ascii="仿宋_GB2312" w:eastAsia="仿宋_GB2312" w:cs="仿宋_GB2312" w:hint="eastAsia"/>
                <w:color w:val="000000"/>
                <w:sz w:val="24"/>
                <w:lang w:eastAsia="zh-CN"/>
              </w:rPr>
              <w:t>。四、2021年我县集体和个人所有天然商品林停伐补助总面积为26.1994万亩，全县资金兑现涉及11个镇，69个村，农户1.5万余户，受益人口5万余人。项目资金的实际支出3972981.76万元，资金开支用于兑现集体和个人所有天然商品林停伐补助助标准为15.1644元/亩，支付进度100%。五、</w:t>
            </w:r>
            <w:r>
              <w:rPr>
                <w:rFonts w:ascii="仿宋_GB2312" w:eastAsia="仿宋_GB2312" w:cs="仿宋_GB2312" w:hint="eastAsia"/>
                <w:color w:val="000000"/>
                <w:sz w:val="24"/>
                <w:lang w:val="en-US" w:eastAsia="zh-CN"/>
              </w:rPr>
              <w:t>新建1800亩防火阻隔带，完成率100%。</w:t>
            </w:r>
          </w:p>
          <w:p>
            <w:pPr>
              <w:widowControl/>
              <w:jc w:val="center"/>
              <w:textAlignment w:val="center"/>
              <w:rPr>
                <w:rFonts w:ascii="仿宋_GB2312" w:eastAsia="仿宋_GB2312" w:cs="仿宋_GB2312" w:hint="eastAsia"/>
                <w:color w:val="000000"/>
                <w:sz w:val="24"/>
                <w:lang w:eastAsia="zh-CN"/>
              </w:rPr>
            </w:pPr>
          </w:p>
        </w:tc>
      </w:tr>
      <w:tr>
        <w:trPr>
          <w:trHeight w:val="1042"/>
        </w:trPr>
        <w:tc>
          <w:tcPr>
            <w:tcW w:w="390" w:type="dxa"/>
            <w:vMerge w:val="restart"/>
            <w:tcBorders>
              <w:top w:val="single" w:sz="4" w:space="0" w:color="000000"/>
              <w:left w:val="single" w:sz="4" w:space="0" w:color="000000"/>
              <w:bottom w:val="nil"/>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sz w:val="24"/>
              </w:rPr>
              <w:t>绩效指标完成情况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一级指标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二级指标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预期指标值(包含数字及文字描述)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sz w:val="24"/>
              </w:rPr>
            </w:pPr>
            <w:r>
              <w:rPr>
                <w:rFonts w:ascii="仿宋_GB2312" w:eastAsia="仿宋_GB2312" w:cs="仿宋_GB2312" w:hint="eastAsia"/>
                <w:color w:val="000000"/>
                <w:kern w:val="0"/>
                <w:sz w:val="24"/>
              </w:rPr>
              <w:t>实际完成指标值(包含数字及文字描述)</w:t>
            </w:r>
          </w:p>
        </w:tc>
      </w:tr>
      <w:tr>
        <w:trPr>
          <w:trHeight w:val="1042"/>
        </w:trPr>
        <w:tc>
          <w:tcPr>
            <w:tcW w:w="390" w:type="dxa"/>
            <w:vMerge/>
            <w:tcBorders>
              <w:top w:val="nil"/>
              <w:left w:val="single" w:sz="4" w:space="0" w:color="000000"/>
              <w:bottom w:val="nil"/>
              <w:right w:val="single" w:sz="4" w:space="0" w:color="000000"/>
            </w:tcBorders>
            <w:tcMar>
              <w:top w:w="15" w:type="dxa"/>
              <w:left w:w="15" w:type="dxa"/>
              <w:right w:w="15" w:type="dxa"/>
            </w:tcMar>
            <w:vAlign w:val="center"/>
          </w:tc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经济效益指标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增加农户收入</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rPr>
              <w:t>生态护林员管护补助标准为10000元/年</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rPr>
              <w:t>生态护林员管护补助标准为10000元/年</w:t>
            </w:r>
          </w:p>
        </w:tc>
      </w:tr>
      <w:tr>
        <w:trPr>
          <w:trHeight w:val="953"/>
        </w:trPr>
        <w:tc>
          <w:tcPr>
            <w:tcW w:w="390" w:type="dxa"/>
            <w:vMerge/>
            <w:tcBorders>
              <w:top w:val="nil"/>
              <w:left w:val="single" w:sz="4" w:space="0" w:color="000000"/>
              <w:bottom w:val="nil"/>
              <w:right w:val="single" w:sz="4" w:space="0" w:color="000000"/>
            </w:tcBorders>
            <w:tcMar>
              <w:top w:w="15" w:type="dxa"/>
              <w:left w:w="15" w:type="dxa"/>
              <w:right w:w="15" w:type="dxa"/>
            </w:tcMar>
            <w:vAlign w:val="center"/>
          </w:tc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社会效益指标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生态护林员</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both"/>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rPr>
              <w:t>贫困户通过参与生态建设获得劳务补助，实现了持续稳定增收</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both"/>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rPr>
              <w:t>贫困户通过参与生态建设获得劳务补助，实现了持续稳定增收</w:t>
            </w:r>
          </w:p>
        </w:tc>
      </w:tr>
      <w:tr>
        <w:trPr>
          <w:trHeight w:val="1297"/>
        </w:trPr>
        <w:tc>
          <w:tcPr>
            <w:tcW w:w="390" w:type="dxa"/>
            <w:vMerge/>
            <w:tcBorders>
              <w:top w:val="nil"/>
              <w:left w:val="single" w:sz="4" w:space="0" w:color="000000"/>
              <w:bottom w:val="nil"/>
              <w:right w:val="single" w:sz="4" w:space="0" w:color="000000"/>
            </w:tcBorders>
            <w:tcMar>
              <w:top w:w="15" w:type="dxa"/>
              <w:left w:w="15" w:type="dxa"/>
              <w:right w:w="15" w:type="dxa"/>
            </w:tcMar>
            <w:vAlign w:val="center"/>
          </w:tc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生态效益指标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减少水土流失效果</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rPr>
              <w:t>生态环境改善情况明显</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rPr>
              <w:t>生态环境改善情况明显</w:t>
            </w:r>
          </w:p>
        </w:tc>
      </w:tr>
      <w:tr>
        <w:trPr>
          <w:trHeight w:val="1042"/>
        </w:trPr>
        <w:tc>
          <w:tcPr>
            <w:tcW w:w="390" w:type="dxa"/>
            <w:vMerge/>
            <w:tcBorders>
              <w:top w:val="nil"/>
              <w:left w:val="single" w:sz="4" w:space="0" w:color="000000"/>
              <w:bottom w:val="nil"/>
              <w:right w:val="single" w:sz="4" w:space="0" w:color="000000"/>
            </w:tcBorders>
            <w:tcMar>
              <w:top w:w="15" w:type="dxa"/>
              <w:left w:w="15" w:type="dxa"/>
              <w:right w:w="15" w:type="dxa"/>
            </w:tcMar>
            <w:vAlign w:val="center"/>
          </w:tc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可持续影响指标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持续发挥生态作用显著</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rPr>
              <w:t>&gt;9</w:t>
            </w:r>
            <w:r>
              <w:rPr>
                <w:rFonts w:ascii="仿宋_GB2312" w:eastAsia="仿宋_GB2312" w:cs="仿宋_GB2312" w:hint="eastAsia"/>
                <w:color w:val="000000"/>
                <w:sz w:val="24"/>
                <w:lang w:val="en-US" w:eastAsia="zh-CN"/>
              </w:rPr>
              <w:t>5</w:t>
            </w:r>
            <w:r>
              <w:rPr>
                <w:rFonts w:ascii="仿宋_GB2312" w:eastAsia="仿宋_GB2312" w:cs="仿宋_GB2312" w:hint="eastAsia"/>
                <w:color w:val="00000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rPr>
              <w:t>&gt;9</w:t>
            </w:r>
            <w:r>
              <w:rPr>
                <w:rFonts w:ascii="仿宋_GB2312" w:eastAsia="仿宋_GB2312" w:cs="仿宋_GB2312" w:hint="eastAsia"/>
                <w:color w:val="000000"/>
                <w:sz w:val="24"/>
                <w:lang w:val="en-US" w:eastAsia="zh-CN"/>
              </w:rPr>
              <w:t>5</w:t>
            </w:r>
            <w:r>
              <w:rPr>
                <w:rFonts w:ascii="仿宋_GB2312" w:eastAsia="仿宋_GB2312" w:cs="仿宋_GB2312" w:hint="eastAsia"/>
                <w:color w:val="000000"/>
                <w:sz w:val="24"/>
              </w:rPr>
              <w:t>%</w:t>
            </w:r>
          </w:p>
        </w:tc>
      </w:tr>
      <w:tr>
        <w:trPr>
          <w:trHeight w:val="1042"/>
        </w:trPr>
        <w:tc>
          <w:tcPr>
            <w:tcW w:w="390" w:type="dxa"/>
            <w:vMerge/>
            <w:tcBorders>
              <w:top w:val="nil"/>
              <w:left w:val="single" w:sz="4" w:space="0" w:color="000000"/>
              <w:bottom w:val="nil"/>
              <w:right w:val="single" w:sz="4" w:space="0" w:color="000000"/>
            </w:tcBorders>
            <w:tcMar>
              <w:top w:w="15" w:type="dxa"/>
              <w:left w:w="15" w:type="dxa"/>
              <w:right w:w="15" w:type="dxa"/>
            </w:tcMar>
            <w:vAlign w:val="center"/>
          </w:tc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0"/>
                <w:sz w:val="24"/>
                <w:szCs w:val="24"/>
                <w:lang w:val="en-US" w:eastAsia="zh-CN"/>
              </w:rPr>
            </w:pPr>
            <w:r>
              <w:rPr>
                <w:rFonts w:ascii="仿宋_GB2312" w:eastAsia="仿宋_GB2312" w:cs="仿宋_GB2312"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服务对象满意指标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社会公众满意度</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满意</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仿宋_GB2312" w:eastAsia="仿宋_GB2312" w:cs="仿宋_GB2312" w:hint="eastAsia"/>
                <w:color w:val="000000"/>
                <w:kern w:val="2"/>
                <w:sz w:val="24"/>
                <w:szCs w:val="24"/>
                <w:lang w:val="en-US" w:eastAsia="zh-CN" w:bidi="ar-SA"/>
              </w:rPr>
            </w:pPr>
            <w:r>
              <w:rPr>
                <w:rFonts w:ascii="仿宋_GB2312" w:eastAsia="仿宋_GB2312" w:cs="仿宋_GB2312" w:hint="eastAsia"/>
                <w:color w:val="000000"/>
                <w:sz w:val="24"/>
                <w:lang w:eastAsia="zh-CN"/>
              </w:rPr>
              <w:t>满意</w:t>
            </w:r>
          </w:p>
        </w:tc>
      </w:tr>
    </w:tbl>
    <w:p>
      <w:pPr>
        <w:pStyle w:val="41"/>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
          <w:bCs/>
          <w:sz w:val="32"/>
          <w:szCs w:val="32"/>
        </w:rPr>
      </w:pPr>
      <w:r>
        <w:rPr>
          <w:rFonts w:ascii="仿宋_GB2312" w:eastAsia="仿宋_GB2312" w:cs="仿宋_GB2312" w:hint="eastAsia"/>
          <w:b/>
          <w:bCs/>
          <w:sz w:val="32"/>
          <w:szCs w:val="32"/>
        </w:rPr>
        <w:t>2.部门绩效评价结果</w:t>
      </w:r>
    </w:p>
    <w:p>
      <w:pPr>
        <w:pStyle w:val="41"/>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sz w:val="32"/>
          <w:szCs w:val="32"/>
        </w:rPr>
      </w:pPr>
      <w:r>
        <w:rPr>
          <w:rFonts w:ascii="仿宋_GB2312" w:eastAsia="仿宋_GB2312" w:cs="仿宋_GB2312" w:hint="eastAsia"/>
          <w:sz w:val="32"/>
          <w:szCs w:val="32"/>
        </w:rPr>
        <w:t>本部门按要求对</w:t>
      </w:r>
      <w:r>
        <w:rPr>
          <w:rFonts w:ascii="仿宋_GB2312" w:eastAsia="仿宋_GB2312" w:cs="仿宋_GB2312"/>
          <w:sz w:val="32"/>
          <w:szCs w:val="32"/>
        </w:rPr>
        <w:t>2021</w:t>
      </w:r>
      <w:r>
        <w:rPr>
          <w:rFonts w:ascii="仿宋_GB2312" w:eastAsia="仿宋_GB2312" w:cs="仿宋_GB2312" w:hint="eastAsia"/>
          <w:sz w:val="32"/>
          <w:szCs w:val="32"/>
        </w:rPr>
        <w:t>年部门整体支出绩效评价情况开展自评，《</w:t>
      </w:r>
      <w:r>
        <w:rPr>
          <w:rFonts w:ascii="仿宋_GB2312" w:eastAsia="仿宋_GB2312" w:cs="仿宋_GB2312" w:hint="eastAsia"/>
          <w:sz w:val="32"/>
          <w:szCs w:val="32"/>
          <w:lang w:eastAsia="zh-CN"/>
        </w:rPr>
        <w:t>茂县林业和草原局</w:t>
      </w:r>
      <w:r>
        <w:rPr>
          <w:rFonts w:ascii="仿宋_GB2312" w:eastAsia="仿宋_GB2312" w:cs="仿宋_GB2312" w:hint="eastAsia"/>
          <w:sz w:val="32"/>
          <w:szCs w:val="32"/>
        </w:rPr>
        <w:t>部门</w:t>
      </w:r>
      <w:r>
        <w:rPr>
          <w:rFonts w:ascii="仿宋_GB2312" w:eastAsia="仿宋_GB2312" w:cs="仿宋_GB2312"/>
          <w:sz w:val="32"/>
          <w:szCs w:val="32"/>
        </w:rPr>
        <w:t>2021</w:t>
      </w:r>
      <w:r>
        <w:rPr>
          <w:rFonts w:ascii="仿宋_GB2312" w:eastAsia="仿宋_GB2312" w:cs="仿宋_GB2312" w:hint="eastAsia"/>
          <w:sz w:val="32"/>
          <w:szCs w:val="32"/>
        </w:rPr>
        <w:t>年部门整体支出绩效评价报告》见附件（附件</w:t>
      </w:r>
      <w:r>
        <w:rPr>
          <w:rFonts w:ascii="仿宋_GB2312" w:eastAsia="仿宋_GB2312" w:cs="仿宋_GB2312"/>
          <w:sz w:val="32"/>
          <w:szCs w:val="32"/>
        </w:rPr>
        <w:t>1</w:t>
      </w:r>
      <w:r>
        <w:rPr>
          <w:rFonts w:ascii="仿宋_GB2312" w:eastAsia="仿宋_GB2312" w:cs="仿宋_GB2312" w:hint="eastAsia"/>
          <w:sz w:val="32"/>
          <w:szCs w:val="32"/>
        </w:rPr>
        <w:t>）。</w:t>
      </w:r>
    </w:p>
    <w:p>
      <w:pPr>
        <w:pStyle w:val="41"/>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本部门自行组织对</w:t>
      </w:r>
      <w:r>
        <w:rPr>
          <w:rFonts w:ascii="仿宋_GB2312" w:eastAsia="仿宋_GB2312" w:cs="仿宋_GB2312" w:hint="eastAsia"/>
          <w:sz w:val="32"/>
          <w:szCs w:val="32"/>
          <w:lang w:val="zh-CN" w:eastAsia="zh-CN"/>
        </w:rPr>
        <w:t>生态护林（草）员</w:t>
      </w:r>
      <w:r>
        <w:rPr>
          <w:rFonts w:ascii="仿宋_GB2312" w:eastAsia="仿宋_GB2312" w:cs="仿宋_GB2312" w:hint="eastAsia"/>
          <w:sz w:val="32"/>
          <w:szCs w:val="32"/>
          <w:lang w:val="en-US" w:eastAsia="zh-CN"/>
        </w:rPr>
        <w:t>项目、集体和个人天然商品林停伐管护补助项目、茂县茅香坪工区至土地岭防灭火道路项目、森林生态效益补偿资金项目、</w:t>
      </w:r>
      <w:r>
        <w:rPr>
          <w:rFonts w:ascii="仿宋_GB2312" w:eastAsia="仿宋_GB2312" w:cs="仿宋_GB2312" w:hint="eastAsia"/>
          <w:color w:val="auto"/>
          <w:kern w:val="0"/>
          <w:sz w:val="32"/>
          <w:szCs w:val="32"/>
          <w:lang w:val="en-US" w:eastAsia="zh-CN" w:bidi="ar-SA"/>
        </w:rPr>
        <w:t>防火阻隔系统建设项目</w:t>
      </w:r>
      <w:r>
        <w:rPr>
          <w:rFonts w:ascii="仿宋_GB2312" w:eastAsia="仿宋_GB2312" w:cs="仿宋_GB2312" w:hint="eastAsia"/>
          <w:sz w:val="32"/>
          <w:szCs w:val="32"/>
          <w:lang w:eastAsia="zh-CN"/>
        </w:rPr>
        <w:t>等</w:t>
      </w:r>
      <w:r>
        <w:rPr>
          <w:rFonts w:ascii="仿宋_GB2312" w:eastAsia="仿宋_GB2312" w:cs="仿宋_GB2312" w:hint="eastAsia"/>
          <w:sz w:val="32"/>
          <w:szCs w:val="32"/>
        </w:rPr>
        <w:t>开展了绩效评价，《</w:t>
      </w:r>
      <w:r>
        <w:rPr>
          <w:rFonts w:ascii="仿宋_GB2312" w:eastAsia="仿宋_GB2312" w:cs="仿宋_GB2312" w:hint="eastAsia"/>
          <w:sz w:val="32"/>
          <w:szCs w:val="32"/>
          <w:lang w:eastAsia="zh-CN"/>
        </w:rPr>
        <w:t>茂县林业和草原局</w:t>
      </w:r>
      <w:r>
        <w:rPr>
          <w:rFonts w:ascii="仿宋_GB2312" w:eastAsia="仿宋_GB2312" w:cs="仿宋_GB2312" w:hint="eastAsia"/>
          <w:sz w:val="32"/>
          <w:szCs w:val="32"/>
        </w:rPr>
        <w:t>项目</w:t>
      </w:r>
      <w:r>
        <w:rPr>
          <w:rFonts w:ascii="仿宋_GB2312" w:eastAsia="仿宋_GB2312" w:cs="仿宋_GB2312"/>
          <w:sz w:val="32"/>
          <w:szCs w:val="32"/>
        </w:rPr>
        <w:t>2021</w:t>
      </w:r>
      <w:r>
        <w:rPr>
          <w:rFonts w:ascii="仿宋_GB2312" w:eastAsia="仿宋_GB2312" w:cs="仿宋_GB2312" w:hint="eastAsia"/>
          <w:sz w:val="32"/>
          <w:szCs w:val="32"/>
        </w:rPr>
        <w:t>年绩效评价报告》见附件（附件</w:t>
      </w:r>
      <w:r>
        <w:rPr>
          <w:rFonts w:ascii="仿宋_GB2312" w:eastAsia="仿宋_GB2312" w:cs="仿宋_GB2312"/>
          <w:sz w:val="32"/>
          <w:szCs w:val="32"/>
        </w:rPr>
        <w:t>2</w:t>
      </w:r>
      <w:r>
        <w:rPr>
          <w:rFonts w:ascii="仿宋_GB2312" w:eastAsia="仿宋_GB2312" w:cs="仿宋_GB2312" w:hint="eastAsia"/>
          <w:sz w:val="32"/>
          <w:szCs w:val="32"/>
        </w:rPr>
        <w:t>）。</w:t>
      </w:r>
    </w:p>
    <w:p>
      <w:pPr>
        <w:pStyle w:val="34"/>
        <w:pageBreakBefore w:val="0"/>
        <w:widowControl w:val="0"/>
        <w:kinsoku/>
        <w:wordWrap/>
        <w:overflowPunct/>
        <w:topLinePunct w:val="0"/>
        <w:bidi w:val="0"/>
        <w:spacing w:line="560" w:lineRule="exact"/>
      </w:pPr>
    </w:p>
    <w:p>
      <w:pPr>
        <w:pageBreakBefore w:val="0"/>
        <w:widowControl/>
        <w:kinsoku/>
        <w:wordWrap/>
        <w:overflowPunct/>
        <w:topLinePunct w:val="0"/>
        <w:bidi w:val="0"/>
        <w:spacing w:line="560" w:lineRule="exact"/>
        <w:jc w:val="left"/>
        <w:rPr>
          <w:rFonts w:ascii="仿宋_GB2312" w:eastAsia="仿宋_GB2312"/>
          <w:b/>
          <w:color w:val="000000"/>
          <w:sz w:val="32"/>
          <w:szCs w:val="32"/>
        </w:rPr>
      </w:pPr>
      <w:r>
        <w:rPr>
          <w:rFonts w:ascii="仿宋_GB2312" w:eastAsia="仿宋_GB2312"/>
          <w:b/>
          <w:color w:val="000000"/>
          <w:sz w:val="32"/>
          <w:szCs w:val="32"/>
        </w:rPr>
        <w:br w:type="page"/>
      </w:r>
    </w:p>
    <w:p>
      <w:pPr>
        <w:pStyle w:val="1"/>
        <w:keepNext/>
        <w:keepLines/>
        <w:pageBreakBefore w:val="0"/>
        <w:widowControl w:val="0"/>
        <w:kinsoku/>
        <w:wordWrap/>
        <w:overflowPunct/>
        <w:topLinePunct w:val="0"/>
        <w:bidi w:val="0"/>
        <w:spacing w:before="0" w:after="0" w:line="560" w:lineRule="exact"/>
        <w:jc w:val="center"/>
        <w:rPr>
          <w:rFonts w:ascii="黑体" w:eastAsia="黑体" w:cs="黑体"/>
        </w:rPr>
      </w:pPr>
      <w:bookmarkStart w:id="70" w:name="_Toc113981023"/>
      <w:bookmarkStart w:id="71" w:name="_Toc111208509"/>
      <w:bookmarkStart w:id="72" w:name="_Toc15377225"/>
      <w:r>
        <w:rPr>
          <w:rFonts w:ascii="黑体" w:eastAsia="黑体" w:cs="黑体" w:hint="eastAsia"/>
        </w:rPr>
        <w:t>第三部分 名词解释</w:t>
      </w:r>
      <w:bookmarkEnd w:id="70"/>
      <w:bookmarkEnd w:id="71"/>
      <w:bookmarkEnd w:id="72"/>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2.事业收入：指事业单位开展专业业务活动及辅助活动取得的收入。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3.经营收入：指事业单位在专业业务活动及其辅助活动之外开展非独立核算经营活动取得的收入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4.其他收入：指单位取得的除上述收入以外的各项收入。</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 xml:space="preserve">6.年初结转和结余：指以前年度尚未完成、结转到本年按有关规定继续使用的资金。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7.结余分配：指事业单位按照事业单位会计制度的规定从非财政补助结余中分配的事业基金和职工福利基金等。</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8.年末结转和结余：指单位按有关规定结转到下年或以后年度继续使用的资金。</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9.社会保障和就业支出（208）行政事业单位养老支出（20805）机关事业单位基本养老保险缴费支出（2080505）：反映机关事业单位实施养老保险制度由单位缴纳的基本养老保险费支出。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10.社会保障和就业支出（208）行政事业单位养老支出（20805）机关事业单位职业年金缴费支出（2080506）：反映机关事业单位实施养老保险制度由单位实际缴纳的职业年金支出。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11.卫生健康支出（210）公共卫生（21004）重大公共卫生服务（2100409）：反映重大疾病、重大传染病预防控制等重大公共卫生服务项目支出。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12.卫生健康支出（210）行政事业单位医疗（21011）行政单位医疗（2101101）：反映财政部门安排的行政单位（包括实行公务员管理的事业单位，下同）基本医疗保险缴费经费，未参加医疗保险的行政单位的公费医疗经费，按国家规定享受离休人员、红军老战士待遇人员的医疗经费。</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13.卫生健康支出（210）行政事业单位医疗（21011）事业单位医疗（2101102）：反映财政部门安排的事业单位基本医疗保险缴费经费，未参加医疗保险的事业单位的公费医疗经费，按国家规定享受离休人员待遇的医疗经费。</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14.节能环保支出（211）自然生态保护（21104）生态保护（2110401）：反映用于生态功能区、生态示范区、生态省（市、县）管理及能力建设、日常管护、宣教、试点示范等支出，生态修复支出，资源开发生态监管支出，生态护林员的劳务报酬等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15.节能环保支出（211）天然林保护（21105）森林管护（2110501）：反映专项用于森林资源管护所发生的各项补助支出。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16.节能环保支出（211）天然林保护（21105）社会保险补助（2110502）：反映专项用于由于木材减产或停产造成实施单位应缴纳社会保险费缺口的补助支出。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17.节能环保支出（211）退耕还林还草（21106）退耕现金（2110602）：反映专项用于退耕户的现金补助支出。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18.农林水支出（213）林业和草原（21302）行政运行（2130201）：反映行政单位（包括实行公务员管理的事业单位）的基本支出。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19.农林水支出（213）林业和草原（21302）事业机构（2130204）：反映事业单位的基本支出，不包括行政单位（含实行公务员管理的事业单位）后勤服务中心等附属事业单位的支岀。</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20.农林水支出（213）林业和草原（21302）森林资源培育（2130205）：反映育苗（种）、造林、抚育、退化林修复、义务植树以及生物质能源建设等方面的支出。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21.农林水支出（213）林业和草原（21302）森林资源管理（2130207）：反映森林资源核査、监测、评估、经营利用、林地保护等方面的支出。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22.农林水支出（213）林业和草原（21302）森林生态效益补偿（2130209）：反映用于公益林保护和管理等方面的支出。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23.农林水支出（213）林业和草原（21302）动植物保护（2130211）：反映动植物资源生存环境调査、监测、保护管理、野外放（回）归、巡护、野生动物疫源疫病监测防控、濒危野生动植物拯救、繁育及进出口管理等方面的支岀。</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24.农林水支出（213）林业和草原（21302）林业草原防灾减灾（2130234）：反映用于病虫害等有害生物灾害、森林草原防火、野生动物疫病灾害等方面的支出。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25.农林水支出（213）林业和草原（21302）其他林业和草原支出（2130299）：反映除上述项0以外其他用于林业和草原方面的支出。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26.农林水支出（213）扶贫（21305）其他扶贫支出（2130599）：反映除上述项目以外其他用于扶贫方面的支出。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27.农林水支出（213）其他农林水支出（21399）其他农林水支出（2139999）：反映除化解债务支出以外其他用于农林水方面的支出。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28.交通运输支出（214）公路水路运输（21401）其他公路水路运输支出（2140199）：反映除上述项i以外其他用于公路水路运输方面的支出。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ab/>
        <w:t>29.住房保障支出（221）住房改革支出（22102）住房公积金（2210201）：反映行政事业单位按人力资源和社会保障部、财政部规定的基本工资和津贴补贴以及规定比例为职工缴纳的住房公积金。</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ab/>
        <w:t>30.住房保障支出（221）住房改革支出（22102）购房补贴（2210203）：反映按房改政策规定，行政事业单位向符合条件职工（含离退休人员）、军队（含武警）向转役复员离退休人员发放的用于购买住房的补贴。</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eastAsia="zh-CN"/>
        </w:rPr>
      </w:pPr>
      <w:r>
        <w:rPr>
          <w:rFonts w:ascii="仿宋_GB2312" w:eastAsia="仿宋_GB2312" w:cs="仿宋_GB2312" w:hint="eastAsia"/>
          <w:color w:val="000000"/>
          <w:sz w:val="32"/>
          <w:szCs w:val="32"/>
        </w:rPr>
        <w:t>31.灾害防治及应急管理支出（224）自然灾害防治（22406）森林草原防灾减灾（2240602）：反映防治森林草原火灾、自然水旱灾害等发生的支出。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32.其他支出（229）其他支出（22999）其他支出（2299999）：无文字说明。</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33.基本支出：指为保障机构正常运转、完成日常工作任务而发生的人员支出和公用支出。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lang w:val="en-US" w:eastAsia="zh-CN"/>
        </w:rPr>
        <w:t>34</w:t>
      </w:r>
      <w:r>
        <w:rPr>
          <w:rFonts w:ascii="仿宋_GB2312" w:eastAsia="仿宋_GB2312" w:cs="仿宋_GB2312" w:hint="eastAsia"/>
          <w:color w:val="000000"/>
          <w:sz w:val="32"/>
          <w:szCs w:val="32"/>
        </w:rPr>
        <w:t xml:space="preserve">.项目支出：指在基本支出之外为完成特定行政任务和事业发展目标所发生的支出。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3</w:t>
      </w:r>
      <w:r>
        <w:rPr>
          <w:rFonts w:ascii="仿宋_GB2312" w:eastAsia="仿宋_GB2312" w:cs="仿宋_GB2312" w:hint="eastAsia"/>
          <w:color w:val="000000"/>
          <w:sz w:val="32"/>
          <w:szCs w:val="32"/>
          <w:lang w:val="en-US" w:eastAsia="zh-CN"/>
        </w:rPr>
        <w:t>5</w:t>
      </w:r>
      <w:r>
        <w:rPr>
          <w:rFonts w:ascii="仿宋_GB2312" w:eastAsia="仿宋_GB2312" w:cs="仿宋_GB2312" w:hint="eastAsia"/>
          <w:color w:val="000000"/>
          <w:sz w:val="32"/>
          <w:szCs w:val="32"/>
        </w:rPr>
        <w:t>.经营支出：指事业单位在专业业务活动及其辅助活动之外开展非独立核算经营活动发生的支出。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3</w:t>
      </w:r>
      <w:r>
        <w:rPr>
          <w:rFonts w:ascii="仿宋_GB2312" w:eastAsia="仿宋_GB2312" w:cs="仿宋_GB2312" w:hint="eastAsia"/>
          <w:color w:val="000000"/>
          <w:sz w:val="32"/>
          <w:szCs w:val="32"/>
          <w:lang w:val="en-US" w:eastAsia="zh-CN"/>
        </w:rPr>
        <w:t>6</w:t>
      </w:r>
      <w:r>
        <w:rPr>
          <w:rFonts w:ascii="仿宋_GB2312" w:eastAsia="仿宋_GB2312" w:cs="仿宋_GB2312" w:hint="eastAsia"/>
          <w:color w:val="000000"/>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rPr>
      </w:pPr>
      <w:r>
        <w:rPr>
          <w:rFonts w:ascii="仿宋_GB2312" w:eastAsia="仿宋_GB2312" w:cs="仿宋_GB2312" w:hint="eastAsia"/>
          <w:color w:val="000000"/>
          <w:sz w:val="32"/>
          <w:szCs w:val="32"/>
        </w:rPr>
        <w:t>3</w:t>
      </w:r>
      <w:r>
        <w:rPr>
          <w:rFonts w:ascii="仿宋_GB2312" w:eastAsia="仿宋_GB2312" w:cs="仿宋_GB2312" w:hint="eastAsia"/>
          <w:color w:val="000000"/>
          <w:sz w:val="32"/>
          <w:szCs w:val="32"/>
          <w:lang w:val="en-US" w:eastAsia="zh-CN"/>
        </w:rPr>
        <w:t>7</w:t>
      </w:r>
      <w:r>
        <w:rPr>
          <w:rFonts w:ascii="仿宋_GB2312" w:eastAsia="仿宋_GB2312" w:cs="仿宋_GB2312" w:hint="eastAsia"/>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color w:val="000000"/>
          <w:sz w:val="32"/>
          <w:szCs w:val="32"/>
        </w:rPr>
        <w:t>3</w:t>
      </w:r>
      <w:r>
        <w:rPr>
          <w:rFonts w:ascii="仿宋_GB2312" w:eastAsia="仿宋_GB2312" w:cs="仿宋_GB2312" w:hint="eastAsia"/>
          <w:color w:val="000000"/>
          <w:sz w:val="32"/>
          <w:szCs w:val="32"/>
          <w:lang w:val="en-US" w:eastAsia="zh-CN"/>
        </w:rPr>
        <w:t>8</w:t>
      </w:r>
      <w:r>
        <w:rPr>
          <w:rFonts w:ascii="仿宋_GB2312" w:eastAsia="仿宋_GB2312" w:cs="仿宋_GB2312" w:hint="eastAsia"/>
          <w:color w:val="000000"/>
          <w:sz w:val="32"/>
          <w:szCs w:val="32"/>
        </w:rPr>
        <w:t>.财政应返还额度：为行政事业单位会计核算科目，用于核算实行国库集中支付的行政事业单位应收财政返还的资金额度。</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Style w:val="1Char"/>
          <w:rFonts w:ascii="仿宋_GB2312" w:eastAsia="仿宋_GB2312" w:cs="仿宋_GB2312" w:hint="eastAsia"/>
          <w:sz w:val="32"/>
          <w:szCs w:val="32"/>
        </w:rPr>
      </w:pPr>
      <w:r>
        <w:rPr>
          <w:rStyle w:val="1Char"/>
          <w:rFonts w:ascii="仿宋_GB2312" w:eastAsia="仿宋_GB2312" w:cs="仿宋_GB2312" w:hint="eastAsia"/>
          <w:sz w:val="32"/>
          <w:szCs w:val="32"/>
        </w:rPr>
        <w:br w:type="page"/>
      </w:r>
    </w:p>
    <w:p>
      <w:pPr>
        <w:pStyle w:val="1"/>
        <w:keepNext/>
        <w:keepLines/>
        <w:pageBreakBefore w:val="0"/>
        <w:widowControl w:val="0"/>
        <w:kinsoku/>
        <w:wordWrap/>
        <w:overflowPunct/>
        <w:topLinePunct w:val="0"/>
        <w:bidi w:val="0"/>
        <w:spacing w:before="0" w:after="0" w:line="560" w:lineRule="exact"/>
        <w:jc w:val="center"/>
        <w:rPr>
          <w:rFonts w:ascii="黑体" w:eastAsia="黑体" w:cs="黑体"/>
        </w:rPr>
      </w:pPr>
      <w:bookmarkStart w:id="73" w:name="_Toc113981024"/>
      <w:bookmarkStart w:id="74" w:name="_Toc111208510"/>
      <w:r>
        <w:rPr>
          <w:rFonts w:ascii="黑体" w:eastAsia="黑体" w:cs="黑体" w:hint="eastAsia"/>
        </w:rPr>
        <w:t>第四部分 附件</w:t>
      </w:r>
      <w:bookmarkEnd w:id="73"/>
      <w:bookmarkEnd w:id="74"/>
    </w:p>
    <w:p>
      <w:pPr>
        <w:pStyle w:val="37"/>
        <w:pageBreakBefore w:val="0"/>
        <w:widowControl/>
        <w:kinsoku/>
        <w:wordWrap/>
        <w:overflowPunct/>
        <w:topLinePunct w:val="0"/>
        <w:bidi w:val="0"/>
        <w:spacing w:line="560" w:lineRule="exact"/>
        <w:contextualSpacing/>
        <w:jc w:val="center"/>
        <w:rPr>
          <w:rFonts w:ascii="宋体" w:eastAsia="宋体"/>
          <w:b/>
          <w:sz w:val="44"/>
          <w:szCs w:val="44"/>
          <w:shd w:val="clear" w:color="auto" w:fill="FFFFFF"/>
        </w:rPr>
      </w:pPr>
      <w:r>
        <w:rPr>
          <w:rFonts w:ascii="宋体" w:eastAsia="宋体" w:hint="eastAsia"/>
          <w:b/>
          <w:sz w:val="44"/>
          <w:szCs w:val="44"/>
          <w:shd w:val="clear" w:color="auto" w:fill="FFFFFF"/>
        </w:rPr>
        <w:t>2022年</w:t>
      </w:r>
      <w:r>
        <w:rPr>
          <w:rFonts w:ascii="宋体" w:eastAsia="宋体" w:hint="eastAsia"/>
          <w:b/>
          <w:sz w:val="44"/>
          <w:szCs w:val="44"/>
          <w:shd w:val="clear" w:color="auto" w:fill="FFFFFF"/>
          <w:lang w:eastAsia="zh-CN"/>
        </w:rPr>
        <w:t>茂县林业和草原局</w:t>
      </w:r>
      <w:r>
        <w:rPr>
          <w:rFonts w:ascii="宋体" w:eastAsia="宋体" w:hint="eastAsia"/>
          <w:b/>
          <w:sz w:val="44"/>
          <w:szCs w:val="44"/>
          <w:shd w:val="clear" w:color="auto" w:fill="FFFFFF"/>
        </w:rPr>
        <w:t>整体支出</w:t>
      </w:r>
    </w:p>
    <w:p>
      <w:pPr>
        <w:pStyle w:val="37"/>
        <w:pageBreakBefore w:val="0"/>
        <w:widowControl/>
        <w:kinsoku/>
        <w:wordWrap/>
        <w:overflowPunct/>
        <w:topLinePunct w:val="0"/>
        <w:bidi w:val="0"/>
        <w:spacing w:line="560" w:lineRule="exact"/>
        <w:contextualSpacing/>
        <w:jc w:val="center"/>
        <w:rPr>
          <w:rFonts w:ascii="宋体" w:eastAsia="宋体"/>
          <w:b/>
          <w:sz w:val="44"/>
          <w:szCs w:val="44"/>
          <w:shd w:val="clear" w:color="auto" w:fill="FFFFFF"/>
        </w:rPr>
      </w:pPr>
      <w:r>
        <w:rPr>
          <w:rFonts w:ascii="宋体" w:eastAsia="宋体" w:hint="eastAsia"/>
          <w:b/>
          <w:sz w:val="44"/>
          <w:szCs w:val="44"/>
          <w:shd w:val="clear" w:color="auto" w:fill="FFFFFF"/>
        </w:rPr>
        <w:t>绩效评价报告</w:t>
      </w:r>
    </w:p>
    <w:p>
      <w:pPr>
        <w:pStyle w:val="37"/>
        <w:pageBreakBefore w:val="0"/>
        <w:widowControl/>
        <w:kinsoku/>
        <w:wordWrap/>
        <w:overflowPunct/>
        <w:topLinePunct w:val="0"/>
        <w:bidi w:val="0"/>
        <w:adjustRightInd w:val="0"/>
        <w:snapToGrid w:val="0"/>
        <w:spacing w:line="560" w:lineRule="exact"/>
        <w:ind w:firstLineChars="200" w:firstLine="480"/>
        <w:contextualSpacing/>
        <w:jc w:val="left"/>
        <w:rPr>
          <w:rFonts w:ascii="黑体" w:eastAsia="黑体" w:cs="宋体"/>
          <w:color w:val="000000"/>
          <w:kern w:val="0"/>
          <w:sz w:val="24"/>
          <w:szCs w:val="32"/>
          <w:shd w:val="clear" w:color="auto" w:fill="FFFFFF"/>
        </w:rPr>
      </w:pPr>
    </w:p>
    <w:p>
      <w:pPr>
        <w:pStyle w:val="37"/>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黑体" w:eastAsia="黑体" w:cs="宋体"/>
          <w:color w:val="000000"/>
          <w:kern w:val="0"/>
          <w:szCs w:val="32"/>
          <w:shd w:val="clear" w:color="auto" w:fill="FFFFFF"/>
          <w:lang w:val="zh-CN"/>
        </w:rPr>
      </w:pPr>
      <w:r>
        <w:rPr>
          <w:rFonts w:ascii="黑体" w:eastAsia="黑体" w:cs="宋体" w:hint="eastAsia"/>
          <w:color w:val="000000"/>
          <w:kern w:val="0"/>
          <w:szCs w:val="32"/>
          <w:shd w:val="clear" w:color="auto" w:fill="FFFFFF"/>
        </w:rPr>
        <w:t>一、</w:t>
      </w:r>
      <w:r>
        <w:rPr>
          <w:rFonts w:ascii="黑体" w:eastAsia="黑体" w:cs="宋体" w:hint="eastAsia"/>
          <w:color w:val="000000"/>
          <w:kern w:val="0"/>
          <w:szCs w:val="32"/>
          <w:shd w:val="clear" w:color="auto" w:fill="FFFFFF"/>
          <w:lang w:val="zh-CN"/>
        </w:rPr>
        <w:t>部门（单位）概况</w:t>
      </w:r>
    </w:p>
    <w:p>
      <w:pPr>
        <w:pStyle w:val="42"/>
        <w:keepNext w:val="0"/>
        <w:keepLines w:val="0"/>
        <w:pageBreakBefore w:val="0"/>
        <w:widowControl/>
        <w:kinsoku/>
        <w:wordWrap/>
        <w:overflowPunct/>
        <w:topLinePunct w:val="0"/>
        <w:autoSpaceDE/>
        <w:autoSpaceDN/>
        <w:bidi w:val="0"/>
        <w:adjustRightInd w:val="0"/>
        <w:snapToGrid w:val="0"/>
        <w:spacing w:line="580" w:lineRule="exact"/>
        <w:ind w:firstLineChars="200" w:firstLine="640"/>
        <w:contextualSpacing/>
        <w:jc w:val="left"/>
        <w:textAlignment w:val="auto"/>
        <w:rPr>
          <w:rFonts w:ascii="楷体" w:eastAsia="楷体" w:cs="楷体" w:hint="eastAsia"/>
          <w:b/>
          <w:bCs/>
          <w:color w:val="000000"/>
          <w:kern w:val="0"/>
          <w:szCs w:val="32"/>
          <w:shd w:val="clear" w:color="auto" w:fill="FFFFFF"/>
          <w:lang w:val="zh-CN"/>
        </w:rPr>
      </w:pPr>
      <w:r>
        <w:rPr>
          <w:rFonts w:ascii="楷体" w:eastAsia="楷体" w:cs="楷体" w:hint="eastAsia"/>
          <w:b/>
          <w:bCs/>
          <w:color w:val="000000"/>
          <w:kern w:val="0"/>
          <w:szCs w:val="32"/>
          <w:shd w:val="clear" w:color="auto" w:fill="FFFFFF"/>
          <w:lang w:val="zh-CN"/>
        </w:rPr>
        <w:t>（一）机构组成</w:t>
      </w:r>
    </w:p>
    <w:p>
      <w:pPr>
        <w:pStyle w:val="37"/>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cs="宋体" w:hint="eastAsia"/>
          <w:color w:val="000000"/>
          <w:kern w:val="0"/>
          <w:szCs w:val="32"/>
          <w:shd w:val="clear" w:color="auto" w:fill="FFFFFF"/>
          <w:lang w:val="zh-CN"/>
        </w:rPr>
      </w:pPr>
      <w:r>
        <w:rPr>
          <w:rFonts w:ascii="仿宋_GB2312" w:cs="仿宋_GB2312" w:hint="eastAsia"/>
          <w:kern w:val="0"/>
          <w:lang w:val="zh-CN"/>
        </w:rPr>
        <w:t>茂县林业和草原局单位下属二级预算单位</w:t>
      </w:r>
      <w:r>
        <w:rPr>
          <w:rFonts w:ascii="仿宋_GB2312" w:cs="仿宋_GB2312"/>
          <w:kern w:val="0"/>
          <w:lang w:val="zh-CN"/>
        </w:rPr>
        <w:t xml:space="preserve"> 0 </w:t>
      </w:r>
      <w:r>
        <w:rPr>
          <w:rFonts w:ascii="仿宋_GB2312" w:cs="仿宋_GB2312" w:hint="eastAsia"/>
          <w:kern w:val="0"/>
          <w:lang w:val="zh-CN"/>
        </w:rPr>
        <w:t>个，行政单位</w:t>
      </w:r>
      <w:r>
        <w:rPr>
          <w:rFonts w:ascii="仿宋_GB2312" w:cs="仿宋_GB2312" w:hint="eastAsia"/>
          <w:kern w:val="0"/>
          <w:lang w:val="en-US" w:eastAsia="zh-CN"/>
        </w:rPr>
        <w:t>0</w:t>
      </w:r>
      <w:r>
        <w:rPr>
          <w:rFonts w:ascii="仿宋_GB2312" w:cs="仿宋_GB2312" w:hint="eastAsia"/>
          <w:kern w:val="0"/>
          <w:lang w:val="zh-CN"/>
        </w:rPr>
        <w:t>个，参照公务员法管理的事业单位</w:t>
      </w:r>
      <w:r>
        <w:rPr>
          <w:rFonts w:ascii="仿宋_GB2312" w:cs="仿宋_GB2312"/>
          <w:kern w:val="0"/>
          <w:lang w:val="zh-CN"/>
        </w:rPr>
        <w:t xml:space="preserve"> </w:t>
      </w:r>
      <w:r>
        <w:rPr>
          <w:rFonts w:ascii="仿宋_GB2312" w:cs="仿宋_GB2312" w:hint="eastAsia"/>
          <w:kern w:val="0"/>
          <w:lang w:val="en-US" w:eastAsia="zh-CN"/>
        </w:rPr>
        <w:t>0</w:t>
      </w:r>
      <w:r>
        <w:rPr>
          <w:rFonts w:ascii="仿宋_GB2312" w:cs="仿宋_GB2312" w:hint="eastAsia"/>
          <w:kern w:val="0"/>
          <w:lang w:val="zh-CN"/>
        </w:rPr>
        <w:t>个，其他事业单位</w:t>
      </w:r>
      <w:r>
        <w:rPr>
          <w:rFonts w:ascii="仿宋_GB2312" w:cs="仿宋_GB2312" w:hint="eastAsia"/>
          <w:kern w:val="0"/>
          <w:lang w:val="en-US" w:eastAsia="zh-CN"/>
        </w:rPr>
        <w:t>0</w:t>
      </w:r>
      <w:r>
        <w:rPr>
          <w:rFonts w:ascii="仿宋_GB2312" w:cs="仿宋_GB2312" w:hint="eastAsia"/>
          <w:kern w:val="0"/>
          <w:lang w:val="zh-CN"/>
        </w:rPr>
        <w:t>个。</w:t>
      </w:r>
    </w:p>
    <w:p>
      <w:pPr>
        <w:pStyle w:val="42"/>
        <w:widowControl/>
        <w:adjustRightInd w:val="0"/>
        <w:snapToGrid w:val="0"/>
        <w:spacing w:line="580" w:lineRule="exact"/>
        <w:ind w:firstLineChars="200" w:firstLine="640"/>
        <w:contextualSpacing/>
        <w:jc w:val="left"/>
        <w:rPr>
          <w:rFonts w:ascii="仿宋_GB2312" w:eastAsia="仿宋_GB2312" w:cs="宋体" w:hint="eastAsia"/>
          <w:color w:val="000000"/>
          <w:kern w:val="0"/>
          <w:szCs w:val="32"/>
          <w:shd w:val="clear" w:color="auto" w:fill="FFFFFF"/>
          <w:lang w:val="en-US" w:eastAsia="zh-CN"/>
        </w:rPr>
      </w:pPr>
      <w:r>
        <w:rPr>
          <w:rFonts w:ascii="楷体" w:eastAsia="楷体" w:cs="楷体" w:hint="eastAsia"/>
          <w:b/>
          <w:bCs/>
          <w:color w:val="000000"/>
          <w:kern w:val="0"/>
          <w:szCs w:val="32"/>
          <w:shd w:val="clear" w:color="auto" w:fill="FFFFFF"/>
          <w:lang w:val="zh-CN"/>
        </w:rPr>
        <w:t>（二）机构职能</w:t>
      </w:r>
      <w:r>
        <w:rPr>
          <w:rFonts w:ascii="仿宋_GB2312" w:cs="宋体" w:hint="eastAsia"/>
          <w:color w:val="000000"/>
          <w:kern w:val="0"/>
          <w:szCs w:val="32"/>
          <w:shd w:val="clear" w:color="auto" w:fill="FFFFFF"/>
          <w:lang w:val="en-US" w:eastAsia="zh-CN"/>
        </w:rPr>
        <w:t xml:space="preserve"> </w:t>
      </w:r>
    </w:p>
    <w:p>
      <w:pPr>
        <w:pStyle w:val="37"/>
        <w:pageBreakBefore w:val="0"/>
        <w:widowControl w:val="0"/>
        <w:kinsoku/>
        <w:wordWrap/>
        <w:overflowPunct/>
        <w:topLinePunct w:val="0"/>
        <w:autoSpaceDE w:val="0"/>
        <w:autoSpaceDN w:val="0"/>
        <w:bidi w:val="0"/>
        <w:adjustRightInd w:val="0"/>
        <w:spacing w:line="560" w:lineRule="exact"/>
        <w:ind w:firstLineChars="200" w:firstLine="640"/>
        <w:rPr>
          <w:rFonts w:ascii="仿宋_GB2312" w:cs="仿宋_GB2312"/>
          <w:kern w:val="0"/>
          <w:lang w:val="zh-CN"/>
        </w:rPr>
      </w:pPr>
      <w:r>
        <w:rPr>
          <w:rFonts w:ascii="仿宋_GB2312" w:cs="仿宋_GB2312"/>
          <w:kern w:val="0"/>
          <w:lang w:val="zh-CN"/>
        </w:rPr>
        <w:t>1.</w:t>
      </w:r>
      <w:r>
        <w:rPr>
          <w:rFonts w:ascii="仿宋_GB2312" w:cs="仿宋_GB2312" w:hint="eastAsia"/>
          <w:kern w:val="0"/>
          <w:lang w:val="zh-CN"/>
        </w:rPr>
        <w:t>贯彻执行党和国家的林业方针、政策、法律、法规、规章和有关决议、决定，结合我县的实际和国民经济发展的需要，制定相应的实施办法并组织实施，完善林业政策和管理制度。</w:t>
      </w:r>
    </w:p>
    <w:p>
      <w:pPr>
        <w:pStyle w:val="37"/>
        <w:pageBreakBefore w:val="0"/>
        <w:widowControl w:val="0"/>
        <w:kinsoku/>
        <w:wordWrap/>
        <w:overflowPunct/>
        <w:topLinePunct w:val="0"/>
        <w:autoSpaceDE w:val="0"/>
        <w:autoSpaceDN w:val="0"/>
        <w:bidi w:val="0"/>
        <w:adjustRightInd w:val="0"/>
        <w:spacing w:line="560" w:lineRule="exact"/>
        <w:ind w:firstLineChars="200" w:firstLine="640"/>
        <w:rPr>
          <w:rFonts w:ascii="仿宋_GB2312" w:cs="仿宋_GB2312"/>
          <w:kern w:val="0"/>
          <w:lang w:val="zh-CN"/>
        </w:rPr>
      </w:pPr>
      <w:r>
        <w:rPr>
          <w:rFonts w:ascii="仿宋_GB2312" w:cs="仿宋_GB2312"/>
          <w:kern w:val="0"/>
          <w:lang w:val="zh-CN"/>
        </w:rPr>
        <w:t>2.</w:t>
      </w:r>
      <w:r>
        <w:rPr>
          <w:rFonts w:ascii="仿宋_GB2312" w:cs="仿宋_GB2312" w:hint="eastAsia"/>
          <w:kern w:val="0"/>
          <w:lang w:val="zh-CN"/>
        </w:rPr>
        <w:t>编制全县林业发展的中长期规划和年度计划，负责林业信息的收集整理，指导、协调林业生产建设总体布局，林业产业结构调整，森林资源和规划计划的实施，并指导林业企业产权制度改革和林业经济体制改革。</w:t>
      </w:r>
    </w:p>
    <w:p>
      <w:pPr>
        <w:pStyle w:val="37"/>
        <w:pageBreakBefore w:val="0"/>
        <w:widowControl w:val="0"/>
        <w:kinsoku/>
        <w:wordWrap/>
        <w:overflowPunct/>
        <w:topLinePunct w:val="0"/>
        <w:autoSpaceDE w:val="0"/>
        <w:autoSpaceDN w:val="0"/>
        <w:bidi w:val="0"/>
        <w:adjustRightInd w:val="0"/>
        <w:spacing w:line="560" w:lineRule="exact"/>
        <w:ind w:firstLineChars="200" w:firstLine="640"/>
        <w:rPr>
          <w:rFonts w:ascii="仿宋_GB2312" w:cs="仿宋_GB2312"/>
          <w:kern w:val="0"/>
          <w:lang w:val="zh-CN"/>
        </w:rPr>
      </w:pPr>
      <w:r>
        <w:rPr>
          <w:rFonts w:ascii="仿宋_GB2312" w:cs="仿宋_GB2312"/>
          <w:kern w:val="0"/>
          <w:lang w:val="zh-CN"/>
        </w:rPr>
        <w:t>3.</w:t>
      </w:r>
      <w:r>
        <w:rPr>
          <w:rFonts w:ascii="仿宋_GB2312" w:cs="仿宋_GB2312" w:hint="eastAsia"/>
          <w:kern w:val="0"/>
          <w:lang w:val="zh-CN"/>
        </w:rPr>
        <w:t>主管全县森林资源，负责森林资源保护管理的基础设施建设；编制和执行采伐限额；监督检查木材凭证采伐，加工运输、供应等林政管理工作；负责林地、林权管理及征占用林地的清查、初审；主管森林资源有偿使用并监督林地开发利用，负责国有森林资源管理。</w:t>
      </w:r>
    </w:p>
    <w:p>
      <w:pPr>
        <w:pStyle w:val="37"/>
        <w:pageBreakBefore w:val="0"/>
        <w:widowControl w:val="0"/>
        <w:kinsoku/>
        <w:wordWrap/>
        <w:overflowPunct/>
        <w:topLinePunct w:val="0"/>
        <w:autoSpaceDE w:val="0"/>
        <w:autoSpaceDN w:val="0"/>
        <w:bidi w:val="0"/>
        <w:adjustRightInd w:val="0"/>
        <w:spacing w:line="560" w:lineRule="exact"/>
        <w:ind w:firstLineChars="200" w:firstLine="640"/>
        <w:rPr>
          <w:rFonts w:ascii="仿宋_GB2312" w:cs="仿宋_GB2312"/>
          <w:kern w:val="0"/>
          <w:lang w:val="zh-CN"/>
        </w:rPr>
      </w:pPr>
      <w:r>
        <w:rPr>
          <w:rFonts w:ascii="仿宋_GB2312" w:cs="仿宋_GB2312"/>
          <w:kern w:val="0"/>
          <w:lang w:val="zh-CN"/>
        </w:rPr>
        <w:t>4.</w:t>
      </w:r>
      <w:r>
        <w:rPr>
          <w:rFonts w:ascii="仿宋_GB2312" w:cs="仿宋_GB2312" w:hint="eastAsia"/>
          <w:kern w:val="0"/>
          <w:lang w:val="zh-CN"/>
        </w:rPr>
        <w:t>负责指导全县天然林资源保护工程、生态环境治理工程、退耕还林</w:t>
      </w:r>
      <w:r>
        <w:rPr>
          <w:rFonts w:ascii="仿宋_GB2312" w:cs="仿宋_GB2312"/>
          <w:kern w:val="0"/>
          <w:lang w:val="zh-CN"/>
        </w:rPr>
        <w:t>(</w:t>
      </w:r>
      <w:r>
        <w:rPr>
          <w:rFonts w:ascii="仿宋_GB2312" w:cs="仿宋_GB2312" w:hint="eastAsia"/>
          <w:kern w:val="0"/>
          <w:lang w:val="zh-CN"/>
        </w:rPr>
        <w:t>草</w:t>
      </w:r>
      <w:r>
        <w:rPr>
          <w:rFonts w:ascii="仿宋_GB2312" w:cs="仿宋_GB2312"/>
          <w:kern w:val="0"/>
          <w:lang w:val="zh-CN"/>
        </w:rPr>
        <w:t>)</w:t>
      </w:r>
      <w:r>
        <w:rPr>
          <w:rFonts w:ascii="仿宋_GB2312" w:cs="仿宋_GB2312" w:hint="eastAsia"/>
          <w:kern w:val="0"/>
          <w:lang w:val="zh-CN"/>
        </w:rPr>
        <w:t>工程的实施。组织实施全县植树造林、国土绿化、防沙</w:t>
      </w:r>
      <w:r>
        <w:rPr>
          <w:rFonts w:ascii="仿宋_GB2312" w:cs="仿宋_GB2312" w:hint="eastAsia"/>
          <w:kern w:val="0"/>
          <w:lang w:val="en-US" w:eastAsia="zh-CN"/>
        </w:rPr>
        <w:t xml:space="preserve"> </w:t>
      </w:r>
      <w:r>
        <w:rPr>
          <w:rFonts w:ascii="仿宋_GB2312" w:cs="仿宋_GB2312" w:hint="eastAsia"/>
          <w:kern w:val="0"/>
          <w:lang w:val="zh-CN"/>
        </w:rPr>
        <w:t>治沙及各类林业基地及工程项目建设；对县属国有林场、苗圃、森林公园、自然保护区、集体林场实行宏观管理，引进外援项目，组织实施环境建设、水土保持、农田基本建设等方面造林绿化和林果发展项目；指导和监督全县自用材和生活用材的采伐。</w:t>
      </w:r>
    </w:p>
    <w:p>
      <w:pPr>
        <w:pStyle w:val="37"/>
        <w:pageBreakBefore w:val="0"/>
        <w:widowControl w:val="0"/>
        <w:kinsoku/>
        <w:wordWrap/>
        <w:overflowPunct/>
        <w:topLinePunct w:val="0"/>
        <w:autoSpaceDE w:val="0"/>
        <w:autoSpaceDN w:val="0"/>
        <w:bidi w:val="0"/>
        <w:adjustRightInd w:val="0"/>
        <w:spacing w:line="560" w:lineRule="exact"/>
        <w:ind w:firstLineChars="200" w:firstLine="640"/>
        <w:rPr>
          <w:rFonts w:ascii="仿宋_GB2312" w:cs="仿宋_GB2312"/>
          <w:kern w:val="0"/>
          <w:lang w:val="zh-CN"/>
        </w:rPr>
      </w:pPr>
      <w:r>
        <w:rPr>
          <w:rFonts w:ascii="仿宋_GB2312" w:cs="仿宋_GB2312"/>
          <w:kern w:val="0"/>
          <w:lang w:val="zh-CN"/>
        </w:rPr>
        <w:t>5.</w:t>
      </w:r>
      <w:r>
        <w:rPr>
          <w:rFonts w:ascii="仿宋_GB2312" w:cs="仿宋_GB2312" w:hint="eastAsia"/>
          <w:kern w:val="0"/>
          <w:lang w:val="zh-CN"/>
        </w:rPr>
        <w:t>负责全县野生动物、植物资源的保护管理和合理开发利用，对宝顶沟自然保护区管理处工作进行指导；负责森林公园的规划、审批和上报审批、立项等工作。</w:t>
      </w:r>
    </w:p>
    <w:p>
      <w:pPr>
        <w:pStyle w:val="37"/>
        <w:pageBreakBefore w:val="0"/>
        <w:widowControl w:val="0"/>
        <w:kinsoku/>
        <w:wordWrap/>
        <w:overflowPunct/>
        <w:topLinePunct w:val="0"/>
        <w:autoSpaceDE w:val="0"/>
        <w:autoSpaceDN w:val="0"/>
        <w:bidi w:val="0"/>
        <w:adjustRightInd w:val="0"/>
        <w:spacing w:line="560" w:lineRule="exact"/>
        <w:ind w:firstLineChars="200" w:firstLine="640"/>
        <w:rPr>
          <w:rFonts w:ascii="仿宋_GB2312" w:cs="仿宋_GB2312"/>
          <w:kern w:val="0"/>
          <w:lang w:val="zh-CN"/>
        </w:rPr>
      </w:pPr>
      <w:r>
        <w:rPr>
          <w:rFonts w:ascii="仿宋_GB2312" w:cs="仿宋_GB2312"/>
          <w:kern w:val="0"/>
          <w:lang w:val="zh-CN"/>
        </w:rPr>
        <w:t>6.</w:t>
      </w:r>
      <w:r>
        <w:rPr>
          <w:rFonts w:ascii="仿宋_GB2312" w:cs="仿宋_GB2312" w:hint="eastAsia"/>
          <w:kern w:val="0"/>
          <w:lang w:val="zh-CN"/>
        </w:rPr>
        <w:t>指导和调控全县林业生产的发展，负责全县木材生产、采伐、运输、加工、综合利用，林产林化、森林旅游、木本药材等林业产业实行宏观管理、指导和监督；管理好林产品市场。</w:t>
      </w:r>
    </w:p>
    <w:p>
      <w:pPr>
        <w:pStyle w:val="37"/>
        <w:pageBreakBefore w:val="0"/>
        <w:widowControl w:val="0"/>
        <w:kinsoku/>
        <w:wordWrap/>
        <w:overflowPunct/>
        <w:topLinePunct w:val="0"/>
        <w:autoSpaceDE w:val="0"/>
        <w:autoSpaceDN w:val="0"/>
        <w:bidi w:val="0"/>
        <w:adjustRightInd w:val="0"/>
        <w:spacing w:line="560" w:lineRule="exact"/>
        <w:ind w:firstLineChars="200" w:firstLine="640"/>
        <w:rPr>
          <w:rFonts w:ascii="仿宋_GB2312" w:cs="仿宋_GB2312"/>
          <w:kern w:val="0"/>
          <w:lang w:val="zh-CN"/>
        </w:rPr>
      </w:pPr>
      <w:r>
        <w:rPr>
          <w:rFonts w:ascii="仿宋_GB2312" w:cs="仿宋_GB2312"/>
          <w:kern w:val="0"/>
          <w:lang w:val="zh-CN"/>
        </w:rPr>
        <w:t>7.</w:t>
      </w:r>
      <w:r>
        <w:rPr>
          <w:rFonts w:ascii="仿宋_GB2312" w:cs="仿宋_GB2312" w:hint="eastAsia"/>
          <w:kern w:val="0"/>
          <w:lang w:val="zh-CN"/>
        </w:rPr>
        <w:t>指导、监督全县林业系统财务工作；组织编制、上报或转报林业基本建设、多种经营、技术改造、转产项目并指导实施或直接组织实施。</w:t>
      </w:r>
    </w:p>
    <w:p>
      <w:pPr>
        <w:pStyle w:val="37"/>
        <w:pageBreakBefore w:val="0"/>
        <w:widowControl w:val="0"/>
        <w:kinsoku/>
        <w:wordWrap/>
        <w:overflowPunct/>
        <w:topLinePunct w:val="0"/>
        <w:autoSpaceDE w:val="0"/>
        <w:autoSpaceDN w:val="0"/>
        <w:bidi w:val="0"/>
        <w:adjustRightInd w:val="0"/>
        <w:spacing w:line="560" w:lineRule="exact"/>
        <w:ind w:firstLineChars="200" w:firstLine="640"/>
        <w:rPr>
          <w:rFonts w:ascii="仿宋_GB2312" w:cs="仿宋_GB2312"/>
          <w:kern w:val="0"/>
          <w:lang w:val="zh-CN"/>
        </w:rPr>
      </w:pPr>
      <w:r>
        <w:rPr>
          <w:rFonts w:ascii="仿宋_GB2312" w:cs="仿宋_GB2312"/>
          <w:kern w:val="0"/>
          <w:lang w:val="zh-CN"/>
        </w:rPr>
        <w:t>8.</w:t>
      </w:r>
      <w:r>
        <w:rPr>
          <w:rFonts w:ascii="仿宋_GB2312" w:cs="仿宋_GB2312" w:hint="eastAsia"/>
          <w:kern w:val="0"/>
          <w:lang w:val="zh-CN"/>
        </w:rPr>
        <w:t>管理林业执法体系建设和林业执法工作，领导县森林公安局搞好全县森林公安队伍建设和森林公安工作；监督和查处破坏森林资源和野生动物资源的案</w:t>
      </w:r>
      <w:r>
        <w:rPr>
          <w:rFonts w:ascii="仿宋_GB2312" w:cs="仿宋_GB2312"/>
          <w:kern w:val="0"/>
          <w:lang w:val="zh-CN"/>
        </w:rPr>
        <w:t>(</w:t>
      </w:r>
      <w:r>
        <w:rPr>
          <w:rFonts w:ascii="仿宋_GB2312" w:cs="仿宋_GB2312" w:hint="eastAsia"/>
          <w:kern w:val="0"/>
          <w:lang w:val="zh-CN"/>
        </w:rPr>
        <w:t>事</w:t>
      </w:r>
      <w:r>
        <w:rPr>
          <w:rFonts w:ascii="仿宋_GB2312" w:cs="仿宋_GB2312"/>
          <w:kern w:val="0"/>
          <w:lang w:val="zh-CN"/>
        </w:rPr>
        <w:t>)</w:t>
      </w:r>
      <w:r>
        <w:rPr>
          <w:rFonts w:ascii="仿宋_GB2312" w:cs="仿宋_GB2312" w:hint="eastAsia"/>
          <w:kern w:val="0"/>
          <w:lang w:val="zh-CN"/>
        </w:rPr>
        <w:t>件；负责搞好全县森林防火、森林病虫鼠害防治、森林植物检疫、保护森林资源和维护林区治安。</w:t>
      </w:r>
    </w:p>
    <w:p>
      <w:pPr>
        <w:pStyle w:val="37"/>
        <w:pageBreakBefore w:val="0"/>
        <w:widowControl w:val="0"/>
        <w:kinsoku/>
        <w:wordWrap/>
        <w:overflowPunct/>
        <w:topLinePunct w:val="0"/>
        <w:autoSpaceDE w:val="0"/>
        <w:autoSpaceDN w:val="0"/>
        <w:bidi w:val="0"/>
        <w:adjustRightInd w:val="0"/>
        <w:spacing w:line="560" w:lineRule="exact"/>
        <w:ind w:firstLineChars="200" w:firstLine="640"/>
        <w:rPr>
          <w:rFonts w:ascii="仿宋_GB2312" w:cs="仿宋_GB2312"/>
          <w:kern w:val="0"/>
          <w:lang w:val="zh-CN"/>
        </w:rPr>
      </w:pPr>
      <w:r>
        <w:rPr>
          <w:rFonts w:ascii="仿宋_GB2312" w:cs="仿宋_GB2312"/>
          <w:kern w:val="0"/>
          <w:lang w:val="zh-CN"/>
        </w:rPr>
        <w:t>9.</w:t>
      </w:r>
      <w:r>
        <w:rPr>
          <w:rFonts w:ascii="仿宋_GB2312" w:cs="仿宋_GB2312" w:hint="eastAsia"/>
          <w:kern w:val="0"/>
          <w:lang w:val="zh-CN"/>
        </w:rPr>
        <w:t>制定林业科技发展规划，组织科技试验、研究、示范及技术培训，技术推广工作，负责全县林业教育和专业人才的培训、引进；负责管理局机关公务员、科技人员及直属企业、事业单位的干部职工；制定全县林业行业干部培训，人才培养的中长期计划和实施林业宣传动员工作。</w:t>
      </w:r>
    </w:p>
    <w:p>
      <w:pPr>
        <w:pStyle w:val="37"/>
        <w:pageBreakBefore w:val="0"/>
        <w:widowControl w:val="0"/>
        <w:kinsoku/>
        <w:wordWrap/>
        <w:overflowPunct/>
        <w:topLinePunct w:val="0"/>
        <w:autoSpaceDE w:val="0"/>
        <w:autoSpaceDN w:val="0"/>
        <w:bidi w:val="0"/>
        <w:adjustRightInd w:val="0"/>
        <w:spacing w:line="560" w:lineRule="exact"/>
        <w:ind w:firstLineChars="200" w:firstLine="640"/>
        <w:rPr>
          <w:rFonts w:ascii="仿宋_GB2312" w:cs="仿宋_GB2312"/>
          <w:kern w:val="0"/>
          <w:lang w:val="zh-CN"/>
        </w:rPr>
      </w:pPr>
      <w:r>
        <w:rPr>
          <w:rFonts w:ascii="仿宋_GB2312" w:cs="仿宋_GB2312"/>
          <w:kern w:val="0"/>
          <w:lang w:val="zh-CN"/>
        </w:rPr>
        <w:t>10.</w:t>
      </w:r>
      <w:r>
        <w:rPr>
          <w:rFonts w:ascii="仿宋_GB2312" w:cs="仿宋_GB2312" w:hint="eastAsia"/>
          <w:kern w:val="0"/>
          <w:lang w:val="zh-CN"/>
        </w:rPr>
        <w:t>负责规划、指导、实施山区林业综合开发，配合有关部门做好水土保持、农村能源发展、农业综合开发、林业扶贫等组织实施工作。</w:t>
      </w:r>
    </w:p>
    <w:p>
      <w:pPr>
        <w:pStyle w:val="37"/>
        <w:pageBreakBefore w:val="0"/>
        <w:widowControl w:val="0"/>
        <w:kinsoku/>
        <w:wordWrap/>
        <w:overflowPunct/>
        <w:topLinePunct w:val="0"/>
        <w:autoSpaceDE w:val="0"/>
        <w:autoSpaceDN w:val="0"/>
        <w:bidi w:val="0"/>
        <w:adjustRightInd w:val="0"/>
        <w:spacing w:line="560" w:lineRule="exact"/>
        <w:ind w:firstLineChars="200" w:firstLine="640"/>
        <w:rPr>
          <w:rFonts w:ascii="仿宋_GB2312" w:cs="仿宋_GB2312"/>
          <w:kern w:val="0"/>
          <w:lang w:val="zh-CN"/>
        </w:rPr>
      </w:pPr>
      <w:r>
        <w:rPr>
          <w:rFonts w:ascii="仿宋_GB2312" w:cs="仿宋_GB2312"/>
          <w:kern w:val="0"/>
          <w:lang w:val="zh-CN"/>
        </w:rPr>
        <w:t>11.</w:t>
      </w:r>
      <w:r>
        <w:rPr>
          <w:rFonts w:ascii="仿宋_GB2312" w:cs="仿宋_GB2312" w:hint="eastAsia"/>
          <w:kern w:val="0"/>
          <w:lang w:val="zh-CN"/>
        </w:rPr>
        <w:t>深入研究生态建设特别是自然保护区建设问题，稳步推进自然保护区体制创新。落实生态保护和建设的主体责任，创新项目实施方式，全面推进川西藏区生态保护与建设工程、湿地保护、防沙治沙等项目建设。</w:t>
      </w:r>
    </w:p>
    <w:p>
      <w:pPr>
        <w:pStyle w:val="37"/>
        <w:pageBreakBefore w:val="0"/>
        <w:widowControl/>
        <w:kinsoku/>
        <w:wordWrap/>
        <w:overflowPunct/>
        <w:topLinePunct w:val="0"/>
        <w:bidi w:val="0"/>
        <w:adjustRightInd w:val="0"/>
        <w:snapToGrid w:val="0"/>
        <w:spacing w:line="560" w:lineRule="exact"/>
        <w:ind w:firstLineChars="200" w:firstLine="640"/>
        <w:jc w:val="left"/>
        <w:rPr>
          <w:rFonts w:ascii="仿宋_GB2312" w:cs="宋体" w:hint="eastAsia"/>
          <w:color w:val="000000"/>
          <w:kern w:val="0"/>
          <w:szCs w:val="32"/>
          <w:shd w:val="clear" w:color="auto" w:fill="FFFFFF"/>
          <w:lang w:val="zh-CN"/>
        </w:rPr>
      </w:pPr>
      <w:r>
        <w:rPr>
          <w:rFonts w:ascii="仿宋_GB2312" w:cs="仿宋_GB2312"/>
          <w:kern w:val="0"/>
          <w:lang w:val="zh-CN"/>
        </w:rPr>
        <w:t>12.</w:t>
      </w:r>
      <w:r>
        <w:rPr>
          <w:rFonts w:ascii="仿宋_GB2312" w:cs="仿宋_GB2312" w:hint="eastAsia"/>
          <w:kern w:val="0"/>
          <w:lang w:val="zh-CN"/>
        </w:rPr>
        <w:t>负责有关林业方面的涉外工作、承担县政府公布的有关行政审批事项、承办县政府交办的其他事项。</w:t>
      </w:r>
    </w:p>
    <w:p>
      <w:pPr>
        <w:pStyle w:val="42"/>
        <w:widowControl/>
        <w:adjustRightInd w:val="0"/>
        <w:snapToGrid w:val="0"/>
        <w:spacing w:line="580" w:lineRule="exact"/>
        <w:ind w:firstLineChars="200" w:firstLine="640"/>
        <w:contextualSpacing/>
        <w:jc w:val="left"/>
        <w:rPr>
          <w:rFonts w:ascii="仿宋_GB2312" w:cs="宋体" w:hint="eastAsia"/>
          <w:color w:val="000000"/>
          <w:kern w:val="0"/>
          <w:szCs w:val="32"/>
          <w:shd w:val="clear" w:color="auto" w:fill="FFFFFF"/>
          <w:lang w:val="zh-CN"/>
        </w:rPr>
      </w:pPr>
      <w:r>
        <w:rPr>
          <w:rFonts w:ascii="楷体" w:eastAsia="楷体" w:cs="楷体" w:hint="eastAsia"/>
          <w:b/>
          <w:bCs/>
          <w:color w:val="000000"/>
          <w:kern w:val="0"/>
          <w:szCs w:val="32"/>
          <w:shd w:val="clear" w:color="auto" w:fill="FFFFFF"/>
          <w:lang w:val="zh-CN"/>
        </w:rPr>
        <w:t>（三）人员概况</w:t>
      </w:r>
    </w:p>
    <w:p>
      <w:pPr>
        <w:pStyle w:val="37"/>
        <w:pageBreakBefore w:val="0"/>
        <w:widowControl w:val="0"/>
        <w:kinsoku/>
        <w:wordWrap/>
        <w:overflowPunct/>
        <w:topLinePunct w:val="0"/>
        <w:bidi w:val="0"/>
        <w:spacing w:line="560" w:lineRule="exact"/>
        <w:ind w:firstLineChars="200" w:firstLine="640"/>
        <w:rPr>
          <w:rFonts w:ascii="仿宋_GB2312" w:eastAsia="仿宋_GB2312" w:cs="宋体" w:hint="eastAsia"/>
          <w:color w:val="000000"/>
          <w:kern w:val="0"/>
          <w:szCs w:val="32"/>
          <w:shd w:val="clear" w:color="auto" w:fill="FFFFFF"/>
          <w:lang w:val="en-US" w:eastAsia="zh-CN"/>
        </w:rPr>
      </w:pPr>
      <w:r>
        <w:rPr>
          <w:rFonts w:ascii="仿宋_GB2312" w:eastAsia="仿宋_GB2312" w:cs="仿宋_GB2312" w:hint="eastAsia"/>
          <w:sz w:val="32"/>
          <w:szCs w:val="32"/>
        </w:rPr>
        <w:t>茂县林业和草原局作为一个独立的核算机构。政府机关编制人数</w:t>
      </w:r>
      <w:r>
        <w:rPr>
          <w:rFonts w:ascii="仿宋_GB2312" w:eastAsia="仿宋_GB2312" w:cs="仿宋_GB2312" w:hint="eastAsia"/>
          <w:color w:val="auto"/>
          <w:sz w:val="32"/>
          <w:szCs w:val="32"/>
          <w:lang w:val="en-US" w:eastAsia="zh-CN"/>
        </w:rPr>
        <w:t>11</w:t>
      </w:r>
      <w:r>
        <w:rPr>
          <w:rFonts w:ascii="仿宋_GB2312" w:eastAsia="仿宋_GB2312" w:cs="仿宋_GB2312" w:hint="eastAsia"/>
          <w:color w:val="auto"/>
          <w:sz w:val="32"/>
          <w:szCs w:val="32"/>
        </w:rPr>
        <w:t>名（其中工勤人员2名）</w:t>
      </w:r>
      <w:r>
        <w:rPr>
          <w:rFonts w:ascii="仿宋_GB2312" w:cs="仿宋_GB2312" w:hint="eastAsia"/>
          <w:color w:val="auto"/>
          <w:sz w:val="32"/>
          <w:szCs w:val="32"/>
          <w:lang w:val="en-US" w:eastAsia="zh-CN"/>
        </w:rPr>
        <w:t>,</w:t>
      </w:r>
      <w:r>
        <w:rPr>
          <w:rFonts w:ascii="仿宋_GB2312" w:eastAsia="仿宋_GB2312" w:cs="仿宋_GB2312" w:hint="eastAsia"/>
          <w:sz w:val="32"/>
          <w:szCs w:val="32"/>
        </w:rPr>
        <w:t>年末实有人数行政人员</w:t>
      </w:r>
      <w:r>
        <w:rPr>
          <w:rFonts w:ascii="仿宋_GB2312" w:eastAsia="仿宋_GB2312" w:cs="仿宋_GB2312" w:hint="eastAsia"/>
          <w:sz w:val="32"/>
          <w:szCs w:val="32"/>
          <w:lang w:val="en-US" w:eastAsia="zh-CN"/>
        </w:rPr>
        <w:t>1</w:t>
      </w:r>
      <w:r>
        <w:rPr>
          <w:rFonts w:ascii="仿宋_GB2312" w:cs="仿宋_GB2312" w:hint="eastAsia"/>
          <w:sz w:val="32"/>
          <w:szCs w:val="32"/>
          <w:lang w:val="en-US" w:eastAsia="zh-CN"/>
        </w:rPr>
        <w:t>7</w:t>
      </w:r>
      <w:r>
        <w:rPr>
          <w:rFonts w:ascii="仿宋_GB2312" w:eastAsia="仿宋_GB2312" w:cs="仿宋_GB2312" w:hint="eastAsia"/>
          <w:sz w:val="32"/>
          <w:szCs w:val="32"/>
        </w:rPr>
        <w:t>名（其中参公人员</w:t>
      </w:r>
      <w:r>
        <w:rPr>
          <w:rFonts w:ascii="仿宋_GB2312" w:cs="仿宋_GB2312" w:hint="eastAsia"/>
          <w:sz w:val="32"/>
          <w:szCs w:val="32"/>
          <w:lang w:val="en-US" w:eastAsia="zh-CN"/>
        </w:rPr>
        <w:t>5</w:t>
      </w:r>
      <w:r>
        <w:rPr>
          <w:rFonts w:ascii="仿宋_GB2312" w:eastAsia="仿宋_GB2312" w:cs="仿宋_GB2312" w:hint="eastAsia"/>
          <w:sz w:val="32"/>
          <w:szCs w:val="32"/>
        </w:rPr>
        <w:t>名,工勤人员</w:t>
      </w:r>
      <w:r>
        <w:rPr>
          <w:rFonts w:ascii="仿宋_GB2312" w:cs="仿宋_GB2312" w:hint="eastAsia"/>
          <w:sz w:val="32"/>
          <w:szCs w:val="32"/>
          <w:lang w:val="en-US" w:eastAsia="zh-CN"/>
        </w:rPr>
        <w:t>3</w:t>
      </w:r>
      <w:r>
        <w:rPr>
          <w:rFonts w:ascii="仿宋_GB2312" w:eastAsia="仿宋_GB2312" w:cs="仿宋_GB2312" w:hint="eastAsia"/>
          <w:color w:val="auto"/>
          <w:sz w:val="32"/>
          <w:szCs w:val="32"/>
          <w:lang w:val="en-US" w:eastAsia="zh-CN"/>
        </w:rPr>
        <w:t>名）</w:t>
      </w:r>
      <w:r>
        <w:rPr>
          <w:rFonts w:ascii="仿宋_GB2312" w:cs="仿宋_GB2312" w:hint="eastAsia"/>
          <w:color w:val="auto"/>
          <w:sz w:val="32"/>
          <w:szCs w:val="32"/>
          <w:lang w:val="en-US" w:eastAsia="zh-CN"/>
        </w:rPr>
        <w:t>。</w:t>
      </w:r>
    </w:p>
    <w:p>
      <w:pPr>
        <w:pStyle w:val="37"/>
        <w:pageBreakBefore w:val="0"/>
        <w:widowControl/>
        <w:kinsoku/>
        <w:wordWrap/>
        <w:overflowPunct/>
        <w:topLinePunct w:val="0"/>
        <w:bidi w:val="0"/>
        <w:adjustRightInd w:val="0"/>
        <w:snapToGrid w:val="0"/>
        <w:spacing w:line="560" w:lineRule="exact"/>
        <w:ind w:firstLineChars="200" w:firstLine="640"/>
        <w:contextualSpacing/>
        <w:jc w:val="left"/>
        <w:rPr>
          <w:rFonts w:ascii="黑体" w:eastAsia="黑体" w:cs="宋体"/>
          <w:color w:val="000000"/>
          <w:kern w:val="0"/>
          <w:szCs w:val="32"/>
          <w:shd w:val="clear" w:color="auto" w:fill="FFFFFF"/>
        </w:rPr>
      </w:pPr>
      <w:r>
        <w:rPr>
          <w:rFonts w:ascii="黑体" w:eastAsia="黑体" w:cs="宋体" w:hint="eastAsia"/>
          <w:color w:val="000000"/>
          <w:kern w:val="0"/>
          <w:szCs w:val="32"/>
          <w:shd w:val="clear" w:color="auto" w:fill="FFFFFF"/>
        </w:rPr>
        <w:t>二、部门财政资金收支情况</w:t>
      </w:r>
    </w:p>
    <w:p>
      <w:pPr>
        <w:pStyle w:val="42"/>
        <w:widowControl/>
        <w:adjustRightInd w:val="0"/>
        <w:snapToGrid w:val="0"/>
        <w:spacing w:line="580" w:lineRule="exact"/>
        <w:ind w:firstLineChars="200" w:firstLine="640"/>
        <w:contextualSpacing/>
        <w:jc w:val="left"/>
        <w:rPr>
          <w:rFonts w:ascii="仿宋_GB2312" w:cs="宋体" w:hint="eastAsia"/>
          <w:color w:val="000000"/>
          <w:kern w:val="0"/>
          <w:szCs w:val="32"/>
          <w:shd w:val="clear" w:color="auto" w:fill="FFFFFF"/>
          <w:lang w:val="zh-CN"/>
        </w:rPr>
      </w:pPr>
      <w:r>
        <w:rPr>
          <w:rFonts w:ascii="楷体" w:eastAsia="楷体" w:cs="楷体" w:hint="eastAsia"/>
          <w:b/>
          <w:bCs/>
          <w:color w:val="000000"/>
          <w:kern w:val="0"/>
          <w:szCs w:val="32"/>
          <w:shd w:val="clear" w:color="auto" w:fill="FFFFFF"/>
          <w:lang w:val="zh-CN"/>
        </w:rPr>
        <w:t>（一）部门财政资金收入情况</w:t>
      </w:r>
    </w:p>
    <w:p>
      <w:pPr>
        <w:pStyle w:val="37"/>
        <w:pageBreakBefore w:val="0"/>
        <w:widowControl w:val="0"/>
        <w:kinsoku/>
        <w:wordWrap/>
        <w:overflowPunct/>
        <w:topLinePunct w:val="0"/>
        <w:bidi w:val="0"/>
        <w:snapToGrid w:val="0"/>
        <w:spacing w:line="560" w:lineRule="exact"/>
        <w:ind w:firstLineChars="200" w:firstLine="640"/>
        <w:rPr>
          <w:rFonts w:ascii="仿宋_GB2312"/>
        </w:rPr>
      </w:pPr>
      <w:r>
        <w:rPr>
          <w:rFonts w:ascii="仿宋_GB2312" w:hint="eastAsia"/>
        </w:rPr>
        <w:t>20</w:t>
      </w:r>
      <w:r>
        <w:rPr>
          <w:rFonts w:ascii="仿宋_GB2312" w:hint="eastAsia"/>
          <w:lang w:val="en-US" w:eastAsia="zh-CN"/>
        </w:rPr>
        <w:t>21</w:t>
      </w:r>
      <w:r>
        <w:rPr>
          <w:rFonts w:ascii="仿宋_GB2312" w:hint="eastAsia"/>
        </w:rPr>
        <w:t>年本单位年初收入支出预算金额为</w:t>
      </w:r>
      <w:r>
        <w:rPr>
          <w:rFonts w:ascii="仿宋_GB2312" w:hint="eastAsia"/>
          <w:lang w:val="en-US" w:eastAsia="zh-CN"/>
        </w:rPr>
        <w:t>2,541,354.00</w:t>
      </w:r>
      <w:r>
        <w:rPr>
          <w:rFonts w:ascii="仿宋_GB2312" w:hint="eastAsia"/>
        </w:rPr>
        <w:t>元，分别为医疗卫生与计划生育支出</w:t>
      </w:r>
      <w:r>
        <w:rPr>
          <w:rFonts w:ascii="仿宋_GB2312" w:hint="eastAsia"/>
          <w:lang w:val="en-US" w:eastAsia="zh-CN"/>
        </w:rPr>
        <w:t>152,847.00</w:t>
      </w:r>
      <w:r>
        <w:rPr>
          <w:rFonts w:ascii="仿宋_GB2312" w:hint="eastAsia"/>
        </w:rPr>
        <w:t>元、社会保障和就业支出</w:t>
      </w:r>
      <w:r>
        <w:rPr>
          <w:rFonts w:ascii="仿宋_GB2312" w:hint="eastAsia"/>
          <w:lang w:val="en-US" w:eastAsia="zh-CN"/>
        </w:rPr>
        <w:t>359,776.00</w:t>
      </w:r>
      <w:r>
        <w:rPr>
          <w:rFonts w:ascii="仿宋_GB2312" w:hint="eastAsia"/>
        </w:rPr>
        <w:t>元、农林水支出</w:t>
      </w:r>
      <w:r>
        <w:rPr>
          <w:rFonts w:ascii="仿宋_GB2312" w:hint="eastAsia"/>
          <w:lang w:val="en-US" w:eastAsia="zh-CN"/>
        </w:rPr>
        <w:t>1,793,087.00</w:t>
      </w:r>
      <w:r>
        <w:rPr>
          <w:rFonts w:ascii="仿宋_GB2312" w:hint="eastAsia"/>
        </w:rPr>
        <w:t>元、住房保障支出</w:t>
      </w:r>
      <w:r>
        <w:rPr>
          <w:rFonts w:ascii="仿宋_GB2312" w:hint="eastAsia"/>
          <w:lang w:val="en-US" w:eastAsia="zh-CN"/>
        </w:rPr>
        <w:t>235,644.00</w:t>
      </w:r>
      <w:r>
        <w:rPr>
          <w:rFonts w:ascii="仿宋_GB2312" w:hint="eastAsia"/>
        </w:rPr>
        <w:t>元。</w:t>
      </w:r>
    </w:p>
    <w:p>
      <w:pPr>
        <w:pStyle w:val="37"/>
        <w:pageBreakBefore w:val="0"/>
        <w:widowControl/>
        <w:kinsoku/>
        <w:wordWrap/>
        <w:overflowPunct/>
        <w:topLinePunct w:val="0"/>
        <w:bidi w:val="0"/>
        <w:adjustRightInd w:val="0"/>
        <w:snapToGrid w:val="0"/>
        <w:spacing w:line="560" w:lineRule="exact"/>
        <w:ind w:firstLineChars="200" w:firstLine="640"/>
        <w:contextualSpacing/>
        <w:jc w:val="left"/>
        <w:rPr>
          <w:rFonts w:ascii="仿宋_GB2312" w:cs="宋体" w:hint="eastAsia"/>
          <w:color w:val="000000"/>
          <w:kern w:val="0"/>
          <w:szCs w:val="32"/>
          <w:shd w:val="clear" w:color="auto" w:fill="FFFFFF"/>
          <w:lang w:val="zh-CN"/>
        </w:rPr>
      </w:pPr>
      <w:r>
        <w:rPr>
          <w:rFonts w:ascii="仿宋_GB2312" w:hint="eastAsia"/>
        </w:rPr>
        <w:t>202</w:t>
      </w:r>
      <w:r>
        <w:rPr>
          <w:rFonts w:ascii="仿宋_GB2312" w:hint="eastAsia"/>
          <w:lang w:val="en-US" w:eastAsia="zh-CN"/>
        </w:rPr>
        <w:t>2</w:t>
      </w:r>
      <w:r>
        <w:rPr>
          <w:rFonts w:ascii="仿宋_GB2312" w:hint="eastAsia"/>
        </w:rPr>
        <w:t>年茂县林业和草原局部门</w:t>
      </w:r>
      <w:r>
        <w:rPr>
          <w:rFonts w:ascii="仿宋_GB2312"/>
        </w:rPr>
        <w:t>所有收入和支出均纳入部门预算管理。收入包括：一般公共预算拨款收入</w:t>
      </w:r>
      <w:r>
        <w:rPr>
          <w:rFonts w:ascii="仿宋_GB2312" w:hint="eastAsia"/>
          <w:lang w:val="en-US" w:eastAsia="zh-CN"/>
        </w:rPr>
        <w:t>2,506,071.47</w:t>
      </w:r>
      <w:r>
        <w:rPr>
          <w:rFonts w:ascii="仿宋_GB2312"/>
        </w:rPr>
        <w:t>元；支出包括：社会保障和就业支出</w:t>
      </w:r>
      <w:r>
        <w:rPr>
          <w:rFonts w:ascii="仿宋_GB2312" w:hint="eastAsia"/>
          <w:lang w:val="en-US" w:eastAsia="zh-CN"/>
        </w:rPr>
        <w:t>342,097.92</w:t>
      </w:r>
      <w:r>
        <w:rPr>
          <w:rFonts w:ascii="仿宋_GB2312"/>
        </w:rPr>
        <w:t>元，</w:t>
      </w:r>
      <w:r>
        <w:rPr>
          <w:rFonts w:ascii="仿宋_GB2312" w:hint="eastAsia"/>
        </w:rPr>
        <w:t>卫生健康</w:t>
      </w:r>
      <w:r>
        <w:rPr>
          <w:rFonts w:ascii="仿宋_GB2312"/>
        </w:rPr>
        <w:t>支出</w:t>
      </w:r>
      <w:r>
        <w:rPr>
          <w:rFonts w:ascii="仿宋_GB2312" w:hint="eastAsia"/>
          <w:lang w:val="en-US" w:eastAsia="zh-CN"/>
        </w:rPr>
        <w:t>158,114.36</w:t>
      </w:r>
      <w:r>
        <w:rPr>
          <w:rFonts w:ascii="仿宋_GB2312"/>
        </w:rPr>
        <w:t>元，</w:t>
      </w:r>
      <w:r>
        <w:rPr>
          <w:rFonts w:ascii="仿宋_GB2312" w:hint="eastAsia"/>
        </w:rPr>
        <w:t>农林水支出</w:t>
      </w:r>
      <w:r>
        <w:rPr>
          <w:rFonts w:ascii="仿宋_GB2312" w:hint="eastAsia"/>
          <w:lang w:val="en-US" w:eastAsia="zh-CN"/>
        </w:rPr>
        <w:t>1,766,267.19</w:t>
      </w:r>
      <w:r>
        <w:rPr>
          <w:rFonts w:ascii="仿宋_GB2312" w:hint="eastAsia"/>
        </w:rPr>
        <w:t>元，</w:t>
      </w:r>
      <w:r>
        <w:rPr>
          <w:rFonts w:ascii="仿宋_GB2312"/>
        </w:rPr>
        <w:t>住房保障支出</w:t>
      </w:r>
      <w:r>
        <w:rPr>
          <w:rFonts w:ascii="仿宋_GB2312" w:hint="eastAsia"/>
          <w:lang w:val="en-US" w:eastAsia="zh-CN"/>
        </w:rPr>
        <w:t>239,592.00</w:t>
      </w:r>
      <w:r>
        <w:rPr>
          <w:rFonts w:ascii="仿宋_GB2312"/>
        </w:rPr>
        <w:t>元。</w:t>
      </w:r>
      <w:r>
        <w:rPr>
          <w:rFonts w:ascii="仿宋_GB2312" w:hint="eastAsia"/>
        </w:rPr>
        <w:t>茂县林业和草原局</w:t>
      </w:r>
      <w:r>
        <w:rPr>
          <w:rFonts w:ascii="仿宋_GB2312" w:hint="eastAsia"/>
          <w:lang w:eastAsia="zh-CN"/>
        </w:rPr>
        <w:t>行政</w:t>
      </w:r>
      <w:r>
        <w:rPr>
          <w:rFonts w:ascii="仿宋_GB2312"/>
        </w:rPr>
        <w:t>20</w:t>
      </w:r>
      <w:r>
        <w:rPr>
          <w:rFonts w:ascii="仿宋_GB2312" w:hint="eastAsia"/>
        </w:rPr>
        <w:t>2</w:t>
      </w:r>
      <w:r>
        <w:rPr>
          <w:rFonts w:ascii="仿宋_GB2312" w:hint="eastAsia"/>
          <w:lang w:val="en-US" w:eastAsia="zh-CN"/>
        </w:rPr>
        <w:t>2</w:t>
      </w:r>
      <w:r>
        <w:rPr>
          <w:rFonts w:ascii="仿宋_GB2312"/>
        </w:rPr>
        <w:t>年收支总预算</w:t>
      </w:r>
      <w:r>
        <w:rPr>
          <w:rFonts w:ascii="仿宋_GB2312" w:hint="eastAsia"/>
          <w:lang w:val="en-US" w:eastAsia="zh-CN"/>
        </w:rPr>
        <w:t>2,506,071.47</w:t>
      </w:r>
      <w:r>
        <w:rPr>
          <w:rFonts w:ascii="仿宋_GB2312"/>
        </w:rPr>
        <w:t>元,比20</w:t>
      </w:r>
      <w:r>
        <w:rPr>
          <w:rFonts w:ascii="仿宋_GB2312" w:hint="eastAsia"/>
          <w:lang w:val="en-US" w:eastAsia="zh-CN"/>
        </w:rPr>
        <w:t>21</w:t>
      </w:r>
      <w:r>
        <w:rPr>
          <w:rFonts w:ascii="仿宋_GB2312"/>
        </w:rPr>
        <w:t>年收支预算总数</w:t>
      </w:r>
      <w:r>
        <w:rPr>
          <w:rFonts w:ascii="仿宋_GB2312" w:hint="eastAsia"/>
        </w:rPr>
        <w:t>减少</w:t>
      </w:r>
      <w:r>
        <w:rPr>
          <w:rFonts w:ascii="仿宋_GB2312" w:hint="eastAsia"/>
          <w:lang w:val="en-US" w:eastAsia="zh-CN"/>
        </w:rPr>
        <w:t>35，282.53</w:t>
      </w:r>
      <w:r>
        <w:rPr>
          <w:rFonts w:ascii="仿宋_GB2312"/>
        </w:rPr>
        <w:t>元，主要原因:</w:t>
      </w:r>
      <w:r>
        <w:rPr>
          <w:rFonts w:ascii="仿宋_GB2312" w:hint="eastAsia"/>
        </w:rPr>
        <w:t>压缩预算经费支出。</w:t>
      </w:r>
    </w:p>
    <w:p>
      <w:pPr>
        <w:pStyle w:val="42"/>
        <w:widowControl/>
        <w:numPr>
          <w:ilvl w:val="0"/>
          <w:numId w:val="1"/>
        </w:numPr>
        <w:adjustRightInd w:val="0"/>
        <w:snapToGrid w:val="0"/>
        <w:spacing w:line="580" w:lineRule="exact"/>
        <w:ind w:left="0" w:firstLineChars="200" w:firstLine="640"/>
        <w:contextualSpacing/>
        <w:jc w:val="left"/>
        <w:rPr>
          <w:rFonts w:ascii="仿宋_GB2312" w:cs="宋体" w:hint="eastAsia"/>
          <w:color w:val="000000"/>
          <w:kern w:val="0"/>
          <w:szCs w:val="32"/>
          <w:shd w:val="clear" w:color="auto" w:fill="FFFFFF"/>
          <w:lang w:val="zh-CN"/>
        </w:rPr>
      </w:pPr>
      <w:r>
        <w:rPr>
          <w:rFonts w:ascii="楷体" w:eastAsia="楷体" w:cs="楷体" w:hint="eastAsia"/>
          <w:b/>
          <w:bCs/>
          <w:color w:val="000000"/>
          <w:kern w:val="0"/>
          <w:szCs w:val="32"/>
          <w:shd w:val="clear" w:color="auto" w:fill="FFFFFF"/>
          <w:lang w:val="zh-CN"/>
        </w:rPr>
        <w:t>部门财政资金支出情况</w:t>
      </w:r>
    </w:p>
    <w:p>
      <w:pPr>
        <w:pStyle w:val="37"/>
        <w:pageBreakBefore w:val="0"/>
        <w:widowControl w:val="0"/>
        <w:kinsoku/>
        <w:wordWrap/>
        <w:overflowPunct/>
        <w:topLinePunct w:val="0"/>
        <w:bidi w:val="0"/>
        <w:snapToGrid w:val="0"/>
        <w:spacing w:line="560" w:lineRule="exact"/>
        <w:ind w:firstLineChars="200" w:firstLine="640"/>
        <w:rPr>
          <w:rFonts w:ascii="仿宋_GB2312"/>
        </w:rPr>
      </w:pPr>
      <w:r>
        <w:rPr>
          <w:rFonts w:ascii="仿宋_GB2312" w:hint="eastAsia"/>
        </w:rPr>
        <w:t>20</w:t>
      </w:r>
      <w:r>
        <w:rPr>
          <w:rFonts w:ascii="仿宋_GB2312" w:hint="eastAsia"/>
          <w:lang w:val="en-US" w:eastAsia="zh-CN"/>
        </w:rPr>
        <w:t>21</w:t>
      </w:r>
      <w:r>
        <w:rPr>
          <w:rFonts w:ascii="仿宋_GB2312" w:hint="eastAsia"/>
        </w:rPr>
        <w:t>年本单位年初收入支出预算金额为</w:t>
      </w:r>
      <w:r>
        <w:rPr>
          <w:rFonts w:ascii="仿宋_GB2312" w:hint="eastAsia"/>
          <w:lang w:val="en-US" w:eastAsia="zh-CN"/>
        </w:rPr>
        <w:t>2,541,354.00</w:t>
      </w:r>
      <w:r>
        <w:rPr>
          <w:rFonts w:ascii="仿宋_GB2312" w:hint="eastAsia"/>
        </w:rPr>
        <w:t>元，分别为医疗卫生与计划生育支出</w:t>
      </w:r>
      <w:r>
        <w:rPr>
          <w:rFonts w:ascii="仿宋_GB2312" w:hint="eastAsia"/>
          <w:lang w:val="en-US" w:eastAsia="zh-CN"/>
        </w:rPr>
        <w:t>152,847.00</w:t>
      </w:r>
      <w:r>
        <w:rPr>
          <w:rFonts w:ascii="仿宋_GB2312" w:hint="eastAsia"/>
        </w:rPr>
        <w:t>元、社会保障和就业支出</w:t>
      </w:r>
      <w:r>
        <w:rPr>
          <w:rFonts w:ascii="仿宋_GB2312" w:hint="eastAsia"/>
          <w:lang w:val="en-US" w:eastAsia="zh-CN"/>
        </w:rPr>
        <w:t>359,776.00</w:t>
      </w:r>
      <w:r>
        <w:rPr>
          <w:rFonts w:ascii="仿宋_GB2312" w:hint="eastAsia"/>
        </w:rPr>
        <w:t>元、农林水支出</w:t>
      </w:r>
      <w:r>
        <w:rPr>
          <w:rFonts w:ascii="仿宋_GB2312" w:hint="eastAsia"/>
          <w:lang w:val="en-US" w:eastAsia="zh-CN"/>
        </w:rPr>
        <w:t>1,793,087.00</w:t>
      </w:r>
      <w:r>
        <w:rPr>
          <w:rFonts w:ascii="仿宋_GB2312" w:hint="eastAsia"/>
        </w:rPr>
        <w:t>元、住房保障支出</w:t>
      </w:r>
      <w:r>
        <w:rPr>
          <w:rFonts w:ascii="仿宋_GB2312" w:hint="eastAsia"/>
          <w:lang w:val="en-US" w:eastAsia="zh-CN"/>
        </w:rPr>
        <w:t>235,644.00</w:t>
      </w:r>
      <w:r>
        <w:rPr>
          <w:rFonts w:ascii="仿宋_GB2312" w:hint="eastAsia"/>
        </w:rPr>
        <w:t>元。决算支出金额为</w:t>
      </w:r>
      <w:r>
        <w:rPr>
          <w:rFonts w:ascii="仿宋_GB2312" w:hint="eastAsia"/>
          <w:lang w:val="en-US" w:eastAsia="zh-CN"/>
        </w:rPr>
        <w:t>137，165，834.49</w:t>
      </w:r>
      <w:r>
        <w:rPr>
          <w:rFonts w:ascii="仿宋_GB2312" w:hint="eastAsia"/>
        </w:rPr>
        <w:t>元，分别为</w:t>
      </w:r>
      <w:r>
        <w:rPr>
          <w:rFonts w:ascii="仿宋_GB2312" w:hint="eastAsia"/>
          <w:lang w:eastAsia="zh-CN"/>
        </w:rPr>
        <w:t>卫生健康支出</w:t>
      </w:r>
      <w:r>
        <w:rPr>
          <w:rFonts w:ascii="仿宋_GB2312" w:hint="eastAsia"/>
          <w:color w:val="auto"/>
          <w:lang w:val="en-US" w:eastAsia="zh-CN"/>
        </w:rPr>
        <w:t>312,526.73</w:t>
      </w:r>
      <w:r>
        <w:rPr>
          <w:rFonts w:ascii="仿宋_GB2312" w:hint="eastAsia"/>
          <w:color w:val="auto"/>
        </w:rPr>
        <w:t>元、节能环保支出</w:t>
      </w:r>
      <w:r>
        <w:rPr>
          <w:rFonts w:ascii="仿宋_GB2312" w:hint="eastAsia"/>
          <w:color w:val="auto"/>
          <w:lang w:val="en-US" w:eastAsia="zh-CN"/>
        </w:rPr>
        <w:t>48,731,010.92</w:t>
      </w:r>
      <w:r>
        <w:rPr>
          <w:rFonts w:ascii="仿宋_GB2312" w:hint="eastAsia"/>
          <w:color w:val="auto"/>
        </w:rPr>
        <w:t>元、社会保障和就业支出</w:t>
      </w:r>
      <w:r>
        <w:rPr>
          <w:rFonts w:ascii="仿宋_GB2312" w:hint="eastAsia"/>
          <w:color w:val="auto"/>
          <w:lang w:val="en-US" w:eastAsia="zh-CN"/>
        </w:rPr>
        <w:t>342,797.68</w:t>
      </w:r>
      <w:r>
        <w:rPr>
          <w:rFonts w:ascii="仿宋_GB2312" w:hint="eastAsia"/>
          <w:color w:val="auto"/>
        </w:rPr>
        <w:t>元、农林水支出</w:t>
      </w:r>
      <w:r>
        <w:rPr>
          <w:rFonts w:ascii="仿宋_GB2312" w:hint="eastAsia"/>
          <w:color w:val="auto"/>
          <w:lang w:val="en-US" w:eastAsia="zh-CN"/>
        </w:rPr>
        <w:t>75,434,598.28</w:t>
      </w:r>
      <w:r>
        <w:rPr>
          <w:rFonts w:ascii="仿宋_GB2312" w:hint="eastAsia"/>
          <w:color w:val="auto"/>
        </w:rPr>
        <w:t>元、</w:t>
      </w:r>
      <w:r>
        <w:rPr>
          <w:rFonts w:ascii="仿宋_GB2312" w:hint="eastAsia"/>
          <w:color w:val="auto"/>
          <w:lang w:eastAsia="zh-CN"/>
        </w:rPr>
        <w:t>城乡社区支出</w:t>
      </w:r>
      <w:r>
        <w:rPr>
          <w:rFonts w:ascii="仿宋_GB2312" w:hint="eastAsia"/>
          <w:color w:val="auto"/>
          <w:lang w:val="en-US" w:eastAsia="zh-CN"/>
        </w:rPr>
        <w:t>4,686,135.67元、交通运输支出1,938,596.11元、灾害防治及应急管理支出2,362,055.00元、其他支出3,092,020.10元、</w:t>
      </w:r>
      <w:r>
        <w:rPr>
          <w:rFonts w:ascii="仿宋_GB2312" w:hint="eastAsia"/>
          <w:color w:val="auto"/>
        </w:rPr>
        <w:t>住房保障支出</w:t>
      </w:r>
      <w:r>
        <w:rPr>
          <w:rFonts w:ascii="仿宋_GB2312" w:hint="eastAsia"/>
          <w:color w:val="auto"/>
          <w:lang w:val="en-US" w:eastAsia="zh-CN"/>
        </w:rPr>
        <w:t>266,094.00</w:t>
      </w:r>
      <w:r>
        <w:rPr>
          <w:rFonts w:ascii="仿宋_GB2312" w:hint="eastAsia"/>
          <w:color w:val="auto"/>
        </w:rPr>
        <w:t>元,支出比预算多</w:t>
      </w:r>
      <w:r>
        <w:rPr>
          <w:rFonts w:ascii="仿宋_GB2312" w:hint="eastAsia"/>
          <w:color w:val="auto"/>
          <w:lang w:val="en-US" w:eastAsia="zh-CN"/>
        </w:rPr>
        <w:t>134,624,480.49</w:t>
      </w:r>
      <w:r>
        <w:rPr>
          <w:rFonts w:ascii="仿宋_GB2312" w:hint="eastAsia"/>
          <w:color w:val="auto"/>
        </w:rPr>
        <w:t>元。支出数</w:t>
      </w:r>
      <w:r>
        <w:rPr>
          <w:rFonts w:ascii="仿宋_GB2312" w:hint="eastAsia"/>
        </w:rPr>
        <w:t>增加原因主要是项目未纳入年初预算导致。</w:t>
      </w:r>
    </w:p>
    <w:p>
      <w:pPr>
        <w:pStyle w:val="37"/>
        <w:pageBreakBefore w:val="0"/>
        <w:widowControl w:val="0"/>
        <w:kinsoku/>
        <w:wordWrap/>
        <w:overflowPunct/>
        <w:topLinePunct w:val="0"/>
        <w:bidi w:val="0"/>
        <w:spacing w:line="560" w:lineRule="exact"/>
        <w:ind w:firstLineChars="200" w:firstLine="640"/>
        <w:rPr>
          <w:rFonts w:ascii="仿宋_GB2312" w:eastAsia="仿宋_GB2312" w:cs="宋体" w:hint="eastAsia"/>
          <w:color w:val="000000"/>
          <w:kern w:val="0"/>
          <w:szCs w:val="32"/>
          <w:shd w:val="clear" w:color="auto" w:fill="FFFFFF"/>
          <w:lang w:val="en-US" w:eastAsia="zh-CN"/>
        </w:rPr>
      </w:pPr>
      <w:r>
        <w:rPr>
          <w:rFonts w:ascii="仿宋_GB2312" w:hint="eastAsia"/>
          <w:color w:val="000000"/>
        </w:rPr>
        <w:t>202</w:t>
      </w:r>
      <w:r>
        <w:rPr>
          <w:rFonts w:ascii="仿宋_GB2312" w:hint="eastAsia"/>
          <w:color w:val="000000"/>
          <w:lang w:val="en-US" w:eastAsia="zh-CN"/>
        </w:rPr>
        <w:t>2</w:t>
      </w:r>
      <w:r>
        <w:rPr>
          <w:rFonts w:ascii="仿宋_GB2312"/>
          <w:color w:val="000000"/>
        </w:rPr>
        <w:t>年财政拨款收支总预算</w:t>
      </w:r>
      <w:r>
        <w:rPr>
          <w:rFonts w:ascii="仿宋_GB2312" w:hint="eastAsia"/>
          <w:lang w:val="en-US" w:eastAsia="zh-CN"/>
        </w:rPr>
        <w:t>2,506,071.47</w:t>
      </w:r>
      <w:r>
        <w:rPr>
          <w:rFonts w:ascii="仿宋_GB2312"/>
        </w:rPr>
        <w:t>元；支出包括：社会保障和就业支出</w:t>
      </w:r>
      <w:r>
        <w:rPr>
          <w:rFonts w:ascii="仿宋_GB2312" w:hint="eastAsia"/>
          <w:lang w:val="en-US" w:eastAsia="zh-CN"/>
        </w:rPr>
        <w:t>342,097.92</w:t>
      </w:r>
      <w:r>
        <w:rPr>
          <w:rFonts w:ascii="仿宋_GB2312"/>
        </w:rPr>
        <w:t>元，</w:t>
      </w:r>
      <w:r>
        <w:rPr>
          <w:rFonts w:ascii="仿宋_GB2312" w:hint="eastAsia"/>
        </w:rPr>
        <w:t>卫生健康</w:t>
      </w:r>
      <w:r>
        <w:rPr>
          <w:rFonts w:ascii="仿宋_GB2312"/>
        </w:rPr>
        <w:t>支出</w:t>
      </w:r>
      <w:r>
        <w:rPr>
          <w:rFonts w:ascii="仿宋_GB2312" w:hint="eastAsia"/>
          <w:lang w:val="en-US" w:eastAsia="zh-CN"/>
        </w:rPr>
        <w:t>158,114.36</w:t>
      </w:r>
      <w:r>
        <w:rPr>
          <w:rFonts w:ascii="仿宋_GB2312"/>
        </w:rPr>
        <w:t>元，</w:t>
      </w:r>
      <w:r>
        <w:rPr>
          <w:rFonts w:ascii="仿宋_GB2312" w:hint="eastAsia"/>
        </w:rPr>
        <w:t>农林水支出</w:t>
      </w:r>
      <w:r>
        <w:rPr>
          <w:rFonts w:ascii="仿宋_GB2312" w:hint="eastAsia"/>
          <w:lang w:val="en-US" w:eastAsia="zh-CN"/>
        </w:rPr>
        <w:t>1,766,267.19</w:t>
      </w:r>
      <w:r>
        <w:rPr>
          <w:rFonts w:ascii="仿宋_GB2312" w:hint="eastAsia"/>
        </w:rPr>
        <w:t>元，</w:t>
      </w:r>
      <w:r>
        <w:rPr>
          <w:rFonts w:ascii="仿宋_GB2312"/>
        </w:rPr>
        <w:t>住房保障支出</w:t>
      </w:r>
      <w:r>
        <w:rPr>
          <w:rFonts w:ascii="仿宋_GB2312" w:hint="eastAsia"/>
          <w:lang w:val="en-US" w:eastAsia="zh-CN"/>
        </w:rPr>
        <w:t>239,592.00</w:t>
      </w:r>
      <w:r>
        <w:rPr>
          <w:rFonts w:ascii="仿宋_GB2312"/>
        </w:rPr>
        <w:t>元。</w:t>
      </w:r>
      <w:r>
        <w:rPr>
          <w:rFonts w:ascii="仿宋_GB2312" w:hint="eastAsia"/>
          <w:lang w:val="en-US" w:eastAsia="zh-CN"/>
        </w:rPr>
        <w:t>2022年1月至6月工资福利支出1,691,610.18</w:t>
      </w:r>
      <w:r>
        <w:rPr>
          <w:rFonts w:ascii="仿宋_GB2312"/>
        </w:rPr>
        <w:t>元</w:t>
      </w:r>
      <w:r>
        <w:rPr>
          <w:rFonts w:ascii="仿宋_GB2312" w:hint="eastAsia"/>
          <w:lang w:eastAsia="zh-CN"/>
        </w:rPr>
        <w:t>，商品和服务支出</w:t>
      </w:r>
      <w:r>
        <w:rPr>
          <w:rFonts w:ascii="仿宋_GB2312" w:hint="eastAsia"/>
          <w:lang w:val="en-US" w:eastAsia="zh-CN"/>
        </w:rPr>
        <w:t>2,053,949.41元，对个人和家庭补助支出278,082.82元。</w:t>
      </w:r>
    </w:p>
    <w:p>
      <w:pPr>
        <w:pStyle w:val="37"/>
        <w:pageBreakBefore w:val="0"/>
        <w:widowControl/>
        <w:kinsoku/>
        <w:wordWrap/>
        <w:overflowPunct/>
        <w:topLinePunct w:val="0"/>
        <w:bidi w:val="0"/>
        <w:adjustRightInd w:val="0"/>
        <w:snapToGrid w:val="0"/>
        <w:spacing w:line="560" w:lineRule="exact"/>
        <w:ind w:firstLineChars="200" w:firstLine="640"/>
        <w:contextualSpacing/>
        <w:jc w:val="left"/>
        <w:rPr>
          <w:rFonts w:ascii="黑体" w:eastAsia="黑体" w:cs="宋体"/>
          <w:color w:val="000000"/>
          <w:kern w:val="0"/>
          <w:szCs w:val="32"/>
          <w:shd w:val="clear" w:color="auto" w:fill="FFFFFF"/>
        </w:rPr>
      </w:pPr>
      <w:r>
        <w:rPr>
          <w:rFonts w:ascii="黑体" w:eastAsia="黑体" w:cs="宋体" w:hint="eastAsia"/>
          <w:color w:val="000000"/>
          <w:kern w:val="0"/>
          <w:szCs w:val="32"/>
          <w:shd w:val="clear" w:color="auto" w:fill="FFFFFF"/>
        </w:rPr>
        <w:t>三、部门整体预算绩效管理情况（根据适用指标体系进行调整，涉及到有专项预算的部门，专项预算项目自评报告根据要求另行单独报送）</w:t>
      </w:r>
    </w:p>
    <w:p>
      <w:pPr>
        <w:pStyle w:val="42"/>
        <w:widowControl/>
        <w:adjustRightInd w:val="0"/>
        <w:snapToGrid w:val="0"/>
        <w:spacing w:line="580" w:lineRule="exact"/>
        <w:ind w:firstLineChars="200" w:firstLine="640"/>
        <w:contextualSpacing/>
        <w:jc w:val="left"/>
        <w:rPr>
          <w:rFonts w:ascii="仿宋_GB2312" w:cs="宋体"/>
          <w:color w:val="000000"/>
          <w:kern w:val="0"/>
          <w:szCs w:val="32"/>
          <w:shd w:val="clear" w:color="auto" w:fill="FFFFFF"/>
          <w:lang w:val="zh-CN"/>
        </w:rPr>
      </w:pPr>
      <w:r>
        <w:rPr>
          <w:rFonts w:ascii="楷体" w:eastAsia="楷体" w:cs="楷体" w:hint="eastAsia"/>
          <w:b/>
          <w:bCs/>
          <w:color w:val="000000"/>
          <w:kern w:val="0"/>
          <w:szCs w:val="32"/>
          <w:shd w:val="clear" w:color="auto" w:fill="FFFFFF"/>
          <w:lang w:val="zh-CN"/>
        </w:rPr>
        <w:t>（一）部门预算项目绩效管理</w:t>
      </w:r>
    </w:p>
    <w:p>
      <w:pPr>
        <w:pStyle w:val="37"/>
        <w:pageBreakBefore w:val="0"/>
        <w:widowControl/>
        <w:kinsoku/>
        <w:wordWrap/>
        <w:overflowPunct/>
        <w:topLinePunct w:val="0"/>
        <w:bidi w:val="0"/>
        <w:adjustRightInd w:val="0"/>
        <w:snapToGrid w:val="0"/>
        <w:spacing w:line="560" w:lineRule="exact"/>
        <w:ind w:firstLineChars="200" w:firstLine="640"/>
        <w:contextualSpacing/>
        <w:jc w:val="left"/>
        <w:rPr>
          <w:rFonts w:ascii="仿宋_GB2312" w:cs="宋体" w:hint="eastAsia"/>
          <w:color w:val="000000"/>
          <w:kern w:val="0"/>
          <w:szCs w:val="32"/>
          <w:shd w:val="clear" w:color="auto" w:fill="FFFFFF"/>
          <w:lang w:val="zh-CN"/>
        </w:rPr>
      </w:pPr>
      <w:r>
        <w:rPr>
          <w:rFonts w:ascii="仿宋_GB2312" w:hint="eastAsia"/>
        </w:rPr>
        <w:t>202</w:t>
      </w:r>
      <w:r>
        <w:rPr>
          <w:rFonts w:ascii="仿宋_GB2312" w:hint="eastAsia"/>
          <w:lang w:val="en-US" w:eastAsia="zh-CN"/>
        </w:rPr>
        <w:t>2</w:t>
      </w:r>
      <w:r>
        <w:rPr>
          <w:rFonts w:ascii="仿宋_GB2312" w:hint="eastAsia"/>
        </w:rPr>
        <w:t>年茂县林业和草原局部门</w:t>
      </w:r>
      <w:r>
        <w:rPr>
          <w:rFonts w:ascii="仿宋_GB2312"/>
        </w:rPr>
        <w:t>所有收入和支出均纳入部门预算管理。收入包括：一般公共预算拨款收入</w:t>
      </w:r>
      <w:r>
        <w:rPr>
          <w:rFonts w:ascii="仿宋_GB2312" w:hint="eastAsia"/>
          <w:lang w:val="en-US" w:eastAsia="zh-CN"/>
        </w:rPr>
        <w:t>2,506,071.47</w:t>
      </w:r>
      <w:r>
        <w:rPr>
          <w:rFonts w:ascii="仿宋_GB2312"/>
        </w:rPr>
        <w:t>元；支出包括：社会保障和就业支出</w:t>
      </w:r>
      <w:r>
        <w:rPr>
          <w:rFonts w:ascii="仿宋_GB2312" w:hint="eastAsia"/>
          <w:lang w:val="en-US" w:eastAsia="zh-CN"/>
        </w:rPr>
        <w:t>342,097.92</w:t>
      </w:r>
      <w:r>
        <w:rPr>
          <w:rFonts w:ascii="仿宋_GB2312"/>
        </w:rPr>
        <w:t>元，</w:t>
      </w:r>
      <w:r>
        <w:rPr>
          <w:rFonts w:ascii="仿宋_GB2312" w:hint="eastAsia"/>
        </w:rPr>
        <w:t>卫生健康</w:t>
      </w:r>
      <w:r>
        <w:rPr>
          <w:rFonts w:ascii="仿宋_GB2312"/>
        </w:rPr>
        <w:t>支出</w:t>
      </w:r>
      <w:r>
        <w:rPr>
          <w:rFonts w:ascii="仿宋_GB2312" w:hint="eastAsia"/>
          <w:lang w:val="en-US" w:eastAsia="zh-CN"/>
        </w:rPr>
        <w:t>158,114.36</w:t>
      </w:r>
      <w:r>
        <w:rPr>
          <w:rFonts w:ascii="仿宋_GB2312"/>
        </w:rPr>
        <w:t>元，</w:t>
      </w:r>
      <w:r>
        <w:rPr>
          <w:rFonts w:ascii="仿宋_GB2312" w:hint="eastAsia"/>
        </w:rPr>
        <w:t>农林水支出</w:t>
      </w:r>
      <w:r>
        <w:rPr>
          <w:rFonts w:ascii="仿宋_GB2312" w:hint="eastAsia"/>
          <w:lang w:val="en-US" w:eastAsia="zh-CN"/>
        </w:rPr>
        <w:t>1,766,267.19</w:t>
      </w:r>
      <w:r>
        <w:rPr>
          <w:rFonts w:ascii="仿宋_GB2312" w:hint="eastAsia"/>
        </w:rPr>
        <w:t>元，</w:t>
      </w:r>
      <w:r>
        <w:rPr>
          <w:rFonts w:ascii="仿宋_GB2312"/>
        </w:rPr>
        <w:t>住房保障支出</w:t>
      </w:r>
      <w:r>
        <w:rPr>
          <w:rFonts w:ascii="仿宋_GB2312" w:hint="eastAsia"/>
          <w:lang w:val="en-US" w:eastAsia="zh-CN"/>
        </w:rPr>
        <w:t>239,592.00</w:t>
      </w:r>
      <w:r>
        <w:rPr>
          <w:rFonts w:ascii="仿宋_GB2312"/>
        </w:rPr>
        <w:t>元。</w:t>
      </w:r>
      <w:r>
        <w:rPr>
          <w:rFonts w:ascii="仿宋_GB2312" w:hint="eastAsia"/>
        </w:rPr>
        <w:t>茂县林业和草原局</w:t>
      </w:r>
      <w:r>
        <w:rPr>
          <w:rFonts w:ascii="仿宋_GB2312" w:hint="eastAsia"/>
          <w:lang w:eastAsia="zh-CN"/>
        </w:rPr>
        <w:t>行政</w:t>
      </w:r>
      <w:r>
        <w:rPr>
          <w:rFonts w:ascii="仿宋_GB2312"/>
        </w:rPr>
        <w:t>20</w:t>
      </w:r>
      <w:r>
        <w:rPr>
          <w:rFonts w:ascii="仿宋_GB2312" w:hint="eastAsia"/>
        </w:rPr>
        <w:t>2</w:t>
      </w:r>
      <w:r>
        <w:rPr>
          <w:rFonts w:ascii="仿宋_GB2312" w:hint="eastAsia"/>
          <w:lang w:val="en-US" w:eastAsia="zh-CN"/>
        </w:rPr>
        <w:t>2</w:t>
      </w:r>
      <w:r>
        <w:rPr>
          <w:rFonts w:ascii="仿宋_GB2312"/>
        </w:rPr>
        <w:t>年收支总预算</w:t>
      </w:r>
      <w:r>
        <w:rPr>
          <w:rFonts w:ascii="仿宋_GB2312" w:hint="eastAsia"/>
          <w:lang w:val="en-US" w:eastAsia="zh-CN"/>
        </w:rPr>
        <w:t>2,506,071.47</w:t>
      </w:r>
      <w:r>
        <w:rPr>
          <w:rFonts w:ascii="仿宋_GB2312"/>
        </w:rPr>
        <w:t>元,比20</w:t>
      </w:r>
      <w:r>
        <w:rPr>
          <w:rFonts w:ascii="仿宋_GB2312" w:hint="eastAsia"/>
          <w:lang w:val="en-US" w:eastAsia="zh-CN"/>
        </w:rPr>
        <w:t>21</w:t>
      </w:r>
      <w:r>
        <w:rPr>
          <w:rFonts w:ascii="仿宋_GB2312"/>
        </w:rPr>
        <w:t>年收支预算总数</w:t>
      </w:r>
      <w:r>
        <w:rPr>
          <w:rFonts w:ascii="仿宋_GB2312" w:hint="eastAsia"/>
        </w:rPr>
        <w:t>减少</w:t>
      </w:r>
      <w:r>
        <w:rPr>
          <w:rFonts w:ascii="仿宋_GB2312" w:hint="eastAsia"/>
          <w:lang w:val="en-US" w:eastAsia="zh-CN"/>
        </w:rPr>
        <w:t>35，282.53</w:t>
      </w:r>
      <w:r>
        <w:rPr>
          <w:rFonts w:ascii="仿宋_GB2312"/>
        </w:rPr>
        <w:t>元，主要原因:</w:t>
      </w:r>
      <w:r>
        <w:rPr>
          <w:rFonts w:ascii="仿宋_GB2312" w:hint="eastAsia"/>
        </w:rPr>
        <w:t>压缩预算经费支出。</w:t>
      </w:r>
    </w:p>
    <w:p>
      <w:pPr>
        <w:pStyle w:val="37"/>
        <w:pageBreakBefore w:val="0"/>
        <w:widowControl w:val="0"/>
        <w:kinsoku/>
        <w:wordWrap/>
        <w:overflowPunct/>
        <w:topLinePunct w:val="0"/>
        <w:bidi w:val="0"/>
        <w:spacing w:line="560" w:lineRule="exact"/>
        <w:ind w:firstLineChars="200" w:firstLine="640"/>
        <w:rPr>
          <w:rFonts w:ascii="仿宋_GB2312" w:hint="eastAsia"/>
          <w:color w:val="333333"/>
        </w:rPr>
      </w:pPr>
      <w:r>
        <w:rPr>
          <w:rFonts w:ascii="仿宋_GB2312" w:cs="宋体" w:hint="eastAsia"/>
          <w:kern w:val="0"/>
          <w:lang w:eastAsia="zh-CN"/>
        </w:rPr>
        <w:t>茂县林业和草原</w:t>
      </w:r>
      <w:r>
        <w:rPr>
          <w:rFonts w:ascii="仿宋_GB2312" w:cs="宋体" w:hint="eastAsia"/>
          <w:kern w:val="0"/>
        </w:rPr>
        <w:t>局</w:t>
      </w:r>
      <w:r>
        <w:rPr>
          <w:rFonts w:ascii="仿宋_GB2312" w:hint="eastAsia"/>
          <w:color w:val="333333"/>
        </w:rPr>
        <w:t>部门预算安排支出主要用于保障该部门机构正常运转、完成日常工作任务以及</w:t>
      </w:r>
      <w:r>
        <w:rPr>
          <w:rFonts w:ascii="仿宋_GB2312" w:hint="eastAsia"/>
        </w:rPr>
        <w:t>承担林业事业发展相关工作</w:t>
      </w:r>
      <w:r>
        <w:rPr>
          <w:rFonts w:ascii="仿宋_GB2312" w:hint="eastAsia"/>
          <w:color w:val="333333"/>
        </w:rPr>
        <w:t>。</w:t>
      </w:r>
    </w:p>
    <w:p>
      <w:pPr>
        <w:pStyle w:val="37"/>
        <w:pageBreakBefore w:val="0"/>
        <w:widowControl w:val="0"/>
        <w:kinsoku/>
        <w:wordWrap/>
        <w:overflowPunct/>
        <w:topLinePunct w:val="0"/>
        <w:bidi w:val="0"/>
        <w:spacing w:line="560" w:lineRule="exact"/>
        <w:ind w:firstLineChars="200" w:firstLine="640"/>
        <w:rPr>
          <w:rFonts w:ascii="仿宋_GB2312" w:hint="eastAsia"/>
          <w:color w:val="333333"/>
        </w:rPr>
      </w:pPr>
      <w:r>
        <w:rPr>
          <w:rFonts w:ascii="仿宋_GB2312" w:hint="eastAsia"/>
          <w:color w:val="333333"/>
        </w:rPr>
        <w:t>基本支出，是用于保障林业局机关、下属事业单位等机构正常运转的日常支出，包括基本工资、津贴补贴等人员经费以及办公费、印刷费、水电费等日常公用经费。</w:t>
      </w:r>
    </w:p>
    <w:p>
      <w:pPr>
        <w:pStyle w:val="37"/>
        <w:pageBreakBefore w:val="0"/>
        <w:widowControl w:val="0"/>
        <w:kinsoku/>
        <w:wordWrap/>
        <w:overflowPunct/>
        <w:topLinePunct w:val="0"/>
        <w:bidi w:val="0"/>
        <w:spacing w:line="560" w:lineRule="exact"/>
        <w:ind w:firstLineChars="200" w:firstLine="640"/>
        <w:rPr>
          <w:rFonts w:ascii="仿宋_GB2312"/>
        </w:rPr>
      </w:pPr>
      <w:r>
        <w:rPr>
          <w:rFonts w:ascii="仿宋_GB2312" w:hint="eastAsia"/>
          <w:color w:val="333333"/>
        </w:rPr>
        <w:t>项目支出，是用于保障林业局机关、下属事业单位等机构为完成特定的行政工作任务或事业发展目标，用于专项业务工作的经费支出。</w:t>
      </w:r>
    </w:p>
    <w:p>
      <w:pPr>
        <w:pStyle w:val="42"/>
        <w:widowControl/>
        <w:adjustRightInd w:val="0"/>
        <w:snapToGrid w:val="0"/>
        <w:spacing w:line="580" w:lineRule="exact"/>
        <w:ind w:firstLineChars="100" w:firstLine="320"/>
        <w:contextualSpacing/>
        <w:jc w:val="left"/>
        <w:rPr>
          <w:rFonts w:ascii="仿宋_GB2312" w:cs="宋体"/>
          <w:color w:val="000000"/>
          <w:kern w:val="0"/>
          <w:szCs w:val="32"/>
          <w:shd w:val="clear" w:color="auto" w:fill="FFFFFF"/>
          <w:lang w:val="zh-CN"/>
        </w:rPr>
      </w:pPr>
      <w:r>
        <w:rPr>
          <w:rFonts w:ascii="楷体" w:eastAsia="楷体" w:cs="楷体" w:hint="eastAsia"/>
          <w:b/>
          <w:bCs/>
          <w:color w:val="000000"/>
          <w:kern w:val="0"/>
          <w:szCs w:val="32"/>
          <w:shd w:val="clear" w:color="auto" w:fill="FFFFFF"/>
          <w:lang w:val="zh-CN"/>
        </w:rPr>
        <w:t>（二）结果应用情况</w:t>
      </w:r>
    </w:p>
    <w:p>
      <w:pPr>
        <w:pStyle w:val="37"/>
        <w:pageBreakBefore w:val="0"/>
        <w:widowControl/>
        <w:kinsoku/>
        <w:wordWrap/>
        <w:overflowPunct/>
        <w:topLinePunct w:val="0"/>
        <w:bidi w:val="0"/>
        <w:adjustRightInd w:val="0"/>
        <w:snapToGrid w:val="0"/>
        <w:spacing w:line="560" w:lineRule="exact"/>
        <w:ind w:firstLineChars="200" w:firstLine="640"/>
        <w:contextualSpacing/>
        <w:jc w:val="left"/>
        <w:rPr>
          <w:rFonts w:ascii="仿宋_GB2312" w:cs="宋体"/>
          <w:color w:val="000000"/>
          <w:kern w:val="0"/>
          <w:szCs w:val="32"/>
          <w:shd w:val="clear" w:color="auto" w:fill="FFFFFF"/>
          <w:lang w:val="zh-CN"/>
        </w:rPr>
      </w:pPr>
      <w:r>
        <w:rPr>
          <w:rFonts w:ascii="仿宋_GB2312" w:cs="宋体" w:hint="eastAsia"/>
          <w:color w:val="000000"/>
          <w:kern w:val="0"/>
          <w:szCs w:val="32"/>
          <w:shd w:val="clear" w:color="auto" w:fill="FFFFFF"/>
          <w:lang w:val="zh-CN"/>
        </w:rPr>
        <w:t>包括绩效自评公开、评价结果整改和应用林草局</w:t>
      </w:r>
      <w:r>
        <w:rPr>
          <w:rFonts w:ascii="仿宋_GB2312" w:eastAsia="仿宋_GB2312" w:hint="eastAsia"/>
          <w:sz w:val="32"/>
          <w:szCs w:val="32"/>
        </w:rPr>
        <w:t>对部门预算绩效管理工作开展情况认真进行了自查自评。将评价结果作为预算安排的重要依据</w:t>
      </w:r>
      <w:r>
        <w:rPr>
          <w:rFonts w:ascii="仿宋_GB2312" w:eastAsia="仿宋_GB2312" w:hint="eastAsia"/>
          <w:sz w:val="32"/>
          <w:szCs w:val="32"/>
          <w:lang w:val="en-US" w:eastAsia="zh-CN"/>
        </w:rPr>
        <w:t>,</w:t>
      </w:r>
      <w:r>
        <w:rPr>
          <w:rFonts w:ascii="仿宋_GB2312" w:eastAsia="仿宋_GB2312" w:hint="eastAsia"/>
          <w:sz w:val="32"/>
          <w:szCs w:val="32"/>
        </w:rPr>
        <w:t>参照项目年度预算执行情况</w:t>
      </w:r>
      <w:r>
        <w:rPr>
          <w:rFonts w:ascii="仿宋_GB2312" w:eastAsia="仿宋_GB2312" w:hint="eastAsia"/>
          <w:sz w:val="32"/>
          <w:szCs w:val="32"/>
          <w:lang w:val="en-US" w:eastAsia="zh-CN"/>
        </w:rPr>
        <w:t>,</w:t>
      </w:r>
      <w:r>
        <w:rPr>
          <w:rFonts w:ascii="仿宋_GB2312" w:eastAsia="仿宋_GB2312" w:hint="eastAsia"/>
          <w:sz w:val="32"/>
          <w:szCs w:val="32"/>
        </w:rPr>
        <w:t>保障重点支出</w:t>
      </w:r>
      <w:r>
        <w:rPr>
          <w:rFonts w:ascii="仿宋_GB2312" w:eastAsia="仿宋_GB2312" w:hint="eastAsia"/>
          <w:sz w:val="32"/>
          <w:szCs w:val="32"/>
          <w:lang w:val="en-US" w:eastAsia="zh-CN"/>
        </w:rPr>
        <w:t>,</w:t>
      </w:r>
      <w:r>
        <w:rPr>
          <w:rFonts w:ascii="仿宋_GB2312" w:eastAsia="仿宋_GB2312" w:hint="eastAsia"/>
          <w:sz w:val="32"/>
          <w:szCs w:val="32"/>
        </w:rPr>
        <w:t>调整支出结构</w:t>
      </w:r>
      <w:r>
        <w:rPr>
          <w:rFonts w:ascii="仿宋_GB2312" w:eastAsia="仿宋_GB2312" w:hint="eastAsia"/>
          <w:sz w:val="32"/>
          <w:szCs w:val="32"/>
          <w:lang w:val="en-US" w:eastAsia="zh-CN"/>
        </w:rPr>
        <w:t>,</w:t>
      </w:r>
      <w:r>
        <w:rPr>
          <w:rFonts w:ascii="仿宋_GB2312" w:eastAsia="仿宋_GB2312" w:hint="eastAsia"/>
          <w:sz w:val="32"/>
          <w:szCs w:val="32"/>
        </w:rPr>
        <w:t>优化财政资金配置</w:t>
      </w:r>
      <w:r>
        <w:rPr>
          <w:rFonts w:ascii="仿宋_GB2312" w:eastAsia="仿宋_GB2312" w:hint="eastAsia"/>
          <w:sz w:val="32"/>
          <w:szCs w:val="32"/>
          <w:lang w:val="en-US" w:eastAsia="zh-CN"/>
        </w:rPr>
        <w:t>,</w:t>
      </w:r>
      <w:r>
        <w:rPr>
          <w:rFonts w:ascii="仿宋_GB2312" w:eastAsia="仿宋_GB2312" w:hint="eastAsia"/>
          <w:sz w:val="32"/>
          <w:szCs w:val="32"/>
        </w:rPr>
        <w:t>不断强化绩效理念</w:t>
      </w:r>
      <w:r>
        <w:rPr>
          <w:rFonts w:ascii="仿宋_GB2312" w:eastAsia="仿宋_GB2312" w:hint="eastAsia"/>
          <w:sz w:val="32"/>
          <w:szCs w:val="32"/>
          <w:lang w:val="en-US" w:eastAsia="zh-CN"/>
        </w:rPr>
        <w:t>,</w:t>
      </w:r>
      <w:r>
        <w:rPr>
          <w:rFonts w:ascii="仿宋_GB2312" w:eastAsia="仿宋_GB2312" w:hint="eastAsia"/>
          <w:sz w:val="32"/>
          <w:szCs w:val="32"/>
        </w:rPr>
        <w:t>推动我单位整体绩效管理水平不断提升。</w:t>
      </w:r>
    </w:p>
    <w:p>
      <w:pPr>
        <w:pStyle w:val="42"/>
        <w:widowControl/>
        <w:numPr>
          <w:ilvl w:val="0"/>
          <w:numId w:val="2"/>
        </w:numPr>
        <w:adjustRightInd w:val="0"/>
        <w:snapToGrid w:val="0"/>
        <w:spacing w:line="580" w:lineRule="exact"/>
        <w:ind w:left="0" w:firstLineChars="200" w:firstLine="640"/>
        <w:contextualSpacing/>
        <w:jc w:val="left"/>
        <w:rPr>
          <w:rFonts w:ascii="楷体" w:eastAsia="楷体" w:cs="楷体" w:hint="eastAsia"/>
          <w:b/>
          <w:bCs/>
          <w:color w:val="000000"/>
          <w:kern w:val="0"/>
          <w:szCs w:val="32"/>
          <w:shd w:val="clear" w:color="auto" w:fill="FFFFFF"/>
          <w:lang w:val="zh-CN"/>
        </w:rPr>
      </w:pPr>
      <w:r>
        <w:rPr>
          <w:rFonts w:ascii="楷体" w:eastAsia="楷体" w:cs="楷体" w:hint="eastAsia"/>
          <w:b/>
          <w:bCs/>
          <w:color w:val="000000"/>
          <w:kern w:val="0"/>
          <w:szCs w:val="32"/>
          <w:shd w:val="clear" w:color="auto" w:fill="FFFFFF"/>
          <w:lang w:val="zh-CN"/>
        </w:rPr>
        <w:t>自评质量</w:t>
      </w:r>
    </w:p>
    <w:p>
      <w:pPr>
        <w:pStyle w:val="37"/>
        <w:pageBreakBefore w:val="0"/>
        <w:widowControl/>
        <w:kinsoku/>
        <w:wordWrap/>
        <w:overflowPunct/>
        <w:topLinePunct w:val="0"/>
        <w:bidi w:val="0"/>
        <w:adjustRightInd w:val="0"/>
        <w:snapToGrid w:val="0"/>
        <w:spacing w:line="560" w:lineRule="exact"/>
        <w:contextualSpacing/>
        <w:jc w:val="left"/>
        <w:rPr>
          <w:rFonts w:ascii="仿宋_GB2312" w:cs="宋体"/>
          <w:color w:val="000000"/>
          <w:kern w:val="0"/>
          <w:szCs w:val="32"/>
          <w:shd w:val="clear" w:color="auto" w:fill="FFFFFF"/>
        </w:rPr>
      </w:pPr>
      <w:r>
        <w:rPr>
          <w:rFonts w:ascii="仿宋_GB2312" w:cs="宋体" w:hint="eastAsia"/>
          <w:color w:val="000000"/>
          <w:kern w:val="0"/>
          <w:szCs w:val="32"/>
          <w:shd w:val="clear" w:color="auto" w:fill="FFFFFF"/>
        </w:rPr>
        <w:t xml:space="preserve">    </w:t>
      </w:r>
      <w:r>
        <w:rPr>
          <w:rFonts w:ascii="仿宋_GB2312" w:cs="宋体" w:hint="eastAsia"/>
          <w:color w:val="000000"/>
          <w:kern w:val="0"/>
          <w:shd w:val="clear" w:color="auto" w:fill="FFFFFF"/>
          <w:lang w:val="zh-CN"/>
        </w:rPr>
        <w:t>林草局对部门预算决算等资金的到位使用及完成情况进行了自查工作，认真查阅工程及财务资料，对已支付资金进行了再审核，做到资料齐全支付合规，对预算资金的使用加强了监管和审核，取得了较好的效果，也取得了一些经验，希望在以后的工作中好好运用。</w:t>
      </w:r>
    </w:p>
    <w:p>
      <w:pPr>
        <w:pStyle w:val="37"/>
        <w:pageBreakBefore w:val="0"/>
        <w:widowControl/>
        <w:kinsoku/>
        <w:wordWrap/>
        <w:overflowPunct/>
        <w:topLinePunct w:val="0"/>
        <w:bidi w:val="0"/>
        <w:adjustRightInd w:val="0"/>
        <w:snapToGrid w:val="0"/>
        <w:spacing w:line="560" w:lineRule="exact"/>
        <w:ind w:firstLineChars="200" w:firstLine="640"/>
        <w:contextualSpacing/>
        <w:jc w:val="left"/>
        <w:rPr>
          <w:rFonts w:ascii="黑体" w:eastAsia="黑体" w:cs="宋体"/>
          <w:color w:val="000000"/>
          <w:kern w:val="0"/>
          <w:szCs w:val="32"/>
          <w:shd w:val="clear" w:color="auto" w:fill="FFFFFF"/>
        </w:rPr>
      </w:pPr>
      <w:r>
        <w:rPr>
          <w:rFonts w:ascii="黑体" w:eastAsia="黑体" w:cs="宋体" w:hint="eastAsia"/>
          <w:color w:val="000000"/>
          <w:kern w:val="0"/>
          <w:szCs w:val="32"/>
          <w:shd w:val="clear" w:color="auto" w:fill="FFFFFF"/>
        </w:rPr>
        <w:t>四、评价结论及建议</w:t>
      </w:r>
    </w:p>
    <w:p>
      <w:pPr>
        <w:pStyle w:val="42"/>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cs="宋体" w:hint="eastAsia"/>
          <w:color w:val="000000"/>
          <w:kern w:val="0"/>
          <w:szCs w:val="32"/>
          <w:shd w:val="clear" w:color="auto" w:fill="FFFFFF"/>
          <w:lang w:val="zh-CN"/>
        </w:rPr>
      </w:pPr>
      <w:r>
        <w:rPr>
          <w:rFonts w:ascii="楷体" w:eastAsia="楷体" w:cs="楷体" w:hint="eastAsia"/>
          <w:b/>
          <w:bCs/>
          <w:color w:val="000000"/>
          <w:kern w:val="0"/>
          <w:szCs w:val="32"/>
          <w:shd w:val="clear" w:color="auto" w:fill="FFFFFF"/>
          <w:lang w:val="zh-CN"/>
        </w:rPr>
        <w:t>（一）评价结论</w:t>
      </w:r>
    </w:p>
    <w:p>
      <w:pPr>
        <w:pStyle w:val="37"/>
        <w:keepNext w:val="0"/>
        <w:keepLines w:val="0"/>
        <w:pageBreakBefore w:val="0"/>
        <w:widowControl w:val="0"/>
        <w:pBdr>
          <w:bottom w:val="single" w:sz="4" w:space="27" w:color="FFFFFF"/>
        </w:pBdr>
        <w:kinsoku/>
        <w:wordWrap/>
        <w:overflowPunct/>
        <w:topLinePunct w:val="0"/>
        <w:autoSpaceDE/>
        <w:autoSpaceDN/>
        <w:bidi w:val="0"/>
        <w:adjustRightInd/>
        <w:snapToGrid/>
        <w:spacing w:line="560" w:lineRule="exact"/>
        <w:ind w:left="0" w:firstLineChars="200" w:firstLine="640"/>
        <w:textAlignment w:val="auto"/>
        <w:rPr>
          <w:rFonts w:ascii="仿宋_GB2312" w:cs="宋体" w:hint="eastAsia"/>
          <w:color w:val="000000"/>
          <w:kern w:val="0"/>
          <w:szCs w:val="32"/>
          <w:shd w:val="clear" w:color="auto" w:fill="FFFFFF"/>
          <w:lang w:val="zh-CN" w:eastAsia="zh-CN"/>
        </w:rPr>
      </w:pPr>
      <w:r>
        <w:rPr>
          <w:rFonts w:ascii="仿宋_GB2312" w:cs="宋体" w:hint="eastAsia"/>
          <w:color w:val="000000"/>
          <w:kern w:val="0"/>
          <w:szCs w:val="32"/>
          <w:shd w:val="clear" w:color="auto" w:fill="FFFFFF"/>
          <w:lang w:val="zh-CN"/>
        </w:rPr>
        <w:t>202</w:t>
      </w:r>
      <w:r>
        <w:rPr>
          <w:rFonts w:ascii="仿宋_GB2312" w:cs="宋体" w:hint="eastAsia"/>
          <w:color w:val="000000"/>
          <w:kern w:val="0"/>
          <w:szCs w:val="32"/>
          <w:shd w:val="clear" w:color="auto" w:fill="FFFFFF"/>
          <w:lang w:val="en-US" w:eastAsia="zh-CN"/>
        </w:rPr>
        <w:t>2</w:t>
      </w:r>
      <w:r>
        <w:rPr>
          <w:rFonts w:ascii="仿宋_GB2312" w:cs="宋体" w:hint="eastAsia"/>
          <w:color w:val="000000"/>
          <w:kern w:val="0"/>
          <w:szCs w:val="32"/>
          <w:shd w:val="clear" w:color="auto" w:fill="FFFFFF"/>
          <w:lang w:val="zh-CN"/>
        </w:rPr>
        <w:t>年，根据林草局年初工作规划，积极履职，强化管理，较好的完成了上年度工作目标。通过加强预算收支管理，不断建立健全内部管理制度，梳理内部管理流程，单位整体支出管理情况得到提升。在资金的使用过程中依法依规，严格审核监管，做到有据可依实事求是</w:t>
      </w:r>
      <w:r>
        <w:rPr>
          <w:rFonts w:ascii="仿宋_GB2312" w:cs="宋体" w:hint="eastAsia"/>
          <w:color w:val="000000"/>
          <w:kern w:val="0"/>
          <w:szCs w:val="32"/>
          <w:shd w:val="clear" w:color="auto" w:fill="FFFFFF"/>
          <w:lang w:val="zh-CN" w:eastAsia="zh-CN"/>
        </w:rPr>
        <w:t>。</w:t>
      </w:r>
    </w:p>
    <w:p>
      <w:pPr>
        <w:pStyle w:val="42"/>
        <w:keepNext w:val="0"/>
        <w:keepLines w:val="0"/>
        <w:pageBreakBefore w:val="0"/>
        <w:widowControl w:val="0"/>
        <w:pBdr>
          <w:bottom w:val="single" w:sz="4" w:space="27" w:color="FFFFFF"/>
        </w:pBdr>
        <w:kinsoku/>
        <w:wordWrap/>
        <w:overflowPunct/>
        <w:topLinePunct w:val="0"/>
        <w:autoSpaceDE/>
        <w:autoSpaceDN/>
        <w:bidi w:val="0"/>
        <w:adjustRightInd/>
        <w:snapToGrid/>
        <w:spacing w:line="560" w:lineRule="exact"/>
        <w:ind w:left="0" w:firstLineChars="200" w:firstLine="640"/>
        <w:textAlignment w:val="auto"/>
        <w:rPr>
          <w:rFonts w:ascii="楷体" w:eastAsia="楷体" w:cs="楷体" w:hint="eastAsia"/>
          <w:b/>
          <w:bCs/>
          <w:color w:val="000000"/>
          <w:kern w:val="0"/>
          <w:szCs w:val="32"/>
          <w:shd w:val="clear" w:color="auto" w:fill="FFFFFF"/>
          <w:lang w:val="zh-CN"/>
        </w:rPr>
      </w:pPr>
      <w:r>
        <w:rPr>
          <w:rFonts w:ascii="楷体" w:eastAsia="楷体" w:cs="楷体" w:hint="eastAsia"/>
          <w:b/>
          <w:bCs/>
          <w:color w:val="000000"/>
          <w:kern w:val="0"/>
          <w:szCs w:val="32"/>
          <w:shd w:val="clear" w:color="auto" w:fill="FFFFFF"/>
          <w:lang w:val="zh-CN"/>
        </w:rPr>
        <w:t>（二）存在问题</w:t>
      </w:r>
    </w:p>
    <w:p>
      <w:pPr>
        <w:pStyle w:val="37"/>
        <w:keepNext w:val="0"/>
        <w:keepLines w:val="0"/>
        <w:pageBreakBefore w:val="0"/>
        <w:widowControl w:val="0"/>
        <w:pBdr>
          <w:bottom w:val="single" w:sz="4" w:space="27" w:color="FFFFFF"/>
        </w:pBdr>
        <w:kinsoku/>
        <w:wordWrap/>
        <w:overflowPunct/>
        <w:topLinePunct w:val="0"/>
        <w:autoSpaceDE/>
        <w:autoSpaceDN/>
        <w:bidi w:val="0"/>
        <w:adjustRightInd/>
        <w:snapToGrid/>
        <w:spacing w:line="560" w:lineRule="exact"/>
        <w:ind w:left="0" w:firstLineChars="200" w:firstLine="640"/>
        <w:textAlignment w:val="auto"/>
        <w:rPr>
          <w:rFonts w:ascii="仿宋_GB2312" w:cs="宋体" w:hint="eastAsia"/>
          <w:color w:val="000000"/>
          <w:kern w:val="0"/>
          <w:szCs w:val="32"/>
          <w:shd w:val="clear" w:color="auto" w:fill="FFFFFF"/>
          <w:lang w:val="zh-CN"/>
        </w:rPr>
      </w:pPr>
      <w:r>
        <w:rPr>
          <w:rFonts w:ascii="仿宋_GB2312" w:cs="宋体" w:hint="eastAsia"/>
          <w:color w:val="000000"/>
          <w:kern w:val="0"/>
          <w:szCs w:val="32"/>
          <w:shd w:val="clear" w:color="auto" w:fill="FFFFFF"/>
          <w:lang w:val="zh-CN"/>
        </w:rPr>
        <w:t>当前预算执行过程中由于项目进度与报账资料未能及时同步，造成项目已经完工但是资金兑付资料还未完成从而造成资金未及时拨付。在以后的预算执行过程中及时的掌握项目进度，催促相关项目负责人及时的报送项目资金支付资料到财务室及时有效的拨付项目资金。</w:t>
      </w:r>
    </w:p>
    <w:p>
      <w:pPr>
        <w:pStyle w:val="42"/>
        <w:keepNext w:val="0"/>
        <w:keepLines w:val="0"/>
        <w:pageBreakBefore w:val="0"/>
        <w:widowControl w:val="0"/>
        <w:numPr>
          <w:ilvl w:val="0"/>
          <w:numId w:val="1"/>
        </w:numPr>
        <w:pBdr>
          <w:bottom w:val="single" w:sz="4" w:space="27" w:color="FFFFFF"/>
        </w:pBdr>
        <w:kinsoku/>
        <w:wordWrap/>
        <w:overflowPunct/>
        <w:topLinePunct w:val="0"/>
        <w:autoSpaceDE/>
        <w:autoSpaceDN/>
        <w:bidi w:val="0"/>
        <w:adjustRightInd/>
        <w:snapToGrid/>
        <w:spacing w:line="560" w:lineRule="exact"/>
        <w:ind w:left="0" w:firstLineChars="200" w:firstLine="640"/>
        <w:textAlignment w:val="auto"/>
        <w:rPr>
          <w:rFonts w:ascii="楷体" w:eastAsia="楷体" w:cs="楷体" w:hint="eastAsia"/>
          <w:b/>
          <w:bCs/>
          <w:color w:val="000000"/>
          <w:kern w:val="0"/>
          <w:szCs w:val="32"/>
          <w:shd w:val="clear" w:color="auto" w:fill="FFFFFF"/>
          <w:lang w:val="zh-CN"/>
        </w:rPr>
      </w:pPr>
      <w:r>
        <w:rPr>
          <w:rFonts w:ascii="楷体" w:eastAsia="楷体" w:cs="楷体" w:hint="eastAsia"/>
          <w:b/>
          <w:bCs/>
          <w:color w:val="000000"/>
          <w:kern w:val="0"/>
          <w:szCs w:val="32"/>
          <w:shd w:val="clear" w:color="auto" w:fill="FFFFFF"/>
          <w:lang w:val="zh-CN"/>
        </w:rPr>
        <w:t>改进建议</w:t>
      </w:r>
    </w:p>
    <w:p>
      <w:pPr>
        <w:pStyle w:val="37"/>
        <w:keepNext w:val="0"/>
        <w:keepLines w:val="0"/>
        <w:pageBreakBefore w:val="0"/>
        <w:widowControl w:val="0"/>
        <w:pBdr>
          <w:bottom w:val="single" w:sz="4" w:space="27" w:color="FFFFFF"/>
        </w:pBdr>
        <w:kinsoku/>
        <w:wordWrap/>
        <w:overflowPunct/>
        <w:topLinePunct w:val="0"/>
        <w:autoSpaceDE/>
        <w:autoSpaceDN/>
        <w:bidi w:val="0"/>
        <w:adjustRightInd/>
        <w:snapToGrid/>
        <w:spacing w:line="560" w:lineRule="exact"/>
        <w:ind w:left="0" w:firstLineChars="200" w:firstLine="640"/>
        <w:textAlignment w:val="auto"/>
        <w:rPr>
          <w:rFonts w:ascii="仿宋_GB2312" w:cs="宋体" w:hint="eastAsia"/>
          <w:color w:val="000000"/>
          <w:kern w:val="0"/>
          <w:szCs w:val="32"/>
          <w:shd w:val="clear" w:color="auto" w:fill="FFFFFF"/>
          <w:lang w:val="zh-CN"/>
        </w:rPr>
      </w:pPr>
      <w:r>
        <w:rPr>
          <w:rFonts w:ascii="仿宋_GB2312" w:cs="宋体" w:hint="eastAsia"/>
          <w:color w:val="000000"/>
          <w:kern w:val="0"/>
          <w:szCs w:val="32"/>
          <w:shd w:val="clear" w:color="auto" w:fill="FFFFFF"/>
          <w:lang w:val="zh-CN"/>
        </w:rPr>
        <w:t>在今后的资金支付过程中，及时联系业务股室及项目经办人员及时收集准备财务报账资料来进行支付，及时报账提高资金的支付进度，经常开展财务人员继续教育学习，努力提高自己的业务水平，提高工作效率。</w:t>
      </w: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pPr>
    </w:p>
    <w:p>
      <w:pPr>
        <w:pStyle w:val="37"/>
        <w:pageBreakBefore w:val="0"/>
        <w:widowControl w:val="0"/>
        <w:kinsoku/>
        <w:wordWrap/>
        <w:overflowPunct/>
        <w:topLinePunct w:val="0"/>
        <w:bidi w:val="0"/>
        <w:spacing w:line="560" w:lineRule="exact"/>
        <w:jc w:val="left"/>
        <w:outlineLvl w:val="0"/>
        <w:rPr>
          <w:rFonts w:ascii="黑体" w:eastAsia="黑体" w:cs="黑体" w:hint="eastAsia"/>
          <w:sz w:val="32"/>
          <w:szCs w:val="32"/>
        </w:rPr>
      </w:pPr>
      <w:bookmarkStart w:id="75" w:name="_Toc79163633"/>
      <w:bookmarkStart w:id="76" w:name="_Toc79163883"/>
    </w:p>
    <w:p>
      <w:pPr>
        <w:pStyle w:val="37"/>
        <w:pageBreakBefore w:val="0"/>
        <w:widowControl w:val="0"/>
        <w:kinsoku/>
        <w:wordWrap/>
        <w:overflowPunct/>
        <w:topLinePunct w:val="0"/>
        <w:bidi w:val="0"/>
        <w:spacing w:line="560" w:lineRule="exact"/>
        <w:jc w:val="left"/>
        <w:outlineLvl w:val="0"/>
        <w:rPr>
          <w:rFonts w:ascii="黑体" w:eastAsia="黑体" w:cs="黑体"/>
          <w:sz w:val="32"/>
          <w:szCs w:val="32"/>
        </w:rPr>
      </w:pPr>
      <w:r>
        <w:rPr>
          <w:rFonts w:ascii="黑体" w:eastAsia="黑体" w:cs="黑体" w:hint="eastAsia"/>
          <w:sz w:val="32"/>
          <w:szCs w:val="32"/>
        </w:rPr>
        <w:t>附件</w:t>
      </w:r>
      <w:r>
        <w:rPr>
          <w:rFonts w:ascii="黑体" w:eastAsia="黑体" w:cs="黑体"/>
          <w:sz w:val="32"/>
          <w:szCs w:val="32"/>
        </w:rPr>
        <w:t>2</w:t>
      </w:r>
      <w:bookmarkEnd w:id="75"/>
      <w:bookmarkEnd w:id="76"/>
    </w:p>
    <w:p>
      <w:pPr>
        <w:pStyle w:val="37"/>
        <w:pageBreakBefore w:val="0"/>
        <w:widowControl w:val="0"/>
        <w:kinsoku/>
        <w:wordWrap/>
        <w:overflowPunct/>
        <w:topLinePunct w:val="0"/>
        <w:bidi w:val="0"/>
        <w:spacing w:line="560" w:lineRule="exact"/>
        <w:ind w:firstLineChars="200" w:firstLine="640"/>
        <w:rPr>
          <w:rFonts w:ascii="仿宋_GB2312" w:eastAsia="仿宋_GB2312" w:cs="仿宋_GB2312"/>
          <w:sz w:val="32"/>
          <w:szCs w:val="32"/>
        </w:rPr>
      </w:pPr>
    </w:p>
    <w:p>
      <w:pPr>
        <w:pStyle w:val="42"/>
        <w:spacing w:line="600" w:lineRule="exact"/>
        <w:jc w:val="center"/>
        <w:outlineLvl w:val="0"/>
        <w:rPr>
          <w:rFonts w:ascii="方正小标宋简体" w:eastAsia="方正小标宋简体" w:cs="黑体" w:hint="eastAsia"/>
          <w:sz w:val="44"/>
          <w:szCs w:val="44"/>
        </w:rPr>
      </w:pPr>
      <w:bookmarkStart w:id="77" w:name="_Toc79163884"/>
      <w:bookmarkStart w:id="78" w:name="_Toc79163634"/>
      <w:r>
        <w:rPr>
          <w:rFonts w:ascii="方正小标宋简体" w:eastAsia="方正小标宋简体" w:cs="黑体" w:hint="eastAsia"/>
          <w:sz w:val="44"/>
          <w:szCs w:val="44"/>
        </w:rPr>
        <w:t>项目2021年绩效评价报告</w:t>
      </w:r>
      <w:bookmarkEnd w:id="77"/>
      <w:bookmarkEnd w:id="78"/>
    </w:p>
    <w:p>
      <w:pPr>
        <w:pStyle w:val="42"/>
        <w:spacing w:line="600" w:lineRule="exact"/>
        <w:rPr>
          <w:rFonts w:ascii="仿宋_GB2312"/>
        </w:rPr>
      </w:pPr>
      <w:r>
        <w:rPr>
          <w:rFonts w:ascii="宋体" w:hAnsi="宋体" w:hint="eastAsia"/>
          <w:sz w:val="32"/>
          <w:szCs w:val="32"/>
          <w:lang w:val="en-US" w:eastAsia="zh-CN"/>
        </w:rPr>
        <w:t xml:space="preserve">            （</w:t>
      </w:r>
      <w:r>
        <w:rPr>
          <w:rFonts w:ascii="方正小标宋简体" w:eastAsia="方正小标宋简体" w:cs="黑体" w:hint="eastAsia"/>
          <w:sz w:val="32"/>
          <w:szCs w:val="32"/>
          <w:lang w:val="en-US" w:eastAsia="zh-CN"/>
        </w:rPr>
        <w:t>生态管护公益性岗位项目</w:t>
      </w:r>
      <w:r>
        <w:rPr>
          <w:rFonts w:ascii="宋体" w:hAnsi="宋体" w:hint="eastAsia"/>
          <w:sz w:val="32"/>
          <w:szCs w:val="32"/>
          <w:lang w:val="en-US" w:eastAsia="zh-CN"/>
        </w:rPr>
        <w:t>）</w:t>
      </w:r>
    </w:p>
    <w:p>
      <w:pPr>
        <w:pStyle w:val="40"/>
        <w:spacing w:line="600" w:lineRule="exact"/>
        <w:ind w:firstLine="640"/>
        <w:jc w:val="center"/>
        <w:rPr>
          <w:rFonts w:ascii="宋体"/>
          <w:color w:val="auto"/>
          <w:kern w:val="2"/>
          <w:sz w:val="32"/>
          <w:szCs w:val="32"/>
        </w:rPr>
      </w:pP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黑体" w:eastAsia="黑体" w:cs="黑体" w:hint="eastAsia"/>
          <w:bCs/>
          <w:sz w:val="32"/>
          <w:szCs w:val="32"/>
          <w:lang w:val="zh-CN"/>
        </w:rPr>
      </w:pPr>
      <w:r>
        <w:rPr>
          <w:rFonts w:ascii="黑体" w:eastAsia="黑体" w:cs="黑体" w:hint="eastAsia"/>
          <w:bCs/>
          <w:sz w:val="32"/>
          <w:szCs w:val="32"/>
        </w:rPr>
        <w:t>一、</w:t>
      </w:r>
      <w:r>
        <w:rPr>
          <w:rFonts w:ascii="黑体" w:eastAsia="黑体" w:cs="黑体" w:hint="eastAsia"/>
          <w:bCs/>
          <w:sz w:val="32"/>
          <w:szCs w:val="32"/>
          <w:lang w:val="zh-CN"/>
        </w:rPr>
        <w:t>项目概况</w:t>
      </w: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Times New Roman" w:eastAsia="仿宋_GB2312" w:cs="Times New Roman" w:hAnsi="Times New Roman" w:hint="eastAsia"/>
          <w:bCs/>
          <w:sz w:val="32"/>
          <w:szCs w:val="32"/>
          <w:lang w:val="zh-CN"/>
        </w:rPr>
      </w:pPr>
      <w:r>
        <w:rPr>
          <w:rFonts w:ascii="楷体_GB2312" w:eastAsia="楷体_GB2312" w:cs="Times New Roman" w:hint="eastAsia"/>
          <w:b/>
          <w:sz w:val="32"/>
          <w:szCs w:val="32"/>
          <w:lang w:val="zh-CN"/>
        </w:rPr>
        <w:t>（一）项目资金申报及批复情况</w:t>
      </w: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Cs/>
          <w:sz w:val="32"/>
          <w:szCs w:val="32"/>
          <w:lang w:val="zh-CN"/>
        </w:rPr>
      </w:pPr>
      <w:r>
        <w:rPr>
          <w:rFonts w:ascii="仿宋_GB2312" w:eastAsia="仿宋_GB2312" w:cs="仿宋_GB2312" w:hint="eastAsia"/>
          <w:bCs/>
          <w:sz w:val="32"/>
          <w:szCs w:val="32"/>
          <w:lang w:val="zh-CN"/>
        </w:rPr>
        <w:t>根据</w:t>
      </w:r>
      <w:r>
        <w:rPr>
          <w:rFonts w:ascii="仿宋_GB2312" w:eastAsia="仿宋_GB2312" w:cs="仿宋_GB2312" w:hint="eastAsia"/>
          <w:bCs/>
          <w:sz w:val="32"/>
          <w:szCs w:val="32"/>
          <w:lang w:val="en-US" w:eastAsia="zh-CN"/>
        </w:rPr>
        <w:t>《中共阿坝州委、阿坝州人民政府关于开展生态扶贫实施意见》相关政策继续执行至2023年的工作要求，及</w:t>
      </w:r>
      <w:r>
        <w:rPr>
          <w:rFonts w:ascii="仿宋_GB2312" w:eastAsia="仿宋_GB2312" w:cs="仿宋_GB2312" w:hint="eastAsia"/>
          <w:bCs/>
          <w:sz w:val="32"/>
          <w:szCs w:val="32"/>
          <w:lang w:val="zh-CN"/>
        </w:rPr>
        <w:t>《阿坝州州林业和草原局巩固拓展脱贫攻坚成果同乡村振兴有效衔接</w:t>
      </w:r>
      <w:r>
        <w:rPr>
          <w:rFonts w:ascii="仿宋_GB2312" w:eastAsia="仿宋_GB2312" w:cs="仿宋_GB2312" w:hint="eastAsia"/>
          <w:bCs/>
          <w:sz w:val="32"/>
          <w:szCs w:val="32"/>
          <w:lang w:val="en-US" w:eastAsia="zh-CN"/>
        </w:rPr>
        <w:t>阿坝州州生态公益性管理办法》，茂县拟定了</w:t>
      </w:r>
      <w:r>
        <w:rPr>
          <w:rFonts w:ascii="仿宋_GB2312" w:eastAsia="仿宋_GB2312" w:cs="仿宋_GB2312" w:hint="eastAsia"/>
          <w:bCs/>
          <w:sz w:val="32"/>
          <w:szCs w:val="32"/>
          <w:lang w:val="zh-CN"/>
        </w:rPr>
        <w:t>《茂县</w:t>
      </w:r>
      <w:r>
        <w:rPr>
          <w:rFonts w:ascii="仿宋_GB2312" w:eastAsia="仿宋_GB2312" w:cs="仿宋_GB2312" w:hint="eastAsia"/>
          <w:bCs/>
          <w:sz w:val="32"/>
          <w:szCs w:val="32"/>
          <w:lang w:val="en-US" w:eastAsia="zh-CN"/>
        </w:rPr>
        <w:t>2021</w:t>
      </w:r>
      <w:r>
        <w:rPr>
          <w:rFonts w:ascii="仿宋_GB2312" w:eastAsia="仿宋_GB2312" w:cs="仿宋_GB2312" w:hint="eastAsia"/>
          <w:bCs/>
          <w:sz w:val="32"/>
          <w:szCs w:val="32"/>
          <w:lang w:val="zh-CN"/>
        </w:rPr>
        <w:t>年度生态管护员资金整合使用方案》</w:t>
      </w:r>
      <w:r>
        <w:rPr>
          <w:rFonts w:ascii="仿宋_GB2312" w:eastAsia="仿宋_GB2312" w:cs="仿宋_GB2312" w:hint="eastAsia"/>
          <w:bCs/>
          <w:sz w:val="32"/>
          <w:szCs w:val="32"/>
          <w:lang w:val="en-US" w:eastAsia="zh-CN"/>
        </w:rPr>
        <w:t>实施了生态公益性岗位项目</w:t>
      </w:r>
      <w:r>
        <w:rPr>
          <w:rFonts w:ascii="仿宋_GB2312" w:eastAsia="仿宋_GB2312" w:cs="仿宋_GB2312" w:hint="eastAsia"/>
          <w:bCs/>
          <w:sz w:val="32"/>
          <w:szCs w:val="32"/>
          <w:lang w:val="zh-CN"/>
        </w:rPr>
        <w:t>，其中林业发展改革资金</w:t>
      </w:r>
      <w:r>
        <w:rPr>
          <w:rFonts w:ascii="仿宋_GB2312" w:eastAsia="仿宋_GB2312" w:cs="仿宋_GB2312" w:hint="eastAsia"/>
          <w:bCs/>
          <w:sz w:val="32"/>
          <w:szCs w:val="32"/>
          <w:lang w:val="en-US" w:eastAsia="zh-CN"/>
        </w:rPr>
        <w:t>301万元，（阿州财资环〔20212〕号），专项用于生态管护公益性岗位。</w:t>
      </w:r>
    </w:p>
    <w:p>
      <w:pPr>
        <w:pStyle w:val="42"/>
        <w:numPr>
          <w:ilvl w:val="0"/>
          <w:numId w:val="3"/>
        </w:numPr>
        <w:spacing w:line="560" w:lineRule="exact"/>
        <w:ind w:left="0" w:firstLineChars="200" w:firstLine="640"/>
        <w:rPr>
          <w:rFonts w:ascii="楷体_GB2312" w:eastAsia="楷体_GB2312" w:cs="Times New Roman" w:hint="eastAsia"/>
          <w:b/>
          <w:sz w:val="32"/>
          <w:szCs w:val="32"/>
          <w:lang w:val="zh-CN"/>
        </w:rPr>
      </w:pPr>
      <w:r>
        <w:rPr>
          <w:rFonts w:ascii="楷体_GB2312" w:eastAsia="楷体_GB2312" w:cs="Times New Roman" w:hint="eastAsia"/>
          <w:b/>
          <w:sz w:val="32"/>
          <w:szCs w:val="32"/>
          <w:lang w:val="zh-CN"/>
        </w:rPr>
        <w:t>项目绩效目标</w:t>
      </w: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Cs/>
          <w:sz w:val="32"/>
          <w:szCs w:val="32"/>
          <w:lang w:val="en-US" w:eastAsia="zh-CN"/>
        </w:rPr>
      </w:pPr>
      <w:r>
        <w:rPr>
          <w:rFonts w:ascii="仿宋_GB2312" w:eastAsia="仿宋_GB2312" w:cs="仿宋_GB2312" w:hint="eastAsia"/>
          <w:bCs/>
          <w:sz w:val="32"/>
          <w:szCs w:val="32"/>
          <w:lang w:val="en-US" w:eastAsia="zh-CN"/>
        </w:rPr>
        <w:t>2</w:t>
      </w:r>
      <w:r>
        <w:rPr>
          <w:rFonts w:ascii="仿宋_GB2312" w:eastAsia="仿宋_GB2312" w:cs="仿宋_GB2312" w:hint="eastAsia"/>
          <w:bCs/>
          <w:sz w:val="32"/>
          <w:szCs w:val="32"/>
          <w:lang w:val="zh-CN" w:eastAsia="zh-CN"/>
        </w:rPr>
        <w:t>021年</w:t>
      </w:r>
      <w:r>
        <w:rPr>
          <w:rFonts w:ascii="仿宋_GB2312" w:eastAsia="仿宋_GB2312" w:cs="仿宋_GB2312" w:hint="eastAsia"/>
          <w:bCs/>
          <w:sz w:val="32"/>
          <w:szCs w:val="32"/>
          <w:lang w:val="en-US" w:eastAsia="zh-CN"/>
        </w:rPr>
        <w:t>茂县共计划入资金301万元，资金全部到位，全县选用符合条件的生态护林（草）员301名，工资标准10000元/年/人（包含保险），涉及21个乡镇104个行政村。</w:t>
      </w:r>
    </w:p>
    <w:p>
      <w:pPr>
        <w:pStyle w:val="42"/>
        <w:spacing w:line="560" w:lineRule="exact"/>
        <w:ind w:firstLineChars="200" w:firstLine="640"/>
        <w:rPr>
          <w:rFonts w:ascii="黑体" w:eastAsia="黑体" w:cs="黑体" w:hint="eastAsia"/>
          <w:b/>
          <w:bCs w:val="0"/>
          <w:sz w:val="32"/>
          <w:szCs w:val="32"/>
        </w:rPr>
      </w:pPr>
      <w:r>
        <w:rPr>
          <w:rFonts w:ascii="黑体" w:eastAsia="黑体" w:cs="黑体" w:hint="eastAsia"/>
          <w:b/>
          <w:bCs w:val="0"/>
          <w:sz w:val="32"/>
          <w:szCs w:val="32"/>
        </w:rPr>
        <w:t>二、项目实施及管理情况</w:t>
      </w: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Times New Roman" w:eastAsia="仿宋_GB2312" w:cs="Times New Roman" w:hAnsi="Times New Roman" w:hint="eastAsia"/>
          <w:bCs/>
          <w:sz w:val="32"/>
          <w:szCs w:val="32"/>
          <w:lang w:val="zh-CN"/>
        </w:rPr>
      </w:pPr>
      <w:r>
        <w:rPr>
          <w:rFonts w:ascii="楷体_GB2312" w:eastAsia="楷体_GB2312" w:cs="Times New Roman" w:hint="eastAsia"/>
          <w:b/>
          <w:sz w:val="32"/>
          <w:szCs w:val="32"/>
          <w:lang w:val="zh-CN"/>
        </w:rPr>
        <w:t>（一）资金计划、到位及使用情况</w:t>
      </w: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Cs/>
          <w:sz w:val="32"/>
          <w:szCs w:val="32"/>
          <w:lang w:val="zh-CN"/>
        </w:rPr>
      </w:pPr>
      <w:r>
        <w:rPr>
          <w:rFonts w:ascii="仿宋_GB2312" w:eastAsia="仿宋_GB2312" w:cs="仿宋_GB2312" w:hint="eastAsia"/>
          <w:bCs/>
          <w:sz w:val="32"/>
          <w:szCs w:val="32"/>
          <w:lang w:val="zh-CN" w:eastAsia="zh-CN"/>
        </w:rPr>
        <w:t>1．资金计划及到位。</w:t>
      </w:r>
      <w:r>
        <w:rPr>
          <w:rFonts w:ascii="仿宋_GB2312" w:eastAsia="仿宋_GB2312" w:cs="仿宋_GB2312" w:hint="eastAsia"/>
          <w:bCs/>
          <w:sz w:val="32"/>
          <w:szCs w:val="32"/>
          <w:lang w:val="en-US" w:eastAsia="zh-CN"/>
        </w:rPr>
        <w:t>2021年茂县计划投入生态公益性管护补助资金301万元；选用生态护林（草）员301人（含</w:t>
      </w:r>
      <w:r>
        <w:rPr>
          <w:rFonts w:ascii="仿宋_GB2312" w:eastAsia="仿宋_GB2312" w:cs="仿宋_GB2312" w:hint="eastAsia"/>
          <w:bCs/>
          <w:sz w:val="32"/>
          <w:szCs w:val="32"/>
          <w:lang w:eastAsia="zh-CN"/>
        </w:rPr>
        <w:t>瞭望塔、瞭望哨），</w:t>
      </w:r>
      <w:r>
        <w:rPr>
          <w:rFonts w:ascii="仿宋_GB2312" w:eastAsia="仿宋_GB2312" w:cs="仿宋_GB2312" w:hint="eastAsia"/>
          <w:bCs/>
          <w:sz w:val="32"/>
          <w:szCs w:val="32"/>
        </w:rPr>
        <w:t>全部为建档立卡贫困户。</w:t>
      </w:r>
      <w:r>
        <w:rPr>
          <w:rFonts w:ascii="仿宋_GB2312" w:eastAsia="仿宋_GB2312" w:cs="仿宋_GB2312" w:hint="eastAsia"/>
          <w:bCs/>
          <w:sz w:val="32"/>
          <w:szCs w:val="32"/>
          <w:lang w:val="zh-CN"/>
        </w:rPr>
        <w:t>截止评价时点实际到位</w:t>
      </w:r>
      <w:r>
        <w:rPr>
          <w:rFonts w:ascii="仿宋_GB2312" w:eastAsia="仿宋_GB2312" w:cs="仿宋_GB2312" w:hint="eastAsia"/>
          <w:bCs/>
          <w:sz w:val="32"/>
          <w:szCs w:val="32"/>
          <w:lang w:val="en-US" w:eastAsia="zh-CN"/>
        </w:rPr>
        <w:t>301万元</w:t>
      </w:r>
      <w:r>
        <w:rPr>
          <w:rFonts w:ascii="仿宋_GB2312" w:eastAsia="仿宋_GB2312" w:cs="仿宋_GB2312" w:hint="eastAsia"/>
          <w:bCs/>
          <w:sz w:val="32"/>
          <w:szCs w:val="32"/>
          <w:lang w:val="zh-CN"/>
        </w:rPr>
        <w:t>，全部为中央林业发展改革资金。就资金到位情况与资金计划比较后资金到位率为</w:t>
      </w:r>
      <w:r>
        <w:rPr>
          <w:rFonts w:ascii="仿宋_GB2312" w:eastAsia="仿宋_GB2312" w:cs="仿宋_GB2312" w:hint="eastAsia"/>
          <w:bCs/>
          <w:sz w:val="32"/>
          <w:szCs w:val="32"/>
          <w:lang w:val="en-US" w:eastAsia="zh-CN"/>
        </w:rPr>
        <w:t>100%</w:t>
      </w:r>
      <w:r>
        <w:rPr>
          <w:rFonts w:ascii="仿宋_GB2312" w:eastAsia="仿宋_GB2312" w:cs="仿宋_GB2312" w:hint="eastAsia"/>
          <w:bCs/>
          <w:sz w:val="32"/>
          <w:szCs w:val="32"/>
          <w:lang w:val="zh-CN"/>
        </w:rPr>
        <w:t>，且到位及时。</w:t>
      </w:r>
    </w:p>
    <w:p>
      <w:pPr>
        <w:pStyle w:val="42"/>
        <w:spacing w:line="560" w:lineRule="exact"/>
        <w:ind w:firstLineChars="200" w:firstLine="640"/>
        <w:rPr>
          <w:rFonts w:ascii="仿宋_GB2312" w:eastAsia="仿宋_GB2312" w:cs="仿宋_GB2312" w:hint="eastAsia"/>
          <w:bCs/>
          <w:sz w:val="32"/>
          <w:szCs w:val="32"/>
          <w:lang w:val="zh-CN"/>
        </w:rPr>
      </w:pPr>
      <w:r>
        <w:rPr>
          <w:rFonts w:ascii="仿宋_GB2312" w:eastAsia="仿宋_GB2312" w:cs="仿宋_GB2312" w:hint="eastAsia"/>
          <w:bCs/>
          <w:sz w:val="32"/>
          <w:szCs w:val="32"/>
          <w:lang w:val="zh-CN"/>
        </w:rPr>
        <w:t>2．资金使用。截止目前项目资金的实际支出</w:t>
      </w:r>
      <w:r>
        <w:rPr>
          <w:rFonts w:ascii="仿宋_GB2312" w:eastAsia="仿宋_GB2312" w:cs="仿宋_GB2312" w:hint="eastAsia"/>
          <w:bCs/>
          <w:sz w:val="32"/>
          <w:szCs w:val="32"/>
          <w:lang w:val="en-US" w:eastAsia="zh-CN"/>
        </w:rPr>
        <w:t>301万元</w:t>
      </w:r>
      <w:r>
        <w:rPr>
          <w:rFonts w:ascii="仿宋_GB2312" w:eastAsia="仿宋_GB2312" w:cs="仿宋_GB2312" w:hint="eastAsia"/>
          <w:bCs/>
          <w:sz w:val="32"/>
          <w:szCs w:val="32"/>
          <w:lang w:val="zh-CN"/>
        </w:rPr>
        <w:t>，资金开支用于</w:t>
      </w:r>
      <w:r>
        <w:rPr>
          <w:rFonts w:ascii="仿宋_GB2312" w:eastAsia="仿宋_GB2312" w:cs="仿宋_GB2312" w:hint="eastAsia"/>
          <w:bCs/>
          <w:sz w:val="32"/>
          <w:szCs w:val="32"/>
          <w:lang w:val="en-US" w:eastAsia="zh-CN"/>
        </w:rPr>
        <w:t>生态管护公益性岗位补助，标准为10000元/年，资金支付符合时序进度。</w:t>
      </w:r>
      <w:r>
        <w:rPr>
          <w:rFonts w:ascii="仿宋_GB2312" w:eastAsia="仿宋_GB2312" w:cs="仿宋_GB2312" w:hint="eastAsia"/>
          <w:bCs/>
          <w:sz w:val="32"/>
          <w:szCs w:val="32"/>
          <w:lang w:val="zh-CN"/>
        </w:rPr>
        <w:t>支付依据根据财务要求合规合法，资金支付与预算相符，并对相关问题进行了说明。</w:t>
      </w:r>
    </w:p>
    <w:p>
      <w:pPr>
        <w:pStyle w:val="42"/>
        <w:adjustRightInd w:val="0"/>
        <w:snapToGrid w:val="0"/>
        <w:spacing w:line="600" w:lineRule="exact"/>
        <w:ind w:firstLine="720"/>
        <w:rPr>
          <w:rFonts w:ascii="楷体_GB2312" w:eastAsia="楷体_GB2312" w:cs="Times New Roman" w:hint="eastAsia"/>
          <w:b/>
          <w:sz w:val="32"/>
          <w:szCs w:val="32"/>
          <w:lang w:val="zh-CN"/>
        </w:rPr>
      </w:pPr>
      <w:r>
        <w:rPr>
          <w:rFonts w:ascii="楷体_GB2312" w:eastAsia="楷体_GB2312" w:cs="Times New Roman" w:hint="eastAsia"/>
          <w:b/>
          <w:sz w:val="32"/>
          <w:szCs w:val="32"/>
          <w:lang w:val="zh-CN"/>
        </w:rPr>
        <w:t>（二）项目财务管理情况</w:t>
      </w:r>
    </w:p>
    <w:p>
      <w:pPr>
        <w:pStyle w:val="42"/>
        <w:spacing w:line="560" w:lineRule="exact"/>
        <w:ind w:firstLineChars="200" w:firstLine="640"/>
        <w:rPr>
          <w:rFonts w:ascii="Times New Roman" w:eastAsia="仿宋_GB2312" w:cs="Times New Roman" w:hAnsi="Times New Roman" w:hint="eastAsia"/>
          <w:bCs/>
          <w:sz w:val="32"/>
          <w:szCs w:val="32"/>
          <w:lang w:val="zh-CN"/>
        </w:rPr>
      </w:pPr>
      <w:r>
        <w:rPr>
          <w:rFonts w:ascii="Times New Roman" w:eastAsia="仿宋_GB2312" w:cs="Times New Roman" w:hAnsi="Times New Roman" w:hint="eastAsia"/>
          <w:bCs/>
          <w:sz w:val="32"/>
          <w:szCs w:val="32"/>
          <w:lang w:val="zh-CN"/>
        </w:rPr>
        <w:t>生态护林员资金实行专户管理、专账核算、专款专用，对照项目资金管理办法，评价项目是严格执行财务管理制度、财务处理及时且会计核算规范。</w:t>
      </w:r>
    </w:p>
    <w:p>
      <w:pPr>
        <w:pStyle w:val="42"/>
        <w:adjustRightInd w:val="0"/>
        <w:snapToGrid w:val="0"/>
        <w:spacing w:line="600" w:lineRule="exact"/>
        <w:ind w:firstLine="720"/>
        <w:rPr>
          <w:rFonts w:ascii="楷体_GB2312" w:eastAsia="楷体_GB2312" w:cs="Times New Roman" w:hint="eastAsia"/>
          <w:b/>
          <w:sz w:val="32"/>
          <w:szCs w:val="32"/>
          <w:lang w:val="zh-CN"/>
        </w:rPr>
      </w:pPr>
      <w:r>
        <w:rPr>
          <w:rFonts w:ascii="楷体_GB2312" w:eastAsia="楷体_GB2312" w:cs="Times New Roman" w:hint="eastAsia"/>
          <w:b/>
          <w:sz w:val="32"/>
          <w:szCs w:val="32"/>
          <w:lang w:val="zh-CN"/>
        </w:rPr>
        <w:t>（三）项目组织实施情况</w:t>
      </w: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Times New Roman" w:eastAsia="仿宋_GB2312" w:cs="Times New Roman" w:hAnsi="Times New Roman" w:hint="eastAsia"/>
          <w:bCs/>
          <w:sz w:val="32"/>
          <w:szCs w:val="32"/>
        </w:rPr>
      </w:pPr>
      <w:r>
        <w:rPr>
          <w:rFonts w:ascii="仿宋_GB2312" w:eastAsia="仿宋_GB2312" w:cs="仿宋_GB2312" w:hint="eastAsia"/>
          <w:bCs/>
          <w:sz w:val="32"/>
          <w:szCs w:val="32"/>
          <w:lang w:val="en-US" w:eastAsia="zh-CN"/>
        </w:rPr>
        <w:t>1.</w:t>
      </w:r>
      <w:r>
        <w:rPr>
          <w:rFonts w:ascii="仿宋_GB2312" w:eastAsia="仿宋_GB2312" w:cs="仿宋_GB2312" w:hint="eastAsia"/>
          <w:bCs/>
          <w:sz w:val="32"/>
          <w:szCs w:val="32"/>
        </w:rPr>
        <w:t>因地施策，合理配置岗位。一是结合资源现状，合理分配岗位。根据我县资金情况拟定岗位数量，结合各镇林地资源状况，按比例分配名额，再看是否是重点林区、保护区等地方进行合理调整；二是把握政策，统筹设岗。为实现巩固拓展脱贫攻坚成果同乡村振兴有效衔接，同时加强森林资源管护，做好护林护草防火工作，提升护林员队伍能力建设，我县有的放矢、瞄准靶向，将生态护林（草）员划分为省级护林员和州级护林员：省级护林员全部为符合条件的建档立卡贫困户，州级为同等条件下，建档立卡贫困户、退伍军人、低收入家庭成员优先选聘的人员，贫困户也有非贫困户。目前全县选用贫困户500</w:t>
      </w:r>
      <w:r>
        <w:rPr>
          <w:rFonts w:ascii="仿宋_GB2312" w:eastAsia="仿宋_GB2312" w:cs="仿宋_GB2312" w:hint="eastAsia"/>
          <w:bCs/>
          <w:sz w:val="32"/>
          <w:szCs w:val="32"/>
          <w:lang w:eastAsia="zh-CN"/>
        </w:rPr>
        <w:t>余</w:t>
      </w:r>
      <w:r>
        <w:rPr>
          <w:rFonts w:ascii="仿宋_GB2312" w:eastAsia="仿宋_GB2312" w:cs="仿宋_GB2312" w:hint="eastAsia"/>
          <w:bCs/>
          <w:sz w:val="32"/>
          <w:szCs w:val="32"/>
        </w:rPr>
        <w:t>名（动态数据），非贫困户</w:t>
      </w:r>
      <w:r>
        <w:rPr>
          <w:rFonts w:ascii="仿宋_GB2312" w:eastAsia="仿宋_GB2312" w:cs="仿宋_GB2312" w:hint="eastAsia"/>
          <w:bCs/>
          <w:sz w:val="32"/>
          <w:szCs w:val="32"/>
          <w:lang w:val="en-US" w:eastAsia="zh-CN"/>
        </w:rPr>
        <w:t>300</w:t>
      </w:r>
      <w:r>
        <w:rPr>
          <w:rFonts w:ascii="仿宋_GB2312" w:eastAsia="仿宋_GB2312" w:cs="仿宋_GB2312" w:hint="eastAsia"/>
          <w:bCs/>
          <w:sz w:val="32"/>
          <w:szCs w:val="32"/>
        </w:rPr>
        <w:t>人左右（动态数据）。三是合理配比，确保管护全覆盖。根据</w:t>
      </w:r>
      <w:r>
        <w:rPr>
          <w:rFonts w:ascii="Times New Roman" w:eastAsia="仿宋_GB2312" w:cs="Times New Roman" w:hAnsi="Times New Roman" w:hint="eastAsia"/>
          <w:bCs/>
          <w:sz w:val="32"/>
          <w:szCs w:val="32"/>
        </w:rPr>
        <w:t>全县贫困户分布情况，合理安排各镇护林员中贫困户配比。例如：土门片区贫困户较多，相对省级护林员配比较高；凤仪镇几乎没有贫困户，州级护林员相对配比就高。通过省级、州级护林员合理配比安排，保证我县每个村都有生态护林员开展管护工作，真正实现了管护全覆盖。</w:t>
      </w: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Cs/>
          <w:sz w:val="32"/>
          <w:szCs w:val="32"/>
        </w:rPr>
      </w:pPr>
      <w:r>
        <w:rPr>
          <w:rFonts w:ascii="仿宋_GB2312" w:eastAsia="仿宋_GB2312" w:cs="仿宋_GB2312" w:hint="eastAsia"/>
          <w:bCs/>
          <w:sz w:val="32"/>
          <w:szCs w:val="32"/>
          <w:lang w:val="en-US" w:eastAsia="zh-CN"/>
        </w:rPr>
        <w:t>2..</w:t>
      </w:r>
      <w:r>
        <w:rPr>
          <w:rFonts w:ascii="仿宋_GB2312" w:eastAsia="仿宋_GB2312" w:cs="仿宋_GB2312" w:hint="eastAsia"/>
          <w:bCs/>
          <w:sz w:val="32"/>
          <w:szCs w:val="32"/>
        </w:rPr>
        <w:t>建全管理制度，完善督查机制。2021年森林草原资源管护工作，面临新的挑战和新的任务，对生态林员队伍建设也有更高的要求，我县结合现阶段实际，从生态护林林员选用、管理、考核、监督检查都做了调整。一是结合护林防火相关要求，选用遵纪守法，责任心强，身体健康，能正常履行生态保护职责的生态护林员，不在局限于建档立卡贫困户；同时重新制定下发了《茂县生态护林（草）员管理实施细则》和《茂县生态护林（草）员考核细则》。二是结合工作实际，建立监督检查机制。为有效提高监督检查效率，林草局结合森林草原防火工作的督导包片、蹲点包镇等外业工作开展，通过APP 使用检查、实地抽查、电话抽查、线上线下结合抽查等多样化监督检查方式有效衔接护林员监督检查，提高发现问题效率，并制定了《茂县林业和草原局生态护林（草）员监督检查方案》，形成了闭合式的监督检查机制。</w:t>
      </w:r>
    </w:p>
    <w:p>
      <w:pPr>
        <w:pStyle w:val="42"/>
        <w:spacing w:line="560" w:lineRule="exact"/>
        <w:ind w:firstLineChars="200" w:firstLine="640"/>
        <w:rPr>
          <w:rFonts w:ascii="楷体_GB2312" w:eastAsia="楷体_GB2312" w:cs="Times New Roman" w:hint="eastAsia"/>
          <w:b/>
          <w:sz w:val="32"/>
          <w:szCs w:val="32"/>
          <w:lang w:val="zh-CN"/>
        </w:rPr>
      </w:pPr>
      <w:r>
        <w:rPr>
          <w:rFonts w:ascii="楷体_GB2312" w:eastAsia="楷体_GB2312" w:cs="Times New Roman" w:hint="eastAsia"/>
          <w:b/>
          <w:sz w:val="32"/>
          <w:szCs w:val="32"/>
          <w:lang w:val="zh-CN"/>
        </w:rPr>
        <w:t>（四）点面结合，全面推进APP 使用</w:t>
      </w:r>
    </w:p>
    <w:p>
      <w:pPr>
        <w:pStyle w:val="42"/>
        <w:spacing w:line="560" w:lineRule="exact"/>
        <w:ind w:firstLineChars="200" w:firstLine="640"/>
        <w:rPr>
          <w:rFonts w:ascii="仿宋_GB2312" w:eastAsia="仿宋_GB2312" w:cs="仿宋_GB2312" w:hint="eastAsia"/>
          <w:bCs/>
          <w:sz w:val="32"/>
          <w:szCs w:val="32"/>
          <w:lang w:val="zh-CN"/>
        </w:rPr>
      </w:pPr>
      <w:r>
        <w:rPr>
          <w:rFonts w:ascii="仿宋_GB2312" w:eastAsia="仿宋_GB2312" w:cs="仿宋_GB2312" w:hint="eastAsia"/>
          <w:bCs/>
          <w:sz w:val="32"/>
          <w:szCs w:val="32"/>
        </w:rPr>
        <w:t>熊猫护林员APP 是全省科学管理护林员队伍有效手段，在火情上报、森林巡护等方面有着重要作用。我县高度重视此项工作，采用“点面”结合方式有效推动APP上线推广使用。在开展护林员上岗集中培训时，全面对护林员安装使用进行现场教学，并录制教学视频在各级护林员群中全面宣传；通过查看的上线情况，找出未上线人员，对未上线人员进行针对性的“点对点”督促及教学，最终点对点突破，全面完成护林员APP 推广使用工作，截止目前使用率达到了100%</w:t>
      </w:r>
    </w:p>
    <w:p>
      <w:pPr>
        <w:pStyle w:val="42"/>
        <w:spacing w:line="560" w:lineRule="exact"/>
        <w:ind w:firstLineChars="200" w:firstLine="640"/>
        <w:rPr>
          <w:rFonts w:ascii="黑体" w:eastAsia="黑体" w:cs="黑体" w:hint="eastAsia"/>
          <w:bCs/>
          <w:sz w:val="32"/>
          <w:szCs w:val="32"/>
          <w:lang w:val="zh-CN"/>
        </w:rPr>
      </w:pPr>
      <w:r>
        <w:rPr>
          <w:rFonts w:ascii="黑体" w:eastAsia="黑体" w:cs="黑体" w:hint="eastAsia"/>
          <w:bCs/>
          <w:sz w:val="32"/>
          <w:szCs w:val="32"/>
        </w:rPr>
        <w:t>三、项目绩效情况</w:t>
      </w:r>
      <w:r>
        <w:rPr>
          <w:rFonts w:ascii="黑体" w:eastAsia="黑体" w:cs="黑体" w:hint="eastAsia"/>
          <w:bCs/>
          <w:sz w:val="32"/>
          <w:szCs w:val="32"/>
          <w:lang w:val="zh-CN"/>
        </w:rPr>
        <w:tab/>
      </w:r>
    </w:p>
    <w:p>
      <w:pPr>
        <w:pStyle w:val="42"/>
        <w:spacing w:line="560" w:lineRule="exact"/>
        <w:ind w:firstLineChars="200" w:firstLine="640"/>
        <w:rPr>
          <w:rFonts w:ascii="楷体_GB2312" w:eastAsia="楷体_GB2312" w:cs="Times New Roman" w:hint="eastAsia"/>
          <w:b/>
          <w:sz w:val="32"/>
          <w:szCs w:val="32"/>
          <w:lang w:val="zh-CN"/>
        </w:rPr>
      </w:pPr>
      <w:r>
        <w:rPr>
          <w:rFonts w:ascii="楷体_GB2312" w:eastAsia="楷体_GB2312" w:cs="Times New Roman" w:hint="eastAsia"/>
          <w:b/>
          <w:sz w:val="32"/>
          <w:szCs w:val="32"/>
          <w:lang w:val="zh-CN"/>
        </w:rPr>
        <w:t>（一）项目完成情况</w:t>
      </w:r>
    </w:p>
    <w:p>
      <w:pPr>
        <w:pStyle w:val="42"/>
        <w:spacing w:line="560" w:lineRule="exact"/>
        <w:ind w:firstLineChars="200" w:firstLine="640"/>
        <w:rPr>
          <w:rFonts w:ascii="仿宋_GB2312" w:eastAsia="仿宋_GB2312" w:cs="仿宋_GB2312" w:hint="eastAsia"/>
          <w:bCs/>
          <w:sz w:val="32"/>
          <w:szCs w:val="32"/>
          <w:lang w:val="zh-CN"/>
        </w:rPr>
      </w:pPr>
      <w:r>
        <w:rPr>
          <w:rFonts w:ascii="仿宋_GB2312" w:eastAsia="仿宋_GB2312" w:cs="仿宋_GB2312" w:hint="eastAsia"/>
          <w:bCs/>
          <w:sz w:val="32"/>
          <w:szCs w:val="32"/>
          <w:lang w:eastAsia="zh-CN"/>
        </w:rPr>
        <w:t>截止</w:t>
      </w:r>
      <w:r>
        <w:rPr>
          <w:rFonts w:ascii="仿宋_GB2312" w:eastAsia="仿宋_GB2312" w:cs="仿宋_GB2312" w:hint="eastAsia"/>
          <w:bCs/>
          <w:sz w:val="32"/>
          <w:szCs w:val="32"/>
          <w:lang w:val="en-US" w:eastAsia="zh-CN"/>
        </w:rPr>
        <w:t>2022年1月31日，该年度生态护林员项目已按照相关要求全面完成</w:t>
      </w:r>
      <w:r>
        <w:rPr>
          <w:rFonts w:ascii="仿宋_GB2312" w:eastAsia="仿宋_GB2312" w:cs="仿宋_GB2312" w:hint="eastAsia"/>
          <w:bCs/>
          <w:sz w:val="32"/>
          <w:szCs w:val="32"/>
        </w:rPr>
        <w:t>。</w:t>
      </w:r>
    </w:p>
    <w:p>
      <w:pPr>
        <w:pStyle w:val="42"/>
        <w:adjustRightInd w:val="0"/>
        <w:snapToGrid w:val="0"/>
        <w:spacing w:line="600" w:lineRule="exact"/>
        <w:ind w:firstLine="720"/>
        <w:rPr>
          <w:rFonts w:ascii="楷体_GB2312" w:eastAsia="楷体_GB2312" w:cs="Times New Roman" w:hint="eastAsia"/>
          <w:b/>
          <w:sz w:val="32"/>
          <w:szCs w:val="32"/>
          <w:lang w:val="zh-CN"/>
        </w:rPr>
      </w:pPr>
      <w:r>
        <w:rPr>
          <w:rFonts w:ascii="楷体_GB2312" w:eastAsia="楷体_GB2312" w:cs="Times New Roman" w:hint="eastAsia"/>
          <w:b/>
          <w:sz w:val="32"/>
          <w:szCs w:val="32"/>
          <w:lang w:val="zh-CN"/>
        </w:rPr>
        <w:t>（二）项目效益情况</w:t>
      </w: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Times New Roman" w:hint="eastAsia"/>
          <w:sz w:val="32"/>
          <w:szCs w:val="32"/>
        </w:rPr>
      </w:pPr>
      <w:r>
        <w:rPr>
          <w:rFonts w:ascii="仿宋_GB2312" w:cs="Times New Roman" w:hint="eastAsia"/>
          <w:b/>
          <w:bCs/>
          <w:sz w:val="32"/>
          <w:szCs w:val="32"/>
          <w:lang w:val="en-US" w:eastAsia="zh-CN"/>
        </w:rPr>
        <w:t>1.</w:t>
      </w:r>
      <w:r>
        <w:rPr>
          <w:rFonts w:ascii="仿宋_GB2312" w:eastAsia="仿宋_GB2312" w:cs="Times New Roman" w:hint="eastAsia"/>
          <w:b/>
          <w:bCs/>
          <w:sz w:val="32"/>
          <w:szCs w:val="32"/>
        </w:rPr>
        <w:t>生态保护工作成效显著。</w:t>
      </w:r>
      <w:r>
        <w:rPr>
          <w:rFonts w:ascii="仿宋_GB2312" w:eastAsia="仿宋_GB2312" w:cs="Times New Roman" w:hint="eastAsia"/>
          <w:sz w:val="32"/>
          <w:szCs w:val="32"/>
        </w:rPr>
        <w:t>通过生态</w:t>
      </w:r>
      <w:r>
        <w:rPr>
          <w:rFonts w:ascii="仿宋_GB2312" w:cs="Times New Roman" w:hint="eastAsia"/>
          <w:sz w:val="32"/>
          <w:szCs w:val="32"/>
          <w:lang w:eastAsia="zh-CN"/>
        </w:rPr>
        <w:t>管护员项目</w:t>
      </w:r>
      <w:r>
        <w:rPr>
          <w:rFonts w:ascii="仿宋_GB2312" w:eastAsia="仿宋_GB2312" w:cs="Times New Roman" w:hint="eastAsia"/>
          <w:sz w:val="32"/>
          <w:szCs w:val="32"/>
        </w:rPr>
        <w:t>实施，进一步扩大了护林管护队伍，加强了生态保护建设，林草综合覆盖率逐步提高，森林面积蓄积实现双增长，持续改善和优化生态环境。</w:t>
      </w: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Times New Roman" w:hint="eastAsia"/>
          <w:sz w:val="32"/>
          <w:szCs w:val="32"/>
        </w:rPr>
      </w:pPr>
      <w:r>
        <w:rPr>
          <w:rFonts w:ascii="仿宋_GB2312" w:cs="Times New Roman" w:hint="eastAsia"/>
          <w:b/>
          <w:bCs/>
          <w:sz w:val="32"/>
          <w:szCs w:val="32"/>
          <w:lang w:val="en-US" w:eastAsia="zh-CN"/>
        </w:rPr>
        <w:t>2.</w:t>
      </w:r>
      <w:r>
        <w:rPr>
          <w:rFonts w:ascii="仿宋_GB2312" w:eastAsia="仿宋_GB2312" w:cs="Times New Roman" w:hint="eastAsia"/>
          <w:b/>
          <w:bCs/>
          <w:sz w:val="32"/>
          <w:szCs w:val="32"/>
        </w:rPr>
        <w:t>促进持续增收稳定脱贫。</w:t>
      </w:r>
      <w:r>
        <w:rPr>
          <w:rFonts w:ascii="仿宋_GB2312" w:eastAsia="仿宋_GB2312" w:cs="Times New Roman" w:hint="eastAsia"/>
          <w:sz w:val="32"/>
          <w:szCs w:val="32"/>
        </w:rPr>
        <w:t>按照省州部署，通过开展生态脱贫，稳步建立增收机制，逐步提高每个生态保护建设岗位劳务报酬，2018</w:t>
      </w:r>
      <w:r>
        <w:rPr>
          <w:rFonts w:ascii="仿宋_GB2312" w:cs="Times New Roman" w:hint="eastAsia"/>
          <w:sz w:val="32"/>
          <w:szCs w:val="32"/>
          <w:lang w:val="en-US" w:eastAsia="zh-CN"/>
        </w:rPr>
        <w:t>-2021</w:t>
      </w:r>
      <w:r>
        <w:rPr>
          <w:rFonts w:ascii="仿宋_GB2312" w:eastAsia="仿宋_GB2312" w:cs="Times New Roman" w:hint="eastAsia"/>
          <w:sz w:val="32"/>
          <w:szCs w:val="32"/>
        </w:rPr>
        <w:t>年分别实现6600元</w:t>
      </w:r>
      <w:r>
        <w:rPr>
          <w:rFonts w:ascii="仿宋_GB2312" w:cs="Times New Roman" w:hint="eastAsia"/>
          <w:sz w:val="32"/>
          <w:szCs w:val="32"/>
          <w:lang w:val="en-US" w:eastAsia="zh-CN"/>
        </w:rPr>
        <w:t>-10000</w:t>
      </w:r>
      <w:r>
        <w:rPr>
          <w:rFonts w:ascii="仿宋_GB2312" w:eastAsia="仿宋_GB2312" w:cs="Times New Roman" w:hint="eastAsia"/>
          <w:sz w:val="32"/>
          <w:szCs w:val="32"/>
        </w:rPr>
        <w:t>元的增收目标。贫困户通过参与生态建设获得劳务补助，实现了持续稳定增收。</w:t>
      </w: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Times New Roman" w:hint="eastAsia"/>
          <w:sz w:val="32"/>
          <w:szCs w:val="32"/>
        </w:rPr>
      </w:pPr>
      <w:r>
        <w:rPr>
          <w:rFonts w:ascii="仿宋_GB2312" w:cs="Times New Roman" w:hint="eastAsia"/>
          <w:b/>
          <w:bCs/>
          <w:sz w:val="32"/>
          <w:szCs w:val="32"/>
          <w:lang w:val="en-US" w:eastAsia="zh-CN"/>
        </w:rPr>
        <w:t>3.</w:t>
      </w:r>
      <w:r>
        <w:rPr>
          <w:rFonts w:ascii="仿宋_GB2312" w:eastAsia="仿宋_GB2312" w:cs="Times New Roman" w:hint="eastAsia"/>
          <w:b/>
          <w:bCs/>
          <w:sz w:val="32"/>
          <w:szCs w:val="32"/>
        </w:rPr>
        <w:t>激发了内生动力。</w:t>
      </w:r>
      <w:r>
        <w:rPr>
          <w:rFonts w:ascii="仿宋_GB2312" w:eastAsia="仿宋_GB2312" w:cs="Times New Roman" w:hint="eastAsia"/>
          <w:sz w:val="32"/>
          <w:szCs w:val="32"/>
        </w:rPr>
        <w:t>通过参与行业部门开展针对性的培训，促使参与生态管护、建设的建档立卡贫困人员掌握绿化造林、森林管护的基本方法及安全常识等法律政策和业务知识，获得知识的同时从侧面给予了贫困户脱贫的信心，不断激发贫困群众内生动力，引导贫困群众不等不靠、自力更生，主动参与生态保护建设、持续稳定参与护林工作，依靠勤劳的双手守护绿水青山、实现脱贫增收。</w:t>
      </w:r>
    </w:p>
    <w:p>
      <w:pPr>
        <w:pStyle w:val="42"/>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黑体" w:eastAsia="黑体" w:cs="黑体" w:hint="eastAsia"/>
          <w:bCs/>
          <w:sz w:val="32"/>
          <w:szCs w:val="32"/>
        </w:rPr>
      </w:pPr>
      <w:r>
        <w:rPr>
          <w:rFonts w:ascii="黑体" w:eastAsia="黑体" w:cs="黑体" w:hint="eastAsia"/>
          <w:bCs/>
          <w:sz w:val="32"/>
          <w:szCs w:val="32"/>
        </w:rPr>
        <w:t>四、</w:t>
      </w:r>
      <w:r>
        <w:rPr>
          <w:rFonts w:ascii="黑体" w:eastAsia="黑体" w:cs="黑体" w:hint="eastAsia"/>
          <w:bCs/>
          <w:sz w:val="32"/>
          <w:szCs w:val="32"/>
          <w:lang w:eastAsia="zh-CN"/>
        </w:rPr>
        <w:t>存在</w:t>
      </w:r>
      <w:r>
        <w:rPr>
          <w:rFonts w:ascii="黑体" w:eastAsia="黑体" w:cs="黑体" w:hint="eastAsia"/>
          <w:bCs/>
          <w:sz w:val="32"/>
          <w:szCs w:val="32"/>
        </w:rPr>
        <w:t>问题</w:t>
      </w:r>
    </w:p>
    <w:p>
      <w:pPr>
        <w:pStyle w:val="42"/>
        <w:keepNext w:val="0"/>
        <w:keepLines w:val="0"/>
        <w:pageBreakBefore w:val="0"/>
        <w:widowControl w:val="0"/>
        <w:pBdr>
          <w:bottom w:val="single" w:sz="4" w:space="15" w:color="FFFFFF"/>
        </w:pBdr>
        <w:kinsoku/>
        <w:wordWrap/>
        <w:overflowPunct/>
        <w:topLinePunct w:val="0"/>
        <w:autoSpaceDE/>
        <w:autoSpaceDN/>
        <w:bidi w:val="0"/>
        <w:adjustRightInd/>
        <w:snapToGrid/>
        <w:spacing w:line="560" w:lineRule="exact"/>
        <w:ind w:firstLineChars="200" w:firstLine="640"/>
        <w:textAlignment w:val="auto"/>
        <w:rPr>
          <w:rFonts w:ascii="Times New Roman" w:eastAsia="仿宋_GB2312" w:hAnsi="Times New Roman" w:hint="eastAsia"/>
          <w:bCs/>
          <w:sz w:val="32"/>
          <w:szCs w:val="32"/>
        </w:rPr>
      </w:pPr>
      <w:r>
        <w:rPr>
          <w:rFonts w:ascii="楷体_GB2312" w:eastAsia="楷体_GB2312" w:hint="eastAsia"/>
          <w:b/>
          <w:bCs/>
          <w:sz w:val="32"/>
          <w:szCs w:val="32"/>
        </w:rPr>
        <w:t>（一）资金到位不及时。</w:t>
      </w:r>
      <w:r>
        <w:rPr>
          <w:rFonts w:ascii="Times New Roman" w:eastAsia="仿宋_GB2312" w:hAnsi="Times New Roman" w:hint="eastAsia"/>
          <w:bCs/>
          <w:sz w:val="32"/>
          <w:szCs w:val="32"/>
        </w:rPr>
        <w:t>俗话说“兵未动粮草先行”，每一年生态护林员资金到位都在年后，不利于全县对生态护林员工作安排部署。</w:t>
      </w:r>
    </w:p>
    <w:p>
      <w:pPr>
        <w:pStyle w:val="42"/>
        <w:keepNext w:val="0"/>
        <w:keepLines w:val="0"/>
        <w:pageBreakBefore w:val="0"/>
        <w:widowControl w:val="0"/>
        <w:pBdr>
          <w:bottom w:val="single" w:sz="4" w:space="15" w:color="FFFFFF"/>
        </w:pBdr>
        <w:kinsoku/>
        <w:wordWrap/>
        <w:overflowPunct/>
        <w:topLinePunct w:val="0"/>
        <w:autoSpaceDE/>
        <w:autoSpaceDN/>
        <w:bidi w:val="0"/>
        <w:adjustRightInd/>
        <w:snapToGrid/>
        <w:spacing w:line="560" w:lineRule="exact"/>
        <w:ind w:firstLineChars="200" w:firstLine="640"/>
        <w:textAlignment w:val="auto"/>
        <w:rPr>
          <w:rFonts w:ascii="Times New Roman" w:eastAsia="仿宋_GB2312" w:hAnsi="Times New Roman" w:hint="eastAsia"/>
          <w:bCs/>
          <w:sz w:val="32"/>
          <w:szCs w:val="32"/>
        </w:rPr>
      </w:pPr>
      <w:r>
        <w:rPr>
          <w:rFonts w:ascii="楷体_GB2312" w:eastAsia="楷体_GB2312" w:hint="eastAsia"/>
          <w:b/>
          <w:bCs/>
          <w:sz w:val="32"/>
          <w:szCs w:val="32"/>
        </w:rPr>
        <w:t>（二）护林员工作性质导致可供选用人员有限。</w:t>
      </w:r>
      <w:r>
        <w:rPr>
          <w:rFonts w:ascii="Times New Roman" w:eastAsia="仿宋_GB2312" w:hAnsi="Times New Roman" w:hint="eastAsia"/>
          <w:bCs/>
          <w:sz w:val="32"/>
          <w:szCs w:val="32"/>
        </w:rPr>
        <w:t>生态护林员虽为兼职，但需要护林员长期在家。茂县大部分乡镇中年轻、有文化、有劳动力的人都选择外出务工，长期在家务农的大部分是40-65之间的中老年人，所以护林员文化程度低、年龄大、接受能力差成了无法避免的普遍问题。</w:t>
      </w:r>
    </w:p>
    <w:p>
      <w:pPr>
        <w:pStyle w:val="42"/>
        <w:keepNext w:val="0"/>
        <w:keepLines w:val="0"/>
        <w:pageBreakBefore w:val="0"/>
        <w:widowControl w:val="0"/>
        <w:pBdr>
          <w:bottom w:val="single" w:sz="4" w:space="15" w:color="FFFFFF"/>
        </w:pBdr>
        <w:kinsoku/>
        <w:wordWrap/>
        <w:overflowPunct/>
        <w:topLinePunct w:val="0"/>
        <w:autoSpaceDE/>
        <w:autoSpaceDN/>
        <w:bidi w:val="0"/>
        <w:adjustRightInd/>
        <w:snapToGrid/>
        <w:spacing w:line="560" w:lineRule="exact"/>
        <w:ind w:firstLineChars="200" w:firstLine="640"/>
        <w:textAlignment w:val="auto"/>
        <w:rPr>
          <w:rFonts w:ascii="黑体" w:eastAsia="黑体" w:cs="黑体" w:hint="eastAsia"/>
          <w:bCs/>
          <w:sz w:val="32"/>
          <w:szCs w:val="32"/>
        </w:rPr>
      </w:pPr>
      <w:r>
        <w:rPr>
          <w:rFonts w:ascii="黑体" w:eastAsia="黑体" w:cs="黑体" w:hint="eastAsia"/>
          <w:bCs/>
          <w:sz w:val="32"/>
          <w:szCs w:val="32"/>
          <w:lang w:eastAsia="zh-CN"/>
        </w:rPr>
        <w:t>五</w:t>
      </w:r>
      <w:r>
        <w:rPr>
          <w:rFonts w:ascii="黑体" w:eastAsia="黑体" w:cs="黑体" w:hint="eastAsia"/>
          <w:bCs/>
          <w:sz w:val="32"/>
          <w:szCs w:val="32"/>
        </w:rPr>
        <w:t>、建议</w:t>
      </w:r>
    </w:p>
    <w:p>
      <w:pPr>
        <w:pStyle w:val="42"/>
        <w:keepNext w:val="0"/>
        <w:keepLines w:val="0"/>
        <w:pageBreakBefore w:val="0"/>
        <w:widowControl w:val="0"/>
        <w:pBdr>
          <w:bottom w:val="single" w:sz="4" w:space="15" w:color="FFFFFF"/>
        </w:pBdr>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Cs/>
          <w:sz w:val="32"/>
          <w:szCs w:val="32"/>
        </w:rPr>
      </w:pPr>
      <w:r>
        <w:rPr>
          <w:rFonts w:ascii="仿宋_GB2312" w:eastAsia="仿宋_GB2312" w:cs="仿宋_GB2312" w:hint="eastAsia"/>
          <w:bCs/>
          <w:sz w:val="32"/>
          <w:szCs w:val="32"/>
          <w:lang w:val="en-US" w:eastAsia="zh-CN"/>
        </w:rPr>
        <w:t>1..</w:t>
      </w:r>
      <w:r>
        <w:rPr>
          <w:rFonts w:ascii="仿宋_GB2312" w:eastAsia="仿宋_GB2312" w:cs="仿宋_GB2312" w:hint="eastAsia"/>
          <w:bCs/>
          <w:sz w:val="32"/>
          <w:szCs w:val="32"/>
        </w:rPr>
        <w:t>通过提高工资补助，吸引更多有能力的年轻人参与到护林队伍中来，扩大选用范围。</w:t>
      </w:r>
    </w:p>
    <w:p>
      <w:pPr>
        <w:pStyle w:val="42"/>
        <w:keepNext w:val="0"/>
        <w:keepLines w:val="0"/>
        <w:pageBreakBefore w:val="0"/>
        <w:widowControl w:val="0"/>
        <w:pBdr>
          <w:bottom w:val="single" w:sz="4" w:space="15" w:color="FFFFFF"/>
        </w:pBdr>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Cs/>
          <w:sz w:val="32"/>
          <w:szCs w:val="32"/>
        </w:rPr>
      </w:pPr>
      <w:r>
        <w:rPr>
          <w:rFonts w:ascii="仿宋_GB2312" w:eastAsia="仿宋_GB2312" w:cs="仿宋_GB2312" w:hint="eastAsia"/>
          <w:bCs/>
          <w:sz w:val="32"/>
          <w:szCs w:val="32"/>
          <w:lang w:val="en-US" w:eastAsia="zh-CN"/>
        </w:rPr>
        <w:t>2.</w:t>
      </w:r>
      <w:r>
        <w:rPr>
          <w:rFonts w:ascii="仿宋_GB2312" w:eastAsia="仿宋_GB2312" w:cs="仿宋_GB2312" w:hint="eastAsia"/>
          <w:bCs/>
          <w:sz w:val="32"/>
          <w:szCs w:val="32"/>
        </w:rPr>
        <w:t>生态护林员队伍应该逐步向“队伍职业化、巡护专业化”发展。所谓“兵不在多在于精”，建议通过减少人员同时提高待遇，把护林员从兼职转变为专职，建立一个专业的巡护队伍。这样既便于乡镇管理，又可以提高管护水平，更能适应新形势下的森林草原管护工作。</w:t>
      </w:r>
    </w:p>
    <w:p>
      <w:pPr>
        <w:pStyle w:val="42"/>
        <w:keepNext w:val="0"/>
        <w:keepLines w:val="0"/>
        <w:pageBreakBefore w:val="0"/>
        <w:widowControl w:val="0"/>
        <w:pBdr>
          <w:bottom w:val="single" w:sz="4" w:space="15" w:color="FFFFFF"/>
        </w:pBdr>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Cs/>
          <w:sz w:val="32"/>
          <w:szCs w:val="32"/>
        </w:rPr>
      </w:pPr>
      <w:r>
        <w:rPr>
          <w:rFonts w:ascii="仿宋_GB2312" w:eastAsia="仿宋_GB2312" w:cs="仿宋_GB2312" w:hint="eastAsia"/>
          <w:bCs/>
          <w:sz w:val="32"/>
          <w:szCs w:val="32"/>
          <w:lang w:val="en-US" w:eastAsia="zh-CN"/>
        </w:rPr>
        <w:t>3.</w:t>
      </w:r>
      <w:r>
        <w:rPr>
          <w:rFonts w:ascii="仿宋_GB2312" w:eastAsia="仿宋_GB2312" w:cs="仿宋_GB2312" w:hint="eastAsia"/>
          <w:bCs/>
          <w:sz w:val="32"/>
          <w:szCs w:val="32"/>
        </w:rPr>
        <w:t>熊猫护林员APP 是新形势下应运而生的有效管理手段，无论是在巡护、还是管理方面都大大提高了工作效率，但是就目前来看功能权限太少。建议增加以下功能：一是报警系统增加短信提醒；二是护林员端增加巡护日志、</w:t>
      </w:r>
      <w:r>
        <w:rPr>
          <w:rFonts w:ascii="仿宋_GB2312" w:eastAsia="仿宋_GB2312" w:cs="仿宋_GB2312" w:hint="eastAsia"/>
          <w:bCs/>
          <w:sz w:val="32"/>
          <w:szCs w:val="32"/>
          <w:lang w:eastAsia="zh-CN"/>
        </w:rPr>
        <w:t>护林员位置信息</w:t>
      </w:r>
      <w:r>
        <w:rPr>
          <w:rFonts w:ascii="仿宋_GB2312" w:eastAsia="仿宋_GB2312" w:cs="仿宋_GB2312" w:hint="eastAsia"/>
          <w:bCs/>
          <w:sz w:val="32"/>
          <w:szCs w:val="32"/>
        </w:rPr>
        <w:t>。</w:t>
      </w:r>
    </w:p>
    <w:p>
      <w:pPr>
        <w:pStyle w:val="43"/>
        <w:rPr>
          <w:rFonts w:ascii="Times New Roman" w:eastAsia="仿宋_GB2312" w:hAnsi="Times New Roman" w:hint="eastAsia"/>
          <w:bCs/>
          <w:sz w:val="32"/>
          <w:szCs w:val="32"/>
        </w:rPr>
      </w:pPr>
    </w:p>
    <w:p>
      <w:pPr>
        <w:pStyle w:val="42"/>
        <w:rPr>
          <w:rFonts w:hint="eastAsia"/>
        </w:rPr>
      </w:pPr>
    </w:p>
    <w:p>
      <w:pPr>
        <w:pStyle w:val="42"/>
        <w:spacing w:line="560" w:lineRule="exact"/>
        <w:ind w:firstLineChars="200" w:firstLine="640"/>
        <w:rPr>
          <w:rFonts w:ascii="Times New Roman" w:eastAsia="仿宋_GB2312" w:hAnsi="Times New Roman" w:hint="eastAsia"/>
          <w:bCs/>
          <w:sz w:val="32"/>
          <w:szCs w:val="32"/>
        </w:rPr>
      </w:pPr>
    </w:p>
    <w:p>
      <w:pPr>
        <w:pStyle w:val="40"/>
        <w:spacing w:line="600" w:lineRule="exact"/>
        <w:jc w:val="center"/>
        <w:rPr>
          <w:rFonts w:ascii="仿宋_GB2312" w:eastAsia="仿宋_GB2312"/>
          <w:color w:val="auto"/>
          <w:kern w:val="2"/>
          <w:sz w:val="32"/>
          <w:szCs w:val="32"/>
        </w:rPr>
      </w:pPr>
      <w:r>
        <w:rPr>
          <w:rFonts w:ascii="方正小标宋简体" w:eastAsia="方正小标宋简体" w:hint="eastAsia"/>
          <w:sz w:val="44"/>
          <w:szCs w:val="44"/>
          <w:lang w:val="en-US" w:eastAsia="zh-CN"/>
        </w:rPr>
        <w:t>2021</w:t>
      </w:r>
      <w:r>
        <w:rPr>
          <w:rFonts w:ascii="方正小标宋简体" w:eastAsia="方正小标宋简体" w:hint="eastAsia"/>
          <w:sz w:val="44"/>
          <w:szCs w:val="44"/>
          <w:lang w:val="en-US"/>
        </w:rPr>
        <w:t>年度</w:t>
      </w:r>
      <w:r>
        <w:rPr>
          <w:rFonts w:ascii="方正小标宋简体" w:eastAsia="方正小标宋简体" w:hint="eastAsia"/>
          <w:sz w:val="44"/>
          <w:szCs w:val="44"/>
        </w:rPr>
        <w:t>项目支出绩效自评报告</w:t>
      </w:r>
    </w:p>
    <w:p>
      <w:pPr>
        <w:pStyle w:val="42"/>
        <w:spacing w:line="600" w:lineRule="exact"/>
        <w:jc w:val="center"/>
        <w:rPr>
          <w:rFonts w:ascii="仿宋_GB2312" w:eastAsia="仿宋_GB2312" w:cs="仿宋_GB2312" w:hint="eastAsia"/>
          <w:sz w:val="32"/>
          <w:szCs w:val="32"/>
        </w:rPr>
      </w:pPr>
      <w:r>
        <w:rPr>
          <w:rFonts w:ascii="仿宋_GB2312" w:eastAsia="仿宋_GB2312" w:cs="仿宋_GB2312" w:hint="eastAsia"/>
          <w:sz w:val="32"/>
          <w:szCs w:val="32"/>
        </w:rPr>
        <w:t>（集体和个人所有天然商品林停伐补助项目）</w:t>
      </w:r>
    </w:p>
    <w:p>
      <w:pPr>
        <w:pStyle w:val="40"/>
        <w:spacing w:line="600" w:lineRule="exact"/>
        <w:ind w:firstLine="640"/>
        <w:jc w:val="center"/>
        <w:rPr>
          <w:rFonts w:ascii="宋体"/>
          <w:color w:val="auto"/>
          <w:kern w:val="2"/>
          <w:sz w:val="32"/>
          <w:szCs w:val="32"/>
        </w:rPr>
      </w:pP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黑体" w:eastAsia="黑体" w:cs="黑体" w:hint="eastAsia"/>
          <w:sz w:val="32"/>
          <w:szCs w:val="32"/>
          <w:lang w:val="zh-CN"/>
        </w:rPr>
      </w:pPr>
      <w:r>
        <w:rPr>
          <w:rFonts w:ascii="黑体" w:eastAsia="黑体" w:cs="黑体" w:hint="eastAsia"/>
          <w:sz w:val="32"/>
          <w:szCs w:val="32"/>
        </w:rPr>
        <w:t>一、</w:t>
      </w:r>
      <w:r>
        <w:rPr>
          <w:rFonts w:ascii="黑体" w:eastAsia="黑体" w:cs="黑体" w:hint="eastAsia"/>
          <w:sz w:val="32"/>
          <w:szCs w:val="32"/>
          <w:lang w:val="zh-CN"/>
        </w:rPr>
        <w:t>项目概况</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b/>
          <w:sz w:val="32"/>
          <w:szCs w:val="32"/>
          <w:lang w:val="zh-CN"/>
        </w:rPr>
      </w:pPr>
      <w:r>
        <w:rPr>
          <w:rFonts w:ascii="仿宋_GB2312" w:eastAsia="仿宋_GB2312" w:cs="仿宋_GB2312" w:hint="eastAsia"/>
          <w:b/>
          <w:sz w:val="32"/>
          <w:szCs w:val="32"/>
          <w:lang w:val="zh-CN"/>
        </w:rPr>
        <w:t>（一）项目资金申报及批复情况</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zh-CN"/>
        </w:rPr>
      </w:pPr>
      <w:r>
        <w:rPr>
          <w:rFonts w:ascii="仿宋_GB2312" w:eastAsia="仿宋_GB2312" w:cs="仿宋_GB2312" w:hint="eastAsia"/>
          <w:sz w:val="32"/>
          <w:szCs w:val="32"/>
          <w:lang w:val="zh-CN"/>
        </w:rPr>
        <w:t>根据</w:t>
      </w:r>
      <w:r>
        <w:rPr>
          <w:rFonts w:ascii="仿宋_GB2312" w:eastAsia="仿宋_GB2312" w:cs="仿宋_GB2312" w:hint="eastAsia"/>
          <w:sz w:val="32"/>
          <w:szCs w:val="32"/>
        </w:rPr>
        <w:t>201</w:t>
      </w:r>
      <w:r>
        <w:rPr>
          <w:rFonts w:ascii="仿宋_GB2312" w:eastAsia="仿宋_GB2312" w:cs="仿宋_GB2312" w:hint="eastAsia"/>
          <w:sz w:val="32"/>
          <w:szCs w:val="32"/>
          <w:lang w:val="en-US" w:eastAsia="zh-CN"/>
        </w:rPr>
        <w:t>8</w:t>
      </w:r>
      <w:r>
        <w:rPr>
          <w:rFonts w:ascii="仿宋_GB2312" w:eastAsia="仿宋_GB2312" w:cs="仿宋_GB2312" w:hint="eastAsia"/>
          <w:sz w:val="32"/>
          <w:szCs w:val="32"/>
        </w:rPr>
        <w:t>年林地一张图及《茂县人民政府关于&lt;2018年集体和个人所有天然商品林停伐补助实施方案&gt;的批复》</w:t>
      </w:r>
      <w:r>
        <w:rPr>
          <w:rFonts w:ascii="仿宋_GB2312" w:eastAsia="仿宋_GB2312" w:cs="仿宋_GB2312" w:hint="eastAsia"/>
          <w:sz w:val="32"/>
          <w:szCs w:val="32"/>
          <w:lang w:val="zh-CN"/>
        </w:rPr>
        <w:t>实施，</w:t>
      </w:r>
      <w:r>
        <w:rPr>
          <w:rFonts w:ascii="仿宋_GB2312" w:eastAsia="仿宋_GB2312" w:cs="仿宋_GB2312" w:hint="eastAsia"/>
          <w:sz w:val="32"/>
          <w:szCs w:val="32"/>
        </w:rPr>
        <w:t>20</w:t>
      </w:r>
      <w:r>
        <w:rPr>
          <w:rFonts w:ascii="仿宋_GB2312" w:eastAsia="仿宋_GB2312" w:cs="仿宋_GB2312" w:hint="eastAsia"/>
          <w:sz w:val="32"/>
          <w:szCs w:val="32"/>
          <w:lang w:val="en-US" w:eastAsia="zh-CN"/>
        </w:rPr>
        <w:t>21</w:t>
      </w:r>
      <w:r>
        <w:rPr>
          <w:rFonts w:ascii="仿宋_GB2312" w:eastAsia="仿宋_GB2312" w:cs="仿宋_GB2312" w:hint="eastAsia"/>
          <w:sz w:val="32"/>
          <w:szCs w:val="32"/>
        </w:rPr>
        <w:t>年下达集体和个人所有天然商品林停伐补助资金</w:t>
      </w:r>
      <w:r>
        <w:rPr>
          <w:rFonts w:ascii="仿宋_GB2312" w:eastAsia="仿宋_GB2312" w:cs="仿宋_GB2312" w:hint="eastAsia"/>
          <w:sz w:val="32"/>
          <w:szCs w:val="32"/>
          <w:lang w:val="en-US" w:eastAsia="zh-CN"/>
        </w:rPr>
        <w:t>397.3</w:t>
      </w:r>
      <w:r>
        <w:rPr>
          <w:rFonts w:ascii="仿宋_GB2312" w:eastAsia="仿宋_GB2312" w:cs="仿宋_GB2312" w:hint="eastAsia"/>
          <w:sz w:val="32"/>
          <w:szCs w:val="32"/>
        </w:rPr>
        <w:t>万元，</w:t>
      </w:r>
      <w:r>
        <w:rPr>
          <w:rFonts w:ascii="仿宋_GB2312" w:eastAsia="仿宋_GB2312" w:cs="仿宋_GB2312" w:hint="eastAsia"/>
          <w:sz w:val="32"/>
          <w:szCs w:val="32"/>
          <w:lang w:val="zh-CN"/>
        </w:rPr>
        <w:t>用于</w:t>
      </w:r>
      <w:r>
        <w:rPr>
          <w:rFonts w:ascii="仿宋_GB2312" w:eastAsia="仿宋_GB2312" w:cs="仿宋_GB2312" w:hint="eastAsia"/>
          <w:sz w:val="32"/>
          <w:szCs w:val="32"/>
        </w:rPr>
        <w:t>集体和个人所有天然商品林停伐补助，全部为国家级资金</w:t>
      </w:r>
      <w:r>
        <w:rPr>
          <w:rFonts w:ascii="仿宋_GB2312" w:eastAsia="仿宋_GB2312" w:cs="仿宋_GB2312" w:hint="eastAsia"/>
          <w:sz w:val="32"/>
          <w:szCs w:val="32"/>
          <w:lang w:val="zh-CN"/>
        </w:rPr>
        <w:t>。</w:t>
      </w:r>
    </w:p>
    <w:p>
      <w:pPr>
        <w:pStyle w:val="42"/>
        <w:keepNext w:val="0"/>
        <w:keepLines w:val="0"/>
        <w:pageBreakBefore w:val="0"/>
        <w:widowControl w:val="0"/>
        <w:kinsoku/>
        <w:wordWrap/>
        <w:overflowPunct/>
        <w:topLinePunct w:val="0"/>
        <w:autoSpaceDE/>
        <w:autoSpaceDN/>
        <w:bidi w:val="0"/>
        <w:spacing w:line="560" w:lineRule="exact"/>
        <w:ind w:leftChars="200" w:left="420"/>
        <w:textAlignment w:val="auto"/>
        <w:rPr>
          <w:rFonts w:ascii="仿宋_GB2312" w:eastAsia="仿宋_GB2312" w:cs="仿宋_GB2312" w:hint="eastAsia"/>
          <w:b/>
          <w:sz w:val="32"/>
          <w:szCs w:val="32"/>
          <w:lang w:val="zh-CN"/>
        </w:rPr>
      </w:pPr>
      <w:r>
        <w:rPr>
          <w:rFonts w:ascii="仿宋_GB2312" w:cs="仿宋_GB2312" w:hint="eastAsia"/>
          <w:b/>
          <w:sz w:val="32"/>
          <w:szCs w:val="32"/>
          <w:lang w:val="zh-CN"/>
        </w:rPr>
        <w:t>（二）</w:t>
      </w:r>
      <w:r>
        <w:rPr>
          <w:rFonts w:ascii="仿宋_GB2312" w:eastAsia="仿宋_GB2312" w:cs="仿宋_GB2312" w:hint="eastAsia"/>
          <w:b/>
          <w:sz w:val="32"/>
          <w:szCs w:val="32"/>
          <w:lang w:val="zh-CN"/>
        </w:rPr>
        <w:t>项目绩效目标</w:t>
      </w:r>
    </w:p>
    <w:p>
      <w:pPr>
        <w:pStyle w:val="42"/>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为了全面停止天然林商业性采伐，切实加强天然林资源保护，维护林权权利人合法权益，我们在与林权权利人签订停伐补助协议同时，严格依照停伐补助协议约定的管护内容对管护成效进行考核验收，并将考核验收结果作为补助资金兑现依据。</w:t>
      </w:r>
      <w:r>
        <w:rPr>
          <w:rFonts w:ascii="仿宋_GB2312" w:eastAsia="仿宋_GB2312" w:cs="仿宋_GB2312" w:hint="eastAsia"/>
          <w:sz w:val="32"/>
          <w:szCs w:val="32"/>
          <w:lang w:val="en-US" w:eastAsia="zh-CN"/>
        </w:rPr>
        <w:t>2021</w:t>
      </w:r>
      <w:r>
        <w:rPr>
          <w:rFonts w:ascii="仿宋_GB2312" w:eastAsia="仿宋_GB2312" w:cs="仿宋_GB2312" w:hint="eastAsia"/>
          <w:sz w:val="32"/>
          <w:szCs w:val="32"/>
        </w:rPr>
        <w:t>年集体和个人所有天然商品林停伐补助标准调整为</w:t>
      </w:r>
      <w:r>
        <w:rPr>
          <w:rFonts w:ascii="仿宋_GB2312" w:eastAsia="仿宋_GB2312" w:cs="仿宋_GB2312" w:hint="eastAsia"/>
          <w:sz w:val="32"/>
          <w:szCs w:val="32"/>
          <w:lang w:val="en-US" w:eastAsia="zh-CN"/>
        </w:rPr>
        <w:t>15.1644</w:t>
      </w:r>
      <w:r>
        <w:rPr>
          <w:rFonts w:ascii="仿宋_GB2312" w:eastAsia="仿宋_GB2312" w:cs="仿宋_GB2312" w:hint="eastAsia"/>
          <w:sz w:val="32"/>
          <w:szCs w:val="32"/>
        </w:rPr>
        <w:t>元/亩，全县集体公益林总面积为</w:t>
      </w:r>
      <w:r>
        <w:rPr>
          <w:rFonts w:ascii="仿宋_GB2312" w:eastAsia="仿宋_GB2312" w:cs="仿宋_GB2312" w:hint="eastAsia"/>
          <w:sz w:val="32"/>
          <w:szCs w:val="32"/>
          <w:lang w:val="en-US" w:eastAsia="zh-CN"/>
        </w:rPr>
        <w:t>26.1994</w:t>
      </w:r>
      <w:r>
        <w:rPr>
          <w:rFonts w:ascii="仿宋_GB2312" w:eastAsia="仿宋_GB2312" w:cs="仿宋_GB2312" w:hint="eastAsia"/>
          <w:sz w:val="32"/>
          <w:szCs w:val="32"/>
        </w:rPr>
        <w:t>万亩，补助资金</w:t>
      </w:r>
      <w:r>
        <w:rPr>
          <w:rFonts w:ascii="仿宋_GB2312" w:eastAsia="仿宋_GB2312" w:cs="仿宋_GB2312" w:hint="eastAsia"/>
          <w:sz w:val="32"/>
          <w:szCs w:val="32"/>
          <w:lang w:val="en-US" w:eastAsia="zh-CN"/>
        </w:rPr>
        <w:t>397.3</w:t>
      </w:r>
      <w:r>
        <w:rPr>
          <w:rFonts w:ascii="仿宋_GB2312" w:eastAsia="仿宋_GB2312" w:cs="仿宋_GB2312" w:hint="eastAsia"/>
          <w:sz w:val="32"/>
          <w:szCs w:val="32"/>
        </w:rPr>
        <w:t>万元，涉及</w:t>
      </w:r>
      <w:r>
        <w:rPr>
          <w:rFonts w:ascii="仿宋_GB2312" w:eastAsia="仿宋_GB2312" w:cs="仿宋_GB2312" w:hint="eastAsia"/>
          <w:sz w:val="32"/>
          <w:szCs w:val="32"/>
          <w:lang w:val="en-US" w:eastAsia="zh-CN"/>
        </w:rPr>
        <w:t>11</w:t>
      </w:r>
      <w:r>
        <w:rPr>
          <w:rFonts w:ascii="仿宋_GB2312" w:eastAsia="仿宋_GB2312" w:cs="仿宋_GB2312" w:hint="eastAsia"/>
          <w:sz w:val="32"/>
          <w:szCs w:val="32"/>
        </w:rPr>
        <w:t>个镇，</w:t>
      </w:r>
      <w:r>
        <w:rPr>
          <w:rFonts w:ascii="仿宋_GB2312" w:eastAsia="仿宋_GB2312" w:cs="仿宋_GB2312" w:hint="eastAsia"/>
          <w:sz w:val="32"/>
          <w:szCs w:val="32"/>
          <w:lang w:val="en-US" w:eastAsia="zh-CN"/>
        </w:rPr>
        <w:t>69</w:t>
      </w:r>
      <w:r>
        <w:rPr>
          <w:rFonts w:ascii="仿宋_GB2312" w:eastAsia="仿宋_GB2312" w:cs="仿宋_GB2312" w:hint="eastAsia"/>
          <w:sz w:val="32"/>
          <w:szCs w:val="32"/>
        </w:rPr>
        <w:t>个村，农户1.7万余户，受益人口5万余人。《茂县</w:t>
      </w:r>
      <w:r>
        <w:rPr>
          <w:rFonts w:ascii="仿宋_GB2312" w:eastAsia="仿宋_GB2312" w:cs="仿宋_GB2312" w:hint="eastAsia"/>
          <w:sz w:val="32"/>
          <w:szCs w:val="32"/>
          <w:lang w:val="en-US" w:eastAsia="zh-CN"/>
        </w:rPr>
        <w:t>2021</w:t>
      </w:r>
      <w:r>
        <w:rPr>
          <w:rFonts w:ascii="仿宋_GB2312" w:eastAsia="仿宋_GB2312" w:cs="仿宋_GB2312" w:hint="eastAsia"/>
          <w:sz w:val="32"/>
          <w:szCs w:val="32"/>
        </w:rPr>
        <w:t>年集体公益林生态效益偿基金和商品林停伐补助兑现方案》计划实施。</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黑体" w:eastAsia="黑体" w:cs="黑体" w:hint="eastAsia"/>
          <w:sz w:val="32"/>
          <w:szCs w:val="32"/>
        </w:rPr>
      </w:pPr>
      <w:r>
        <w:rPr>
          <w:rFonts w:ascii="黑体" w:eastAsia="黑体" w:cs="黑体" w:hint="eastAsia"/>
          <w:sz w:val="32"/>
          <w:szCs w:val="32"/>
        </w:rPr>
        <w:t>二、项目实施及管理情况</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b/>
          <w:sz w:val="32"/>
          <w:szCs w:val="32"/>
          <w:lang w:val="zh-CN"/>
        </w:rPr>
      </w:pPr>
      <w:r>
        <w:rPr>
          <w:rFonts w:ascii="仿宋_GB2312" w:eastAsia="仿宋_GB2312" w:cs="仿宋_GB2312" w:hint="eastAsia"/>
          <w:sz w:val="32"/>
          <w:szCs w:val="32"/>
          <w:lang w:val="zh-CN"/>
        </w:rPr>
        <w:tab/>
      </w:r>
      <w:r>
        <w:rPr>
          <w:rFonts w:ascii="仿宋_GB2312" w:eastAsia="仿宋_GB2312" w:cs="仿宋_GB2312" w:hint="eastAsia"/>
          <w:b/>
          <w:sz w:val="32"/>
          <w:szCs w:val="32"/>
          <w:lang w:val="zh-CN"/>
        </w:rPr>
        <w:t>（一）资金计划、到位及使用情况</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zh-CN"/>
        </w:rPr>
      </w:pPr>
      <w:r>
        <w:rPr>
          <w:rFonts w:ascii="仿宋_GB2312" w:eastAsia="仿宋_GB2312" w:cs="仿宋_GB2312" w:hint="eastAsia"/>
          <w:sz w:val="32"/>
          <w:szCs w:val="32"/>
          <w:lang w:val="zh-CN"/>
        </w:rPr>
        <w:t>1．资金计划及到位。</w:t>
      </w:r>
      <w:r>
        <w:rPr>
          <w:rFonts w:ascii="仿宋_GB2312" w:eastAsia="仿宋_GB2312" w:cs="仿宋_GB2312" w:hint="eastAsia"/>
          <w:sz w:val="32"/>
          <w:szCs w:val="32"/>
          <w:lang w:val="en-US" w:eastAsia="zh-CN"/>
        </w:rPr>
        <w:t>2021</w:t>
      </w:r>
      <w:r>
        <w:rPr>
          <w:rFonts w:ascii="仿宋_GB2312" w:eastAsia="仿宋_GB2312" w:cs="仿宋_GB2312" w:hint="eastAsia"/>
          <w:sz w:val="32"/>
          <w:szCs w:val="32"/>
        </w:rPr>
        <w:t>年度集体和个人所有天然商品林停伐补助项目</w:t>
      </w:r>
      <w:r>
        <w:rPr>
          <w:rFonts w:ascii="仿宋_GB2312" w:eastAsia="仿宋_GB2312" w:cs="仿宋_GB2312" w:hint="eastAsia"/>
          <w:sz w:val="32"/>
          <w:szCs w:val="32"/>
          <w:lang w:val="zh-CN"/>
        </w:rPr>
        <w:t>资金计划为</w:t>
      </w:r>
      <w:r>
        <w:rPr>
          <w:rFonts w:ascii="仿宋_GB2312" w:eastAsia="仿宋_GB2312" w:cs="仿宋_GB2312" w:hint="eastAsia"/>
          <w:sz w:val="32"/>
          <w:szCs w:val="32"/>
          <w:lang w:val="en-US" w:eastAsia="zh-CN"/>
        </w:rPr>
        <w:t>397.3</w:t>
      </w:r>
      <w:r>
        <w:rPr>
          <w:rFonts w:ascii="仿宋_GB2312" w:eastAsia="仿宋_GB2312" w:cs="仿宋_GB2312" w:hint="eastAsia"/>
          <w:sz w:val="32"/>
          <w:szCs w:val="32"/>
        </w:rPr>
        <w:t>万元，</w:t>
      </w:r>
      <w:r>
        <w:rPr>
          <w:rFonts w:ascii="仿宋_GB2312" w:eastAsia="仿宋_GB2312" w:cs="仿宋_GB2312" w:hint="eastAsia"/>
          <w:sz w:val="32"/>
          <w:szCs w:val="32"/>
          <w:lang w:val="zh-CN"/>
        </w:rPr>
        <w:t>截止评价时点实际到位</w:t>
      </w:r>
      <w:r>
        <w:rPr>
          <w:rFonts w:ascii="仿宋_GB2312" w:eastAsia="仿宋_GB2312" w:cs="仿宋_GB2312" w:hint="eastAsia"/>
          <w:sz w:val="32"/>
          <w:szCs w:val="32"/>
          <w:lang w:val="en-US" w:eastAsia="zh-CN"/>
        </w:rPr>
        <w:t>397.3</w:t>
      </w:r>
      <w:r>
        <w:rPr>
          <w:rFonts w:ascii="仿宋_GB2312" w:eastAsia="仿宋_GB2312" w:cs="仿宋_GB2312" w:hint="eastAsia"/>
          <w:sz w:val="32"/>
          <w:szCs w:val="32"/>
        </w:rPr>
        <w:t>万元</w:t>
      </w:r>
      <w:r>
        <w:rPr>
          <w:rFonts w:ascii="仿宋_GB2312" w:eastAsia="仿宋_GB2312" w:cs="仿宋_GB2312" w:hint="eastAsia"/>
          <w:sz w:val="32"/>
          <w:szCs w:val="32"/>
          <w:lang w:val="zh-CN"/>
        </w:rPr>
        <w:t>，全部为中央财政资金。就资金到位情况与资金计划比较后资金到位率为</w:t>
      </w:r>
      <w:r>
        <w:rPr>
          <w:rFonts w:ascii="仿宋_GB2312" w:eastAsia="仿宋_GB2312" w:cs="仿宋_GB2312" w:hint="eastAsia"/>
          <w:sz w:val="32"/>
          <w:szCs w:val="32"/>
        </w:rPr>
        <w:t>100%</w:t>
      </w:r>
      <w:r>
        <w:rPr>
          <w:rFonts w:ascii="仿宋_GB2312" w:eastAsia="仿宋_GB2312" w:cs="仿宋_GB2312" w:hint="eastAsia"/>
          <w:sz w:val="32"/>
          <w:szCs w:val="32"/>
          <w:lang w:val="zh-CN"/>
        </w:rPr>
        <w:t>，且到位及时。</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zh-CN"/>
        </w:rPr>
      </w:pPr>
      <w:r>
        <w:rPr>
          <w:rFonts w:ascii="仿宋_GB2312" w:eastAsia="仿宋_GB2312" w:cs="仿宋_GB2312" w:hint="eastAsia"/>
          <w:sz w:val="32"/>
          <w:szCs w:val="32"/>
          <w:lang w:val="zh-CN"/>
        </w:rPr>
        <w:t>2．资金使用。截止目前项目资金的实际支出397.298176</w:t>
      </w:r>
      <w:r>
        <w:rPr>
          <w:rFonts w:ascii="仿宋_GB2312" w:eastAsia="仿宋_GB2312" w:cs="仿宋_GB2312" w:hint="eastAsia"/>
          <w:sz w:val="32"/>
          <w:szCs w:val="32"/>
        </w:rPr>
        <w:t>万元</w:t>
      </w:r>
      <w:r>
        <w:rPr>
          <w:rFonts w:ascii="仿宋_GB2312" w:eastAsia="仿宋_GB2312" w:cs="仿宋_GB2312" w:hint="eastAsia"/>
          <w:sz w:val="32"/>
          <w:szCs w:val="32"/>
          <w:lang w:val="zh-CN"/>
        </w:rPr>
        <w:t>，资金开支用于兑现</w:t>
      </w:r>
      <w:r>
        <w:rPr>
          <w:rFonts w:ascii="仿宋_GB2312" w:eastAsia="仿宋_GB2312" w:cs="仿宋_GB2312" w:hint="eastAsia"/>
          <w:sz w:val="32"/>
          <w:szCs w:val="32"/>
        </w:rPr>
        <w:t>集体和个人所有天然商品林停伐补助，补助标准为,</w:t>
      </w:r>
      <w:r>
        <w:rPr>
          <w:rFonts w:ascii="仿宋_GB2312" w:eastAsia="仿宋_GB2312" w:cs="仿宋_GB2312" w:hint="eastAsia"/>
          <w:sz w:val="32"/>
          <w:szCs w:val="32"/>
          <w:lang w:val="en-US" w:eastAsia="zh-CN"/>
        </w:rPr>
        <w:t>15.1644</w:t>
      </w:r>
      <w:r>
        <w:rPr>
          <w:rFonts w:ascii="仿宋_GB2312" w:eastAsia="仿宋_GB2312" w:cs="仿宋_GB2312" w:hint="eastAsia"/>
          <w:sz w:val="32"/>
          <w:szCs w:val="32"/>
        </w:rPr>
        <w:t>元/亩，</w:t>
      </w:r>
      <w:r>
        <w:rPr>
          <w:rFonts w:ascii="仿宋_GB2312" w:eastAsia="仿宋_GB2312" w:cs="仿宋_GB2312" w:hint="eastAsia"/>
          <w:sz w:val="32"/>
          <w:szCs w:val="32"/>
          <w:lang w:val="zh-CN"/>
        </w:rPr>
        <w:t>支付进度</w:t>
      </w:r>
      <w:r>
        <w:rPr>
          <w:rFonts w:ascii="仿宋_GB2312" w:eastAsia="仿宋_GB2312" w:cs="仿宋_GB2312" w:hint="eastAsia"/>
          <w:sz w:val="32"/>
          <w:szCs w:val="32"/>
        </w:rPr>
        <w:t>100%。</w:t>
      </w:r>
      <w:r>
        <w:rPr>
          <w:rFonts w:ascii="仿宋_GB2312" w:eastAsia="仿宋_GB2312" w:cs="仿宋_GB2312" w:hint="eastAsia"/>
          <w:sz w:val="32"/>
          <w:szCs w:val="32"/>
          <w:lang w:val="zh-CN"/>
        </w:rPr>
        <w:t>支付依据根据财务要求合规合法，资金支付与预算相符，并对相关问题进行了说明。</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b/>
          <w:sz w:val="32"/>
          <w:szCs w:val="32"/>
          <w:lang w:val="zh-CN"/>
        </w:rPr>
      </w:pPr>
      <w:r>
        <w:rPr>
          <w:rFonts w:ascii="仿宋_GB2312" w:eastAsia="仿宋_GB2312" w:cs="仿宋_GB2312" w:hint="eastAsia"/>
          <w:b/>
          <w:sz w:val="32"/>
          <w:szCs w:val="32"/>
          <w:lang w:val="zh-CN"/>
        </w:rPr>
        <w:t>（二）项目财务管理情况</w:t>
      </w:r>
    </w:p>
    <w:p>
      <w:pPr>
        <w:pStyle w:val="42"/>
        <w:spacing w:line="560" w:lineRule="exact"/>
        <w:ind w:firstLineChars="200" w:firstLine="640"/>
        <w:rPr>
          <w:rFonts w:ascii="仿宋_GB2312" w:eastAsia="仿宋_GB2312" w:cs="仿宋_GB2312" w:hint="eastAsia"/>
          <w:sz w:val="32"/>
          <w:szCs w:val="32"/>
          <w:lang w:val="zh-CN"/>
        </w:rPr>
      </w:pPr>
      <w:r>
        <w:rPr>
          <w:rFonts w:ascii="仿宋_GB2312" w:eastAsia="仿宋_GB2312" w:cs="仿宋_GB2312" w:hint="eastAsia"/>
          <w:sz w:val="32"/>
          <w:szCs w:val="32"/>
        </w:rPr>
        <w:t>集体和个人所有天然商品林停伐补助</w:t>
      </w:r>
      <w:r>
        <w:rPr>
          <w:rFonts w:ascii="仿宋_GB2312" w:eastAsia="仿宋_GB2312" w:cs="仿宋_GB2312" w:hint="eastAsia"/>
          <w:sz w:val="32"/>
          <w:szCs w:val="32"/>
          <w:lang w:val="zh-CN"/>
        </w:rPr>
        <w:t>实行专户管理、专账核算、专款专用，对照项目资金管理办法，评价项目是严格执行财务管理制度、财务处理及时且会计核算规范。</w:t>
      </w:r>
    </w:p>
    <w:p>
      <w:pPr>
        <w:pStyle w:val="42"/>
        <w:adjustRightInd w:val="0"/>
        <w:snapToGrid w:val="0"/>
        <w:spacing w:line="600" w:lineRule="exact"/>
        <w:ind w:firstLine="720"/>
        <w:rPr>
          <w:rFonts w:ascii="仿宋_GB2312" w:eastAsia="仿宋_GB2312" w:cs="仿宋_GB2312" w:hint="eastAsia"/>
          <w:b/>
          <w:sz w:val="32"/>
          <w:szCs w:val="32"/>
          <w:lang w:val="zh-CN"/>
        </w:rPr>
      </w:pPr>
      <w:r>
        <w:rPr>
          <w:rFonts w:ascii="仿宋_GB2312" w:eastAsia="仿宋_GB2312" w:cs="仿宋_GB2312" w:hint="eastAsia"/>
          <w:b/>
          <w:sz w:val="32"/>
          <w:szCs w:val="32"/>
          <w:lang w:val="zh-CN"/>
        </w:rPr>
        <w:t>（三）项目组织实施情况</w:t>
      </w:r>
    </w:p>
    <w:p>
      <w:pPr>
        <w:pStyle w:val="42"/>
        <w:ind w:firstLineChars="200" w:firstLine="640"/>
        <w:rPr>
          <w:rFonts w:ascii="仿宋_GB2312" w:eastAsia="仿宋_GB2312" w:cs="仿宋_GB2312" w:hint="eastAsia"/>
          <w:sz w:val="32"/>
          <w:szCs w:val="32"/>
          <w:lang w:eastAsia="zh-CN"/>
        </w:rPr>
      </w:pPr>
      <w:r>
        <w:rPr>
          <w:rFonts w:ascii="仿宋_GB2312" w:eastAsia="仿宋_GB2312" w:cs="仿宋_GB2312" w:hint="eastAsia"/>
          <w:sz w:val="32"/>
          <w:szCs w:val="32"/>
        </w:rPr>
        <w:t>2019年兑现我县集体和个人所有天然商品林停伐补助总面积为18.7004万亩，全县资金兑现涉及涉及</w:t>
      </w:r>
      <w:r>
        <w:rPr>
          <w:rFonts w:ascii="仿宋_GB2312" w:eastAsia="仿宋_GB2312" w:cs="仿宋_GB2312" w:hint="eastAsia"/>
          <w:sz w:val="32"/>
          <w:szCs w:val="32"/>
          <w:lang w:val="en-US" w:eastAsia="zh-CN"/>
        </w:rPr>
        <w:t>11</w:t>
      </w:r>
      <w:r>
        <w:rPr>
          <w:rFonts w:ascii="仿宋_GB2312" w:eastAsia="仿宋_GB2312" w:cs="仿宋_GB2312" w:hint="eastAsia"/>
          <w:sz w:val="32"/>
          <w:szCs w:val="32"/>
        </w:rPr>
        <w:t>个镇，</w:t>
      </w:r>
      <w:r>
        <w:rPr>
          <w:rFonts w:ascii="仿宋_GB2312" w:eastAsia="仿宋_GB2312" w:cs="仿宋_GB2312" w:hint="eastAsia"/>
          <w:sz w:val="32"/>
          <w:szCs w:val="32"/>
          <w:lang w:val="en-US" w:eastAsia="zh-CN"/>
        </w:rPr>
        <w:t>69</w:t>
      </w:r>
      <w:r>
        <w:rPr>
          <w:rFonts w:ascii="仿宋_GB2312" w:eastAsia="仿宋_GB2312" w:cs="仿宋_GB2312" w:hint="eastAsia"/>
          <w:sz w:val="32"/>
          <w:szCs w:val="32"/>
        </w:rPr>
        <w:t>个村，农户1.7万余户，受益人口5万余人</w:t>
      </w:r>
      <w:r>
        <w:rPr>
          <w:rFonts w:ascii="仿宋_GB2312" w:eastAsia="仿宋_GB2312" w:cs="仿宋_GB2312" w:hint="eastAsia"/>
          <w:sz w:val="32"/>
          <w:szCs w:val="32"/>
          <w:lang w:eastAsia="zh-CN"/>
        </w:rPr>
        <w:t>。</w:t>
      </w:r>
    </w:p>
    <w:p>
      <w:pPr>
        <w:pStyle w:val="42"/>
        <w:ind w:firstLineChars="200" w:firstLine="640"/>
        <w:jc w:val="left"/>
        <w:rPr>
          <w:rFonts w:ascii="仿宋_GB2312" w:eastAsia="仿宋_GB2312" w:cs="仿宋_GB2312" w:hint="eastAsia"/>
          <w:sz w:val="32"/>
          <w:szCs w:val="32"/>
        </w:rPr>
      </w:pPr>
      <w:r>
        <w:rPr>
          <w:rFonts w:ascii="仿宋_GB2312" w:eastAsia="仿宋_GB2312" w:cs="仿宋_GB2312" w:hint="eastAsia"/>
          <w:b/>
          <w:bCs/>
          <w:sz w:val="32"/>
          <w:szCs w:val="32"/>
        </w:rPr>
        <w:t>1.建立和完善管护机制。</w:t>
      </w:r>
      <w:r>
        <w:rPr>
          <w:rFonts w:ascii="仿宋_GB2312" w:eastAsia="仿宋_GB2312" w:cs="仿宋_GB2312" w:hint="eastAsia"/>
          <w:sz w:val="32"/>
          <w:szCs w:val="32"/>
        </w:rPr>
        <w:t>制定了《茂县集体林管护制度》、《茂县集体林管护人员考核办法》；各乡镇成立集体林管护机构领导小组，制定了集体林管护制度、明确了管护职责。</w:t>
      </w:r>
    </w:p>
    <w:p>
      <w:pPr>
        <w:pStyle w:val="42"/>
        <w:ind w:firstLineChars="200" w:firstLine="640"/>
        <w:jc w:val="left"/>
        <w:rPr>
          <w:rFonts w:ascii="仿宋_GB2312" w:eastAsia="仿宋_GB2312" w:cs="仿宋_GB2312" w:hint="eastAsia"/>
          <w:sz w:val="32"/>
          <w:szCs w:val="32"/>
        </w:rPr>
      </w:pPr>
      <w:r>
        <w:rPr>
          <w:rFonts w:ascii="仿宋_GB2312" w:eastAsia="仿宋_GB2312" w:cs="仿宋_GB2312" w:hint="eastAsia"/>
          <w:b/>
          <w:bCs/>
          <w:sz w:val="32"/>
          <w:szCs w:val="32"/>
        </w:rPr>
        <w:t>2.落实责任。</w:t>
      </w:r>
      <w:r>
        <w:rPr>
          <w:rFonts w:ascii="仿宋_GB2312" w:eastAsia="仿宋_GB2312" w:cs="仿宋_GB2312" w:hint="eastAsia"/>
          <w:sz w:val="32"/>
          <w:szCs w:val="32"/>
        </w:rPr>
        <w:t>我县根据上级要求与工作部署，结合各乡镇实际，认真贯彻执行四川省财政厅  四川省林业厅《关于进一步加强集体公益林生态效益补偿政策落实兑现工作的意见》川财农〔2015〕216号、《阿坝州森林资源保护管理办法》阿州林发〔2013〕178号的相关要求，使我县的森林资源管护和资金兑现工作得以有章可循，规范运作。一是签订目标责任书：林业主管部门与乡镇签订目标责任书，乡镇与行政村签订目标责任书；二是签订管护协议：行政村与本村所聘用的集体林管护人员签订集体林管护协议。三是绘制管护图：以乡镇为单位绘制了集体林管护图，将管护区域落实到人头。四是建立考核聘用机制：各乡镇对自辖区内的集体林管护人员进行年终考核，主要考核管护人员的政治思想表现及工作业绩，对考核合格的予以续聘，不合格的予以辞退。</w:t>
      </w:r>
    </w:p>
    <w:p>
      <w:pPr>
        <w:pStyle w:val="42"/>
        <w:ind w:firstLineChars="200" w:firstLine="640"/>
        <w:jc w:val="left"/>
        <w:rPr>
          <w:rFonts w:ascii="仿宋_GB2312" w:eastAsia="仿宋_GB2312" w:cs="仿宋_GB2312" w:hint="eastAsia"/>
          <w:sz w:val="32"/>
          <w:szCs w:val="32"/>
        </w:rPr>
      </w:pPr>
      <w:r>
        <w:rPr>
          <w:rFonts w:ascii="仿宋_GB2312" w:eastAsia="仿宋_GB2312" w:cs="仿宋_GB2312" w:hint="eastAsia"/>
          <w:b/>
          <w:bCs/>
          <w:sz w:val="32"/>
          <w:szCs w:val="32"/>
        </w:rPr>
        <w:t>3.制定兑现方案，落实兑现工作。</w:t>
      </w:r>
      <w:r>
        <w:rPr>
          <w:rFonts w:ascii="仿宋_GB2312" w:eastAsia="仿宋_GB2312" w:cs="仿宋_GB2312" w:hint="eastAsia"/>
          <w:sz w:val="32"/>
          <w:szCs w:val="32"/>
        </w:rPr>
        <w:t>为全面落实森林生态效益补偿资金兑现工作，制定了《茂县</w:t>
      </w:r>
      <w:r>
        <w:rPr>
          <w:rFonts w:ascii="仿宋_GB2312" w:eastAsia="仿宋_GB2312" w:cs="仿宋_GB2312" w:hint="eastAsia"/>
          <w:sz w:val="32"/>
          <w:szCs w:val="32"/>
          <w:lang w:val="en-US" w:eastAsia="zh-CN"/>
        </w:rPr>
        <w:t>2021</w:t>
      </w:r>
      <w:r>
        <w:rPr>
          <w:rFonts w:ascii="仿宋_GB2312" w:eastAsia="仿宋_GB2312" w:cs="仿宋_GB2312" w:hint="eastAsia"/>
          <w:sz w:val="32"/>
          <w:szCs w:val="32"/>
        </w:rPr>
        <w:t>年集体公益林生态效益偿基金和商品林停伐补助兑现方案》明确了补偿范围、补偿标准、资金用途以及资金拨付程序。</w:t>
      </w:r>
    </w:p>
    <w:p>
      <w:pPr>
        <w:pStyle w:val="42"/>
        <w:adjustRightInd w:val="0"/>
        <w:snapToGrid w:val="0"/>
        <w:spacing w:line="600" w:lineRule="exact"/>
        <w:ind w:firstLine="720"/>
        <w:rPr>
          <w:rFonts w:ascii="黑体" w:eastAsia="黑体" w:cs="黑体" w:hint="eastAsia"/>
          <w:sz w:val="32"/>
          <w:szCs w:val="32"/>
          <w:lang w:val="zh-CN"/>
        </w:rPr>
      </w:pPr>
      <w:r>
        <w:rPr>
          <w:rFonts w:ascii="黑体" w:eastAsia="黑体" w:cs="黑体" w:hint="eastAsia"/>
          <w:sz w:val="32"/>
          <w:szCs w:val="32"/>
        </w:rPr>
        <w:t>三、项目绩效情况</w:t>
      </w:r>
      <w:r>
        <w:rPr>
          <w:rFonts w:ascii="黑体" w:eastAsia="黑体" w:cs="黑体" w:hint="eastAsia"/>
          <w:sz w:val="32"/>
          <w:szCs w:val="32"/>
          <w:lang w:val="zh-CN"/>
        </w:rPr>
        <w:tab/>
      </w:r>
    </w:p>
    <w:p>
      <w:pPr>
        <w:pStyle w:val="42"/>
        <w:adjustRightInd w:val="0"/>
        <w:snapToGrid w:val="0"/>
        <w:spacing w:line="600" w:lineRule="exact"/>
        <w:ind w:firstLine="720"/>
        <w:rPr>
          <w:rFonts w:ascii="仿宋_GB2312" w:eastAsia="仿宋_GB2312" w:cs="仿宋_GB2312" w:hint="eastAsia"/>
          <w:b/>
          <w:sz w:val="32"/>
          <w:szCs w:val="32"/>
          <w:lang w:val="zh-CN"/>
        </w:rPr>
      </w:pPr>
      <w:r>
        <w:rPr>
          <w:rFonts w:ascii="仿宋_GB2312" w:eastAsia="仿宋_GB2312" w:cs="仿宋_GB2312" w:hint="eastAsia"/>
          <w:b/>
          <w:sz w:val="32"/>
          <w:szCs w:val="32"/>
          <w:lang w:val="zh-CN"/>
        </w:rPr>
        <w:t>（一）项目完成情况。</w:t>
      </w:r>
      <w:r>
        <w:rPr>
          <w:rFonts w:ascii="仿宋_GB2312" w:eastAsia="仿宋_GB2312" w:cs="仿宋_GB2312" w:hint="eastAsia"/>
          <w:color w:val="000000"/>
          <w:sz w:val="32"/>
          <w:szCs w:val="32"/>
        </w:rPr>
        <w:t>截止</w:t>
      </w:r>
      <w:r>
        <w:rPr>
          <w:rFonts w:ascii="仿宋_GB2312" w:eastAsia="仿宋_GB2312" w:cs="仿宋_GB2312" w:hint="eastAsia"/>
          <w:color w:val="000000"/>
          <w:sz w:val="32"/>
          <w:szCs w:val="32"/>
          <w:lang w:val="en-US" w:eastAsia="zh-CN"/>
        </w:rPr>
        <w:t>2021</w:t>
      </w:r>
      <w:r>
        <w:rPr>
          <w:rFonts w:ascii="仿宋_GB2312" w:eastAsia="仿宋_GB2312" w:cs="仿宋_GB2312" w:hint="eastAsia"/>
          <w:color w:val="000000"/>
          <w:sz w:val="32"/>
          <w:szCs w:val="32"/>
        </w:rPr>
        <w:t>年12月31日，该年度</w:t>
      </w:r>
      <w:r>
        <w:rPr>
          <w:rFonts w:ascii="仿宋_GB2312" w:eastAsia="仿宋_GB2312" w:cs="仿宋_GB2312" w:hint="eastAsia"/>
          <w:sz w:val="32"/>
          <w:szCs w:val="32"/>
        </w:rPr>
        <w:t>集体和个人所有天然商品林停伐补助</w:t>
      </w:r>
      <w:r>
        <w:rPr>
          <w:rFonts w:ascii="仿宋_GB2312" w:eastAsia="仿宋_GB2312" w:cs="仿宋_GB2312" w:hint="eastAsia"/>
          <w:color w:val="000000"/>
          <w:sz w:val="32"/>
          <w:szCs w:val="32"/>
        </w:rPr>
        <w:t>项目已按照相关要求全面完成，并通过了县级林业主管部门验收合格。</w:t>
      </w:r>
    </w:p>
    <w:p>
      <w:pPr>
        <w:pStyle w:val="42"/>
        <w:spacing w:line="560" w:lineRule="exact"/>
        <w:ind w:firstLineChars="200" w:firstLine="640"/>
        <w:rPr>
          <w:rFonts w:ascii="仿宋_GB2312" w:eastAsia="仿宋_GB2312" w:cs="仿宋_GB2312" w:hint="eastAsia"/>
          <w:color w:val="000000"/>
          <w:kern w:val="0"/>
          <w:sz w:val="32"/>
          <w:szCs w:val="32"/>
        </w:rPr>
      </w:pPr>
      <w:r>
        <w:rPr>
          <w:rFonts w:ascii="仿宋_GB2312" w:eastAsia="仿宋_GB2312" w:cs="仿宋_GB2312" w:hint="eastAsia"/>
          <w:b/>
          <w:sz w:val="32"/>
          <w:szCs w:val="32"/>
          <w:lang w:val="zh-CN"/>
        </w:rPr>
        <w:t>（二）项目效益情况。</w:t>
      </w:r>
      <w:r>
        <w:rPr>
          <w:rFonts w:ascii="仿宋_GB2312" w:eastAsia="仿宋_GB2312" w:cs="仿宋_GB2312" w:hint="eastAsia"/>
          <w:color w:val="000000"/>
          <w:kern w:val="0"/>
          <w:sz w:val="32"/>
          <w:szCs w:val="32"/>
        </w:rPr>
        <w:t>本年度，我县</w:t>
      </w:r>
      <w:r>
        <w:rPr>
          <w:rFonts w:ascii="仿宋_GB2312" w:eastAsia="仿宋_GB2312" w:cs="仿宋_GB2312" w:hint="eastAsia"/>
          <w:sz w:val="32"/>
          <w:szCs w:val="32"/>
        </w:rPr>
        <w:t>集体和个人所有天然商品林停伐补助</w:t>
      </w:r>
      <w:r>
        <w:rPr>
          <w:rFonts w:ascii="仿宋_GB2312" w:eastAsia="仿宋_GB2312" w:cs="仿宋_GB2312" w:hint="eastAsia"/>
          <w:color w:val="000000"/>
          <w:kern w:val="0"/>
          <w:sz w:val="32"/>
          <w:szCs w:val="32"/>
        </w:rPr>
        <w:t xml:space="preserve">工作，在上级林业主管部门的帮助指导下，经过采取有效措施，得到有效管护，最大限度地满足维护国家生态安全和经济社会发展的需要。主要表现在以下方面：  </w:t>
      </w:r>
    </w:p>
    <w:p>
      <w:pPr>
        <w:pStyle w:val="42"/>
        <w:spacing w:line="560" w:lineRule="exact"/>
        <w:ind w:firstLineChars="200" w:firstLine="640"/>
        <w:rPr>
          <w:rFonts w:ascii="仿宋_GB2312" w:eastAsia="仿宋_GB2312" w:cs="仿宋_GB2312" w:hint="eastAsia"/>
          <w:sz w:val="32"/>
          <w:szCs w:val="32"/>
        </w:rPr>
      </w:pPr>
      <w:r>
        <w:rPr>
          <w:rFonts w:ascii="仿宋_GB2312" w:eastAsia="仿宋_GB2312" w:cs="仿宋_GB2312" w:hint="eastAsia"/>
          <w:b/>
          <w:bCs/>
          <w:color w:val="000000"/>
          <w:kern w:val="0"/>
          <w:sz w:val="32"/>
          <w:szCs w:val="32"/>
        </w:rPr>
        <w:t>1.</w:t>
      </w:r>
      <w:r>
        <w:rPr>
          <w:rFonts w:ascii="仿宋_GB2312" w:eastAsia="仿宋_GB2312" w:cs="仿宋_GB2312" w:hint="eastAsia"/>
          <w:b/>
          <w:bCs/>
          <w:color w:val="000000"/>
          <w:sz w:val="32"/>
          <w:szCs w:val="32"/>
        </w:rPr>
        <w:t>社会经济效益</w:t>
      </w:r>
      <w:r>
        <w:rPr>
          <w:rFonts w:ascii="仿宋_GB2312" w:eastAsia="仿宋_GB2312" w:cs="仿宋_GB2312" w:hint="eastAsia"/>
          <w:color w:val="000000"/>
          <w:sz w:val="32"/>
          <w:szCs w:val="32"/>
        </w:rPr>
        <w:t>。通过实施</w:t>
      </w:r>
      <w:r>
        <w:rPr>
          <w:rFonts w:ascii="仿宋_GB2312" w:eastAsia="仿宋_GB2312" w:cs="仿宋_GB2312" w:hint="eastAsia"/>
          <w:sz w:val="32"/>
          <w:szCs w:val="32"/>
        </w:rPr>
        <w:t>集体和个人所有天然商品林停伐补助</w:t>
      </w:r>
      <w:r>
        <w:rPr>
          <w:rFonts w:ascii="仿宋_GB2312" w:eastAsia="仿宋_GB2312" w:cs="仿宋_GB2312" w:hint="eastAsia"/>
          <w:color w:val="000000"/>
          <w:sz w:val="32"/>
          <w:szCs w:val="32"/>
        </w:rPr>
        <w:t>，使全县</w:t>
      </w:r>
      <w:r>
        <w:rPr>
          <w:rFonts w:ascii="仿宋_GB2312" w:eastAsia="仿宋_GB2312" w:cs="仿宋_GB2312" w:hint="eastAsia"/>
          <w:sz w:val="32"/>
          <w:szCs w:val="32"/>
        </w:rPr>
        <w:t>涉及</w:t>
      </w:r>
      <w:r>
        <w:rPr>
          <w:rFonts w:ascii="仿宋_GB2312" w:eastAsia="仿宋_GB2312" w:cs="仿宋_GB2312" w:hint="eastAsia"/>
          <w:sz w:val="32"/>
          <w:szCs w:val="32"/>
          <w:lang w:val="en-US" w:eastAsia="zh-CN"/>
        </w:rPr>
        <w:t>11</w:t>
      </w:r>
      <w:r>
        <w:rPr>
          <w:rFonts w:ascii="仿宋_GB2312" w:eastAsia="仿宋_GB2312" w:cs="仿宋_GB2312" w:hint="eastAsia"/>
          <w:sz w:val="32"/>
          <w:szCs w:val="32"/>
        </w:rPr>
        <w:t>个镇，</w:t>
      </w:r>
      <w:r>
        <w:rPr>
          <w:rFonts w:ascii="仿宋_GB2312" w:eastAsia="仿宋_GB2312" w:cs="仿宋_GB2312" w:hint="eastAsia"/>
          <w:sz w:val="32"/>
          <w:szCs w:val="32"/>
          <w:lang w:val="en-US" w:eastAsia="zh-CN"/>
        </w:rPr>
        <w:t>69</w:t>
      </w:r>
      <w:r>
        <w:rPr>
          <w:rFonts w:ascii="仿宋_GB2312" w:eastAsia="仿宋_GB2312" w:cs="仿宋_GB2312" w:hint="eastAsia"/>
          <w:sz w:val="32"/>
          <w:szCs w:val="32"/>
        </w:rPr>
        <w:t>个村，农户1.7万余户，受益人口5万余人</w:t>
      </w:r>
      <w:r>
        <w:rPr>
          <w:rFonts w:ascii="仿宋_GB2312" w:eastAsia="仿宋_GB2312" w:cs="仿宋_GB2312" w:hint="eastAsia"/>
          <w:color w:val="000000"/>
          <w:sz w:val="32"/>
          <w:szCs w:val="32"/>
        </w:rPr>
        <w:t>。增加了群众收入，提高当地群众生活生产水平和改善了生活生产条件。</w:t>
      </w:r>
    </w:p>
    <w:p>
      <w:pPr>
        <w:pStyle w:val="42"/>
        <w:spacing w:line="560" w:lineRule="exact"/>
        <w:ind w:firstLineChars="200" w:firstLine="640"/>
        <w:rPr>
          <w:rFonts w:ascii="仿宋_GB2312" w:eastAsia="仿宋_GB2312" w:cs="仿宋_GB2312" w:hint="eastAsia"/>
          <w:color w:val="000000"/>
          <w:sz w:val="32"/>
          <w:szCs w:val="32"/>
        </w:rPr>
      </w:pPr>
      <w:r>
        <w:rPr>
          <w:rFonts w:ascii="仿宋_GB2312" w:eastAsia="仿宋_GB2312" w:cs="仿宋_GB2312" w:hint="eastAsia"/>
          <w:b/>
          <w:bCs/>
          <w:sz w:val="32"/>
          <w:szCs w:val="32"/>
        </w:rPr>
        <w:t>2.</w:t>
      </w:r>
      <w:r>
        <w:rPr>
          <w:rFonts w:ascii="仿宋_GB2312" w:eastAsia="仿宋_GB2312" w:cs="仿宋_GB2312" w:hint="eastAsia"/>
          <w:b/>
          <w:bCs/>
          <w:color w:val="000000"/>
          <w:sz w:val="32"/>
          <w:szCs w:val="32"/>
        </w:rPr>
        <w:t>生态建设效益</w:t>
      </w:r>
      <w:r>
        <w:rPr>
          <w:rFonts w:ascii="仿宋_GB2312" w:eastAsia="仿宋_GB2312" w:cs="仿宋_GB2312" w:hint="eastAsia"/>
          <w:color w:val="000000"/>
          <w:sz w:val="32"/>
          <w:szCs w:val="32"/>
        </w:rPr>
        <w:t>。通过实施禁伐、森林管护、增强了水源涵养能力，保护了生态环境和生物多样性，为建设长江上游重要生态屏障作了巨大贡献。</w:t>
      </w:r>
    </w:p>
    <w:p>
      <w:pPr>
        <w:pStyle w:val="42"/>
        <w:spacing w:line="560" w:lineRule="exact"/>
        <w:ind w:firstLineChars="200" w:firstLine="640"/>
        <w:rPr>
          <w:rFonts w:ascii="仿宋_GB2312" w:eastAsia="仿宋_GB2312" w:cs="仿宋_GB2312" w:hint="eastAsia"/>
          <w:color w:val="000000"/>
          <w:kern w:val="0"/>
          <w:sz w:val="32"/>
          <w:szCs w:val="32"/>
        </w:rPr>
      </w:pPr>
      <w:r>
        <w:rPr>
          <w:rFonts w:ascii="仿宋_GB2312" w:eastAsia="仿宋_GB2312" w:cs="仿宋_GB2312" w:hint="eastAsia"/>
          <w:b/>
          <w:bCs/>
          <w:color w:val="000000"/>
          <w:sz w:val="32"/>
          <w:szCs w:val="32"/>
        </w:rPr>
        <w:t>3.受益群众满意度</w:t>
      </w:r>
      <w:r>
        <w:rPr>
          <w:rFonts w:ascii="仿宋_GB2312" w:eastAsia="仿宋_GB2312" w:cs="仿宋_GB2312" w:hint="eastAsia"/>
          <w:color w:val="000000"/>
          <w:sz w:val="32"/>
          <w:szCs w:val="32"/>
        </w:rPr>
        <w:t>。通过实施</w:t>
      </w:r>
      <w:r>
        <w:rPr>
          <w:rFonts w:ascii="仿宋_GB2312" w:eastAsia="仿宋_GB2312" w:cs="仿宋_GB2312" w:hint="eastAsia"/>
          <w:sz w:val="32"/>
          <w:szCs w:val="32"/>
        </w:rPr>
        <w:t>集体和个人所有天然商品林停伐补助</w:t>
      </w:r>
      <w:r>
        <w:rPr>
          <w:rFonts w:ascii="仿宋_GB2312" w:eastAsia="仿宋_GB2312" w:cs="仿宋_GB2312" w:hint="eastAsia"/>
          <w:color w:val="000000"/>
          <w:sz w:val="32"/>
          <w:szCs w:val="32"/>
        </w:rPr>
        <w:t>，改善了当地农牧业的生产条件，为增产增收提供了一定的条件，创造了一些就业机会，对维护社会稳定和提高人民生活水平起到了良好的促进作用，因此深受广大受益群众的好评。</w:t>
      </w:r>
    </w:p>
    <w:p>
      <w:pPr>
        <w:pStyle w:val="42"/>
        <w:adjustRightInd w:val="0"/>
        <w:snapToGrid w:val="0"/>
        <w:spacing w:line="600" w:lineRule="exact"/>
        <w:ind w:firstLine="720"/>
        <w:rPr>
          <w:rFonts w:ascii="黑体" w:eastAsia="黑体" w:cs="黑体" w:hint="eastAsia"/>
          <w:sz w:val="32"/>
          <w:szCs w:val="32"/>
        </w:rPr>
      </w:pPr>
      <w:r>
        <w:rPr>
          <w:rFonts w:ascii="黑体" w:eastAsia="黑体" w:cs="黑体" w:hint="eastAsia"/>
          <w:sz w:val="32"/>
          <w:szCs w:val="32"/>
        </w:rPr>
        <w:t>四、问题及建议</w:t>
      </w:r>
    </w:p>
    <w:p>
      <w:pPr>
        <w:pStyle w:val="42"/>
        <w:ind w:firstLineChars="200" w:firstLine="640"/>
        <w:rPr>
          <w:rFonts w:ascii="仿宋_GB2312" w:eastAsia="仿宋_GB2312" w:cs="仿宋_GB2312" w:hint="eastAsia"/>
          <w:b/>
          <w:sz w:val="32"/>
          <w:szCs w:val="32"/>
          <w:lang w:val="zh-CN"/>
        </w:rPr>
      </w:pPr>
      <w:r>
        <w:rPr>
          <w:rFonts w:ascii="仿宋_GB2312" w:eastAsia="仿宋_GB2312" w:cs="仿宋_GB2312" w:hint="eastAsia"/>
          <w:b/>
          <w:sz w:val="32"/>
          <w:szCs w:val="32"/>
          <w:lang w:val="zh-CN"/>
        </w:rPr>
        <w:t>（一）存在的问题</w:t>
      </w:r>
    </w:p>
    <w:p>
      <w:pPr>
        <w:pStyle w:val="42"/>
        <w:ind w:firstLineChars="200" w:firstLine="640"/>
        <w:rPr>
          <w:rFonts w:ascii="仿宋_GB2312" w:eastAsia="仿宋_GB2312" w:cs="仿宋_GB2312" w:hint="eastAsia"/>
          <w:snapToGrid w:val="0"/>
          <w:sz w:val="32"/>
          <w:szCs w:val="32"/>
        </w:rPr>
      </w:pPr>
      <w:r>
        <w:rPr>
          <w:rFonts w:ascii="仿宋_GB2312" w:eastAsia="仿宋_GB2312" w:cs="仿宋_GB2312" w:hint="eastAsia"/>
          <w:snapToGrid w:val="0"/>
          <w:sz w:val="32"/>
          <w:szCs w:val="32"/>
        </w:rPr>
        <w:t>补偿标准较低，补偿所获得的收入远远低于林农发展经济林果的收入，会诱发林农铤而走险开林种植经济林木或作物。因此为切实保障提升生态功能，保障提高林农收益，国家还应加大对林地建设投入，提高补偿标准。</w:t>
      </w:r>
    </w:p>
    <w:p>
      <w:pPr>
        <w:pStyle w:val="43"/>
        <w:rPr>
          <w:rFonts w:hint="eastAsia"/>
          <w:lang w:val="zh-CN"/>
        </w:rPr>
      </w:pPr>
    </w:p>
    <w:p>
      <w:pPr>
        <w:pStyle w:val="42"/>
      </w:pPr>
    </w:p>
    <w:p>
      <w:pPr>
        <w:pStyle w:val="40"/>
        <w:spacing w:line="600" w:lineRule="exact"/>
        <w:jc w:val="center"/>
        <w:rPr>
          <w:rFonts w:ascii="方正小标宋简体" w:eastAsia="方正小标宋简体" w:hint="eastAsia"/>
          <w:sz w:val="44"/>
          <w:szCs w:val="44"/>
          <w:lang w:val="en-US" w:eastAsia="zh-CN"/>
        </w:rPr>
      </w:pPr>
    </w:p>
    <w:p>
      <w:pPr>
        <w:pStyle w:val="40"/>
        <w:spacing w:line="600" w:lineRule="exact"/>
        <w:jc w:val="center"/>
        <w:rPr>
          <w:rFonts w:ascii="方正小标宋简体" w:eastAsia="方正小标宋简体" w:hint="eastAsia"/>
          <w:sz w:val="44"/>
          <w:szCs w:val="44"/>
          <w:lang w:val="en-US" w:eastAsia="zh-CN"/>
        </w:rPr>
      </w:pPr>
    </w:p>
    <w:p>
      <w:pPr>
        <w:pStyle w:val="40"/>
        <w:spacing w:line="600" w:lineRule="exact"/>
        <w:jc w:val="center"/>
        <w:rPr>
          <w:rFonts w:ascii="方正小标宋简体" w:eastAsia="方正小标宋简体" w:hint="eastAsia"/>
          <w:sz w:val="44"/>
          <w:szCs w:val="44"/>
          <w:lang w:val="en-US" w:eastAsia="zh-CN"/>
        </w:rPr>
      </w:pPr>
    </w:p>
    <w:p>
      <w:pPr>
        <w:pStyle w:val="40"/>
        <w:spacing w:line="600" w:lineRule="exact"/>
        <w:jc w:val="both"/>
        <w:rPr>
          <w:rFonts w:ascii="方正小标宋简体" w:eastAsia="方正小标宋简体" w:hint="eastAsia"/>
          <w:sz w:val="44"/>
          <w:szCs w:val="44"/>
          <w:lang w:val="en-US" w:eastAsia="zh-CN"/>
        </w:rPr>
      </w:pPr>
    </w:p>
    <w:p>
      <w:pPr>
        <w:pStyle w:val="40"/>
        <w:spacing w:line="600" w:lineRule="exact"/>
        <w:jc w:val="center"/>
        <w:rPr>
          <w:rFonts w:ascii="黑体" w:eastAsia="黑体" w:cs="仿宋_GB2312" w:hint="eastAsia"/>
          <w:sz w:val="36"/>
          <w:szCs w:val="32"/>
        </w:rPr>
      </w:pPr>
      <w:r>
        <w:rPr>
          <w:rFonts w:ascii="方正小标宋简体" w:eastAsia="方正小标宋简体" w:hint="eastAsia"/>
          <w:sz w:val="44"/>
          <w:szCs w:val="44"/>
          <w:lang w:val="en-US" w:eastAsia="zh-CN"/>
        </w:rPr>
        <w:t>2021</w:t>
      </w:r>
      <w:r>
        <w:rPr>
          <w:rFonts w:ascii="方正小标宋简体" w:eastAsia="方正小标宋简体" w:hint="eastAsia"/>
          <w:sz w:val="44"/>
          <w:szCs w:val="44"/>
          <w:lang w:val="en-US"/>
        </w:rPr>
        <w:t>年度</w:t>
      </w:r>
      <w:r>
        <w:rPr>
          <w:rFonts w:ascii="方正小标宋简体" w:eastAsia="方正小标宋简体" w:hint="eastAsia"/>
          <w:sz w:val="44"/>
          <w:szCs w:val="44"/>
        </w:rPr>
        <w:t>项目支出绩效自评报告</w:t>
      </w:r>
    </w:p>
    <w:p>
      <w:pPr>
        <w:pStyle w:val="40"/>
        <w:spacing w:line="240" w:lineRule="auto"/>
        <w:jc w:val="center"/>
        <w:rPr>
          <w:rFonts w:ascii="仿宋_GB2312" w:eastAsia="仿宋_GB2312" w:cs="仿宋_GB2312" w:hint="eastAsia"/>
          <w:color w:val="auto"/>
          <w:sz w:val="32"/>
          <w:szCs w:val="32"/>
        </w:rPr>
      </w:pPr>
      <w:r>
        <w:rPr>
          <w:rFonts w:ascii="仿宋_GB2312" w:eastAsia="仿宋_GB2312" w:cs="仿宋_GB2312" w:hint="eastAsia"/>
          <w:sz w:val="32"/>
          <w:szCs w:val="32"/>
          <w:lang w:eastAsia="zh-CN"/>
        </w:rPr>
        <w:t>（</w:t>
      </w:r>
      <w:r>
        <w:rPr>
          <w:rFonts w:ascii="仿宋_GB2312" w:eastAsia="仿宋_GB2312" w:cs="仿宋_GB2312" w:hint="eastAsia"/>
          <w:sz w:val="32"/>
          <w:szCs w:val="32"/>
        </w:rPr>
        <w:t>茂县茅香坪工区至土地岭防灭火道路项目</w:t>
      </w:r>
      <w:r>
        <w:rPr>
          <w:rFonts w:ascii="仿宋_GB2312" w:eastAsia="仿宋_GB2312" w:cs="仿宋_GB2312" w:hint="eastAsia"/>
          <w:sz w:val="32"/>
          <w:szCs w:val="32"/>
          <w:lang w:eastAsia="zh-CN"/>
        </w:rPr>
        <w:t>）</w:t>
      </w:r>
    </w:p>
    <w:p>
      <w:pPr>
        <w:pStyle w:val="42"/>
        <w:adjustRightInd w:val="0"/>
        <w:snapToGrid w:val="0"/>
        <w:spacing w:line="600" w:lineRule="exact"/>
        <w:ind w:firstLine="720"/>
        <w:rPr>
          <w:rFonts w:ascii="黑体" w:eastAsia="黑体"/>
          <w:sz w:val="32"/>
          <w:szCs w:val="32"/>
          <w:lang w:val="zh-CN"/>
        </w:rPr>
      </w:pPr>
      <w:r>
        <w:rPr>
          <w:rFonts w:ascii="黑体" w:eastAsia="黑体" w:hint="eastAsia"/>
          <w:sz w:val="32"/>
          <w:szCs w:val="32"/>
        </w:rPr>
        <w:t>一、</w:t>
      </w:r>
      <w:r>
        <w:rPr>
          <w:rFonts w:ascii="黑体" w:eastAsia="黑体" w:hint="eastAsia"/>
          <w:sz w:val="32"/>
          <w:szCs w:val="32"/>
          <w:lang w:val="zh-CN"/>
        </w:rPr>
        <w:t>项目概况</w:t>
      </w:r>
    </w:p>
    <w:p>
      <w:pPr>
        <w:pStyle w:val="42"/>
        <w:adjustRightInd w:val="0"/>
        <w:snapToGrid w:val="0"/>
        <w:spacing w:line="600" w:lineRule="exact"/>
        <w:ind w:firstLine="720"/>
        <w:rPr>
          <w:rFonts w:ascii="楷体_GB2312" w:eastAsia="楷体_GB2312" w:hint="eastAsia"/>
          <w:b/>
          <w:sz w:val="32"/>
          <w:szCs w:val="32"/>
          <w:lang w:val="zh-CN"/>
        </w:rPr>
      </w:pPr>
      <w:r>
        <w:rPr>
          <w:rFonts w:ascii="楷体_GB2312" w:eastAsia="楷体_GB2312" w:hint="eastAsia"/>
          <w:b/>
          <w:sz w:val="32"/>
          <w:szCs w:val="32"/>
          <w:lang w:val="zh-CN"/>
        </w:rPr>
        <w:t>（一）项目基本情况</w:t>
      </w:r>
    </w:p>
    <w:p>
      <w:pPr>
        <w:pStyle w:val="42"/>
        <w:adjustRightInd w:val="0"/>
        <w:snapToGrid w:val="0"/>
        <w:spacing w:line="600" w:lineRule="exact"/>
        <w:ind w:firstLine="720"/>
        <w:rPr>
          <w:rFonts w:ascii="仿宋_GB2312" w:eastAsia="仿宋_GB2312" w:cs="仿宋_GB2312" w:hint="eastAsia"/>
          <w:sz w:val="32"/>
          <w:szCs w:val="32"/>
          <w:lang w:eastAsia="zh-CN"/>
        </w:rPr>
      </w:pPr>
      <w:r>
        <w:rPr>
          <w:rFonts w:ascii="仿宋_GB2312" w:eastAsia="仿宋_GB2312" w:cs="仿宋_GB2312" w:hint="eastAsia"/>
          <w:sz w:val="32"/>
          <w:szCs w:val="32"/>
        </w:rPr>
        <w:t>项目名称：茂县茅香坪工区至土地岭防灭火道路项目</w:t>
      </w:r>
      <w:r>
        <w:rPr>
          <w:rFonts w:ascii="仿宋_GB2312" w:eastAsia="仿宋_GB2312" w:cs="仿宋_GB2312" w:hint="eastAsia"/>
          <w:sz w:val="32"/>
          <w:szCs w:val="32"/>
          <w:lang w:eastAsia="zh-CN"/>
        </w:rPr>
        <w:t>；</w:t>
      </w:r>
      <w:r>
        <w:rPr>
          <w:rFonts w:ascii="仿宋_GB2312" w:eastAsia="仿宋_GB2312" w:cs="仿宋_GB2312" w:hint="eastAsia"/>
          <w:sz w:val="32"/>
          <w:szCs w:val="32"/>
        </w:rPr>
        <w:t>建设单位：茂县林业和草原局</w:t>
      </w:r>
      <w:r>
        <w:rPr>
          <w:rFonts w:ascii="仿宋_GB2312" w:eastAsia="仿宋_GB2312" w:cs="仿宋_GB2312" w:hint="eastAsia"/>
          <w:sz w:val="32"/>
          <w:szCs w:val="32"/>
          <w:lang w:eastAsia="zh-CN"/>
        </w:rPr>
        <w:t>；</w:t>
      </w:r>
      <w:r>
        <w:rPr>
          <w:rFonts w:ascii="仿宋_GB2312" w:eastAsia="仿宋_GB2312" w:cs="仿宋_GB2312" w:hint="eastAsia"/>
          <w:sz w:val="32"/>
          <w:szCs w:val="32"/>
        </w:rPr>
        <w:t>建设地址：</w:t>
      </w:r>
      <w:bookmarkStart w:id="79" w:name="OLE_LINK1"/>
      <w:r>
        <w:rPr>
          <w:rFonts w:ascii="仿宋_GB2312" w:eastAsia="仿宋_GB2312" w:cs="仿宋_GB2312" w:hint="eastAsia"/>
          <w:sz w:val="32"/>
          <w:szCs w:val="32"/>
        </w:rPr>
        <w:t>茂县国有林场茅香坪工区至土地岭梁子段山林区</w:t>
      </w:r>
      <w:bookmarkEnd w:id="79"/>
      <w:r>
        <w:rPr>
          <w:rFonts w:ascii="仿宋_GB2312" w:eastAsia="仿宋_GB2312" w:cs="仿宋_GB2312" w:hint="eastAsia"/>
          <w:sz w:val="32"/>
          <w:szCs w:val="32"/>
          <w:lang w:eastAsia="zh-CN"/>
        </w:rPr>
        <w:t>；</w:t>
      </w:r>
      <w:r>
        <w:rPr>
          <w:rFonts w:ascii="仿宋_GB2312" w:eastAsia="仿宋_GB2312" w:cs="仿宋_GB2312" w:hint="eastAsia"/>
          <w:sz w:val="32"/>
          <w:szCs w:val="32"/>
        </w:rPr>
        <w:t>建设工期：4个月</w:t>
      </w:r>
      <w:r>
        <w:rPr>
          <w:rFonts w:ascii="仿宋_GB2312" w:eastAsia="仿宋_GB2312" w:cs="仿宋_GB2312" w:hint="eastAsia"/>
          <w:sz w:val="32"/>
          <w:szCs w:val="32"/>
          <w:lang w:eastAsia="zh-CN"/>
        </w:rPr>
        <w:t>；</w:t>
      </w:r>
      <w:r>
        <w:rPr>
          <w:rFonts w:ascii="仿宋_GB2312" w:eastAsia="仿宋_GB2312" w:cs="仿宋_GB2312" w:hint="eastAsia"/>
          <w:sz w:val="32"/>
          <w:szCs w:val="32"/>
        </w:rPr>
        <w:t>项目批复情况：2021年2月5日，茂县发展和改革局《关于茂县茅香坪工区至土地岭防灭火道路项目可行性研究报告的批复》（茂发改行审[2021] 24号），同意该项目可行性研究报告的请示(茂林草函[2021]25号）</w:t>
      </w:r>
      <w:r>
        <w:rPr>
          <w:rFonts w:ascii="仿宋_GB2312" w:eastAsia="仿宋_GB2312" w:cs="仿宋_GB2312" w:hint="eastAsia"/>
          <w:sz w:val="32"/>
          <w:szCs w:val="32"/>
          <w:lang w:eastAsia="zh-CN"/>
        </w:rPr>
        <w:t>。</w:t>
      </w:r>
    </w:p>
    <w:p>
      <w:pPr>
        <w:pStyle w:val="42"/>
        <w:adjustRightInd w:val="0"/>
        <w:snapToGrid w:val="0"/>
        <w:spacing w:line="600" w:lineRule="exact"/>
        <w:ind w:firstLine="720"/>
        <w:rPr>
          <w:rFonts w:ascii="楷体_GB2312" w:eastAsia="楷体_GB2312" w:cs="Times New Roman" w:hint="eastAsia"/>
          <w:b/>
          <w:sz w:val="32"/>
          <w:szCs w:val="32"/>
          <w:lang w:val="zh-CN"/>
        </w:rPr>
      </w:pPr>
      <w:r>
        <w:rPr>
          <w:rFonts w:ascii="楷体_GB2312" w:eastAsia="楷体_GB2312" w:cs="Times New Roman" w:hint="eastAsia"/>
          <w:b/>
          <w:sz w:val="32"/>
          <w:szCs w:val="32"/>
          <w:lang w:val="zh-CN"/>
        </w:rPr>
        <w:t>（二）资金安排情况</w:t>
      </w:r>
    </w:p>
    <w:p>
      <w:pPr>
        <w:pStyle w:val="42"/>
        <w:adjustRightInd w:val="0"/>
        <w:snapToGrid w:val="0"/>
        <w:spacing w:line="600" w:lineRule="exact"/>
        <w:ind w:firstLine="720"/>
        <w:rPr>
          <w:rFonts w:ascii="仿宋_GB2312" w:eastAsia="仿宋_GB2312" w:cs="仿宋_GB2312" w:hint="eastAsia"/>
          <w:sz w:val="32"/>
          <w:szCs w:val="32"/>
        </w:rPr>
      </w:pPr>
      <w:r>
        <w:rPr>
          <w:rFonts w:ascii="仿宋_GB2312" w:eastAsia="仿宋_GB2312" w:cs="仿宋_GB2312" w:hint="eastAsia"/>
          <w:sz w:val="32"/>
          <w:szCs w:val="32"/>
        </w:rPr>
        <w:t>资金来源为2020年第三批省级财政交通专项资金</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项目经费210万元</w:t>
      </w:r>
      <w:r>
        <w:rPr>
          <w:rFonts w:ascii="仿宋_GB2312" w:eastAsia="仿宋_GB2312" w:cs="仿宋_GB2312" w:hint="eastAsia"/>
          <w:sz w:val="32"/>
          <w:szCs w:val="32"/>
          <w:lang w:eastAsia="zh-CN"/>
        </w:rPr>
        <w:t>）</w:t>
      </w:r>
      <w:r>
        <w:rPr>
          <w:rFonts w:ascii="仿宋_GB2312" w:eastAsia="仿宋_GB2312" w:cs="仿宋_GB2312" w:hint="eastAsia"/>
          <w:sz w:val="32"/>
          <w:szCs w:val="32"/>
        </w:rPr>
        <w:t>。</w:t>
      </w:r>
    </w:p>
    <w:p>
      <w:pPr>
        <w:pStyle w:val="42"/>
        <w:tabs>
          <w:tab w:val="left" w:pos="8280"/>
        </w:tabs>
        <w:spacing w:line="520" w:lineRule="exact"/>
        <w:ind w:rightChars="12" w:right="25" w:firstLineChars="200" w:firstLine="640"/>
        <w:rPr>
          <w:rFonts w:ascii="楷体_GB2312" w:eastAsia="楷体_GB2312" w:cs="Times New Roman" w:hint="eastAsia"/>
          <w:b/>
          <w:sz w:val="32"/>
          <w:szCs w:val="32"/>
          <w:lang w:val="zh-CN"/>
        </w:rPr>
      </w:pPr>
      <w:r>
        <w:rPr>
          <w:rFonts w:ascii="楷体_GB2312" w:eastAsia="楷体_GB2312" w:cs="Times New Roman" w:hint="eastAsia"/>
          <w:b/>
          <w:sz w:val="32"/>
          <w:szCs w:val="32"/>
          <w:lang w:val="zh-CN"/>
        </w:rPr>
        <w:t>（三）项目绩效目标</w:t>
      </w:r>
    </w:p>
    <w:p>
      <w:pPr>
        <w:pStyle w:val="42"/>
        <w:adjustRightInd w:val="0"/>
        <w:snapToGrid w:val="0"/>
        <w:spacing w:line="600" w:lineRule="exact"/>
        <w:ind w:firstLine="720"/>
        <w:rPr>
          <w:rFonts w:ascii="仿宋_GB2312" w:eastAsia="仿宋_GB2312" w:cs="仿宋_GB2312" w:hint="eastAsia"/>
          <w:sz w:val="32"/>
          <w:szCs w:val="32"/>
        </w:rPr>
      </w:pPr>
      <w:r>
        <w:rPr>
          <w:rFonts w:ascii="仿宋_GB2312" w:eastAsia="仿宋_GB2312" w:cs="仿宋_GB2312" w:hint="eastAsia"/>
          <w:sz w:val="32"/>
          <w:szCs w:val="32"/>
        </w:rPr>
        <w:t>改扩建森林防灭火道路7公里（其中：碎石道路7000米。排水沟7000米，过水涵洞13道，单柱式警告标志28个）。设计公路等级为四级公路（Ⅱ类）、设计速度15km/h。</w:t>
      </w:r>
    </w:p>
    <w:p>
      <w:pPr>
        <w:pStyle w:val="42"/>
        <w:adjustRightInd w:val="0"/>
        <w:snapToGrid w:val="0"/>
        <w:spacing w:line="600" w:lineRule="exact"/>
        <w:rPr>
          <w:rFonts w:ascii="宋体" w:eastAsia="宋体" w:cs="宋体" w:hint="eastAsia"/>
          <w:b/>
          <w:bCs/>
          <w:sz w:val="32"/>
          <w:szCs w:val="32"/>
          <w:lang w:val="zh-CN"/>
        </w:rPr>
      </w:pPr>
      <w:r>
        <w:rPr>
          <w:rFonts w:ascii="宋体" w:eastAsia="宋体" w:cs="宋体" w:hint="eastAsia"/>
          <w:sz w:val="32"/>
          <w:szCs w:val="32"/>
        </w:rPr>
        <w:t xml:space="preserve">   </w:t>
      </w:r>
      <w:r>
        <w:rPr>
          <w:rFonts w:ascii="黑体" w:eastAsia="黑体" w:cs="Times New Roman" w:hint="eastAsia"/>
          <w:sz w:val="32"/>
          <w:szCs w:val="32"/>
        </w:rPr>
        <w:t xml:space="preserve"> </w:t>
      </w:r>
      <w:r>
        <w:rPr>
          <w:rFonts w:ascii="黑体" w:eastAsia="黑体" w:cs="Times New Roman" w:hint="eastAsia"/>
          <w:sz w:val="32"/>
          <w:szCs w:val="32"/>
          <w:lang w:val="zh-CN"/>
        </w:rPr>
        <w:t>二、绩效自评</w:t>
      </w:r>
    </w:p>
    <w:p>
      <w:pPr>
        <w:pStyle w:val="42"/>
        <w:adjustRightInd w:val="0"/>
        <w:snapToGrid w:val="0"/>
        <w:spacing w:line="600" w:lineRule="exact"/>
        <w:ind w:firstLine="720"/>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该项目于</w:t>
      </w:r>
      <w:r>
        <w:rPr>
          <w:rFonts w:ascii="仿宋_GB2312" w:eastAsia="仿宋_GB2312" w:cs="仿宋_GB2312" w:hint="eastAsia"/>
          <w:sz w:val="32"/>
          <w:szCs w:val="32"/>
        </w:rPr>
        <w:t>2021年11月2日</w:t>
      </w:r>
      <w:r>
        <w:rPr>
          <w:rFonts w:ascii="仿宋_GB2312" w:eastAsia="仿宋_GB2312" w:cs="仿宋_GB2312" w:hint="eastAsia"/>
          <w:sz w:val="32"/>
          <w:szCs w:val="32"/>
          <w:lang w:val="en-US" w:eastAsia="zh-CN"/>
        </w:rPr>
        <w:t>完成</w:t>
      </w:r>
      <w:r>
        <w:rPr>
          <w:rFonts w:ascii="仿宋_GB2312" w:eastAsia="仿宋_GB2312" w:cs="仿宋_GB2312" w:hint="eastAsia"/>
          <w:sz w:val="32"/>
          <w:szCs w:val="32"/>
        </w:rPr>
        <w:t>碎石道路7000米。排水沟7000米，过水涵洞13道，单柱式警告标志28个</w:t>
      </w:r>
      <w:r>
        <w:rPr>
          <w:rFonts w:ascii="仿宋_GB2312" w:eastAsia="仿宋_GB2312" w:cs="仿宋_GB2312" w:hint="eastAsia"/>
          <w:sz w:val="32"/>
          <w:szCs w:val="32"/>
          <w:lang w:val="en-US" w:eastAsia="zh-CN"/>
        </w:rPr>
        <w:t>等设计目标并</w:t>
      </w:r>
      <w:r>
        <w:rPr>
          <w:rFonts w:ascii="仿宋_GB2312" w:eastAsia="仿宋_GB2312" w:cs="仿宋_GB2312" w:hint="eastAsia"/>
          <w:sz w:val="32"/>
          <w:szCs w:val="32"/>
        </w:rPr>
        <w:t>竣工。完成</w:t>
      </w:r>
      <w:r>
        <w:rPr>
          <w:rFonts w:ascii="仿宋_GB2312" w:eastAsia="仿宋_GB2312" w:cs="仿宋_GB2312" w:hint="eastAsia"/>
          <w:sz w:val="32"/>
          <w:szCs w:val="32"/>
          <w:lang w:val="en-US" w:eastAsia="zh-CN"/>
        </w:rPr>
        <w:t>资金支付</w:t>
      </w:r>
      <w:r>
        <w:rPr>
          <w:rFonts w:ascii="仿宋_GB2312" w:eastAsia="仿宋_GB2312" w:cs="仿宋_GB2312" w:hint="eastAsia"/>
          <w:sz w:val="32"/>
          <w:szCs w:val="32"/>
        </w:rPr>
        <w:t>总额1,997,291.89元</w:t>
      </w:r>
      <w:r>
        <w:rPr>
          <w:rFonts w:ascii="仿宋_GB2312" w:eastAsia="仿宋_GB2312" w:cs="仿宋_GB2312" w:hint="eastAsia"/>
          <w:sz w:val="32"/>
          <w:szCs w:val="32"/>
          <w:lang w:eastAsia="zh-CN"/>
        </w:rPr>
        <w:t>。</w:t>
      </w:r>
    </w:p>
    <w:p>
      <w:pPr>
        <w:pStyle w:val="42"/>
        <w:adjustRightInd w:val="0"/>
        <w:snapToGrid w:val="0"/>
        <w:spacing w:line="600" w:lineRule="exact"/>
        <w:ind w:firstLineChars="200" w:firstLine="640"/>
        <w:outlineLvl w:val="0"/>
        <w:rPr>
          <w:rFonts w:ascii="宋体" w:eastAsia="宋体" w:cs="宋体" w:hint="eastAsia"/>
          <w:b/>
          <w:bCs/>
          <w:sz w:val="32"/>
          <w:szCs w:val="32"/>
          <w:lang w:val="zh-CN"/>
        </w:rPr>
      </w:pPr>
      <w:r>
        <w:rPr>
          <w:rFonts w:ascii="宋体" w:eastAsia="宋体" w:cs="宋体" w:hint="eastAsia"/>
          <w:b/>
          <w:bCs/>
          <w:sz w:val="32"/>
          <w:szCs w:val="32"/>
          <w:lang w:val="zh-CN"/>
        </w:rPr>
        <w:t>三、评价方法及过程</w:t>
      </w:r>
    </w:p>
    <w:p>
      <w:pPr>
        <w:pStyle w:val="42"/>
        <w:adjustRightInd w:val="0"/>
        <w:snapToGrid w:val="0"/>
        <w:spacing w:line="600" w:lineRule="exact"/>
        <w:ind w:firstLine="720"/>
        <w:rPr>
          <w:rFonts w:ascii="仿宋_GB2312" w:eastAsia="仿宋_GB2312" w:cs="仿宋_GB2312" w:hint="eastAsia"/>
          <w:sz w:val="32"/>
          <w:szCs w:val="32"/>
        </w:rPr>
      </w:pPr>
      <w:r>
        <w:rPr>
          <w:rFonts w:ascii="楷体_GB2312" w:eastAsia="楷体_GB2312" w:cs="Times New Roman" w:hint="eastAsia"/>
          <w:b/>
          <w:sz w:val="32"/>
          <w:szCs w:val="32"/>
          <w:lang w:val="zh-CN" w:eastAsia="zh-CN"/>
        </w:rPr>
        <w:t>（一）</w:t>
      </w:r>
      <w:r>
        <w:rPr>
          <w:rFonts w:ascii="楷体_GB2312" w:eastAsia="楷体_GB2312" w:cs="Times New Roman" w:hint="eastAsia"/>
          <w:b/>
          <w:sz w:val="32"/>
          <w:szCs w:val="32"/>
          <w:lang w:val="zh-CN"/>
        </w:rPr>
        <w:t>绩效评价方法</w:t>
      </w:r>
      <w:r>
        <w:rPr>
          <w:rFonts w:ascii="楷体_GB2312" w:eastAsia="楷体_GB2312" w:cs="Times New Roman" w:hint="eastAsia"/>
          <w:b/>
          <w:sz w:val="32"/>
          <w:szCs w:val="32"/>
          <w:lang w:val="zh-CN" w:eastAsia="zh-CN"/>
        </w:rPr>
        <w:t>：</w:t>
      </w:r>
      <w:r>
        <w:rPr>
          <w:rFonts w:ascii="仿宋_GB2312" w:eastAsia="仿宋_GB2312" w:cs="仿宋_GB2312" w:hint="eastAsia"/>
          <w:sz w:val="32"/>
          <w:szCs w:val="32"/>
          <w:lang w:val="en-US" w:eastAsia="zh-CN"/>
        </w:rPr>
        <w:t>依照项目实施方案及项目竣工验收报告作为绩效评估参考依据。</w:t>
      </w:r>
    </w:p>
    <w:p>
      <w:pPr>
        <w:pStyle w:val="42"/>
        <w:adjustRightInd w:val="0"/>
        <w:snapToGrid w:val="0"/>
        <w:spacing w:line="600" w:lineRule="exact"/>
        <w:ind w:firstLine="720"/>
        <w:rPr>
          <w:rFonts w:ascii="仿宋_GB2312" w:eastAsia="仿宋_GB2312" w:cs="仿宋_GB2312" w:hint="eastAsia"/>
          <w:sz w:val="32"/>
          <w:szCs w:val="32"/>
          <w:lang w:val="en-US"/>
        </w:rPr>
      </w:pPr>
      <w:r>
        <w:rPr>
          <w:rFonts w:ascii="楷体_GB2312" w:eastAsia="楷体_GB2312" w:cs="Times New Roman" w:hint="eastAsia"/>
          <w:b/>
          <w:sz w:val="32"/>
          <w:szCs w:val="32"/>
          <w:lang w:val="zh-CN" w:eastAsia="zh-CN"/>
        </w:rPr>
        <w:t>（二）</w:t>
      </w:r>
      <w:r>
        <w:rPr>
          <w:rFonts w:ascii="楷体_GB2312" w:eastAsia="楷体_GB2312" w:cs="Times New Roman" w:hint="eastAsia"/>
          <w:b/>
          <w:sz w:val="32"/>
          <w:szCs w:val="32"/>
          <w:lang w:val="zh-CN"/>
        </w:rPr>
        <w:t>绩效评价过程</w:t>
      </w:r>
      <w:r>
        <w:rPr>
          <w:rFonts w:ascii="楷体_GB2312" w:eastAsia="楷体_GB2312" w:cs="Times New Roman" w:hint="eastAsia"/>
          <w:b/>
          <w:sz w:val="32"/>
          <w:szCs w:val="32"/>
          <w:lang w:val="zh-CN" w:eastAsia="zh-CN"/>
        </w:rPr>
        <w:t>：</w:t>
      </w:r>
      <w:r>
        <w:rPr>
          <w:rFonts w:ascii="仿宋_GB2312" w:eastAsia="仿宋_GB2312" w:cs="仿宋_GB2312" w:hint="eastAsia"/>
          <w:sz w:val="32"/>
          <w:szCs w:val="32"/>
          <w:lang w:val="en-US" w:eastAsia="zh-CN"/>
        </w:rPr>
        <w:t>该</w:t>
      </w:r>
      <w:r>
        <w:rPr>
          <w:rFonts w:ascii="仿宋_GB2312" w:eastAsia="仿宋_GB2312" w:cs="仿宋_GB2312" w:hint="eastAsia"/>
          <w:sz w:val="32"/>
          <w:szCs w:val="32"/>
        </w:rPr>
        <w:t>项目</w:t>
      </w:r>
      <w:r>
        <w:rPr>
          <w:rFonts w:ascii="仿宋_GB2312" w:eastAsia="仿宋_GB2312" w:cs="仿宋_GB2312" w:hint="eastAsia"/>
          <w:sz w:val="32"/>
          <w:szCs w:val="32"/>
          <w:lang w:val="en-US" w:eastAsia="zh-CN"/>
        </w:rPr>
        <w:t>联合项目办</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计财股</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参考</w:t>
      </w:r>
      <w:r>
        <w:rPr>
          <w:rFonts w:ascii="仿宋_GB2312" w:eastAsia="仿宋_GB2312" w:cs="仿宋_GB2312" w:hint="eastAsia"/>
          <w:sz w:val="32"/>
          <w:szCs w:val="32"/>
        </w:rPr>
        <w:t>项目</w:t>
      </w:r>
      <w:r>
        <w:rPr>
          <w:rFonts w:ascii="仿宋_GB2312" w:eastAsia="仿宋_GB2312" w:cs="仿宋_GB2312" w:hint="eastAsia"/>
          <w:sz w:val="32"/>
          <w:szCs w:val="32"/>
          <w:lang w:val="en-US" w:eastAsia="zh-CN"/>
        </w:rPr>
        <w:t>绩效评估办法</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进行项目资金绩效评价。</w:t>
      </w:r>
    </w:p>
    <w:p>
      <w:pPr>
        <w:pStyle w:val="42"/>
        <w:adjustRightInd w:val="0"/>
        <w:snapToGrid w:val="0"/>
        <w:spacing w:line="600" w:lineRule="exact"/>
        <w:ind w:firstLine="642"/>
        <w:outlineLvl w:val="0"/>
        <w:rPr>
          <w:rFonts w:ascii="宋体" w:eastAsia="宋体" w:cs="宋体" w:hint="eastAsia"/>
          <w:b/>
          <w:bCs/>
          <w:sz w:val="32"/>
          <w:szCs w:val="32"/>
        </w:rPr>
      </w:pPr>
      <w:r>
        <w:rPr>
          <w:rFonts w:ascii="宋体" w:eastAsia="宋体" w:cs="宋体" w:hint="eastAsia"/>
          <w:b/>
          <w:bCs/>
          <w:sz w:val="32"/>
          <w:szCs w:val="32"/>
        </w:rPr>
        <w:t>四、绩效评价分析（</w:t>
      </w:r>
      <w:r>
        <w:rPr>
          <w:rFonts w:ascii="宋体" w:eastAsia="宋体" w:cs="宋体" w:hint="eastAsia"/>
          <w:b/>
          <w:bCs/>
          <w:sz w:val="32"/>
          <w:szCs w:val="32"/>
          <w:lang w:val="zh-CN"/>
        </w:rPr>
        <w:t>含问题分析说明</w:t>
      </w:r>
      <w:r>
        <w:rPr>
          <w:rFonts w:ascii="宋体" w:eastAsia="宋体" w:cs="宋体" w:hint="eastAsia"/>
          <w:b/>
          <w:bCs/>
          <w:sz w:val="32"/>
          <w:szCs w:val="32"/>
        </w:rPr>
        <w:t>）</w:t>
      </w:r>
    </w:p>
    <w:p>
      <w:pPr>
        <w:pStyle w:val="42"/>
        <w:adjustRightInd w:val="0"/>
        <w:snapToGrid w:val="0"/>
        <w:spacing w:line="600" w:lineRule="exact"/>
        <w:ind w:firstLine="642"/>
        <w:outlineLvl w:val="0"/>
        <w:rPr>
          <w:rFonts w:ascii="仿宋_GB2312" w:eastAsia="仿宋_GB2312" w:cs="仿宋_GB2312" w:hint="eastAsia"/>
          <w:sz w:val="32"/>
          <w:szCs w:val="32"/>
        </w:rPr>
      </w:pPr>
      <w:r>
        <w:rPr>
          <w:rFonts w:ascii="楷体_GB2312" w:eastAsia="楷体_GB2312" w:cs="Times New Roman" w:hint="eastAsia"/>
          <w:b/>
          <w:sz w:val="32"/>
          <w:szCs w:val="32"/>
          <w:lang w:val="zh-CN"/>
        </w:rPr>
        <w:t xml:space="preserve">（一）资金使用管理  </w:t>
      </w:r>
    </w:p>
    <w:p>
      <w:pPr>
        <w:pStyle w:val="42"/>
        <w:adjustRightInd w:val="0"/>
        <w:snapToGrid w:val="0"/>
        <w:spacing w:line="600" w:lineRule="exact"/>
        <w:ind w:firstLine="720"/>
        <w:rPr>
          <w:rFonts w:ascii="仿宋_GB2312" w:eastAsia="仿宋_GB2312" w:cs="仿宋_GB2312" w:hint="eastAsia"/>
          <w:sz w:val="32"/>
          <w:szCs w:val="32"/>
        </w:rPr>
      </w:pPr>
      <w:r>
        <w:rPr>
          <w:rFonts w:ascii="仿宋_GB2312" w:eastAsia="仿宋_GB2312" w:cs="仿宋_GB2312" w:hint="eastAsia"/>
          <w:b/>
          <w:bCs/>
          <w:sz w:val="32"/>
          <w:szCs w:val="32"/>
        </w:rPr>
        <w:t>1.资金到位情况</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2020年12月31号茂财建【2020】136号文件</w:t>
      </w:r>
      <w:r>
        <w:rPr>
          <w:rFonts w:ascii="仿宋_GB2312" w:eastAsia="仿宋_GB2312" w:cs="仿宋_GB2312" w:hint="eastAsia"/>
          <w:sz w:val="32"/>
          <w:szCs w:val="32"/>
        </w:rPr>
        <w:t>下达</w:t>
      </w:r>
      <w:r>
        <w:rPr>
          <w:rFonts w:ascii="仿宋_GB2312" w:eastAsia="仿宋_GB2312" w:cs="仿宋_GB2312" w:hint="eastAsia"/>
          <w:sz w:val="32"/>
          <w:szCs w:val="32"/>
          <w:lang w:val="en-US" w:eastAsia="zh-CN"/>
        </w:rPr>
        <w:t>资金210万</w:t>
      </w:r>
      <w:r>
        <w:rPr>
          <w:rFonts w:ascii="仿宋_GB2312" w:eastAsia="仿宋_GB2312" w:cs="仿宋_GB2312" w:hint="eastAsia"/>
          <w:sz w:val="32"/>
          <w:szCs w:val="32"/>
        </w:rPr>
        <w:t>。</w:t>
      </w:r>
    </w:p>
    <w:p>
      <w:pPr>
        <w:pStyle w:val="42"/>
        <w:adjustRightInd w:val="0"/>
        <w:snapToGrid w:val="0"/>
        <w:spacing w:line="600" w:lineRule="exact"/>
        <w:ind w:firstLine="720"/>
        <w:rPr>
          <w:rFonts w:ascii="仿宋_GB2312" w:eastAsia="仿宋_GB2312" w:cs="仿宋_GB2312"/>
          <w:sz w:val="32"/>
          <w:szCs w:val="32"/>
          <w:lang w:val="en-US" w:eastAsia="zh-CN"/>
        </w:rPr>
      </w:pPr>
      <w:r>
        <w:rPr>
          <w:rFonts w:ascii="仿宋_GB2312" w:eastAsia="仿宋_GB2312" w:cs="仿宋_GB2312" w:hint="eastAsia"/>
          <w:b/>
          <w:bCs/>
          <w:sz w:val="32"/>
          <w:szCs w:val="32"/>
        </w:rPr>
        <w:t>2.资金使用情况</w:t>
      </w:r>
      <w:r>
        <w:rPr>
          <w:rFonts w:ascii="仿宋_GB2312" w:eastAsia="仿宋_GB2312" w:cs="仿宋_GB2312" w:hint="eastAsia"/>
          <w:sz w:val="32"/>
          <w:szCs w:val="32"/>
          <w:lang w:eastAsia="zh-CN"/>
        </w:rPr>
        <w:t>：</w:t>
      </w:r>
      <w:r>
        <w:rPr>
          <w:rFonts w:ascii="仿宋_GB2312" w:eastAsia="仿宋_GB2312" w:cs="仿宋_GB2312" w:hint="eastAsia"/>
          <w:sz w:val="32"/>
          <w:szCs w:val="32"/>
        </w:rPr>
        <w:t>完成投资总额1,997,291.89元，其中：建筑安装工程投资1,697,146.00元、待摊投资300,145.89元</w:t>
      </w:r>
      <w:r>
        <w:rPr>
          <w:rFonts w:ascii="仿宋_GB2312" w:eastAsia="仿宋_GB2312" w:cs="仿宋_GB2312" w:hint="eastAsia"/>
          <w:sz w:val="32"/>
          <w:szCs w:val="32"/>
          <w:lang w:val="en-US" w:eastAsia="zh-CN"/>
        </w:rPr>
        <w:t>.已支付1938596.11元。</w:t>
      </w:r>
    </w:p>
    <w:p>
      <w:pPr>
        <w:pStyle w:val="42"/>
        <w:adjustRightInd w:val="0"/>
        <w:snapToGrid w:val="0"/>
        <w:spacing w:line="600" w:lineRule="exact"/>
        <w:ind w:firstLine="720"/>
        <w:rPr>
          <w:rFonts w:ascii="仿宋_GB2312" w:eastAsia="仿宋_GB2312" w:cs="仿宋_GB2312" w:hint="eastAsia"/>
          <w:sz w:val="32"/>
          <w:szCs w:val="32"/>
        </w:rPr>
      </w:pPr>
      <w:r>
        <w:rPr>
          <w:rFonts w:ascii="仿宋_GB2312" w:eastAsia="仿宋_GB2312" w:cs="仿宋_GB2312" w:hint="eastAsia"/>
          <w:b/>
          <w:bCs/>
          <w:sz w:val="32"/>
          <w:szCs w:val="32"/>
        </w:rPr>
        <w:t>3.资金管理情况</w:t>
      </w:r>
      <w:r>
        <w:rPr>
          <w:rFonts w:ascii="仿宋_GB2312" w:eastAsia="仿宋_GB2312" w:cs="仿宋_GB2312" w:hint="eastAsia"/>
          <w:sz w:val="32"/>
          <w:szCs w:val="32"/>
          <w:lang w:eastAsia="zh-CN"/>
        </w:rPr>
        <w:t>：</w:t>
      </w:r>
      <w:r>
        <w:rPr>
          <w:rFonts w:ascii="仿宋_GB2312" w:eastAsia="仿宋_GB2312" w:cs="仿宋_GB2312" w:hint="eastAsia"/>
          <w:sz w:val="32"/>
          <w:szCs w:val="32"/>
        </w:rPr>
        <w:t>财务管理制度健全，</w:t>
      </w:r>
      <w:r>
        <w:rPr>
          <w:rFonts w:ascii="仿宋_GB2312" w:eastAsia="仿宋_GB2312" w:cs="仿宋_GB2312" w:hint="eastAsia"/>
          <w:sz w:val="32"/>
          <w:szCs w:val="32"/>
          <w:lang w:val="en-US" w:eastAsia="zh-CN"/>
        </w:rPr>
        <w:t>并</w:t>
      </w:r>
      <w:r>
        <w:rPr>
          <w:rFonts w:ascii="仿宋_GB2312" w:eastAsia="仿宋_GB2312" w:cs="仿宋_GB2312" w:hint="eastAsia"/>
          <w:sz w:val="32"/>
          <w:szCs w:val="32"/>
        </w:rPr>
        <w:t>严格执行财务管理制度，账务处理及时，会计核算规范。</w:t>
      </w:r>
    </w:p>
    <w:p>
      <w:pPr>
        <w:pStyle w:val="42"/>
        <w:adjustRightInd w:val="0"/>
        <w:snapToGrid w:val="0"/>
        <w:spacing w:line="600" w:lineRule="exact"/>
        <w:ind w:firstLine="642"/>
        <w:outlineLvl w:val="0"/>
        <w:rPr>
          <w:rFonts w:ascii="楷体_GB2312" w:eastAsia="楷体_GB2312" w:cs="Times New Roman" w:hint="eastAsia"/>
          <w:b/>
          <w:sz w:val="32"/>
          <w:szCs w:val="32"/>
          <w:lang w:val="zh-CN"/>
        </w:rPr>
      </w:pPr>
      <w:r>
        <w:rPr>
          <w:rFonts w:ascii="楷体_GB2312" w:eastAsia="楷体_GB2312" w:cs="Times New Roman" w:hint="eastAsia"/>
          <w:b/>
          <w:sz w:val="32"/>
          <w:szCs w:val="32"/>
          <w:lang w:val="zh-CN"/>
        </w:rPr>
        <w:t>（二）项目实施管理</w:t>
      </w:r>
    </w:p>
    <w:p>
      <w:pPr>
        <w:pStyle w:val="42"/>
        <w:adjustRightInd w:val="0"/>
        <w:snapToGrid w:val="0"/>
        <w:spacing w:line="600" w:lineRule="exact"/>
        <w:ind w:firstLine="642"/>
        <w:outlineLvl w:val="0"/>
        <w:rPr>
          <w:rFonts w:ascii="仿宋_GB2312" w:eastAsia="仿宋_GB2312" w:cs="仿宋_GB2312" w:hint="eastAsia"/>
          <w:sz w:val="32"/>
          <w:szCs w:val="32"/>
          <w:lang w:eastAsia="zh-CN"/>
        </w:rPr>
      </w:pPr>
      <w:r>
        <w:rPr>
          <w:rFonts w:ascii="仿宋_GB2312" w:eastAsia="仿宋_GB2312" w:cs="仿宋_GB2312" w:hint="eastAsia"/>
          <w:b/>
          <w:bCs/>
          <w:sz w:val="32"/>
          <w:szCs w:val="32"/>
        </w:rPr>
        <w:t>1.</w:t>
      </w:r>
      <w:r>
        <w:rPr>
          <w:rFonts w:ascii="仿宋_GB2312" w:eastAsia="仿宋_GB2312" w:cs="仿宋_GB2312" w:hint="eastAsia"/>
          <w:b/>
          <w:bCs/>
          <w:sz w:val="32"/>
          <w:szCs w:val="32"/>
          <w:lang w:val="zh-CN"/>
        </w:rPr>
        <w:t>项目完成数量</w:t>
      </w:r>
      <w:r>
        <w:rPr>
          <w:rFonts w:ascii="仿宋_GB2312" w:eastAsia="仿宋_GB2312" w:cs="仿宋_GB2312" w:hint="eastAsia"/>
          <w:sz w:val="32"/>
          <w:szCs w:val="32"/>
          <w:lang w:val="zh-CN"/>
        </w:rPr>
        <w:t>：</w:t>
      </w:r>
      <w:r>
        <w:rPr>
          <w:rFonts w:ascii="仿宋_GB2312" w:eastAsia="仿宋_GB2312" w:cs="仿宋_GB2312" w:hint="eastAsia"/>
          <w:sz w:val="32"/>
          <w:szCs w:val="32"/>
        </w:rPr>
        <w:t>碎石道路7000米。排水沟7000米，过水涵洞13道，单柱式警告标志28个</w:t>
      </w:r>
      <w:r>
        <w:rPr>
          <w:rFonts w:ascii="仿宋_GB2312" w:eastAsia="仿宋_GB2312" w:cs="仿宋_GB2312" w:hint="eastAsia"/>
          <w:sz w:val="32"/>
          <w:szCs w:val="32"/>
          <w:lang w:eastAsia="zh-CN"/>
        </w:rPr>
        <w:t>；</w:t>
      </w:r>
    </w:p>
    <w:p>
      <w:pPr>
        <w:pStyle w:val="42"/>
        <w:adjustRightInd w:val="0"/>
        <w:snapToGrid w:val="0"/>
        <w:spacing w:line="600" w:lineRule="exact"/>
        <w:ind w:firstLine="642"/>
        <w:outlineLvl w:val="0"/>
        <w:rPr>
          <w:rFonts w:ascii="仿宋_GB2312" w:eastAsia="仿宋_GB2312" w:cs="仿宋_GB2312" w:hint="eastAsia"/>
          <w:sz w:val="32"/>
          <w:szCs w:val="32"/>
          <w:lang w:val="zh-CN"/>
        </w:rPr>
      </w:pPr>
      <w:r>
        <w:rPr>
          <w:rFonts w:ascii="仿宋_GB2312" w:eastAsia="仿宋_GB2312" w:cs="仿宋_GB2312" w:hint="eastAsia"/>
          <w:b/>
          <w:bCs/>
          <w:sz w:val="32"/>
          <w:szCs w:val="32"/>
        </w:rPr>
        <w:t>2.</w:t>
      </w:r>
      <w:r>
        <w:rPr>
          <w:rFonts w:ascii="仿宋_GB2312" w:eastAsia="仿宋_GB2312" w:cs="仿宋_GB2312" w:hint="eastAsia"/>
          <w:b/>
          <w:bCs/>
          <w:sz w:val="32"/>
          <w:szCs w:val="32"/>
          <w:lang w:val="zh-CN"/>
        </w:rPr>
        <w:t>项目完成质量</w:t>
      </w:r>
      <w:r>
        <w:rPr>
          <w:rFonts w:ascii="仿宋_GB2312" w:eastAsia="仿宋_GB2312" w:cs="仿宋_GB2312" w:hint="eastAsia"/>
          <w:sz w:val="32"/>
          <w:szCs w:val="32"/>
          <w:lang w:val="zh-CN"/>
        </w:rPr>
        <w:t>：</w:t>
      </w:r>
      <w:r>
        <w:rPr>
          <w:rFonts w:ascii="仿宋_GB2312" w:eastAsia="仿宋_GB2312" w:cs="仿宋_GB2312" w:hint="eastAsia"/>
          <w:sz w:val="32"/>
          <w:szCs w:val="32"/>
          <w:lang w:val="en-US" w:eastAsia="zh-CN"/>
        </w:rPr>
        <w:t>该</w:t>
      </w:r>
      <w:r>
        <w:rPr>
          <w:rFonts w:ascii="仿宋_GB2312" w:eastAsia="仿宋_GB2312" w:cs="仿宋_GB2312" w:hint="eastAsia"/>
          <w:sz w:val="32"/>
          <w:szCs w:val="32"/>
          <w:lang w:val="zh-CN"/>
        </w:rPr>
        <w:t>项目完成</w:t>
      </w:r>
      <w:r>
        <w:rPr>
          <w:rFonts w:ascii="仿宋_GB2312" w:eastAsia="仿宋_GB2312" w:cs="仿宋_GB2312" w:hint="eastAsia"/>
          <w:sz w:val="32"/>
          <w:szCs w:val="32"/>
          <w:lang w:val="en-US" w:eastAsia="zh-CN"/>
        </w:rPr>
        <w:t>预计</w:t>
      </w:r>
      <w:r>
        <w:rPr>
          <w:rFonts w:ascii="仿宋_GB2312" w:eastAsia="仿宋_GB2312" w:cs="仿宋_GB2312" w:hint="eastAsia"/>
          <w:sz w:val="32"/>
          <w:szCs w:val="32"/>
          <w:lang w:val="zh-CN"/>
        </w:rPr>
        <w:t>质量；</w:t>
      </w:r>
    </w:p>
    <w:p>
      <w:pPr>
        <w:pStyle w:val="42"/>
        <w:adjustRightInd w:val="0"/>
        <w:snapToGrid w:val="0"/>
        <w:spacing w:line="600" w:lineRule="exact"/>
        <w:ind w:firstLine="642"/>
        <w:outlineLvl w:val="0"/>
        <w:rPr>
          <w:rFonts w:ascii="仿宋_GB2312" w:eastAsia="仿宋_GB2312" w:cs="仿宋_GB2312" w:hint="eastAsia"/>
          <w:sz w:val="32"/>
          <w:szCs w:val="32"/>
          <w:lang w:val="zh-CN"/>
        </w:rPr>
      </w:pPr>
      <w:r>
        <w:rPr>
          <w:rFonts w:ascii="仿宋_GB2312" w:eastAsia="仿宋_GB2312" w:cs="仿宋_GB2312" w:hint="eastAsia"/>
          <w:b/>
          <w:bCs/>
          <w:sz w:val="32"/>
          <w:szCs w:val="32"/>
        </w:rPr>
        <w:t>3.</w:t>
      </w:r>
      <w:r>
        <w:rPr>
          <w:rFonts w:ascii="仿宋_GB2312" w:eastAsia="仿宋_GB2312" w:cs="仿宋_GB2312" w:hint="eastAsia"/>
          <w:b/>
          <w:bCs/>
          <w:sz w:val="32"/>
          <w:szCs w:val="32"/>
          <w:lang w:val="zh-CN"/>
        </w:rPr>
        <w:t>项目完成进度</w:t>
      </w:r>
      <w:r>
        <w:rPr>
          <w:rFonts w:ascii="仿宋_GB2312" w:eastAsia="仿宋_GB2312" w:cs="仿宋_GB2312" w:hint="eastAsia"/>
          <w:sz w:val="32"/>
          <w:szCs w:val="32"/>
          <w:lang w:val="zh-CN"/>
        </w:rPr>
        <w:t>：</w:t>
      </w:r>
      <w:r>
        <w:rPr>
          <w:rFonts w:ascii="仿宋_GB2312" w:eastAsia="仿宋_GB2312" w:cs="仿宋_GB2312" w:hint="eastAsia"/>
          <w:sz w:val="32"/>
          <w:szCs w:val="32"/>
          <w:lang w:val="en-US" w:eastAsia="zh-CN"/>
        </w:rPr>
        <w:t>该项目按</w:t>
      </w:r>
      <w:r>
        <w:rPr>
          <w:rFonts w:ascii="仿宋_GB2312" w:eastAsia="仿宋_GB2312" w:cs="仿宋_GB2312" w:hint="eastAsia"/>
          <w:sz w:val="32"/>
          <w:szCs w:val="32"/>
          <w:lang w:val="zh-CN"/>
        </w:rPr>
        <w:t>计划完成进度；</w:t>
      </w:r>
    </w:p>
    <w:p>
      <w:pPr>
        <w:pStyle w:val="42"/>
        <w:adjustRightInd w:val="0"/>
        <w:snapToGrid w:val="0"/>
        <w:spacing w:line="600" w:lineRule="exact"/>
        <w:ind w:firstLine="642"/>
        <w:outlineLvl w:val="0"/>
        <w:rPr>
          <w:rFonts w:ascii="仿宋_GB2312" w:eastAsia="仿宋_GB2312" w:cs="仿宋_GB2312" w:hint="eastAsia"/>
          <w:sz w:val="32"/>
          <w:szCs w:val="32"/>
          <w:lang w:val="zh-CN"/>
        </w:rPr>
      </w:pPr>
      <w:r>
        <w:rPr>
          <w:rFonts w:ascii="仿宋_GB2312" w:eastAsia="仿宋_GB2312" w:cs="仿宋_GB2312" w:hint="eastAsia"/>
          <w:b/>
          <w:bCs/>
          <w:sz w:val="32"/>
          <w:szCs w:val="32"/>
        </w:rPr>
        <w:t>4.</w:t>
      </w:r>
      <w:r>
        <w:rPr>
          <w:rFonts w:ascii="仿宋_GB2312" w:eastAsia="仿宋_GB2312" w:cs="仿宋_GB2312" w:hint="eastAsia"/>
          <w:b/>
          <w:bCs/>
          <w:sz w:val="32"/>
          <w:szCs w:val="32"/>
          <w:lang w:val="zh-CN"/>
        </w:rPr>
        <w:t>项目管理情况</w:t>
      </w:r>
      <w:r>
        <w:rPr>
          <w:rFonts w:ascii="仿宋_GB2312" w:eastAsia="仿宋_GB2312" w:cs="仿宋_GB2312" w:hint="eastAsia"/>
          <w:sz w:val="32"/>
          <w:szCs w:val="32"/>
          <w:lang w:val="zh-CN"/>
        </w:rPr>
        <w:t>：</w:t>
      </w:r>
      <w:r>
        <w:rPr>
          <w:rFonts w:ascii="仿宋_GB2312" w:eastAsia="仿宋_GB2312" w:cs="仿宋_GB2312" w:hint="eastAsia"/>
          <w:sz w:val="32"/>
          <w:szCs w:val="32"/>
          <w:lang w:val="en-US" w:eastAsia="zh-CN"/>
        </w:rPr>
        <w:t>该项目委托</w:t>
      </w:r>
      <w:r>
        <w:rPr>
          <w:rFonts w:ascii="仿宋_GB2312" w:eastAsia="仿宋_GB2312" w:cs="仿宋_GB2312" w:hint="eastAsia"/>
          <w:sz w:val="32"/>
          <w:szCs w:val="32"/>
        </w:rPr>
        <w:t>上励建设工程有限公司（监理单位）、四川省凯锐建设有限公司（项目管理单位）</w:t>
      </w:r>
      <w:r>
        <w:rPr>
          <w:rFonts w:ascii="仿宋_GB2312" w:eastAsia="仿宋_GB2312" w:cs="仿宋_GB2312" w:hint="eastAsia"/>
          <w:sz w:val="32"/>
          <w:szCs w:val="32"/>
          <w:lang w:val="en-US" w:eastAsia="zh-CN"/>
        </w:rPr>
        <w:t>及业主方茂县国有林场严格依照现场施工</w:t>
      </w:r>
      <w:r>
        <w:rPr>
          <w:rFonts w:ascii="仿宋_GB2312" w:eastAsia="仿宋_GB2312" w:cs="仿宋_GB2312" w:hint="eastAsia"/>
          <w:sz w:val="32"/>
          <w:szCs w:val="32"/>
          <w:lang w:val="zh-CN"/>
        </w:rPr>
        <w:t>监管</w:t>
      </w:r>
      <w:r>
        <w:rPr>
          <w:rFonts w:ascii="仿宋_GB2312" w:eastAsia="仿宋_GB2312" w:cs="仿宋_GB2312" w:hint="eastAsia"/>
          <w:sz w:val="32"/>
          <w:szCs w:val="32"/>
          <w:lang w:val="en-US" w:eastAsia="zh-CN"/>
        </w:rPr>
        <w:t>到位，监管程序规范</w:t>
      </w:r>
      <w:r>
        <w:rPr>
          <w:rFonts w:ascii="仿宋_GB2312" w:eastAsia="仿宋_GB2312" w:cs="仿宋_GB2312" w:hint="eastAsia"/>
          <w:sz w:val="32"/>
          <w:szCs w:val="32"/>
          <w:lang w:val="zh-CN"/>
        </w:rPr>
        <w:t>。</w:t>
      </w:r>
    </w:p>
    <w:p>
      <w:pPr>
        <w:pStyle w:val="42"/>
        <w:adjustRightInd w:val="0"/>
        <w:snapToGrid w:val="0"/>
        <w:spacing w:line="600" w:lineRule="exact"/>
        <w:ind w:firstLine="640"/>
        <w:rPr>
          <w:rFonts w:ascii="宋体" w:eastAsia="宋体" w:cs="宋体" w:hint="eastAsia"/>
          <w:b/>
          <w:bCs/>
          <w:sz w:val="32"/>
          <w:szCs w:val="32"/>
        </w:rPr>
      </w:pPr>
      <w:r>
        <w:rPr>
          <w:rFonts w:ascii="宋体" w:eastAsia="宋体" w:cs="宋体" w:hint="eastAsia"/>
          <w:b/>
          <w:bCs/>
          <w:sz w:val="32"/>
          <w:szCs w:val="32"/>
        </w:rPr>
        <w:t>五、绩效评价结论</w:t>
      </w:r>
    </w:p>
    <w:p>
      <w:pPr>
        <w:pStyle w:val="42"/>
        <w:adjustRightInd w:val="0"/>
        <w:snapToGrid w:val="0"/>
        <w:spacing w:line="600" w:lineRule="exact"/>
        <w:ind w:firstLine="640"/>
        <w:rPr>
          <w:rFonts w:ascii="仿宋_GB2312" w:eastAsia="仿宋_GB2312" w:cs="仿宋_GB2312" w:hint="eastAsia"/>
          <w:sz w:val="32"/>
          <w:szCs w:val="32"/>
          <w:lang w:val="en-US" w:eastAsia="zh-CN"/>
        </w:rPr>
      </w:pPr>
      <w:r>
        <w:rPr>
          <w:rFonts w:ascii="仿宋_GB2312" w:eastAsia="仿宋_GB2312" w:cs="仿宋_GB2312" w:hint="eastAsia"/>
          <w:b/>
          <w:bCs/>
          <w:sz w:val="32"/>
          <w:szCs w:val="32"/>
          <w:lang w:val="en-US" w:eastAsia="zh-CN"/>
        </w:rPr>
        <w:t>1.</w:t>
      </w:r>
      <w:r>
        <w:rPr>
          <w:rFonts w:ascii="仿宋_GB2312" w:eastAsia="仿宋_GB2312" w:cs="仿宋_GB2312" w:hint="eastAsia"/>
          <w:b/>
          <w:bCs/>
          <w:sz w:val="32"/>
          <w:szCs w:val="32"/>
        </w:rPr>
        <w:t xml:space="preserve"> 生态</w:t>
      </w:r>
      <w:r>
        <w:rPr>
          <w:rFonts w:ascii="仿宋_GB2312" w:eastAsia="仿宋_GB2312" w:cs="仿宋_GB2312" w:hint="eastAsia"/>
          <w:b/>
          <w:bCs/>
          <w:sz w:val="32"/>
          <w:szCs w:val="32"/>
          <w:lang w:val="en-US" w:eastAsia="zh-CN"/>
        </w:rPr>
        <w:t>效益</w:t>
      </w:r>
      <w:r>
        <w:rPr>
          <w:rFonts w:ascii="仿宋_GB2312" w:eastAsia="仿宋_GB2312" w:cs="仿宋_GB2312" w:hint="eastAsia"/>
          <w:sz w:val="32"/>
          <w:szCs w:val="32"/>
          <w:lang w:val="en-US" w:eastAsia="zh-CN"/>
        </w:rPr>
        <w:t>：通过项目建，有效提升土地岭防灭火能；</w:t>
      </w:r>
    </w:p>
    <w:p>
      <w:pPr>
        <w:pStyle w:val="42"/>
        <w:adjustRightInd w:val="0"/>
        <w:snapToGrid w:val="0"/>
        <w:spacing w:line="600" w:lineRule="exact"/>
        <w:ind w:firstLine="640"/>
        <w:rPr>
          <w:rFonts w:ascii="仿宋_GB2312" w:eastAsia="仿宋_GB2312" w:cs="仿宋_GB2312" w:hint="eastAsia"/>
          <w:sz w:val="32"/>
          <w:szCs w:val="32"/>
          <w:lang w:eastAsia="zh-CN"/>
        </w:rPr>
      </w:pPr>
      <w:r>
        <w:rPr>
          <w:rFonts w:ascii="仿宋_GB2312" w:eastAsia="仿宋_GB2312" w:cs="仿宋_GB2312" w:hint="eastAsia"/>
          <w:b/>
          <w:bCs/>
          <w:sz w:val="32"/>
          <w:szCs w:val="32"/>
          <w:lang w:val="en-US" w:eastAsia="zh-CN"/>
        </w:rPr>
        <w:t>2.</w:t>
      </w:r>
      <w:r>
        <w:rPr>
          <w:rFonts w:ascii="仿宋_GB2312" w:eastAsia="仿宋_GB2312" w:cs="仿宋_GB2312" w:hint="eastAsia"/>
          <w:b/>
          <w:bCs/>
          <w:sz w:val="32"/>
          <w:szCs w:val="32"/>
        </w:rPr>
        <w:t>经济</w:t>
      </w:r>
      <w:r>
        <w:rPr>
          <w:rFonts w:ascii="仿宋_GB2312" w:eastAsia="仿宋_GB2312" w:cs="仿宋_GB2312" w:hint="eastAsia"/>
          <w:b/>
          <w:bCs/>
          <w:sz w:val="32"/>
          <w:szCs w:val="32"/>
          <w:lang w:val="en-US" w:eastAsia="zh-CN"/>
        </w:rPr>
        <w:t>效益</w:t>
      </w:r>
      <w:r>
        <w:rPr>
          <w:rFonts w:ascii="仿宋_GB2312" w:eastAsia="仿宋_GB2312" w:cs="仿宋_GB2312" w:hint="eastAsia"/>
          <w:sz w:val="32"/>
          <w:szCs w:val="32"/>
          <w:lang w:val="en-US" w:eastAsia="zh-CN"/>
        </w:rPr>
        <w:t>：通过项目建设</w:t>
      </w:r>
      <w:r>
        <w:rPr>
          <w:rFonts w:ascii="仿宋_GB2312" w:eastAsia="仿宋_GB2312" w:cs="仿宋_GB2312" w:hint="eastAsia"/>
          <w:sz w:val="32"/>
          <w:szCs w:val="32"/>
        </w:rPr>
        <w:t>可减少森林火灾的发生，维护自然生态环境的健康发展，这必将减少森林火灾造成的人、财、物损失，促进当地旅游业以及社会经济的持续发展，这是项目建设带来的间接经济效益</w:t>
      </w:r>
      <w:r>
        <w:rPr>
          <w:rFonts w:ascii="仿宋_GB2312" w:eastAsia="仿宋_GB2312" w:cs="仿宋_GB2312" w:hint="eastAsia"/>
          <w:sz w:val="32"/>
          <w:szCs w:val="32"/>
          <w:lang w:eastAsia="zh-CN"/>
        </w:rPr>
        <w:t>。</w:t>
      </w:r>
    </w:p>
    <w:p>
      <w:pPr>
        <w:pStyle w:val="42"/>
        <w:adjustRightInd w:val="0"/>
        <w:snapToGrid w:val="0"/>
        <w:spacing w:line="600" w:lineRule="exact"/>
        <w:ind w:firstLine="720"/>
        <w:rPr>
          <w:rFonts w:ascii="仿宋_GB2312" w:eastAsia="仿宋_GB2312" w:cs="仿宋_GB2312" w:hint="eastAsia"/>
          <w:sz w:val="32"/>
          <w:szCs w:val="32"/>
          <w:lang w:val="zh-CN" w:eastAsia="zh-CN"/>
        </w:rPr>
      </w:pPr>
      <w:r>
        <w:rPr>
          <w:rFonts w:ascii="仿宋_GB2312" w:eastAsia="仿宋_GB2312" w:cs="仿宋_GB2312" w:hint="eastAsia"/>
          <w:b/>
          <w:bCs/>
          <w:sz w:val="32"/>
          <w:szCs w:val="32"/>
          <w:lang w:val="en-US" w:eastAsia="zh-CN"/>
        </w:rPr>
        <w:t>3.</w:t>
      </w:r>
      <w:r>
        <w:rPr>
          <w:rFonts w:ascii="仿宋_GB2312" w:eastAsia="仿宋_GB2312" w:cs="仿宋_GB2312" w:hint="eastAsia"/>
          <w:b/>
          <w:bCs/>
          <w:sz w:val="32"/>
          <w:szCs w:val="32"/>
        </w:rPr>
        <w:t>社会</w:t>
      </w:r>
      <w:r>
        <w:rPr>
          <w:rFonts w:ascii="仿宋_GB2312" w:eastAsia="仿宋_GB2312" w:cs="仿宋_GB2312" w:hint="eastAsia"/>
          <w:b/>
          <w:bCs/>
          <w:sz w:val="32"/>
          <w:szCs w:val="32"/>
          <w:lang w:val="en-US" w:eastAsia="zh-CN"/>
        </w:rPr>
        <w:t>效益</w:t>
      </w:r>
      <w:r>
        <w:rPr>
          <w:rFonts w:ascii="仿宋_GB2312" w:eastAsia="仿宋_GB2312" w:cs="仿宋_GB2312" w:hint="eastAsia"/>
          <w:sz w:val="32"/>
          <w:szCs w:val="32"/>
          <w:lang w:val="en-US" w:eastAsia="zh-CN"/>
        </w:rPr>
        <w:t>：</w:t>
      </w:r>
      <w:r>
        <w:rPr>
          <w:rFonts w:ascii="仿宋_GB2312" w:eastAsia="仿宋_GB2312" w:cs="仿宋_GB2312" w:hint="eastAsia"/>
          <w:sz w:val="32"/>
          <w:szCs w:val="32"/>
        </w:rPr>
        <w:t>项目实施有利于保护</w:t>
      </w:r>
      <w:r>
        <w:rPr>
          <w:rFonts w:ascii="仿宋_GB2312" w:eastAsia="仿宋_GB2312" w:cs="仿宋_GB2312" w:hint="eastAsia"/>
          <w:sz w:val="32"/>
          <w:szCs w:val="32"/>
          <w:lang w:val="en-US" w:eastAsia="zh-CN"/>
        </w:rPr>
        <w:t>土地岭国有林区</w:t>
      </w:r>
      <w:r>
        <w:rPr>
          <w:rFonts w:ascii="仿宋_GB2312" w:eastAsia="仿宋_GB2312" w:cs="仿宋_GB2312" w:hint="eastAsia"/>
          <w:sz w:val="32"/>
          <w:szCs w:val="32"/>
        </w:rPr>
        <w:t>森林资源的稳定，促进林业事业发展，维护人居生态环境，改善人们生产、生活条件。同时，有效保护以森林为主的自然生态系统，维护生物多样性</w:t>
      </w:r>
      <w:r>
        <w:rPr>
          <w:rFonts w:ascii="仿宋_GB2312" w:eastAsia="仿宋_GB2312" w:cs="仿宋_GB2312" w:hint="eastAsia"/>
          <w:sz w:val="32"/>
          <w:szCs w:val="32"/>
          <w:lang w:eastAsia="zh-CN"/>
        </w:rPr>
        <w:t>。</w:t>
      </w:r>
    </w:p>
    <w:p>
      <w:pPr>
        <w:pStyle w:val="42"/>
        <w:adjustRightInd w:val="0"/>
        <w:snapToGrid w:val="0"/>
        <w:spacing w:line="600" w:lineRule="exact"/>
        <w:rPr>
          <w:rFonts w:ascii="宋体" w:eastAsia="宋体" w:cs="宋体" w:hint="eastAsia"/>
          <w:b/>
          <w:bCs/>
          <w:sz w:val="32"/>
          <w:szCs w:val="32"/>
        </w:rPr>
      </w:pPr>
      <w:r>
        <w:rPr>
          <w:rFonts w:ascii="宋体" w:eastAsia="宋体" w:cs="宋体" w:hint="eastAsia"/>
          <w:sz w:val="32"/>
          <w:szCs w:val="32"/>
        </w:rPr>
        <w:t xml:space="preserve">    </w:t>
      </w:r>
      <w:r>
        <w:rPr>
          <w:rFonts w:ascii="宋体" w:eastAsia="宋体" w:cs="宋体" w:hint="eastAsia"/>
          <w:b/>
          <w:bCs/>
          <w:sz w:val="32"/>
          <w:szCs w:val="32"/>
        </w:rPr>
        <w:t>六、绩效评价意见</w:t>
      </w:r>
    </w:p>
    <w:p>
      <w:pPr>
        <w:pStyle w:val="42"/>
        <w:adjustRightInd w:val="0"/>
        <w:snapToGrid w:val="0"/>
        <w:spacing w:line="600" w:lineRule="exact"/>
        <w:ind w:firstLine="720"/>
        <w:rPr>
          <w:rFonts w:ascii="仿宋_GB2312" w:eastAsia="仿宋_GB2312" w:cs="仿宋_GB2312" w:hint="eastAsia"/>
          <w:sz w:val="32"/>
          <w:szCs w:val="32"/>
        </w:rPr>
      </w:pPr>
      <w:r>
        <w:rPr>
          <w:rFonts w:ascii="仿宋_GB2312" w:eastAsia="仿宋_GB2312" w:cs="仿宋_GB2312" w:hint="eastAsia"/>
          <w:sz w:val="32"/>
          <w:szCs w:val="32"/>
        </w:rPr>
        <w:t>为确保</w:t>
      </w:r>
      <w:r>
        <w:rPr>
          <w:rFonts w:ascii="仿宋_GB2312" w:eastAsia="仿宋_GB2312" w:cs="仿宋_GB2312" w:hint="eastAsia"/>
          <w:sz w:val="32"/>
          <w:szCs w:val="32"/>
          <w:lang w:val="en-US" w:eastAsia="zh-CN"/>
        </w:rPr>
        <w:t>防灭火通道</w:t>
      </w:r>
      <w:r>
        <w:rPr>
          <w:rFonts w:ascii="仿宋_GB2312" w:eastAsia="仿宋_GB2312" w:cs="仿宋_GB2312" w:hint="eastAsia"/>
          <w:sz w:val="32"/>
          <w:szCs w:val="32"/>
        </w:rPr>
        <w:t>正常运行，</w:t>
      </w:r>
      <w:r>
        <w:rPr>
          <w:rFonts w:ascii="仿宋_GB2312" w:eastAsia="仿宋_GB2312" w:cs="仿宋_GB2312" w:hint="eastAsia"/>
          <w:sz w:val="32"/>
          <w:szCs w:val="32"/>
          <w:lang w:val="en-US" w:eastAsia="zh-CN"/>
        </w:rPr>
        <w:t>后期</w:t>
      </w:r>
      <w:r>
        <w:rPr>
          <w:rFonts w:ascii="仿宋_GB2312" w:eastAsia="仿宋_GB2312" w:cs="仿宋_GB2312" w:hint="eastAsia"/>
          <w:sz w:val="32"/>
          <w:szCs w:val="32"/>
        </w:rPr>
        <w:t>需要</w:t>
      </w:r>
      <w:r>
        <w:rPr>
          <w:rFonts w:ascii="仿宋_GB2312" w:eastAsia="仿宋_GB2312" w:cs="仿宋_GB2312" w:hint="eastAsia"/>
          <w:sz w:val="32"/>
          <w:szCs w:val="32"/>
          <w:lang w:val="en-US" w:eastAsia="zh-CN"/>
        </w:rPr>
        <w:t>长期</w:t>
      </w:r>
      <w:r>
        <w:rPr>
          <w:rFonts w:ascii="仿宋_GB2312" w:eastAsia="仿宋_GB2312" w:cs="仿宋_GB2312" w:hint="eastAsia"/>
          <w:sz w:val="32"/>
          <w:szCs w:val="32"/>
        </w:rPr>
        <w:t>维护管理，建议安排</w:t>
      </w:r>
      <w:r>
        <w:rPr>
          <w:rFonts w:ascii="仿宋_GB2312" w:eastAsia="仿宋_GB2312" w:cs="仿宋_GB2312" w:hint="eastAsia"/>
          <w:sz w:val="32"/>
          <w:szCs w:val="32"/>
          <w:lang w:val="en-US" w:eastAsia="zh-CN"/>
        </w:rPr>
        <w:t>道路维护</w:t>
      </w:r>
      <w:r>
        <w:rPr>
          <w:rFonts w:ascii="仿宋_GB2312" w:eastAsia="仿宋_GB2312" w:cs="仿宋_GB2312" w:hint="eastAsia"/>
          <w:sz w:val="32"/>
          <w:szCs w:val="32"/>
        </w:rPr>
        <w:t>资金，确保项目建设成效。</w:t>
      </w:r>
    </w:p>
    <w:p>
      <w:pPr>
        <w:pStyle w:val="43"/>
        <w:rPr>
          <w:rFonts w:hint="eastAsia"/>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ind w:firstLineChars="200" w:firstLine="880"/>
        <w:jc w:val="both"/>
        <w:rPr>
          <w:rFonts w:ascii="方正小标宋简体" w:eastAsia="方正小标宋简体" w:cs="Times New Roman" w:hint="eastAsia"/>
          <w:sz w:val="44"/>
          <w:szCs w:val="44"/>
          <w:lang w:val="en-US" w:eastAsia="zh-CN"/>
        </w:rPr>
      </w:pPr>
      <w:r>
        <w:rPr>
          <w:rFonts w:ascii="方正小标宋简体" w:eastAsia="方正小标宋简体" w:cs="Times New Roman" w:hint="eastAsia"/>
          <w:sz w:val="44"/>
          <w:szCs w:val="44"/>
          <w:lang w:val="en-US" w:eastAsia="zh-CN"/>
        </w:rPr>
        <w:t>2021年度项目支出绩效自评报告</w:t>
      </w:r>
    </w:p>
    <w:p>
      <w:pPr>
        <w:pStyle w:val="40"/>
        <w:spacing w:line="600" w:lineRule="exact"/>
        <w:jc w:val="center"/>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（集体和个人所有公益林生态效益补偿项目）</w:t>
      </w:r>
    </w:p>
    <w:p>
      <w:pPr>
        <w:pStyle w:val="40"/>
        <w:spacing w:line="600" w:lineRule="exact"/>
        <w:ind w:firstLine="640"/>
        <w:jc w:val="center"/>
        <w:rPr>
          <w:rFonts w:ascii="仿宋_GB2312" w:eastAsia="仿宋_GB2312" w:cs="仿宋_GB2312" w:hint="eastAsia"/>
          <w:color w:val="auto"/>
          <w:kern w:val="2"/>
          <w:sz w:val="32"/>
          <w:szCs w:val="32"/>
        </w:rPr>
      </w:pPr>
    </w:p>
    <w:p>
      <w:pPr>
        <w:pStyle w:val="42"/>
        <w:adjustRightInd w:val="0"/>
        <w:snapToGrid w:val="0"/>
        <w:spacing w:line="600" w:lineRule="exact"/>
        <w:ind w:firstLine="720"/>
        <w:rPr>
          <w:rFonts w:ascii="黑体" w:eastAsia="黑体"/>
          <w:sz w:val="32"/>
          <w:szCs w:val="32"/>
          <w:lang w:val="zh-CN"/>
        </w:rPr>
      </w:pPr>
      <w:r>
        <w:rPr>
          <w:rFonts w:ascii="黑体" w:eastAsia="黑体" w:hint="eastAsia"/>
          <w:sz w:val="32"/>
          <w:szCs w:val="32"/>
        </w:rPr>
        <w:t>一、</w:t>
      </w:r>
      <w:r>
        <w:rPr>
          <w:rFonts w:ascii="黑体" w:eastAsia="黑体" w:hint="eastAsia"/>
          <w:sz w:val="32"/>
          <w:szCs w:val="32"/>
          <w:lang w:val="zh-CN"/>
        </w:rPr>
        <w:t>项目概况</w:t>
      </w:r>
    </w:p>
    <w:p>
      <w:pPr>
        <w:pStyle w:val="42"/>
        <w:adjustRightInd w:val="0"/>
        <w:snapToGrid w:val="0"/>
        <w:spacing w:line="600" w:lineRule="exact"/>
        <w:ind w:firstLine="720"/>
        <w:rPr>
          <w:rFonts w:ascii="楷体_GB2312" w:eastAsia="楷体_GB2312" w:hint="eastAsia"/>
          <w:b/>
          <w:sz w:val="32"/>
          <w:szCs w:val="32"/>
          <w:lang w:val="zh-CN"/>
        </w:rPr>
      </w:pPr>
      <w:r>
        <w:rPr>
          <w:rFonts w:ascii="楷体_GB2312" w:eastAsia="楷体_GB2312" w:hint="eastAsia"/>
          <w:b/>
          <w:sz w:val="32"/>
          <w:szCs w:val="32"/>
          <w:lang w:val="zh-CN"/>
        </w:rPr>
        <w:t>（一）项目基本情况</w:t>
      </w:r>
    </w:p>
    <w:p>
      <w:pPr>
        <w:pStyle w:val="42"/>
        <w:adjustRightInd w:val="0"/>
        <w:snapToGrid w:val="0"/>
        <w:spacing w:line="600" w:lineRule="exact"/>
        <w:ind w:firstLine="720"/>
        <w:rPr>
          <w:rFonts w:ascii="仿宋_GB2312" w:eastAsia="仿宋_GB2312" w:cs="仿宋_GB2312" w:hint="eastAsia"/>
          <w:color w:val="000000"/>
          <w:sz w:val="32"/>
          <w:szCs w:val="32"/>
        </w:rPr>
      </w:pPr>
      <w:r>
        <w:rPr>
          <w:rFonts w:ascii="仿宋_GB2312" w:eastAsia="仿宋_GB2312" w:cs="仿宋_GB2312" w:hint="eastAsia"/>
          <w:color w:val="000000"/>
          <w:sz w:val="32"/>
          <w:szCs w:val="32"/>
        </w:rPr>
        <w:t>为保护公益林资源，维护生态安全，根据《中华人民共和国森</w:t>
      </w:r>
      <w:r>
        <w:rPr>
          <w:rFonts w:ascii="仿宋_GB2312" w:eastAsia="仿宋_GB2312" w:cs="仿宋_GB2312" w:hint="eastAsia"/>
          <w:sz w:val="32"/>
          <w:szCs w:val="32"/>
        </w:rPr>
        <w:t>林法》和中共中央、国务院《关于加快林业发展的决定》(中发〔2003〕9号</w:t>
      </w:r>
      <w:r>
        <w:rPr>
          <w:rFonts w:ascii="仿宋_GB2312" w:eastAsia="仿宋_GB2312" w:cs="仿宋_GB2312" w:hint="eastAsia"/>
          <w:color w:val="000000"/>
          <w:sz w:val="32"/>
          <w:szCs w:val="32"/>
        </w:rPr>
        <w:t>)，各级政府按照事权划分建立森林生态效益补偿基金。202</w:t>
      </w:r>
      <w:r>
        <w:rPr>
          <w:rFonts w:ascii="仿宋_GB2312" w:eastAsia="仿宋_GB2312" w:cs="仿宋_GB2312" w:hint="eastAsia"/>
          <w:color w:val="000000"/>
          <w:sz w:val="32"/>
          <w:szCs w:val="32"/>
          <w:lang w:val="en-US" w:eastAsia="zh-CN"/>
        </w:rPr>
        <w:t>1</w:t>
      </w:r>
      <w:r>
        <w:rPr>
          <w:rFonts w:ascii="仿宋_GB2312" w:eastAsia="仿宋_GB2312" w:cs="仿宋_GB2312" w:hint="eastAsia"/>
          <w:color w:val="000000"/>
          <w:sz w:val="32"/>
          <w:szCs w:val="32"/>
        </w:rPr>
        <w:t xml:space="preserve">年集体公益林管护补助标准为15.75元/亩，全县集体公益林总面积为213. </w:t>
      </w:r>
      <w:r>
        <w:rPr>
          <w:rFonts w:ascii="仿宋_GB2312" w:eastAsia="仿宋_GB2312" w:cs="仿宋_GB2312" w:hint="eastAsia"/>
          <w:color w:val="000000"/>
          <w:sz w:val="32"/>
          <w:szCs w:val="32"/>
          <w:lang w:val="en-US" w:eastAsia="zh-CN"/>
        </w:rPr>
        <w:t>955344</w:t>
      </w:r>
      <w:r>
        <w:rPr>
          <w:rFonts w:ascii="仿宋_GB2312" w:eastAsia="仿宋_GB2312" w:cs="仿宋_GB2312" w:hint="eastAsia"/>
          <w:color w:val="000000"/>
          <w:sz w:val="32"/>
          <w:szCs w:val="32"/>
        </w:rPr>
        <w:t>万亩，补助资金</w:t>
      </w:r>
      <w:r>
        <w:rPr>
          <w:rFonts w:ascii="仿宋_GB2312" w:eastAsia="仿宋_GB2312" w:cs="仿宋_GB2312" w:hint="eastAsia"/>
          <w:color w:val="000000"/>
          <w:sz w:val="32"/>
          <w:szCs w:val="32"/>
          <w:lang w:val="en-US" w:eastAsia="zh-CN"/>
        </w:rPr>
        <w:t>3369.8</w:t>
      </w:r>
      <w:r>
        <w:rPr>
          <w:rFonts w:ascii="仿宋_GB2312" w:eastAsia="仿宋_GB2312" w:cs="仿宋_GB2312" w:hint="eastAsia"/>
          <w:color w:val="000000"/>
          <w:sz w:val="32"/>
          <w:szCs w:val="32"/>
        </w:rPr>
        <w:t>万元，涉及11个镇，104个村，农户2万余户，受益人口8万余人。</w:t>
      </w:r>
    </w:p>
    <w:p>
      <w:pPr>
        <w:pStyle w:val="42"/>
        <w:numPr>
          <w:ilvl w:val="0"/>
          <w:numId w:val="4"/>
        </w:numPr>
        <w:adjustRightInd w:val="0"/>
        <w:snapToGrid w:val="0"/>
        <w:spacing w:line="600" w:lineRule="exact"/>
        <w:ind w:left="0" w:firstLine="720"/>
        <w:rPr>
          <w:rFonts w:ascii="楷体_GB2312" w:eastAsia="楷体_GB2312" w:cs="Times New Roman" w:hint="eastAsia"/>
          <w:b/>
          <w:sz w:val="32"/>
          <w:szCs w:val="32"/>
          <w:lang w:val="zh-CN"/>
        </w:rPr>
      </w:pPr>
      <w:r>
        <w:rPr>
          <w:rFonts w:ascii="楷体_GB2312" w:eastAsia="楷体_GB2312" w:cs="Times New Roman" w:hint="eastAsia"/>
          <w:b/>
          <w:sz w:val="32"/>
          <w:szCs w:val="32"/>
          <w:lang w:val="zh-CN" w:eastAsia="zh-CN"/>
        </w:rPr>
        <w:t>项目</w:t>
      </w:r>
      <w:r>
        <w:rPr>
          <w:rFonts w:ascii="楷体_GB2312" w:eastAsia="楷体_GB2312" w:cs="Times New Roman" w:hint="eastAsia"/>
          <w:b/>
          <w:sz w:val="32"/>
          <w:szCs w:val="32"/>
          <w:lang w:val="zh-CN"/>
        </w:rPr>
        <w:t>绩效目标</w:t>
      </w:r>
    </w:p>
    <w:p>
      <w:pPr>
        <w:pStyle w:val="42"/>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202</w:t>
      </w:r>
      <w:r>
        <w:rPr>
          <w:rFonts w:ascii="仿宋_GB2312" w:eastAsia="仿宋_GB2312" w:cs="仿宋_GB2312" w:hint="eastAsia"/>
          <w:sz w:val="32"/>
          <w:szCs w:val="32"/>
          <w:lang w:val="en-US" w:eastAsia="zh-CN"/>
        </w:rPr>
        <w:t>1</w:t>
      </w:r>
      <w:r>
        <w:rPr>
          <w:rFonts w:ascii="仿宋_GB2312" w:eastAsia="仿宋_GB2312" w:cs="仿宋_GB2312" w:hint="eastAsia"/>
          <w:sz w:val="32"/>
          <w:szCs w:val="32"/>
        </w:rPr>
        <w:t>年我县集体</w:t>
      </w:r>
      <w:r>
        <w:rPr>
          <w:rFonts w:ascii="仿宋_GB2312" w:eastAsia="仿宋_GB2312" w:cs="仿宋_GB2312" w:hint="eastAsia"/>
          <w:color w:val="000000"/>
          <w:sz w:val="32"/>
          <w:szCs w:val="32"/>
        </w:rPr>
        <w:t>公益林总面积为213.</w:t>
      </w:r>
      <w:r>
        <w:rPr>
          <w:rFonts w:ascii="仿宋_GB2312" w:eastAsia="仿宋_GB2312" w:cs="仿宋_GB2312" w:hint="eastAsia"/>
          <w:color w:val="000000"/>
          <w:sz w:val="32"/>
          <w:szCs w:val="32"/>
          <w:lang w:val="en-US" w:eastAsia="zh-CN"/>
        </w:rPr>
        <w:t>955344</w:t>
      </w:r>
      <w:r>
        <w:rPr>
          <w:rFonts w:ascii="仿宋_GB2312" w:eastAsia="仿宋_GB2312" w:cs="仿宋_GB2312" w:hint="eastAsia"/>
          <w:color w:val="000000"/>
          <w:sz w:val="32"/>
          <w:szCs w:val="32"/>
        </w:rPr>
        <w:t>万亩，全县资金兑现涉及11个乡镇，104个村</w:t>
      </w:r>
      <w:r>
        <w:rPr>
          <w:rFonts w:ascii="仿宋_GB2312" w:eastAsia="仿宋_GB2312" w:cs="仿宋_GB2312" w:hint="eastAsia"/>
          <w:sz w:val="32"/>
          <w:szCs w:val="32"/>
        </w:rPr>
        <w:t>，农户2万余户，受益人口8万余人。</w:t>
      </w:r>
    </w:p>
    <w:p>
      <w:pPr>
        <w:pStyle w:val="42"/>
        <w:numPr>
          <w:ilvl w:val="0"/>
          <w:numId w:val="4"/>
        </w:numPr>
        <w:adjustRightInd w:val="0"/>
        <w:snapToGrid w:val="0"/>
        <w:spacing w:line="600" w:lineRule="exact"/>
        <w:ind w:left="0" w:firstLine="720"/>
        <w:rPr>
          <w:rFonts w:ascii="楷体_GB2312" w:eastAsia="楷体_GB2312" w:cs="Times New Roman" w:hint="eastAsia"/>
          <w:b/>
          <w:sz w:val="32"/>
          <w:szCs w:val="32"/>
          <w:lang w:val="zh-CN" w:eastAsia="zh-CN"/>
        </w:rPr>
      </w:pPr>
      <w:r>
        <w:rPr>
          <w:rFonts w:ascii="楷体_GB2312" w:eastAsia="楷体_GB2312" w:cs="Times New Roman" w:hint="eastAsia"/>
          <w:b/>
          <w:sz w:val="32"/>
          <w:szCs w:val="32"/>
          <w:lang w:val="zh-CN" w:eastAsia="zh-CN"/>
        </w:rPr>
        <w:t>项目自评步骤及方法</w:t>
      </w:r>
    </w:p>
    <w:p>
      <w:pPr>
        <w:pStyle w:val="43"/>
        <w:keepNext w:val="0"/>
        <w:keepLines w:val="0"/>
        <w:pageBreakBefore w:val="0"/>
        <w:widowControl w:val="0"/>
        <w:kinsoku/>
        <w:wordWrap/>
        <w:overflowPunct/>
        <w:topLinePunct w:val="0"/>
        <w:autoSpaceDE/>
        <w:autoSpaceDN/>
        <w:bidi w:val="0"/>
        <w:adjustRightInd/>
        <w:snapToGrid/>
        <w:ind w:firstLineChars="200" w:firstLine="640"/>
        <w:textAlignment w:val="auto"/>
        <w:rPr>
          <w:rFonts w:ascii="仿宋_GB2312" w:eastAsia="仿宋_GB2312" w:cs="仿宋_GB2312" w:hint="eastAsia"/>
          <w:color w:val="000000"/>
          <w:kern w:val="2"/>
          <w:sz w:val="32"/>
          <w:szCs w:val="32"/>
          <w:lang w:val="zh-CN" w:eastAsia="zh-CN" w:bidi="ar-SA"/>
        </w:rPr>
      </w:pPr>
      <w:r>
        <w:rPr>
          <w:rFonts w:ascii="仿宋_GB2312" w:eastAsia="仿宋_GB2312" w:cs="仿宋_GB2312" w:hint="eastAsia"/>
          <w:color w:val="000000"/>
          <w:kern w:val="2"/>
          <w:sz w:val="32"/>
          <w:szCs w:val="32"/>
          <w:lang w:val="zh-CN" w:eastAsia="zh-CN" w:bidi="ar-SA"/>
        </w:rPr>
        <w:t>开展绩效自评。</w:t>
      </w:r>
    </w:p>
    <w:p>
      <w:pPr>
        <w:pStyle w:val="42"/>
        <w:keepNext w:val="0"/>
        <w:keepLines w:val="0"/>
        <w:pageBreakBefore w:val="0"/>
        <w:widowControl w:val="0"/>
        <w:kinsoku/>
        <w:wordWrap/>
        <w:overflowPunct/>
        <w:topLinePunct w:val="0"/>
        <w:autoSpaceDE/>
        <w:autoSpaceDN/>
        <w:bidi w:val="0"/>
        <w:adjustRightInd/>
        <w:snapToGrid/>
        <w:ind w:firstLineChars="200" w:firstLine="640"/>
        <w:textAlignment w:val="auto"/>
        <w:rPr>
          <w:rFonts w:ascii="黑体" w:eastAsia="黑体" w:cs="黑体" w:hint="eastAsia"/>
          <w:sz w:val="32"/>
          <w:szCs w:val="32"/>
          <w:lang w:val="zh-CN" w:eastAsia="zh-CN"/>
        </w:rPr>
      </w:pPr>
      <w:r>
        <w:rPr>
          <w:rFonts w:ascii="黑体" w:eastAsia="黑体" w:cs="黑体" w:hint="eastAsia"/>
          <w:color w:val="000000"/>
          <w:kern w:val="2"/>
          <w:sz w:val="32"/>
          <w:szCs w:val="32"/>
          <w:lang w:val="zh-CN" w:eastAsia="zh-CN" w:bidi="ar-SA"/>
        </w:rPr>
        <w:t>二、项目资金申报及使用情况</w:t>
      </w:r>
    </w:p>
    <w:p>
      <w:pPr>
        <w:pStyle w:val="42"/>
        <w:adjustRightInd w:val="0"/>
        <w:snapToGrid w:val="0"/>
        <w:spacing w:line="600" w:lineRule="exact"/>
        <w:rPr>
          <w:rFonts w:ascii="仿宋_GB2312" w:eastAsia="仿宋_GB2312" w:cs="仿宋_GB2312" w:hint="eastAsia"/>
          <w:sz w:val="32"/>
          <w:szCs w:val="32"/>
          <w:lang w:val="zh-CN"/>
        </w:rPr>
      </w:pPr>
      <w:r>
        <w:rPr>
          <w:rFonts w:ascii="仿宋_GB2312" w:eastAsia="仿宋_GB2312" w:cs="仿宋_GB2312" w:hint="eastAsia"/>
          <w:sz w:val="32"/>
          <w:szCs w:val="32"/>
          <w:lang w:val="zh-CN"/>
        </w:rPr>
        <w:tab/>
      </w:r>
      <w:r>
        <w:rPr>
          <w:rFonts w:ascii="仿宋_GB2312" w:eastAsia="仿宋_GB2312" w:cs="仿宋_GB2312" w:hint="eastAsia"/>
          <w:b/>
          <w:sz w:val="32"/>
          <w:szCs w:val="32"/>
          <w:lang w:val="zh-CN"/>
        </w:rPr>
        <w:t>1．资金到位使用。</w:t>
      </w:r>
      <w:r>
        <w:rPr>
          <w:rFonts w:ascii="仿宋_GB2312" w:eastAsia="仿宋_GB2312" w:cs="仿宋_GB2312" w:hint="eastAsia"/>
          <w:sz w:val="32"/>
          <w:szCs w:val="32"/>
        </w:rPr>
        <w:t>202</w:t>
      </w:r>
      <w:r>
        <w:rPr>
          <w:rFonts w:ascii="仿宋_GB2312" w:eastAsia="仿宋_GB2312" w:cs="仿宋_GB2312" w:hint="eastAsia"/>
          <w:sz w:val="32"/>
          <w:szCs w:val="32"/>
          <w:lang w:val="en-US" w:eastAsia="zh-CN"/>
        </w:rPr>
        <w:t>1</w:t>
      </w:r>
      <w:r>
        <w:rPr>
          <w:rFonts w:ascii="仿宋_GB2312" w:eastAsia="仿宋_GB2312" w:cs="仿宋_GB2312" w:hint="eastAsia"/>
          <w:sz w:val="32"/>
          <w:szCs w:val="32"/>
        </w:rPr>
        <w:t>年度集体和个人所有国家级公益林生态效益补偿项目</w:t>
      </w:r>
      <w:r>
        <w:rPr>
          <w:rFonts w:ascii="仿宋_GB2312" w:eastAsia="仿宋_GB2312" w:cs="仿宋_GB2312" w:hint="eastAsia"/>
          <w:sz w:val="32"/>
          <w:szCs w:val="32"/>
          <w:lang w:val="zh-CN"/>
        </w:rPr>
        <w:t>资金计划为</w:t>
      </w:r>
      <w:r>
        <w:rPr>
          <w:rFonts w:ascii="仿宋_GB2312" w:eastAsia="仿宋_GB2312" w:cs="仿宋_GB2312" w:hint="eastAsia"/>
          <w:sz w:val="32"/>
          <w:szCs w:val="32"/>
          <w:lang w:val="en-US" w:eastAsia="zh-CN"/>
        </w:rPr>
        <w:t>3369.8</w:t>
      </w:r>
      <w:r>
        <w:rPr>
          <w:rFonts w:ascii="仿宋_GB2312" w:eastAsia="仿宋_GB2312" w:cs="仿宋_GB2312" w:hint="eastAsia"/>
          <w:sz w:val="32"/>
          <w:szCs w:val="32"/>
        </w:rPr>
        <w:t>万元，</w:t>
      </w:r>
      <w:r>
        <w:rPr>
          <w:rFonts w:ascii="仿宋_GB2312" w:eastAsia="仿宋_GB2312" w:cs="仿宋_GB2312" w:hint="eastAsia"/>
          <w:sz w:val="32"/>
          <w:szCs w:val="32"/>
          <w:lang w:val="zh-CN"/>
        </w:rPr>
        <w:t>截止评价时点实际到位</w:t>
      </w:r>
      <w:r>
        <w:rPr>
          <w:rFonts w:ascii="仿宋_GB2312" w:eastAsia="仿宋_GB2312" w:cs="仿宋_GB2312" w:hint="eastAsia"/>
          <w:sz w:val="32"/>
          <w:szCs w:val="32"/>
          <w:lang w:val="en-US" w:eastAsia="zh-CN"/>
        </w:rPr>
        <w:t>3369.8</w:t>
      </w:r>
      <w:r>
        <w:rPr>
          <w:rFonts w:ascii="仿宋_GB2312" w:eastAsia="仿宋_GB2312" w:cs="仿宋_GB2312" w:hint="eastAsia"/>
          <w:sz w:val="32"/>
          <w:szCs w:val="32"/>
        </w:rPr>
        <w:t>万元</w:t>
      </w:r>
      <w:r>
        <w:rPr>
          <w:rFonts w:ascii="仿宋_GB2312" w:eastAsia="仿宋_GB2312" w:cs="仿宋_GB2312" w:hint="eastAsia"/>
          <w:sz w:val="32"/>
          <w:szCs w:val="32"/>
          <w:lang w:val="zh-CN"/>
        </w:rPr>
        <w:t>，全部为中央财政资金。就资金到位情况与资金计划比较后资金到位率为</w:t>
      </w:r>
      <w:r>
        <w:rPr>
          <w:rFonts w:ascii="仿宋_GB2312" w:eastAsia="仿宋_GB2312" w:cs="仿宋_GB2312" w:hint="eastAsia"/>
          <w:sz w:val="32"/>
          <w:szCs w:val="32"/>
        </w:rPr>
        <w:t>100%</w:t>
      </w:r>
      <w:r>
        <w:rPr>
          <w:rFonts w:ascii="仿宋_GB2312" w:eastAsia="仿宋_GB2312" w:cs="仿宋_GB2312" w:hint="eastAsia"/>
          <w:sz w:val="32"/>
          <w:szCs w:val="32"/>
          <w:lang w:val="zh-CN"/>
        </w:rPr>
        <w:t>，且到位及时；截止目前项目资金的实际支出</w:t>
      </w:r>
      <w:r>
        <w:rPr>
          <w:rFonts w:ascii="仿宋_GB2312" w:eastAsia="仿宋_GB2312" w:cs="仿宋_GB2312" w:hint="eastAsia"/>
          <w:sz w:val="32"/>
          <w:szCs w:val="32"/>
        </w:rPr>
        <w:t>3369</w:t>
      </w:r>
      <w:r>
        <w:rPr>
          <w:rFonts w:ascii="仿宋_GB2312" w:eastAsia="仿宋_GB2312" w:cs="仿宋_GB2312" w:hint="eastAsia"/>
          <w:sz w:val="32"/>
          <w:szCs w:val="32"/>
          <w:lang w:val="en-US" w:eastAsia="zh-CN"/>
        </w:rPr>
        <w:t>.</w:t>
      </w:r>
      <w:r>
        <w:rPr>
          <w:rFonts w:ascii="仿宋_GB2312" w:eastAsia="仿宋_GB2312" w:cs="仿宋_GB2312" w:hint="eastAsia"/>
          <w:sz w:val="32"/>
          <w:szCs w:val="32"/>
        </w:rPr>
        <w:t>796665万元</w:t>
      </w:r>
      <w:r>
        <w:rPr>
          <w:rFonts w:ascii="仿宋_GB2312" w:eastAsia="仿宋_GB2312" w:cs="仿宋_GB2312" w:hint="eastAsia"/>
          <w:sz w:val="32"/>
          <w:szCs w:val="32"/>
          <w:lang w:val="zh-CN"/>
        </w:rPr>
        <w:t>，资金开支用于兑现</w:t>
      </w:r>
      <w:r>
        <w:rPr>
          <w:rFonts w:ascii="仿宋_GB2312" w:eastAsia="仿宋_GB2312" w:cs="仿宋_GB2312" w:hint="eastAsia"/>
          <w:sz w:val="32"/>
          <w:szCs w:val="32"/>
        </w:rPr>
        <w:t>集体和个人所有国家级公益林生态效益补偿补助标准为15.75元/亩，</w:t>
      </w:r>
      <w:r>
        <w:rPr>
          <w:rFonts w:ascii="仿宋_GB2312" w:eastAsia="仿宋_GB2312" w:cs="仿宋_GB2312" w:hint="eastAsia"/>
          <w:sz w:val="32"/>
          <w:szCs w:val="32"/>
          <w:lang w:val="zh-CN"/>
        </w:rPr>
        <w:t>支付进度</w:t>
      </w:r>
      <w:r>
        <w:rPr>
          <w:rFonts w:ascii="仿宋_GB2312" w:eastAsia="仿宋_GB2312" w:cs="仿宋_GB2312" w:hint="eastAsia"/>
          <w:sz w:val="32"/>
          <w:szCs w:val="32"/>
        </w:rPr>
        <w:t>100%。</w:t>
      </w:r>
      <w:r>
        <w:rPr>
          <w:rFonts w:ascii="仿宋_GB2312" w:eastAsia="仿宋_GB2312" w:cs="仿宋_GB2312" w:hint="eastAsia"/>
          <w:sz w:val="32"/>
          <w:szCs w:val="32"/>
          <w:lang w:val="zh-CN"/>
        </w:rPr>
        <w:t>支付依据根据财务要求合规合法，资金支付与预算相符，并对相关问题进行了说明。</w:t>
      </w:r>
    </w:p>
    <w:p>
      <w:pPr>
        <w:pStyle w:val="42"/>
        <w:adjustRightInd w:val="0"/>
        <w:snapToGrid w:val="0"/>
        <w:spacing w:line="600" w:lineRule="exact"/>
        <w:ind w:firstLine="720"/>
        <w:rPr>
          <w:rFonts w:ascii="仿宋_GB2312" w:eastAsia="仿宋_GB2312" w:cs="仿宋_GB2312" w:hint="eastAsia"/>
          <w:sz w:val="32"/>
          <w:szCs w:val="32"/>
          <w:lang w:val="zh-CN"/>
        </w:rPr>
      </w:pPr>
      <w:r>
        <w:rPr>
          <w:rFonts w:ascii="仿宋_GB2312" w:eastAsia="仿宋_GB2312" w:cs="仿宋_GB2312" w:hint="eastAsia"/>
          <w:b/>
          <w:sz w:val="32"/>
          <w:szCs w:val="32"/>
          <w:lang w:val="zh-CN"/>
        </w:rPr>
        <w:t>2.项目财务管理情况。</w:t>
      </w:r>
      <w:r>
        <w:rPr>
          <w:rFonts w:ascii="仿宋_GB2312" w:eastAsia="仿宋_GB2312" w:cs="仿宋_GB2312" w:hint="eastAsia"/>
          <w:sz w:val="32"/>
          <w:szCs w:val="32"/>
          <w:lang w:val="zh-CN"/>
        </w:rPr>
        <w:t>生态补偿资金实行专户管理、专账核算、专款专用，县林草局依据各</w:t>
      </w:r>
      <w:r>
        <w:rPr>
          <w:rFonts w:ascii="仿宋_GB2312" w:eastAsia="仿宋_GB2312" w:cs="仿宋_GB2312" w:hint="eastAsia"/>
          <w:sz w:val="32"/>
          <w:szCs w:val="32"/>
        </w:rPr>
        <w:t>村“一事一议”形式议定集体公益林生态补偿基金分配方案、表（票）决情况表</w:t>
      </w:r>
      <w:r>
        <w:rPr>
          <w:rFonts w:ascii="仿宋_GB2312" w:eastAsia="仿宋_GB2312" w:cs="仿宋_GB2312" w:hint="eastAsia"/>
          <w:sz w:val="32"/>
          <w:szCs w:val="32"/>
          <w:lang w:val="zh-CN"/>
        </w:rPr>
        <w:t>和兑现农户的签字花名册将集体林生态效益补偿资金、村提留的资金通过按农户花名册通过“一卡通”系统直接拨付给农户。对照项目资金管理办法，评价项目是严格执行财务管理制度、财务处理及时且会计核算规范。</w:t>
      </w:r>
    </w:p>
    <w:p>
      <w:pPr>
        <w:pStyle w:val="42"/>
        <w:keepNext w:val="0"/>
        <w:keepLines w:val="0"/>
        <w:pageBreakBefore w:val="0"/>
        <w:widowControl w:val="0"/>
        <w:kinsoku/>
        <w:wordWrap/>
        <w:overflowPunct/>
        <w:topLinePunct w:val="0"/>
        <w:autoSpaceDE/>
        <w:autoSpaceDN/>
        <w:bidi w:val="0"/>
        <w:adjustRightInd/>
        <w:snapToGrid/>
        <w:ind w:firstLineChars="200" w:firstLine="640"/>
        <w:textAlignment w:val="auto"/>
        <w:rPr>
          <w:rFonts w:ascii="黑体" w:eastAsia="黑体" w:cs="黑体" w:hint="eastAsia"/>
          <w:color w:val="000000"/>
          <w:kern w:val="2"/>
          <w:sz w:val="32"/>
          <w:szCs w:val="32"/>
          <w:lang w:val="zh-CN" w:eastAsia="zh-CN" w:bidi="ar-SA"/>
        </w:rPr>
      </w:pPr>
      <w:r>
        <w:rPr>
          <w:rFonts w:ascii="黑体" w:eastAsia="黑体" w:cs="黑体" w:hint="eastAsia"/>
          <w:color w:val="000000"/>
          <w:kern w:val="2"/>
          <w:sz w:val="32"/>
          <w:szCs w:val="32"/>
          <w:lang w:val="zh-CN" w:eastAsia="zh-CN" w:bidi="ar-SA"/>
        </w:rPr>
        <w:t>三、项目实施及管理情况</w:t>
      </w:r>
    </w:p>
    <w:p>
      <w:pPr>
        <w:pStyle w:val="42"/>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202</w:t>
      </w:r>
      <w:r>
        <w:rPr>
          <w:rFonts w:ascii="仿宋_GB2312" w:eastAsia="仿宋_GB2312" w:cs="仿宋_GB2312" w:hint="eastAsia"/>
          <w:sz w:val="32"/>
          <w:szCs w:val="32"/>
          <w:lang w:val="en-US" w:eastAsia="zh-CN"/>
        </w:rPr>
        <w:t>1</w:t>
      </w:r>
      <w:r>
        <w:rPr>
          <w:rFonts w:ascii="仿宋_GB2312" w:eastAsia="仿宋_GB2312" w:cs="仿宋_GB2312" w:hint="eastAsia"/>
          <w:sz w:val="32"/>
          <w:szCs w:val="32"/>
        </w:rPr>
        <w:t>年我县集体</w:t>
      </w:r>
      <w:r>
        <w:rPr>
          <w:rFonts w:ascii="仿宋_GB2312" w:eastAsia="仿宋_GB2312" w:cs="仿宋_GB2312" w:hint="eastAsia"/>
          <w:color w:val="000000"/>
          <w:sz w:val="32"/>
          <w:szCs w:val="32"/>
        </w:rPr>
        <w:t>公益林总面积为213.</w:t>
      </w:r>
      <w:r>
        <w:rPr>
          <w:rFonts w:ascii="仿宋_GB2312" w:eastAsia="仿宋_GB2312" w:cs="仿宋_GB2312" w:hint="eastAsia"/>
          <w:color w:val="000000"/>
          <w:sz w:val="32"/>
          <w:szCs w:val="32"/>
          <w:lang w:val="en-US" w:eastAsia="zh-CN"/>
        </w:rPr>
        <w:t>955344</w:t>
      </w:r>
      <w:r>
        <w:rPr>
          <w:rFonts w:ascii="仿宋_GB2312" w:eastAsia="仿宋_GB2312" w:cs="仿宋_GB2312" w:hint="eastAsia"/>
          <w:color w:val="000000"/>
          <w:sz w:val="32"/>
          <w:szCs w:val="32"/>
        </w:rPr>
        <w:t>万亩，全县资金兑现涉及11个乡镇，104个村</w:t>
      </w:r>
      <w:r>
        <w:rPr>
          <w:rFonts w:ascii="仿宋_GB2312" w:eastAsia="仿宋_GB2312" w:cs="仿宋_GB2312" w:hint="eastAsia"/>
          <w:sz w:val="32"/>
          <w:szCs w:val="32"/>
        </w:rPr>
        <w:t>，农户2万余户，受益人口8万余人。</w:t>
      </w:r>
    </w:p>
    <w:p>
      <w:pPr>
        <w:pStyle w:val="42"/>
        <w:ind w:firstLineChars="200" w:firstLine="640"/>
        <w:jc w:val="left"/>
        <w:rPr>
          <w:rFonts w:ascii="仿宋_GB2312" w:eastAsia="仿宋_GB2312" w:cs="仿宋_GB2312" w:hint="eastAsia"/>
          <w:sz w:val="32"/>
          <w:szCs w:val="32"/>
        </w:rPr>
      </w:pPr>
      <w:r>
        <w:rPr>
          <w:rFonts w:ascii="仿宋_GB2312" w:eastAsia="仿宋_GB2312" w:cs="仿宋_GB2312" w:hint="eastAsia"/>
          <w:b/>
          <w:bCs/>
          <w:sz w:val="32"/>
          <w:szCs w:val="32"/>
        </w:rPr>
        <w:t>1.建立和完善管护机制。</w:t>
      </w:r>
      <w:r>
        <w:rPr>
          <w:rFonts w:ascii="仿宋_GB2312" w:eastAsia="仿宋_GB2312" w:cs="仿宋_GB2312" w:hint="eastAsia"/>
          <w:sz w:val="32"/>
          <w:szCs w:val="32"/>
        </w:rPr>
        <w:t>制定了《茂县集体林管护制度》、《茂县集体林管护人员考核办法》；各乡镇成立集体林管护机构领导小组，制定了集体林管护制度、明确了管护职责。</w:t>
      </w:r>
    </w:p>
    <w:p>
      <w:pPr>
        <w:pStyle w:val="42"/>
        <w:ind w:firstLineChars="200" w:firstLine="640"/>
        <w:jc w:val="left"/>
        <w:rPr>
          <w:rFonts w:ascii="仿宋_GB2312" w:eastAsia="仿宋_GB2312" w:cs="仿宋_GB2312" w:hint="eastAsia"/>
          <w:sz w:val="32"/>
          <w:szCs w:val="32"/>
        </w:rPr>
      </w:pPr>
      <w:r>
        <w:rPr>
          <w:rFonts w:ascii="仿宋_GB2312" w:eastAsia="仿宋_GB2312" w:cs="仿宋_GB2312" w:hint="eastAsia"/>
          <w:b/>
          <w:bCs/>
          <w:sz w:val="32"/>
          <w:szCs w:val="32"/>
        </w:rPr>
        <w:t>2.落实责任。</w:t>
      </w:r>
      <w:r>
        <w:rPr>
          <w:rFonts w:ascii="仿宋_GB2312" w:eastAsia="仿宋_GB2312" w:cs="仿宋_GB2312" w:hint="eastAsia"/>
          <w:sz w:val="32"/>
          <w:szCs w:val="32"/>
        </w:rPr>
        <w:t>我县根据上级要求与工作部署，结合各乡镇实际，认真贯彻执行四川省财政厅  四川省林业厅《关于进一步加强集体公益林生态效益补偿政策落实兑现工作的意见》川财农〔2015〕216号、《阿坝州森林资源保护管理办法》阿州林发〔2013〕178号的相关要求，使我县的森林资源管护和资金兑现工作得以有章可循，规范运作。一是签订目标责任书：林业主管部门与乡镇签订目标责任书，乡镇与行政村签订目标责任书；二是签订管护协议：行政村与本村所聘用的集体林管护人员签订集体林管护协议。三是绘制管护图：以乡镇为单位绘制了集体林管护图，将管护区域落实到人头。四是建立考核聘用机制：各乡镇对自辖区内的集体林管护人员进行年终考核，主要考核管护人员的政治思想表现及工作业绩，对考核合格的予以续聘，不合格的予以辞退。</w:t>
      </w:r>
    </w:p>
    <w:p>
      <w:pPr>
        <w:pStyle w:val="42"/>
        <w:ind w:firstLineChars="200" w:firstLine="640"/>
        <w:jc w:val="left"/>
        <w:rPr>
          <w:rFonts w:ascii="仿宋_GB2312" w:eastAsia="仿宋_GB2312" w:cs="仿宋_GB2312" w:hint="eastAsia"/>
          <w:sz w:val="32"/>
          <w:szCs w:val="32"/>
        </w:rPr>
      </w:pPr>
      <w:r>
        <w:rPr>
          <w:rFonts w:ascii="仿宋_GB2312" w:eastAsia="仿宋_GB2312" w:cs="仿宋_GB2312" w:hint="eastAsia"/>
          <w:b/>
          <w:bCs/>
          <w:sz w:val="32"/>
          <w:szCs w:val="32"/>
        </w:rPr>
        <w:t>3.制定兑现方案，落实兑现工作。</w:t>
      </w:r>
      <w:r>
        <w:rPr>
          <w:rFonts w:ascii="仿宋_GB2312" w:eastAsia="仿宋_GB2312" w:cs="仿宋_GB2312" w:hint="eastAsia"/>
          <w:sz w:val="32"/>
          <w:szCs w:val="32"/>
        </w:rPr>
        <w:t>为全面落实森林生态效益补偿资金兑现工作，制定了《茂县202</w:t>
      </w:r>
      <w:r>
        <w:rPr>
          <w:rFonts w:ascii="仿宋_GB2312" w:eastAsia="仿宋_GB2312" w:cs="仿宋_GB2312" w:hint="eastAsia"/>
          <w:sz w:val="32"/>
          <w:szCs w:val="32"/>
          <w:lang w:val="en-US" w:eastAsia="zh-CN"/>
        </w:rPr>
        <w:t>1</w:t>
      </w:r>
      <w:r>
        <w:rPr>
          <w:rFonts w:ascii="仿宋_GB2312" w:eastAsia="仿宋_GB2312" w:cs="仿宋_GB2312" w:hint="eastAsia"/>
          <w:sz w:val="32"/>
          <w:szCs w:val="32"/>
        </w:rPr>
        <w:t>年度集体公益林生态效益补偿资金兑现方案》明确了补偿范围、资金到位情况和补偿标准、资金用途以及资金拨付程序。</w:t>
      </w:r>
    </w:p>
    <w:p>
      <w:pPr>
        <w:pStyle w:val="42"/>
        <w:ind w:firstLineChars="200" w:firstLine="640"/>
        <w:jc w:val="left"/>
        <w:rPr>
          <w:rFonts w:ascii="仿宋_GB2312" w:eastAsia="仿宋_GB2312" w:cs="仿宋_GB2312" w:hint="eastAsia"/>
          <w:color w:val="000000"/>
          <w:sz w:val="32"/>
          <w:szCs w:val="32"/>
        </w:rPr>
      </w:pPr>
      <w:r>
        <w:rPr>
          <w:rFonts w:ascii="仿宋_GB2312" w:eastAsia="仿宋_GB2312" w:cs="仿宋_GB2312" w:hint="eastAsia"/>
          <w:sz w:val="32"/>
          <w:szCs w:val="32"/>
        </w:rPr>
        <w:t>截</w:t>
      </w:r>
      <w:r>
        <w:rPr>
          <w:rFonts w:ascii="仿宋_GB2312" w:eastAsia="仿宋_GB2312" w:cs="仿宋_GB2312" w:hint="eastAsia"/>
          <w:color w:val="000000"/>
          <w:sz w:val="32"/>
          <w:szCs w:val="32"/>
        </w:rPr>
        <w:t>止202</w:t>
      </w:r>
      <w:r>
        <w:rPr>
          <w:rFonts w:ascii="仿宋_GB2312" w:eastAsia="仿宋_GB2312" w:cs="仿宋_GB2312" w:hint="eastAsia"/>
          <w:color w:val="000000"/>
          <w:sz w:val="32"/>
          <w:szCs w:val="32"/>
          <w:lang w:val="en-US" w:eastAsia="zh-CN"/>
        </w:rPr>
        <w:t>1</w:t>
      </w:r>
      <w:r>
        <w:rPr>
          <w:rFonts w:ascii="仿宋_GB2312" w:eastAsia="仿宋_GB2312" w:cs="仿宋_GB2312" w:hint="eastAsia"/>
          <w:color w:val="000000"/>
          <w:sz w:val="32"/>
          <w:szCs w:val="32"/>
        </w:rPr>
        <w:t>年12月31日，该年度集体公益林生态效益补偿项目已按照相关要求全面完成，并通过了县级林业主管部门验收合格。</w:t>
      </w:r>
    </w:p>
    <w:p>
      <w:pPr>
        <w:pStyle w:val="42"/>
        <w:keepNext w:val="0"/>
        <w:keepLines w:val="0"/>
        <w:pageBreakBefore w:val="0"/>
        <w:widowControl w:val="0"/>
        <w:kinsoku/>
        <w:wordWrap/>
        <w:overflowPunct/>
        <w:topLinePunct w:val="0"/>
        <w:autoSpaceDE/>
        <w:autoSpaceDN/>
        <w:bidi w:val="0"/>
        <w:adjustRightInd/>
        <w:snapToGrid/>
        <w:ind w:firstLineChars="200" w:firstLine="640"/>
        <w:textAlignment w:val="auto"/>
        <w:rPr>
          <w:rFonts w:ascii="黑体" w:eastAsia="黑体" w:cs="黑体" w:hint="eastAsia"/>
          <w:color w:val="000000"/>
          <w:kern w:val="2"/>
          <w:sz w:val="32"/>
          <w:szCs w:val="32"/>
          <w:lang w:val="zh-CN" w:eastAsia="zh-CN" w:bidi="ar-SA"/>
        </w:rPr>
      </w:pPr>
      <w:r>
        <w:rPr>
          <w:rFonts w:ascii="黑体" w:eastAsia="黑体" w:cs="黑体" w:hint="eastAsia"/>
          <w:color w:val="000000"/>
          <w:kern w:val="2"/>
          <w:sz w:val="32"/>
          <w:szCs w:val="32"/>
          <w:lang w:val="zh-CN" w:eastAsia="zh-CN" w:bidi="ar-SA"/>
        </w:rPr>
        <w:t>四、项目绩效情况</w:t>
      </w:r>
    </w:p>
    <w:p>
      <w:pPr>
        <w:pStyle w:val="42"/>
        <w:keepNext w:val="0"/>
        <w:keepLines w:val="0"/>
        <w:pageBreakBefore w:val="0"/>
        <w:widowControl w:val="0"/>
        <w:kinsoku/>
        <w:wordWrap/>
        <w:overflowPunct/>
        <w:topLinePunct w:val="0"/>
        <w:autoSpaceDE/>
        <w:autoSpaceDN/>
        <w:bidi w:val="0"/>
        <w:adjustRightInd/>
        <w:snapToGrid/>
        <w:ind w:left="0" w:firstLineChars="200" w:firstLine="640"/>
        <w:jc w:val="left"/>
        <w:textAlignment w:val="auto"/>
        <w:rPr>
          <w:rFonts w:ascii="仿宋_GB2312" w:eastAsia="仿宋_GB2312" w:cs="仿宋_GB2312" w:hint="eastAsia"/>
          <w:b/>
          <w:sz w:val="32"/>
          <w:szCs w:val="32"/>
          <w:lang w:val="zh-CN"/>
        </w:rPr>
      </w:pPr>
      <w:r>
        <w:rPr>
          <w:rFonts w:ascii="仿宋_GB2312" w:eastAsia="仿宋_GB2312" w:cs="仿宋_GB2312" w:hint="eastAsia"/>
          <w:color w:val="000000"/>
          <w:kern w:val="0"/>
          <w:sz w:val="32"/>
          <w:szCs w:val="32"/>
        </w:rPr>
        <w:t xml:space="preserve">本年度，我县森林生态效益补偿工作，在上级林业主管部门的帮助指导下，经过采取有效措施，公益林得到有效管护，公益林真正形成高效、稳定的森林生态系统，发挥了最大的生态效益和社会效益，最大限度地满足维护国家生态安全和经济社会可持续发展的需要。主要表现在以下方面：  </w:t>
      </w:r>
    </w:p>
    <w:p>
      <w:pPr>
        <w:pStyle w:val="42"/>
        <w:spacing w:line="560" w:lineRule="exact"/>
        <w:ind w:firstLineChars="200" w:firstLine="640"/>
        <w:rPr>
          <w:rFonts w:ascii="仿宋_GB2312" w:eastAsia="仿宋_GB2312" w:cs="仿宋_GB2312" w:hint="eastAsia"/>
          <w:sz w:val="32"/>
          <w:szCs w:val="32"/>
        </w:rPr>
      </w:pPr>
      <w:r>
        <w:rPr>
          <w:rFonts w:ascii="仿宋_GB2312" w:eastAsia="仿宋_GB2312" w:cs="仿宋_GB2312" w:hint="eastAsia"/>
          <w:b/>
          <w:bCs/>
          <w:color w:val="000000"/>
          <w:kern w:val="0"/>
          <w:sz w:val="32"/>
          <w:szCs w:val="32"/>
        </w:rPr>
        <w:t>1.</w:t>
      </w:r>
      <w:r>
        <w:rPr>
          <w:rFonts w:ascii="仿宋_GB2312" w:eastAsia="仿宋_GB2312" w:cs="仿宋_GB2312" w:hint="eastAsia"/>
          <w:b/>
          <w:bCs/>
          <w:color w:val="000000"/>
          <w:sz w:val="32"/>
          <w:szCs w:val="32"/>
        </w:rPr>
        <w:t>社会经济效益</w:t>
      </w:r>
      <w:r>
        <w:rPr>
          <w:rFonts w:ascii="仿宋_GB2312" w:eastAsia="仿宋_GB2312" w:cs="仿宋_GB2312" w:hint="eastAsia"/>
          <w:color w:val="000000"/>
          <w:sz w:val="32"/>
          <w:szCs w:val="32"/>
        </w:rPr>
        <w:t>。通过实施天保工程二期集体公益林生态效益补偿，使全县11个乡镇104个村。2.2万户，8.9万人受益。平均人均增收月400元，增加了群众收入，提高当地群众生活生产水平和改善了生活生产条件。为茂县精准扶贫、精准脱贫打下了坚实的基础，</w:t>
      </w:r>
      <w:r>
        <w:rPr>
          <w:rFonts w:ascii="仿宋_GB2312" w:eastAsia="仿宋_GB2312" w:cs="仿宋_GB2312" w:hint="eastAsia"/>
          <w:sz w:val="32"/>
          <w:szCs w:val="32"/>
        </w:rPr>
        <w:t>有效地改善民生，有力地促进林区社会的和谐稳定。</w:t>
      </w:r>
    </w:p>
    <w:p>
      <w:pPr>
        <w:pStyle w:val="42"/>
        <w:spacing w:line="560" w:lineRule="exact"/>
        <w:ind w:firstLineChars="200" w:firstLine="640"/>
        <w:rPr>
          <w:rFonts w:ascii="仿宋_GB2312" w:eastAsia="仿宋_GB2312" w:cs="仿宋_GB2312" w:hint="eastAsia"/>
          <w:color w:val="000000"/>
          <w:sz w:val="32"/>
          <w:szCs w:val="32"/>
        </w:rPr>
      </w:pPr>
      <w:r>
        <w:rPr>
          <w:rFonts w:ascii="仿宋_GB2312" w:eastAsia="仿宋_GB2312" w:cs="仿宋_GB2312" w:hint="eastAsia"/>
          <w:b/>
          <w:bCs/>
          <w:sz w:val="32"/>
          <w:szCs w:val="32"/>
        </w:rPr>
        <w:t>2.</w:t>
      </w:r>
      <w:r>
        <w:rPr>
          <w:rFonts w:ascii="仿宋_GB2312" w:eastAsia="仿宋_GB2312" w:cs="仿宋_GB2312" w:hint="eastAsia"/>
          <w:b/>
          <w:bCs/>
          <w:color w:val="000000"/>
          <w:sz w:val="32"/>
          <w:szCs w:val="32"/>
        </w:rPr>
        <w:t>生态建设效益</w:t>
      </w:r>
      <w:r>
        <w:rPr>
          <w:rFonts w:ascii="仿宋_GB2312" w:eastAsia="仿宋_GB2312" w:cs="仿宋_GB2312" w:hint="eastAsia"/>
          <w:color w:val="000000"/>
          <w:sz w:val="32"/>
          <w:szCs w:val="32"/>
        </w:rPr>
        <w:t>。通过实施天保工程二期集体公益林生态效益补偿通过实施禁伐、森林管护、增强了水源涵养能力，保护了生态环境和生物多样性，为建设长江上游重要生态屏障作了巨大贡献。同时</w:t>
      </w:r>
      <w:r>
        <w:rPr>
          <w:rFonts w:ascii="仿宋_GB2312" w:eastAsia="仿宋_GB2312" w:cs="仿宋_GB2312" w:hint="eastAsia"/>
          <w:color w:val="000000"/>
          <w:kern w:val="0"/>
          <w:sz w:val="32"/>
          <w:szCs w:val="32"/>
        </w:rPr>
        <w:t>以实施森林生态效益补偿为契机，带动了森林资源保护管理能力的提升，尤其是森林防火、林业有害生物防治、森林资源监测、资源档案建立和管理等基础设施得到改善。 </w:t>
      </w:r>
    </w:p>
    <w:p>
      <w:pPr>
        <w:pStyle w:val="42"/>
        <w:spacing w:line="560" w:lineRule="exact"/>
        <w:ind w:firstLineChars="200" w:firstLine="640"/>
        <w:rPr>
          <w:rFonts w:ascii="仿宋_GB2312" w:eastAsia="仿宋_GB2312" w:cs="仿宋_GB2312" w:hint="eastAsia"/>
          <w:color w:val="000000"/>
          <w:kern w:val="0"/>
          <w:sz w:val="32"/>
          <w:szCs w:val="32"/>
        </w:rPr>
      </w:pPr>
      <w:r>
        <w:rPr>
          <w:rFonts w:ascii="仿宋_GB2312" w:eastAsia="仿宋_GB2312" w:cs="仿宋_GB2312" w:hint="eastAsia"/>
          <w:b w:val="0"/>
          <w:bCs w:val="0"/>
          <w:color w:val="000000"/>
          <w:sz w:val="32"/>
          <w:szCs w:val="32"/>
        </w:rPr>
        <w:t>3.受益群众满意度</w:t>
      </w:r>
      <w:r>
        <w:rPr>
          <w:rFonts w:ascii="仿宋_GB2312" w:eastAsia="仿宋_GB2312" w:cs="仿宋_GB2312" w:hint="eastAsia"/>
          <w:color w:val="000000"/>
          <w:sz w:val="32"/>
          <w:szCs w:val="32"/>
        </w:rPr>
        <w:t>。通过实施天保工程二期公益林生态效益补偿，改善了当地农牧业的生产条件，为增产增收提供了一定的条件，创造了一些就业机会，对维护社会稳定和提高人民生活水平起到了良好的促进作用，因此深受广大受益群众的好评。</w:t>
      </w:r>
      <w:r>
        <w:rPr>
          <w:rFonts w:ascii="仿宋_GB2312" w:eastAsia="仿宋_GB2312" w:cs="仿宋_GB2312" w:hint="eastAsia"/>
          <w:color w:val="000000"/>
          <w:kern w:val="0"/>
          <w:sz w:val="32"/>
          <w:szCs w:val="32"/>
        </w:rPr>
        <w:t>森林生态效益补偿政策的实施，搭建起比较完备的森林生态体系结构，为促进我县生态建设起到极为重要的作用。</w:t>
      </w:r>
    </w:p>
    <w:p>
      <w:pPr>
        <w:pStyle w:val="42"/>
        <w:ind w:firstLineChars="200" w:firstLine="640"/>
        <w:rPr>
          <w:rFonts w:ascii="黑体" w:eastAsia="黑体" w:cs="黑体" w:hint="eastAsia"/>
          <w:bCs/>
          <w:sz w:val="32"/>
          <w:szCs w:val="32"/>
          <w:lang w:eastAsia="zh-CN"/>
        </w:rPr>
      </w:pPr>
      <w:r>
        <w:rPr>
          <w:rFonts w:ascii="黑体" w:eastAsia="黑体" w:cs="黑体" w:hint="eastAsia"/>
          <w:bCs/>
          <w:sz w:val="32"/>
          <w:szCs w:val="32"/>
          <w:lang w:eastAsia="zh-CN"/>
        </w:rPr>
        <w:t>五、评价结论及建议</w:t>
      </w:r>
    </w:p>
    <w:p>
      <w:pPr>
        <w:pStyle w:val="42"/>
        <w:spacing w:line="560" w:lineRule="exact"/>
        <w:ind w:firstLineChars="200" w:firstLine="640"/>
      </w:pPr>
      <w:r>
        <w:rPr>
          <w:rFonts w:ascii="仿宋_GB2312" w:eastAsia="仿宋_GB2312" w:cs="仿宋_GB2312" w:hint="eastAsia"/>
          <w:b/>
          <w:sz w:val="32"/>
          <w:szCs w:val="32"/>
          <w:lang w:eastAsia="zh-CN"/>
        </w:rPr>
        <w:t>（一）评价结论</w:t>
      </w:r>
      <w:r>
        <w:rPr>
          <w:rFonts w:ascii="仿宋_GB2312" w:eastAsia="仿宋_GB2312" w:cs="仿宋_GB2312" w:hint="eastAsia"/>
          <w:b/>
          <w:sz w:val="32"/>
          <w:szCs w:val="32"/>
        </w:rPr>
        <w:t>：</w:t>
      </w:r>
      <w:r>
        <w:rPr>
          <w:rFonts w:ascii="仿宋_GB2312" w:eastAsia="仿宋_GB2312" w:cs="仿宋_GB2312" w:hint="eastAsia"/>
          <w:sz w:val="32"/>
          <w:szCs w:val="32"/>
        </w:rPr>
        <w:t>我县森林生态效益补偿基金在资金使用和管理中，实际支出与规定的用途一致，资金收支平衡，资金使用都能做到公开、公平、程序到位，严格执行财务制度，无截留、挤占、挪用补偿基金等违规行为。通过茂县政务公开网站进行了公示，同时各村在醒目位置公示。根据《评价内容和指标，对我县公益林生态效益补偿基金绩效自评得分为98分，综合评价结果为优。</w:t>
      </w:r>
    </w:p>
    <w:p>
      <w:pPr>
        <w:pStyle w:val="42"/>
        <w:ind w:firstLineChars="200" w:firstLine="640"/>
        <w:rPr>
          <w:rFonts w:ascii="仿宋_GB2312" w:eastAsia="仿宋_GB2312" w:cs="仿宋_GB2312" w:hint="eastAsia"/>
          <w:b/>
          <w:sz w:val="32"/>
          <w:szCs w:val="32"/>
          <w:lang w:val="zh-CN"/>
        </w:rPr>
      </w:pPr>
      <w:r>
        <w:rPr>
          <w:rFonts w:ascii="仿宋_GB2312" w:eastAsia="仿宋_GB2312" w:cs="仿宋_GB2312" w:hint="eastAsia"/>
          <w:b/>
          <w:sz w:val="32"/>
          <w:szCs w:val="32"/>
          <w:lang w:val="zh-CN"/>
        </w:rPr>
        <w:t>（二）存在的问题</w:t>
      </w:r>
    </w:p>
    <w:p>
      <w:pPr>
        <w:pStyle w:val="42"/>
        <w:ind w:firstLineChars="200" w:firstLine="640"/>
        <w:rPr>
          <w:rFonts w:ascii="仿宋_GB2312" w:eastAsia="仿宋_GB2312" w:cs="仿宋_GB2312" w:hint="eastAsia"/>
          <w:snapToGrid w:val="0"/>
          <w:sz w:val="32"/>
          <w:szCs w:val="32"/>
        </w:rPr>
      </w:pPr>
      <w:r>
        <w:rPr>
          <w:rFonts w:ascii="仿宋_GB2312" w:eastAsia="仿宋_GB2312" w:cs="仿宋_GB2312" w:hint="eastAsia"/>
          <w:b/>
          <w:sz w:val="32"/>
          <w:szCs w:val="32"/>
          <w:lang w:val="zh-CN"/>
        </w:rPr>
        <w:t>1.</w:t>
      </w:r>
      <w:r>
        <w:rPr>
          <w:rFonts w:ascii="仿宋_GB2312" w:eastAsia="仿宋_GB2312" w:cs="仿宋_GB2312" w:hint="eastAsia"/>
          <w:snapToGrid w:val="0"/>
          <w:sz w:val="32"/>
          <w:szCs w:val="32"/>
        </w:rPr>
        <w:t>补偿标准较低，补偿所获得的收入远远低于林农发展经济林果的收入，会诱发林农铤而走险开林种植经济林木或作物。因此为切实保障提升生态功能，保障提高林农收益，国家还应加大对集体公益林建设投入，提高生态效益补偿标准。</w:t>
      </w:r>
    </w:p>
    <w:p>
      <w:pPr>
        <w:pStyle w:val="42"/>
        <w:ind w:firstLineChars="200" w:firstLine="640"/>
        <w:rPr>
          <w:rFonts w:ascii="仿宋_GB2312" w:eastAsia="仿宋_GB2312" w:cs="仿宋_GB2312" w:hint="eastAsia"/>
          <w:b/>
          <w:sz w:val="32"/>
          <w:szCs w:val="32"/>
          <w:lang w:val="zh-CN"/>
        </w:rPr>
      </w:pPr>
      <w:r>
        <w:rPr>
          <w:rFonts w:ascii="仿宋_GB2312" w:eastAsia="仿宋_GB2312" w:cs="仿宋_GB2312" w:hint="eastAsia"/>
          <w:kern w:val="0"/>
          <w:sz w:val="32"/>
          <w:szCs w:val="32"/>
        </w:rPr>
        <w:t>2.资金兑现系统还需要进一步完善，尽量避免实际未到账，补偿金退回，但系统显示成功的问题。</w:t>
      </w:r>
    </w:p>
    <w:p>
      <w:pPr>
        <w:pStyle w:val="42"/>
        <w:spacing w:line="560" w:lineRule="exact"/>
        <w:ind w:firstLineChars="200" w:firstLine="640"/>
        <w:jc w:val="left"/>
        <w:rPr>
          <w:rFonts w:ascii="仿宋_GB2312" w:eastAsia="仿宋_GB2312" w:cs="仿宋_GB2312" w:hint="eastAsia"/>
          <w:b/>
          <w:sz w:val="32"/>
          <w:szCs w:val="32"/>
          <w:lang w:val="zh-CN"/>
        </w:rPr>
      </w:pPr>
      <w:r>
        <w:rPr>
          <w:rFonts w:ascii="仿宋_GB2312" w:eastAsia="仿宋_GB2312" w:cs="仿宋_GB2312" w:hint="eastAsia"/>
          <w:b/>
          <w:sz w:val="32"/>
          <w:szCs w:val="32"/>
          <w:lang w:val="zh-CN"/>
        </w:rPr>
        <w:t>（三）相关建议</w:t>
      </w:r>
    </w:p>
    <w:p>
      <w:pPr>
        <w:pStyle w:val="42"/>
        <w:spacing w:line="560" w:lineRule="exact"/>
        <w:ind w:firstLineChars="200" w:firstLine="640"/>
        <w:jc w:val="left"/>
        <w:rPr>
          <w:rFonts w:ascii="仿宋_GB2312" w:eastAsia="仿宋_GB2312" w:cs="仿宋_GB2312" w:hint="eastAsia"/>
          <w:kern w:val="0"/>
          <w:sz w:val="32"/>
          <w:szCs w:val="32"/>
        </w:rPr>
      </w:pPr>
      <w:r>
        <w:rPr>
          <w:rFonts w:ascii="仿宋_GB2312" w:eastAsia="仿宋_GB2312" w:cs="仿宋_GB2312" w:hint="eastAsia"/>
          <w:kern w:val="0"/>
          <w:sz w:val="32"/>
          <w:szCs w:val="32"/>
        </w:rPr>
        <w:t>生态公益林建设与管理具有是社会性、长期性、艰巨性的工作，为进一步做好生态公益林保护与利用工作，建议上级必须硬性规定县级林业主管部门设置专门的机构和增配专职人员。</w:t>
      </w:r>
    </w:p>
    <w:p>
      <w:pPr>
        <w:pStyle w:val="43"/>
        <w:rPr>
          <w:rFonts w:hint="eastAsia"/>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p>
    <w:p>
      <w:pPr>
        <w:pStyle w:val="40"/>
        <w:spacing w:line="600" w:lineRule="exact"/>
        <w:jc w:val="center"/>
        <w:rPr>
          <w:rFonts w:ascii="方正小标宋简体" w:eastAsia="方正小标宋简体" w:cs="Times New Roman" w:hint="eastAsia"/>
          <w:sz w:val="44"/>
          <w:szCs w:val="44"/>
          <w:lang w:val="en-US" w:eastAsia="zh-CN"/>
        </w:rPr>
      </w:pPr>
      <w:r>
        <w:rPr>
          <w:rFonts w:ascii="方正小标宋简体" w:eastAsia="方正小标宋简体" w:cs="Times New Roman" w:hint="eastAsia"/>
          <w:sz w:val="44"/>
          <w:szCs w:val="44"/>
          <w:lang w:val="en-US" w:eastAsia="zh-CN"/>
        </w:rPr>
        <w:t>2021年度项目支出绩效自评报告</w:t>
      </w:r>
    </w:p>
    <w:p>
      <w:pPr>
        <w:pStyle w:val="40"/>
        <w:spacing w:line="600" w:lineRule="exact"/>
        <w:jc w:val="center"/>
        <w:rPr>
          <w:rFonts w:ascii="仿宋_GB2312" w:eastAsia="仿宋_GB2312" w:cs="仿宋_GB2312" w:hint="eastAsia"/>
          <w:color w:val="auto"/>
          <w:kern w:val="0"/>
          <w:sz w:val="32"/>
          <w:szCs w:val="32"/>
          <w:lang w:val="en-US" w:eastAsia="zh-CN" w:bidi="ar-SA"/>
        </w:rPr>
      </w:pPr>
      <w:r>
        <w:rPr>
          <w:rFonts w:ascii="仿宋_GB2312" w:eastAsia="仿宋_GB2312" w:cs="仿宋_GB2312" w:hint="eastAsia"/>
          <w:color w:val="auto"/>
          <w:kern w:val="0"/>
          <w:sz w:val="32"/>
          <w:szCs w:val="32"/>
          <w:lang w:val="en-US" w:eastAsia="zh-CN" w:bidi="ar-SA"/>
        </w:rPr>
        <w:t>（防火阻隔系统建设项目）</w:t>
      </w:r>
    </w:p>
    <w:p>
      <w:pPr>
        <w:pStyle w:val="42"/>
        <w:adjustRightInd w:val="0"/>
        <w:snapToGrid w:val="0"/>
        <w:spacing w:line="600" w:lineRule="exact"/>
        <w:ind w:firstLineChars="200" w:firstLine="640"/>
        <w:outlineLvl w:val="0"/>
        <w:rPr>
          <w:rFonts w:ascii="黑体" w:eastAsia="黑体" w:cs="仿宋_GB2312" w:hint="eastAsia"/>
          <w:b/>
          <w:bCs/>
          <w:sz w:val="32"/>
          <w:szCs w:val="32"/>
          <w:lang w:val="zh-CN"/>
        </w:rPr>
      </w:pPr>
    </w:p>
    <w:p>
      <w:pPr>
        <w:pStyle w:val="42"/>
        <w:adjustRightInd w:val="0"/>
        <w:snapToGrid w:val="0"/>
        <w:spacing w:line="600" w:lineRule="exact"/>
        <w:ind w:firstLineChars="200" w:firstLine="640"/>
        <w:outlineLvl w:val="0"/>
        <w:rPr>
          <w:rFonts w:ascii="仿宋" w:eastAsia="仿宋" w:cs="仿宋_GB2312" w:hint="eastAsia"/>
          <w:sz w:val="32"/>
          <w:szCs w:val="32"/>
          <w:lang w:val="zh-CN"/>
        </w:rPr>
      </w:pPr>
      <w:r>
        <w:rPr>
          <w:rFonts w:ascii="黑体" w:eastAsia="黑体" w:cs="仿宋_GB2312" w:hint="eastAsia"/>
          <w:b/>
          <w:bCs/>
          <w:sz w:val="32"/>
          <w:szCs w:val="32"/>
          <w:lang w:val="zh-CN"/>
        </w:rPr>
        <w:t>一、基本情况</w:t>
      </w:r>
    </w:p>
    <w:p>
      <w:pPr>
        <w:pStyle w:val="42"/>
        <w:adjustRightInd w:val="0"/>
        <w:snapToGrid w:val="0"/>
        <w:spacing w:line="600" w:lineRule="exact"/>
        <w:rPr>
          <w:rFonts w:ascii="楷体" w:eastAsia="楷体" w:cs="楷体" w:hint="eastAsia"/>
          <w:b/>
          <w:bCs/>
          <w:sz w:val="32"/>
          <w:szCs w:val="32"/>
          <w:lang w:val="zh-CN"/>
        </w:rPr>
      </w:pPr>
      <w:r>
        <w:rPr>
          <w:rFonts w:ascii="仿宋" w:eastAsia="仿宋" w:cs="仿宋_GB2312" w:hint="eastAsia"/>
          <w:sz w:val="32"/>
          <w:szCs w:val="32"/>
        </w:rPr>
        <w:t xml:space="preserve">   </w:t>
      </w:r>
      <w:r>
        <w:rPr>
          <w:rFonts w:ascii="楷体" w:eastAsia="楷体" w:cs="楷体" w:hint="eastAsia"/>
          <w:b/>
          <w:bCs/>
          <w:sz w:val="32"/>
          <w:szCs w:val="32"/>
          <w:lang w:val="zh-CN"/>
        </w:rPr>
        <w:t>（一）资金安排情况</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 w:eastAsia="仿宋" w:cs="仿宋_GB2312"/>
          <w:sz w:val="32"/>
          <w:szCs w:val="32"/>
          <w:lang w:val="en-US" w:eastAsia="zh-CN"/>
        </w:rPr>
      </w:pPr>
      <w:r>
        <w:rPr>
          <w:rFonts w:ascii="仿宋_GB2312" w:eastAsia="仿宋_GB2312" w:cs="仿宋_GB2312" w:hint="eastAsia"/>
          <w:sz w:val="32"/>
          <w:szCs w:val="32"/>
        </w:rPr>
        <w:t>1.2020年度</w:t>
      </w:r>
      <w:r>
        <w:rPr>
          <w:rFonts w:ascii="仿宋_GB2312" w:eastAsia="仿宋_GB2312" w:cs="仿宋_GB2312" w:hint="eastAsia"/>
          <w:sz w:val="32"/>
          <w:szCs w:val="32"/>
          <w:lang w:val="en-US" w:eastAsia="zh-CN"/>
        </w:rPr>
        <w:t>茂财资环[2020]22号文件下达省级资金126万元，主要用于防火阻隔系统建设</w:t>
      </w:r>
      <w:r>
        <w:rPr>
          <w:rFonts w:ascii="仿宋" w:eastAsia="仿宋" w:cs="仿宋_GB2312" w:hint="eastAsia"/>
          <w:sz w:val="32"/>
          <w:szCs w:val="32"/>
          <w:lang w:val="en-US" w:eastAsia="zh-CN"/>
        </w:rPr>
        <w:t>。</w:t>
      </w:r>
    </w:p>
    <w:p>
      <w:pPr>
        <w:pStyle w:val="42"/>
        <w:adjustRightInd w:val="0"/>
        <w:snapToGrid w:val="0"/>
        <w:spacing w:line="600" w:lineRule="exact"/>
        <w:rPr>
          <w:rFonts w:ascii="仿宋" w:eastAsia="仿宋" w:cs="仿宋_GB2312" w:hint="eastAsia"/>
          <w:sz w:val="32"/>
          <w:szCs w:val="32"/>
          <w:lang w:val="zh-CN"/>
        </w:rPr>
      </w:pPr>
      <w:r>
        <w:rPr>
          <w:rFonts w:ascii="仿宋" w:eastAsia="仿宋" w:cs="仿宋_GB2312" w:hint="eastAsia"/>
          <w:sz w:val="32"/>
          <w:szCs w:val="32"/>
        </w:rPr>
        <w:t xml:space="preserve">   </w:t>
      </w:r>
      <w:r>
        <w:rPr>
          <w:rFonts w:ascii="楷体" w:eastAsia="楷体" w:cs="楷体" w:hint="eastAsia"/>
          <w:b/>
          <w:bCs/>
          <w:sz w:val="32"/>
          <w:szCs w:val="32"/>
          <w:lang w:val="zh-CN"/>
        </w:rPr>
        <w:t>（二）项目绩效目标</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新建1800亩防火阻隔带，在县城周边林农交界地带建防火隔离带675亩，在凤仪镇小沟炸药库周围及土地岭、松坪沟等重点林区建设防火隔离带1125亩。</w:t>
      </w:r>
    </w:p>
    <w:p>
      <w:pPr>
        <w:pStyle w:val="42"/>
        <w:adjustRightInd w:val="0"/>
        <w:snapToGrid w:val="0"/>
        <w:spacing w:line="600" w:lineRule="exact"/>
        <w:rPr>
          <w:rFonts w:ascii="黑体" w:eastAsia="黑体" w:cs="仿宋_GB2312" w:hint="eastAsia"/>
          <w:b/>
          <w:bCs/>
          <w:sz w:val="32"/>
          <w:szCs w:val="32"/>
          <w:lang w:val="zh-CN"/>
        </w:rPr>
      </w:pPr>
      <w:r>
        <w:rPr>
          <w:rFonts w:ascii="仿宋" w:eastAsia="仿宋" w:cs="仿宋_GB2312" w:hint="eastAsia"/>
          <w:sz w:val="32"/>
          <w:szCs w:val="32"/>
        </w:rPr>
        <w:t xml:space="preserve">    </w:t>
      </w:r>
      <w:r>
        <w:rPr>
          <w:rFonts w:ascii="黑体" w:eastAsia="黑体" w:cs="仿宋_GB2312" w:hint="eastAsia"/>
          <w:b/>
          <w:bCs/>
          <w:sz w:val="32"/>
          <w:szCs w:val="32"/>
          <w:lang w:val="zh-CN"/>
        </w:rPr>
        <w:t>二、绩效自评</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sz w:val="32"/>
          <w:szCs w:val="32"/>
          <w:lang w:val="en-US" w:eastAsia="zh-CN"/>
        </w:rPr>
      </w:pPr>
      <w:r>
        <w:rPr>
          <w:rFonts w:ascii="仿宋_GB2312" w:eastAsia="仿宋_GB2312" w:cs="仿宋_GB2312" w:hint="eastAsia"/>
          <w:sz w:val="32"/>
          <w:szCs w:val="32"/>
          <w:lang w:val="en-US" w:eastAsia="zh-CN"/>
        </w:rPr>
        <w:t>项目建设完全符合资金使用要求。总体目标和绩效目标均达标。</w:t>
      </w:r>
    </w:p>
    <w:p>
      <w:pPr>
        <w:pStyle w:val="42"/>
        <w:adjustRightInd w:val="0"/>
        <w:snapToGrid w:val="0"/>
        <w:spacing w:line="600" w:lineRule="exact"/>
        <w:ind w:firstLineChars="200" w:firstLine="640"/>
        <w:outlineLvl w:val="0"/>
        <w:rPr>
          <w:rFonts w:ascii="黑体" w:eastAsia="黑体" w:cs="仿宋_GB2312" w:hint="eastAsia"/>
          <w:b/>
          <w:bCs/>
          <w:sz w:val="32"/>
          <w:szCs w:val="32"/>
          <w:lang w:val="zh-CN"/>
        </w:rPr>
      </w:pPr>
      <w:r>
        <w:rPr>
          <w:rFonts w:ascii="黑体" w:eastAsia="黑体" w:cs="仿宋_GB2312" w:hint="eastAsia"/>
          <w:b/>
          <w:bCs/>
          <w:sz w:val="32"/>
          <w:szCs w:val="32"/>
          <w:lang w:val="zh-CN"/>
        </w:rPr>
        <w:t>三、评价方法及过程</w:t>
      </w:r>
    </w:p>
    <w:p>
      <w:pPr>
        <w:pStyle w:val="42"/>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绩效评价方法</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按照《森林草原防灭火项目绩效评价表》（附表2-1）逐一开展自评。</w:t>
      </w:r>
    </w:p>
    <w:p>
      <w:pPr>
        <w:pStyle w:val="42"/>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rPr>
        <w:t>绩效评价过程</w:t>
      </w:r>
    </w:p>
    <w:p>
      <w:pPr>
        <w:pStyle w:val="42"/>
        <w:keepNext w:val="0"/>
        <w:keepLines w:val="0"/>
        <w:pageBreakBefore w:val="0"/>
        <w:widowControl w:val="0"/>
        <w:kinsoku/>
        <w:wordWrap/>
        <w:overflowPunct/>
        <w:topLinePunct w:val="0"/>
        <w:autoSpaceDE/>
        <w:autoSpaceDN/>
        <w:bidi w:val="0"/>
        <w:adjustRightInd w:val="0"/>
        <w:snapToGrid w:val="0"/>
        <w:spacing w:line="560" w:lineRule="exact"/>
        <w:ind w:left="0"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1.资金投入与使用-2.资金项目管理-3.资金实际产出-4.政策实施效果。</w:t>
      </w:r>
    </w:p>
    <w:p>
      <w:pPr>
        <w:pStyle w:val="42"/>
        <w:adjustRightInd w:val="0"/>
        <w:snapToGrid w:val="0"/>
        <w:spacing w:line="600" w:lineRule="exact"/>
        <w:outlineLvl w:val="0"/>
        <w:rPr>
          <w:rFonts w:ascii="黑体" w:eastAsia="黑体" w:cs="仿宋_GB2312" w:hint="eastAsia"/>
          <w:b/>
          <w:bCs/>
          <w:sz w:val="32"/>
          <w:szCs w:val="32"/>
        </w:rPr>
      </w:pPr>
      <w:r>
        <w:rPr>
          <w:rFonts w:ascii="黑体" w:eastAsia="黑体" w:cs="仿宋_GB2312" w:hint="eastAsia"/>
          <w:b/>
          <w:bCs/>
          <w:sz w:val="32"/>
          <w:szCs w:val="32"/>
        </w:rPr>
        <w:t xml:space="preserve">    四、绩效评价分析（</w:t>
      </w:r>
      <w:r>
        <w:rPr>
          <w:rFonts w:ascii="黑体" w:eastAsia="黑体" w:cs="仿宋_GB2312" w:hint="eastAsia"/>
          <w:b/>
          <w:bCs/>
          <w:sz w:val="32"/>
          <w:szCs w:val="32"/>
          <w:lang w:val="zh-CN"/>
        </w:rPr>
        <w:t>含问题分析说明</w:t>
      </w:r>
      <w:r>
        <w:rPr>
          <w:rFonts w:ascii="黑体" w:eastAsia="黑体" w:cs="仿宋_GB2312" w:hint="eastAsia"/>
          <w:b/>
          <w:bCs/>
          <w:sz w:val="32"/>
          <w:szCs w:val="32"/>
        </w:rPr>
        <w:t>）</w:t>
      </w:r>
    </w:p>
    <w:p>
      <w:pPr>
        <w:pStyle w:val="42"/>
        <w:adjustRightInd w:val="0"/>
        <w:snapToGrid w:val="0"/>
        <w:spacing w:line="600" w:lineRule="exact"/>
        <w:rPr>
          <w:rFonts w:ascii="仿宋" w:eastAsia="仿宋" w:cs="仿宋_GB2312" w:hint="eastAsia"/>
          <w:sz w:val="32"/>
          <w:szCs w:val="32"/>
        </w:rPr>
      </w:pPr>
      <w:r>
        <w:rPr>
          <w:rFonts w:ascii="仿宋" w:eastAsia="仿宋" w:cs="仿宋_GB2312" w:hint="eastAsia"/>
          <w:sz w:val="32"/>
          <w:szCs w:val="32"/>
        </w:rPr>
        <w:t xml:space="preserve">    </w:t>
      </w:r>
      <w:r>
        <w:rPr>
          <w:rFonts w:ascii="楷体" w:eastAsia="楷体" w:cs="楷体" w:hint="eastAsia"/>
          <w:b/>
          <w:bCs/>
          <w:sz w:val="32"/>
          <w:szCs w:val="32"/>
        </w:rPr>
        <w:t xml:space="preserve">（一）资金使用管理 </w:t>
      </w:r>
      <w:r>
        <w:rPr>
          <w:rFonts w:ascii="仿宋" w:eastAsia="仿宋" w:cs="仿宋_GB2312" w:hint="eastAsia"/>
          <w:sz w:val="32"/>
          <w:szCs w:val="32"/>
        </w:rPr>
        <w:t xml:space="preserve"> </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rPr>
        <w:t xml:space="preserve"> 1.资金到位情况。</w:t>
      </w:r>
      <w:r>
        <w:rPr>
          <w:rFonts w:ascii="仿宋_GB2312" w:eastAsia="仿宋_GB2312" w:cs="仿宋_GB2312" w:hint="eastAsia"/>
          <w:sz w:val="32"/>
          <w:szCs w:val="32"/>
          <w:lang w:val="en-US" w:eastAsia="zh-CN"/>
        </w:rPr>
        <w:t>2020年11月5日，县财政下达2020年第二批省级林业草原改革发展专项资金126万元。</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zh-CN"/>
        </w:rPr>
      </w:pPr>
      <w:r>
        <w:rPr>
          <w:rFonts w:ascii="仿宋_GB2312" w:eastAsia="仿宋_GB2312" w:cs="仿宋_GB2312" w:hint="eastAsia"/>
          <w:sz w:val="32"/>
          <w:szCs w:val="32"/>
        </w:rPr>
        <w:t>2.资金使用情况。</w:t>
      </w:r>
      <w:r>
        <w:rPr>
          <w:rFonts w:ascii="仿宋_GB2312" w:eastAsia="仿宋_GB2312" w:cs="仿宋_GB2312" w:hint="eastAsia"/>
          <w:sz w:val="32"/>
          <w:szCs w:val="32"/>
          <w:lang w:val="zh-CN"/>
        </w:rPr>
        <w:t>统计截止评价时点项目资金</w:t>
      </w:r>
      <w:r>
        <w:rPr>
          <w:rFonts w:ascii="仿宋_GB2312" w:eastAsia="仿宋_GB2312" w:cs="仿宋_GB2312" w:hint="eastAsia"/>
          <w:sz w:val="32"/>
          <w:szCs w:val="32"/>
          <w:lang w:val="en-US" w:eastAsia="zh-CN"/>
        </w:rPr>
        <w:t>已使用579342.71元，今年预计还需支付140814.91元，主要用于支付施工质量保证金、招标控制价评审费和竣工结算审核费等，剩余资金本将退回县财政。项目资金支付安全、规范，资金支付范围、支付标准进行支付、支付进度、</w:t>
      </w:r>
      <w:r>
        <w:rPr>
          <w:rFonts w:ascii="仿宋_GB2312" w:eastAsia="仿宋_GB2312" w:cs="仿宋_GB2312" w:hint="eastAsia"/>
          <w:sz w:val="32"/>
          <w:szCs w:val="32"/>
          <w:lang w:val="zh-CN"/>
        </w:rPr>
        <w:t>支付依据等合规合法，与预算相符。</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3.资金管理情况。财务管理制度健全，</w:t>
      </w:r>
      <w:r>
        <w:rPr>
          <w:rFonts w:ascii="仿宋_GB2312" w:eastAsia="仿宋_GB2312" w:cs="仿宋_GB2312" w:hint="eastAsia"/>
          <w:sz w:val="32"/>
          <w:szCs w:val="32"/>
          <w:lang w:val="en-US" w:eastAsia="zh-CN"/>
        </w:rPr>
        <w:t>该项目</w:t>
      </w:r>
      <w:r>
        <w:rPr>
          <w:rFonts w:ascii="仿宋_GB2312" w:eastAsia="仿宋_GB2312" w:cs="仿宋_GB2312" w:hint="eastAsia"/>
          <w:sz w:val="32"/>
          <w:szCs w:val="32"/>
        </w:rPr>
        <w:t>严格执行财务管理制度，账务处理及时，会计核算规范。</w:t>
      </w:r>
    </w:p>
    <w:p>
      <w:pPr>
        <w:pStyle w:val="42"/>
        <w:adjustRightInd w:val="0"/>
        <w:snapToGrid w:val="0"/>
        <w:spacing w:line="600" w:lineRule="exact"/>
        <w:rPr>
          <w:rFonts w:ascii="仿宋" w:eastAsia="仿宋" w:cs="仿宋_GB2312" w:hint="eastAsia"/>
          <w:sz w:val="32"/>
          <w:szCs w:val="32"/>
        </w:rPr>
      </w:pPr>
      <w:r>
        <w:rPr>
          <w:rFonts w:ascii="仿宋" w:eastAsia="仿宋" w:cs="仿宋_GB2312" w:hint="eastAsia"/>
          <w:sz w:val="32"/>
          <w:szCs w:val="32"/>
        </w:rPr>
        <w:t xml:space="preserve">   </w:t>
      </w:r>
      <w:r>
        <w:rPr>
          <w:rFonts w:ascii="楷体" w:eastAsia="楷体" w:cs="楷体" w:hint="eastAsia"/>
          <w:b/>
          <w:bCs/>
          <w:sz w:val="32"/>
          <w:szCs w:val="32"/>
        </w:rPr>
        <w:t>（二）项目实施管理</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color w:val="FF0000"/>
          <w:sz w:val="32"/>
          <w:szCs w:val="32"/>
          <w:lang w:val="zh-CN"/>
        </w:rPr>
      </w:pPr>
      <w:r>
        <w:rPr>
          <w:rFonts w:ascii="仿宋_GB2312" w:eastAsia="仿宋_GB2312" w:cs="仿宋_GB2312" w:hint="eastAsia"/>
          <w:sz w:val="32"/>
          <w:szCs w:val="32"/>
        </w:rPr>
        <w:t>1.</w:t>
      </w:r>
      <w:r>
        <w:rPr>
          <w:rFonts w:ascii="仿宋_GB2312" w:eastAsia="仿宋_GB2312" w:cs="仿宋_GB2312" w:hint="eastAsia"/>
          <w:sz w:val="32"/>
          <w:szCs w:val="32"/>
          <w:lang w:val="zh-CN"/>
        </w:rPr>
        <w:t>项目完成数量。</w:t>
      </w:r>
      <w:r>
        <w:rPr>
          <w:rFonts w:ascii="仿宋_GB2312" w:eastAsia="仿宋_GB2312" w:cs="仿宋_GB2312" w:hint="eastAsia"/>
          <w:sz w:val="32"/>
          <w:szCs w:val="32"/>
          <w:lang w:val="en-US" w:eastAsia="zh-CN"/>
        </w:rPr>
        <w:t>新建1800亩防火阻隔带，完成率100%。</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zh-CN"/>
        </w:rPr>
      </w:pPr>
      <w:r>
        <w:rPr>
          <w:rFonts w:ascii="仿宋_GB2312" w:eastAsia="仿宋_GB2312" w:cs="仿宋_GB2312" w:hint="eastAsia"/>
          <w:sz w:val="32"/>
          <w:szCs w:val="32"/>
        </w:rPr>
        <w:t>2.</w:t>
      </w:r>
      <w:r>
        <w:rPr>
          <w:rFonts w:ascii="仿宋_GB2312" w:eastAsia="仿宋_GB2312" w:cs="仿宋_GB2312" w:hint="eastAsia"/>
          <w:sz w:val="32"/>
          <w:szCs w:val="32"/>
          <w:lang w:val="zh-CN"/>
        </w:rPr>
        <w:t>项目完成质量。</w:t>
      </w:r>
      <w:r>
        <w:rPr>
          <w:rFonts w:ascii="仿宋_GB2312" w:eastAsia="仿宋_GB2312" w:cs="仿宋_GB2312" w:hint="eastAsia"/>
          <w:sz w:val="32"/>
          <w:szCs w:val="32"/>
          <w:lang w:val="en-US" w:eastAsia="zh-CN"/>
        </w:rPr>
        <w:t>项目</w:t>
      </w:r>
      <w:r>
        <w:rPr>
          <w:rFonts w:ascii="仿宋_GB2312" w:eastAsia="仿宋_GB2312" w:cs="仿宋_GB2312" w:hint="eastAsia"/>
          <w:sz w:val="32"/>
          <w:szCs w:val="32"/>
          <w:lang w:val="zh-CN"/>
        </w:rPr>
        <w:t>验收</w:t>
      </w:r>
      <w:r>
        <w:rPr>
          <w:rFonts w:ascii="仿宋_GB2312" w:eastAsia="仿宋_GB2312" w:cs="仿宋_GB2312" w:hint="eastAsia"/>
          <w:sz w:val="32"/>
          <w:szCs w:val="32"/>
          <w:lang w:val="en-US" w:eastAsia="zh-CN"/>
        </w:rPr>
        <w:t>合格</w:t>
      </w:r>
      <w:r>
        <w:rPr>
          <w:rFonts w:ascii="仿宋_GB2312" w:eastAsia="仿宋_GB2312" w:cs="仿宋_GB2312" w:hint="eastAsia"/>
          <w:sz w:val="32"/>
          <w:szCs w:val="32"/>
          <w:lang w:val="zh-CN"/>
        </w:rPr>
        <w:t>。</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zh-CN"/>
        </w:rPr>
      </w:pPr>
      <w:r>
        <w:rPr>
          <w:rFonts w:ascii="仿宋_GB2312" w:eastAsia="仿宋_GB2312" w:cs="仿宋_GB2312" w:hint="eastAsia"/>
          <w:sz w:val="32"/>
          <w:szCs w:val="32"/>
        </w:rPr>
        <w:t>3.</w:t>
      </w:r>
      <w:r>
        <w:rPr>
          <w:rFonts w:ascii="仿宋_GB2312" w:eastAsia="仿宋_GB2312" w:cs="仿宋_GB2312" w:hint="eastAsia"/>
          <w:sz w:val="32"/>
          <w:szCs w:val="32"/>
          <w:lang w:val="zh-CN"/>
        </w:rPr>
        <w:t>项目完成进度。</w:t>
      </w:r>
      <w:r>
        <w:rPr>
          <w:rFonts w:ascii="仿宋_GB2312" w:eastAsia="仿宋_GB2312" w:cs="仿宋_GB2312" w:hint="eastAsia"/>
          <w:sz w:val="32"/>
          <w:szCs w:val="32"/>
          <w:lang w:val="en-US" w:eastAsia="zh-CN"/>
        </w:rPr>
        <w:t>已完成</w:t>
      </w:r>
      <w:r>
        <w:rPr>
          <w:rFonts w:ascii="仿宋_GB2312" w:eastAsia="仿宋_GB2312" w:cs="仿宋_GB2312" w:hint="eastAsia"/>
          <w:sz w:val="32"/>
          <w:szCs w:val="32"/>
          <w:lang w:val="zh-CN"/>
        </w:rPr>
        <w:t>。</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rPr>
        <w:t>4.</w:t>
      </w:r>
      <w:r>
        <w:rPr>
          <w:rFonts w:ascii="仿宋_GB2312" w:eastAsia="仿宋_GB2312" w:cs="仿宋_GB2312" w:hint="eastAsia"/>
          <w:sz w:val="32"/>
          <w:szCs w:val="32"/>
          <w:lang w:val="zh-CN"/>
        </w:rPr>
        <w:t>项目管理情况。</w:t>
      </w:r>
      <w:r>
        <w:rPr>
          <w:rFonts w:ascii="仿宋_GB2312" w:eastAsia="仿宋_GB2312" w:cs="仿宋_GB2312" w:hint="eastAsia"/>
          <w:sz w:val="32"/>
          <w:szCs w:val="32"/>
        </w:rPr>
        <w:t>为保障项目建设质量，</w:t>
      </w:r>
      <w:r>
        <w:rPr>
          <w:rFonts w:ascii="仿宋_GB2312" w:eastAsia="仿宋_GB2312" w:cs="仿宋_GB2312" w:hint="eastAsia"/>
          <w:sz w:val="32"/>
          <w:szCs w:val="32"/>
          <w:lang w:val="en-US" w:eastAsia="zh-CN"/>
        </w:rPr>
        <w:t>工程类项目</w:t>
      </w:r>
      <w:r>
        <w:rPr>
          <w:rFonts w:ascii="仿宋_GB2312" w:eastAsia="仿宋_GB2312" w:cs="仿宋_GB2312" w:hint="eastAsia"/>
          <w:sz w:val="32"/>
          <w:szCs w:val="32"/>
          <w:lang w:eastAsia="zh-CN"/>
        </w:rPr>
        <w:t>选派业主代表、</w:t>
      </w:r>
      <w:r>
        <w:rPr>
          <w:rFonts w:ascii="仿宋_GB2312" w:eastAsia="仿宋_GB2312" w:cs="仿宋_GB2312" w:hint="eastAsia"/>
          <w:sz w:val="32"/>
          <w:szCs w:val="32"/>
        </w:rPr>
        <w:t>聘请第三方监理机构对项目建设的质量及进度进行监督</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并按照要求开展验收工作。</w:t>
      </w:r>
    </w:p>
    <w:p>
      <w:pPr>
        <w:pStyle w:val="42"/>
        <w:adjustRightInd w:val="0"/>
        <w:snapToGrid w:val="0"/>
        <w:spacing w:line="600" w:lineRule="exact"/>
        <w:ind w:firstLine="640"/>
        <w:rPr>
          <w:rFonts w:ascii="黑体" w:eastAsia="黑体" w:cs="仿宋_GB2312" w:hint="eastAsia"/>
          <w:b/>
          <w:bCs/>
          <w:sz w:val="32"/>
          <w:szCs w:val="32"/>
        </w:rPr>
      </w:pPr>
      <w:r>
        <w:rPr>
          <w:rFonts w:ascii="黑体" w:eastAsia="黑体" w:cs="仿宋_GB2312" w:hint="eastAsia"/>
          <w:b/>
          <w:bCs/>
          <w:sz w:val="32"/>
          <w:szCs w:val="32"/>
        </w:rPr>
        <w:t>五、绩效评价结论</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一</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在项目决策上，项目建设严格按照上级文件要求与茂县森林草原防火基础设施建设需求进行决策。</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（二）在项目管理上，严格按照项目工程管理相关法律法规及程序要求进行。</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（三）项目完成上，项目已保质保量完成，并通过验收。</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（四）在</w:t>
      </w:r>
      <w:r>
        <w:rPr>
          <w:rFonts w:ascii="仿宋_GB2312" w:eastAsia="仿宋_GB2312" w:cs="仿宋_GB2312" w:hint="eastAsia"/>
          <w:sz w:val="32"/>
          <w:szCs w:val="32"/>
          <w:lang w:val="zh-CN"/>
        </w:rPr>
        <w:t>项目</w:t>
      </w:r>
      <w:r>
        <w:rPr>
          <w:rFonts w:ascii="仿宋_GB2312" w:eastAsia="仿宋_GB2312" w:cs="仿宋_GB2312" w:hint="eastAsia"/>
          <w:sz w:val="32"/>
          <w:szCs w:val="32"/>
          <w:lang w:val="en-US" w:eastAsia="zh-CN"/>
        </w:rPr>
        <w:t>效果上，主要体现如下：</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1.生态效益。防火阻隔系统的建成，极大地提升了茂县重点林区森林草原防灭火能力；</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2.经济效益。项目建设过程会产生大量的劳务用工，增加了当地农户的经济收入。</w:t>
      </w:r>
    </w:p>
    <w:p>
      <w:pPr>
        <w:pStyle w:val="42"/>
        <w:keepNext w:val="0"/>
        <w:keepLines w:val="0"/>
        <w:pageBreakBefore w:val="0"/>
        <w:widowControl w:val="0"/>
        <w:kinsoku/>
        <w:wordWrap/>
        <w:overflowPunct/>
        <w:topLinePunct w:val="0"/>
        <w:autoSpaceDE/>
        <w:autoSpaceDN/>
        <w:bidi w:val="0"/>
        <w:adjustRightInd w:val="0"/>
        <w:snapToGrid w:val="0"/>
        <w:spacing w:line="560" w:lineRule="exact"/>
        <w:ind w:firstLineChars="200" w:firstLine="640"/>
        <w:textAlignment w:val="auto"/>
        <w:rPr>
          <w:rFonts w:ascii="仿宋_GB2312" w:eastAsia="仿宋_GB2312" w:cs="仿宋_GB2312" w:hint="eastAsia"/>
          <w:sz w:val="32"/>
          <w:szCs w:val="32"/>
          <w:lang w:val="zh-CN"/>
        </w:rPr>
      </w:pPr>
      <w:r>
        <w:rPr>
          <w:rFonts w:ascii="仿宋_GB2312" w:eastAsia="仿宋_GB2312" w:cs="仿宋_GB2312" w:hint="eastAsia"/>
          <w:sz w:val="32"/>
          <w:szCs w:val="32"/>
          <w:lang w:val="en-US" w:eastAsia="zh-CN"/>
        </w:rPr>
        <w:t>3.社会效益。项目建设，预期会减少项目实施区域森林草原火灾受灾面积，老百姓对此反响积极，产生了较好的社会效益。</w:t>
      </w:r>
    </w:p>
    <w:p>
      <w:pPr>
        <w:pStyle w:val="42"/>
        <w:adjustRightInd w:val="0"/>
        <w:snapToGrid w:val="0"/>
        <w:spacing w:line="600" w:lineRule="exact"/>
        <w:rPr>
          <w:rFonts w:ascii="黑体" w:eastAsia="黑体" w:cs="仿宋_GB2312" w:hint="eastAsia"/>
          <w:b/>
          <w:bCs/>
          <w:sz w:val="32"/>
          <w:szCs w:val="32"/>
        </w:rPr>
      </w:pPr>
      <w:r>
        <w:rPr>
          <w:rFonts w:ascii="仿宋" w:eastAsia="仿宋" w:cs="仿宋_GB2312" w:hint="eastAsia"/>
          <w:sz w:val="32"/>
          <w:szCs w:val="32"/>
        </w:rPr>
        <w:t xml:space="preserve">    </w:t>
      </w:r>
      <w:r>
        <w:rPr>
          <w:rFonts w:ascii="黑体" w:eastAsia="黑体" w:cs="仿宋_GB2312" w:hint="eastAsia"/>
          <w:b/>
          <w:bCs/>
          <w:sz w:val="32"/>
          <w:szCs w:val="32"/>
        </w:rPr>
        <w:t>六、绩效评价意见</w:t>
      </w:r>
    </w:p>
    <w:p>
      <w:pPr>
        <w:pStyle w:val="42"/>
        <w:adjustRightInd w:val="0"/>
        <w:snapToGrid w:val="0"/>
        <w:spacing w:line="600" w:lineRule="exact"/>
        <w:ind w:firstLineChars="200" w:firstLine="640"/>
        <w:rPr>
          <w:rFonts w:ascii="黑体" w:eastAsia="黑体" w:cs="仿宋_GB2312" w:hint="eastAsia"/>
          <w:b/>
          <w:bCs/>
          <w:sz w:val="32"/>
          <w:szCs w:val="32"/>
          <w:lang w:val="en-US" w:eastAsia="zh-CN"/>
        </w:rPr>
      </w:pPr>
      <w:r>
        <w:rPr>
          <w:rFonts w:ascii="仿宋_GB2312" w:eastAsia="仿宋_GB2312" w:cs="仿宋_GB2312" w:hint="eastAsia"/>
          <w:sz w:val="32"/>
          <w:szCs w:val="32"/>
          <w:lang w:val="en-US" w:eastAsia="zh-CN"/>
        </w:rPr>
        <w:t>无</w:t>
      </w:r>
      <w:r>
        <w:rPr>
          <w:rFonts w:ascii="仿宋" w:eastAsia="仿宋" w:cs="仿宋_GB2312" w:hint="eastAsia"/>
          <w:sz w:val="32"/>
          <w:szCs w:val="32"/>
          <w:lang w:val="en-US" w:eastAsia="zh-CN"/>
        </w:rPr>
        <w:t>。</w:t>
      </w:r>
    </w:p>
    <w:p>
      <w:pPr>
        <w:pStyle w:val="37"/>
        <w:pageBreakBefore w:val="0"/>
        <w:widowControl w:val="0"/>
        <w:kinsoku/>
        <w:wordWrap/>
        <w:overflowPunct/>
        <w:topLinePunct w:val="0"/>
        <w:bidi w:val="0"/>
        <w:spacing w:line="560" w:lineRule="exact"/>
      </w:pPr>
    </w:p>
    <w:p>
      <w:pPr>
        <w:pStyle w:val="2"/>
      </w:pPr>
    </w:p>
    <w:p/>
    <w:p>
      <w:pPr>
        <w:pStyle w:val="15"/>
      </w:pPr>
    </w:p>
    <w:p>
      <w:pPr>
        <w:pStyle w:val="15"/>
      </w:pPr>
    </w:p>
    <w:p>
      <w:pPr>
        <w:pStyle w:val="15"/>
      </w:pPr>
    </w:p>
    <w:p>
      <w:pPr>
        <w:pStyle w:val="1"/>
        <w:keepNext/>
        <w:keepLines/>
        <w:pageBreakBefore w:val="0"/>
        <w:widowControl w:val="0"/>
        <w:kinsoku/>
        <w:wordWrap/>
        <w:overflowPunct/>
        <w:topLinePunct w:val="0"/>
        <w:bidi w:val="0"/>
        <w:spacing w:before="0" w:after="0" w:line="560" w:lineRule="exact"/>
        <w:jc w:val="center"/>
        <w:rPr>
          <w:rFonts w:ascii="黑体" w:eastAsia="黑体" w:cs="黑体"/>
        </w:rPr>
      </w:pPr>
      <w:bookmarkStart w:id="80" w:name="_Toc79163885"/>
      <w:bookmarkStart w:id="81" w:name="_Toc113981025"/>
      <w:bookmarkStart w:id="82" w:name="_Toc79163635"/>
      <w:bookmarkStart w:id="83" w:name="_Toc111208512"/>
      <w:r>
        <w:rPr>
          <w:rFonts w:ascii="黑体" w:eastAsia="黑体" w:cs="黑体" w:hint="eastAsia"/>
        </w:rPr>
        <w:t>第五部分 附表</w:t>
      </w:r>
      <w:bookmarkEnd w:id="80"/>
      <w:bookmarkEnd w:id="81"/>
      <w:bookmarkEnd w:id="82"/>
      <w:bookmarkEnd w:id="83"/>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84" w:name="_Toc79163636"/>
      <w:bookmarkStart w:id="85" w:name="_Toc79163886"/>
      <w:bookmarkStart w:id="86" w:name="_Toc111208513"/>
      <w:bookmarkStart w:id="87" w:name="_Toc113981026"/>
      <w:r>
        <w:rPr>
          <w:rFonts w:ascii="黑体" w:eastAsia="黑体" w:cs="Times New Roman" w:hint="eastAsia"/>
          <w:bCs w:val="0"/>
          <w:color w:val="000000"/>
        </w:rPr>
        <w:t>一、收入支出决算总表</w:t>
      </w:r>
      <w:bookmarkEnd w:id="84"/>
      <w:bookmarkEnd w:id="85"/>
      <w:bookmarkEnd w:id="86"/>
      <w:bookmarkEnd w:id="87"/>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88" w:name="_Toc79163887"/>
      <w:bookmarkStart w:id="89" w:name="_Toc79163637"/>
      <w:bookmarkStart w:id="90" w:name="_Toc111208514"/>
      <w:bookmarkStart w:id="91" w:name="_Toc113981027"/>
      <w:r>
        <w:rPr>
          <w:rFonts w:ascii="黑体" w:eastAsia="黑体" w:cs="Times New Roman" w:hint="eastAsia"/>
          <w:bCs w:val="0"/>
          <w:color w:val="000000"/>
        </w:rPr>
        <w:t>二、收入决算表</w:t>
      </w:r>
      <w:bookmarkEnd w:id="88"/>
      <w:bookmarkEnd w:id="89"/>
      <w:bookmarkEnd w:id="90"/>
      <w:bookmarkEnd w:id="91"/>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 w:val="0"/>
          <w:color w:val="000000"/>
        </w:rPr>
      </w:pPr>
      <w:bookmarkStart w:id="92" w:name="_Toc79163638"/>
      <w:bookmarkStart w:id="93" w:name="_Toc79163888"/>
      <w:bookmarkStart w:id="94" w:name="_Toc111208515"/>
      <w:bookmarkStart w:id="95" w:name="_Toc113981028"/>
      <w:r>
        <w:rPr>
          <w:rFonts w:ascii="黑体" w:eastAsia="黑体" w:cs="Times New Roman" w:hint="eastAsia"/>
          <w:bCs w:val="0"/>
          <w:color w:val="000000"/>
        </w:rPr>
        <w:t>三、支出决算表</w:t>
      </w:r>
      <w:bookmarkEnd w:id="92"/>
      <w:bookmarkEnd w:id="93"/>
      <w:bookmarkEnd w:id="94"/>
      <w:bookmarkEnd w:id="95"/>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96" w:name="_Toc79163889"/>
      <w:bookmarkStart w:id="97" w:name="_Toc79163639"/>
      <w:bookmarkStart w:id="98" w:name="_Toc111208516"/>
      <w:bookmarkStart w:id="99" w:name="_Toc113981029"/>
      <w:r>
        <w:rPr>
          <w:rFonts w:ascii="黑体" w:eastAsia="黑体" w:cs="Times New Roman" w:hint="eastAsia"/>
          <w:bCs w:val="0"/>
          <w:color w:val="000000"/>
        </w:rPr>
        <w:t>四、财政拨款收入支出决算总表</w:t>
      </w:r>
      <w:bookmarkEnd w:id="96"/>
      <w:bookmarkEnd w:id="97"/>
      <w:bookmarkEnd w:id="98"/>
      <w:bookmarkEnd w:id="99"/>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100" w:name="_Toc79163890"/>
      <w:bookmarkStart w:id="101" w:name="_Toc79163640"/>
      <w:bookmarkStart w:id="102" w:name="_Toc111208517"/>
      <w:bookmarkStart w:id="103" w:name="_Toc113981030"/>
      <w:r>
        <w:rPr>
          <w:rFonts w:ascii="黑体" w:eastAsia="黑体" w:cs="Times New Roman" w:hint="eastAsia"/>
          <w:bCs w:val="0"/>
          <w:color w:val="000000"/>
        </w:rPr>
        <w:t>五、财政拨款支出决算明细表</w:t>
      </w:r>
      <w:bookmarkEnd w:id="100"/>
      <w:bookmarkEnd w:id="101"/>
      <w:bookmarkEnd w:id="102"/>
      <w:bookmarkEnd w:id="103"/>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104" w:name="_Toc79163891"/>
      <w:bookmarkStart w:id="105" w:name="_Toc79163641"/>
      <w:bookmarkStart w:id="106" w:name="_Toc111208518"/>
      <w:bookmarkStart w:id="107" w:name="_Toc113981031"/>
      <w:r>
        <w:rPr>
          <w:rFonts w:ascii="黑体" w:eastAsia="黑体" w:cs="Times New Roman" w:hint="eastAsia"/>
          <w:bCs w:val="0"/>
          <w:color w:val="000000"/>
        </w:rPr>
        <w:t>六、一般公共预算财政拨款支出决算表</w:t>
      </w:r>
      <w:bookmarkEnd w:id="104"/>
      <w:bookmarkEnd w:id="105"/>
      <w:bookmarkEnd w:id="106"/>
      <w:bookmarkEnd w:id="107"/>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108" w:name="_Toc79163892"/>
      <w:bookmarkStart w:id="109" w:name="_Toc79163642"/>
      <w:bookmarkStart w:id="110" w:name="_Toc111208519"/>
      <w:bookmarkStart w:id="111" w:name="_Toc113981032"/>
      <w:r>
        <w:rPr>
          <w:rFonts w:ascii="黑体" w:eastAsia="黑体" w:cs="Times New Roman" w:hint="eastAsia"/>
          <w:bCs w:val="0"/>
          <w:color w:val="000000"/>
        </w:rPr>
        <w:t>七、一般公共预算财政拨款支出决算明细表</w:t>
      </w:r>
      <w:bookmarkEnd w:id="108"/>
      <w:bookmarkEnd w:id="109"/>
      <w:bookmarkEnd w:id="110"/>
      <w:bookmarkEnd w:id="111"/>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112" w:name="_Toc79163893"/>
      <w:bookmarkStart w:id="113" w:name="_Toc79163643"/>
      <w:bookmarkStart w:id="114" w:name="_Toc111208520"/>
      <w:bookmarkStart w:id="115" w:name="_Toc113981033"/>
      <w:r>
        <w:rPr>
          <w:rFonts w:ascii="黑体" w:eastAsia="黑体" w:cs="Times New Roman" w:hint="eastAsia"/>
          <w:bCs w:val="0"/>
          <w:color w:val="000000"/>
        </w:rPr>
        <w:t>八、一般公共预算财政拨款基本支出决算表</w:t>
      </w:r>
      <w:bookmarkEnd w:id="112"/>
      <w:bookmarkEnd w:id="113"/>
      <w:bookmarkEnd w:id="114"/>
      <w:bookmarkEnd w:id="115"/>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116" w:name="_Toc79163644"/>
      <w:bookmarkStart w:id="117" w:name="_Toc79163894"/>
      <w:bookmarkStart w:id="118" w:name="_Toc111208521"/>
      <w:bookmarkStart w:id="119" w:name="_Toc113981034"/>
      <w:r>
        <w:rPr>
          <w:rFonts w:ascii="黑体" w:eastAsia="黑体" w:cs="Times New Roman" w:hint="eastAsia"/>
          <w:bCs w:val="0"/>
          <w:color w:val="000000"/>
        </w:rPr>
        <w:t>九、一般公共预算财政拨款项目支出决算表</w:t>
      </w:r>
      <w:bookmarkEnd w:id="116"/>
      <w:bookmarkEnd w:id="117"/>
      <w:bookmarkEnd w:id="118"/>
      <w:bookmarkEnd w:id="119"/>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120" w:name="_Toc79163645"/>
      <w:bookmarkStart w:id="121" w:name="_Toc79163895"/>
      <w:bookmarkStart w:id="122" w:name="_Toc111208522"/>
      <w:bookmarkStart w:id="123" w:name="_Toc113981035"/>
      <w:r>
        <w:rPr>
          <w:rFonts w:ascii="黑体" w:eastAsia="黑体" w:cs="Times New Roman" w:hint="eastAsia"/>
          <w:bCs w:val="0"/>
          <w:color w:val="000000"/>
        </w:rPr>
        <w:t>十、一般公共预算财政拨款“三公”经费支出决算表</w:t>
      </w:r>
      <w:bookmarkEnd w:id="120"/>
      <w:bookmarkEnd w:id="121"/>
      <w:bookmarkEnd w:id="122"/>
      <w:bookmarkEnd w:id="123"/>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124" w:name="_Toc79163646"/>
      <w:bookmarkStart w:id="125" w:name="_Toc79163896"/>
      <w:bookmarkStart w:id="126" w:name="_Toc111208523"/>
      <w:bookmarkStart w:id="127" w:name="_Toc113981036"/>
      <w:r>
        <w:rPr>
          <w:rFonts w:ascii="黑体" w:eastAsia="黑体" w:cs="Times New Roman" w:hint="eastAsia"/>
          <w:bCs w:val="0"/>
          <w:color w:val="000000"/>
        </w:rPr>
        <w:t>十一、政府性基金预算财政拨款收入支出决算表</w:t>
      </w:r>
      <w:bookmarkEnd w:id="124"/>
      <w:bookmarkEnd w:id="125"/>
      <w:bookmarkEnd w:id="126"/>
      <w:bookmarkEnd w:id="127"/>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128" w:name="_Toc79163897"/>
      <w:bookmarkStart w:id="129" w:name="_Toc79163647"/>
      <w:bookmarkStart w:id="130" w:name="_Toc111208524"/>
      <w:bookmarkStart w:id="131" w:name="_Toc113981037"/>
      <w:r>
        <w:rPr>
          <w:rFonts w:ascii="黑体" w:eastAsia="黑体" w:cs="Times New Roman" w:hint="eastAsia"/>
          <w:bCs w:val="0"/>
          <w:color w:val="000000"/>
        </w:rPr>
        <w:t>十二、政府性基金预算财政拨款“三公”经费支出决算表</w:t>
      </w:r>
      <w:bookmarkEnd w:id="128"/>
      <w:bookmarkEnd w:id="129"/>
      <w:bookmarkEnd w:id="130"/>
      <w:bookmarkEnd w:id="131"/>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Cs w:val="0"/>
          <w:color w:val="000000"/>
        </w:rPr>
      </w:pPr>
      <w:bookmarkStart w:id="132" w:name="_Toc79163898"/>
      <w:bookmarkStart w:id="133" w:name="_Toc79163648"/>
      <w:bookmarkStart w:id="134" w:name="_Toc111208525"/>
      <w:bookmarkStart w:id="135" w:name="_Toc113981038"/>
      <w:r>
        <w:rPr>
          <w:rFonts w:ascii="黑体" w:eastAsia="黑体" w:cs="Times New Roman" w:hint="eastAsia"/>
          <w:bCs w:val="0"/>
          <w:color w:val="000000"/>
        </w:rPr>
        <w:t>十三、</w:t>
      </w:r>
      <w:bookmarkEnd w:id="132"/>
      <w:bookmarkEnd w:id="133"/>
      <w:r>
        <w:rPr>
          <w:rFonts w:ascii="黑体" w:eastAsia="黑体" w:cs="Times New Roman" w:hint="eastAsia"/>
          <w:bCs w:val="0"/>
          <w:color w:val="000000"/>
        </w:rPr>
        <w:t>国有资本经营预算财政拨款收入支出决算表</w:t>
      </w:r>
      <w:bookmarkEnd w:id="134"/>
      <w:bookmarkEnd w:id="135"/>
    </w:p>
    <w:p>
      <w:pPr>
        <w:pStyle w:val="2"/>
        <w:keepNext/>
        <w:keepLines/>
        <w:pageBreakBefore w:val="0"/>
        <w:widowControl w:val="0"/>
        <w:kinsoku/>
        <w:wordWrap/>
        <w:overflowPunct/>
        <w:topLinePunct w:val="0"/>
        <w:bidi w:val="0"/>
        <w:spacing w:before="0" w:after="0" w:line="560" w:lineRule="exact"/>
        <w:ind w:firstLineChars="200" w:firstLine="640"/>
        <w:rPr>
          <w:rFonts w:ascii="黑体" w:eastAsia="黑体" w:cs="Times New Roman"/>
          <w:b w:val="0"/>
          <w:color w:val="000000"/>
        </w:rPr>
      </w:pPr>
      <w:bookmarkStart w:id="136" w:name="_Toc111208526"/>
      <w:bookmarkStart w:id="137" w:name="_Toc113981039"/>
      <w:r>
        <w:rPr>
          <w:rFonts w:ascii="黑体" w:eastAsia="黑体" w:cs="Times New Roman" w:hint="eastAsia"/>
          <w:bCs w:val="0"/>
          <w:color w:val="000000"/>
        </w:rPr>
        <w:t>十四、国有资本经营预算财政拨款支出决算表</w:t>
      </w:r>
      <w:bookmarkEnd w:id="136"/>
      <w:bookmarkEnd w:id="137"/>
    </w:p>
    <w:sectPr>
      <w:headerReference w:type="default" r:id="rId2"/>
      <w:footerReference w:type="default" r:id="rId3"/>
      <w:pgSz w:w="11906" w:h="16838"/>
      <w:pgMar w:top="1440" w:right="1800" w:bottom="1440" w:left="1800" w:header="851" w:footer="992" w:gutter="0"/>
      <w:pgNumType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宋体">
    <w:altName w:val="方正书宋_GBK"/>
    <w:panose1 w:val="00000000000000000000"/>
    <w:charset w:val="00"/>
    <w:family w:val="auto"/>
    <w:pitch w:val="variable"/>
    <w:sig w:usb0="00000000" w:usb1="00000000" w:usb2="00000000" w:usb3="00000000" w:csb0="00000000" w:csb1="00000000"/>
  </w:font>
  <w:font w:name="仿宋_GB2312">
    <w:panose1 w:val="02010609030101010101"/>
    <w:charset w:val="86"/>
    <w:family w:val="modern"/>
    <w:pitch w:val="variable"/>
    <w:sig w:usb0="00000001" w:usb1="080E0000" w:usb2="00000000" w:usb3="00000000" w:csb0="00040000" w:csb1="00000000"/>
  </w:font>
  <w:font w:name="方正小标宋简体">
    <w:altName w:val="方正小标宋_GBK"/>
    <w:panose1 w:val="02010601030101010101"/>
    <w:charset w:val="86"/>
    <w:family w:val="script"/>
    <w:pitch w:val="variable"/>
    <w:sig w:usb0="00000000" w:usb1="00000000" w:usb2="00000000" w:usb3="00000000" w:csb0="00040000" w:csb1="00000000"/>
  </w:font>
  <w:font w:name="黑体">
    <w:altName w:val="方正黑体_GBK"/>
    <w:panose1 w:val="02010609060101010101"/>
    <w:charset w:val="86"/>
    <w:family w:val="auto"/>
    <w:pitch w:val="variable"/>
    <w:sig w:usb0="800002BF" w:usb1="38CF7CFA" w:usb2="00000016" w:usb3="00000000" w:csb0="00040001" w:csb1="00000000"/>
  </w:font>
  <w:font w:name="Calibri">
    <w:altName w:val="DejaVu Sans"/>
    <w:panose1 w:val="020F0502020204030204"/>
    <w:charset w:val="00"/>
    <w:family w:val="swiss"/>
    <w:pitch w:val="variable"/>
    <w:sig w:usb0="00000000" w:usb1="00000000" w:usb2="00000001" w:usb3="00000000" w:csb0="0000019F" w:csb1="00000000"/>
  </w:font>
  <w:font w:name="Arial">
    <w:altName w:val="DejaVu Sans"/>
    <w:panose1 w:val="020B0604020202020204"/>
    <w:charset w:val="01"/>
    <w:family w:val="swiss"/>
    <w:pitch w:val="variable"/>
    <w:sig w:usb0="E0002AFF" w:usb1="C0007843" w:usb2="00000009" w:usb3="00000000" w:csb0="400001FF" w:csb1="FFFF0000"/>
  </w:font>
  <w:font w:name="Times New Roman">
    <w:panose1 w:val="02020603050405020304"/>
    <w:charset w:val="00"/>
    <w:family w:val="roman"/>
    <w:pitch w:val="variable"/>
    <w:sig w:usb0="20007A87" w:usb1="80000000" w:usb2="00000008" w:usb3="00000000" w:csb0="000001FF" w:csb1="00000000"/>
  </w:font>
  <w:font w:name="楷体">
    <w:altName w:val="方正楷体_GBK"/>
    <w:panose1 w:val="02010609060101010101"/>
    <w:charset w:val="86"/>
    <w:family w:val="auto"/>
    <w:pitch w:val="variable"/>
    <w:sig w:usb0="00000000" w:usb1="00000000" w:usb2="00000016" w:usb3="00000000" w:csb0="00040001" w:csb1="00000000"/>
  </w:font>
  <w:font w:name="仿宋">
    <w:altName w:val="方正仿宋_GBK"/>
    <w:panose1 w:val="02010609060101010101"/>
    <w:charset w:val="86"/>
    <w:family w:val="modern"/>
    <w:pitch w:val="variable"/>
    <w:sig w:usb0="00000000" w:usb1="00000000"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Cambria">
    <w:altName w:val="Noto Sans Syriac Eastern"/>
    <w:panose1 w:val="02040503050406030204"/>
    <w:charset w:val="00"/>
    <w:family w:val="roman"/>
    <w:pitch w:val="variable"/>
    <w:sig w:usb0="00000000" w:usb1="00000000" w:usb2="00000000" w:usb3="00000000" w:csb0="2000019F" w:csb1="00000000"/>
  </w:font>
  <w:font w:name="??">
    <w:altName w:val="仿宋_GB2312"/>
    <w:panose1 w:val="00000000000000000000"/>
    <w:charset w:val="00"/>
    <w:family w:val="auto"/>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sdt>
    <w:sdtPr>
      <w:id w:val="-1758511497"/>
    </w:sdtPr>
    <w:sdtContent>
      <w:p>
        <w:pPr>
          <w:pStyle w:val="20"/>
          <w:tabs>
            <w:tab w:val="center" w:pos="4153"/>
            <w:tab w:val="right" w:pos="8306"/>
          </w:tabs>
          <w:jc w:val="center"/>
        </w:pPr>
        <w:r>
          <w:fldChar w:fldCharType="begin"/>
        </w:r>
        <w:r>
          <w:instrText>PAGE   \* MERGEFORMAT</w:instrText>
        </w:r>
        <w:r>
          <w:fldChar w:fldCharType="separate"/>
        </w:r>
        <w:r>
          <w:rPr>
            <w:lang w:val="zh-CN"/>
          </w:rPr>
          <w:t>4</w:t>
        </w:r>
        <w:r>
          <w:fldChar w:fldCharType="end"/>
        </w:r>
      </w:p>
    </w:sdtContent>
  </w:sdt>
  <w:p>
    <w:pPr>
      <w:pStyle w:val="20"/>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053208E"/>
    <w:multiLevelType w:val="singleLevel"/>
    <w:tmpl w:val="0053208E"/>
    <w:lvl w:ilvl="0">
      <w:start w:val="2"/>
      <w:numFmt w:val="chineseCounting"/>
      <w:lvlRestart w:val="0"/>
      <w:suff w:val="nothing"/>
      <w:lvlText w:val="（%1）"/>
      <w:lvlJc w:val="left"/>
      <w:pPr>
        <w:ind w:left="0" w:hanging="0"/>
      </w:pPr>
      <w:rPr>
        <w:rFonts w:hint="eastAsia"/>
        <w:b/>
        <w:bCs/>
      </w:rPr>
    </w:lvl>
  </w:abstractNum>
  <w:abstractNum w:abstractNumId="1">
    <w:nsid w:val="CF092B84"/>
    <w:multiLevelType w:val="singleLevel"/>
    <w:tmpl w:val="CF092B84"/>
    <w:lvl w:ilvl="0">
      <w:start w:val="3"/>
      <w:numFmt w:val="chineseCounting"/>
      <w:lvlRestart w:val="0"/>
      <w:suff w:val="nothing"/>
      <w:lvlText w:val="（%1）"/>
      <w:lvlJc w:val="left"/>
      <w:pPr>
        <w:ind w:left="0" w:hanging="0"/>
      </w:pPr>
      <w:rPr>
        <w:rFonts w:hint="eastAsia"/>
      </w:rPr>
    </w:lvl>
  </w:abstractNum>
  <w:abstractNum w:abstractNumId="2">
    <w:nsid w:val="0B715968"/>
    <w:multiLevelType w:val="singleLevel"/>
    <w:tmpl w:val="0B715968"/>
    <w:lvl w:ilvl="0">
      <w:start w:val="2"/>
      <w:numFmt w:val="chineseCounting"/>
      <w:lvlRestart w:val="0"/>
      <w:suff w:val="nothing"/>
      <w:lvlText w:val="（%1）"/>
      <w:lvlJc w:val="left"/>
      <w:pPr>
        <w:ind w:left="0" w:hanging="0"/>
      </w:pPr>
      <w:rPr>
        <w:rFonts w:hint="eastAsia"/>
      </w:rPr>
    </w:lvl>
  </w:abstractNum>
  <w:abstractNum w:abstractNumId="3">
    <w:nsid w:val="59ADCABA"/>
    <w:multiLevelType w:val="singleLevel"/>
    <w:tmpl w:val="59ADCABA"/>
    <w:lvl w:ilvl="0">
      <w:start w:val="2"/>
      <w:numFmt w:val="chineseCounting"/>
      <w:lvlRestart w:val="0"/>
      <w:suff w:val="nothing"/>
      <w:lvlText w:val="（%1）"/>
      <w:lvlJc w:val="left"/>
      <w:pPr>
        <w:ind w:left="0" w:hanging="0"/>
      </w:pPr>
      <w:rPr>
        <w:rFonts w:hint="eastAsia"/>
      </w:rPr>
    </w:lvl>
  </w:abstractNum>
  <w:abstractNum w:abstractNumId="4">
    <w:nsid w:val="BF205925"/>
    <w:multiLevelType w:val="singleLevel"/>
    <w:tmpl w:val="BF205925"/>
    <w:lvl w:ilvl="0">
      <w:start w:val="1"/>
      <w:numFmt w:val="chineseCounting"/>
      <w:lvlRestart w:val="0"/>
      <w:suff w:val="nothing"/>
      <w:lvlText w:val="（%1）"/>
      <w:lvlJc w:val="left"/>
      <w:pPr>
        <w:ind w:left="0" w:hanging="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2"/>
  </w:compat>
  <w:docVars>
    <w:docVar w:name="commondata" w:val="eyJoZGlkIjoiMjQ1ZDRmYmY2MTk1MDlhODgzMGYzYTcwMDUwOTg2YTY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pPr>
      <w:keepNext/>
      <w:keepLines/>
      <w:widowControl w:val="0"/>
      <w:spacing w:before="260" w:after="260" w:line="415" w:lineRule="auto"/>
      <w:outlineLvl w:val="1"/>
    </w:pPr>
    <w:rPr>
      <w:rFonts w:ascii="Cambria" w:eastAsia="宋体" w:cs="Times New Roman" w:hAnsi="Cambria"/>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Normal Indent"/>
    <w:basedOn w:val="0"/>
    <w:pPr>
      <w:ind w:firstLine="680"/>
    </w:pPr>
  </w:style>
  <w:style w:type="paragraph" w:styleId="16">
    <w:name w:val="annotation text"/>
    <w:basedOn w:val="0"/>
    <w:pPr>
      <w:jc w:val="left"/>
    </w:pPr>
  </w:style>
  <w:style w:type="paragraph" w:styleId="17">
    <w:name w:val="Body Text"/>
    <w:basedOn w:val="0"/>
    <w:pPr>
      <w:spacing w:beforeLines="30" w:before="30"/>
    </w:pPr>
    <w:rPr>
      <w:rFonts w:ascii="仿宋_GB2312" w:eastAsia="仿宋_GB2312"/>
      <w:kern w:val="0"/>
      <w:sz w:val="30"/>
    </w:rPr>
  </w:style>
  <w:style w:type="paragraph" w:styleId="18">
    <w:name w:val="toc 3"/>
    <w:basedOn w:val="0"/>
    <w:next w:val="0"/>
    <w:pPr>
      <w:tabs>
        <w:tab w:val="right" w:leader="dot" w:pos="8296"/>
      </w:tabs>
      <w:ind w:leftChars="400" w:left="400"/>
    </w:pPr>
  </w:style>
  <w:style w:type="paragraph" w:styleId="19">
    <w:name w:val="Balloon Text"/>
    <w:basedOn w:val="0"/>
    <w:rPr>
      <w:sz w:val="18"/>
      <w:szCs w:val="18"/>
    </w:rPr>
  </w:style>
  <w:style w:type="paragraph" w:styleId="20">
    <w:name w:val="footer"/>
    <w:basedOn w:val="0"/>
    <w:pPr>
      <w:tabs>
        <w:tab w:val="center" w:pos="4153"/>
        <w:tab w:val="right" w:pos="8306"/>
      </w:tabs>
      <w:snapToGrid w:val="0"/>
      <w:jc w:val="left"/>
    </w:pPr>
    <w:rPr>
      <w:rFonts w:ascii="Calibri" w:hAnsi="Calibri"/>
      <w:kern w:val="0"/>
      <w:sz w:val="18"/>
      <w:szCs w:val="18"/>
    </w:rPr>
  </w:style>
  <w:style w:type="paragraph" w:styleId="21">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2">
    <w:name w:val="toc 1"/>
    <w:basedOn w:val="0"/>
    <w:next w:val="0"/>
    <w:pPr>
      <w:tabs>
        <w:tab w:val="right" w:leader="dot" w:pos="8296"/>
      </w:tabs>
      <w:spacing w:before="93"/>
      <w:jc w:val="center"/>
    </w:pPr>
    <w:rPr>
      <w:rFonts w:ascii="仿宋" w:eastAsia="仿宋"/>
      <w:sz w:val="28"/>
      <w:szCs w:val="28"/>
    </w:rPr>
  </w:style>
  <w:style w:type="paragraph" w:styleId="23">
    <w:name w:val="table of figures"/>
    <w:basedOn w:val="0"/>
    <w:next w:val="0"/>
    <w:pPr>
      <w:ind w:leftChars="200" w:left="400" w:hangingChars="200" w:hanging="200"/>
    </w:p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character" w:styleId="27">
    <w:name w:val="annotation reference"/>
    <w:basedOn w:val="10"/>
    <w:rPr>
      <w:sz w:val="21"/>
      <w:szCs w:val="21"/>
    </w:rPr>
  </w:style>
  <w:style w:type="paragraph" w:customStyle="1" w:styleId="28">
    <w:name w:val="Default"/>
    <w:pPr>
      <w:widowControl w:val="0"/>
      <w:autoSpaceDE w:val="0"/>
      <w:autoSpaceDN w:val="0"/>
      <w:adjustRightInd w:val="0"/>
    </w:pPr>
    <w:rPr>
      <w:rFonts w:ascii="仿宋" w:eastAsia="仿宋" w:cs="仿宋"/>
      <w:color w:val="000000"/>
      <w:sz w:val="24"/>
      <w:szCs w:val="24"/>
      <w:lang w:val="en-US" w:eastAsia="zh-CN" w:bidi="ar-SA"/>
    </w:rPr>
  </w:style>
  <w:style w:type="character" w:customStyle="1" w:styleId="29">
    <w:name w:val="Header Char"/>
    <w:basedOn w:val="10"/>
    <w:rPr>
      <w:rFonts w:ascii="Times New Roman" w:hAnsi="Times New Roman"/>
      <w:sz w:val="18"/>
      <w:szCs w:val="18"/>
    </w:rPr>
  </w:style>
  <w:style w:type="character" w:customStyle="1" w:styleId="30">
    <w:name w:val="Footer Char"/>
    <w:basedOn w:val="10"/>
    <w:rPr>
      <w:rFonts w:ascii="Times New Roman" w:hAnsi="Times New Roman"/>
      <w:sz w:val="18"/>
      <w:szCs w:val="18"/>
    </w:rPr>
  </w:style>
  <w:style w:type="character" w:customStyle="1" w:styleId="31">
    <w:name w:val="Body Text Char"/>
    <w:basedOn w:val="10"/>
    <w:rPr>
      <w:rFonts w:ascii="Times New Roman" w:hAnsi="Times New Roman"/>
      <w:szCs w:val="24"/>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Times New Roman" w:hAnsi="Cambria"/>
      <w:color w:val="366091"/>
      <w:kern w:val="0"/>
      <w:sz w:val="28"/>
      <w:szCs w:val="28"/>
    </w:rPr>
  </w:style>
  <w:style w:type="paragraph" w:customStyle="1" w:styleId="34">
    <w:name w:val="Normalf1583138"/>
    <w:next w:val="2"/>
    <w:pPr>
      <w:widowControl w:val="0"/>
      <w:jc w:val="both"/>
    </w:pPr>
    <w:rPr>
      <w:rFonts w:ascii="Times New Roman" w:eastAsia="宋体" w:cs="Times New Roman" w:hAnsi="Times New Roman"/>
      <w:kern w:val="2"/>
      <w:sz w:val="21"/>
      <w:szCs w:val="24"/>
      <w:lang w:val="en-US" w:eastAsia="zh-CN" w:bidi="ar-SA"/>
    </w:rPr>
  </w:style>
  <w:style w:type="character" w:customStyle="1" w:styleId="35">
    <w:name w:val="Default Paragraph Font4"/>
  </w:style>
  <w:style w:type="paragraph" w:customStyle="1" w:styleId="36">
    <w:name w:val="Salutation06bf72bb"/>
    <w:basedOn w:val="34"/>
    <w:next w:val="1"/>
  </w:style>
  <w:style w:type="paragraph" w:customStyle="1" w:styleId="37">
    <w:name w:val="Normalabbab5df"/>
    <w:next w:val="2"/>
    <w:pPr>
      <w:widowControl w:val="0"/>
      <w:jc w:val="both"/>
    </w:pPr>
    <w:rPr>
      <w:rFonts w:ascii="Times New Roman" w:eastAsia="仿宋_GB2312" w:cs="Times New Roman" w:hAnsi="Times New Roman"/>
      <w:kern w:val="2"/>
      <w:sz w:val="32"/>
      <w:szCs w:val="24"/>
      <w:lang w:val="en-US" w:eastAsia="zh-CN" w:bidi="ar-SA"/>
    </w:rPr>
  </w:style>
  <w:style w:type="character" w:customStyle="1" w:styleId="38">
    <w:name w:val="Default Paragraph Font5dd4c37b"/>
  </w:style>
  <w:style w:type="paragraph" w:customStyle="1" w:styleId="39">
    <w:name w:val="Salutation1e007a2f"/>
    <w:basedOn w:val="37"/>
    <w:next w:val="1"/>
  </w:style>
  <w:style w:type="paragraph" w:customStyle="1" w:styleId="40">
    <w:name w:val="四号正文5"/>
    <w:basedOn w:val="37"/>
    <w:pPr>
      <w:spacing w:line="360" w:lineRule="auto"/>
    </w:pPr>
    <w:rPr>
      <w:rFonts w:ascii="??" w:eastAsia="宋体" w:hAnsi="??"/>
      <w:color w:val="000000"/>
      <w:kern w:val="0"/>
      <w:sz w:val="28"/>
      <w:szCs w:val="21"/>
      <w:lang w:val="zh-CN"/>
    </w:rPr>
  </w:style>
  <w:style w:type="paragraph" w:customStyle="1" w:styleId="41">
    <w:name w:val="Normal7dfacf90"/>
    <w:next w:val="2"/>
    <w:pPr>
      <w:widowControl w:val="0"/>
      <w:jc w:val="both"/>
    </w:pPr>
    <w:rPr>
      <w:rFonts w:ascii="Times New Roman" w:eastAsia="宋体" w:cs="Times New Roman" w:hAnsi="Times New Roman"/>
      <w:kern w:val="2"/>
      <w:sz w:val="21"/>
      <w:szCs w:val="24"/>
      <w:lang w:val="en-US" w:eastAsia="zh-CN" w:bidi="ar-SA"/>
    </w:rPr>
  </w:style>
  <w:style w:type="paragraph" w:customStyle="1" w:styleId="42">
    <w:name w:val="Normal39fdbaa5"/>
    <w:next w:val="2"/>
    <w:pPr>
      <w:widowControl w:val="0"/>
      <w:jc w:val="both"/>
    </w:pPr>
    <w:rPr>
      <w:rFonts w:ascii="Times New Roman" w:eastAsia="仿宋_GB2312" w:cs="Times New Roman" w:hAnsi="Times New Roman"/>
      <w:kern w:val="2"/>
      <w:sz w:val="32"/>
      <w:szCs w:val="24"/>
      <w:lang w:val="en-US" w:eastAsia="zh-CN" w:bidi="ar-SA"/>
    </w:rPr>
  </w:style>
  <w:style w:type="paragraph" w:customStyle="1" w:styleId="43">
    <w:name w:val="Salutation5e5acfcb"/>
    <w:basedOn w:val="42"/>
    <w:next w:val="1"/>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chart" Target="charts/chart1.xml"/><Relationship Id="rId5" Type="http://schemas.openxmlformats.org/officeDocument/2006/relationships/chart" Target="charts/chart2.xml"/><Relationship Id="rId6" Type="http://schemas.openxmlformats.org/officeDocument/2006/relationships/chart" Target="charts/chart3.xml"/><Relationship Id="rId7" Type="http://schemas.openxmlformats.org/officeDocument/2006/relationships/chart" Target="charts/chart4.xml"/><Relationship Id="rId8" Type="http://schemas.openxmlformats.org/officeDocument/2006/relationships/chart" Target="charts/chart5.xml"/><Relationship Id="rId9" Type="http://schemas.openxmlformats.org/officeDocument/2006/relationships/chart" Target="charts/chart6.xml"/><Relationship Id="rId10" Type="http://schemas.openxmlformats.org/officeDocument/2006/relationships/chart" Target="charts/chart7.xml"/><Relationship Id="rId11" Type="http://schemas.openxmlformats.org/officeDocument/2006/relationships/styles" Target="styles.xml"/><Relationship Id="rId12" Type="http://schemas.openxmlformats.org/officeDocument/2006/relationships/numbering" Target="numbering.xml"/><Relationship Id="rId1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nchor="t" anchorCtr="0"/>
          <a:lstStyle/>
          <a:p>
            <a:pPr>
              <a:defRPr sz="1800" b="1" i="0" u="none" strike="noStrike" baseline="0">
                <a:solidFill>
                  <a:srgbClr val="000000"/>
                </a:solidFill>
                <a:latin typeface="Times New Roman"/>
                <a:ea typeface="宋体"/>
                <a:cs typeface="Lucida Sans"/>
              </a:defRPr>
            </a:pPr>
            <a:r>
              <a:rPr lang="zh-CN"/>
              <a:t>收、支决算总计变动情况图</a:t>
            </a:r>
          </a:p>
        </c:rich>
      </c:tx>
      <c:layout/>
      <c:overlay val="0"/>
      <c:spPr>
        <a:ln>
          <a:noFill/>
        </a:ln>
      </c:spPr>
    </c:title>
    <c:autoTitleDeleted val="1"/>
    <c:plotArea>
      <c:layout>
        <c:manualLayout>
          <c:layoutTarget val="inner"/>
          <c:xMode val="edge"/>
          <c:yMode val="edge"/>
          <c:x val="0.05598162"/>
          <c:y val="0.24786511"/>
          <c:w val="0.800713"/>
          <c:h val="0.65402776"/>
        </c:manualLayout>
      </c:layout>
      <c:barChart>
        <c:barDir val="col"/>
        <c:grouping val="clustered"/>
        <c:varyColors val="0"/>
        <c:ser>
          <c:idx val="1"/>
          <c:order val="0"/>
          <c:tx>
            <c:v>收入</c:v>
          </c:tx>
          <c:spPr>
            <a:solidFill>
              <a:srgbClr val="C0504D"/>
            </a:solidFill>
          </c:spPr>
          <c:invertIfNegative val="0"/>
          <c:dLbls>
            <c:dLblPos val="outEnd"/>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numRef>
              <c:numCache>
                <c:ptCount val="2"/>
                <c:pt idx="0">
                  <c:v>2020</c:v>
                </c:pt>
                <c:pt idx="1">
                  <c:v>2021</c:v>
                </c:pt>
              </c:numCache>
            </c:numRef>
          </c:cat>
          <c:val>
            <c:numRef>
              <c:f/>
              <c:numCache>
                <c:formatCode>General</c:formatCode>
                <c:ptCount val="2"/>
                <c:pt idx="0">
                  <c:v>13005.65</c:v>
                </c:pt>
                <c:pt idx="1">
                  <c:v>13716.58</c:v>
                </c:pt>
              </c:numCache>
            </c:numRef>
          </c:val>
        </c:ser>
        <c:ser>
          <c:idx val="2"/>
          <c:order val="1"/>
          <c:tx>
            <c:v>支出</c:v>
          </c:tx>
          <c:spPr>
            <a:solidFill>
              <a:srgbClr val="9BBB59"/>
            </a:solidFill>
          </c:spPr>
          <c:invertIfNegative val="0"/>
          <c:dLbls>
            <c:dLblPos val="outEnd"/>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numRef>
              <c:numCache>
                <c:ptCount val="2"/>
                <c:pt idx="0">
                  <c:v>2020</c:v>
                </c:pt>
                <c:pt idx="1">
                  <c:v>2021</c:v>
                </c:pt>
              </c:numCache>
            </c:numRef>
          </c:cat>
          <c:val>
            <c:numRef>
              <c:f/>
              <c:numCache>
                <c:formatCode>General</c:formatCode>
                <c:ptCount val="2"/>
                <c:pt idx="0">
                  <c:v>13005.65</c:v>
                </c:pt>
                <c:pt idx="1">
                  <c:v>13716.58</c:v>
                </c:pt>
              </c:numCache>
            </c:numRef>
          </c:val>
        </c:ser>
        <c:gapWidth val="41"/>
        <c:axId val="0"/>
        <c:axId val="1"/>
      </c:barChart>
      <c:catAx>
        <c:axId val="0"/>
        <c:scaling>
          <c:orientation val="minMax"/>
        </c:scaling>
        <c:delete val="0"/>
        <c:axPos val="b"/>
        <c:numFmt formatCode="General" sourceLinked="0"/>
        <c:title>
          <c:tx>
            <c:rich>
              <a:bodyPr rot="0" vert="horz" anchor="t" anchorCtr="0"/>
              <a:lstStyle/>
              <a:p>
                <a:pPr>
                  <a:defRPr sz="1000" b="1" i="0" u="none" strike="noStrike" baseline="0">
                    <a:solidFill>
                      <a:srgbClr val="000000"/>
                    </a:solidFill>
                    <a:latin typeface="Times New Roman"/>
                    <a:ea typeface="宋体"/>
                    <a:cs typeface="Lucida Sans"/>
                  </a:defRPr>
                </a:pPr>
                <a:r>
                  <a:rPr lang="zh-CN"/>
                  <a:t>单位：万元</a:t>
                </a:r>
              </a:p>
            </c:rich>
          </c:tx>
          <c:layout/>
          <c:overlay val="0"/>
          <c:spPr>
            <a:ln>
              <a:noFill/>
            </a:ln>
          </c:spPr>
        </c:title>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0"/>
        <c:lblOffset val="100"/>
        <c:lblAlgn val="ctr"/>
        <c:noMultiLvlLbl val="0"/>
        <c:crossAx val="1"/>
      </c:catAx>
      <c:valAx>
        <c:axId val="1"/>
        <c:scaling>
          <c:orientation val="minMax"/>
        </c:scaling>
        <c:delete val="0"/>
        <c:axPos val="l"/>
        <c:title>
          <c:tx>
            <c:rich>
              <a:bodyPr rot="-5400000" vert="horz" anchor="t" anchorCtr="0"/>
              <a:lstStyle/>
              <a:p>
                <a:pPr>
                  <a:defRPr sz="1000" b="1" i="0" u="none" strike="noStrike" baseline="0">
                    <a:solidFill>
                      <a:srgbClr val="000000"/>
                    </a:solidFill>
                    <a:latin typeface="Times New Roman"/>
                    <a:ea typeface="宋体"/>
                    <a:cs typeface="Lucida Sans"/>
                  </a:defRPr>
                </a:pPr>
                <a:r>
                  <a:rPr lang="zh-CN"/>
                  <a:t> </a:t>
                </a:r>
              </a:p>
            </c:rich>
          </c:tx>
          <c:layout/>
          <c:overlay val="0"/>
          <c:spPr>
            <a:ln>
              <a:noFill/>
            </a:ln>
          </c:spPr>
        </c:title>
        <c:numFmt formatCode="General" sourceLinked="1"/>
        <c:majorTickMark val="none"/>
        <c:minorTickMark val="none"/>
        <c:tickLblPos val="none"/>
        <c:txPr>
          <a:bodyPr/>
          <a:lstStyle/>
          <a:p>
            <a:pPr>
              <a:defRPr sz="1000" b="0" i="0" u="none" strike="noStrike" baseline="0">
                <a:solidFill>
                  <a:srgbClr val="000000"/>
                </a:solidFill>
                <a:latin typeface="Times New Roman"/>
                <a:ea typeface="宋体"/>
                <a:cs typeface="Lucida Sans"/>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gradFill rotWithShape="1">
      <a:gsLst>
        <a:gs pos="0">
          <a:srgbClr val="FFFFFF">
            <a:alpha val="100000"/>
          </a:srgbClr>
        </a:gs>
        <a:gs pos="68000">
          <a:srgbClr val="D9D9D9">
            <a:alpha val="100000"/>
          </a:srgbClr>
        </a:gs>
        <a:gs pos="100000">
          <a:srgbClr val="FFFFFF">
            <a:alpha val="100000"/>
          </a:srgbClr>
        </a:gs>
      </a:gsLst>
      <a:lin ang="5400000" scaled="1"/>
    </a:gra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nchor="t" anchorCtr="0"/>
          <a:lstStyle/>
          <a:p>
            <a:pPr>
              <a:defRPr sz="1800" b="1" i="0" u="none" strike="noStrike" baseline="0">
                <a:solidFill>
                  <a:srgbClr val="000000"/>
                </a:solidFill>
                <a:latin typeface="Times New Roman"/>
                <a:ea typeface="宋体"/>
                <a:cs typeface="Lucida Sans"/>
              </a:defRPr>
            </a:pPr>
            <a:r>
              <a:rPr lang="zh-CN"/>
              <a:t>收入决算结构图</a:t>
            </a:r>
          </a:p>
        </c:rich>
      </c:tx>
      <c:layout/>
      <c:overlay val="0"/>
      <c:spPr>
        <a:ln>
          <a:noFill/>
        </a:ln>
      </c:spPr>
    </c:title>
    <c:autoTitleDeleted val="1"/>
    <c:plotArea>
      <c:layout/>
      <c:pieChart>
        <c:varyColors val="0"/>
        <c:ser>
          <c:idx val="1"/>
          <c:order val="0"/>
          <c:spPr>
            <a:solidFill>
              <a:srgbClr val="C0504D"/>
            </a:solidFill>
          </c:spPr>
          <c:dLbls>
            <c:showLegendKey val="0"/>
            <c:showVal val="0"/>
            <c:showCatName val="0"/>
            <c:showSerName val="0"/>
            <c:showPercent val="0"/>
            <c:showBubbleSize val="0"/>
            <c:showLeaderLines val="1"/>
          </c:dLbls>
          <c:cat>
            <c:strLit>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Lit>
          </c:cat>
          <c:val>
            <c:numRef>
              <c:f/>
              <c:numCache>
                <c:formatCode>General</c:formatCode>
                <c:ptCount val="8"/>
                <c:pt idx="0">
                  <c:v>1.0610258527E8</c:v>
                </c:pt>
                <c:pt idx="1">
                  <c:v>6782114.71</c:v>
                </c:pt>
                <c:pt idx="2">
                  <c:v>0.0</c:v>
                </c:pt>
                <c:pt idx="3">
                  <c:v>0.0</c:v>
                </c:pt>
                <c:pt idx="4">
                  <c:v>0.0</c:v>
                </c:pt>
                <c:pt idx="5">
                  <c:v>0.0</c:v>
                </c:pt>
                <c:pt idx="6">
                  <c:v>0.0</c:v>
                </c:pt>
                <c:pt idx="7">
                  <c:v>0.0</c:v>
                </c:pt>
              </c:numCache>
            </c:numRef>
          </c:val>
        </c:ser>
        <c:firstSliceAng val="0"/>
      </c:pieChart>
      <c:spPr>
        <a:noFill/>
        <a:ln>
          <a:noFill/>
        </a:ln>
      </c:spPr>
    </c:plotArea>
    <c:legend>
      <c:legendPos val="r"/>
      <c:layout/>
      <c:overlay val="0"/>
      <c:spPr>
        <a:solidFill>
          <a:srgbClr val="F2F2F2">
            <a:alpha val="39000"/>
          </a:srgbClr>
        </a:solidFill>
        <a:ln>
          <a:noFill/>
        </a:ln>
      </c:spPr>
      <c:txPr>
        <a:bodyPr/>
        <a:lstStyle/>
        <a:p>
          <a:pPr>
            <a:defRPr sz="900" b="0" i="0" u="none" strike="noStrike" baseline="0">
              <a:solidFill>
                <a:srgbClr val="404040"/>
              </a:solidFill>
              <a:latin typeface="Times New Roman"/>
              <a:ea typeface="宋体"/>
              <a:cs typeface="Lucida Sans"/>
            </a:defRPr>
          </a:pPr>
          <a:endParaRPr lang="zh-CN"/>
        </a:p>
      </c:txPr>
    </c:legend>
    <c:plotVisOnly val="1"/>
    <c:dispBlanksAs val="zero"/>
    <c:showDLblsOverMax val="0"/>
  </c:chart>
  <c:spPr>
    <a:gradFill rotWithShape="1">
      <a:gsLst>
        <a:gs pos="0">
          <a:srgbClr val="FFFFFF">
            <a:alpha val="100000"/>
          </a:srgbClr>
        </a:gs>
        <a:gs pos="39000">
          <a:srgbClr val="FFFFFF">
            <a:alpha val="100000"/>
          </a:srgbClr>
        </a:gs>
        <a:gs pos="100000">
          <a:srgbClr val="BFBFBF">
            <a:alpha val="100000"/>
          </a:srgbClr>
        </a:gs>
      </a:gsLst>
      <a:path path="circle">
        <a:fillToRect l="100000" t="100000"/>
      </a:path>
      <a:tileRect r="-100000" b="-100000"/>
    </a:gradFill>
    <a:ln w="6350">
      <a:solidFill>
        <a:srgbClr val="BFBFBF"/>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nchor="t" anchorCtr="0"/>
          <a:lstStyle/>
          <a:p>
            <a:pPr>
              <a:defRPr sz="1800" b="1" i="0" u="none" strike="noStrike" baseline="0">
                <a:solidFill>
                  <a:srgbClr val="000000"/>
                </a:solidFill>
                <a:latin typeface="Times New Roman"/>
                <a:ea typeface="宋体"/>
                <a:cs typeface="Lucida Sans"/>
              </a:defRPr>
            </a:pPr>
            <a:r>
              <a:rPr lang="zh-CN"/>
              <a:t>支出决算结构图</a:t>
            </a:r>
          </a:p>
        </c:rich>
      </c:tx>
      <c:layout/>
      <c:overlay val="0"/>
      <c:spPr>
        <a:ln>
          <a:noFill/>
        </a:ln>
      </c:spPr>
    </c:title>
    <c:autoTitleDeleted val="1"/>
    <c:plotArea>
      <c:layout/>
      <c:pieChart>
        <c:varyColors val="0"/>
        <c:ser>
          <c:idx val="1"/>
          <c:order val="0"/>
          <c:spPr>
            <a:solidFill>
              <a:srgbClr val="C0504D"/>
            </a:solidFill>
          </c:spPr>
          <c:dLbls>
            <c:showLegendKey val="0"/>
            <c:showVal val="0"/>
            <c:showCatName val="0"/>
            <c:showSerName val="0"/>
            <c:showPercent val="0"/>
            <c:showBubbleSize val="0"/>
            <c:showLeaderLines val="1"/>
          </c:dLbls>
          <c:cat>
            <c:strLit>
              <c:ptCount val="5"/>
              <c:pt idx="0">
                <c:v>基本支出</c:v>
              </c:pt>
              <c:pt idx="1">
                <c:v>项目支出</c:v>
              </c:pt>
              <c:pt idx="2">
                <c:v>上缴上级支出</c:v>
              </c:pt>
              <c:pt idx="3">
                <c:v>经营支出</c:v>
              </c:pt>
              <c:pt idx="4">
                <c:v>对附属单位补助支出</c:v>
              </c:pt>
            </c:strLit>
          </c:cat>
          <c:val>
            <c:numRef>
              <c:f/>
              <c:numCache>
                <c:formatCode>General</c:formatCode>
                <c:ptCount val="5"/>
                <c:pt idx="0">
                  <c:v>4891667.11</c:v>
                </c:pt>
                <c:pt idx="1">
                  <c:v>1.3227416738E8</c:v>
                </c:pt>
                <c:pt idx="2">
                  <c:v>0.0</c:v>
                </c:pt>
                <c:pt idx="3">
                  <c:v>0.0</c:v>
                </c:pt>
                <c:pt idx="4">
                  <c:v>0.0</c:v>
                </c:pt>
              </c:numCache>
            </c:numRef>
          </c:val>
        </c:ser>
        <c:firstSliceAng val="0"/>
      </c:pieChart>
      <c:spPr>
        <a:noFill/>
        <a:ln>
          <a:noFill/>
        </a:ln>
      </c:spPr>
    </c:plotArea>
    <c:legend>
      <c:legendPos val="r"/>
      <c:layout/>
      <c:overlay val="0"/>
      <c:spPr>
        <a:solidFill>
          <a:srgbClr val="F2F2F2">
            <a:alpha val="39000"/>
          </a:srgbClr>
        </a:solidFill>
        <a:ln>
          <a:noFill/>
        </a:ln>
      </c:spPr>
      <c:txPr>
        <a:bodyPr/>
        <a:lstStyle/>
        <a:p>
          <a:pPr>
            <a:defRPr sz="900" b="0" i="0" u="none" strike="noStrike" baseline="0">
              <a:solidFill>
                <a:srgbClr val="404040"/>
              </a:solidFill>
              <a:latin typeface="Times New Roman"/>
              <a:ea typeface="宋体"/>
              <a:cs typeface="Lucida Sans"/>
            </a:defRPr>
          </a:pPr>
          <a:endParaRPr lang="zh-CN"/>
        </a:p>
      </c:txPr>
    </c:legend>
    <c:plotVisOnly val="1"/>
    <c:dispBlanksAs val="zero"/>
    <c:showDLblsOverMax val="0"/>
  </c:chart>
  <c:spPr>
    <a:gradFill rotWithShape="1">
      <a:gsLst>
        <a:gs pos="0">
          <a:srgbClr val="FFFFFF">
            <a:alpha val="100000"/>
          </a:srgbClr>
        </a:gs>
        <a:gs pos="39000">
          <a:srgbClr val="FFFFFF">
            <a:alpha val="100000"/>
          </a:srgbClr>
        </a:gs>
        <a:gs pos="100000">
          <a:srgbClr val="BFBFBF">
            <a:alpha val="100000"/>
          </a:srgbClr>
        </a:gs>
      </a:gsLst>
      <a:path path="circle">
        <a:fillToRect l="100000" t="100000"/>
      </a:path>
      <a:tileRect r="-100000" b="-100000"/>
    </a:gradFill>
    <a:ln w="6350">
      <a:solidFill>
        <a:srgbClr val="BFBFBF"/>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b="1" i="0" u="none" strike="noStrike" baseline="0">
                <a:solidFill>
                  <a:srgbClr val="1F497D"/>
                </a:solidFill>
                <a:latin typeface="Times New Roman"/>
                <a:ea typeface="宋体"/>
                <a:cs typeface="Lucida Sans"/>
              </a:defRPr>
            </a:pPr>
            <a:r>
              <a:rPr lang="zh-CN"/>
              <a:t>财政拨款收、支决算总计变动情况</a:t>
            </a:r>
          </a:p>
        </c:rich>
      </c:tx>
      <c:layout/>
      <c:overlay val="0"/>
      <c:spPr>
        <a:noFill/>
        <a:ln>
          <a:noFill/>
        </a:ln>
      </c:spPr>
    </c:title>
    <c:autoTitleDeleted val="1"/>
    <c:plotArea>
      <c:layout/>
      <c:barChart>
        <c:barDir val="col"/>
        <c:grouping val="clustered"/>
        <c:varyColors val="0"/>
        <c:ser>
          <c:idx val="1"/>
          <c:order val="0"/>
          <c:tx>
            <c:v>收入</c:v>
          </c:tx>
          <c:spPr>
            <a:solidFill>
              <a:srgbClr val="C0504D"/>
            </a:solidFill>
          </c:spPr>
          <c:invertIfNegative val="0"/>
          <c:dLbls>
            <c:dLblPos val="outEnd"/>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numRef>
              <c:numCache>
                <c:ptCount val="2"/>
                <c:pt idx="0">
                  <c:v>2020</c:v>
                </c:pt>
                <c:pt idx="1">
                  <c:v>2021</c:v>
                </c:pt>
              </c:numCache>
            </c:numRef>
          </c:cat>
          <c:val>
            <c:numRef>
              <c:f/>
              <c:numCache>
                <c:formatCode>General</c:formatCode>
                <c:ptCount val="2"/>
                <c:pt idx="0">
                  <c:v>13005.65</c:v>
                </c:pt>
                <c:pt idx="1">
                  <c:v>13716.58</c:v>
                </c:pt>
              </c:numCache>
            </c:numRef>
          </c:val>
        </c:ser>
        <c:ser>
          <c:idx val="2"/>
          <c:order val="1"/>
          <c:tx>
            <c:v>支出</c:v>
          </c:tx>
          <c:spPr>
            <a:solidFill>
              <a:srgbClr val="9BBB59"/>
            </a:solidFill>
          </c:spPr>
          <c:invertIfNegative val="0"/>
          <c:dLbls>
            <c:dLblPos val="outEnd"/>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numRef>
              <c:numCache>
                <c:ptCount val="2"/>
                <c:pt idx="0">
                  <c:v>2020</c:v>
                </c:pt>
                <c:pt idx="1">
                  <c:v>2021</c:v>
                </c:pt>
              </c:numCache>
            </c:numRef>
          </c:cat>
          <c:val>
            <c:numRef>
              <c:f/>
              <c:numCache>
                <c:formatCode>General</c:formatCode>
                <c:ptCount val="2"/>
                <c:pt idx="0">
                  <c:v>13005.65</c:v>
                </c:pt>
                <c:pt idx="1">
                  <c:v>13716.58</c:v>
                </c:pt>
              </c:numCache>
            </c:numRef>
          </c:val>
        </c:ser>
        <c:overlap val="-24"/>
        <c:gapWidth val="100"/>
        <c:axId val="0"/>
        <c:axId val="1"/>
      </c:barChart>
      <c:catAx>
        <c:axId val="0"/>
        <c:scaling>
          <c:orientation val="minMax"/>
        </c:scaling>
        <c:delete val="0"/>
        <c:axPos val="b"/>
        <c:numFmt formatCode="General" sourceLinked="0"/>
        <c:title>
          <c:tx>
            <c:rich>
              <a:bodyPr rot="0" vert="horz" anchor="t" anchorCtr="0"/>
              <a:lstStyle/>
              <a:p>
                <a:pPr>
                  <a:defRPr sz="1000" b="1" i="0" u="none" strike="noStrike" baseline="0">
                    <a:solidFill>
                      <a:srgbClr val="000000"/>
                    </a:solidFill>
                    <a:latin typeface="Times New Roman"/>
                    <a:ea typeface="宋体"/>
                    <a:cs typeface="Lucida Sans"/>
                  </a:defRPr>
                </a:pPr>
                <a:r>
                  <a:rPr lang="zh-CN"/>
                  <a:t>单位：万元</a:t>
                </a:r>
              </a:p>
            </c:rich>
          </c:tx>
          <c:layout/>
          <c:overlay val="0"/>
          <c:spPr>
            <a:ln>
              <a:noFill/>
            </a:ln>
          </c:spPr>
        </c:title>
        <c:majorTickMark val="none"/>
        <c:minorTickMark val="none"/>
        <c:tickLblPos val="nextTo"/>
        <c:spPr>
          <a:ln w="6350">
            <a:solidFill>
              <a:srgbClr val="D4E3F4"/>
            </a:solidFill>
            <a:prstDash val="solid"/>
          </a:ln>
        </c:spPr>
        <c:txPr>
          <a:bodyPr/>
          <a:lstStyle/>
          <a:p>
            <a:pPr>
              <a:defRPr sz="900" b="0" i="0" u="none" strike="noStrike" baseline="0">
                <a:solidFill>
                  <a:srgbClr val="1F497D"/>
                </a:solidFill>
                <a:latin typeface="Times New Roman"/>
                <a:ea typeface="宋体"/>
                <a:cs typeface="Lucida Sans"/>
              </a:defRPr>
            </a:pPr>
            <a:endParaRPr lang="zh-CN"/>
          </a:p>
        </c:txPr>
        <c:crosses val="autoZero"/>
        <c:auto val="0"/>
        <c:lblOffset val="100"/>
        <c:lblAlgn val="ctr"/>
        <c:noMultiLvlLbl val="0"/>
        <c:crossAx val="1"/>
      </c:catAx>
      <c:valAx>
        <c:axId val="1"/>
        <c:scaling>
          <c:orientation val="minMax"/>
        </c:scaling>
        <c:delete val="0"/>
        <c:axPos val="l"/>
        <c:majorGridlines>
          <c:spPr>
            <a:ln w="6350">
              <a:solidFill>
                <a:srgbClr val="D4E3F4"/>
              </a:solidFill>
              <a:prstDash val="solid"/>
            </a:ln>
          </c:spPr>
        </c:majorGridlines>
        <c:title>
          <c:tx>
            <c:rich>
              <a:bodyPr rot="-5400000" vert="horz" anchor="t" anchorCtr="0"/>
              <a:lstStyle/>
              <a:p>
                <a:pPr>
                  <a:defRPr sz="1000" b="1" i="0" u="none" strike="noStrike" baseline="0">
                    <a:solidFill>
                      <a:srgbClr val="000000"/>
                    </a:solidFill>
                    <a:latin typeface="Times New Roman"/>
                    <a:ea typeface="宋体"/>
                    <a:cs typeface="Lucida Sans"/>
                  </a:defRPr>
                </a:pPr>
                <a:r>
                  <a:rPr lang="zh-CN"/>
                  <a:t> </a:t>
                </a:r>
              </a:p>
            </c:rich>
          </c:tx>
          <c:layout/>
          <c:overlay val="0"/>
          <c:spPr>
            <a:ln>
              <a:noFill/>
            </a:ln>
          </c:spPr>
        </c:title>
        <c:numFmt formatCode="General" sourceLinked="1"/>
        <c:majorTickMark val="none"/>
        <c:minorTickMark val="none"/>
        <c:tickLblPos val="nextTo"/>
        <c:spPr>
          <a:ln>
            <a:noFill/>
          </a:ln>
        </c:spPr>
        <c:txPr>
          <a:bodyPr/>
          <a:lstStyle/>
          <a:p>
            <a:pPr>
              <a:defRPr sz="900" b="0" i="0" u="none" strike="noStrike" baseline="0">
                <a:solidFill>
                  <a:srgbClr val="1F497D"/>
                </a:solidFill>
                <a:latin typeface="Times New Roman"/>
                <a:ea typeface="宋体"/>
                <a:cs typeface="Lucida Sans"/>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1F497D"/>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4E3F4"/>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595959"/>
                </a:solidFill>
                <a:latin typeface="Times New Roman"/>
                <a:ea typeface="宋体"/>
                <a:cs typeface="Lucida Sans"/>
              </a:defRPr>
            </a:pPr>
            <a:r>
              <a:rPr lang="zh-CN"/>
              <a:t>一般公共预算财政拨款支出</a:t>
            </a:r>
          </a:p>
        </c:rich>
      </c:tx>
      <c:layout/>
      <c:overlay val="0"/>
      <c:spPr>
        <a:noFill/>
        <a:ln>
          <a:noFill/>
        </a:ln>
      </c:spPr>
    </c:title>
    <c:autoTitleDeleted val="1"/>
    <c:plotArea>
      <c:layout>
        <c:manualLayout>
          <c:layoutTarget val="inner"/>
          <c:xMode val="edge"/>
          <c:yMode val="edge"/>
          <c:x val="0.07363331"/>
          <c:y val="0.19958287"/>
          <c:w val="0.76762366"/>
          <c:h val="0.7085065"/>
        </c:manualLayout>
      </c:layout>
      <c:barChart>
        <c:barDir val="col"/>
        <c:grouping val="clustered"/>
        <c:varyColors val="0"/>
        <c:ser>
          <c:idx val="1"/>
          <c:order val="0"/>
          <c:tx>
            <c:v>2020</c:v>
          </c:tx>
          <c:spPr>
            <a:solidFill>
              <a:srgbClr val="C0504D"/>
            </a:solidFill>
          </c:spPr>
          <c:invertIfNegative val="0"/>
          <c:dLbls>
            <c:dLblPos val="outEnd"/>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Lit>
              <c:ptCount val="1"/>
              <c:pt idx="0">
                <c:v>一般公共预算财政拨款支出</c:v>
              </c:pt>
            </c:strLit>
          </c:cat>
          <c:val>
            <c:numRef>
              <c:f/>
              <c:numCache>
                <c:formatCode>General</c:formatCode>
                <c:ptCount val="1"/>
                <c:pt idx="0">
                  <c:v>9722.94</c:v>
                </c:pt>
              </c:numCache>
            </c:numRef>
          </c:val>
        </c:ser>
        <c:ser>
          <c:idx val="2"/>
          <c:order val="1"/>
          <c:tx>
            <c:v>2021</c:v>
          </c:tx>
          <c:spPr>
            <a:solidFill>
              <a:srgbClr val="9BBB59"/>
            </a:solidFill>
          </c:spPr>
          <c:invertIfNegative val="0"/>
          <c:dLbls>
            <c:dLblPos val="outEnd"/>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Lit>
              <c:ptCount val="1"/>
              <c:pt idx="0">
                <c:v>一般公共预算财政拨款支出</c:v>
              </c:pt>
            </c:strLit>
          </c:cat>
          <c:val>
            <c:numRef>
              <c:f/>
              <c:numCache>
                <c:formatCode>General</c:formatCode>
                <c:ptCount val="1"/>
                <c:pt idx="0">
                  <c:v>13038.37</c:v>
                </c:pt>
              </c:numCache>
            </c:numRef>
          </c:val>
        </c:ser>
        <c:overlap val="-24"/>
        <c:gapWidth val="100"/>
        <c:axId val="0"/>
        <c:axId val="1"/>
      </c:barChart>
      <c:catAx>
        <c:axId val="0"/>
        <c:scaling>
          <c:orientation val="minMax"/>
        </c:scaling>
        <c:delete val="0"/>
        <c:axPos val="b"/>
        <c:numFmt formatCode="General" sourceLinked="0"/>
        <c:title>
          <c:tx>
            <c:rich>
              <a:bodyPr rot="0" vert="horz" anchor="t" anchorCtr="0"/>
              <a:lstStyle/>
              <a:p>
                <a:pPr>
                  <a:defRPr sz="1000" b="1" i="0" u="none" strike="noStrike" baseline="0">
                    <a:solidFill>
                      <a:srgbClr val="000000"/>
                    </a:solidFill>
                    <a:latin typeface="Times New Roman"/>
                    <a:ea typeface="宋体"/>
                    <a:cs typeface="Lucida Sans"/>
                  </a:defRPr>
                </a:pPr>
                <a:r>
                  <a:rPr lang="zh-CN"/>
                  <a:t>单位：万元</a:t>
                </a:r>
              </a:p>
            </c:rich>
          </c:tx>
          <c:layout/>
          <c:overlay val="0"/>
          <c:spPr>
            <a:ln>
              <a:noFill/>
            </a:ln>
          </c:spPr>
        </c:title>
        <c:majorTickMark val="none"/>
        <c:minorTickMark val="none"/>
        <c:tickLblPos val="none"/>
        <c:txPr>
          <a:bodyPr/>
          <a:lstStyle/>
          <a:p>
            <a:pPr>
              <a:defRPr sz="1000" b="0" i="0" u="none" strike="noStrike" baseline="0">
                <a:solidFill>
                  <a:srgbClr val="000000"/>
                </a:solidFill>
                <a:latin typeface="Times New Roman"/>
                <a:ea typeface="宋体"/>
                <a:cs typeface="Lucida Sans"/>
              </a:defRPr>
            </a:pPr>
            <a:endParaRPr lang="zh-CN"/>
          </a:p>
        </c:txPr>
        <c:crosses val="autoZero"/>
        <c:auto val="0"/>
        <c:lblOffset val="100"/>
        <c:lblAlgn val="ctr"/>
        <c:noMultiLvlLbl val="0"/>
        <c:crossAx val="1"/>
      </c:catAx>
      <c:valAx>
        <c:axId val="1"/>
        <c:scaling>
          <c:orientation val="minMax"/>
        </c:scaling>
        <c:delete val="0"/>
        <c:axPos val="l"/>
        <c:majorGridlines>
          <c:spPr>
            <a:ln w="6350">
              <a:solidFill>
                <a:srgbClr val="D9D9D9"/>
              </a:solidFill>
              <a:prstDash val="solid"/>
            </a:ln>
          </c:spPr>
        </c:majorGridlines>
        <c:title>
          <c:tx>
            <c:rich>
              <a:bodyPr rot="-5400000" vert="horz" anchor="t" anchorCtr="0"/>
              <a:lstStyle/>
              <a:p>
                <a:pPr>
                  <a:defRPr sz="1000" b="1" i="0" u="none" strike="noStrike" baseline="0">
                    <a:solidFill>
                      <a:srgbClr val="000000"/>
                    </a:solidFill>
                    <a:latin typeface="Times New Roman"/>
                    <a:ea typeface="宋体"/>
                    <a:cs typeface="Lucida Sans"/>
                  </a:defRPr>
                </a:pPr>
                <a:r>
                  <a:rPr lang="zh-CN"/>
                  <a:t> </a:t>
                </a:r>
              </a:p>
            </c:rich>
          </c:tx>
          <c:layout/>
          <c:overlay val="0"/>
          <c:spPr>
            <a:ln>
              <a:noFill/>
            </a:ln>
          </c:spPr>
        </c:title>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nchor="t" anchorCtr="0"/>
          <a:lstStyle/>
          <a:p>
            <a:pPr>
              <a:defRPr sz="1800" b="1" i="0" u="none" strike="noStrike" baseline="0">
                <a:solidFill>
                  <a:srgbClr val="000000"/>
                </a:solidFill>
                <a:latin typeface="Times New Roman"/>
                <a:ea typeface="宋体"/>
                <a:cs typeface="Lucida Sans"/>
              </a:defRPr>
            </a:pPr>
            <a:r>
              <a:rPr lang="zh-CN"/>
              <a:t>一般公共预算财政拨款支出</a:t>
            </a:r>
          </a:p>
        </c:rich>
      </c:tx>
      <c:layout/>
      <c:overlay val="0"/>
      <c:spPr>
        <a:ln>
          <a:noFill/>
        </a:ln>
      </c:spPr>
    </c:title>
    <c:autoTitleDeleted val="1"/>
    <c:plotArea>
      <c:layout/>
      <c:pieChart>
        <c:varyColors val="0"/>
        <c:ser>
          <c:idx val="1"/>
          <c:order val="0"/>
          <c:spPr>
            <a:solidFill>
              <a:srgbClr val="C0504D"/>
            </a:solidFill>
          </c:spPr>
          <c:dLbls>
            <c:showLegendKey val="0"/>
            <c:showVal val="0"/>
            <c:showCatName val="0"/>
            <c:showSerName val="0"/>
            <c:showPercent val="0"/>
            <c:showBubbleSize val="0"/>
            <c:showLeaderLines val="1"/>
          </c:dLbls>
          <c:cat>
            <c:strLit>
              <c:ptCount val="8"/>
              <c:pt idx="0">
                <c:v>社会保障和就业支出</c:v>
              </c:pt>
              <c:pt idx="1">
                <c:v>卫生健康支出</c:v>
              </c:pt>
              <c:pt idx="2">
                <c:v>节能环保支出</c:v>
              </c:pt>
              <c:pt idx="3">
                <c:v>农林水支出</c:v>
              </c:pt>
              <c:pt idx="4">
                <c:v>交通运输支出</c:v>
              </c:pt>
              <c:pt idx="5">
                <c:v>住房保障支出</c:v>
              </c:pt>
              <c:pt idx="6">
                <c:v>灾害防治及应急管理支出</c:v>
              </c:pt>
              <c:pt idx="7">
                <c:v>其他支出</c:v>
              </c:pt>
            </c:strLit>
          </c:cat>
          <c:val>
            <c:numRef>
              <c:f/>
              <c:numCache>
                <c:formatCode>General</c:formatCode>
                <c:ptCount val="8"/>
                <c:pt idx="0">
                  <c:v>29.85</c:v>
                </c:pt>
                <c:pt idx="1">
                  <c:v>31.25</c:v>
                </c:pt>
                <c:pt idx="2">
                  <c:v>4873.1</c:v>
                </c:pt>
                <c:pt idx="3">
                  <c:v>7338.29</c:v>
                </c:pt>
                <c:pt idx="4">
                  <c:v>193.86</c:v>
                </c:pt>
                <c:pt idx="5">
                  <c:v>26.61</c:v>
                </c:pt>
                <c:pt idx="6">
                  <c:v>236.21</c:v>
                </c:pt>
                <c:pt idx="7">
                  <c:v>309.2</c:v>
                </c:pt>
              </c:numCache>
            </c:numRef>
          </c:val>
        </c:ser>
        <c:firstSliceAng val="0"/>
      </c:pieChart>
      <c:spPr>
        <a:noFill/>
      </c:spPr>
    </c:plotArea>
    <c:legend>
      <c:legendPos val="r"/>
      <c:layout/>
      <c:overlay val="0"/>
      <c:spPr>
        <a:noFill/>
        <a:ln>
          <a:noFill/>
        </a:ln>
      </c:spPr>
      <c:txPr>
        <a:bodyPr/>
        <a:lstStyle/>
        <a:p>
          <a:pPr>
            <a:defRPr sz="1000" b="0" i="0" u="none" strike="noStrike" baseline="0">
              <a:solidFill>
                <a:srgbClr val="000000"/>
              </a:solidFill>
              <a:latin typeface="Times New Roman"/>
              <a:ea typeface="宋体"/>
              <a:cs typeface="Lucida Sans"/>
            </a:defRPr>
          </a:pPr>
          <a:endParaRPr lang="zh-CN"/>
        </a:p>
      </c:txPr>
    </c:legend>
    <c:plotVisOnly val="1"/>
    <c:dispBlanksAs val="zero"/>
    <c:showDLblsOverMax val="0"/>
  </c:chart>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nchor="t" anchorCtr="0"/>
          <a:lstStyle/>
          <a:p>
            <a:pPr>
              <a:defRPr sz="1800" b="1" i="0" u="none" strike="noStrike" baseline="0">
                <a:solidFill>
                  <a:srgbClr val="000000"/>
                </a:solidFill>
                <a:latin typeface="Times New Roman"/>
                <a:ea typeface="宋体"/>
                <a:cs typeface="Lucida Sans"/>
              </a:defRPr>
            </a:pPr>
            <a:r>
              <a:rPr lang="zh-CN"/>
              <a:t>三公经费</a:t>
            </a:r>
          </a:p>
        </c:rich>
      </c:tx>
      <c:layout/>
      <c:overlay val="0"/>
      <c:spPr>
        <a:ln>
          <a:noFill/>
        </a:ln>
      </c:spPr>
    </c:title>
    <c:autoTitleDeleted val="1"/>
    <c:plotArea>
      <c:layout/>
      <c:pieChart>
        <c:varyColors val="0"/>
        <c:ser>
          <c:idx val="1"/>
          <c:order val="0"/>
          <c:spPr>
            <a:solidFill>
              <a:srgbClr val="C0504D"/>
            </a:solidFill>
          </c:spPr>
          <c:dLbls>
            <c:showLegendKey val="0"/>
            <c:showVal val="0"/>
            <c:showCatName val="0"/>
            <c:showSerName val="0"/>
            <c:showPercent val="0"/>
            <c:showBubbleSize val="0"/>
            <c:showLeaderLines val="1"/>
          </c:dLbls>
          <c:cat>
            <c:strLit>
              <c:ptCount val="3"/>
              <c:pt idx="0">
                <c:v>因公出国（境）费</c:v>
              </c:pt>
              <c:pt idx="1">
                <c:v>公务用车购置及运行维护费</c:v>
              </c:pt>
              <c:pt idx="2">
                <c:v>公务接待费</c:v>
              </c:pt>
            </c:strLit>
          </c:cat>
          <c:val>
            <c:numRef>
              <c:f/>
              <c:numCache>
                <c:formatCode>General</c:formatCode>
                <c:ptCount val="3"/>
                <c:pt idx="0">
                  <c:v>0.0</c:v>
                </c:pt>
                <c:pt idx="1">
                  <c:v>4.25</c:v>
                </c:pt>
                <c:pt idx="2">
                  <c:v>0.27</c:v>
                </c:pt>
              </c:numCache>
            </c:numRef>
          </c:val>
        </c:ser>
        <c:firstSliceAng val="0"/>
      </c:pieChart>
      <c:spPr>
        <a:noFill/>
      </c:spPr>
    </c:plotArea>
    <c:legend>
      <c:legendPos val="r"/>
      <c:layout/>
      <c:overlay val="0"/>
      <c:spPr>
        <a:noFill/>
        <a:ln>
          <a:noFill/>
        </a:ln>
      </c:spPr>
      <c:txPr>
        <a:bodyPr/>
        <a:lstStyle/>
        <a:p>
          <a:pPr>
            <a:defRPr sz="1000" b="0" i="0" u="none" strike="noStrike" baseline="0">
              <a:solidFill>
                <a:srgbClr val="000000"/>
              </a:solidFill>
              <a:latin typeface="Times New Roman"/>
              <a:ea typeface="宋体"/>
              <a:cs typeface="Lucida Sans"/>
            </a:defRPr>
          </a:pPr>
          <a:endParaRPr lang="zh-CN"/>
        </a:p>
      </c:txPr>
    </c:legend>
    <c:plotVisOnly val="1"/>
    <c:dispBlanksAs val="zero"/>
    <c:showDLblsOverMax val="0"/>
  </c:chart>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10</TotalTime>
  <Application>Yozo_Office27021597764231179</Application>
  <Pages>55</Pages>
  <Words>22223</Words>
  <Characters>25015</Characters>
  <Lines>1361</Lines>
  <Paragraphs>449</Paragraphs>
  <CharactersWithSpaces>25182</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四川省决算编制说明</dc:title>
  <dc:creator>lgk</dc:creator>
  <cp:lastModifiedBy>user</cp:lastModifiedBy>
  <cp:revision>303</cp:revision>
  <cp:lastPrinted>2021-09-26T16:39:00Z</cp:lastPrinted>
  <dcterms:created xsi:type="dcterms:W3CDTF">2022-08-17T09:31:00Z</dcterms:created>
  <dcterms:modified xsi:type="dcterms:W3CDTF">2026-09-17T09:24:04Z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2052-11.1.0.10161</vt:lpwstr>
  </property>
  <property fmtid="{D5CDD505-2E9C-101B-9397-08002B2CF9AE}" pid="3" name="ICV">
    <vt:lpwstr>B93CA6F4BEAD4F359769D1203595D585</vt:lpwstr>
  </property>
</Properties>
</file>