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A1258">
      <w:pPr>
        <w:pStyle w:val="5"/>
        <w:jc w:val="center"/>
        <w:rPr>
          <w:rFonts w:hint="eastAsia" w:ascii="方正小标宋简体" w:hAnsi="宋体" w:eastAsia="方正小标宋简体" w:cs="Times New Roman"/>
          <w:color w:val="auto"/>
          <w:kern w:val="2"/>
          <w:sz w:val="72"/>
          <w:szCs w:val="72"/>
          <w:highlight w:val="none"/>
          <w:lang w:val="en-US" w:eastAsia="zh-CN" w:bidi="ar-SA"/>
        </w:rPr>
      </w:pPr>
      <w:bookmarkStart w:id="0" w:name="_Toc15378442"/>
      <w:bookmarkStart w:id="1" w:name="_Toc15396476"/>
      <w:bookmarkStart w:id="2" w:name="_Toc15306268"/>
      <w:bookmarkStart w:id="3" w:name="_Toc15377194"/>
      <w:bookmarkStart w:id="4" w:name="_Toc15396598"/>
      <w:bookmarkStart w:id="5" w:name="_Toc15377426"/>
    </w:p>
    <w:p w14:paraId="476A9893">
      <w:pPr>
        <w:pStyle w:val="5"/>
        <w:jc w:val="both"/>
        <w:rPr>
          <w:rFonts w:hint="eastAsia" w:ascii="方正小标宋简体" w:hAnsi="宋体" w:eastAsia="方正小标宋简体" w:cs="Times New Roman"/>
          <w:color w:val="auto"/>
          <w:kern w:val="2"/>
          <w:sz w:val="72"/>
          <w:szCs w:val="72"/>
          <w:highlight w:val="none"/>
          <w:lang w:val="en-US" w:eastAsia="zh-CN" w:bidi="ar-SA"/>
        </w:rPr>
      </w:pPr>
    </w:p>
    <w:p w14:paraId="5B1A67A8">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72"/>
          <w:szCs w:val="72"/>
          <w:highlight w:val="none"/>
          <w:lang w:val="en-US" w:eastAsia="zh-CN" w:bidi="ar-SA"/>
        </w:rPr>
        <w:t>2025年度</w:t>
      </w:r>
    </w:p>
    <w:p w14:paraId="1542B53A">
      <w:pPr>
        <w:pStyle w:val="5"/>
        <w:jc w:val="center"/>
        <w:rPr>
          <w:rFonts w:hint="eastAsia" w:ascii="Times New Roman" w:hAnsi="Times New Roman" w:eastAsia="黑体"/>
          <w:color w:val="auto"/>
          <w:sz w:val="48"/>
          <w:szCs w:val="48"/>
          <w:highlight w:val="none"/>
        </w:rPr>
        <w:sectPr>
          <w:pgSz w:w="11906" w:h="16838"/>
          <w:pgMar w:top="1440" w:right="1800" w:bottom="1440" w:left="1800" w:header="720" w:footer="720" w:gutter="0"/>
          <w:pgNumType w:fmt="decimal" w:start="1"/>
          <w:cols w:space="720" w:num="1"/>
          <w:docGrid w:type="lines" w:linePitch="312" w:charSpace="0"/>
        </w:sectPr>
      </w:pPr>
      <w:r>
        <w:rPr>
          <w:rFonts w:hint="eastAsia" w:ascii="方正小标宋简体" w:hAnsi="宋体" w:eastAsia="方正小标宋简体" w:cs="Times New Roman"/>
          <w:color w:val="auto"/>
          <w:kern w:val="2"/>
          <w:sz w:val="72"/>
          <w:szCs w:val="72"/>
          <w:highlight w:val="none"/>
          <w:lang w:val="en-US" w:eastAsia="zh-CN" w:bidi="ar-SA"/>
        </w:rPr>
        <w:t>四川省阿坝州茂县工业服务中心部门决算</w:t>
      </w:r>
      <w:bookmarkEnd w:id="0"/>
      <w:bookmarkEnd w:id="1"/>
      <w:bookmarkEnd w:id="2"/>
      <w:bookmarkEnd w:id="3"/>
      <w:bookmarkEnd w:id="4"/>
      <w:bookmarkEnd w:id="5"/>
    </w:p>
    <w:p w14:paraId="72171FB0">
      <w:pPr>
        <w:widowControl/>
        <w:jc w:val="both"/>
        <w:rPr>
          <w:rFonts w:hint="eastAsia" w:ascii="Times New Roman" w:hAnsi="Times New Roman" w:eastAsia="黑体"/>
          <w:color w:val="auto"/>
          <w:sz w:val="48"/>
          <w:szCs w:val="48"/>
          <w:highlight w:val="none"/>
        </w:rPr>
      </w:pPr>
    </w:p>
    <w:p w14:paraId="40DCB9B9">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45ADB11">
      <w:pPr>
        <w:widowControl/>
        <w:jc w:val="center"/>
        <w:rPr>
          <w:rFonts w:ascii="Times New Roman" w:hAnsi="Times New Roman" w:eastAsia="黑体" w:cstheme="minorBidi"/>
          <w:color w:val="auto"/>
          <w:sz w:val="28"/>
          <w:szCs w:val="28"/>
          <w:highlight w:val="none"/>
        </w:rPr>
      </w:pPr>
    </w:p>
    <w:p w14:paraId="4B3926CB">
      <w:pPr>
        <w:pStyle w:val="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75D64275">
      <w:pPr>
        <w:rPr>
          <w:rFonts w:ascii="Times New Roman" w:hAnsi="Times New Roman"/>
          <w:color w:val="auto"/>
          <w:highlight w:val="none"/>
        </w:rPr>
      </w:pPr>
    </w:p>
    <w:p w14:paraId="5DF6D2B4">
      <w:pPr>
        <w:pStyle w:val="10"/>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21"/>
          <w:szCs w:val="21"/>
          <w:highlight w:val="none"/>
          <w:lang w:val="en-US" w:eastAsia="zh-CN"/>
        </w:rPr>
      </w:pPr>
      <w:r>
        <w:rPr>
          <w:rFonts w:hint="eastAsia" w:ascii="Times New Roman" w:hAnsi="Times New Roman" w:eastAsia="黑体" w:cs="黑体"/>
          <w:color w:val="auto"/>
          <w:sz w:val="32"/>
          <w:szCs w:val="32"/>
          <w:highlight w:val="none"/>
        </w:rPr>
        <w:t>第一部分 部门概况</w:t>
      </w:r>
      <w:r>
        <w:rPr>
          <w:sz w:val="21"/>
          <w:szCs w:val="21"/>
        </w:rPr>
        <w:tab/>
      </w:r>
      <w:r>
        <w:rPr>
          <w:rFonts w:hint="eastAsia"/>
          <w:sz w:val="21"/>
          <w:szCs w:val="21"/>
          <w:lang w:val="en-US" w:eastAsia="zh-CN"/>
        </w:rPr>
        <w:t>1</w:t>
      </w:r>
    </w:p>
    <w:p w14:paraId="284F8D2D">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tab/>
      </w:r>
      <w:r>
        <w:rPr>
          <w:rFonts w:hint="eastAsia"/>
          <w:lang w:val="en-US" w:eastAsia="zh-CN"/>
        </w:rPr>
        <w:t>1</w:t>
      </w:r>
    </w:p>
    <w:p w14:paraId="1AA2AF0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tab/>
      </w:r>
      <w:r>
        <w:rPr>
          <w:rFonts w:hint="eastAsia"/>
          <w:lang w:val="en-US" w:eastAsia="zh-CN"/>
        </w:rPr>
        <w:t>2</w:t>
      </w:r>
    </w:p>
    <w:p w14:paraId="666C3C4C">
      <w:pPr>
        <w:pStyle w:val="10"/>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r>
        <w:rPr>
          <w:rFonts w:ascii="Times New Roman" w:hAnsi="Times New Roman" w:eastAsia="宋体" w:cs="Times New Roman"/>
          <w:kern w:val="2"/>
          <w:sz w:val="21"/>
          <w:szCs w:val="24"/>
          <w:lang w:val="en-US" w:eastAsia="zh-CN" w:bidi="ar-SA"/>
        </w:rPr>
        <w:tab/>
      </w:r>
      <w:r>
        <w:rPr>
          <w:rFonts w:hint="eastAsia" w:ascii="Times New Roman" w:hAnsi="Times New Roman" w:eastAsia="宋体" w:cs="Times New Roman"/>
          <w:kern w:val="2"/>
          <w:sz w:val="21"/>
          <w:szCs w:val="24"/>
          <w:lang w:val="en-US" w:eastAsia="zh-CN" w:bidi="ar-SA"/>
        </w:rPr>
        <w:t>3</w:t>
      </w:r>
    </w:p>
    <w:p w14:paraId="3943498C">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ascii="Times New Roman" w:hAnsi="Times New Roman" w:eastAsia="宋体" w:cs="Times New Roman"/>
          <w:kern w:val="2"/>
          <w:sz w:val="21"/>
          <w:szCs w:val="24"/>
          <w:lang w:val="en-US" w:eastAsia="zh-CN" w:bidi="ar-SA"/>
        </w:rPr>
        <w:tab/>
      </w:r>
      <w:r>
        <w:rPr>
          <w:rFonts w:hint="eastAsia" w:ascii="Times New Roman" w:hAnsi="Times New Roman" w:eastAsia="宋体" w:cs="Times New Roman"/>
          <w:kern w:val="2"/>
          <w:sz w:val="21"/>
          <w:szCs w:val="24"/>
          <w:lang w:val="en-US" w:eastAsia="zh-CN" w:bidi="ar-SA"/>
        </w:rPr>
        <w:t>3</w:t>
      </w:r>
    </w:p>
    <w:p w14:paraId="3DECD14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ascii="Times New Roman" w:hAnsi="Times New Roman" w:eastAsia="宋体" w:cs="Times New Roman"/>
          <w:kern w:val="2"/>
          <w:sz w:val="21"/>
          <w:szCs w:val="24"/>
          <w:lang w:val="en-US" w:eastAsia="zh-CN" w:bidi="ar-SA"/>
        </w:rPr>
        <w:tab/>
      </w:r>
      <w:r>
        <w:rPr>
          <w:rFonts w:hint="eastAsia" w:ascii="Times New Roman" w:hAnsi="Times New Roman" w:eastAsia="宋体" w:cs="Times New Roman"/>
          <w:kern w:val="2"/>
          <w:sz w:val="21"/>
          <w:szCs w:val="24"/>
          <w:lang w:val="en-US" w:eastAsia="zh-CN" w:bidi="ar-SA"/>
        </w:rPr>
        <w:t>3</w:t>
      </w:r>
    </w:p>
    <w:p w14:paraId="1D9B1373">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4</w:t>
      </w:r>
    </w:p>
    <w:p w14:paraId="103FA310">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4</w:t>
      </w:r>
    </w:p>
    <w:p w14:paraId="4DA062F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5</w:t>
      </w:r>
    </w:p>
    <w:p w14:paraId="6D77B843">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7</w:t>
      </w:r>
    </w:p>
    <w:p w14:paraId="2A89940F">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7</w:t>
      </w:r>
    </w:p>
    <w:p w14:paraId="0DBEA7C4">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9</w:t>
      </w:r>
    </w:p>
    <w:p w14:paraId="6F51950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9</w:t>
      </w:r>
    </w:p>
    <w:p w14:paraId="11638EC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9</w:t>
      </w:r>
    </w:p>
    <w:p w14:paraId="02BFE5B4">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11</w:t>
      </w:r>
    </w:p>
    <w:p w14:paraId="758A93E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14</w:t>
      </w:r>
    </w:p>
    <w:p w14:paraId="1CFF528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456A1F8F">
      <w:pPr>
        <w:pStyle w:val="10"/>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cs="Times New Roman"/>
          <w:kern w:val="2"/>
          <w:sz w:val="21"/>
          <w:szCs w:val="24"/>
          <w:lang w:val="en-US" w:eastAsia="zh-CN" w:bidi="ar-SA"/>
        </w:rPr>
      </w:pPr>
      <w:r>
        <w:rPr>
          <w:rFonts w:hint="eastAsia" w:ascii="Times New Roman" w:hAnsi="Times New Roman" w:eastAsia="仿宋_GB2312" w:cs="仿宋_GB2312"/>
          <w:color w:val="auto"/>
          <w:sz w:val="32"/>
          <w:szCs w:val="32"/>
          <w:highlight w:val="none"/>
          <w:lang w:eastAsia="zh-CN"/>
        </w:rPr>
        <w:t>一、封面</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4700A978">
      <w:pPr>
        <w:pStyle w:val="10"/>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二、收入支出决算总表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004B8CA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cs="仿宋_GB2312"/>
          <w:color w:val="auto"/>
          <w:sz w:val="32"/>
          <w:szCs w:val="32"/>
          <w:highlight w:val="none"/>
          <w:lang w:eastAsia="zh-CN"/>
        </w:rPr>
        <w:sectPr>
          <w:footerReference r:id="rId3" w:type="default"/>
          <w:pgSz w:w="11906" w:h="16838"/>
          <w:pgMar w:top="1440" w:right="1800" w:bottom="1440" w:left="1800" w:header="720" w:footer="720" w:gutter="0"/>
          <w:pgNumType w:fmt="decimal" w:start="1"/>
          <w:cols w:space="720" w:num="1"/>
          <w:docGrid w:type="lines" w:linePitch="312" w:charSpace="0"/>
        </w:sectPr>
      </w:pPr>
    </w:p>
    <w:p w14:paraId="1E2EEEF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收入决算表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3E5E0DCB">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四</w:t>
      </w:r>
      <w:r>
        <w:rPr>
          <w:rFonts w:hint="eastAsia" w:ascii="Times New Roman" w:hAnsi="Times New Roman" w:eastAsia="仿宋_GB2312" w:cs="仿宋_GB2312"/>
          <w:color w:val="auto"/>
          <w:sz w:val="32"/>
          <w:szCs w:val="32"/>
          <w:highlight w:val="none"/>
        </w:rPr>
        <w:t>、支出决算表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76D6DB6F">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五</w:t>
      </w:r>
      <w:r>
        <w:rPr>
          <w:rFonts w:hint="eastAsia" w:ascii="Times New Roman" w:hAnsi="Times New Roman" w:eastAsia="仿宋_GB2312" w:cs="仿宋_GB2312"/>
          <w:color w:val="auto"/>
          <w:sz w:val="32"/>
          <w:szCs w:val="32"/>
          <w:highlight w:val="none"/>
        </w:rPr>
        <w:t>、财政拨款收入支出决算总表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123305D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六</w:t>
      </w:r>
      <w:r>
        <w:rPr>
          <w:rFonts w:hint="eastAsia" w:ascii="Times New Roman" w:hAnsi="Times New Roman" w:eastAsia="仿宋_GB2312" w:cs="仿宋_GB2312"/>
          <w:color w:val="auto"/>
          <w:sz w:val="32"/>
          <w:szCs w:val="32"/>
          <w:highlight w:val="none"/>
        </w:rPr>
        <w:t>、财政拨款支出决算明细表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42FD3C0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七</w:t>
      </w:r>
      <w:r>
        <w:rPr>
          <w:rFonts w:hint="eastAsia" w:ascii="Times New Roman" w:hAnsi="Times New Roman" w:eastAsia="仿宋_GB2312" w:cs="仿宋_GB2312"/>
          <w:color w:val="auto"/>
          <w:sz w:val="32"/>
          <w:szCs w:val="32"/>
          <w:highlight w:val="none"/>
        </w:rPr>
        <w:t>、一般公共预算财政拨款支出决算表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34A9865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八</w:t>
      </w:r>
      <w:r>
        <w:rPr>
          <w:rFonts w:hint="eastAsia" w:ascii="Times New Roman" w:hAnsi="Times New Roman" w:eastAsia="仿宋_GB2312" w:cs="仿宋_GB2312"/>
          <w:color w:val="auto"/>
          <w:sz w:val="32"/>
          <w:szCs w:val="32"/>
          <w:highlight w:val="none"/>
        </w:rPr>
        <w:t>、一般公共预算财政拨款支出决算明细表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604E788B">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6B4295E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、一般公共预算财政拨款项目支出决算表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1508EC26">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十一</w:t>
      </w:r>
      <w:r>
        <w:rPr>
          <w:rFonts w:hint="eastAsia" w:ascii="Times New Roman" w:hAnsi="Times New Roman" w:eastAsia="仿宋_GB2312" w:cs="仿宋_GB2312"/>
          <w:color w:val="auto"/>
          <w:sz w:val="32"/>
          <w:szCs w:val="32"/>
          <w:highlight w:val="none"/>
        </w:rPr>
        <w:t>、政府性基金预算财政拨款收入支出决算表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6CC8662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十二</w:t>
      </w:r>
      <w:r>
        <w:rPr>
          <w:rFonts w:hint="eastAsia" w:ascii="Times New Roman" w:hAnsi="Times New Roman" w:eastAsia="仿宋_GB2312" w:cs="仿宋_GB2312"/>
          <w:color w:val="auto"/>
          <w:sz w:val="32"/>
          <w:szCs w:val="32"/>
          <w:highlight w:val="none"/>
        </w:rPr>
        <w:t>、国有资本经营预算财政拨款收入支出决算表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672C006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十三</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676F7BAF">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color w:val="auto"/>
          <w:sz w:val="32"/>
          <w:szCs w:val="32"/>
          <w:highlight w:val="none"/>
        </w:rPr>
        <w:t>十</w:t>
      </w:r>
      <w:r>
        <w:rPr>
          <w:rFonts w:hint="eastAsia" w:eastAsia="仿宋_GB2312" w:cs="仿宋_GB2312"/>
          <w:color w:val="auto"/>
          <w:sz w:val="32"/>
          <w:szCs w:val="32"/>
          <w:highlight w:val="none"/>
          <w:lang w:eastAsia="zh-CN"/>
        </w:rPr>
        <w:t>四</w:t>
      </w:r>
      <w:r>
        <w:rPr>
          <w:rFonts w:hint="eastAsia" w:ascii="Times New Roman" w:hAnsi="Times New Roman" w:eastAsia="仿宋_GB2312" w:cs="仿宋_GB2312"/>
          <w:color w:val="auto"/>
          <w:sz w:val="32"/>
          <w:szCs w:val="32"/>
          <w:highlight w:val="none"/>
        </w:rPr>
        <w:t>、财政拨款“三公”经费支出决算表</w:t>
      </w:r>
      <w:r>
        <w:rPr>
          <w:rFonts w:ascii="Times New Roman" w:hAnsi="Times New Roman" w:eastAsia="宋体" w:cs="Times New Roman"/>
          <w:kern w:val="2"/>
          <w:sz w:val="21"/>
          <w:szCs w:val="24"/>
          <w:lang w:val="en-US" w:eastAsia="zh-CN" w:bidi="ar-SA"/>
        </w:rPr>
        <w:tab/>
      </w:r>
      <w:r>
        <w:rPr>
          <w:rFonts w:hint="eastAsia" w:cs="Times New Roman"/>
          <w:kern w:val="2"/>
          <w:sz w:val="21"/>
          <w:szCs w:val="24"/>
          <w:lang w:val="en-US" w:eastAsia="zh-CN" w:bidi="ar-SA"/>
        </w:rPr>
        <w:t>28</w:t>
      </w:r>
    </w:p>
    <w:p w14:paraId="230B8306">
      <w:pPr>
        <w:pStyle w:val="3"/>
        <w:jc w:val="center"/>
        <w:rPr>
          <w:rFonts w:hint="eastAsia" w:ascii="Times New Roman" w:hAnsi="Times New Roman" w:eastAsia="方正小标宋简体" w:cs="方正小标宋简体"/>
          <w:b w:val="0"/>
          <w:color w:val="auto"/>
          <w:highlight w:val="none"/>
        </w:rPr>
        <w:sectPr>
          <w:footerReference r:id="rId4" w:type="default"/>
          <w:pgSz w:w="11906" w:h="16838"/>
          <w:pgMar w:top="1440" w:right="1800" w:bottom="1440" w:left="1800" w:header="720" w:footer="720" w:gutter="0"/>
          <w:pgNumType w:fmt="decimal" w:start="1"/>
          <w:cols w:space="720" w:num="1"/>
          <w:docGrid w:type="lines" w:linePitch="312" w:charSpace="0"/>
        </w:sectPr>
      </w:pPr>
      <w:bookmarkStart w:id="6" w:name="_Toc15377196"/>
      <w:bookmarkStart w:id="7" w:name="_Toc15396599"/>
    </w:p>
    <w:p w14:paraId="6CA9E2A8">
      <w:pPr>
        <w:pStyle w:val="3"/>
        <w:jc w:val="center"/>
        <w:rPr>
          <w:rStyle w:val="16"/>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6"/>
          <w:rFonts w:hint="eastAsia" w:ascii="Times New Roman" w:hAnsi="Times New Roman" w:eastAsia="方正小标宋简体" w:cs="方正小标宋简体"/>
          <w:b w:val="0"/>
          <w:bCs w:val="0"/>
          <w:color w:val="auto"/>
          <w:highlight w:val="none"/>
        </w:rPr>
        <w:t>部门概况</w:t>
      </w:r>
      <w:bookmarkEnd w:id="6"/>
      <w:bookmarkEnd w:id="7"/>
    </w:p>
    <w:p w14:paraId="05D7072E">
      <w:pPr>
        <w:widowControl/>
        <w:jc w:val="left"/>
        <w:rPr>
          <w:rFonts w:ascii="Times New Roman" w:hAnsi="Times New Roman" w:eastAsia="黑体"/>
          <w:color w:val="auto"/>
          <w:sz w:val="32"/>
          <w:szCs w:val="32"/>
          <w:highlight w:val="none"/>
        </w:rPr>
      </w:pPr>
    </w:p>
    <w:p w14:paraId="4ECD4C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5"/>
          <w:rFonts w:hint="eastAsia" w:ascii="黑体" w:hAnsi="黑体" w:eastAsia="黑体" w:cs="黑体"/>
          <w:b w:val="0"/>
          <w:bCs/>
          <w:color w:val="000000"/>
          <w:sz w:val="32"/>
          <w:szCs w:val="32"/>
          <w:lang w:val="en-US" w:eastAsia="zh-CN"/>
        </w:rPr>
      </w:pPr>
      <w:r>
        <w:rPr>
          <w:rStyle w:val="15"/>
          <w:rFonts w:hint="eastAsia" w:ascii="黑体" w:hAnsi="黑体" w:eastAsia="黑体" w:cs="黑体"/>
          <w:b w:val="0"/>
          <w:bCs/>
          <w:color w:val="000000"/>
          <w:sz w:val="32"/>
          <w:szCs w:val="32"/>
          <w:lang w:val="en-US" w:eastAsia="zh-CN"/>
        </w:rPr>
        <w:t>一、部门职责</w:t>
      </w:r>
    </w:p>
    <w:p w14:paraId="522F5B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1.贯彻执行国家、省、州、县的有关方针、政策、法律法规，执行州委、州政府、县委、县政府的决定和指示，依法制定园区经济管理规范性文件，检查督促园区内各企业贯彻执行；制定工业园区有关行政管理制度并监督执行。</w:t>
      </w:r>
    </w:p>
    <w:p w14:paraId="4D03EE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zh-CN" w:eastAsia="zh-CN" w:bidi="ar-SA"/>
        </w:rPr>
        <w:t>2. 按照现代工业发展的要求，编制园区发展总体规划、园区控制性详细规划、产业发展规划、经济目标规划、区域环评、水土保持、行洪论证、林地征占等报告并组织实施。</w:t>
      </w:r>
    </w:p>
    <w:p w14:paraId="66DFA2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3.负责园区内土地的统一开发，规划、建设和管理园区内的基础设施和公共设施。</w:t>
      </w:r>
    </w:p>
    <w:p w14:paraId="189F08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4.配合县相关职能部门开展园区建设用地的实物量调查、土地征用、农户拆迁、土地价款的收支等工作。</w:t>
      </w:r>
    </w:p>
    <w:p w14:paraId="3C1D8D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5.坚持正确的产业导向，严格遵守国家制定的企业准入条件。对拟投资项目进行调研、论证、评估等相关工作，提出投资项目的可行性报告；做好招商引资、项目初审、合同签订等工作。</w:t>
      </w:r>
    </w:p>
    <w:p w14:paraId="7411E2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6.统筹安排和管理园区的投资项目，负责企业入园的评估、选址工作；为企业用地、办证、项目备案、厂房建设、生产生活提供咨询、服务和协调。</w:t>
      </w:r>
    </w:p>
    <w:p w14:paraId="6DAABA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7.贯彻落实州、县政府赋予园区的各项优惠政策，监督建设项目的实施。</w:t>
      </w:r>
    </w:p>
    <w:p w14:paraId="1FFBC8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8.配合有关部门做好安全生产、环境保护等工作；会同人力资源和社会保障部门协助企业做好人员招聘、培训和社会保障工作；配合税务、工商、财政部门做好税费征管等工作。</w:t>
      </w:r>
    </w:p>
    <w:p w14:paraId="0B585C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9.贯彻执行国家、省、州、县关于政府投融资管理的政策，构建投融资平台，为企业融资提供方便，促进园区产业又好又快发展。</w:t>
      </w:r>
    </w:p>
    <w:p w14:paraId="4B9724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eastAsia="zh-CN"/>
        </w:rPr>
      </w:pPr>
      <w:r>
        <w:rPr>
          <w:rStyle w:val="15"/>
          <w:rFonts w:hint="eastAsia" w:ascii="仿宋_GB2312" w:eastAsia="仿宋_GB2312" w:cs="Times New Roman" w:hAnsiTheme="minorHAnsi"/>
          <w:b w:val="0"/>
          <w:bCs/>
          <w:color w:val="000000"/>
          <w:kern w:val="2"/>
          <w:sz w:val="32"/>
          <w:szCs w:val="32"/>
          <w:lang w:val="zh-CN" w:eastAsia="zh-CN" w:bidi="ar-SA"/>
        </w:rPr>
        <w:t>10.承办县委、县政府交办的其他工作。</w:t>
      </w:r>
    </w:p>
    <w:p w14:paraId="4C0053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5"/>
          <w:rFonts w:hint="eastAsia" w:ascii="黑体" w:hAnsi="黑体" w:eastAsia="黑体" w:cs="黑体"/>
          <w:b w:val="0"/>
          <w:bCs/>
          <w:color w:val="000000"/>
          <w:sz w:val="32"/>
          <w:szCs w:val="32"/>
          <w:lang w:val="en-US" w:eastAsia="zh-CN"/>
        </w:rPr>
      </w:pPr>
      <w:bookmarkStart w:id="8" w:name="_Toc15377204"/>
      <w:bookmarkStart w:id="9" w:name="_Toc15396602"/>
      <w:r>
        <w:rPr>
          <w:rStyle w:val="15"/>
          <w:rFonts w:hint="eastAsia" w:ascii="黑体" w:hAnsi="黑体" w:eastAsia="黑体" w:cs="黑体"/>
          <w:b w:val="0"/>
          <w:bCs/>
          <w:color w:val="000000"/>
          <w:sz w:val="32"/>
          <w:szCs w:val="32"/>
          <w:lang w:val="en-US" w:eastAsia="zh-CN"/>
        </w:rPr>
        <w:t>二、机构设置</w:t>
      </w:r>
    </w:p>
    <w:p w14:paraId="5AB66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茂县工业服务中心下属二级预算单位0个，其中行政单位0个，参照公务员法管理的事业单位0个，其他事业单位0个。</w:t>
      </w:r>
    </w:p>
    <w:p w14:paraId="5319733A">
      <w:pPr>
        <w:pStyle w:val="3"/>
        <w:jc w:val="both"/>
        <w:rPr>
          <w:rFonts w:hint="eastAsia" w:ascii="Times New Roman" w:hAnsi="Times New Roman" w:eastAsia="方正小标宋简体" w:cs="方正小标宋简体"/>
          <w:b w:val="0"/>
          <w:color w:val="auto"/>
          <w:highlight w:val="none"/>
        </w:rPr>
      </w:pPr>
    </w:p>
    <w:p w14:paraId="3DE05233">
      <w:pPr>
        <w:pStyle w:val="3"/>
        <w:jc w:val="both"/>
        <w:rPr>
          <w:rFonts w:hint="eastAsia" w:ascii="Times New Roman" w:hAnsi="Times New Roman" w:eastAsia="方正小标宋简体" w:cs="方正小标宋简体"/>
          <w:b w:val="0"/>
          <w:color w:val="auto"/>
          <w:highlight w:val="none"/>
        </w:rPr>
      </w:pPr>
    </w:p>
    <w:p w14:paraId="24CFD073">
      <w:pPr>
        <w:rPr>
          <w:rFonts w:hint="eastAsia" w:ascii="Times New Roman" w:hAnsi="Times New Roman" w:eastAsia="方正小标宋简体" w:cs="方正小标宋简体"/>
          <w:b w:val="0"/>
          <w:color w:val="auto"/>
          <w:highlight w:val="none"/>
        </w:rPr>
      </w:pPr>
    </w:p>
    <w:p w14:paraId="25F46F02">
      <w:pPr>
        <w:rPr>
          <w:rFonts w:hint="eastAsia" w:ascii="Times New Roman" w:hAnsi="Times New Roman" w:eastAsia="方正小标宋简体" w:cs="方正小标宋简体"/>
          <w:b w:val="0"/>
          <w:color w:val="auto"/>
          <w:highlight w:val="none"/>
        </w:rPr>
      </w:pPr>
    </w:p>
    <w:p w14:paraId="5F9F8C32">
      <w:pPr>
        <w:rPr>
          <w:rFonts w:hint="eastAsia" w:ascii="Times New Roman" w:hAnsi="Times New Roman" w:eastAsia="方正小标宋简体" w:cs="方正小标宋简体"/>
          <w:b w:val="0"/>
          <w:color w:val="auto"/>
          <w:highlight w:val="none"/>
        </w:rPr>
      </w:pPr>
    </w:p>
    <w:p w14:paraId="62A0B0A0">
      <w:pPr>
        <w:rPr>
          <w:rFonts w:hint="eastAsia" w:ascii="Times New Roman" w:hAnsi="Times New Roman" w:eastAsia="方正小标宋简体" w:cs="方正小标宋简体"/>
          <w:b w:val="0"/>
          <w:color w:val="auto"/>
          <w:highlight w:val="none"/>
        </w:rPr>
      </w:pPr>
    </w:p>
    <w:p w14:paraId="5756822A">
      <w:pPr>
        <w:rPr>
          <w:rFonts w:hint="eastAsia" w:ascii="Times New Roman" w:hAnsi="Times New Roman" w:eastAsia="方正小标宋简体" w:cs="方正小标宋简体"/>
          <w:b w:val="0"/>
          <w:color w:val="auto"/>
          <w:highlight w:val="none"/>
        </w:rPr>
      </w:pPr>
    </w:p>
    <w:p w14:paraId="0FAB3604">
      <w:pPr>
        <w:rPr>
          <w:rFonts w:hint="eastAsia" w:ascii="Times New Roman" w:hAnsi="Times New Roman" w:eastAsia="方正小标宋简体" w:cs="方正小标宋简体"/>
          <w:b w:val="0"/>
          <w:color w:val="auto"/>
          <w:highlight w:val="none"/>
          <w:lang w:val="en-US" w:eastAsia="zh-CN"/>
        </w:rPr>
      </w:pPr>
      <w:r>
        <w:rPr>
          <w:rFonts w:hint="eastAsia" w:eastAsia="方正小标宋简体" w:cs="方正小标宋简体"/>
          <w:b w:val="0"/>
          <w:color w:val="auto"/>
          <w:highlight w:val="none"/>
          <w:lang w:val="en-US" w:eastAsia="zh-CN"/>
        </w:rPr>
        <w:t xml:space="preserve"> </w:t>
      </w:r>
    </w:p>
    <w:p w14:paraId="61DC76BF">
      <w:pPr>
        <w:rPr>
          <w:rFonts w:hint="eastAsia" w:ascii="Times New Roman" w:hAnsi="Times New Roman" w:eastAsia="方正小标宋简体" w:cs="方正小标宋简体"/>
          <w:b w:val="0"/>
          <w:color w:val="auto"/>
          <w:highlight w:val="none"/>
        </w:rPr>
      </w:pPr>
    </w:p>
    <w:p w14:paraId="56508941">
      <w:pPr>
        <w:rPr>
          <w:rFonts w:hint="eastAsia" w:ascii="Times New Roman" w:hAnsi="Times New Roman" w:eastAsia="方正小标宋简体" w:cs="方正小标宋简体"/>
          <w:b w:val="0"/>
          <w:color w:val="auto"/>
          <w:highlight w:val="none"/>
        </w:rPr>
      </w:pPr>
    </w:p>
    <w:p w14:paraId="6DD9E1ED">
      <w:pPr>
        <w:rPr>
          <w:rFonts w:hint="eastAsia" w:ascii="Times New Roman" w:hAnsi="Times New Roman" w:eastAsia="方正小标宋简体" w:cs="方正小标宋简体"/>
          <w:b w:val="0"/>
          <w:color w:val="auto"/>
          <w:highlight w:val="none"/>
        </w:rPr>
      </w:pPr>
    </w:p>
    <w:p w14:paraId="3E23AABE">
      <w:pPr>
        <w:rPr>
          <w:rFonts w:hint="eastAsia" w:ascii="Times New Roman" w:hAnsi="Times New Roman" w:eastAsia="方正小标宋简体" w:cs="方正小标宋简体"/>
          <w:b w:val="0"/>
          <w:color w:val="auto"/>
          <w:highlight w:val="none"/>
        </w:rPr>
      </w:pPr>
    </w:p>
    <w:p w14:paraId="1236E53A">
      <w:pPr>
        <w:pStyle w:val="3"/>
        <w:ind w:firstLine="440" w:firstLineChars="100"/>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14:paraId="5B40AAFA">
      <w:pPr>
        <w:rPr>
          <w:rFonts w:ascii="Times New Roman" w:hAnsi="Times New Roman"/>
          <w:color w:val="auto"/>
          <w:highlight w:val="none"/>
        </w:rPr>
      </w:pPr>
    </w:p>
    <w:p w14:paraId="1E18BE60">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hint="eastAsia" w:ascii="Times New Roman" w:hAnsi="Times New Roman" w:eastAsia="黑体"/>
          <w:b w:val="0"/>
          <w:color w:val="auto"/>
          <w:highlight w:val="none"/>
        </w:rPr>
      </w:pPr>
      <w:bookmarkStart w:id="10" w:name="_Toc15396603"/>
      <w:bookmarkStart w:id="1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7"/>
          <w:rFonts w:hint="eastAsia" w:ascii="Times New Roman" w:hAnsi="Times New Roman" w:eastAsia="黑体"/>
          <w:b w:val="0"/>
          <w:color w:val="auto"/>
          <w:highlight w:val="none"/>
        </w:rPr>
        <w:t>入支出决算总体情况说明</w:t>
      </w:r>
      <w:bookmarkEnd w:id="10"/>
      <w:bookmarkEnd w:id="11"/>
    </w:p>
    <w:p w14:paraId="091917AE">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5"/>
          <w:rFonts w:hint="eastAsia" w:ascii="仿宋_GB2312" w:hAnsi="Calibri" w:eastAsia="仿宋_GB2312" w:cs="Times New Roman"/>
          <w:b w:val="0"/>
          <w:bCs/>
          <w:color w:val="000000"/>
          <w:kern w:val="2"/>
          <w:sz w:val="32"/>
          <w:szCs w:val="32"/>
          <w:lang w:val="en-US" w:eastAsia="zh-CN" w:bidi="ar-SA"/>
        </w:rPr>
      </w:pPr>
      <w:r>
        <w:rPr>
          <w:rStyle w:val="15"/>
          <w:rFonts w:hint="eastAsia" w:ascii="仿宋_GB2312" w:hAnsi="Calibri" w:eastAsia="仿宋_GB2312" w:cs="Times New Roman"/>
          <w:b w:val="0"/>
          <w:bCs/>
          <w:color w:val="000000"/>
          <w:kern w:val="2"/>
          <w:sz w:val="32"/>
          <w:szCs w:val="32"/>
          <w:lang w:val="en-US" w:eastAsia="zh-CN" w:bidi="ar-SA"/>
        </w:rPr>
        <w:t>2025年度收、支总计均为168.93万元。与2024年度相比，收、支总计各减少23.8万元，下降12.35%，主要变动原因是：农林水支出其他水利支出减少。</w:t>
      </w:r>
    </w:p>
    <w:p w14:paraId="0C4438E0">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96604"/>
      <w:bookmarkStart w:id="13" w:name="_Toc15377206"/>
      <w:r>
        <w:rPr>
          <w:rStyle w:val="15"/>
          <w:rFonts w:hint="eastAsia" w:ascii="仿宋_GB2312" w:eastAsia="仿宋_GB2312" w:cs="Times New Roman"/>
          <w:b w:val="0"/>
          <w:bCs/>
          <w:color w:val="000000"/>
          <w:sz w:val="32"/>
          <w:szCs w:val="32"/>
          <w:lang w:val="en-US" w:eastAsia="zh-CN"/>
        </w:rPr>
        <w:drawing>
          <wp:anchor distT="0" distB="0" distL="114300" distR="114300" simplePos="0" relativeHeight="251659264" behindDoc="0" locked="0" layoutInCell="1" allowOverlap="1">
            <wp:simplePos x="0" y="0"/>
            <wp:positionH relativeFrom="column">
              <wp:posOffset>394970</wp:posOffset>
            </wp:positionH>
            <wp:positionV relativeFrom="paragraph">
              <wp:posOffset>21590</wp:posOffset>
            </wp:positionV>
            <wp:extent cx="4695190" cy="2988310"/>
            <wp:effectExtent l="5080" t="4445" r="508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黑体"/>
          <w:color w:val="auto"/>
          <w:sz w:val="32"/>
          <w:szCs w:val="32"/>
          <w:highlight w:val="none"/>
          <w:lang w:eastAsia="zh-CN"/>
        </w:rPr>
        <w:t>二、收入决算情况说明</w:t>
      </w:r>
      <w:bookmarkEnd w:id="12"/>
      <w:bookmarkEnd w:id="13"/>
    </w:p>
    <w:p w14:paraId="31E69C3D">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5"/>
          <w:rFonts w:hint="eastAsia" w:ascii="仿宋_GB2312" w:hAnsi="Calibri" w:eastAsia="仿宋_GB2312" w:cs="Times New Roman"/>
          <w:b w:val="0"/>
          <w:bCs/>
          <w:color w:val="000000"/>
          <w:kern w:val="2"/>
          <w:sz w:val="32"/>
          <w:szCs w:val="32"/>
          <w:lang w:val="en-US" w:eastAsia="zh-CN" w:bidi="ar-SA"/>
        </w:rPr>
      </w:pPr>
      <w:r>
        <w:rPr>
          <w:rStyle w:val="15"/>
          <w:rFonts w:hint="eastAsia" w:ascii="仿宋_GB2312" w:hAnsi="Calibri" w:eastAsia="仿宋_GB2312" w:cs="Times New Roman"/>
          <w:b w:val="0"/>
          <w:bCs/>
          <w:color w:val="000000"/>
          <w:kern w:val="2"/>
          <w:sz w:val="32"/>
          <w:szCs w:val="32"/>
          <w:lang w:val="en-US" w:eastAsia="zh-CN" w:bidi="ar-SA"/>
        </w:rPr>
        <w:drawing>
          <wp:anchor distT="0" distB="0" distL="114300" distR="114300" simplePos="0" relativeHeight="251660288" behindDoc="0" locked="0" layoutInCell="1" allowOverlap="1">
            <wp:simplePos x="0" y="0"/>
            <wp:positionH relativeFrom="column">
              <wp:posOffset>415925</wp:posOffset>
            </wp:positionH>
            <wp:positionV relativeFrom="paragraph">
              <wp:posOffset>866140</wp:posOffset>
            </wp:positionV>
            <wp:extent cx="4389120" cy="2312670"/>
            <wp:effectExtent l="4445" t="4445" r="6985" b="698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Style w:val="15"/>
          <w:rFonts w:hint="eastAsia" w:ascii="仿宋_GB2312" w:hAnsi="Calibri" w:eastAsia="仿宋_GB2312" w:cs="Times New Roman"/>
          <w:b w:val="0"/>
          <w:bCs/>
          <w:color w:val="000000"/>
          <w:kern w:val="2"/>
          <w:sz w:val="32"/>
          <w:szCs w:val="32"/>
          <w:lang w:val="en-US" w:eastAsia="zh-CN" w:bidi="ar-SA"/>
        </w:rPr>
        <w:t>2025年度本年收入合计168.93万元，其中：一般公共预算财政拨款收入168.93万元，占100%。</w:t>
      </w:r>
    </w:p>
    <w:p w14:paraId="1234ECFB">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hint="eastAsia" w:ascii="Times New Roman" w:hAnsi="Times New Roman" w:eastAsia="黑体"/>
          <w:b w:val="0"/>
          <w:color w:val="auto"/>
          <w:highlight w:val="none"/>
        </w:rPr>
      </w:pPr>
      <w:bookmarkStart w:id="14" w:name="_Toc15396605"/>
      <w:bookmarkStart w:id="1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7"/>
          <w:rFonts w:hint="eastAsia" w:ascii="Times New Roman" w:hAnsi="Times New Roman" w:eastAsia="黑体"/>
          <w:b w:val="0"/>
          <w:color w:val="auto"/>
          <w:highlight w:val="none"/>
        </w:rPr>
        <w:t>出决算情况说明</w:t>
      </w:r>
      <w:bookmarkEnd w:id="14"/>
      <w:bookmarkEnd w:id="15"/>
    </w:p>
    <w:p w14:paraId="20777F74">
      <w:pPr>
        <w:spacing w:line="600" w:lineRule="exact"/>
        <w:ind w:firstLine="640" w:firstLineChars="200"/>
        <w:outlineLvl w:val="1"/>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7A5255B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475480" cy="2826385"/>
            <wp:effectExtent l="4445" t="4445" r="15875" b="76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702F97">
      <w:pPr>
        <w:spacing w:line="600" w:lineRule="exact"/>
        <w:ind w:firstLine="640" w:firstLineChars="200"/>
        <w:outlineLvl w:val="1"/>
        <w:rPr>
          <w:rStyle w:val="17"/>
          <w:rFonts w:ascii="Times New Roman" w:hAnsi="Times New Roman" w:eastAsia="黑体"/>
          <w:b w:val="0"/>
          <w:color w:val="auto"/>
          <w:highlight w:val="none"/>
        </w:rPr>
      </w:pPr>
      <w:bookmarkStart w:id="16" w:name="_Toc15396606"/>
      <w:bookmarkStart w:id="17" w:name="_Toc15377208"/>
      <w:r>
        <w:rPr>
          <w:rFonts w:hint="eastAsia" w:ascii="Times New Roman" w:hAnsi="Times New Roman" w:eastAsia="黑体"/>
          <w:color w:val="auto"/>
          <w:sz w:val="32"/>
          <w:szCs w:val="32"/>
          <w:highlight w:val="none"/>
        </w:rPr>
        <w:t>四、财</w:t>
      </w:r>
      <w:r>
        <w:rPr>
          <w:rStyle w:val="17"/>
          <w:rFonts w:hint="eastAsia" w:ascii="Times New Roman" w:hAnsi="Times New Roman" w:eastAsia="黑体"/>
          <w:b w:val="0"/>
          <w:color w:val="auto"/>
          <w:highlight w:val="none"/>
        </w:rPr>
        <w:t>政拨款收入支出决算总体情况说明</w:t>
      </w:r>
      <w:bookmarkEnd w:id="16"/>
      <w:bookmarkEnd w:id="17"/>
    </w:p>
    <w:p w14:paraId="70A691D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337820</wp:posOffset>
            </wp:positionH>
            <wp:positionV relativeFrom="paragraph">
              <wp:posOffset>1242695</wp:posOffset>
            </wp:positionV>
            <wp:extent cx="4971415" cy="2921635"/>
            <wp:effectExtent l="4445" t="4445" r="15240" b="762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相比，财政拨款收、支总计各减少</w:t>
      </w:r>
      <w:r>
        <w:rPr>
          <w:rFonts w:hint="eastAsia" w:ascii="仿宋" w:hAnsi="仿宋" w:eastAsia="仿宋"/>
          <w:color w:val="auto"/>
          <w:sz w:val="32"/>
          <w:szCs w:val="32"/>
          <w:highlight w:val="none"/>
          <w:lang w:val="en-US" w:eastAsia="zh-CN"/>
        </w:rPr>
        <w:t>23.8</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12.35</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Style w:val="15"/>
          <w:rFonts w:hint="eastAsia" w:ascii="仿宋_GB2312" w:hAnsi="Calibri" w:eastAsia="仿宋_GB2312" w:cs="Times New Roman"/>
          <w:b w:val="0"/>
          <w:bCs/>
          <w:color w:val="000000"/>
          <w:sz w:val="32"/>
          <w:szCs w:val="32"/>
          <w:lang w:val="en-US" w:eastAsia="zh-CN"/>
        </w:rPr>
        <w:t>农林水支出其他水利支出</w:t>
      </w:r>
      <w:r>
        <w:rPr>
          <w:rStyle w:val="15"/>
          <w:rFonts w:hint="eastAsia" w:ascii="仿宋_GB2312" w:eastAsia="仿宋_GB2312" w:cs="Times New Roman"/>
          <w:b w:val="0"/>
          <w:bCs/>
          <w:color w:val="000000"/>
          <w:sz w:val="32"/>
          <w:szCs w:val="32"/>
          <w:lang w:val="en-US" w:eastAsia="zh-CN"/>
        </w:rPr>
        <w:t>减少</w:t>
      </w:r>
      <w:r>
        <w:rPr>
          <w:rFonts w:hint="eastAsia" w:ascii="仿宋" w:hAnsi="仿宋" w:eastAsia="仿宋"/>
          <w:color w:val="auto"/>
          <w:sz w:val="32"/>
          <w:szCs w:val="32"/>
          <w:highlight w:val="none"/>
          <w:lang w:eastAsia="zh-CN"/>
        </w:rPr>
        <w:t>。</w:t>
      </w:r>
    </w:p>
    <w:p w14:paraId="15BD4521">
      <w:pPr>
        <w:spacing w:line="600" w:lineRule="exact"/>
        <w:ind w:firstLine="640" w:firstLineChars="200"/>
        <w:outlineLvl w:val="1"/>
        <w:rPr>
          <w:rStyle w:val="17"/>
          <w:rFonts w:ascii="Times New Roman" w:hAnsi="Times New Roman" w:eastAsia="黑体"/>
          <w:b w:val="0"/>
          <w:color w:val="auto"/>
          <w:highlight w:val="none"/>
        </w:rPr>
      </w:pPr>
      <w:bookmarkStart w:id="18" w:name="_Toc15377209"/>
      <w:bookmarkStart w:id="1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7"/>
          <w:rFonts w:hint="eastAsia" w:ascii="Times New Roman" w:hAnsi="Times New Roman" w:eastAsia="黑体"/>
          <w:b w:val="0"/>
          <w:color w:val="auto"/>
          <w:highlight w:val="none"/>
        </w:rPr>
        <w:t>般公共预算财政拨款支出决算情况说明</w:t>
      </w:r>
      <w:bookmarkEnd w:id="18"/>
      <w:bookmarkEnd w:id="19"/>
    </w:p>
    <w:p w14:paraId="0E53FEA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7D84B0F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减少</w:t>
      </w:r>
      <w:r>
        <w:rPr>
          <w:rFonts w:hint="eastAsia" w:ascii="仿宋" w:hAnsi="仿宋" w:eastAsia="仿宋"/>
          <w:color w:val="auto"/>
          <w:sz w:val="32"/>
          <w:szCs w:val="32"/>
          <w:highlight w:val="none"/>
          <w:lang w:val="en-US" w:eastAsia="zh-CN"/>
        </w:rPr>
        <w:t>23.8</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12.35</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Style w:val="15"/>
          <w:rFonts w:hint="eastAsia" w:ascii="仿宋_GB2312" w:hAnsi="Calibri" w:eastAsia="仿宋_GB2312" w:cs="Times New Roman"/>
          <w:b w:val="0"/>
          <w:bCs/>
          <w:color w:val="000000"/>
          <w:sz w:val="32"/>
          <w:szCs w:val="32"/>
          <w:lang w:val="en-US" w:eastAsia="zh-CN"/>
        </w:rPr>
        <w:t>农林水支出其他水利支出</w:t>
      </w:r>
      <w:r>
        <w:rPr>
          <w:rStyle w:val="15"/>
          <w:rFonts w:hint="eastAsia" w:ascii="仿宋_GB2312" w:eastAsia="仿宋_GB2312" w:cs="Times New Roman"/>
          <w:b w:val="0"/>
          <w:bCs/>
          <w:color w:val="000000"/>
          <w:sz w:val="32"/>
          <w:szCs w:val="32"/>
          <w:lang w:val="en-US" w:eastAsia="zh-CN"/>
        </w:rPr>
        <w:t>减少</w:t>
      </w:r>
      <w:r>
        <w:rPr>
          <w:rFonts w:hint="eastAsia" w:ascii="仿宋" w:hAnsi="仿宋" w:eastAsia="仿宋"/>
          <w:color w:val="auto"/>
          <w:sz w:val="32"/>
          <w:szCs w:val="32"/>
          <w:highlight w:val="none"/>
          <w:lang w:eastAsia="zh-CN"/>
        </w:rPr>
        <w:t>。</w:t>
      </w:r>
    </w:p>
    <w:p w14:paraId="690C3F8D">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296545</wp:posOffset>
            </wp:positionH>
            <wp:positionV relativeFrom="paragraph">
              <wp:posOffset>109220</wp:posOffset>
            </wp:positionV>
            <wp:extent cx="4552950" cy="2865120"/>
            <wp:effectExtent l="4445" t="4445" r="14605" b="69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1369F867">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125.76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74.44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21.59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12.78</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8.83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5.23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12.75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7.55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0980E401">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仿宋" w:hAnsi="仿宋" w:eastAsia="仿宋"/>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231140</wp:posOffset>
            </wp:positionH>
            <wp:positionV relativeFrom="page">
              <wp:posOffset>1023620</wp:posOffset>
            </wp:positionV>
            <wp:extent cx="5064760" cy="3055620"/>
            <wp:effectExtent l="4445" t="4445" r="17145" b="698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53223C1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lang w:eastAsia="zh-CN"/>
        </w:rPr>
        <w:t>年度一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168.93万元</w:t>
      </w:r>
      <w:r>
        <w:rPr>
          <w:rFonts w:hint="eastAsia" w:ascii="仿宋" w:hAnsi="仿宋" w:eastAsia="仿宋"/>
          <w:color w:val="auto"/>
          <w:sz w:val="32"/>
          <w:szCs w:val="32"/>
          <w:highlight w:val="none"/>
        </w:rPr>
        <w:t>，</w:t>
      </w:r>
      <w:r>
        <w:rPr>
          <w:rStyle w:val="15"/>
          <w:rFonts w:hint="eastAsia" w:ascii="仿宋" w:hAnsi="仿宋" w:eastAsia="仿宋"/>
          <w:bCs/>
          <w:color w:val="auto"/>
          <w:sz w:val="32"/>
          <w:szCs w:val="32"/>
          <w:highlight w:val="none"/>
        </w:rPr>
        <w:t>完成预算</w:t>
      </w:r>
      <w:r>
        <w:rPr>
          <w:rStyle w:val="15"/>
          <w:rFonts w:hint="eastAsia" w:ascii="仿宋" w:hAnsi="仿宋" w:eastAsia="仿宋"/>
          <w:bCs/>
          <w:color w:val="auto"/>
          <w:sz w:val="32"/>
          <w:szCs w:val="32"/>
          <w:highlight w:val="none"/>
          <w:lang w:val="en-US" w:eastAsia="zh-CN"/>
        </w:rPr>
        <w:t>100</w:t>
      </w:r>
      <w:r>
        <w:rPr>
          <w:rStyle w:val="15"/>
          <w:rFonts w:ascii="仿宋" w:hAnsi="仿宋" w:eastAsia="仿宋"/>
          <w:bCs/>
          <w:color w:val="auto"/>
          <w:sz w:val="32"/>
          <w:szCs w:val="32"/>
          <w:highlight w:val="none"/>
        </w:rPr>
        <w:t>%</w:t>
      </w:r>
      <w:r>
        <w:rPr>
          <w:rStyle w:val="15"/>
          <w:rFonts w:hint="eastAsia" w:ascii="仿宋" w:hAnsi="仿宋" w:eastAsia="仿宋"/>
          <w:bCs/>
          <w:color w:val="auto"/>
          <w:sz w:val="32"/>
          <w:szCs w:val="32"/>
          <w:highlight w:val="none"/>
        </w:rPr>
        <w:t>。其中：</w:t>
      </w:r>
    </w:p>
    <w:p w14:paraId="4C7A6434">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Style w:val="15"/>
          <w:rFonts w:ascii="仿宋" w:hAnsi="仿宋" w:eastAsia="仿宋"/>
          <w:bCs/>
          <w:color w:val="auto"/>
          <w:sz w:val="32"/>
          <w:szCs w:val="32"/>
          <w:highlight w:val="none"/>
        </w:rPr>
        <w:t>1.</w:t>
      </w:r>
      <w:r>
        <w:rPr>
          <w:rStyle w:val="15"/>
          <w:rFonts w:hint="eastAsia" w:ascii="仿宋" w:hAnsi="仿宋" w:eastAsia="仿宋"/>
          <w:bCs/>
          <w:color w:val="auto"/>
          <w:sz w:val="32"/>
          <w:szCs w:val="32"/>
          <w:highlight w:val="none"/>
        </w:rPr>
        <w:t>一般公共服务</w:t>
      </w:r>
      <w:r>
        <w:rPr>
          <w:rStyle w:val="15"/>
          <w:rFonts w:hint="eastAsia" w:ascii="仿宋" w:hAnsi="仿宋" w:eastAsia="仿宋"/>
          <w:bCs/>
          <w:color w:val="auto"/>
          <w:sz w:val="32"/>
          <w:szCs w:val="32"/>
          <w:highlight w:val="none"/>
          <w:lang w:eastAsia="zh-CN"/>
        </w:rPr>
        <w:t>支出</w:t>
      </w:r>
      <w:r>
        <w:rPr>
          <w:rStyle w:val="15"/>
          <w:rFonts w:hint="eastAsia" w:ascii="仿宋" w:hAnsi="仿宋" w:eastAsia="仿宋"/>
          <w:bCs/>
          <w:color w:val="auto"/>
          <w:sz w:val="32"/>
          <w:szCs w:val="32"/>
          <w:highlight w:val="none"/>
        </w:rPr>
        <w:t>（</w:t>
      </w:r>
      <w:r>
        <w:rPr>
          <w:rStyle w:val="15"/>
          <w:rFonts w:hint="eastAsia" w:ascii="仿宋" w:hAnsi="仿宋" w:eastAsia="仿宋"/>
          <w:bCs/>
          <w:color w:val="auto"/>
          <w:sz w:val="32"/>
          <w:szCs w:val="32"/>
          <w:highlight w:val="none"/>
          <w:lang w:val="en-US" w:eastAsia="zh-CN"/>
        </w:rPr>
        <w:t>类</w:t>
      </w:r>
      <w:r>
        <w:rPr>
          <w:rStyle w:val="15"/>
          <w:rFonts w:hint="eastAsia" w:ascii="仿宋" w:hAnsi="仿宋" w:eastAsia="仿宋"/>
          <w:bCs/>
          <w:color w:val="auto"/>
          <w:sz w:val="32"/>
          <w:szCs w:val="32"/>
          <w:highlight w:val="none"/>
        </w:rPr>
        <w:t>）</w:t>
      </w:r>
      <w:r>
        <w:rPr>
          <w:rStyle w:val="15"/>
          <w:rFonts w:hint="eastAsia" w:ascii="仿宋" w:hAnsi="仿宋" w:eastAsia="仿宋"/>
          <w:bCs/>
          <w:color w:val="auto"/>
          <w:sz w:val="32"/>
          <w:szCs w:val="32"/>
          <w:highlight w:val="none"/>
          <w:lang w:eastAsia="zh-CN"/>
        </w:rPr>
        <w:t>商贸事务</w:t>
      </w:r>
      <w:r>
        <w:rPr>
          <w:rStyle w:val="15"/>
          <w:rFonts w:hint="eastAsia" w:ascii="仿宋" w:hAnsi="仿宋" w:eastAsia="仿宋"/>
          <w:bCs/>
          <w:color w:val="auto"/>
          <w:sz w:val="32"/>
          <w:szCs w:val="32"/>
          <w:highlight w:val="none"/>
        </w:rPr>
        <w:t>（</w:t>
      </w:r>
      <w:r>
        <w:rPr>
          <w:rStyle w:val="15"/>
          <w:rFonts w:hint="eastAsia" w:ascii="仿宋" w:hAnsi="仿宋" w:eastAsia="仿宋"/>
          <w:bCs/>
          <w:color w:val="auto"/>
          <w:sz w:val="32"/>
          <w:szCs w:val="32"/>
          <w:highlight w:val="none"/>
          <w:lang w:val="en-US" w:eastAsia="zh-CN"/>
        </w:rPr>
        <w:t>款</w:t>
      </w:r>
      <w:r>
        <w:rPr>
          <w:rStyle w:val="15"/>
          <w:rFonts w:hint="eastAsia" w:ascii="仿宋" w:hAnsi="仿宋" w:eastAsia="仿宋"/>
          <w:bCs/>
          <w:color w:val="auto"/>
          <w:sz w:val="32"/>
          <w:szCs w:val="32"/>
          <w:highlight w:val="none"/>
        </w:rPr>
        <w:t>）</w:t>
      </w:r>
      <w:r>
        <w:rPr>
          <w:rStyle w:val="15"/>
          <w:rFonts w:hint="eastAsia" w:ascii="仿宋" w:hAnsi="仿宋" w:eastAsia="仿宋"/>
          <w:bCs/>
          <w:color w:val="auto"/>
          <w:sz w:val="32"/>
          <w:szCs w:val="32"/>
          <w:highlight w:val="none"/>
          <w:lang w:eastAsia="zh-CN"/>
        </w:rPr>
        <w:t>事业运行</w:t>
      </w:r>
      <w:r>
        <w:rPr>
          <w:rStyle w:val="15"/>
          <w:rFonts w:hint="eastAsia" w:ascii="仿宋" w:hAnsi="仿宋" w:eastAsia="仿宋"/>
          <w:bCs/>
          <w:color w:val="auto"/>
          <w:sz w:val="32"/>
          <w:szCs w:val="32"/>
          <w:highlight w:val="none"/>
        </w:rPr>
        <w:t>（</w:t>
      </w:r>
      <w:r>
        <w:rPr>
          <w:rStyle w:val="15"/>
          <w:rFonts w:hint="eastAsia" w:ascii="仿宋" w:hAnsi="仿宋" w:eastAsia="仿宋"/>
          <w:bCs/>
          <w:color w:val="auto"/>
          <w:sz w:val="32"/>
          <w:szCs w:val="32"/>
          <w:highlight w:val="none"/>
          <w:lang w:val="en-US" w:eastAsia="zh-CN"/>
        </w:rPr>
        <w:t>项</w:t>
      </w:r>
      <w:r>
        <w:rPr>
          <w:rStyle w:val="15"/>
          <w:rFonts w:hint="eastAsia" w:ascii="仿宋" w:hAnsi="仿宋" w:eastAsia="仿宋"/>
          <w:bCs/>
          <w:color w:val="auto"/>
          <w:sz w:val="32"/>
          <w:szCs w:val="32"/>
          <w:highlight w:val="none"/>
        </w:rPr>
        <w:t>）</w:t>
      </w:r>
      <w:r>
        <w:rPr>
          <w:rStyle w:val="15"/>
          <w:rFonts w:ascii="仿宋" w:hAnsi="仿宋" w:eastAsia="仿宋"/>
          <w:bCs/>
          <w:color w:val="auto"/>
          <w:sz w:val="32"/>
          <w:szCs w:val="32"/>
          <w:highlight w:val="none"/>
        </w:rPr>
        <w:t>:</w:t>
      </w:r>
      <w:r>
        <w:rPr>
          <w:rStyle w:val="15"/>
          <w:rFonts w:ascii="仿宋" w:hAnsi="仿宋" w:eastAsia="仿宋"/>
          <w:b w:val="0"/>
          <w:bCs/>
          <w:color w:val="auto"/>
          <w:sz w:val="32"/>
          <w:szCs w:val="32"/>
          <w:highlight w:val="none"/>
        </w:rPr>
        <w:t xml:space="preserve"> </w:t>
      </w:r>
      <w:r>
        <w:rPr>
          <w:rStyle w:val="15"/>
          <w:rFonts w:hint="eastAsia" w:ascii="仿宋" w:hAnsi="仿宋" w:eastAsia="仿宋"/>
          <w:b w:val="0"/>
          <w:bCs/>
          <w:color w:val="auto"/>
          <w:sz w:val="32"/>
          <w:szCs w:val="32"/>
          <w:highlight w:val="none"/>
        </w:rPr>
        <w:t>支出决算为</w:t>
      </w:r>
      <w:r>
        <w:rPr>
          <w:rStyle w:val="15"/>
          <w:rFonts w:hint="eastAsia" w:ascii="仿宋" w:hAnsi="仿宋" w:eastAsia="仿宋"/>
          <w:b w:val="0"/>
          <w:bCs/>
          <w:color w:val="auto"/>
          <w:sz w:val="32"/>
          <w:szCs w:val="32"/>
          <w:highlight w:val="none"/>
          <w:lang w:val="en-US" w:eastAsia="zh-CN"/>
        </w:rPr>
        <w:t>125.76</w:t>
      </w:r>
      <w:r>
        <w:rPr>
          <w:rStyle w:val="15"/>
          <w:rFonts w:hint="eastAsia" w:ascii="仿宋" w:hAnsi="仿宋" w:eastAsia="仿宋"/>
          <w:b w:val="0"/>
          <w:bCs/>
          <w:color w:val="auto"/>
          <w:sz w:val="32"/>
          <w:szCs w:val="32"/>
          <w:highlight w:val="none"/>
        </w:rPr>
        <w:t>万元，完成预算</w:t>
      </w:r>
      <w:r>
        <w:rPr>
          <w:rStyle w:val="15"/>
          <w:rFonts w:hint="eastAsia" w:ascii="仿宋" w:hAnsi="仿宋" w:eastAsia="仿宋"/>
          <w:b w:val="0"/>
          <w:bCs/>
          <w:color w:val="auto"/>
          <w:sz w:val="32"/>
          <w:szCs w:val="32"/>
          <w:highlight w:val="none"/>
          <w:lang w:val="en-US" w:eastAsia="zh-CN"/>
        </w:rPr>
        <w:t>100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default" w:ascii="Times New Roman" w:hAnsi="Times New Roman" w:eastAsia="仿宋_GB2312" w:cs="Times New Roman"/>
          <w:color w:val="000000"/>
          <w:sz w:val="32"/>
          <w:szCs w:val="32"/>
          <w:lang w:val="en-US" w:eastAsia="zh-CN"/>
        </w:rPr>
        <w:t>决算数与预算数持平</w:t>
      </w:r>
      <w:r>
        <w:rPr>
          <w:rFonts w:hint="default" w:ascii="Times New Roman" w:hAnsi="Times New Roman" w:eastAsia="仿宋_GB2312" w:cs="Times New Roman"/>
          <w:color w:val="000000"/>
          <w:sz w:val="32"/>
          <w:szCs w:val="32"/>
        </w:rPr>
        <w:t>。</w:t>
      </w:r>
    </w:p>
    <w:p w14:paraId="2710D89D">
      <w:pPr>
        <w:pageBreakBefore w:val="0"/>
        <w:widowControl w:val="0"/>
        <w:suppressAutoHyphens/>
        <w:kinsoku/>
        <w:wordWrap/>
        <w:overflowPunct/>
        <w:topLinePunct w:val="0"/>
        <w:autoSpaceDE/>
        <w:autoSpaceDN/>
        <w:bidi w:val="0"/>
        <w:adjustRightInd/>
        <w:snapToGrid/>
        <w:spacing w:line="576" w:lineRule="exact"/>
        <w:ind w:firstLine="640"/>
        <w:textAlignment w:val="auto"/>
        <w:rPr>
          <w:rStyle w:val="15"/>
          <w:rFonts w:hint="eastAsia" w:ascii="仿宋_GB2312" w:hAnsi="Calibri" w:eastAsia="仿宋_GB2312" w:cs="Times New Roman"/>
          <w:b w:val="0"/>
          <w:bCs/>
          <w:color w:val="000000"/>
          <w:sz w:val="32"/>
          <w:szCs w:val="32"/>
          <w:lang w:val="en-US" w:eastAsia="zh-CN"/>
        </w:rPr>
      </w:pPr>
      <w:r>
        <w:rPr>
          <w:rStyle w:val="15"/>
          <w:rFonts w:hint="eastAsia" w:ascii="仿宋_GB2312" w:hAnsi="Calibri" w:eastAsia="仿宋_GB2312" w:cs="Times New Roman"/>
          <w:b/>
          <w:bCs w:val="0"/>
          <w:color w:val="000000"/>
          <w:sz w:val="32"/>
          <w:szCs w:val="32"/>
          <w:lang w:val="en-US" w:eastAsia="zh-CN"/>
        </w:rPr>
        <w:t>2.社会保障和就业支出（</w:t>
      </w:r>
      <w:r>
        <w:rPr>
          <w:rStyle w:val="15"/>
          <w:rFonts w:hint="eastAsia" w:ascii="仿宋" w:hAnsi="仿宋" w:eastAsia="仿宋"/>
          <w:bCs/>
          <w:color w:val="auto"/>
          <w:sz w:val="32"/>
          <w:szCs w:val="32"/>
          <w:highlight w:val="none"/>
          <w:lang w:val="en-US" w:eastAsia="zh-CN"/>
        </w:rPr>
        <w:t>类</w:t>
      </w:r>
      <w:r>
        <w:rPr>
          <w:rStyle w:val="15"/>
          <w:rFonts w:hint="eastAsia" w:ascii="仿宋_GB2312" w:hAnsi="Calibri" w:eastAsia="仿宋_GB2312" w:cs="Times New Roman"/>
          <w:b/>
          <w:bCs w:val="0"/>
          <w:color w:val="000000"/>
          <w:sz w:val="32"/>
          <w:szCs w:val="32"/>
          <w:lang w:val="en-US" w:eastAsia="zh-CN"/>
        </w:rPr>
        <w:t>）行政事业单位养老支出（</w:t>
      </w:r>
      <w:r>
        <w:rPr>
          <w:rStyle w:val="15"/>
          <w:rFonts w:hint="eastAsia" w:ascii="仿宋" w:hAnsi="仿宋" w:eastAsia="仿宋"/>
          <w:bCs/>
          <w:color w:val="auto"/>
          <w:sz w:val="32"/>
          <w:szCs w:val="32"/>
          <w:highlight w:val="none"/>
          <w:lang w:val="en-US" w:eastAsia="zh-CN"/>
        </w:rPr>
        <w:t>款</w:t>
      </w:r>
      <w:r>
        <w:rPr>
          <w:rStyle w:val="15"/>
          <w:rFonts w:hint="eastAsia" w:ascii="仿宋_GB2312" w:hAnsi="Calibri" w:eastAsia="仿宋_GB2312" w:cs="Times New Roman"/>
          <w:b/>
          <w:bCs w:val="0"/>
          <w:color w:val="000000"/>
          <w:sz w:val="32"/>
          <w:szCs w:val="32"/>
          <w:lang w:val="en-US" w:eastAsia="zh-CN"/>
        </w:rPr>
        <w:t>）机关事业单位基本养老保险缴费支出（</w:t>
      </w:r>
      <w:r>
        <w:rPr>
          <w:rStyle w:val="15"/>
          <w:rFonts w:hint="eastAsia" w:ascii="仿宋" w:hAnsi="仿宋" w:eastAsia="仿宋"/>
          <w:bCs/>
          <w:color w:val="auto"/>
          <w:sz w:val="32"/>
          <w:szCs w:val="32"/>
          <w:highlight w:val="none"/>
          <w:lang w:val="en-US" w:eastAsia="zh-CN"/>
        </w:rPr>
        <w:t>项</w:t>
      </w:r>
      <w:r>
        <w:rPr>
          <w:rStyle w:val="15"/>
          <w:rFonts w:hint="eastAsia" w:ascii="仿宋_GB2312" w:hAnsi="Calibri" w:eastAsia="仿宋_GB2312" w:cs="Times New Roman"/>
          <w:b/>
          <w:bCs w:val="0"/>
          <w:color w:val="000000"/>
          <w:sz w:val="32"/>
          <w:szCs w:val="32"/>
          <w:lang w:val="en-US" w:eastAsia="zh-CN"/>
        </w:rPr>
        <w:t>）</w:t>
      </w:r>
      <w:r>
        <w:rPr>
          <w:rStyle w:val="15"/>
          <w:rFonts w:hint="eastAsia" w:ascii="仿宋_GB2312" w:hAnsi="Calibri" w:eastAsia="仿宋_GB2312" w:cs="Times New Roman"/>
          <w:b w:val="0"/>
          <w:bCs/>
          <w:color w:val="000000"/>
          <w:sz w:val="32"/>
          <w:szCs w:val="32"/>
          <w:lang w:val="en-US" w:eastAsia="zh-CN"/>
        </w:rPr>
        <w:t>：支出决算为</w:t>
      </w:r>
      <w:r>
        <w:rPr>
          <w:rStyle w:val="15"/>
          <w:rFonts w:hint="eastAsia" w:ascii="仿宋_GB2312" w:eastAsia="仿宋_GB2312" w:cs="Times New Roman"/>
          <w:b w:val="0"/>
          <w:bCs/>
          <w:color w:val="000000"/>
          <w:sz w:val="32"/>
          <w:szCs w:val="32"/>
          <w:lang w:val="en-US" w:eastAsia="zh-CN"/>
        </w:rPr>
        <w:t>14.39</w:t>
      </w:r>
      <w:r>
        <w:rPr>
          <w:rStyle w:val="15"/>
          <w:rFonts w:hint="eastAsia" w:ascii="仿宋_GB2312" w:hAnsi="Calibri" w:eastAsia="仿宋_GB2312" w:cs="Times New Roman"/>
          <w:b w:val="0"/>
          <w:bCs/>
          <w:color w:val="000000"/>
          <w:sz w:val="32"/>
          <w:szCs w:val="32"/>
          <w:lang w:val="en-US" w:eastAsia="zh-CN"/>
        </w:rPr>
        <w:t>万元，完成预算100%，</w:t>
      </w:r>
      <w:r>
        <w:rPr>
          <w:rFonts w:hint="default" w:ascii="Times New Roman" w:hAnsi="Times New Roman" w:eastAsia="仿宋_GB2312" w:cs="Times New Roman"/>
          <w:color w:val="000000"/>
          <w:sz w:val="32"/>
          <w:szCs w:val="32"/>
          <w:lang w:val="en-US" w:eastAsia="zh-CN"/>
        </w:rPr>
        <w:t>决算数与预算数持平</w:t>
      </w:r>
      <w:r>
        <w:rPr>
          <w:rFonts w:hint="default" w:ascii="Times New Roman" w:hAnsi="Times New Roman" w:eastAsia="仿宋_GB2312" w:cs="Times New Roman"/>
          <w:color w:val="000000"/>
          <w:sz w:val="32"/>
          <w:szCs w:val="32"/>
        </w:rPr>
        <w:t>。</w:t>
      </w:r>
    </w:p>
    <w:p w14:paraId="48384FAB">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Style w:val="15"/>
          <w:rFonts w:hint="eastAsia" w:ascii="仿宋_GB2312" w:hAnsi="Calibri" w:eastAsia="仿宋_GB2312" w:cs="Times New Roman"/>
          <w:b/>
          <w:bCs w:val="0"/>
          <w:color w:val="000000"/>
          <w:sz w:val="32"/>
          <w:szCs w:val="32"/>
          <w:lang w:val="en-US" w:eastAsia="zh-CN"/>
        </w:rPr>
        <w:t>3.社会保障和就业支出（</w:t>
      </w:r>
      <w:r>
        <w:rPr>
          <w:rStyle w:val="15"/>
          <w:rFonts w:hint="eastAsia" w:ascii="仿宋" w:hAnsi="仿宋" w:eastAsia="仿宋"/>
          <w:bCs/>
          <w:color w:val="auto"/>
          <w:sz w:val="32"/>
          <w:szCs w:val="32"/>
          <w:highlight w:val="none"/>
          <w:lang w:val="en-US" w:eastAsia="zh-CN"/>
        </w:rPr>
        <w:t>类</w:t>
      </w:r>
      <w:r>
        <w:rPr>
          <w:rStyle w:val="15"/>
          <w:rFonts w:hint="eastAsia" w:ascii="仿宋_GB2312" w:hAnsi="Calibri" w:eastAsia="仿宋_GB2312" w:cs="Times New Roman"/>
          <w:b/>
          <w:bCs w:val="0"/>
          <w:color w:val="000000"/>
          <w:sz w:val="32"/>
          <w:szCs w:val="32"/>
          <w:lang w:val="en-US" w:eastAsia="zh-CN"/>
        </w:rPr>
        <w:t>）行政事业单位养老支出（</w:t>
      </w:r>
      <w:r>
        <w:rPr>
          <w:rStyle w:val="15"/>
          <w:rFonts w:hint="eastAsia" w:ascii="仿宋" w:hAnsi="仿宋" w:eastAsia="仿宋"/>
          <w:bCs/>
          <w:color w:val="auto"/>
          <w:sz w:val="32"/>
          <w:szCs w:val="32"/>
          <w:highlight w:val="none"/>
          <w:lang w:val="en-US" w:eastAsia="zh-CN"/>
        </w:rPr>
        <w:t>款</w:t>
      </w:r>
      <w:r>
        <w:rPr>
          <w:rStyle w:val="15"/>
          <w:rFonts w:hint="eastAsia" w:ascii="仿宋_GB2312" w:hAnsi="Calibri" w:eastAsia="仿宋_GB2312" w:cs="Times New Roman"/>
          <w:b/>
          <w:bCs w:val="0"/>
          <w:color w:val="000000"/>
          <w:sz w:val="32"/>
          <w:szCs w:val="32"/>
          <w:lang w:val="en-US" w:eastAsia="zh-CN"/>
        </w:rPr>
        <w:t>）机关事业单位职业年金缴费支出（</w:t>
      </w:r>
      <w:r>
        <w:rPr>
          <w:rStyle w:val="15"/>
          <w:rFonts w:hint="eastAsia" w:ascii="仿宋" w:hAnsi="仿宋" w:eastAsia="仿宋"/>
          <w:bCs/>
          <w:color w:val="auto"/>
          <w:sz w:val="32"/>
          <w:szCs w:val="32"/>
          <w:highlight w:val="none"/>
          <w:lang w:val="en-US" w:eastAsia="zh-CN"/>
        </w:rPr>
        <w:t>项</w:t>
      </w:r>
      <w:r>
        <w:rPr>
          <w:rStyle w:val="15"/>
          <w:rFonts w:hint="eastAsia" w:ascii="仿宋_GB2312" w:hAnsi="Calibri" w:eastAsia="仿宋_GB2312" w:cs="Times New Roman"/>
          <w:b/>
          <w:bCs w:val="0"/>
          <w:color w:val="000000"/>
          <w:sz w:val="32"/>
          <w:szCs w:val="32"/>
          <w:lang w:val="en-US" w:eastAsia="zh-CN"/>
        </w:rPr>
        <w:t>）</w:t>
      </w:r>
      <w:r>
        <w:rPr>
          <w:rStyle w:val="15"/>
          <w:rFonts w:hint="eastAsia" w:ascii="仿宋_GB2312" w:hAnsi="Calibri" w:eastAsia="仿宋_GB2312" w:cs="Times New Roman"/>
          <w:b w:val="0"/>
          <w:bCs/>
          <w:color w:val="000000"/>
          <w:sz w:val="32"/>
          <w:szCs w:val="32"/>
          <w:lang w:val="en-US" w:eastAsia="zh-CN"/>
        </w:rPr>
        <w:t>：支出决算为</w:t>
      </w:r>
      <w:r>
        <w:rPr>
          <w:rStyle w:val="15"/>
          <w:rFonts w:hint="eastAsia" w:ascii="仿宋_GB2312" w:eastAsia="仿宋_GB2312" w:cs="Times New Roman"/>
          <w:b w:val="0"/>
          <w:bCs/>
          <w:color w:val="000000"/>
          <w:sz w:val="32"/>
          <w:szCs w:val="32"/>
          <w:lang w:val="en-US" w:eastAsia="zh-CN"/>
        </w:rPr>
        <w:t>7.2</w:t>
      </w:r>
      <w:r>
        <w:rPr>
          <w:rStyle w:val="15"/>
          <w:rFonts w:hint="eastAsia" w:ascii="仿宋_GB2312" w:hAnsi="Calibri" w:eastAsia="仿宋_GB2312" w:cs="Times New Roman"/>
          <w:b w:val="0"/>
          <w:bCs/>
          <w:color w:val="000000"/>
          <w:sz w:val="32"/>
          <w:szCs w:val="32"/>
          <w:lang w:val="en-US" w:eastAsia="zh-CN"/>
        </w:rPr>
        <w:t>万元，完成预算100%，</w:t>
      </w:r>
      <w:r>
        <w:rPr>
          <w:rFonts w:hint="default" w:ascii="Times New Roman" w:hAnsi="Times New Roman" w:eastAsia="仿宋_GB2312" w:cs="Times New Roman"/>
          <w:color w:val="000000"/>
          <w:sz w:val="32"/>
          <w:szCs w:val="32"/>
          <w:lang w:val="en-US" w:eastAsia="zh-CN"/>
        </w:rPr>
        <w:t>决算数与预算数持平</w:t>
      </w:r>
      <w:r>
        <w:rPr>
          <w:rFonts w:hint="default" w:ascii="Times New Roman" w:hAnsi="Times New Roman" w:eastAsia="仿宋_GB2312" w:cs="Times New Roman"/>
          <w:color w:val="000000"/>
          <w:sz w:val="32"/>
          <w:szCs w:val="32"/>
        </w:rPr>
        <w:t>。</w:t>
      </w:r>
    </w:p>
    <w:p w14:paraId="03526427">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Style w:val="15"/>
          <w:rFonts w:hint="eastAsia" w:ascii="仿宋_GB2312" w:hAnsi="Calibri" w:eastAsia="仿宋_GB2312" w:cs="Times New Roman"/>
          <w:b/>
          <w:bCs w:val="0"/>
          <w:color w:val="000000"/>
          <w:sz w:val="32"/>
          <w:szCs w:val="32"/>
          <w:lang w:val="en-US" w:eastAsia="zh-CN"/>
        </w:rPr>
        <w:t>4.卫生健康支出（</w:t>
      </w:r>
      <w:r>
        <w:rPr>
          <w:rStyle w:val="15"/>
          <w:rFonts w:hint="eastAsia" w:ascii="仿宋" w:hAnsi="仿宋" w:eastAsia="仿宋"/>
          <w:bCs/>
          <w:color w:val="auto"/>
          <w:sz w:val="32"/>
          <w:szCs w:val="32"/>
          <w:highlight w:val="none"/>
          <w:lang w:val="en-US" w:eastAsia="zh-CN"/>
        </w:rPr>
        <w:t>类</w:t>
      </w:r>
      <w:r>
        <w:rPr>
          <w:rStyle w:val="15"/>
          <w:rFonts w:hint="eastAsia" w:ascii="仿宋_GB2312" w:hAnsi="Calibri" w:eastAsia="仿宋_GB2312" w:cs="Times New Roman"/>
          <w:b/>
          <w:bCs w:val="0"/>
          <w:color w:val="000000"/>
          <w:sz w:val="32"/>
          <w:szCs w:val="32"/>
          <w:lang w:val="en-US" w:eastAsia="zh-CN"/>
        </w:rPr>
        <w:t>）行政事业单位医疗（</w:t>
      </w:r>
      <w:r>
        <w:rPr>
          <w:rStyle w:val="15"/>
          <w:rFonts w:hint="eastAsia" w:ascii="仿宋" w:hAnsi="仿宋" w:eastAsia="仿宋"/>
          <w:bCs/>
          <w:color w:val="auto"/>
          <w:sz w:val="32"/>
          <w:szCs w:val="32"/>
          <w:highlight w:val="none"/>
          <w:lang w:val="en-US" w:eastAsia="zh-CN"/>
        </w:rPr>
        <w:t>款</w:t>
      </w:r>
      <w:r>
        <w:rPr>
          <w:rStyle w:val="15"/>
          <w:rFonts w:hint="eastAsia" w:ascii="仿宋_GB2312" w:hAnsi="Calibri" w:eastAsia="仿宋_GB2312" w:cs="Times New Roman"/>
          <w:b/>
          <w:bCs w:val="0"/>
          <w:color w:val="000000"/>
          <w:sz w:val="32"/>
          <w:szCs w:val="32"/>
          <w:lang w:val="en-US" w:eastAsia="zh-CN"/>
        </w:rPr>
        <w:t>）事业单位医疗（</w:t>
      </w:r>
      <w:r>
        <w:rPr>
          <w:rStyle w:val="15"/>
          <w:rFonts w:hint="eastAsia" w:ascii="仿宋" w:hAnsi="仿宋" w:eastAsia="仿宋"/>
          <w:bCs/>
          <w:color w:val="auto"/>
          <w:sz w:val="32"/>
          <w:szCs w:val="32"/>
          <w:highlight w:val="none"/>
          <w:lang w:val="en-US" w:eastAsia="zh-CN"/>
        </w:rPr>
        <w:t>项</w:t>
      </w:r>
      <w:r>
        <w:rPr>
          <w:rStyle w:val="15"/>
          <w:rFonts w:hint="eastAsia" w:ascii="仿宋_GB2312" w:hAnsi="Calibri" w:eastAsia="仿宋_GB2312" w:cs="Times New Roman"/>
          <w:b/>
          <w:bCs w:val="0"/>
          <w:color w:val="000000"/>
          <w:sz w:val="32"/>
          <w:szCs w:val="32"/>
          <w:lang w:val="en-US" w:eastAsia="zh-CN"/>
        </w:rPr>
        <w:t>）：</w:t>
      </w:r>
      <w:r>
        <w:rPr>
          <w:rStyle w:val="15"/>
          <w:rFonts w:hint="eastAsia" w:ascii="仿宋_GB2312" w:hAnsi="Calibri" w:eastAsia="仿宋_GB2312" w:cs="Times New Roman"/>
          <w:b w:val="0"/>
          <w:bCs/>
          <w:color w:val="000000"/>
          <w:sz w:val="32"/>
          <w:szCs w:val="32"/>
          <w:lang w:val="en-US" w:eastAsia="zh-CN"/>
        </w:rPr>
        <w:t>支出决算为</w:t>
      </w:r>
      <w:r>
        <w:rPr>
          <w:rStyle w:val="15"/>
          <w:rFonts w:hint="eastAsia" w:ascii="仿宋_GB2312" w:eastAsia="仿宋_GB2312" w:cs="Times New Roman"/>
          <w:b w:val="0"/>
          <w:bCs/>
          <w:color w:val="000000"/>
          <w:sz w:val="32"/>
          <w:szCs w:val="32"/>
          <w:lang w:val="en-US" w:eastAsia="zh-CN"/>
        </w:rPr>
        <w:t>8.83</w:t>
      </w:r>
      <w:r>
        <w:rPr>
          <w:rStyle w:val="15"/>
          <w:rFonts w:hint="eastAsia" w:ascii="仿宋_GB2312" w:hAnsi="Calibri" w:eastAsia="仿宋_GB2312" w:cs="Times New Roman"/>
          <w:b w:val="0"/>
          <w:bCs/>
          <w:color w:val="000000"/>
          <w:sz w:val="32"/>
          <w:szCs w:val="32"/>
          <w:lang w:val="en-US" w:eastAsia="zh-CN"/>
        </w:rPr>
        <w:t>万元，完成预算100%，</w:t>
      </w:r>
      <w:r>
        <w:rPr>
          <w:rFonts w:hint="default" w:ascii="Times New Roman" w:hAnsi="Times New Roman" w:eastAsia="仿宋_GB2312" w:cs="Times New Roman"/>
          <w:color w:val="000000"/>
          <w:sz w:val="32"/>
          <w:szCs w:val="32"/>
          <w:lang w:val="en-US" w:eastAsia="zh-CN"/>
        </w:rPr>
        <w:t>决算数与预算数持平</w:t>
      </w:r>
      <w:r>
        <w:rPr>
          <w:rFonts w:hint="default" w:ascii="Times New Roman" w:hAnsi="Times New Roman" w:eastAsia="仿宋_GB2312" w:cs="Times New Roman"/>
          <w:color w:val="000000"/>
          <w:sz w:val="32"/>
          <w:szCs w:val="32"/>
        </w:rPr>
        <w:t>。</w:t>
      </w:r>
    </w:p>
    <w:p w14:paraId="68D39891">
      <w:pPr>
        <w:pageBreakBefore w:val="0"/>
        <w:widowControl w:val="0"/>
        <w:suppressAutoHyphens/>
        <w:kinsoku/>
        <w:wordWrap/>
        <w:overflowPunct/>
        <w:topLinePunct w:val="0"/>
        <w:autoSpaceDE/>
        <w:autoSpaceDN/>
        <w:bidi w:val="0"/>
        <w:adjustRightInd/>
        <w:snapToGrid/>
        <w:spacing w:line="576"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Style w:val="15"/>
          <w:rFonts w:hint="eastAsia" w:ascii="仿宋_GB2312" w:hAnsi="Calibri" w:eastAsia="仿宋_GB2312" w:cs="Times New Roman"/>
          <w:b/>
          <w:bCs w:val="0"/>
          <w:color w:val="000000"/>
          <w:sz w:val="32"/>
          <w:szCs w:val="32"/>
          <w:lang w:val="en-US" w:eastAsia="zh-CN"/>
        </w:rPr>
        <w:t>5.住房保障支出（</w:t>
      </w:r>
      <w:r>
        <w:rPr>
          <w:rStyle w:val="15"/>
          <w:rFonts w:hint="eastAsia" w:ascii="仿宋" w:hAnsi="仿宋" w:eastAsia="仿宋"/>
          <w:bCs/>
          <w:color w:val="auto"/>
          <w:sz w:val="32"/>
          <w:szCs w:val="32"/>
          <w:highlight w:val="none"/>
          <w:lang w:val="en-US" w:eastAsia="zh-CN"/>
        </w:rPr>
        <w:t>类</w:t>
      </w:r>
      <w:r>
        <w:rPr>
          <w:rStyle w:val="15"/>
          <w:rFonts w:hint="eastAsia" w:ascii="仿宋_GB2312" w:hAnsi="Calibri" w:eastAsia="仿宋_GB2312" w:cs="Times New Roman"/>
          <w:b/>
          <w:bCs w:val="0"/>
          <w:color w:val="000000"/>
          <w:sz w:val="32"/>
          <w:szCs w:val="32"/>
          <w:lang w:val="en-US" w:eastAsia="zh-CN"/>
        </w:rPr>
        <w:t>）住房改革支出（</w:t>
      </w:r>
      <w:r>
        <w:rPr>
          <w:rStyle w:val="15"/>
          <w:rFonts w:hint="eastAsia" w:ascii="仿宋" w:hAnsi="仿宋" w:eastAsia="仿宋"/>
          <w:bCs/>
          <w:color w:val="auto"/>
          <w:sz w:val="32"/>
          <w:szCs w:val="32"/>
          <w:highlight w:val="none"/>
          <w:lang w:val="en-US" w:eastAsia="zh-CN"/>
        </w:rPr>
        <w:t>款</w:t>
      </w:r>
      <w:r>
        <w:rPr>
          <w:rStyle w:val="15"/>
          <w:rFonts w:hint="eastAsia" w:ascii="仿宋_GB2312" w:hAnsi="Calibri" w:eastAsia="仿宋_GB2312" w:cs="Times New Roman"/>
          <w:b/>
          <w:bCs w:val="0"/>
          <w:color w:val="000000"/>
          <w:sz w:val="32"/>
          <w:szCs w:val="32"/>
          <w:lang w:val="en-US" w:eastAsia="zh-CN"/>
        </w:rPr>
        <w:t>）住房公积金（</w:t>
      </w:r>
      <w:r>
        <w:rPr>
          <w:rStyle w:val="15"/>
          <w:rFonts w:hint="eastAsia" w:ascii="仿宋" w:hAnsi="仿宋" w:eastAsia="仿宋"/>
          <w:bCs/>
          <w:color w:val="auto"/>
          <w:sz w:val="32"/>
          <w:szCs w:val="32"/>
          <w:highlight w:val="none"/>
          <w:lang w:val="en-US" w:eastAsia="zh-CN"/>
        </w:rPr>
        <w:t>项</w:t>
      </w:r>
      <w:r>
        <w:rPr>
          <w:rStyle w:val="15"/>
          <w:rFonts w:hint="eastAsia" w:ascii="仿宋_GB2312" w:hAnsi="Calibri" w:eastAsia="仿宋_GB2312" w:cs="Times New Roman"/>
          <w:b/>
          <w:bCs w:val="0"/>
          <w:color w:val="000000"/>
          <w:sz w:val="32"/>
          <w:szCs w:val="32"/>
          <w:lang w:val="en-US" w:eastAsia="zh-CN"/>
        </w:rPr>
        <w:t>）：</w:t>
      </w:r>
      <w:r>
        <w:rPr>
          <w:rStyle w:val="15"/>
          <w:rFonts w:hint="eastAsia" w:ascii="仿宋_GB2312" w:hAnsi="Calibri" w:eastAsia="仿宋_GB2312" w:cs="Times New Roman"/>
          <w:b w:val="0"/>
          <w:bCs/>
          <w:color w:val="000000"/>
          <w:sz w:val="32"/>
          <w:szCs w:val="32"/>
          <w:lang w:val="en-US" w:eastAsia="zh-CN"/>
        </w:rPr>
        <w:t>支出决算为</w:t>
      </w:r>
      <w:r>
        <w:rPr>
          <w:rStyle w:val="15"/>
          <w:rFonts w:hint="eastAsia" w:ascii="仿宋_GB2312" w:eastAsia="仿宋_GB2312" w:cs="Times New Roman"/>
          <w:b w:val="0"/>
          <w:bCs/>
          <w:color w:val="000000"/>
          <w:sz w:val="32"/>
          <w:szCs w:val="32"/>
          <w:lang w:val="en-US" w:eastAsia="zh-CN"/>
        </w:rPr>
        <w:t>12.75</w:t>
      </w:r>
      <w:r>
        <w:rPr>
          <w:rStyle w:val="15"/>
          <w:rFonts w:hint="eastAsia" w:ascii="仿宋_GB2312" w:hAnsi="Calibri" w:eastAsia="仿宋_GB2312" w:cs="Times New Roman"/>
          <w:b w:val="0"/>
          <w:bCs/>
          <w:color w:val="000000"/>
          <w:sz w:val="32"/>
          <w:szCs w:val="32"/>
          <w:lang w:val="en-US" w:eastAsia="zh-CN"/>
        </w:rPr>
        <w:t>万元，完成预算100%，</w:t>
      </w:r>
      <w:r>
        <w:rPr>
          <w:rFonts w:hint="default" w:ascii="Times New Roman" w:hAnsi="Times New Roman" w:eastAsia="仿宋_GB2312" w:cs="Times New Roman"/>
          <w:color w:val="000000"/>
          <w:sz w:val="32"/>
          <w:szCs w:val="32"/>
          <w:lang w:val="en-US" w:eastAsia="zh-CN"/>
        </w:rPr>
        <w:t>决算数与预算数持平</w:t>
      </w:r>
      <w:r>
        <w:rPr>
          <w:rFonts w:hint="default" w:ascii="Times New Roman" w:hAnsi="Times New Roman" w:eastAsia="仿宋_GB2312" w:cs="Times New Roman"/>
          <w:color w:val="000000"/>
          <w:sz w:val="32"/>
          <w:szCs w:val="32"/>
        </w:rPr>
        <w:t>。</w:t>
      </w:r>
    </w:p>
    <w:p w14:paraId="7B52CE21">
      <w:pPr>
        <w:tabs>
          <w:tab w:val="right" w:pos="8306"/>
        </w:tabs>
        <w:spacing w:line="600" w:lineRule="exact"/>
        <w:ind w:firstLine="640"/>
        <w:outlineLvl w:val="1"/>
        <w:rPr>
          <w:rStyle w:val="17"/>
          <w:rFonts w:ascii="Times New Roman" w:hAnsi="Times New Roman"/>
          <w:color w:val="auto"/>
          <w:highlight w:val="none"/>
        </w:rPr>
      </w:pPr>
      <w:bookmarkStart w:id="23" w:name="_Toc15377214"/>
      <w:bookmarkStart w:id="2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7"/>
          <w:rFonts w:hint="eastAsia" w:ascii="Times New Roman" w:hAnsi="Times New Roman" w:eastAsia="黑体"/>
          <w:b w:val="0"/>
          <w:color w:val="auto"/>
          <w:highlight w:val="none"/>
        </w:rPr>
        <w:t>般公共预算财政拨款基本支出决算情况说明</w:t>
      </w:r>
      <w:bookmarkEnd w:id="23"/>
      <w:bookmarkEnd w:id="24"/>
      <w:r>
        <w:rPr>
          <w:rStyle w:val="17"/>
          <w:rFonts w:ascii="Times New Roman" w:hAnsi="Times New Roman" w:eastAsia="黑体"/>
          <w:b w:val="0"/>
          <w:color w:val="auto"/>
          <w:highlight w:val="none"/>
        </w:rPr>
        <w:tab/>
      </w:r>
    </w:p>
    <w:p w14:paraId="79A89055">
      <w:pPr>
        <w:spacing w:line="600" w:lineRule="exact"/>
        <w:ind w:firstLine="645"/>
        <w:rPr>
          <w:rFonts w:ascii="仿宋" w:hAnsi="仿宋" w:eastAsia="仿宋"/>
          <w:color w:val="auto"/>
          <w:sz w:val="32"/>
          <w:szCs w:val="32"/>
          <w:highlight w:val="none"/>
        </w:rPr>
      </w:pPr>
      <w:bookmarkStart w:id="25" w:name="_Toc15396609"/>
      <w:bookmarkStart w:id="26" w:name="_Toc1537721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168.93</w:t>
      </w:r>
      <w:r>
        <w:rPr>
          <w:rFonts w:hint="eastAsia" w:ascii="仿宋" w:hAnsi="仿宋" w:eastAsia="仿宋"/>
          <w:color w:val="auto"/>
          <w:sz w:val="32"/>
          <w:szCs w:val="32"/>
          <w:highlight w:val="none"/>
        </w:rPr>
        <w:t>万元，其中：</w:t>
      </w:r>
    </w:p>
    <w:p w14:paraId="67D2B4A7">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160.74</w:t>
      </w:r>
      <w:r>
        <w:rPr>
          <w:rFonts w:hint="eastAsia" w:ascii="仿宋" w:hAnsi="仿宋" w:eastAsia="仿宋"/>
          <w:color w:val="auto"/>
          <w:sz w:val="32"/>
          <w:szCs w:val="32"/>
          <w:highlight w:val="none"/>
        </w:rPr>
        <w:t>万元，</w:t>
      </w:r>
      <w:r>
        <w:rPr>
          <w:rStyle w:val="15"/>
          <w:rFonts w:hint="eastAsia" w:ascii="仿宋_GB2312" w:hAnsi="Calibri" w:eastAsia="仿宋_GB2312" w:cs="Times New Roman"/>
          <w:b w:val="0"/>
          <w:bCs/>
          <w:color w:val="000000"/>
          <w:sz w:val="32"/>
          <w:szCs w:val="32"/>
          <w:lang w:val="en-US" w:eastAsia="zh-CN"/>
        </w:rPr>
        <w:t>主要包括：基本工资、津贴补贴、绩效工资、机关事业单位基本养老保险缴费、职业年金缴费、职工基本医疗保险缴费、其他社会保障缴费、住房公积金、医疗费、其他对个人和家庭的补助支出奖励金等。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8.19</w:t>
      </w:r>
      <w:r>
        <w:rPr>
          <w:rFonts w:hint="eastAsia" w:ascii="仿宋" w:hAnsi="仿宋" w:eastAsia="仿宋"/>
          <w:color w:val="auto"/>
          <w:sz w:val="32"/>
          <w:szCs w:val="32"/>
          <w:highlight w:val="none"/>
        </w:rPr>
        <w:t>万元，主要包括：办公费、邮电费、差旅费、</w:t>
      </w:r>
      <w:r>
        <w:rPr>
          <w:rFonts w:hint="eastAsia" w:ascii="仿宋" w:hAnsi="仿宋" w:eastAsia="仿宋"/>
          <w:color w:val="auto"/>
          <w:sz w:val="32"/>
          <w:szCs w:val="32"/>
          <w:highlight w:val="none"/>
          <w:lang w:eastAsia="zh-CN"/>
        </w:rPr>
        <w:t>其</w:t>
      </w:r>
      <w:r>
        <w:rPr>
          <w:rFonts w:hint="eastAsia" w:ascii="仿宋" w:hAnsi="仿宋" w:eastAsia="仿宋"/>
          <w:color w:val="auto"/>
          <w:sz w:val="32"/>
          <w:szCs w:val="32"/>
          <w:highlight w:val="none"/>
        </w:rPr>
        <w:t>他商品和服务支出</w:t>
      </w:r>
      <w:r>
        <w:rPr>
          <w:rFonts w:hint="eastAsia" w:ascii="仿宋" w:hAnsi="仿宋" w:eastAsia="仿宋"/>
          <w:color w:val="auto"/>
          <w:sz w:val="32"/>
          <w:szCs w:val="32"/>
          <w:highlight w:val="none"/>
          <w:lang w:val="en-US" w:eastAsia="zh-CN"/>
        </w:rPr>
        <w:t>、</w:t>
      </w:r>
      <w:r>
        <w:rPr>
          <w:rStyle w:val="15"/>
          <w:rFonts w:hint="eastAsia" w:ascii="仿宋_GB2312" w:hAnsi="Calibri" w:eastAsia="仿宋_GB2312" w:cs="Times New Roman"/>
          <w:b w:val="0"/>
          <w:bCs/>
          <w:color w:val="000000"/>
          <w:sz w:val="32"/>
          <w:szCs w:val="32"/>
          <w:lang w:val="en-US" w:eastAsia="zh-CN"/>
        </w:rPr>
        <w:t>公务用车运行维护费</w:t>
      </w:r>
      <w:r>
        <w:rPr>
          <w:rFonts w:hint="eastAsia" w:ascii="仿宋" w:hAnsi="仿宋" w:eastAsia="仿宋"/>
          <w:color w:val="auto"/>
          <w:sz w:val="32"/>
          <w:szCs w:val="32"/>
          <w:highlight w:val="none"/>
        </w:rPr>
        <w:t>等。</w:t>
      </w:r>
    </w:p>
    <w:p w14:paraId="65364B7D">
      <w:pPr>
        <w:spacing w:line="600" w:lineRule="exact"/>
        <w:ind w:firstLine="640"/>
        <w:outlineLvl w:val="1"/>
        <w:rPr>
          <w:rStyle w:val="17"/>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17"/>
          <w:rFonts w:hint="eastAsia" w:ascii="Times New Roman" w:hAnsi="Times New Roman" w:eastAsia="黑体"/>
          <w:b w:val="0"/>
          <w:color w:val="auto"/>
          <w:highlight w:val="none"/>
        </w:rPr>
        <w:t>财政拨款</w:t>
      </w:r>
      <w:r>
        <w:rPr>
          <w:rStyle w:val="17"/>
          <w:rFonts w:hint="eastAsia" w:eastAsia="黑体"/>
          <w:b w:val="0"/>
          <w:color w:val="auto"/>
          <w:highlight w:val="none"/>
          <w:lang w:eastAsia="zh-CN"/>
        </w:rPr>
        <w:t>“</w:t>
      </w:r>
      <w:r>
        <w:rPr>
          <w:rStyle w:val="17"/>
          <w:rFonts w:hint="eastAsia" w:ascii="Times New Roman" w:hAnsi="Times New Roman" w:eastAsia="黑体"/>
          <w:b w:val="0"/>
          <w:color w:val="auto"/>
          <w:highlight w:val="none"/>
        </w:rPr>
        <w:t>三公</w:t>
      </w:r>
      <w:r>
        <w:rPr>
          <w:rStyle w:val="17"/>
          <w:rFonts w:hint="eastAsia" w:eastAsia="黑体"/>
          <w:b w:val="0"/>
          <w:color w:val="auto"/>
          <w:highlight w:val="none"/>
          <w:lang w:eastAsia="zh-CN"/>
        </w:rPr>
        <w:t>”</w:t>
      </w:r>
      <w:r>
        <w:rPr>
          <w:rStyle w:val="17"/>
          <w:rFonts w:hint="eastAsia" w:ascii="Times New Roman" w:hAnsi="Times New Roman" w:eastAsia="黑体"/>
          <w:b w:val="0"/>
          <w:color w:val="auto"/>
          <w:highlight w:val="none"/>
        </w:rPr>
        <w:t>经费支出决算情况说明</w:t>
      </w:r>
      <w:bookmarkEnd w:id="25"/>
      <w:bookmarkEnd w:id="26"/>
    </w:p>
    <w:p w14:paraId="4972844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27"/>
    </w:p>
    <w:p w14:paraId="489977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0.92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与</w:t>
      </w:r>
      <w:r>
        <w:rPr>
          <w:rFonts w:hint="eastAsia" w:ascii="仿宋" w:hAnsi="仿宋" w:eastAsia="仿宋"/>
          <w:color w:val="auto"/>
          <w:sz w:val="32"/>
          <w:szCs w:val="32"/>
          <w:highlight w:val="none"/>
          <w:lang w:eastAsia="zh-CN"/>
        </w:rPr>
        <w:t>上年度</w:t>
      </w:r>
      <w:r>
        <w:rPr>
          <w:rFonts w:hint="eastAsia" w:ascii="仿宋" w:hAnsi="仿宋" w:eastAsia="仿宋"/>
          <w:color w:val="auto"/>
          <w:sz w:val="32"/>
          <w:szCs w:val="32"/>
          <w:highlight w:val="none"/>
          <w:lang w:val="en-US" w:eastAsia="zh-CN"/>
        </w:rPr>
        <w:t>相比减少1.15万元，下降55.55%。</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Style w:val="15"/>
          <w:rFonts w:hint="eastAsia" w:ascii="仿宋_GB2312" w:hAnsi="Calibri" w:eastAsia="仿宋_GB2312" w:cs="Times New Roman"/>
          <w:b w:val="0"/>
          <w:bCs/>
          <w:color w:val="000000"/>
          <w:sz w:val="32"/>
          <w:szCs w:val="32"/>
          <w:lang w:val="en-US" w:eastAsia="zh-CN"/>
        </w:rPr>
        <w:t>厉行节俭、减少支出。</w:t>
      </w:r>
    </w:p>
    <w:p w14:paraId="54CD16C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28"/>
    </w:p>
    <w:p w14:paraId="603D1E67">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“三公”经费财政拨款支出决算中</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公务用车购置及运行维护</w:t>
      </w:r>
      <w:r>
        <w:rPr>
          <w:rFonts w:hint="eastAsia" w:ascii="仿宋" w:hAnsi="仿宋" w:eastAsia="仿宋"/>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78105</wp:posOffset>
            </wp:positionH>
            <wp:positionV relativeFrom="paragraph">
              <wp:posOffset>775970</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color w:val="auto"/>
          <w:sz w:val="32"/>
          <w:szCs w:val="32"/>
          <w:highlight w:val="none"/>
        </w:rPr>
        <w:t>费支出决算</w:t>
      </w:r>
      <w:r>
        <w:rPr>
          <w:rFonts w:hint="eastAsia" w:ascii="仿宋" w:hAnsi="仿宋" w:eastAsia="仿宋"/>
          <w:color w:val="auto"/>
          <w:sz w:val="32"/>
          <w:szCs w:val="32"/>
          <w:highlight w:val="none"/>
          <w:lang w:val="en-US" w:eastAsia="zh-CN"/>
        </w:rPr>
        <w:t>0.92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具体情况如下：</w:t>
      </w:r>
    </w:p>
    <w:p w14:paraId="63462E22">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p>
    <w:p w14:paraId="4ECB42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olor w:val="auto"/>
          <w:sz w:val="32"/>
          <w:szCs w:val="32"/>
          <w:highlight w:val="none"/>
          <w:lang w:val="en-US" w:eastAsia="zh-CN"/>
        </w:rPr>
        <w:t>0.92</w:t>
      </w:r>
      <w:r>
        <w:rPr>
          <w:rFonts w:hint="eastAsia" w:ascii="仿宋_GB2312" w:eastAsia="仿宋_GB2312"/>
          <w:color w:val="auto"/>
          <w:sz w:val="32"/>
          <w:szCs w:val="32"/>
          <w:highlight w:val="none"/>
        </w:rPr>
        <w:t>万元,</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100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与2024</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lang w:val="en-US" w:eastAsia="zh-CN"/>
        </w:rPr>
        <w:t>相比</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1.15</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下降55.55%</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Style w:val="15"/>
          <w:rFonts w:hint="eastAsia" w:ascii="仿宋_GB2312" w:hAnsi="Calibri" w:eastAsia="仿宋_GB2312" w:cs="Times New Roman"/>
          <w:b w:val="0"/>
          <w:bCs/>
          <w:color w:val="000000"/>
          <w:sz w:val="32"/>
          <w:szCs w:val="32"/>
          <w:lang w:val="en-US" w:eastAsia="zh-CN"/>
        </w:rPr>
        <w:t>厉行节俭、减少支出。</w:t>
      </w:r>
    </w:p>
    <w:p w14:paraId="683BDB43">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6EB200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0.92</w:t>
      </w:r>
      <w:r>
        <w:rPr>
          <w:rFonts w:hint="eastAsia" w:ascii="仿宋_GB2312" w:eastAsia="仿宋_GB2312"/>
          <w:color w:val="auto"/>
          <w:sz w:val="32"/>
          <w:szCs w:val="32"/>
          <w:highlight w:val="none"/>
        </w:rPr>
        <w:t>万元。</w:t>
      </w:r>
      <w:r>
        <w:rPr>
          <w:rStyle w:val="15"/>
          <w:rFonts w:hint="eastAsia" w:ascii="仿宋_GB2312" w:hAnsi="Calibri" w:eastAsia="仿宋_GB2312" w:cs="Times New Roman"/>
          <w:b w:val="0"/>
          <w:bCs/>
          <w:color w:val="000000"/>
          <w:sz w:val="32"/>
          <w:szCs w:val="32"/>
          <w:lang w:val="en-US" w:eastAsia="zh-CN"/>
        </w:rPr>
        <w:t>主要用于下乡、出差等工作所需的公务用车燃料费、维修费、过路过桥费、保险费等支出。</w:t>
      </w:r>
    </w:p>
    <w:p w14:paraId="12466076">
      <w:pPr>
        <w:spacing w:line="600" w:lineRule="exact"/>
        <w:ind w:firstLine="640"/>
        <w:rPr>
          <w:rFonts w:ascii="仿宋_GB2312" w:eastAsia="仿宋_GB2312"/>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bookmarkStart w:id="29" w:name="_Toc15396610"/>
      <w:bookmarkStart w:id="30" w:name="_Toc15377218"/>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其中：</w:t>
      </w:r>
    </w:p>
    <w:p w14:paraId="3347A0D4">
      <w:pPr>
        <w:spacing w:line="600" w:lineRule="exact"/>
        <w:ind w:firstLine="640"/>
        <w:rPr>
          <w:rFonts w:hint="eastAsia" w:ascii="仿宋_GB2312" w:eastAsia="仿宋_GB2312"/>
          <w:color w:val="auto"/>
          <w:sz w:val="32"/>
          <w:szCs w:val="32"/>
          <w:highlight w:val="none"/>
          <w:lang w:eastAsia="zh-CN"/>
        </w:rPr>
      </w:pPr>
      <w:r>
        <w:rPr>
          <w:rFonts w:hint="eastAsia" w:ascii="仿宋" w:hAnsi="仿宋" w:eastAsia="仿宋"/>
          <w:b/>
          <w:color w:val="auto"/>
          <w:sz w:val="32"/>
          <w:szCs w:val="32"/>
          <w:highlight w:val="none"/>
        </w:rPr>
        <w:t>国内公务接待支</w:t>
      </w:r>
      <w:r>
        <w:rPr>
          <w:rFonts w:hint="eastAsia" w:ascii="仿宋" w:hAnsi="仿宋" w:eastAsia="仿宋"/>
          <w:b/>
          <w:bCs w:val="0"/>
          <w:color w:val="auto"/>
          <w:sz w:val="32"/>
          <w:szCs w:val="32"/>
          <w:highlight w:val="none"/>
        </w:rPr>
        <w:t>出</w:t>
      </w:r>
      <w:r>
        <w:rPr>
          <w:rFonts w:hint="eastAsia" w:ascii="仿宋" w:hAnsi="仿宋" w:eastAsia="仿宋"/>
          <w:b/>
          <w:bCs w:val="0"/>
          <w:color w:val="auto"/>
          <w:sz w:val="32"/>
          <w:szCs w:val="32"/>
          <w:highlight w:val="none"/>
          <w:lang w:val="en-US" w:eastAsia="zh-CN"/>
        </w:rPr>
        <w:t>0</w:t>
      </w:r>
      <w:r>
        <w:rPr>
          <w:rFonts w:hint="eastAsia" w:ascii="仿宋_GB2312" w:eastAsia="仿宋_GB2312"/>
          <w:b/>
          <w:bCs w:val="0"/>
          <w:color w:val="auto"/>
          <w:sz w:val="32"/>
          <w:szCs w:val="32"/>
          <w:highlight w:val="none"/>
        </w:rPr>
        <w:t>万元</w:t>
      </w:r>
      <w:r>
        <w:rPr>
          <w:rFonts w:hint="eastAsia" w:ascii="仿宋_GB2312" w:eastAsia="仿宋_GB2312"/>
          <w:color w:val="auto"/>
          <w:sz w:val="32"/>
          <w:szCs w:val="32"/>
          <w:highlight w:val="none"/>
          <w:lang w:eastAsia="zh-CN"/>
        </w:rPr>
        <w:t>；</w:t>
      </w:r>
    </w:p>
    <w:p w14:paraId="0790FE3F">
      <w:pPr>
        <w:spacing w:line="600" w:lineRule="exact"/>
        <w:ind w:firstLine="640"/>
        <w:rPr>
          <w:rFonts w:ascii="黑体" w:eastAsia="黑体"/>
          <w:color w:val="auto"/>
          <w:sz w:val="32"/>
          <w:szCs w:val="32"/>
          <w:highlight w:val="none"/>
        </w:rPr>
      </w:pPr>
      <w:r>
        <w:rPr>
          <w:rFonts w:hint="eastAsia" w:ascii="仿宋" w:hAnsi="仿宋" w:eastAsia="仿宋"/>
          <w:b/>
          <w:color w:val="auto"/>
          <w:sz w:val="32"/>
          <w:szCs w:val="32"/>
          <w:highlight w:val="none"/>
        </w:rPr>
        <w:t>外事接</w:t>
      </w:r>
      <w:r>
        <w:rPr>
          <w:rFonts w:hint="eastAsia" w:ascii="仿宋" w:hAnsi="仿宋" w:eastAsia="仿宋"/>
          <w:b/>
          <w:bCs w:val="0"/>
          <w:color w:val="auto"/>
          <w:sz w:val="32"/>
          <w:szCs w:val="32"/>
          <w:highlight w:val="none"/>
        </w:rPr>
        <w:t>待支出</w:t>
      </w:r>
      <w:r>
        <w:rPr>
          <w:rFonts w:hint="eastAsia" w:ascii="仿宋" w:hAnsi="仿宋" w:eastAsia="仿宋"/>
          <w:b/>
          <w:bCs w:val="0"/>
          <w:color w:val="auto"/>
          <w:sz w:val="32"/>
          <w:szCs w:val="32"/>
          <w:highlight w:val="none"/>
          <w:lang w:val="en-US" w:eastAsia="zh-CN"/>
        </w:rPr>
        <w:t>0</w:t>
      </w:r>
      <w:r>
        <w:rPr>
          <w:rFonts w:hint="eastAsia" w:ascii="仿宋_GB2312" w:eastAsia="仿宋_GB2312"/>
          <w:b/>
          <w:bCs w:val="0"/>
          <w:color w:val="auto"/>
          <w:sz w:val="32"/>
          <w:szCs w:val="32"/>
          <w:highlight w:val="none"/>
        </w:rPr>
        <w:t>万元</w:t>
      </w:r>
      <w:r>
        <w:rPr>
          <w:rFonts w:hint="eastAsia" w:ascii="仿宋_GB2312" w:eastAsia="仿宋_GB2312"/>
          <w:color w:val="auto"/>
          <w:sz w:val="32"/>
          <w:szCs w:val="32"/>
          <w:highlight w:val="none"/>
        </w:rPr>
        <w:t>。</w:t>
      </w:r>
    </w:p>
    <w:p w14:paraId="233AE064">
      <w:pPr>
        <w:spacing w:line="600" w:lineRule="exact"/>
        <w:ind w:firstLine="640"/>
        <w:outlineLvl w:val="1"/>
        <w:rPr>
          <w:rStyle w:val="17"/>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17"/>
          <w:rFonts w:hint="eastAsia" w:ascii="Times New Roman" w:hAnsi="Times New Roman" w:eastAsia="黑体"/>
          <w:b w:val="0"/>
          <w:color w:val="auto"/>
          <w:highlight w:val="none"/>
        </w:rPr>
        <w:t>政府性基金预算支出决算情况说明</w:t>
      </w:r>
      <w:bookmarkEnd w:id="29"/>
      <w:bookmarkEnd w:id="30"/>
    </w:p>
    <w:p w14:paraId="352812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Style w:val="15"/>
          <w:rFonts w:hint="eastAsia" w:ascii="仿宋_GB2312" w:eastAsia="仿宋_GB2312" w:cs="Times New Roman" w:hAnsiTheme="minorHAnsi"/>
          <w:b w:val="0"/>
          <w:bCs/>
          <w:color w:val="000000"/>
          <w:sz w:val="32"/>
          <w:szCs w:val="32"/>
          <w:lang w:val="en-US" w:eastAsia="zh-CN"/>
        </w:rPr>
        <w:t>政府性基金预算财政拨款支出0万元。</w:t>
      </w:r>
    </w:p>
    <w:p w14:paraId="47DB3F72">
      <w:pPr>
        <w:numPr>
          <w:ilvl w:val="0"/>
          <w:numId w:val="0"/>
        </w:numPr>
        <w:spacing w:line="600" w:lineRule="exact"/>
        <w:ind w:left="630" w:leftChars="0"/>
        <w:outlineLvl w:val="1"/>
        <w:rPr>
          <w:rStyle w:val="17"/>
          <w:rFonts w:ascii="Times New Roman" w:hAnsi="Times New Roman" w:eastAsia="黑体"/>
          <w:b w:val="0"/>
          <w:color w:val="auto"/>
          <w:highlight w:val="none"/>
        </w:rPr>
      </w:pPr>
      <w:bookmarkStart w:id="31" w:name="_Toc15377219"/>
      <w:bookmarkStart w:id="32" w:name="_Toc15396611"/>
      <w:r>
        <w:rPr>
          <w:rStyle w:val="17"/>
          <w:rFonts w:hint="eastAsia" w:ascii="Times New Roman" w:hAnsi="Times New Roman" w:eastAsia="黑体"/>
          <w:b w:val="0"/>
          <w:color w:val="auto"/>
          <w:highlight w:val="none"/>
          <w:lang w:eastAsia="zh-CN"/>
        </w:rPr>
        <w:t>九、</w:t>
      </w:r>
      <w:r>
        <w:rPr>
          <w:rStyle w:val="17"/>
          <w:rFonts w:hint="eastAsia" w:ascii="Times New Roman" w:hAnsi="Times New Roman" w:eastAsia="黑体"/>
          <w:b w:val="0"/>
          <w:color w:val="auto"/>
          <w:highlight w:val="none"/>
        </w:rPr>
        <w:t>国有资本经营预算支出决算情况说明</w:t>
      </w:r>
      <w:bookmarkEnd w:id="31"/>
      <w:bookmarkEnd w:id="32"/>
    </w:p>
    <w:p w14:paraId="7DB3C4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Style w:val="15"/>
          <w:rFonts w:hint="eastAsia" w:ascii="仿宋_GB2312" w:eastAsia="仿宋_GB2312" w:cs="Times New Roman" w:hAnsiTheme="minorHAnsi"/>
          <w:b w:val="0"/>
          <w:bCs/>
          <w:color w:val="000000"/>
          <w:sz w:val="32"/>
          <w:szCs w:val="32"/>
          <w:lang w:val="en-US" w:eastAsia="zh-CN"/>
        </w:rPr>
        <w:t>国有资本经营预算财政拨款支出0万元。</w:t>
      </w:r>
    </w:p>
    <w:p w14:paraId="233C735E">
      <w:pPr>
        <w:numPr>
          <w:ilvl w:val="0"/>
          <w:numId w:val="0"/>
        </w:numPr>
        <w:spacing w:line="600" w:lineRule="exact"/>
        <w:ind w:left="630" w:leftChars="0"/>
        <w:outlineLvl w:val="1"/>
        <w:rPr>
          <w:rStyle w:val="17"/>
          <w:rFonts w:hint="eastAsia" w:ascii="Times New Roman" w:hAnsi="Times New Roman" w:eastAsia="黑体"/>
          <w:b w:val="0"/>
          <w:color w:val="auto"/>
          <w:highlight w:val="none"/>
        </w:rPr>
      </w:pPr>
      <w:bookmarkStart w:id="33" w:name="_Toc15377221"/>
      <w:bookmarkStart w:id="34" w:name="_Toc15396612"/>
      <w:r>
        <w:rPr>
          <w:rStyle w:val="17"/>
          <w:rFonts w:hint="eastAsia" w:ascii="Times New Roman" w:hAnsi="Times New Roman" w:eastAsia="黑体"/>
          <w:b w:val="0"/>
          <w:color w:val="auto"/>
          <w:highlight w:val="none"/>
          <w:lang w:eastAsia="zh-CN"/>
        </w:rPr>
        <w:t>十、</w:t>
      </w:r>
      <w:r>
        <w:rPr>
          <w:rStyle w:val="17"/>
          <w:rFonts w:hint="eastAsia" w:ascii="Times New Roman" w:hAnsi="Times New Roman" w:eastAsia="黑体"/>
          <w:b w:val="0"/>
          <w:color w:val="auto"/>
          <w:highlight w:val="none"/>
        </w:rPr>
        <w:t>其他重要事项的情况说明</w:t>
      </w:r>
      <w:bookmarkEnd w:id="33"/>
      <w:bookmarkEnd w:id="34"/>
    </w:p>
    <w:p w14:paraId="61B6F9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22"/>
      <w:r>
        <w:rPr>
          <w:rFonts w:hint="eastAsia" w:ascii="Times New Roman" w:hAnsi="Times New Roman" w:eastAsia="楷体_GB2312" w:cs="楷体_GB2312"/>
          <w:b/>
          <w:color w:val="auto"/>
          <w:sz w:val="32"/>
          <w:szCs w:val="32"/>
          <w:highlight w:val="none"/>
        </w:rPr>
        <w:t>（一）机关运行经费支出情况</w:t>
      </w:r>
      <w:bookmarkEnd w:id="35"/>
    </w:p>
    <w:p w14:paraId="6B4D2A92">
      <w:pPr>
        <w:spacing w:line="600" w:lineRule="exact"/>
        <w:ind w:firstLine="640" w:firstLineChars="200"/>
        <w:outlineLvl w:val="2"/>
        <w:rPr>
          <w:rStyle w:val="15"/>
          <w:rFonts w:hint="eastAsia" w:ascii="仿宋_GB2312" w:eastAsia="仿宋_GB2312" w:cs="Times New Roman" w:hAnsiTheme="minorHAnsi"/>
          <w:b w:val="0"/>
          <w:bCs/>
          <w:color w:val="000000"/>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bookmarkStart w:id="36" w:name="_Toc15377223"/>
      <w:r>
        <w:rPr>
          <w:rStyle w:val="15"/>
          <w:rFonts w:hint="eastAsia" w:ascii="仿宋_GB2312" w:eastAsia="仿宋_GB2312" w:cs="Times New Roman" w:hAnsiTheme="minorHAnsi"/>
          <w:b w:val="0"/>
          <w:bCs/>
          <w:color w:val="000000"/>
          <w:sz w:val="32"/>
          <w:szCs w:val="32"/>
          <w:lang w:val="en-US" w:eastAsia="zh-CN"/>
        </w:rPr>
        <w:t>茂县工业服务中心机关运行经费支出0万元。</w:t>
      </w:r>
    </w:p>
    <w:p w14:paraId="79DB6A5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36"/>
    </w:p>
    <w:p w14:paraId="18C7A6A4">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bookmarkStart w:id="37" w:name="_Toc15377224"/>
      <w:r>
        <w:rPr>
          <w:rStyle w:val="15"/>
          <w:rFonts w:hint="eastAsia" w:ascii="仿宋_GB2312" w:eastAsia="仿宋_GB2312" w:cs="Times New Roman" w:hAnsiTheme="minorHAnsi"/>
          <w:b w:val="0"/>
          <w:bCs/>
          <w:color w:val="000000"/>
          <w:sz w:val="32"/>
          <w:szCs w:val="32"/>
          <w:lang w:val="en-US" w:eastAsia="zh-CN"/>
        </w:rPr>
        <w:t>2025年度，茂县工业服务中心政府采购支出总额0万元。</w:t>
      </w:r>
    </w:p>
    <w:p w14:paraId="3874C0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37"/>
    </w:p>
    <w:p w14:paraId="3C544A9E">
      <w:pPr>
        <w:spacing w:line="600" w:lineRule="exact"/>
        <w:ind w:firstLine="640" w:firstLineChars="200"/>
        <w:outlineLvl w:val="2"/>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截至2025年12月31日，茂县工业服务中心共有车辆2辆，其中：应急保障用车2辆。</w:t>
      </w:r>
    </w:p>
    <w:p w14:paraId="2967E1D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8A13BD6">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根据预算绩效管理要求，</w:t>
      </w:r>
      <w:r>
        <w:rPr>
          <w:rStyle w:val="15"/>
          <w:rFonts w:hint="eastAsia" w:ascii="仿宋_GB2312" w:eastAsia="仿宋_GB2312" w:cs="Times New Roman" w:hAnsiTheme="minorHAnsi"/>
          <w:b w:val="0"/>
          <w:bCs/>
          <w:color w:val="000000" w:themeColor="text1"/>
          <w:sz w:val="32"/>
          <w:szCs w:val="32"/>
          <w:lang w:val="en-US" w:eastAsia="zh-CN"/>
          <w14:textFill>
            <w14:solidFill>
              <w14:schemeClr w14:val="tx1"/>
            </w14:solidFill>
          </w14:textFill>
        </w:rPr>
        <w:t>茂县工业服务中心</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在2025年度，组织对</w:t>
      </w:r>
      <w:r>
        <w:rPr>
          <w:rStyle w:val="15"/>
          <w:rFonts w:hint="eastAsia" w:ascii="仿宋_GB2312" w:hAnsi="Calibri" w:eastAsia="仿宋_GB2312" w:cs="Times New Roman"/>
          <w:b w:val="0"/>
          <w:bCs/>
          <w:color w:val="000000" w:themeColor="text1"/>
          <w:sz w:val="32"/>
          <w:szCs w:val="32"/>
          <w:lang w:val="en-US" w:eastAsia="zh-CN"/>
          <w14:textFill>
            <w14:solidFill>
              <w14:schemeClr w14:val="tx1"/>
            </w14:solidFill>
          </w14:textFill>
        </w:rPr>
        <w:t>工业园区基础设施运行经费项目</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等</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个项目涉及金额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98.15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万元开展了事前绩效评估，对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个项目编制了绩效目标</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预算执行过程中，选取</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个项目开展绩效监控。</w:t>
      </w:r>
    </w:p>
    <w:p w14:paraId="7E357C5C">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hAnsi="Calibri" w:eastAsia="仿宋_GB2312" w:cs="Times New Roman"/>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组织对2025年度一般公共预算、资本资产等全面开展绩效自评，形成茂县工业服务中心部门整体（含部门预算项目）绩效自评报告、</w:t>
      </w:r>
      <w:r>
        <w:rPr>
          <w:rStyle w:val="15"/>
          <w:rFonts w:hint="eastAsia" w:ascii="仿宋_GB2312" w:hAnsi="Calibri" w:eastAsia="仿宋_GB2312" w:cs="Times New Roman"/>
          <w:b w:val="0"/>
          <w:bCs/>
          <w:color w:val="000000"/>
          <w:sz w:val="32"/>
          <w:szCs w:val="32"/>
          <w:lang w:val="en-US" w:eastAsia="zh-CN"/>
        </w:rPr>
        <w:t>工业园区基础设施运行经费项目</w:t>
      </w:r>
      <w:r>
        <w:rPr>
          <w:rStyle w:val="15"/>
          <w:rFonts w:hint="eastAsia" w:ascii="仿宋_GB2312" w:eastAsia="仿宋_GB2312" w:cs="Times New Roman" w:hAnsiTheme="minorHAnsi"/>
          <w:b w:val="0"/>
          <w:bCs/>
          <w:color w:val="000000"/>
          <w:sz w:val="32"/>
          <w:szCs w:val="32"/>
          <w:lang w:val="en-US" w:eastAsia="zh-CN"/>
        </w:rPr>
        <w:t>等2个专项预算项目绩效自评报告，其中:茂县工业服务中心部门整体（含部门预算项目）绩效自评得分为82.5分，绩效自评综述：维修维护并保障茂县工业园区给排水厂、道路、桥梁等基础设施正常运行，为企业正常运行提供要素保障；做好园区环境污染检测、安全生产等工作；确保了园区各企业正常生产、生活运转；阿坝州生态环境分区管控茂县工业重点管控单元大气污染物允许排放量更新论证自评得分为70分，绩效自评综述:确保了阿坝藏族羌族自治州茂县2025年和2035年PM2.5目标浓度达标，统筹解决茂县工业园区后续发展带来的大气环境影响，解决茂县工业园区后续发展带来的大气环境影响，支持园区长远合理发展。</w:t>
      </w:r>
      <w:r>
        <w:rPr>
          <w:rStyle w:val="15"/>
          <w:rFonts w:hint="eastAsia" w:ascii="仿宋_GB2312" w:hAnsi="Calibri" w:eastAsia="仿宋_GB2312" w:cs="Times New Roman"/>
          <w:b w:val="0"/>
          <w:bCs/>
          <w:color w:val="000000"/>
          <w:sz w:val="32"/>
          <w:szCs w:val="32"/>
          <w:lang w:val="en-US" w:eastAsia="zh-CN"/>
        </w:rPr>
        <w:t>绩效自评表详见第四部分附件。</w:t>
      </w:r>
    </w:p>
    <w:p w14:paraId="6F140711">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p>
    <w:p w14:paraId="4711E0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751D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417C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82E8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83E6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3AD7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9CD9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B7B8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7CC2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69B4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4DA3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EA8E6D">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38" w:name="_Toc15396613"/>
      <w:bookmarkStart w:id="39" w:name="_Toc15377225"/>
    </w:p>
    <w:p w14:paraId="502ECCA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FBE6BE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773A1A3">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8"/>
      <w:bookmarkEnd w:id="39"/>
    </w:p>
    <w:p w14:paraId="6A907594">
      <w:pPr>
        <w:spacing w:line="600" w:lineRule="exact"/>
        <w:jc w:val="left"/>
        <w:rPr>
          <w:rFonts w:ascii="Times New Roman" w:hAnsi="Times New Roman"/>
          <w:b/>
          <w:color w:val="auto"/>
          <w:sz w:val="44"/>
          <w:szCs w:val="44"/>
          <w:highlight w:val="none"/>
        </w:rPr>
      </w:pPr>
    </w:p>
    <w:p w14:paraId="7EFE2119">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bookmarkStart w:id="40" w:name="_Toc15377226"/>
      <w:r>
        <w:rPr>
          <w:rStyle w:val="15"/>
          <w:rFonts w:hint="eastAsia" w:ascii="仿宋_GB2312" w:eastAsia="仿宋_GB2312" w:cs="Times New Roman" w:hAnsiTheme="minorHAnsi"/>
          <w:b w:val="0"/>
          <w:bCs/>
          <w:color w:val="000000"/>
          <w:sz w:val="32"/>
          <w:szCs w:val="32"/>
          <w:lang w:val="en-US" w:eastAsia="zh-CN"/>
        </w:rPr>
        <w:t>1.财政拨款收入：指单位从同级财政部门取得的财政预算资金。</w:t>
      </w:r>
    </w:p>
    <w:p w14:paraId="75B8FDD5">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2.事业收入：指事业单位开展专业业务活动及辅助活动取得的收入。</w:t>
      </w:r>
    </w:p>
    <w:p w14:paraId="0AD479AD">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3.经营收入：指事业单位在专业业务活动及其辅助活动之外开展非独立核算经营活动取得的收入。</w:t>
      </w:r>
    </w:p>
    <w:p w14:paraId="5FA45541">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4.其他收入：指单位取得的除上述收入以外的各项收入。</w:t>
      </w:r>
    </w:p>
    <w:p w14:paraId="32ED1E5D">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5.使用非财政拨款结余（含专用结余）：指事业单位使用以前年度积累的非财政拨款结余弥补当年收支差额的金额。</w:t>
      </w:r>
    </w:p>
    <w:p w14:paraId="1D2B04B7">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6.年初结转和结余：指以前年度尚未完成、结转到本年按有关规定继续使用的资金。</w:t>
      </w:r>
    </w:p>
    <w:p w14:paraId="17409063">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7.结余分配：指事业单位按照会计制度规定缴纳的所得税、提取的专用结余以及转入非财政拨款结余的金额等。</w:t>
      </w:r>
    </w:p>
    <w:p w14:paraId="7FB8A6AE">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8.年末结转和结余：指单位按有关规定结转到下年或以后年度继续使用的资金。</w:t>
      </w:r>
    </w:p>
    <w:p w14:paraId="2256AAA6">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9.一般公共服务支出（类）商贸事务（款）事业运行（项）：反映事业单位的基本支出，不包括行政单位（包括实行公务员管理的事业单位、后勤服务中心，医务室等附属事业单位。</w:t>
      </w:r>
    </w:p>
    <w:p w14:paraId="4FADB491">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10.社会保障和就业支出（类）行政事业单位养老支出（款）机关事业单位基本养老保险缴费支出（项）：反映机关事业单位实施养老保险制度由单位缴纳的基本养老保险费支出。</w:t>
      </w:r>
    </w:p>
    <w:p w14:paraId="68192CCA">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11.社会保障和就业支出（类）行政事业单位养老支出（款）机关事业单位职业年金缴费支出（项）：反映机关事业单位实施养老保险制度由单位实际缴纳的职业年金支出。</w:t>
      </w:r>
    </w:p>
    <w:p w14:paraId="05EBA212">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12.卫生健康支出（类）行政事业单位医疗（款）事业单位医疗（项）：反映财政部门安排的事业单位基本医疗保险缴费经费，未参加医疗保险的事业单位的公费医疗经费按国家规定享受离休人员待遇的医疗经费。</w:t>
      </w:r>
    </w:p>
    <w:p w14:paraId="41C41AD1">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13.住房保障支出（类）住房改革支出（款）住房公积金（项）：反映行政事业单位按人力资源和社会保障部、财政部规定的基本工资和津贴补贴以及规定比例为职工缴纳的住房公积金。</w:t>
      </w:r>
    </w:p>
    <w:p w14:paraId="1E53FE0B">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14.基本支出：指为保障机构正常运转、完成日常工作任务而发生的人员支出和公用支出。</w:t>
      </w:r>
    </w:p>
    <w:p w14:paraId="47C633AE">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15.项目支出：指在基本支出之外为完成特定行政任务和事业发展目标所发生的支出。</w:t>
      </w:r>
    </w:p>
    <w:p w14:paraId="115F03BB">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16.经营支出：指事业单位在专业业务活动及其辅助活动之外开展非独立核算经营活动发生的支出。</w:t>
      </w:r>
    </w:p>
    <w:p w14:paraId="63CAC426">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pPr>
      <w:r>
        <w:rPr>
          <w:rStyle w:val="15"/>
          <w:rFonts w:hint="eastAsia" w:ascii="仿宋_GB2312" w:eastAsia="仿宋_GB2312" w:cs="Times New Roman" w:hAnsiTheme="minorHAnsi"/>
          <w:b w:val="0"/>
          <w:bCs/>
          <w:color w:val="000000"/>
          <w:sz w:val="32"/>
          <w:szCs w:val="32"/>
          <w:lang w:val="en-US" w:eastAsia="zh-CN"/>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BB6CBB">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Style w:val="15"/>
          <w:rFonts w:hint="eastAsia" w:ascii="仿宋_GB2312" w:eastAsia="仿宋_GB2312" w:cs="Times New Roman" w:hAnsiTheme="minorHAnsi"/>
          <w:b w:val="0"/>
          <w:bCs/>
          <w:color w:val="000000"/>
          <w:sz w:val="32"/>
          <w:szCs w:val="32"/>
          <w:lang w:val="en-US" w:eastAsia="zh-CN"/>
        </w:rPr>
        <w:sectPr>
          <w:footerReference r:id="rId5" w:type="default"/>
          <w:pgSz w:w="11906" w:h="16838"/>
          <w:pgMar w:top="1440" w:right="1800" w:bottom="1440" w:left="1800" w:header="720" w:footer="720" w:gutter="0"/>
          <w:pgNumType w:fmt="numberInDash" w:start="1"/>
          <w:cols w:space="720" w:num="1"/>
          <w:docGrid w:type="lines" w:linePitch="312" w:charSpace="0"/>
        </w:sectPr>
      </w:pPr>
      <w:r>
        <w:rPr>
          <w:rStyle w:val="15"/>
          <w:rFonts w:hint="eastAsia" w:ascii="仿宋_GB2312" w:eastAsia="仿宋_GB2312" w:cs="Times New Roman" w:hAnsiTheme="minorHAnsi"/>
          <w:b w:val="0"/>
          <w:bCs/>
          <w:color w:val="000000"/>
          <w:sz w:val="32"/>
          <w:szCs w:val="32"/>
          <w:lang w:val="en-US" w:eastAsia="zh-CN"/>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FABFCC3">
      <w:pPr>
        <w:spacing w:line="240" w:lineRule="auto"/>
        <w:ind w:firstLine="2200" w:firstLineChars="500"/>
        <w:jc w:val="both"/>
        <w:rPr>
          <w:rStyle w:val="16"/>
          <w:rFonts w:hint="eastAsia" w:ascii="Times New Roman" w:hAnsi="Times New Roman" w:eastAsia="黑体"/>
          <w:b w:val="0"/>
          <w:color w:val="auto"/>
          <w:highlight w:val="none"/>
          <w:lang w:eastAsia="zh-CN"/>
        </w:rPr>
      </w:pPr>
      <w:bookmarkStart w:id="4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1"/>
    </w:p>
    <w:p w14:paraId="5B3ABF8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25D45D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868DD3A">
      <w:pPr>
        <w:keepNext w:val="0"/>
        <w:keepLines w:val="0"/>
        <w:pageBreakBefore w:val="0"/>
        <w:widowControl w:val="0"/>
        <w:kinsoku/>
        <w:wordWrap/>
        <w:overflowPunct/>
        <w:topLinePunct w:val="0"/>
        <w:autoSpaceDE/>
        <w:autoSpaceDN/>
        <w:bidi w:val="0"/>
        <w:spacing w:line="560" w:lineRule="exact"/>
        <w:contextualSpacing/>
        <w:jc w:val="center"/>
        <w:textAlignment w:val="auto"/>
        <w:rPr>
          <w:rFonts w:hint="eastAsia" w:ascii="方正小标宋简体" w:hAnsi="方正小标宋简体" w:eastAsia="方正小标宋简体" w:cs="方正小标宋简体"/>
          <w:color w:val="000000"/>
          <w:kern w:val="0"/>
          <w:sz w:val="44"/>
          <w:szCs w:val="44"/>
          <w:lang w:val="en-US" w:eastAsia="zh-CN" w:bidi="ar-SA"/>
        </w:rPr>
      </w:pPr>
      <w:r>
        <w:rPr>
          <w:rFonts w:hint="eastAsia" w:ascii="方正小标宋简体" w:hAnsi="方正小标宋简体" w:eastAsia="方正小标宋简体" w:cs="方正小标宋简体"/>
          <w:color w:val="000000"/>
          <w:kern w:val="0"/>
          <w:sz w:val="44"/>
          <w:szCs w:val="44"/>
          <w:lang w:val="en-US" w:eastAsia="zh-CN" w:bidi="ar-SA"/>
        </w:rPr>
        <w:t>茂县工业服务中心</w:t>
      </w:r>
    </w:p>
    <w:p w14:paraId="24EAF1E8">
      <w:pPr>
        <w:keepNext w:val="0"/>
        <w:keepLines w:val="0"/>
        <w:pageBreakBefore w:val="0"/>
        <w:widowControl/>
        <w:kinsoku/>
        <w:wordWrap/>
        <w:overflowPunct/>
        <w:topLinePunct w:val="0"/>
        <w:autoSpaceDE/>
        <w:autoSpaceDN/>
        <w:bidi w:val="0"/>
        <w:adjustRightInd w:val="0"/>
        <w:snapToGrid w:val="0"/>
        <w:spacing w:line="578" w:lineRule="exact"/>
        <w:ind w:firstLine="1760" w:firstLineChars="400"/>
        <w:contextualSpacing/>
        <w:jc w:val="left"/>
        <w:textAlignment w:val="auto"/>
        <w:outlineLvl w:val="9"/>
        <w:rPr>
          <w:rFonts w:hint="eastAsia" w:ascii="方正小标宋简体" w:hAnsi="方正小标宋简体" w:eastAsia="方正小标宋简体" w:cs="方正小标宋简体"/>
          <w:color w:val="000000"/>
          <w:kern w:val="0"/>
          <w:sz w:val="44"/>
          <w:szCs w:val="44"/>
          <w:lang w:val="en-US" w:eastAsia="zh-CN" w:bidi="ar-SA"/>
        </w:rPr>
      </w:pPr>
      <w:r>
        <w:rPr>
          <w:rFonts w:hint="eastAsia" w:ascii="方正小标宋简体" w:hAnsi="方正小标宋简体" w:eastAsia="方正小标宋简体" w:cs="方正小标宋简体"/>
          <w:color w:val="000000"/>
          <w:kern w:val="0"/>
          <w:sz w:val="44"/>
          <w:szCs w:val="44"/>
          <w:lang w:val="en-US" w:eastAsia="zh-CN" w:bidi="ar-SA"/>
        </w:rPr>
        <w:t>部门预算绩效评价报告</w:t>
      </w:r>
    </w:p>
    <w:p w14:paraId="06B0B201">
      <w:pPr>
        <w:keepNext w:val="0"/>
        <w:keepLines w:val="0"/>
        <w:pageBreakBefore w:val="0"/>
        <w:widowControl/>
        <w:kinsoku/>
        <w:wordWrap/>
        <w:overflowPunct/>
        <w:topLinePunct w:val="0"/>
        <w:autoSpaceDE/>
        <w:autoSpaceDN/>
        <w:bidi w:val="0"/>
        <w:adjustRightInd w:val="0"/>
        <w:snapToGrid w:val="0"/>
        <w:spacing w:line="578" w:lineRule="exact"/>
        <w:ind w:firstLine="1760" w:firstLineChars="400"/>
        <w:contextualSpacing/>
        <w:jc w:val="left"/>
        <w:textAlignment w:val="auto"/>
        <w:outlineLvl w:val="9"/>
        <w:rPr>
          <w:rFonts w:hint="default" w:ascii="方正小标宋简体" w:hAnsi="方正小标宋简体" w:eastAsia="方正小标宋简体" w:cs="方正小标宋简体"/>
          <w:color w:val="000000"/>
          <w:kern w:val="0"/>
          <w:sz w:val="44"/>
          <w:szCs w:val="44"/>
          <w:lang w:val="en-US" w:eastAsia="zh-CN" w:bidi="ar-SA"/>
        </w:rPr>
      </w:pPr>
    </w:p>
    <w:p w14:paraId="4B92302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7A967D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3E1DF7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根据茂县县委机构编制委员会《关于调整县工业园区管理委员会机构编制有关事项的通知》（茂编发〔2020〕35号）的文件精神，将茂县工业园区管理委员会的行政职责划入茂县经济商务和信息化局，茂县工业园区管理委员会更名为“茂县工业服务中心”，调整为茂县经济商务和信息化局所属正科级公益一类事业单位，属一级预算单位。</w:t>
      </w:r>
    </w:p>
    <w:p w14:paraId="06255369">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p>
    <w:p w14:paraId="5AA8FB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1.贯彻执行国家、省、州、县的有关方针、政策、法律法规，执行州委、州政府、县委、县政府的决定和指示，依法制定园区经济管理规范性文件，检查督促园区内各企业贯彻执行；制定工业园区有关行政管理制度并监督执行。</w:t>
      </w:r>
    </w:p>
    <w:p w14:paraId="56328C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zh-CN" w:eastAsia="zh-CN" w:bidi="ar-SA"/>
        </w:rPr>
        <w:t>2. 按照现代工业发展的要求，编制园区发展总体规划、园区控制性详细规划、产业发展规划、经济目标规划、区域环评、水土保持、行洪论证、林地征占等报告并组织实施。</w:t>
      </w:r>
    </w:p>
    <w:p w14:paraId="13A6BC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3.负责园区内土地的统一开发，规划、建设和管理园区内的基础设施和公共设施。</w:t>
      </w:r>
    </w:p>
    <w:p w14:paraId="367478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4.配合县相关职能部门开展园区建设用地的实物量调查、土地征用、农户拆迁、土地价款的收支等工作。</w:t>
      </w:r>
    </w:p>
    <w:p w14:paraId="5D3244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5.坚持正确的产业导向，严格遵守国家制定的企业准入条件。对拟投资项目进行调研、论证、评估等相关工作，提出投资项目的可行性报告；做好招商引资、项目初审、合同签订等工作。</w:t>
      </w:r>
    </w:p>
    <w:p w14:paraId="37064D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6.统筹安排和管理园区的投资项目，负责企业入园的评估、选址工作；为企业用地、办证、项目备案、厂房建设、生产生活提供咨询、服务和协调。</w:t>
      </w:r>
    </w:p>
    <w:p w14:paraId="1370C9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7.贯彻落实州、县政府赋予园区的各项优惠政策，监督建设项目的实施。</w:t>
      </w:r>
    </w:p>
    <w:p w14:paraId="583B8F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8.配合有关部门做好安全生产、环境保护等工作；会同人力资源和社会保障部门协助企业做好人员招聘、培训和社会保障工作；配合税务、工商、财政部门做好税费征管等工作。</w:t>
      </w:r>
    </w:p>
    <w:p w14:paraId="772DED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9.贯彻执行国家、省、州、县关于政府投融资管理的政策，构建投融资平台，为企业融资提供方便，促进园区产业又好又快发展。</w:t>
      </w:r>
    </w:p>
    <w:p w14:paraId="10030C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10.承办县委、县政府交办的其他工作。</w:t>
      </w:r>
    </w:p>
    <w:p w14:paraId="5710952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2B9B8D8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default" w:ascii="仿宋_GB2312" w:eastAsia="仿宋_GB2312" w:cs="Times New Roman" w:hAnsiTheme="minorHAnsi"/>
          <w:b w:val="0"/>
          <w:bCs/>
          <w:color w:val="000000"/>
          <w:kern w:val="2"/>
          <w:sz w:val="32"/>
          <w:szCs w:val="32"/>
          <w:lang w:val="en-US" w:eastAsia="zh-CN" w:bidi="ar-SA"/>
        </w:rPr>
        <w:t>截至202</w:t>
      </w: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default" w:ascii="仿宋_GB2312" w:eastAsia="仿宋_GB2312" w:cs="Times New Roman" w:hAnsiTheme="minorHAnsi"/>
          <w:b w:val="0"/>
          <w:bCs/>
          <w:color w:val="000000"/>
          <w:kern w:val="2"/>
          <w:sz w:val="32"/>
          <w:szCs w:val="32"/>
          <w:lang w:val="en-US" w:eastAsia="zh-CN" w:bidi="ar-SA"/>
        </w:rPr>
        <w:t>年</w:t>
      </w:r>
      <w:r>
        <w:rPr>
          <w:rStyle w:val="15"/>
          <w:rFonts w:hint="eastAsia" w:ascii="仿宋_GB2312" w:eastAsia="仿宋_GB2312" w:cs="Times New Roman" w:hAnsiTheme="minorHAnsi"/>
          <w:b w:val="0"/>
          <w:bCs/>
          <w:color w:val="000000"/>
          <w:kern w:val="2"/>
          <w:sz w:val="32"/>
          <w:szCs w:val="32"/>
          <w:lang w:val="en-US" w:eastAsia="zh-CN" w:bidi="ar-SA"/>
        </w:rPr>
        <w:t>度</w:t>
      </w:r>
      <w:r>
        <w:rPr>
          <w:rStyle w:val="15"/>
          <w:rFonts w:hint="default" w:ascii="仿宋_GB2312" w:eastAsia="仿宋_GB2312" w:cs="Times New Roman" w:hAnsiTheme="minorHAnsi"/>
          <w:b w:val="0"/>
          <w:bCs/>
          <w:color w:val="000000"/>
          <w:kern w:val="2"/>
          <w:sz w:val="32"/>
          <w:szCs w:val="32"/>
          <w:lang w:val="en-US" w:eastAsia="zh-CN" w:bidi="ar-SA"/>
        </w:rPr>
        <w:t>末，</w:t>
      </w:r>
      <w:r>
        <w:rPr>
          <w:rStyle w:val="15"/>
          <w:rFonts w:hint="eastAsia" w:ascii="仿宋_GB2312" w:eastAsia="仿宋_GB2312" w:cs="Times New Roman" w:hAnsiTheme="minorHAnsi"/>
          <w:b w:val="0"/>
          <w:bCs/>
          <w:color w:val="000000"/>
          <w:kern w:val="2"/>
          <w:sz w:val="32"/>
          <w:szCs w:val="32"/>
          <w:lang w:val="zh-CN" w:eastAsia="zh-CN" w:bidi="ar-SA"/>
        </w:rPr>
        <w:t>茂县工业服务中心事业编制</w:t>
      </w:r>
      <w:r>
        <w:rPr>
          <w:rStyle w:val="15"/>
          <w:rFonts w:hint="eastAsia" w:ascii="仿宋_GB2312" w:eastAsia="仿宋_GB2312" w:cs="Times New Roman" w:hAnsiTheme="minorHAnsi"/>
          <w:b w:val="0"/>
          <w:bCs/>
          <w:color w:val="000000"/>
          <w:kern w:val="2"/>
          <w:sz w:val="32"/>
          <w:szCs w:val="32"/>
          <w:lang w:val="en-US" w:eastAsia="zh-CN" w:bidi="ar-SA"/>
        </w:rPr>
        <w:t>8</w:t>
      </w:r>
      <w:r>
        <w:rPr>
          <w:rStyle w:val="15"/>
          <w:rFonts w:hint="eastAsia" w:ascii="仿宋_GB2312" w:eastAsia="仿宋_GB2312" w:cs="Times New Roman" w:hAnsiTheme="minorHAnsi"/>
          <w:b w:val="0"/>
          <w:bCs/>
          <w:color w:val="000000"/>
          <w:kern w:val="2"/>
          <w:sz w:val="32"/>
          <w:szCs w:val="32"/>
          <w:lang w:val="zh-CN" w:eastAsia="zh-CN" w:bidi="ar-SA"/>
        </w:rPr>
        <w:t>人。其中：主任</w:t>
      </w:r>
      <w:r>
        <w:rPr>
          <w:rStyle w:val="15"/>
          <w:rFonts w:hint="eastAsia" w:ascii="仿宋_GB2312" w:eastAsia="仿宋_GB2312" w:cs="Times New Roman" w:hAnsiTheme="minorHAnsi"/>
          <w:b w:val="0"/>
          <w:bCs/>
          <w:color w:val="000000"/>
          <w:kern w:val="2"/>
          <w:sz w:val="32"/>
          <w:szCs w:val="32"/>
          <w:lang w:val="en-US" w:eastAsia="zh-CN" w:bidi="ar-SA"/>
        </w:rPr>
        <w:t>1</w:t>
      </w:r>
      <w:r>
        <w:rPr>
          <w:rStyle w:val="15"/>
          <w:rFonts w:hint="eastAsia" w:ascii="仿宋_GB2312" w:eastAsia="仿宋_GB2312" w:cs="Times New Roman" w:hAnsiTheme="minorHAnsi"/>
          <w:b w:val="0"/>
          <w:bCs/>
          <w:color w:val="000000"/>
          <w:kern w:val="2"/>
          <w:sz w:val="32"/>
          <w:szCs w:val="32"/>
          <w:lang w:val="zh-CN" w:eastAsia="zh-CN" w:bidi="ar-SA"/>
        </w:rPr>
        <w:t>名，副主任2名。202</w:t>
      </w: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eastAsia" w:ascii="仿宋_GB2312" w:eastAsia="仿宋_GB2312" w:cs="Times New Roman" w:hAnsiTheme="minorHAnsi"/>
          <w:b w:val="0"/>
          <w:bCs/>
          <w:color w:val="000000"/>
          <w:kern w:val="2"/>
          <w:sz w:val="32"/>
          <w:szCs w:val="32"/>
          <w:lang w:val="zh-CN" w:eastAsia="zh-CN" w:bidi="ar-SA"/>
        </w:rPr>
        <w:t>年度在职职工</w:t>
      </w:r>
      <w:r>
        <w:rPr>
          <w:rStyle w:val="15"/>
          <w:rFonts w:hint="eastAsia" w:ascii="仿宋_GB2312" w:eastAsia="仿宋_GB2312" w:cs="Times New Roman" w:hAnsiTheme="minorHAnsi"/>
          <w:b w:val="0"/>
          <w:bCs/>
          <w:color w:val="000000"/>
          <w:kern w:val="2"/>
          <w:sz w:val="32"/>
          <w:szCs w:val="32"/>
          <w:lang w:val="en-US" w:eastAsia="zh-CN" w:bidi="ar-SA"/>
        </w:rPr>
        <w:t>9</w:t>
      </w:r>
      <w:r>
        <w:rPr>
          <w:rStyle w:val="15"/>
          <w:rFonts w:hint="eastAsia" w:ascii="仿宋_GB2312" w:eastAsia="仿宋_GB2312" w:cs="Times New Roman" w:hAnsiTheme="minorHAnsi"/>
          <w:b w:val="0"/>
          <w:bCs/>
          <w:color w:val="000000"/>
          <w:kern w:val="2"/>
          <w:sz w:val="32"/>
          <w:szCs w:val="32"/>
          <w:lang w:val="zh-CN" w:eastAsia="zh-CN" w:bidi="ar-SA"/>
        </w:rPr>
        <w:t>人，其中：专业技术人员</w:t>
      </w: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eastAsia" w:ascii="仿宋_GB2312" w:eastAsia="仿宋_GB2312" w:cs="Times New Roman" w:hAnsiTheme="minorHAnsi"/>
          <w:b w:val="0"/>
          <w:bCs/>
          <w:color w:val="000000"/>
          <w:kern w:val="2"/>
          <w:sz w:val="32"/>
          <w:szCs w:val="32"/>
          <w:lang w:val="zh-CN" w:eastAsia="zh-CN" w:bidi="ar-SA"/>
        </w:rPr>
        <w:t>人，管理人员</w:t>
      </w:r>
      <w:r>
        <w:rPr>
          <w:rStyle w:val="15"/>
          <w:rFonts w:hint="eastAsia" w:ascii="仿宋_GB2312" w:eastAsia="仿宋_GB2312" w:cs="Times New Roman" w:hAnsiTheme="minorHAnsi"/>
          <w:b w:val="0"/>
          <w:bCs/>
          <w:color w:val="000000"/>
          <w:kern w:val="2"/>
          <w:sz w:val="32"/>
          <w:szCs w:val="32"/>
          <w:lang w:val="en-US" w:eastAsia="zh-CN" w:bidi="ar-SA"/>
        </w:rPr>
        <w:t>4</w:t>
      </w:r>
      <w:r>
        <w:rPr>
          <w:rStyle w:val="15"/>
          <w:rFonts w:hint="eastAsia" w:ascii="仿宋_GB2312" w:eastAsia="仿宋_GB2312" w:cs="Times New Roman" w:hAnsiTheme="minorHAnsi"/>
          <w:b w:val="0"/>
          <w:bCs/>
          <w:color w:val="000000"/>
          <w:kern w:val="2"/>
          <w:sz w:val="32"/>
          <w:szCs w:val="32"/>
          <w:lang w:val="zh-CN" w:eastAsia="zh-CN" w:bidi="ar-SA"/>
        </w:rPr>
        <w:t>人。</w:t>
      </w:r>
    </w:p>
    <w:p w14:paraId="4488A1BE">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default" w:ascii="Times New Roman" w:hAnsi="Times New Roman" w:cs="Times New Roman"/>
          <w:szCs w:val="32"/>
        </w:rPr>
      </w:pPr>
    </w:p>
    <w:p w14:paraId="6481801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38810F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34E4C2C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default"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2025</w:t>
      </w:r>
      <w:r>
        <w:rPr>
          <w:rStyle w:val="15"/>
          <w:rFonts w:hint="eastAsia" w:ascii="仿宋_GB2312" w:eastAsia="仿宋_GB2312" w:cs="Times New Roman" w:hAnsiTheme="minorHAnsi"/>
          <w:b w:val="0"/>
          <w:bCs/>
          <w:color w:val="000000"/>
          <w:kern w:val="2"/>
          <w:sz w:val="32"/>
          <w:szCs w:val="32"/>
          <w:lang w:val="zh-CN" w:eastAsia="zh-CN" w:bidi="ar-SA"/>
        </w:rPr>
        <w:t>年度本中心财政拨款收入决算总额为</w:t>
      </w:r>
      <w:r>
        <w:rPr>
          <w:rStyle w:val="15"/>
          <w:rFonts w:hint="eastAsia" w:ascii="仿宋_GB2312" w:eastAsia="仿宋_GB2312" w:cs="Times New Roman" w:hAnsiTheme="minorHAnsi"/>
          <w:b w:val="0"/>
          <w:bCs/>
          <w:color w:val="000000"/>
          <w:kern w:val="2"/>
          <w:sz w:val="32"/>
          <w:szCs w:val="32"/>
          <w:lang w:val="en-US" w:eastAsia="zh-CN" w:bidi="ar-SA"/>
        </w:rPr>
        <w:t>168.93</w:t>
      </w:r>
      <w:r>
        <w:rPr>
          <w:rStyle w:val="15"/>
          <w:rFonts w:hint="eastAsia" w:ascii="仿宋_GB2312" w:eastAsia="仿宋_GB2312" w:cs="Times New Roman" w:hAnsiTheme="minorHAnsi"/>
          <w:b w:val="0"/>
          <w:bCs/>
          <w:color w:val="000000"/>
          <w:kern w:val="2"/>
          <w:sz w:val="32"/>
          <w:szCs w:val="32"/>
          <w:lang w:val="zh-CN" w:eastAsia="zh-CN" w:bidi="ar-SA"/>
        </w:rPr>
        <w:t>万元，其中：当年财政拨款收入</w:t>
      </w:r>
      <w:r>
        <w:rPr>
          <w:rStyle w:val="15"/>
          <w:rFonts w:hint="eastAsia" w:ascii="仿宋_GB2312" w:eastAsia="仿宋_GB2312" w:cs="Times New Roman" w:hAnsiTheme="minorHAnsi"/>
          <w:b w:val="0"/>
          <w:bCs/>
          <w:color w:val="000000"/>
          <w:kern w:val="2"/>
          <w:sz w:val="32"/>
          <w:szCs w:val="32"/>
          <w:lang w:val="en-US" w:eastAsia="zh-CN" w:bidi="ar-SA"/>
        </w:rPr>
        <w:t>168.93</w:t>
      </w:r>
      <w:r>
        <w:rPr>
          <w:rStyle w:val="15"/>
          <w:rFonts w:hint="eastAsia" w:ascii="仿宋_GB2312" w:eastAsia="仿宋_GB2312" w:cs="Times New Roman" w:hAnsiTheme="minorHAnsi"/>
          <w:b w:val="0"/>
          <w:bCs/>
          <w:color w:val="000000"/>
          <w:kern w:val="2"/>
          <w:sz w:val="32"/>
          <w:szCs w:val="32"/>
          <w:lang w:val="zh-CN" w:eastAsia="zh-CN" w:bidi="ar-SA"/>
        </w:rPr>
        <w:t>万元，均为一般公共预算财政拨款。</w:t>
      </w:r>
    </w:p>
    <w:p w14:paraId="02B3AC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7982335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20</w:t>
      </w:r>
      <w:r>
        <w:rPr>
          <w:rStyle w:val="15"/>
          <w:rFonts w:hint="eastAsia" w:ascii="仿宋_GB2312" w:eastAsia="仿宋_GB2312" w:cs="Times New Roman" w:hAnsiTheme="minorHAnsi"/>
          <w:b w:val="0"/>
          <w:bCs/>
          <w:color w:val="000000"/>
          <w:kern w:val="2"/>
          <w:sz w:val="32"/>
          <w:szCs w:val="32"/>
          <w:lang w:val="en-US" w:eastAsia="zh-CN" w:bidi="ar-SA"/>
        </w:rPr>
        <w:t>25</w:t>
      </w:r>
      <w:r>
        <w:rPr>
          <w:rStyle w:val="15"/>
          <w:rFonts w:hint="eastAsia" w:ascii="仿宋_GB2312" w:eastAsia="仿宋_GB2312" w:cs="Times New Roman" w:hAnsiTheme="minorHAnsi"/>
          <w:b w:val="0"/>
          <w:bCs/>
          <w:color w:val="000000"/>
          <w:kern w:val="2"/>
          <w:sz w:val="32"/>
          <w:szCs w:val="32"/>
          <w:lang w:val="zh-CN" w:eastAsia="zh-CN" w:bidi="ar-SA"/>
        </w:rPr>
        <w:t>年本部门财政拨款支出决算总额</w:t>
      </w:r>
      <w:r>
        <w:rPr>
          <w:rStyle w:val="15"/>
          <w:rFonts w:hint="eastAsia" w:ascii="仿宋_GB2312" w:eastAsia="仿宋_GB2312" w:cs="Times New Roman" w:hAnsiTheme="minorHAnsi"/>
          <w:b w:val="0"/>
          <w:bCs/>
          <w:color w:val="000000"/>
          <w:kern w:val="2"/>
          <w:sz w:val="32"/>
          <w:szCs w:val="32"/>
          <w:lang w:val="en-US" w:eastAsia="zh-CN" w:bidi="ar-SA"/>
        </w:rPr>
        <w:t>168.93万</w:t>
      </w:r>
      <w:r>
        <w:rPr>
          <w:rStyle w:val="15"/>
          <w:rFonts w:hint="eastAsia" w:ascii="仿宋_GB2312" w:eastAsia="仿宋_GB2312" w:cs="Times New Roman" w:hAnsiTheme="minorHAnsi"/>
          <w:b w:val="0"/>
          <w:bCs/>
          <w:color w:val="000000"/>
          <w:kern w:val="2"/>
          <w:sz w:val="32"/>
          <w:szCs w:val="32"/>
          <w:lang w:val="zh-CN" w:eastAsia="zh-CN" w:bidi="ar-SA"/>
        </w:rPr>
        <w:t>元。其中：当年财政拨款支出</w:t>
      </w:r>
      <w:r>
        <w:rPr>
          <w:rStyle w:val="15"/>
          <w:rFonts w:hint="eastAsia" w:ascii="仿宋_GB2312" w:eastAsia="仿宋_GB2312" w:cs="Times New Roman" w:hAnsiTheme="minorHAnsi"/>
          <w:b w:val="0"/>
          <w:bCs/>
          <w:color w:val="000000"/>
          <w:kern w:val="2"/>
          <w:sz w:val="32"/>
          <w:szCs w:val="32"/>
          <w:lang w:val="en-US" w:eastAsia="zh-CN" w:bidi="ar-SA"/>
        </w:rPr>
        <w:t>168.93</w:t>
      </w:r>
      <w:r>
        <w:rPr>
          <w:rStyle w:val="15"/>
          <w:rFonts w:hint="eastAsia" w:ascii="仿宋_GB2312" w:eastAsia="仿宋_GB2312" w:cs="Times New Roman" w:hAnsiTheme="minorHAnsi"/>
          <w:b w:val="0"/>
          <w:bCs/>
          <w:color w:val="000000"/>
          <w:kern w:val="2"/>
          <w:sz w:val="32"/>
          <w:szCs w:val="32"/>
          <w:lang w:val="zh-CN" w:eastAsia="zh-CN" w:bidi="ar-SA"/>
        </w:rPr>
        <w:t>万元，均为一般公共预算财政拨款。</w:t>
      </w:r>
    </w:p>
    <w:p w14:paraId="26C469B7">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5EAF96E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default"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茂县工业服务中心202</w:t>
      </w: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eastAsia" w:ascii="仿宋_GB2312" w:eastAsia="仿宋_GB2312" w:cs="Times New Roman" w:hAnsiTheme="minorHAnsi"/>
          <w:b w:val="0"/>
          <w:bCs/>
          <w:color w:val="000000"/>
          <w:kern w:val="2"/>
          <w:sz w:val="32"/>
          <w:szCs w:val="32"/>
          <w:lang w:val="zh-CN" w:eastAsia="zh-CN" w:bidi="ar-SA"/>
        </w:rPr>
        <w:t>年度决算</w:t>
      </w:r>
      <w:r>
        <w:rPr>
          <w:rStyle w:val="15"/>
          <w:rFonts w:hint="eastAsia" w:ascii="仿宋_GB2312" w:eastAsia="仿宋_GB2312" w:cs="Times New Roman" w:hAnsiTheme="minorHAnsi"/>
          <w:b w:val="0"/>
          <w:bCs/>
          <w:color w:val="000000"/>
          <w:kern w:val="2"/>
          <w:sz w:val="32"/>
          <w:szCs w:val="32"/>
          <w:lang w:val="en-US" w:eastAsia="zh-CN" w:bidi="ar-SA"/>
        </w:rPr>
        <w:t>无结余分配和结转。</w:t>
      </w:r>
    </w:p>
    <w:p w14:paraId="73091C5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A6EA818">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121E2CA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1.履职效能</w:t>
      </w:r>
    </w:p>
    <w:p w14:paraId="095C27D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严格控制“三公”经费，及时有效地进行预算绩效目标的监控，减少资金结余，同时保障了园区工作的有效运行。</w:t>
      </w:r>
    </w:p>
    <w:p w14:paraId="2200581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2.</w:t>
      </w:r>
      <w:r>
        <w:rPr>
          <w:rStyle w:val="15"/>
          <w:rFonts w:hint="eastAsia" w:ascii="仿宋_GB2312" w:eastAsia="仿宋_GB2312" w:cs="Times New Roman" w:hAnsiTheme="minorHAnsi"/>
          <w:b w:val="0"/>
          <w:bCs/>
          <w:color w:val="000000"/>
          <w:kern w:val="2"/>
          <w:sz w:val="32"/>
          <w:szCs w:val="32"/>
          <w:lang w:val="zh-CN" w:eastAsia="zh-CN" w:bidi="ar-SA"/>
        </w:rPr>
        <w:t>预算管理</w:t>
      </w:r>
    </w:p>
    <w:p w14:paraId="00FDEC8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我单位实行预算管理制度，根据《中华人民共和国预算法》等法律法规的规定和财政部门下发的文件要求进行预算编制，严格按照预算编制进行资金支付。</w:t>
      </w:r>
    </w:p>
    <w:p w14:paraId="3F03B37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3.</w:t>
      </w:r>
      <w:r>
        <w:rPr>
          <w:rStyle w:val="15"/>
          <w:rFonts w:hint="eastAsia" w:ascii="仿宋_GB2312" w:eastAsia="仿宋_GB2312" w:cs="Times New Roman" w:hAnsiTheme="minorHAnsi"/>
          <w:b w:val="0"/>
          <w:bCs/>
          <w:color w:val="000000"/>
          <w:kern w:val="2"/>
          <w:sz w:val="32"/>
          <w:szCs w:val="32"/>
          <w:lang w:val="zh-CN" w:eastAsia="zh-CN" w:bidi="ar-SA"/>
        </w:rPr>
        <w:t>财务管理</w:t>
      </w:r>
    </w:p>
    <w:p w14:paraId="2A7A2D6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财务管理制度健全、合法合规、完整，会计核算规范</w:t>
      </w:r>
      <w:r>
        <w:rPr>
          <w:rStyle w:val="15"/>
          <w:rFonts w:hint="eastAsia" w:ascii="仿宋_GB2312" w:eastAsia="仿宋_GB2312" w:cs="Times New Roman" w:hAnsiTheme="minorHAnsi"/>
          <w:b w:val="0"/>
          <w:bCs/>
          <w:color w:val="000000"/>
          <w:kern w:val="2"/>
          <w:sz w:val="32"/>
          <w:szCs w:val="32"/>
          <w:lang w:val="zh-CN" w:eastAsia="zh-CN" w:bidi="ar-SA"/>
        </w:rPr>
        <w:t>；资金的</w:t>
      </w:r>
      <w:r>
        <w:rPr>
          <w:rStyle w:val="15"/>
          <w:rFonts w:hint="eastAsia" w:ascii="仿宋_GB2312" w:eastAsia="仿宋_GB2312" w:cs="Times New Roman" w:hAnsiTheme="minorHAnsi"/>
          <w:b w:val="0"/>
          <w:bCs/>
          <w:color w:val="000000"/>
          <w:kern w:val="2"/>
          <w:sz w:val="32"/>
          <w:szCs w:val="32"/>
          <w:lang w:val="en-US" w:eastAsia="zh-CN" w:bidi="ar-SA"/>
        </w:rPr>
        <w:t>支付符合国家财经法规和财务管理制度规定以及相关资金管理办法，资金的拨付有完整的审批流程和手续，支出符合部门预算用途，资金无截留、挤占、挪用、虚列支出等情况。</w:t>
      </w:r>
    </w:p>
    <w:p w14:paraId="4C9B397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4.</w:t>
      </w:r>
      <w:r>
        <w:rPr>
          <w:rStyle w:val="15"/>
          <w:rFonts w:hint="eastAsia" w:ascii="仿宋_GB2312" w:eastAsia="仿宋_GB2312" w:cs="Times New Roman" w:hAnsiTheme="minorHAnsi"/>
          <w:b w:val="0"/>
          <w:bCs/>
          <w:color w:val="000000"/>
          <w:kern w:val="2"/>
          <w:sz w:val="32"/>
          <w:szCs w:val="32"/>
          <w:lang w:val="zh-CN" w:eastAsia="zh-CN" w:bidi="ar-SA"/>
        </w:rPr>
        <w:t>资产管理</w:t>
      </w:r>
    </w:p>
    <w:p w14:paraId="182737B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我单位无新增资产，人均资产的变化率主要体现在资产的摊销折旧的增加，人均资产变化率下降。</w:t>
      </w:r>
    </w:p>
    <w:p w14:paraId="41B83149">
      <w:pPr>
        <w:keepNext w:val="0"/>
        <w:keepLines w:val="0"/>
        <w:pageBreakBefore w:val="0"/>
        <w:widowControl/>
        <w:numPr>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eastAsia" w:ascii="仿宋_GB2312" w:eastAsia="仿宋_GB2312" w:cs="Times New Roman" w:hAnsiTheme="minorHAnsi"/>
          <w:b w:val="0"/>
          <w:bCs/>
          <w:color w:val="000000"/>
          <w:kern w:val="2"/>
          <w:sz w:val="32"/>
          <w:szCs w:val="32"/>
          <w:lang w:val="zh-CN" w:eastAsia="zh-CN" w:bidi="ar-SA"/>
        </w:rPr>
        <w:t>采购管理</w:t>
      </w:r>
    </w:p>
    <w:p w14:paraId="4B056AC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Style w:val="15"/>
          <w:rFonts w:hint="default"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 xml:space="preserve">    </w:t>
      </w:r>
      <w:r>
        <w:rPr>
          <w:rStyle w:val="15"/>
          <w:rFonts w:hint="eastAsia" w:ascii="仿宋_GB2312" w:eastAsia="仿宋_GB2312" w:cs="Times New Roman" w:hAnsiTheme="minorHAnsi"/>
          <w:b w:val="0"/>
          <w:bCs/>
          <w:color w:val="000000"/>
          <w:kern w:val="2"/>
          <w:sz w:val="32"/>
          <w:szCs w:val="32"/>
          <w:lang w:val="zh-CN" w:eastAsia="zh-CN" w:bidi="ar-SA"/>
        </w:rPr>
        <w:t>我单位</w:t>
      </w:r>
      <w:r>
        <w:rPr>
          <w:rStyle w:val="15"/>
          <w:rFonts w:hint="eastAsia" w:ascii="仿宋_GB2312" w:eastAsia="仿宋_GB2312" w:cs="Times New Roman" w:hAnsiTheme="minorHAnsi"/>
          <w:b w:val="0"/>
          <w:bCs/>
          <w:color w:val="000000"/>
          <w:kern w:val="2"/>
          <w:sz w:val="32"/>
          <w:szCs w:val="32"/>
          <w:lang w:val="en-US" w:eastAsia="zh-CN" w:bidi="ar-SA"/>
        </w:rPr>
        <w:t>不涉及政府采购。</w:t>
      </w:r>
    </w:p>
    <w:p w14:paraId="6BA99D1D">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p>
    <w:p w14:paraId="329B3A4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常年项目绩效分析。该类项目涉及预算总金额</w:t>
      </w:r>
      <w:r>
        <w:rPr>
          <w:rStyle w:val="15"/>
          <w:rFonts w:hint="eastAsia" w:ascii="仿宋_GB2312" w:eastAsia="仿宋_GB2312" w:cs="Times New Roman" w:hAnsiTheme="minorHAnsi"/>
          <w:b w:val="0"/>
          <w:bCs/>
          <w:color w:val="000000"/>
          <w:kern w:val="2"/>
          <w:sz w:val="32"/>
          <w:szCs w:val="32"/>
          <w:lang w:val="en-US" w:eastAsia="zh-CN" w:bidi="ar-SA"/>
        </w:rPr>
        <w:t>168.93万</w:t>
      </w:r>
      <w:r>
        <w:rPr>
          <w:rStyle w:val="15"/>
          <w:rFonts w:hint="eastAsia" w:ascii="仿宋_GB2312" w:eastAsia="仿宋_GB2312" w:cs="Times New Roman" w:hAnsiTheme="minorHAnsi"/>
          <w:b w:val="0"/>
          <w:bCs/>
          <w:color w:val="000000"/>
          <w:kern w:val="2"/>
          <w:sz w:val="32"/>
          <w:szCs w:val="32"/>
          <w:lang w:val="zh-CN" w:eastAsia="zh-CN" w:bidi="ar-SA"/>
        </w:rPr>
        <w:t xml:space="preserve">元，1—12月预算执行总体进度为 </w:t>
      </w:r>
      <w:r>
        <w:rPr>
          <w:rStyle w:val="15"/>
          <w:rFonts w:hint="eastAsia" w:ascii="仿宋_GB2312" w:eastAsia="仿宋_GB2312" w:cs="Times New Roman" w:hAnsiTheme="minorHAnsi"/>
          <w:b w:val="0"/>
          <w:bCs/>
          <w:color w:val="000000"/>
          <w:kern w:val="2"/>
          <w:sz w:val="32"/>
          <w:szCs w:val="32"/>
          <w:lang w:val="en-US" w:eastAsia="zh-CN" w:bidi="ar-SA"/>
        </w:rPr>
        <w:t>100</w:t>
      </w:r>
      <w:r>
        <w:rPr>
          <w:rStyle w:val="15"/>
          <w:rFonts w:hint="eastAsia" w:ascii="仿宋_GB2312" w:eastAsia="仿宋_GB2312" w:cs="Times New Roman" w:hAnsiTheme="minorHAnsi"/>
          <w:b w:val="0"/>
          <w:bCs/>
          <w:color w:val="000000"/>
          <w:kern w:val="2"/>
          <w:sz w:val="32"/>
          <w:szCs w:val="32"/>
          <w:lang w:val="zh-CN" w:eastAsia="zh-CN" w:bidi="ar-SA"/>
        </w:rPr>
        <w:t>%，其中：预算结余率大于10%的项目共计</w:t>
      </w:r>
      <w:r>
        <w:rPr>
          <w:rStyle w:val="15"/>
          <w:rFonts w:hint="eastAsia" w:ascii="仿宋_GB2312" w:eastAsia="仿宋_GB2312" w:cs="Times New Roman" w:hAnsiTheme="minorHAnsi"/>
          <w:b w:val="0"/>
          <w:bCs/>
          <w:color w:val="000000"/>
          <w:kern w:val="2"/>
          <w:sz w:val="32"/>
          <w:szCs w:val="32"/>
          <w:lang w:val="en-US" w:eastAsia="zh-CN" w:bidi="ar-SA"/>
        </w:rPr>
        <w:t>0</w:t>
      </w:r>
      <w:r>
        <w:rPr>
          <w:rStyle w:val="15"/>
          <w:rFonts w:hint="eastAsia" w:ascii="仿宋_GB2312" w:eastAsia="仿宋_GB2312" w:cs="Times New Roman" w:hAnsiTheme="minorHAnsi"/>
          <w:b w:val="0"/>
          <w:bCs/>
          <w:color w:val="000000"/>
          <w:kern w:val="2"/>
          <w:sz w:val="32"/>
          <w:szCs w:val="32"/>
          <w:lang w:val="zh-CN" w:eastAsia="zh-CN" w:bidi="ar-SA"/>
        </w:rPr>
        <w:t xml:space="preserve"> 个。</w:t>
      </w:r>
    </w:p>
    <w:p w14:paraId="648159D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阶段（含一次性）项目绩效分析。该类项目总数</w:t>
      </w:r>
      <w:r>
        <w:rPr>
          <w:rStyle w:val="15"/>
          <w:rFonts w:hint="eastAsia" w:ascii="仿宋_GB2312" w:eastAsia="仿宋_GB2312" w:cs="Times New Roman" w:hAnsiTheme="minorHAnsi"/>
          <w:b w:val="0"/>
          <w:bCs/>
          <w:color w:val="000000"/>
          <w:kern w:val="2"/>
          <w:sz w:val="32"/>
          <w:szCs w:val="32"/>
          <w:lang w:val="en-US" w:eastAsia="zh-CN" w:bidi="ar-SA"/>
        </w:rPr>
        <w:t>2</w:t>
      </w:r>
      <w:r>
        <w:rPr>
          <w:rStyle w:val="15"/>
          <w:rFonts w:hint="eastAsia" w:ascii="仿宋_GB2312" w:eastAsia="仿宋_GB2312" w:cs="Times New Roman" w:hAnsiTheme="minorHAnsi"/>
          <w:b w:val="0"/>
          <w:bCs/>
          <w:color w:val="000000"/>
          <w:kern w:val="2"/>
          <w:sz w:val="32"/>
          <w:szCs w:val="32"/>
          <w:lang w:val="zh-CN" w:eastAsia="zh-CN" w:bidi="ar-SA"/>
        </w:rPr>
        <w:t>个，涉及预算总金额</w:t>
      </w:r>
      <w:r>
        <w:rPr>
          <w:rStyle w:val="15"/>
          <w:rFonts w:hint="eastAsia" w:ascii="仿宋_GB2312" w:eastAsia="仿宋_GB2312" w:cs="Times New Roman" w:hAnsiTheme="minorHAnsi"/>
          <w:b w:val="0"/>
          <w:bCs/>
          <w:color w:val="000000"/>
          <w:kern w:val="2"/>
          <w:sz w:val="32"/>
          <w:szCs w:val="32"/>
          <w:lang w:val="en-US" w:eastAsia="zh-CN" w:bidi="ar-SA"/>
        </w:rPr>
        <w:t>98.15</w:t>
      </w:r>
      <w:r>
        <w:rPr>
          <w:rStyle w:val="15"/>
          <w:rFonts w:hint="eastAsia" w:ascii="仿宋_GB2312" w:eastAsia="仿宋_GB2312" w:cs="Times New Roman" w:hAnsiTheme="minorHAnsi"/>
          <w:b w:val="0"/>
          <w:bCs/>
          <w:color w:val="000000"/>
          <w:kern w:val="2"/>
          <w:sz w:val="32"/>
          <w:szCs w:val="32"/>
          <w:lang w:val="zh-CN" w:eastAsia="zh-CN" w:bidi="ar-SA"/>
        </w:rPr>
        <w:t>万元，1—12月预算执行总体进度为100 %，其中：预算结余率大于10%的项目共计0个。</w:t>
      </w:r>
    </w:p>
    <w:p w14:paraId="7D76E52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1.项目决策</w:t>
      </w:r>
    </w:p>
    <w:p w14:paraId="47E703F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根据项目申报条件，单位班子成员及股室负责人或相关决策机构对项目评估报告进行审议后，向上级主管部门申报，同时由企业对项目目标设置后，待资金下达后，再撰写项目事前评估报告，项目入库申报。</w:t>
      </w:r>
    </w:p>
    <w:p w14:paraId="407EEB9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2.</w:t>
      </w:r>
      <w:r>
        <w:rPr>
          <w:rStyle w:val="15"/>
          <w:rFonts w:hint="eastAsia" w:ascii="仿宋_GB2312" w:eastAsia="仿宋_GB2312" w:cs="Times New Roman" w:hAnsiTheme="minorHAnsi"/>
          <w:b w:val="0"/>
          <w:bCs/>
          <w:color w:val="000000"/>
          <w:kern w:val="2"/>
          <w:sz w:val="32"/>
          <w:szCs w:val="32"/>
          <w:lang w:val="zh-CN" w:eastAsia="zh-CN" w:bidi="ar-SA"/>
        </w:rPr>
        <w:t>项目执行</w:t>
      </w:r>
    </w:p>
    <w:p w14:paraId="5314875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en-US" w:eastAsia="zh-CN" w:bidi="ar-SA"/>
        </w:rPr>
      </w:pPr>
      <w:r>
        <w:rPr>
          <w:rStyle w:val="15"/>
          <w:rFonts w:hint="eastAsia" w:ascii="仿宋_GB2312" w:eastAsia="仿宋_GB2312" w:cs="Times New Roman" w:hAnsiTheme="minorHAnsi"/>
          <w:b w:val="0"/>
          <w:bCs/>
          <w:color w:val="000000"/>
          <w:kern w:val="2"/>
          <w:sz w:val="32"/>
          <w:szCs w:val="32"/>
          <w:lang w:val="en-US" w:eastAsia="zh-CN" w:bidi="ar-SA"/>
        </w:rPr>
        <w:t>阿坝州生态环境分区管控茂县工业重点管控单元大气污染物允许排放量更新论证项目，预算数10万元，支付数10万元，执行进度100%。</w:t>
      </w:r>
    </w:p>
    <w:p w14:paraId="4BB5F95D">
      <w:pPr>
        <w:pageBreakBefore w:val="0"/>
        <w:numPr>
          <w:ilvl w:val="0"/>
          <w:numId w:val="0"/>
        </w:numPr>
        <w:kinsoku/>
        <w:wordWrap/>
        <w:overflowPunct/>
        <w:topLinePunct w:val="0"/>
        <w:bidi w:val="0"/>
        <w:spacing w:line="576"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en-US" w:eastAsia="zh-CN" w:bidi="ar-SA"/>
        </w:rPr>
        <w:t>3.</w:t>
      </w:r>
      <w:r>
        <w:rPr>
          <w:rStyle w:val="15"/>
          <w:rFonts w:hint="eastAsia" w:ascii="仿宋_GB2312" w:eastAsia="仿宋_GB2312" w:cs="Times New Roman" w:hAnsiTheme="minorHAnsi"/>
          <w:b w:val="0"/>
          <w:bCs/>
          <w:color w:val="000000"/>
          <w:kern w:val="2"/>
          <w:sz w:val="32"/>
          <w:szCs w:val="32"/>
          <w:lang w:val="zh-CN" w:eastAsia="zh-CN" w:bidi="ar-SA"/>
        </w:rPr>
        <w:t>目标实现</w:t>
      </w:r>
    </w:p>
    <w:p w14:paraId="65A4B567">
      <w:pPr>
        <w:pageBreakBefore w:val="0"/>
        <w:numPr>
          <w:ilvl w:val="0"/>
          <w:numId w:val="0"/>
        </w:numPr>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000000"/>
          <w:kern w:val="0"/>
          <w:sz w:val="32"/>
          <w:szCs w:val="32"/>
          <w:shd w:val="clear" w:color="auto" w:fill="FFFFFF"/>
          <w:lang w:val="zh-CN" w:eastAsia="zh-CN" w:bidi="ar-SA"/>
        </w:rPr>
      </w:pPr>
      <w:r>
        <w:rPr>
          <w:rFonts w:hint="default" w:ascii="Times New Roman" w:hAnsi="Times New Roman" w:eastAsia="仿宋_GB2312" w:cs="Times New Roman"/>
          <w:color w:val="000000"/>
          <w:kern w:val="0"/>
          <w:sz w:val="32"/>
          <w:szCs w:val="32"/>
          <w:shd w:val="clear" w:color="auto" w:fill="FFFFFF"/>
          <w:lang w:val="zh-CN" w:eastAsia="zh-CN" w:bidi="ar-SA"/>
        </w:rPr>
        <w:t>各项既定绩效目标全部圆满达成，履职、预算、财务等核心指标均达到评价标准，有效保障了政法各项核心工作有序推进。</w:t>
      </w:r>
    </w:p>
    <w:p w14:paraId="06ACD5C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Fonts w:hint="default" w:ascii="Times New Roman" w:hAnsi="Times New Roman" w:eastAsia="仿宋_GB2312" w:cs="Times New Roman"/>
          <w:sz w:val="32"/>
          <w:szCs w:val="32"/>
          <w:lang w:eastAsia="zh-CN"/>
        </w:rPr>
        <w:t>我单位无</w:t>
      </w:r>
      <w:r>
        <w:rPr>
          <w:rFonts w:hint="default" w:ascii="Times New Roman" w:hAnsi="Times New Roman" w:eastAsia="仿宋_GB2312" w:cs="Times New Roman"/>
          <w:sz w:val="32"/>
          <w:szCs w:val="32"/>
        </w:rPr>
        <w:t>省级部门对202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年度一般公共预算、政府性基金预算、国有资本经营预算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以及债券资金、政府购买服务。</w:t>
      </w:r>
    </w:p>
    <w:p w14:paraId="4BE45BEA">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both"/>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07A4BAE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我中心认真学习贯彻党中央、国务院和省委、省政府关于全面实施预算绩效管理决策部署，根据职能职责积极谋划，确定目标任务，积极发挥公共财政职能作用，推动落实稳增长、促改革、调结构、惠民生、防风险各项工作。我单位对部门预算绩效管理工作开展情况进行了自评。绩效评价自查开展覆盖单位所有支出（本部门无专项预算项目，因此本部门未组织开展项目支出绩效评价），将评价结果作为预算安排的重要依据，</w:t>
      </w:r>
      <w:r>
        <w:rPr>
          <w:rFonts w:hint="default" w:ascii="Times New Roman" w:hAnsi="Times New Roman" w:eastAsia="仿宋_GB2312" w:cs="Times New Roman"/>
          <w:w w:val="95"/>
          <w:kern w:val="0"/>
          <w:sz w:val="32"/>
          <w:szCs w:val="32"/>
          <w:lang w:val="zh-CN" w:eastAsia="zh-CN"/>
        </w:rPr>
        <w:t>针对薄弱环节及时整改，建立长效机制，切实提升绩效管控水平</w:t>
      </w:r>
      <w:r>
        <w:rPr>
          <w:rFonts w:hint="eastAsia" w:ascii="Times New Roman" w:hAnsi="Times New Roman" w:eastAsia="仿宋_GB2312" w:cs="Times New Roman"/>
          <w:w w:val="95"/>
          <w:kern w:val="0"/>
          <w:sz w:val="32"/>
          <w:szCs w:val="32"/>
          <w:lang w:val="zh-CN" w:eastAsia="zh-CN"/>
        </w:rPr>
        <w:t>。</w:t>
      </w:r>
    </w:p>
    <w:p w14:paraId="27738BF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D45A41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（一）</w:t>
      </w:r>
      <w:r>
        <w:rPr>
          <w:rFonts w:ascii="Times New Roman" w:hAnsi="Times New Roman" w:eastAsia="楷体_GB2312" w:cs="Times New Roman"/>
          <w:b/>
          <w:bCs/>
          <w:color w:val="000000"/>
          <w:kern w:val="0"/>
          <w:sz w:val="32"/>
          <w:szCs w:val="32"/>
          <w:shd w:val="clear" w:color="auto" w:fill="FFFFFF"/>
          <w:lang w:val="zh-CN"/>
        </w:rPr>
        <w:t>评价结论</w:t>
      </w:r>
    </w:p>
    <w:p w14:paraId="1A0F5A9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Style w:val="15"/>
          <w:rFonts w:hint="eastAsia" w:ascii="仿宋_GB2312" w:eastAsia="仿宋_GB2312" w:cs="Times New Roman" w:hAnsiTheme="minorHAnsi"/>
          <w:b w:val="0"/>
          <w:bCs/>
          <w:color w:val="000000"/>
          <w:kern w:val="2"/>
          <w:sz w:val="32"/>
          <w:szCs w:val="32"/>
          <w:lang w:val="zh-CN" w:eastAsia="zh-CN" w:bidi="ar-SA"/>
        </w:rPr>
      </w:pPr>
      <w:r>
        <w:rPr>
          <w:rStyle w:val="15"/>
          <w:rFonts w:hint="eastAsia" w:ascii="仿宋_GB2312" w:eastAsia="仿宋_GB2312" w:cs="Times New Roman" w:hAnsiTheme="minorHAnsi"/>
          <w:b w:val="0"/>
          <w:bCs/>
          <w:color w:val="000000"/>
          <w:kern w:val="2"/>
          <w:sz w:val="32"/>
          <w:szCs w:val="32"/>
          <w:lang w:val="zh-CN" w:eastAsia="zh-CN" w:bidi="ar-SA"/>
        </w:rPr>
        <w:t>茂县工业服务中心按照县财政局的要求，对中心财政支出进行了全面绩效评价，202</w:t>
      </w:r>
      <w:r>
        <w:rPr>
          <w:rStyle w:val="15"/>
          <w:rFonts w:hint="eastAsia" w:ascii="仿宋_GB2312" w:eastAsia="仿宋_GB2312" w:cs="Times New Roman" w:hAnsiTheme="minorHAnsi"/>
          <w:b w:val="0"/>
          <w:bCs/>
          <w:color w:val="000000"/>
          <w:kern w:val="2"/>
          <w:sz w:val="32"/>
          <w:szCs w:val="32"/>
          <w:lang w:val="en-US" w:eastAsia="zh-CN" w:bidi="ar-SA"/>
        </w:rPr>
        <w:t>5</w:t>
      </w:r>
      <w:r>
        <w:rPr>
          <w:rStyle w:val="15"/>
          <w:rFonts w:hint="eastAsia" w:ascii="仿宋_GB2312" w:eastAsia="仿宋_GB2312" w:cs="Times New Roman" w:hAnsiTheme="minorHAnsi"/>
          <w:b w:val="0"/>
          <w:bCs/>
          <w:color w:val="000000"/>
          <w:kern w:val="2"/>
          <w:sz w:val="32"/>
          <w:szCs w:val="32"/>
          <w:lang w:val="zh-CN" w:eastAsia="zh-CN" w:bidi="ar-SA"/>
        </w:rPr>
        <w:t>年度我中心绩效评价结果为</w:t>
      </w:r>
      <w:r>
        <w:rPr>
          <w:rStyle w:val="15"/>
          <w:rFonts w:hint="eastAsia" w:ascii="仿宋_GB2312" w:eastAsia="仿宋_GB2312" w:cs="Times New Roman" w:hAnsiTheme="minorHAnsi"/>
          <w:b w:val="0"/>
          <w:bCs/>
          <w:color w:val="000000"/>
          <w:kern w:val="2"/>
          <w:sz w:val="32"/>
          <w:szCs w:val="32"/>
          <w:lang w:val="en-US" w:eastAsia="zh-CN" w:bidi="ar-SA"/>
        </w:rPr>
        <w:t>82.5</w:t>
      </w:r>
      <w:r>
        <w:rPr>
          <w:rStyle w:val="15"/>
          <w:rFonts w:hint="eastAsia" w:ascii="仿宋_GB2312" w:eastAsia="仿宋_GB2312" w:cs="Times New Roman" w:hAnsiTheme="minorHAnsi"/>
          <w:b w:val="0"/>
          <w:bCs/>
          <w:color w:val="000000"/>
          <w:kern w:val="2"/>
          <w:sz w:val="32"/>
          <w:szCs w:val="32"/>
          <w:lang w:val="zh-CN" w:eastAsia="zh-CN" w:bidi="ar-SA"/>
        </w:rPr>
        <w:t>分。按照县委组织部工作要求，切实加强园区管委会在“讲政治、守纪律、强素质、突服务”队伍建设。加强各集中区循环经济健康发展。加强对企业安全生产和环保工作的巡查力度。争取和落实省、州、县对企业的各项优惠政策，尽可能地扶持企业发展壮大。按照“无事不扰，有求必应”的原则，为企业做好“保姆式”的服务协调工作。全面完成园区常规工作和管理服务工作。</w:t>
      </w:r>
    </w:p>
    <w:p w14:paraId="51D7D4D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（二）存在问题</w:t>
      </w:r>
    </w:p>
    <w:p w14:paraId="5E7B2A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一是预算编制精准度有待提升，部分项目测算不够细致。二是绩效结果应用不够深入，与预算安排、内部管理的联动约束性不强。</w:t>
      </w:r>
    </w:p>
    <w:p w14:paraId="060F744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（三）改进建议</w:t>
      </w:r>
    </w:p>
    <w:p w14:paraId="6EA54B7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bookmarkStart w:id="42" w:name="_Hlk110546638"/>
      <w:r>
        <w:rPr>
          <w:rFonts w:hint="default" w:ascii="Times New Roman" w:hAnsi="Times New Roman" w:eastAsia="仿宋_GB2312" w:cs="Times New Roman"/>
          <w:kern w:val="0"/>
          <w:sz w:val="32"/>
          <w:szCs w:val="32"/>
          <w:lang w:val="en-US" w:eastAsia="zh-CN"/>
        </w:rPr>
        <w:t>一是严把预算编制关口，细化项目测算、强化前期论证，建立执行动态监控机制，保障收支均衡落地；二是深化绩效结果应用，将评价结果与预算分配、考核问责挂钩，压实整改责任，健全“评改促”长效机制。</w:t>
      </w:r>
      <w:bookmarkEnd w:id="42"/>
    </w:p>
    <w:p w14:paraId="6F4F8F5C">
      <w:pPr>
        <w:pStyle w:val="2"/>
        <w:rPr>
          <w:rFonts w:hint="eastAsia"/>
          <w:lang w:val="zh-CN" w:eastAsia="zh-CN"/>
        </w:rPr>
      </w:pPr>
    </w:p>
    <w:p w14:paraId="6DE0E03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3AD032D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1A893E6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3B70153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166B4F9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5D7EAA1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66D9221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62C3E9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244B89EF">
      <w:pPr>
        <w:keepNext w:val="0"/>
        <w:keepLines w:val="0"/>
        <w:pageBreakBefore w:val="0"/>
        <w:widowControl/>
        <w:kinsoku/>
        <w:wordWrap/>
        <w:overflowPunct/>
        <w:topLinePunct w:val="0"/>
        <w:autoSpaceDE/>
        <w:autoSpaceDN/>
        <w:bidi w:val="0"/>
        <w:adjustRightInd w:val="0"/>
        <w:snapToGrid w:val="0"/>
        <w:spacing w:line="560" w:lineRule="exact"/>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73A92E4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Style w:val="15"/>
          <w:rFonts w:hint="eastAsia" w:ascii="仿宋_GB2312" w:eastAsia="仿宋_GB2312" w:cs="Times New Roman" w:hAnsiTheme="minorHAnsi"/>
          <w:b w:val="0"/>
          <w:bCs/>
          <w:color w:val="000000"/>
          <w:kern w:val="2"/>
          <w:sz w:val="32"/>
          <w:szCs w:val="32"/>
          <w:lang w:val="zh-CN" w:eastAsia="zh-CN" w:bidi="ar-SA"/>
        </w:rPr>
      </w:pPr>
    </w:p>
    <w:p w14:paraId="0AC13BEF">
      <w:pPr>
        <w:pageBreakBefore w:val="0"/>
        <w:widowControl/>
        <w:kinsoku/>
        <w:wordWrap/>
        <w:overflowPunct/>
        <w:topLinePunct w:val="0"/>
        <w:autoSpaceDE/>
        <w:autoSpaceDN/>
        <w:bidi w:val="0"/>
        <w:adjustRightInd/>
        <w:snapToGrid/>
        <w:spacing w:line="500" w:lineRule="exact"/>
        <w:jc w:val="center"/>
        <w:textAlignment w:val="center"/>
        <w:rPr>
          <w:rFonts w:eastAsia="方正小标宋简体"/>
          <w:color w:val="000000"/>
          <w:kern w:val="0"/>
          <w:sz w:val="44"/>
          <w:szCs w:val="44"/>
        </w:rPr>
      </w:pPr>
    </w:p>
    <w:p w14:paraId="323D4581">
      <w:pPr>
        <w:pageBreakBefore w:val="0"/>
        <w:widowControl/>
        <w:kinsoku/>
        <w:wordWrap/>
        <w:overflowPunct/>
        <w:topLinePunct w:val="0"/>
        <w:autoSpaceDE/>
        <w:autoSpaceDN/>
        <w:bidi w:val="0"/>
        <w:adjustRightInd/>
        <w:snapToGrid/>
        <w:spacing w:line="500"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p w14:paraId="4BFB7B1B">
      <w:pPr>
        <w:pStyle w:val="2"/>
        <w:pageBreakBefore w:val="0"/>
        <w:kinsoku/>
        <w:wordWrap/>
        <w:overflowPunct/>
        <w:topLinePunct w:val="0"/>
        <w:autoSpaceDE/>
        <w:autoSpaceDN/>
        <w:bidi w:val="0"/>
        <w:adjustRightInd/>
        <w:snapToGrid/>
        <w:spacing w:before="0" w:after="0" w:line="500" w:lineRule="exact"/>
        <w:rPr>
          <w:rFonts w:hint="default" w:eastAsia="方正小标宋简体"/>
          <w:lang w:val="en-US" w:eastAsia="zh-CN"/>
        </w:rPr>
      </w:pPr>
      <w:r>
        <w:rPr>
          <w:rFonts w:hint="eastAsia" w:eastAsia="方正小标宋简体"/>
          <w:color w:val="000000"/>
          <w:kern w:val="0"/>
          <w:sz w:val="44"/>
          <w:szCs w:val="44"/>
          <w:lang w:val="en-US" w:eastAsia="zh-CN"/>
        </w:rPr>
        <w:t xml:space="preserve">           </w:t>
      </w:r>
      <w:r>
        <w:rPr>
          <w:rFonts w:hint="eastAsia" w:ascii="Times New Roman" w:hAnsi="Times New Roman" w:eastAsia="宋体" w:cs="Times New Roman"/>
          <w:b w:val="0"/>
          <w:color w:val="000000"/>
          <w:kern w:val="0"/>
          <w:sz w:val="28"/>
          <w:szCs w:val="28"/>
          <w:lang w:val="en-US" w:eastAsia="zh-CN" w:bidi="ar-SA"/>
        </w:rPr>
        <w:t xml:space="preserve">     （2025年度）</w:t>
      </w:r>
    </w:p>
    <w:tbl>
      <w:tblPr>
        <w:tblStyle w:val="13"/>
        <w:tblW w:w="9973" w:type="dxa"/>
        <w:jc w:val="center"/>
        <w:tblLayout w:type="fixed"/>
        <w:tblCellMar>
          <w:top w:w="0" w:type="dxa"/>
          <w:left w:w="108" w:type="dxa"/>
          <w:bottom w:w="0" w:type="dxa"/>
          <w:right w:w="108" w:type="dxa"/>
        </w:tblCellMar>
      </w:tblPr>
      <w:tblGrid>
        <w:gridCol w:w="401"/>
        <w:gridCol w:w="750"/>
        <w:gridCol w:w="750"/>
        <w:gridCol w:w="1523"/>
        <w:gridCol w:w="841"/>
        <w:gridCol w:w="585"/>
        <w:gridCol w:w="1015"/>
        <w:gridCol w:w="945"/>
        <w:gridCol w:w="917"/>
        <w:gridCol w:w="2246"/>
      </w:tblGrid>
      <w:tr w14:paraId="3BB8C8BC">
        <w:tblPrEx>
          <w:tblCellMar>
            <w:top w:w="0" w:type="dxa"/>
            <w:left w:w="108" w:type="dxa"/>
            <w:bottom w:w="0" w:type="dxa"/>
            <w:right w:w="108" w:type="dxa"/>
          </w:tblCellMar>
        </w:tblPrEx>
        <w:trPr>
          <w:trHeight w:val="465" w:hRule="atLeast"/>
          <w:jc w:val="center"/>
        </w:trPr>
        <w:tc>
          <w:tcPr>
            <w:tcW w:w="1901" w:type="dxa"/>
            <w:gridSpan w:val="3"/>
            <w:tcBorders>
              <w:top w:val="single" w:color="000000" w:sz="4" w:space="0"/>
              <w:left w:val="single" w:color="000000" w:sz="4" w:space="0"/>
              <w:bottom w:val="single" w:color="auto" w:sz="4" w:space="0"/>
              <w:right w:val="single" w:color="000000" w:sz="4" w:space="0"/>
            </w:tcBorders>
            <w:noWrap/>
            <w:vAlign w:val="center"/>
          </w:tcPr>
          <w:p w14:paraId="0EE3404C">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8072" w:type="dxa"/>
            <w:gridSpan w:val="7"/>
            <w:tcBorders>
              <w:top w:val="single" w:color="000000" w:sz="4" w:space="0"/>
              <w:left w:val="single" w:color="000000" w:sz="4" w:space="0"/>
              <w:bottom w:val="single" w:color="000000" w:sz="4" w:space="0"/>
              <w:right w:val="single" w:color="000000" w:sz="4" w:space="0"/>
            </w:tcBorders>
            <w:noWrap/>
            <w:vAlign w:val="center"/>
          </w:tcPr>
          <w:p w14:paraId="7C2A49D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茂县工业服务中心</w:t>
            </w:r>
          </w:p>
        </w:tc>
      </w:tr>
      <w:tr w14:paraId="28C7CA30">
        <w:tblPrEx>
          <w:tblCellMar>
            <w:top w:w="0" w:type="dxa"/>
            <w:left w:w="108" w:type="dxa"/>
            <w:bottom w:w="0" w:type="dxa"/>
            <w:right w:w="108" w:type="dxa"/>
          </w:tblCellMar>
        </w:tblPrEx>
        <w:trPr>
          <w:trHeight w:val="239" w:hRule="atLeast"/>
          <w:jc w:val="center"/>
        </w:trPr>
        <w:tc>
          <w:tcPr>
            <w:tcW w:w="1901" w:type="dxa"/>
            <w:gridSpan w:val="3"/>
            <w:tcBorders>
              <w:top w:val="single" w:color="auto" w:sz="4" w:space="0"/>
              <w:left w:val="single" w:color="auto" w:sz="4" w:space="0"/>
              <w:bottom w:val="single" w:color="auto" w:sz="4" w:space="0"/>
              <w:right w:val="single" w:color="auto" w:sz="4" w:space="0"/>
            </w:tcBorders>
            <w:noWrap/>
            <w:vAlign w:val="center"/>
          </w:tcPr>
          <w:p w14:paraId="335CD54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64" w:type="dxa"/>
            <w:gridSpan w:val="2"/>
            <w:tcBorders>
              <w:top w:val="single" w:color="000000" w:sz="4" w:space="0"/>
              <w:left w:val="single" w:color="auto" w:sz="4" w:space="0"/>
              <w:bottom w:val="single" w:color="000000" w:sz="4" w:space="0"/>
              <w:right w:val="single" w:color="auto" w:sz="4" w:space="0"/>
            </w:tcBorders>
            <w:noWrap/>
            <w:vAlign w:val="center"/>
          </w:tcPr>
          <w:p w14:paraId="4B732A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600" w:type="dxa"/>
            <w:gridSpan w:val="2"/>
            <w:tcBorders>
              <w:top w:val="single" w:color="auto" w:sz="4" w:space="0"/>
              <w:left w:val="single" w:color="auto" w:sz="4" w:space="0"/>
              <w:bottom w:val="single" w:color="auto" w:sz="4" w:space="0"/>
              <w:right w:val="single" w:color="auto" w:sz="4" w:space="0"/>
            </w:tcBorders>
            <w:noWrap/>
            <w:vAlign w:val="center"/>
          </w:tcPr>
          <w:p w14:paraId="69CCB08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108" w:type="dxa"/>
            <w:gridSpan w:val="3"/>
            <w:tcBorders>
              <w:top w:val="single" w:color="auto" w:sz="4" w:space="0"/>
              <w:left w:val="single" w:color="auto" w:sz="4" w:space="0"/>
              <w:bottom w:val="single" w:color="auto" w:sz="4" w:space="0"/>
              <w:right w:val="single" w:color="auto" w:sz="4" w:space="0"/>
            </w:tcBorders>
            <w:noWrap/>
            <w:vAlign w:val="center"/>
          </w:tcPr>
          <w:p w14:paraId="5707C94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798306AA">
        <w:tblPrEx>
          <w:tblCellMar>
            <w:top w:w="0" w:type="dxa"/>
            <w:left w:w="108" w:type="dxa"/>
            <w:bottom w:w="0" w:type="dxa"/>
            <w:right w:w="108" w:type="dxa"/>
          </w:tblCellMar>
        </w:tblPrEx>
        <w:trPr>
          <w:trHeight w:val="239" w:hRule="atLeast"/>
          <w:jc w:val="center"/>
        </w:trPr>
        <w:tc>
          <w:tcPr>
            <w:tcW w:w="1901" w:type="dxa"/>
            <w:gridSpan w:val="3"/>
            <w:tcBorders>
              <w:top w:val="single" w:color="auto" w:sz="4" w:space="0"/>
              <w:left w:val="single" w:color="auto" w:sz="4" w:space="0"/>
              <w:bottom w:val="single" w:color="auto" w:sz="4" w:space="0"/>
              <w:right w:val="single" w:color="auto" w:sz="4" w:space="0"/>
            </w:tcBorders>
            <w:noWrap/>
            <w:vAlign w:val="center"/>
          </w:tcPr>
          <w:p w14:paraId="7AAD215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64" w:type="dxa"/>
            <w:gridSpan w:val="2"/>
            <w:tcBorders>
              <w:top w:val="single" w:color="000000" w:sz="4" w:space="0"/>
              <w:left w:val="single" w:color="auto" w:sz="4" w:space="0"/>
              <w:bottom w:val="single" w:color="000000" w:sz="4" w:space="0"/>
              <w:right w:val="single" w:color="auto" w:sz="4" w:space="0"/>
            </w:tcBorders>
            <w:noWrap/>
            <w:vAlign w:val="center"/>
          </w:tcPr>
          <w:p w14:paraId="5E954BDB">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140.36</w:t>
            </w:r>
          </w:p>
        </w:tc>
        <w:tc>
          <w:tcPr>
            <w:tcW w:w="1600" w:type="dxa"/>
            <w:gridSpan w:val="2"/>
            <w:tcBorders>
              <w:top w:val="single" w:color="auto" w:sz="4" w:space="0"/>
              <w:left w:val="single" w:color="auto" w:sz="4" w:space="0"/>
              <w:bottom w:val="single" w:color="auto" w:sz="4" w:space="0"/>
              <w:right w:val="single" w:color="auto" w:sz="4" w:space="0"/>
            </w:tcBorders>
            <w:noWrap/>
            <w:vAlign w:val="center"/>
          </w:tcPr>
          <w:p w14:paraId="0B839E9C">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140.36</w:t>
            </w:r>
          </w:p>
        </w:tc>
        <w:tc>
          <w:tcPr>
            <w:tcW w:w="4108" w:type="dxa"/>
            <w:gridSpan w:val="3"/>
            <w:tcBorders>
              <w:top w:val="single" w:color="auto" w:sz="4" w:space="0"/>
              <w:left w:val="single" w:color="auto" w:sz="4" w:space="0"/>
              <w:bottom w:val="single" w:color="auto" w:sz="4" w:space="0"/>
              <w:right w:val="single" w:color="auto" w:sz="4" w:space="0"/>
            </w:tcBorders>
            <w:noWrap/>
            <w:vAlign w:val="center"/>
          </w:tcPr>
          <w:p w14:paraId="607DC0F6">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0.00</w:t>
            </w:r>
          </w:p>
        </w:tc>
      </w:tr>
      <w:tr w14:paraId="7F1BD3D0">
        <w:tblPrEx>
          <w:tblCellMar>
            <w:top w:w="0" w:type="dxa"/>
            <w:left w:w="108" w:type="dxa"/>
            <w:bottom w:w="0" w:type="dxa"/>
            <w:right w:w="108" w:type="dxa"/>
          </w:tblCellMar>
        </w:tblPrEx>
        <w:trPr>
          <w:trHeight w:val="296" w:hRule="atLeast"/>
          <w:jc w:val="center"/>
        </w:trPr>
        <w:tc>
          <w:tcPr>
            <w:tcW w:w="1901" w:type="dxa"/>
            <w:gridSpan w:val="3"/>
            <w:tcBorders>
              <w:top w:val="single" w:color="auto" w:sz="4" w:space="0"/>
              <w:left w:val="single" w:color="auto" w:sz="4" w:space="0"/>
              <w:bottom w:val="single" w:color="auto" w:sz="4" w:space="0"/>
              <w:right w:val="single" w:color="auto" w:sz="4" w:space="0"/>
            </w:tcBorders>
            <w:noWrap/>
            <w:vAlign w:val="center"/>
          </w:tcPr>
          <w:p w14:paraId="2441F46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64" w:type="dxa"/>
            <w:gridSpan w:val="2"/>
            <w:tcBorders>
              <w:top w:val="single" w:color="000000" w:sz="4" w:space="0"/>
              <w:left w:val="single" w:color="auto" w:sz="4" w:space="0"/>
              <w:bottom w:val="single" w:color="000000" w:sz="4" w:space="0"/>
              <w:right w:val="single" w:color="000000" w:sz="4" w:space="0"/>
            </w:tcBorders>
            <w:noWrap/>
            <w:vAlign w:val="center"/>
          </w:tcPr>
          <w:p w14:paraId="0D700111">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140.36</w:t>
            </w:r>
          </w:p>
        </w:tc>
        <w:tc>
          <w:tcPr>
            <w:tcW w:w="1600" w:type="dxa"/>
            <w:gridSpan w:val="2"/>
            <w:tcBorders>
              <w:top w:val="single" w:color="auto" w:sz="4" w:space="0"/>
              <w:left w:val="single" w:color="000000" w:sz="4" w:space="0"/>
              <w:bottom w:val="single" w:color="000000" w:sz="4" w:space="0"/>
              <w:right w:val="single" w:color="000000" w:sz="4" w:space="0"/>
            </w:tcBorders>
            <w:noWrap/>
            <w:vAlign w:val="center"/>
          </w:tcPr>
          <w:p w14:paraId="012FB528">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140.36</w:t>
            </w:r>
          </w:p>
        </w:tc>
        <w:tc>
          <w:tcPr>
            <w:tcW w:w="4108" w:type="dxa"/>
            <w:gridSpan w:val="3"/>
            <w:tcBorders>
              <w:top w:val="single" w:color="auto" w:sz="4" w:space="0"/>
              <w:left w:val="single" w:color="000000" w:sz="4" w:space="0"/>
              <w:bottom w:val="single" w:color="000000" w:sz="4" w:space="0"/>
              <w:right w:val="single" w:color="000000" w:sz="4" w:space="0"/>
            </w:tcBorders>
            <w:noWrap/>
            <w:vAlign w:val="center"/>
          </w:tcPr>
          <w:p w14:paraId="5F704B74">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0.00</w:t>
            </w:r>
          </w:p>
        </w:tc>
      </w:tr>
      <w:tr w14:paraId="7854BC01">
        <w:tblPrEx>
          <w:tblCellMar>
            <w:top w:w="0" w:type="dxa"/>
            <w:left w:w="108" w:type="dxa"/>
            <w:bottom w:w="0" w:type="dxa"/>
            <w:right w:w="108" w:type="dxa"/>
          </w:tblCellMar>
        </w:tblPrEx>
        <w:trPr>
          <w:trHeight w:val="1880" w:hRule="atLeast"/>
          <w:jc w:val="center"/>
        </w:trPr>
        <w:tc>
          <w:tcPr>
            <w:tcW w:w="1901" w:type="dxa"/>
            <w:gridSpan w:val="3"/>
            <w:tcBorders>
              <w:top w:val="single" w:color="auto" w:sz="4" w:space="0"/>
              <w:left w:val="single" w:color="000000" w:sz="4" w:space="0"/>
              <w:bottom w:val="single" w:color="000000" w:sz="4" w:space="0"/>
              <w:right w:val="single" w:color="000000" w:sz="4" w:space="0"/>
            </w:tcBorders>
            <w:noWrap/>
            <w:vAlign w:val="center"/>
          </w:tcPr>
          <w:p w14:paraId="4B93F03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8072" w:type="dxa"/>
            <w:gridSpan w:val="7"/>
            <w:tcBorders>
              <w:top w:val="single" w:color="000000" w:sz="4" w:space="0"/>
              <w:left w:val="single" w:color="000000" w:sz="4" w:space="0"/>
              <w:bottom w:val="single" w:color="000000" w:sz="4" w:space="0"/>
              <w:right w:val="single" w:color="000000" w:sz="4" w:space="0"/>
            </w:tcBorders>
            <w:noWrap/>
            <w:vAlign w:val="center"/>
          </w:tcPr>
          <w:p w14:paraId="79672CC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给全县工业园区建设提供服务;给全县工业园区建设提供服务;给全县工业园区建设提供服务;给全县工业园区建设提供服务;给全县工业园区建设提供服务;给全县工业园区建设提供服务;给全县工业园区建设提供服务;根据茂委驻村轮换（2023）5号文，茂县工业服务中心派驻陈云为沟口镇沟口村第一书记，按照文件要求乡镇工作补贴为300元/月，全年3600元，临岗补贴为为400元/月，全年4800元，总计金额8400元，为第一书记驻村安心工作提供保障，确保驻村干部安心驻村开展工作.</w:t>
            </w:r>
          </w:p>
        </w:tc>
      </w:tr>
      <w:tr w14:paraId="18DD5205">
        <w:tblPrEx>
          <w:tblCellMar>
            <w:top w:w="0" w:type="dxa"/>
            <w:left w:w="108" w:type="dxa"/>
            <w:bottom w:w="0" w:type="dxa"/>
            <w:right w:w="108" w:type="dxa"/>
          </w:tblCellMar>
        </w:tblPrEx>
        <w:trPr>
          <w:trHeight w:val="296" w:hRule="atLeast"/>
          <w:jc w:val="center"/>
        </w:trPr>
        <w:tc>
          <w:tcPr>
            <w:tcW w:w="401" w:type="dxa"/>
            <w:vMerge w:val="restart"/>
            <w:tcBorders>
              <w:top w:val="single" w:color="000000" w:sz="4" w:space="0"/>
              <w:left w:val="single" w:color="000000" w:sz="4" w:space="0"/>
              <w:bottom w:val="single" w:color="000000" w:sz="4" w:space="0"/>
              <w:right w:val="single" w:color="000000" w:sz="4" w:space="0"/>
            </w:tcBorders>
            <w:noWrap/>
            <w:vAlign w:val="center"/>
          </w:tcPr>
          <w:p w14:paraId="03157C7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750" w:type="dxa"/>
            <w:vMerge w:val="restart"/>
            <w:tcBorders>
              <w:top w:val="single" w:color="000000" w:sz="4" w:space="0"/>
              <w:left w:val="single" w:color="000000" w:sz="4" w:space="0"/>
              <w:bottom w:val="single" w:color="000000" w:sz="4" w:space="0"/>
              <w:right w:val="single" w:color="000000" w:sz="4" w:space="0"/>
            </w:tcBorders>
            <w:noWrap/>
            <w:vAlign w:val="center"/>
          </w:tcPr>
          <w:p w14:paraId="2122BFF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50" w:type="dxa"/>
            <w:vMerge w:val="restart"/>
            <w:tcBorders>
              <w:top w:val="single" w:color="000000" w:sz="4" w:space="0"/>
              <w:left w:val="single" w:color="000000" w:sz="4" w:space="0"/>
              <w:bottom w:val="single" w:color="000000" w:sz="4" w:space="0"/>
              <w:right w:val="single" w:color="000000" w:sz="4" w:space="0"/>
            </w:tcBorders>
            <w:noWrap/>
            <w:vAlign w:val="center"/>
          </w:tcPr>
          <w:p w14:paraId="0762919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523" w:type="dxa"/>
            <w:vMerge w:val="restart"/>
            <w:tcBorders>
              <w:top w:val="single" w:color="000000" w:sz="4" w:space="0"/>
              <w:left w:val="single" w:color="000000" w:sz="4" w:space="0"/>
              <w:bottom w:val="single" w:color="000000" w:sz="4" w:space="0"/>
              <w:right w:val="single" w:color="000000" w:sz="4" w:space="0"/>
            </w:tcBorders>
            <w:noWrap/>
            <w:vAlign w:val="center"/>
          </w:tcPr>
          <w:p w14:paraId="7339E00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41" w:type="dxa"/>
            <w:vMerge w:val="restart"/>
            <w:tcBorders>
              <w:top w:val="single" w:color="000000" w:sz="4" w:space="0"/>
              <w:left w:val="single" w:color="000000" w:sz="4" w:space="0"/>
              <w:bottom w:val="single" w:color="000000" w:sz="4" w:space="0"/>
              <w:right w:val="single" w:color="000000" w:sz="4" w:space="0"/>
            </w:tcBorders>
            <w:noWrap/>
            <w:vAlign w:val="center"/>
          </w:tcPr>
          <w:p w14:paraId="0826002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462" w:type="dxa"/>
            <w:gridSpan w:val="4"/>
            <w:tcBorders>
              <w:top w:val="single" w:color="000000" w:sz="4" w:space="0"/>
              <w:left w:val="single" w:color="000000" w:sz="4" w:space="0"/>
              <w:bottom w:val="single" w:color="000000" w:sz="4" w:space="0"/>
              <w:right w:val="single" w:color="000000" w:sz="4" w:space="0"/>
            </w:tcBorders>
            <w:noWrap/>
            <w:vAlign w:val="center"/>
          </w:tcPr>
          <w:p w14:paraId="7A5942A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2246" w:type="dxa"/>
            <w:vMerge w:val="restart"/>
            <w:tcBorders>
              <w:top w:val="single" w:color="000000" w:sz="4" w:space="0"/>
              <w:left w:val="single" w:color="000000" w:sz="4" w:space="0"/>
              <w:right w:val="single" w:color="000000" w:sz="4" w:space="0"/>
            </w:tcBorders>
            <w:noWrap/>
            <w:vAlign w:val="center"/>
          </w:tcPr>
          <w:p w14:paraId="2BA1D94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353813C9">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65B1E6E6">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2A2828EF">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3C5A3019">
            <w:pPr>
              <w:widowControl/>
              <w:spacing w:line="240" w:lineRule="exact"/>
              <w:jc w:val="center"/>
              <w:textAlignment w:val="center"/>
              <w:rPr>
                <w:rFonts w:ascii="宋体" w:hAnsi="宋体" w:eastAsia="宋体" w:cs="宋体"/>
                <w:color w:val="000000"/>
                <w:kern w:val="0"/>
                <w:sz w:val="24"/>
              </w:rPr>
            </w:pPr>
          </w:p>
        </w:tc>
        <w:tc>
          <w:tcPr>
            <w:tcW w:w="1523" w:type="dxa"/>
            <w:vMerge w:val="continue"/>
            <w:tcBorders>
              <w:top w:val="single" w:color="000000" w:sz="4" w:space="0"/>
              <w:left w:val="single" w:color="000000" w:sz="4" w:space="0"/>
              <w:bottom w:val="single" w:color="000000" w:sz="4" w:space="0"/>
              <w:right w:val="single" w:color="000000" w:sz="4" w:space="0"/>
            </w:tcBorders>
            <w:noWrap/>
            <w:vAlign w:val="center"/>
          </w:tcPr>
          <w:p w14:paraId="4AC9657D">
            <w:pPr>
              <w:widowControl/>
              <w:spacing w:line="240" w:lineRule="exact"/>
              <w:jc w:val="center"/>
              <w:textAlignment w:val="center"/>
              <w:rPr>
                <w:rFonts w:ascii="宋体" w:hAnsi="宋体" w:eastAsia="宋体" w:cs="宋体"/>
                <w:color w:val="000000"/>
                <w:kern w:val="0"/>
                <w:sz w:val="24"/>
              </w:rPr>
            </w:pPr>
          </w:p>
        </w:tc>
        <w:tc>
          <w:tcPr>
            <w:tcW w:w="841" w:type="dxa"/>
            <w:vMerge w:val="continue"/>
            <w:tcBorders>
              <w:top w:val="single" w:color="000000" w:sz="4" w:space="0"/>
              <w:left w:val="single" w:color="000000" w:sz="4" w:space="0"/>
              <w:bottom w:val="single" w:color="000000" w:sz="4" w:space="0"/>
              <w:right w:val="single" w:color="000000" w:sz="4" w:space="0"/>
            </w:tcBorders>
            <w:noWrap/>
            <w:vAlign w:val="center"/>
          </w:tcPr>
          <w:p w14:paraId="489EAA6B">
            <w:pPr>
              <w:widowControl/>
              <w:spacing w:line="240" w:lineRule="exact"/>
              <w:jc w:val="center"/>
              <w:textAlignment w:val="center"/>
              <w:rPr>
                <w:rFonts w:ascii="宋体" w:hAnsi="宋体" w:eastAsia="宋体" w:cs="宋体"/>
                <w:color w:val="000000"/>
                <w:kern w:val="0"/>
                <w:sz w:val="24"/>
              </w:rPr>
            </w:pPr>
          </w:p>
        </w:tc>
        <w:tc>
          <w:tcPr>
            <w:tcW w:w="585" w:type="dxa"/>
            <w:tcBorders>
              <w:top w:val="single" w:color="000000" w:sz="4" w:space="0"/>
              <w:left w:val="single" w:color="000000" w:sz="4" w:space="0"/>
              <w:right w:val="single" w:color="000000" w:sz="4" w:space="0"/>
            </w:tcBorders>
            <w:noWrap/>
            <w:vAlign w:val="center"/>
          </w:tcPr>
          <w:p w14:paraId="597B8C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3E381EC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E321CD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1BE4A1F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6C8EF9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2246" w:type="dxa"/>
            <w:vMerge w:val="continue"/>
            <w:tcBorders>
              <w:left w:val="single" w:color="000000" w:sz="4" w:space="0"/>
              <w:right w:val="single" w:color="000000" w:sz="4" w:space="0"/>
            </w:tcBorders>
            <w:noWrap/>
            <w:vAlign w:val="center"/>
          </w:tcPr>
          <w:p w14:paraId="5A475025">
            <w:pPr>
              <w:widowControl/>
              <w:spacing w:line="240" w:lineRule="exact"/>
              <w:jc w:val="center"/>
              <w:textAlignment w:val="center"/>
              <w:rPr>
                <w:rFonts w:ascii="宋体" w:hAnsi="宋体" w:eastAsia="宋体" w:cs="宋体"/>
                <w:color w:val="000000"/>
                <w:kern w:val="0"/>
                <w:sz w:val="24"/>
              </w:rPr>
            </w:pPr>
          </w:p>
        </w:tc>
      </w:tr>
      <w:tr w14:paraId="751FF12B">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415F776A">
            <w:pPr>
              <w:widowControl/>
              <w:spacing w:line="240" w:lineRule="exact"/>
              <w:jc w:val="center"/>
              <w:textAlignment w:val="center"/>
              <w:rPr>
                <w:rFonts w:ascii="宋体" w:hAnsi="宋体" w:eastAsia="宋体" w:cs="宋体"/>
                <w:color w:val="000000"/>
                <w:kern w:val="0"/>
                <w:sz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ign w:val="center"/>
          </w:tcPr>
          <w:p w14:paraId="47B44F0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750" w:type="dxa"/>
            <w:vMerge w:val="restart"/>
            <w:tcBorders>
              <w:top w:val="single" w:color="000000" w:sz="4" w:space="0"/>
              <w:left w:val="single" w:color="000000" w:sz="4" w:space="0"/>
              <w:bottom w:val="single" w:color="000000" w:sz="4" w:space="0"/>
              <w:right w:val="single" w:color="000000" w:sz="4" w:space="0"/>
            </w:tcBorders>
            <w:noWrap/>
            <w:vAlign w:val="center"/>
          </w:tcPr>
          <w:p w14:paraId="1BA173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7C81FA4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4E4E399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w:t>
            </w:r>
            <w:r>
              <w:rPr>
                <w:rFonts w:hint="eastAsia" w:ascii="宋体" w:hAnsi="宋体" w:eastAsia="宋体" w:cs="宋体"/>
                <w:color w:val="000000"/>
                <w:kern w:val="0"/>
                <w:sz w:val="24"/>
              </w:rPr>
              <w:t>%</w:t>
            </w:r>
          </w:p>
        </w:tc>
        <w:tc>
          <w:tcPr>
            <w:tcW w:w="585" w:type="dxa"/>
            <w:tcBorders>
              <w:top w:val="single" w:color="000000" w:sz="4" w:space="0"/>
              <w:left w:val="single" w:color="000000" w:sz="4" w:space="0"/>
              <w:bottom w:val="single" w:color="000000" w:sz="4" w:space="0"/>
              <w:right w:val="single" w:color="000000" w:sz="4" w:space="0"/>
            </w:tcBorders>
            <w:noWrap/>
            <w:vAlign w:val="center"/>
          </w:tcPr>
          <w:p w14:paraId="5DF4F91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12.82</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436DA8B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13.92</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9460A7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23.53</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32764AC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1.03</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75499277">
            <w:pPr>
              <w:widowControl/>
              <w:spacing w:line="240" w:lineRule="exact"/>
              <w:jc w:val="center"/>
              <w:textAlignment w:val="center"/>
              <w:rPr>
                <w:rFonts w:ascii="宋体" w:hAnsi="宋体" w:eastAsia="宋体" w:cs="宋体"/>
                <w:color w:val="000000"/>
                <w:kern w:val="0"/>
                <w:sz w:val="24"/>
              </w:rPr>
            </w:pPr>
          </w:p>
        </w:tc>
      </w:tr>
      <w:tr w14:paraId="7A856046">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50B0DCC0">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36626F51">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2E079531">
            <w:pPr>
              <w:widowControl/>
              <w:spacing w:line="240" w:lineRule="exact"/>
              <w:jc w:val="center"/>
              <w:textAlignment w:val="center"/>
              <w:rPr>
                <w:rFonts w:ascii="宋体" w:hAnsi="宋体" w:eastAsia="宋体" w:cs="宋体"/>
                <w:color w:val="000000"/>
                <w:kern w:val="0"/>
                <w:sz w:val="24"/>
              </w:rPr>
            </w:pP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5B95678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B96E61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585" w:type="dxa"/>
            <w:tcBorders>
              <w:top w:val="single" w:color="000000" w:sz="4" w:space="0"/>
              <w:left w:val="single" w:color="000000" w:sz="4" w:space="0"/>
              <w:bottom w:val="single" w:color="000000" w:sz="4" w:space="0"/>
              <w:right w:val="single" w:color="000000" w:sz="4" w:space="0"/>
            </w:tcBorders>
            <w:noWrap/>
            <w:vAlign w:val="center"/>
          </w:tcPr>
          <w:p w14:paraId="66567D6F">
            <w:pPr>
              <w:widowControl/>
              <w:spacing w:line="240" w:lineRule="exact"/>
              <w:jc w:val="center"/>
              <w:textAlignment w:val="center"/>
              <w:rPr>
                <w:rFonts w:ascii="宋体" w:hAnsi="宋体" w:eastAsia="宋体" w:cs="宋体"/>
                <w:color w:val="000000"/>
                <w:kern w:val="0"/>
                <w:sz w:val="24"/>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7C6AEB6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7C3CC53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5C500D3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56F8EC2E">
            <w:pPr>
              <w:widowControl/>
              <w:spacing w:line="240" w:lineRule="exact"/>
              <w:jc w:val="center"/>
              <w:textAlignment w:val="center"/>
              <w:rPr>
                <w:rFonts w:ascii="宋体" w:hAnsi="宋体" w:eastAsia="宋体" w:cs="宋体"/>
                <w:color w:val="000000"/>
                <w:kern w:val="0"/>
                <w:sz w:val="24"/>
              </w:rPr>
            </w:pPr>
          </w:p>
        </w:tc>
      </w:tr>
      <w:tr w14:paraId="08E88060">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2F83B887">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1EF41152">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5AF5EABF">
            <w:pPr>
              <w:widowControl/>
              <w:spacing w:line="240" w:lineRule="exact"/>
              <w:jc w:val="center"/>
              <w:textAlignment w:val="center"/>
              <w:rPr>
                <w:rFonts w:ascii="宋体" w:hAnsi="宋体" w:eastAsia="宋体" w:cs="宋体"/>
                <w:color w:val="000000"/>
                <w:kern w:val="0"/>
                <w:sz w:val="24"/>
              </w:rPr>
            </w:pP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5DAF503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5D4FCD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w:t>
            </w:r>
          </w:p>
        </w:tc>
        <w:tc>
          <w:tcPr>
            <w:tcW w:w="585" w:type="dxa"/>
            <w:tcBorders>
              <w:top w:val="single" w:color="000000" w:sz="4" w:space="0"/>
              <w:left w:val="single" w:color="000000" w:sz="4" w:space="0"/>
              <w:bottom w:val="single" w:color="000000" w:sz="4" w:space="0"/>
              <w:right w:val="single" w:color="000000" w:sz="4" w:space="0"/>
            </w:tcBorders>
            <w:noWrap/>
            <w:vAlign w:val="center"/>
          </w:tcPr>
          <w:p w14:paraId="07BA4FA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1.36</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6082ABD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0.84</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EDECBF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379334F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0.13</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3FC8F9C8">
            <w:pPr>
              <w:widowControl/>
              <w:spacing w:line="240" w:lineRule="exact"/>
              <w:jc w:val="center"/>
              <w:textAlignment w:val="center"/>
              <w:rPr>
                <w:rFonts w:ascii="宋体" w:hAnsi="宋体" w:eastAsia="宋体" w:cs="宋体"/>
                <w:color w:val="000000"/>
                <w:kern w:val="0"/>
                <w:sz w:val="24"/>
              </w:rPr>
            </w:pPr>
          </w:p>
        </w:tc>
      </w:tr>
      <w:tr w14:paraId="449238D5">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049AC278">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337DDFDB">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541A5D9F">
            <w:pPr>
              <w:widowControl/>
              <w:spacing w:line="240" w:lineRule="exact"/>
              <w:jc w:val="center"/>
              <w:textAlignment w:val="center"/>
              <w:rPr>
                <w:rFonts w:ascii="宋体" w:hAnsi="宋体" w:eastAsia="宋体" w:cs="宋体"/>
                <w:color w:val="000000"/>
                <w:kern w:val="0"/>
                <w:sz w:val="24"/>
              </w:rPr>
            </w:pP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7C4B946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6D7FAAF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5.89</w:t>
            </w:r>
            <w:r>
              <w:rPr>
                <w:rFonts w:ascii="宋体" w:hAnsi="宋体" w:eastAsia="宋体" w:cs="宋体"/>
                <w:color w:val="000000"/>
                <w:kern w:val="0"/>
                <w:sz w:val="24"/>
              </w:rPr>
              <w:t>万元</w:t>
            </w:r>
          </w:p>
        </w:tc>
        <w:tc>
          <w:tcPr>
            <w:tcW w:w="3462" w:type="dxa"/>
            <w:gridSpan w:val="4"/>
            <w:tcBorders>
              <w:top w:val="single" w:color="000000" w:sz="4" w:space="0"/>
              <w:left w:val="single" w:color="000000" w:sz="4" w:space="0"/>
              <w:bottom w:val="single" w:color="000000" w:sz="4" w:space="0"/>
              <w:right w:val="single" w:color="000000" w:sz="4" w:space="0"/>
            </w:tcBorders>
            <w:noWrap/>
            <w:vAlign w:val="center"/>
          </w:tcPr>
          <w:p w14:paraId="159831A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5.89</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13FEC94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8.19</w:t>
            </w:r>
          </w:p>
        </w:tc>
      </w:tr>
      <w:tr w14:paraId="000DC141">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799B6039">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19D8A5AE">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D682FE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5C9C9F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7C236A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462" w:type="dxa"/>
            <w:gridSpan w:val="4"/>
            <w:tcBorders>
              <w:top w:val="single" w:color="000000" w:sz="4" w:space="0"/>
              <w:left w:val="single" w:color="000000" w:sz="4" w:space="0"/>
              <w:bottom w:val="single" w:color="000000" w:sz="4" w:space="0"/>
              <w:right w:val="single" w:color="000000" w:sz="4" w:space="0"/>
            </w:tcBorders>
            <w:noWrap/>
            <w:vAlign w:val="center"/>
          </w:tcPr>
          <w:p w14:paraId="3F6CA16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555B1EE0">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良</w:t>
            </w:r>
          </w:p>
        </w:tc>
      </w:tr>
      <w:tr w14:paraId="02A5E489">
        <w:tblPrEx>
          <w:tblCellMar>
            <w:top w:w="0" w:type="dxa"/>
            <w:left w:w="108" w:type="dxa"/>
            <w:bottom w:w="0" w:type="dxa"/>
            <w:right w:w="108" w:type="dxa"/>
          </w:tblCellMar>
        </w:tblPrEx>
        <w:trPr>
          <w:trHeight w:val="90"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511FD182">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41E6EE71">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950445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4DB01E3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07BF029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585" w:type="dxa"/>
            <w:tcBorders>
              <w:top w:val="single" w:color="000000" w:sz="4" w:space="0"/>
              <w:left w:val="single" w:color="000000" w:sz="4" w:space="0"/>
              <w:bottom w:val="single" w:color="000000" w:sz="4" w:space="0"/>
              <w:right w:val="single" w:color="000000" w:sz="4" w:space="0"/>
            </w:tcBorders>
            <w:noWrap/>
            <w:vAlign w:val="center"/>
          </w:tcPr>
          <w:p w14:paraId="0366159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3C8F2EB">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049C1647">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1B7F0677">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30F4AAE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3B6116D">
        <w:tblPrEx>
          <w:tblCellMar>
            <w:top w:w="0" w:type="dxa"/>
            <w:left w:w="108" w:type="dxa"/>
            <w:bottom w:w="0" w:type="dxa"/>
            <w:right w:w="108" w:type="dxa"/>
          </w:tblCellMar>
        </w:tblPrEx>
        <w:trPr>
          <w:trHeight w:val="485"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67CE574C">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6C05806C">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084E5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10D9794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5F8810F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585" w:type="dxa"/>
            <w:tcBorders>
              <w:top w:val="single" w:color="000000" w:sz="4" w:space="0"/>
              <w:left w:val="single" w:color="000000" w:sz="4" w:space="0"/>
              <w:bottom w:val="single" w:color="000000" w:sz="4" w:space="0"/>
              <w:right w:val="single" w:color="000000" w:sz="4" w:space="0"/>
            </w:tcBorders>
            <w:noWrap/>
            <w:vAlign w:val="center"/>
          </w:tcPr>
          <w:p w14:paraId="57B8D6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4DEF9CE1">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A13D11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43FB8E26">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677A6A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14:paraId="38F43925">
        <w:tblPrEx>
          <w:tblCellMar>
            <w:top w:w="0" w:type="dxa"/>
            <w:left w:w="108" w:type="dxa"/>
            <w:bottom w:w="0" w:type="dxa"/>
            <w:right w:w="108" w:type="dxa"/>
          </w:tblCellMar>
        </w:tblPrEx>
        <w:trPr>
          <w:trHeight w:val="468" w:hRule="atLeast"/>
          <w:jc w:val="center"/>
        </w:trPr>
        <w:tc>
          <w:tcPr>
            <w:tcW w:w="401" w:type="dxa"/>
            <w:vMerge w:val="restart"/>
            <w:tcBorders>
              <w:top w:val="single" w:color="000000" w:sz="4" w:space="0"/>
              <w:left w:val="single" w:color="000000" w:sz="4" w:space="0"/>
              <w:bottom w:val="single" w:color="000000" w:sz="4" w:space="0"/>
              <w:right w:val="single" w:color="000000" w:sz="4" w:space="0"/>
            </w:tcBorders>
            <w:noWrap/>
            <w:vAlign w:val="center"/>
          </w:tcPr>
          <w:p w14:paraId="189D44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58B4E4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1F8CB4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5799544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58B68B8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3EE2BA60">
            <w:pPr>
              <w:widowControl/>
              <w:spacing w:line="240" w:lineRule="exact"/>
              <w:jc w:val="center"/>
              <w:textAlignment w:val="center"/>
              <w:rPr>
                <w:rFonts w:ascii="宋体" w:hAnsi="宋体" w:eastAsia="宋体" w:cs="宋体"/>
                <w:color w:val="000000"/>
                <w:kern w:val="0"/>
                <w:sz w:val="24"/>
              </w:rPr>
            </w:pPr>
          </w:p>
        </w:tc>
      </w:tr>
      <w:tr w14:paraId="6B36B5AE">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17C84A36">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C161D44">
            <w:pPr>
              <w:keepNext w:val="0"/>
              <w:keepLines w:val="0"/>
              <w:widowControl/>
              <w:suppressLineNumbers w:val="0"/>
              <w:jc w:val="left"/>
              <w:textAlignment w:val="center"/>
              <w:rPr>
                <w:rFonts w:ascii="宋体" w:hAnsi="宋体" w:eastAsia="宋体" w:cs="宋体"/>
                <w:b/>
                <w:bCs/>
                <w:color w:val="000000"/>
                <w:kern w:val="0"/>
                <w:sz w:val="24"/>
              </w:rPr>
            </w:pPr>
            <w:r>
              <w:rPr>
                <w:rFonts w:hint="eastAsia" w:ascii="黑体" w:hAnsi="黑体" w:eastAsia="黑体" w:cs="黑体"/>
                <w:i w:val="0"/>
                <w:iCs w:val="0"/>
                <w:color w:val="000000"/>
                <w:kern w:val="0"/>
                <w:sz w:val="18"/>
                <w:szCs w:val="18"/>
                <w:u w:val="none"/>
                <w:lang w:val="en-US" w:eastAsia="zh-CN" w:bidi="ar"/>
              </w:rPr>
              <w:t>产出指标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542A89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时效指标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02EA822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按时发放率</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7A6A514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79401998">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r>
      <w:tr w14:paraId="3429B2DB">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407B94D7">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2FBDE3BF">
            <w:pPr>
              <w:keepNext w:val="0"/>
              <w:keepLines w:val="0"/>
              <w:widowControl/>
              <w:suppressLineNumbers w:val="0"/>
              <w:jc w:val="left"/>
              <w:textAlignment w:val="center"/>
              <w:rPr>
                <w:rFonts w:ascii="宋体" w:hAnsi="宋体" w:eastAsia="宋体" w:cs="宋体"/>
                <w:b/>
                <w:bCs/>
                <w:color w:val="000000"/>
                <w:kern w:val="0"/>
                <w:sz w:val="24"/>
              </w:rPr>
            </w:pPr>
            <w:r>
              <w:rPr>
                <w:rFonts w:hint="eastAsia" w:ascii="黑体" w:hAnsi="黑体" w:eastAsia="黑体" w:cs="黑体"/>
                <w:i w:val="0"/>
                <w:iCs w:val="0"/>
                <w:color w:val="000000"/>
                <w:kern w:val="0"/>
                <w:sz w:val="18"/>
                <w:szCs w:val="18"/>
                <w:u w:val="none"/>
                <w:lang w:val="en-US" w:eastAsia="zh-CN" w:bidi="ar"/>
              </w:rPr>
              <w:t>产出指标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3187E7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时效指标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3364B7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部门整体绩效工作完成率</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6C4E3A2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完成95%以上</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533A43B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1563185F">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3D44CFF5">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5DA11E5">
            <w:pPr>
              <w:keepNext w:val="0"/>
              <w:keepLines w:val="0"/>
              <w:widowControl/>
              <w:suppressLineNumbers w:val="0"/>
              <w:jc w:val="left"/>
              <w:textAlignment w:val="center"/>
              <w:rPr>
                <w:rFonts w:ascii="宋体" w:hAnsi="宋体" w:eastAsia="宋体" w:cs="宋体"/>
                <w:b/>
                <w:bCs/>
                <w:color w:val="000000"/>
                <w:kern w:val="0"/>
                <w:sz w:val="24"/>
              </w:rPr>
            </w:pPr>
            <w:r>
              <w:rPr>
                <w:rFonts w:hint="eastAsia" w:ascii="黑体" w:hAnsi="黑体" w:eastAsia="黑体" w:cs="黑体"/>
                <w:i w:val="0"/>
                <w:iCs w:val="0"/>
                <w:color w:val="000000"/>
                <w:kern w:val="0"/>
                <w:sz w:val="18"/>
                <w:szCs w:val="18"/>
                <w:u w:val="none"/>
                <w:lang w:val="en-US" w:eastAsia="zh-CN" w:bidi="ar"/>
              </w:rPr>
              <w:t>产出指标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C6AC96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数量指标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1EEA7A7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足额保障率</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25AA0E0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29A067A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r>
      <w:tr w14:paraId="3E697A08">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2CAEA6CB">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DF0CFCD">
            <w:pPr>
              <w:keepNext w:val="0"/>
              <w:keepLines w:val="0"/>
              <w:widowControl/>
              <w:suppressLineNumbers w:val="0"/>
              <w:jc w:val="left"/>
              <w:textAlignment w:val="center"/>
              <w:rPr>
                <w:rFonts w:ascii="宋体" w:hAnsi="宋体" w:eastAsia="宋体" w:cs="宋体"/>
                <w:b/>
                <w:bCs/>
                <w:color w:val="000000"/>
                <w:kern w:val="0"/>
                <w:sz w:val="24"/>
              </w:rPr>
            </w:pPr>
            <w:r>
              <w:rPr>
                <w:rFonts w:hint="eastAsia" w:ascii="黑体" w:hAnsi="黑体" w:eastAsia="黑体" w:cs="黑体"/>
                <w:i w:val="0"/>
                <w:iCs w:val="0"/>
                <w:color w:val="000000"/>
                <w:kern w:val="0"/>
                <w:sz w:val="18"/>
                <w:szCs w:val="18"/>
                <w:u w:val="none"/>
                <w:lang w:val="en-US" w:eastAsia="zh-CN" w:bidi="ar"/>
              </w:rPr>
              <w:t>产出指标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727DDE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数量指标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2895D6D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向园区企业举办宣传培训活动</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08362C8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3547E48C">
            <w:pPr>
              <w:widowControl/>
              <w:spacing w:line="240" w:lineRule="exact"/>
              <w:jc w:val="center"/>
              <w:textAlignment w:val="center"/>
              <w:rPr>
                <w:rFonts w:ascii="宋体" w:hAnsi="宋体" w:eastAsia="宋体" w:cs="宋体"/>
                <w:color w:val="000000"/>
                <w:kern w:val="0"/>
                <w:sz w:val="24"/>
              </w:rPr>
            </w:pPr>
            <w:r>
              <w:rPr>
                <w:rFonts w:hint="eastAsia" w:ascii="黑体" w:hAnsi="黑体" w:eastAsia="黑体" w:cs="黑体"/>
                <w:i w:val="0"/>
                <w:iCs w:val="0"/>
                <w:color w:val="000000"/>
                <w:kern w:val="0"/>
                <w:sz w:val="18"/>
                <w:szCs w:val="18"/>
                <w:u w:val="none"/>
                <w:lang w:val="en-US" w:eastAsia="zh-CN" w:bidi="ar"/>
              </w:rPr>
              <w:t>≥2</w:t>
            </w:r>
          </w:p>
        </w:tc>
      </w:tr>
      <w:tr w14:paraId="00AE9043">
        <w:tblPrEx>
          <w:tblCellMar>
            <w:top w:w="0" w:type="dxa"/>
            <w:left w:w="108" w:type="dxa"/>
            <w:bottom w:w="0" w:type="dxa"/>
            <w:right w:w="108" w:type="dxa"/>
          </w:tblCellMar>
        </w:tblPrEx>
        <w:trPr>
          <w:trHeight w:val="29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082F83FE">
            <w:pPr>
              <w:widowControl/>
              <w:spacing w:line="240" w:lineRule="exact"/>
              <w:jc w:val="center"/>
              <w:textAlignment w:val="center"/>
              <w:rPr>
                <w:rFonts w:ascii="宋体" w:hAnsi="宋体" w:eastAsia="宋体" w:cs="宋体"/>
                <w:color w:val="000000"/>
                <w:kern w:val="0"/>
                <w:sz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ign w:val="center"/>
          </w:tcPr>
          <w:p w14:paraId="0103BE40">
            <w:pPr>
              <w:keepNext w:val="0"/>
              <w:keepLines w:val="0"/>
              <w:widowControl/>
              <w:suppressLineNumbers w:val="0"/>
              <w:jc w:val="left"/>
              <w:textAlignment w:val="center"/>
              <w:rPr>
                <w:rFonts w:ascii="宋体" w:hAnsi="宋体" w:eastAsia="宋体" w:cs="宋体"/>
                <w:b/>
                <w:bCs/>
                <w:color w:val="000000"/>
                <w:kern w:val="0"/>
                <w:sz w:val="24"/>
              </w:rPr>
            </w:pPr>
            <w:r>
              <w:rPr>
                <w:rFonts w:hint="eastAsia" w:ascii="黑体" w:hAnsi="黑体" w:eastAsia="黑体" w:cs="黑体"/>
                <w:i w:val="0"/>
                <w:iCs w:val="0"/>
                <w:color w:val="000000"/>
                <w:kern w:val="0"/>
                <w:sz w:val="18"/>
                <w:szCs w:val="18"/>
                <w:u w:val="none"/>
                <w:lang w:val="en-US" w:eastAsia="zh-CN" w:bidi="ar"/>
              </w:rPr>
              <w:t>产出指标</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16F752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质量指标</w:t>
            </w: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02E8C0C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园区正常运转率</w:t>
            </w: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1225002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2D8EEFC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r>
      <w:tr w14:paraId="254C0AB5">
        <w:tblPrEx>
          <w:tblCellMar>
            <w:top w:w="0" w:type="dxa"/>
            <w:left w:w="108" w:type="dxa"/>
            <w:bottom w:w="0" w:type="dxa"/>
            <w:right w:w="108" w:type="dxa"/>
          </w:tblCellMar>
        </w:tblPrEx>
        <w:trPr>
          <w:trHeight w:val="306" w:hRule="atLeast"/>
          <w:jc w:val="center"/>
        </w:trPr>
        <w:tc>
          <w:tcPr>
            <w:tcW w:w="401" w:type="dxa"/>
            <w:vMerge w:val="continue"/>
            <w:tcBorders>
              <w:top w:val="single" w:color="000000" w:sz="4" w:space="0"/>
              <w:left w:val="single" w:color="000000" w:sz="4" w:space="0"/>
              <w:bottom w:val="single" w:color="000000" w:sz="4" w:space="0"/>
              <w:right w:val="single" w:color="000000" w:sz="4" w:space="0"/>
            </w:tcBorders>
            <w:noWrap/>
            <w:vAlign w:val="center"/>
          </w:tcPr>
          <w:p w14:paraId="4729B0E8">
            <w:pPr>
              <w:widowControl/>
              <w:spacing w:line="240" w:lineRule="exact"/>
              <w:jc w:val="center"/>
              <w:textAlignment w:val="center"/>
              <w:rPr>
                <w:rFonts w:ascii="宋体" w:hAnsi="宋体" w:eastAsia="宋体" w:cs="宋体"/>
                <w:color w:val="000000"/>
                <w:kern w:val="0"/>
                <w:sz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ign w:val="center"/>
          </w:tcPr>
          <w:p w14:paraId="31976854">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4624B6C">
            <w:pPr>
              <w:widowControl/>
              <w:spacing w:line="240" w:lineRule="exact"/>
              <w:jc w:val="center"/>
              <w:textAlignment w:val="center"/>
              <w:rPr>
                <w:rFonts w:ascii="宋体" w:hAnsi="宋体" w:eastAsia="宋体" w:cs="宋体"/>
                <w:color w:val="000000"/>
                <w:kern w:val="0"/>
                <w:sz w:val="24"/>
              </w:rPr>
            </w:pPr>
          </w:p>
        </w:tc>
        <w:tc>
          <w:tcPr>
            <w:tcW w:w="1523" w:type="dxa"/>
            <w:tcBorders>
              <w:top w:val="single" w:color="000000" w:sz="4" w:space="0"/>
              <w:left w:val="single" w:color="000000" w:sz="4" w:space="0"/>
              <w:bottom w:val="single" w:color="000000" w:sz="4" w:space="0"/>
              <w:right w:val="single" w:color="000000" w:sz="4" w:space="0"/>
            </w:tcBorders>
            <w:noWrap/>
            <w:vAlign w:val="center"/>
          </w:tcPr>
          <w:p w14:paraId="7D8DFC95">
            <w:pPr>
              <w:widowControl/>
              <w:spacing w:line="240" w:lineRule="exact"/>
              <w:jc w:val="center"/>
              <w:textAlignment w:val="center"/>
              <w:rPr>
                <w:rFonts w:ascii="宋体" w:hAnsi="宋体" w:eastAsia="宋体" w:cs="宋体"/>
                <w:color w:val="000000"/>
                <w:kern w:val="0"/>
                <w:sz w:val="24"/>
              </w:rPr>
            </w:pPr>
          </w:p>
        </w:tc>
        <w:tc>
          <w:tcPr>
            <w:tcW w:w="4303" w:type="dxa"/>
            <w:gridSpan w:val="5"/>
            <w:tcBorders>
              <w:top w:val="single" w:color="000000" w:sz="4" w:space="0"/>
              <w:left w:val="single" w:color="000000" w:sz="4" w:space="0"/>
              <w:bottom w:val="single" w:color="000000" w:sz="4" w:space="0"/>
              <w:right w:val="single" w:color="000000" w:sz="4" w:space="0"/>
            </w:tcBorders>
            <w:noWrap/>
            <w:vAlign w:val="center"/>
          </w:tcPr>
          <w:p w14:paraId="06D5FE5E">
            <w:pPr>
              <w:widowControl/>
              <w:spacing w:line="240" w:lineRule="exact"/>
              <w:jc w:val="center"/>
              <w:textAlignment w:val="center"/>
              <w:rPr>
                <w:rFonts w:ascii="宋体" w:hAnsi="宋体" w:eastAsia="宋体" w:cs="宋体"/>
                <w:color w:val="000000"/>
                <w:kern w:val="0"/>
                <w:sz w:val="24"/>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07F6FC13">
            <w:pPr>
              <w:widowControl/>
              <w:spacing w:line="240" w:lineRule="exact"/>
              <w:jc w:val="center"/>
              <w:textAlignment w:val="center"/>
              <w:rPr>
                <w:rFonts w:ascii="宋体" w:hAnsi="宋体" w:eastAsia="宋体" w:cs="宋体"/>
                <w:color w:val="000000"/>
                <w:kern w:val="0"/>
                <w:sz w:val="24"/>
              </w:rPr>
            </w:pPr>
          </w:p>
        </w:tc>
      </w:tr>
    </w:tbl>
    <w:p w14:paraId="3F4D1A75">
      <w:pPr>
        <w:rPr>
          <w:rFonts w:hint="eastAsia" w:ascii="Times New Roman" w:hAnsi="Times New Roman" w:eastAsia="宋体" w:cs="Times New Roman"/>
          <w:kern w:val="2"/>
          <w:sz w:val="21"/>
          <w:szCs w:val="24"/>
          <w:lang w:val="zh-CN" w:eastAsia="zh-CN" w:bidi="ar-SA"/>
        </w:rPr>
      </w:pPr>
    </w:p>
    <w:p w14:paraId="7856B24A">
      <w:pPr>
        <w:widowControl/>
        <w:spacing w:line="600" w:lineRule="exact"/>
        <w:jc w:val="center"/>
        <w:textAlignment w:val="center"/>
        <w:rPr>
          <w:rFonts w:eastAsia="方正小标宋简体"/>
          <w:color w:val="000000"/>
          <w:kern w:val="0"/>
          <w:sz w:val="44"/>
          <w:szCs w:val="44"/>
        </w:rPr>
      </w:pPr>
      <w:r>
        <w:rPr>
          <w:rFonts w:hint="eastAsia" w:ascii="Times New Roman" w:hAnsi="Times New Roman" w:eastAsia="宋体" w:cs="Times New Roman"/>
          <w:kern w:val="2"/>
          <w:sz w:val="21"/>
          <w:szCs w:val="24"/>
          <w:lang w:val="zh-CN" w:eastAsia="zh-CN" w:bidi="ar-SA"/>
        </w:rPr>
        <w:br w:type="textWrapping"/>
      </w:r>
      <w:r>
        <w:rPr>
          <w:rFonts w:hint="eastAsia" w:eastAsia="方正小标宋简体"/>
          <w:color w:val="000000"/>
          <w:kern w:val="0"/>
          <w:sz w:val="44"/>
          <w:szCs w:val="44"/>
        </w:rPr>
        <w:t>部门预算绩效自评打分表</w:t>
      </w:r>
    </w:p>
    <w:tbl>
      <w:tblPr>
        <w:tblStyle w:val="13"/>
        <w:tblW w:w="106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1462"/>
        <w:gridCol w:w="1665"/>
        <w:gridCol w:w="720"/>
        <w:gridCol w:w="4734"/>
        <w:gridCol w:w="756"/>
        <w:gridCol w:w="306"/>
      </w:tblGrid>
      <w:tr w14:paraId="301C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1C675">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430D2">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noWrap/>
            <w:vAlign w:val="center"/>
          </w:tcPr>
          <w:p w14:paraId="79B30144">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306" w:type="dxa"/>
            <w:vMerge w:val="restart"/>
            <w:tcBorders>
              <w:top w:val="single" w:color="000000" w:sz="4" w:space="0"/>
              <w:left w:val="single" w:color="000000" w:sz="4" w:space="0"/>
              <w:right w:val="single" w:color="000000" w:sz="4" w:space="0"/>
            </w:tcBorders>
            <w:shd w:val="clear" w:color="auto" w:fill="auto"/>
            <w:noWrap/>
            <w:vAlign w:val="center"/>
          </w:tcPr>
          <w:p w14:paraId="019FCF54">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14:paraId="1E9BA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noWrap/>
            <w:vAlign w:val="center"/>
          </w:tcPr>
          <w:p w14:paraId="52DDE9FF">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6C4D">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32EC">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BEBF">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4065"/>
        </w:tc>
        <w:tc>
          <w:tcPr>
            <w:tcW w:w="756" w:type="dxa"/>
            <w:vMerge w:val="continue"/>
            <w:tcBorders>
              <w:left w:val="single" w:color="000000" w:sz="4" w:space="0"/>
              <w:bottom w:val="single" w:color="000000" w:sz="4" w:space="0"/>
              <w:right w:val="single" w:color="000000" w:sz="4" w:space="0"/>
            </w:tcBorders>
            <w:shd w:val="clear" w:color="auto" w:fill="auto"/>
            <w:noWrap/>
            <w:vAlign w:val="center"/>
          </w:tcPr>
          <w:p w14:paraId="2EFC5D60"/>
        </w:tc>
        <w:tc>
          <w:tcPr>
            <w:tcW w:w="306" w:type="dxa"/>
            <w:vMerge w:val="continue"/>
            <w:tcBorders>
              <w:left w:val="single" w:color="000000" w:sz="4" w:space="0"/>
              <w:bottom w:val="single" w:color="000000" w:sz="4" w:space="0"/>
              <w:right w:val="single" w:color="000000" w:sz="4" w:space="0"/>
            </w:tcBorders>
            <w:shd w:val="clear" w:color="auto" w:fill="auto"/>
            <w:noWrap/>
            <w:vAlign w:val="center"/>
          </w:tcPr>
          <w:p w14:paraId="05280B60"/>
        </w:tc>
      </w:tr>
      <w:tr w14:paraId="6CB9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15C57">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w:t>
            </w:r>
            <w:r>
              <w:rPr>
                <w:rFonts w:hint="eastAsia" w:ascii="宋体" w:eastAsia="宋体" w:cs="宋体"/>
                <w:b/>
                <w:color w:val="000000"/>
                <w:kern w:val="0"/>
                <w:sz w:val="24"/>
              </w:rPr>
              <w:br w:type="textWrapping"/>
            </w:r>
            <w:r>
              <w:rPr>
                <w:rFonts w:hint="eastAsia" w:ascii="宋体" w:eastAsia="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D91F">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履职效能</w:t>
            </w:r>
            <w:r>
              <w:rPr>
                <w:rFonts w:hint="eastAsia" w:ascii="宋体" w:eastAsia="宋体" w:cs="宋体"/>
                <w:b/>
                <w:color w:val="000000"/>
                <w:kern w:val="0"/>
                <w:sz w:val="24"/>
              </w:rPr>
              <w:br w:type="textWrapping"/>
            </w:r>
            <w:r>
              <w:rPr>
                <w:rFonts w:hint="eastAsia" w:ascii="宋体" w:eastAsia="宋体" w:cs="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D63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履职效果</w:t>
            </w:r>
          </w:p>
        </w:tc>
        <w:tc>
          <w:tcPr>
            <w:tcW w:w="720" w:type="dxa"/>
            <w:tcBorders>
              <w:top w:val="nil"/>
              <w:left w:val="single" w:color="000000" w:sz="4" w:space="0"/>
              <w:bottom w:val="single" w:color="000000" w:sz="4" w:space="0"/>
              <w:right w:val="single" w:color="000000" w:sz="4" w:space="0"/>
            </w:tcBorders>
            <w:shd w:val="clear" w:color="auto" w:fill="auto"/>
            <w:noWrap/>
            <w:vAlign w:val="center"/>
          </w:tcPr>
          <w:p w14:paraId="37CF76E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7478">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ABE6">
            <w:pPr>
              <w:widowControl/>
              <w:spacing w:line="240" w:lineRule="exact"/>
              <w:jc w:val="left"/>
              <w:textAlignment w:val="center"/>
              <w:rPr>
                <w:rFonts w:hint="default" w:ascii="宋体" w:eastAsia="宋体" w:cs="宋体"/>
                <w:color w:val="000000"/>
                <w:kern w:val="0"/>
                <w:sz w:val="24"/>
                <w:lang w:val="en-US" w:eastAsia="zh-CN"/>
              </w:rPr>
            </w:pPr>
            <w:r>
              <w:rPr>
                <w:rFonts w:hint="eastAsia" w:ascii="宋体" w:eastAsia="宋体" w:cs="宋体"/>
                <w:color w:val="000000"/>
                <w:kern w:val="0"/>
                <w:sz w:val="24"/>
                <w:lang w:val="en-US" w:eastAsia="zh-CN"/>
              </w:rPr>
              <w:t>12</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1167">
            <w:pPr>
              <w:widowControl/>
              <w:spacing w:line="240" w:lineRule="exact"/>
              <w:jc w:val="left"/>
              <w:textAlignment w:val="center"/>
              <w:rPr>
                <w:rFonts w:ascii="宋体" w:eastAsia="宋体" w:cs="宋体"/>
                <w:color w:val="000000"/>
                <w:kern w:val="0"/>
                <w:sz w:val="24"/>
              </w:rPr>
            </w:pPr>
          </w:p>
        </w:tc>
      </w:tr>
      <w:tr w14:paraId="00CE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EEA6"/>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E0B9">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预算管理</w:t>
            </w:r>
            <w:r>
              <w:rPr>
                <w:rFonts w:hint="eastAsia" w:ascii="宋体" w:eastAsia="宋体" w:cs="宋体"/>
                <w:b/>
                <w:color w:val="000000"/>
                <w:kern w:val="0"/>
                <w:sz w:val="24"/>
              </w:rPr>
              <w:br w:type="textWrapping"/>
            </w:r>
            <w:r>
              <w:rPr>
                <w:rFonts w:hint="eastAsia" w:ascii="宋体" w:eastAsia="宋体" w:cs="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7E8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D9EF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4D5C">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373E">
            <w:pPr>
              <w:widowControl/>
              <w:spacing w:line="240" w:lineRule="exact"/>
              <w:jc w:val="left"/>
              <w:textAlignment w:val="center"/>
              <w:rPr>
                <w:rFonts w:hint="default" w:ascii="宋体" w:eastAsia="宋体" w:cs="宋体"/>
                <w:color w:val="000000"/>
                <w:kern w:val="0"/>
                <w:sz w:val="24"/>
                <w:lang w:val="en-US" w:eastAsia="zh-CN"/>
              </w:rPr>
            </w:pPr>
            <w:r>
              <w:rPr>
                <w:rFonts w:hint="eastAsia" w:ascii="宋体" w:eastAsia="宋体" w:cs="宋体"/>
                <w:color w:val="000000"/>
                <w:kern w:val="0"/>
                <w:sz w:val="24"/>
                <w:lang w:val="en-US" w:eastAsia="zh-CN"/>
              </w:rPr>
              <w:t>6</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7045">
            <w:pPr>
              <w:widowControl/>
              <w:spacing w:line="240" w:lineRule="exact"/>
              <w:jc w:val="left"/>
              <w:textAlignment w:val="center"/>
              <w:rPr>
                <w:rFonts w:ascii="宋体" w:eastAsia="宋体" w:cs="宋体"/>
                <w:color w:val="000000"/>
                <w:kern w:val="0"/>
                <w:sz w:val="24"/>
              </w:rPr>
            </w:pPr>
          </w:p>
        </w:tc>
      </w:tr>
      <w:tr w14:paraId="0EF0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376E"/>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EEF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CA6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DF3D">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F925">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8748">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0</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5712">
            <w:pPr>
              <w:widowControl/>
              <w:spacing w:line="240" w:lineRule="exact"/>
              <w:jc w:val="left"/>
              <w:textAlignment w:val="center"/>
              <w:rPr>
                <w:rFonts w:ascii="宋体" w:eastAsia="宋体" w:cs="宋体"/>
                <w:color w:val="000000"/>
                <w:kern w:val="0"/>
                <w:sz w:val="24"/>
              </w:rPr>
            </w:pPr>
          </w:p>
        </w:tc>
      </w:tr>
      <w:tr w14:paraId="689CD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6CF5"/>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A629"/>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F03F">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8969">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47EF">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46C9">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E1AC">
            <w:pPr>
              <w:widowControl/>
              <w:spacing w:line="240" w:lineRule="exact"/>
              <w:jc w:val="left"/>
              <w:textAlignment w:val="center"/>
              <w:rPr>
                <w:rFonts w:ascii="宋体" w:eastAsia="宋体" w:cs="宋体"/>
                <w:color w:val="000000"/>
                <w:kern w:val="0"/>
                <w:sz w:val="24"/>
              </w:rPr>
            </w:pPr>
          </w:p>
        </w:tc>
      </w:tr>
      <w:tr w14:paraId="1ADCC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130E"/>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13E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A79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D078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1DF8">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84A5">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2</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DEB86">
            <w:pPr>
              <w:widowControl/>
              <w:spacing w:line="240" w:lineRule="exact"/>
              <w:jc w:val="left"/>
              <w:textAlignment w:val="center"/>
              <w:rPr>
                <w:rFonts w:ascii="宋体" w:eastAsia="宋体" w:cs="宋体"/>
                <w:color w:val="000000"/>
                <w:kern w:val="0"/>
                <w:sz w:val="24"/>
              </w:rPr>
            </w:pPr>
          </w:p>
        </w:tc>
      </w:tr>
      <w:tr w14:paraId="3474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A0C4"/>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A41A"/>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B61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BEF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F79E">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F4BD">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5</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245">
            <w:pPr>
              <w:widowControl/>
              <w:spacing w:line="240" w:lineRule="exact"/>
              <w:jc w:val="left"/>
              <w:textAlignment w:val="center"/>
              <w:rPr>
                <w:rFonts w:ascii="宋体" w:eastAsia="宋体" w:cs="宋体"/>
                <w:color w:val="000000"/>
                <w:kern w:val="0"/>
                <w:sz w:val="24"/>
              </w:rPr>
            </w:pPr>
          </w:p>
        </w:tc>
      </w:tr>
      <w:tr w14:paraId="1828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F2B3"/>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4CAB">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财务管理</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EB2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7B20">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045A">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9CD8">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7C69C">
            <w:pPr>
              <w:widowControl/>
              <w:spacing w:line="240" w:lineRule="exact"/>
              <w:jc w:val="left"/>
              <w:textAlignment w:val="center"/>
              <w:rPr>
                <w:rFonts w:ascii="宋体" w:eastAsia="宋体" w:cs="宋体"/>
                <w:color w:val="000000"/>
                <w:kern w:val="0"/>
                <w:sz w:val="24"/>
              </w:rPr>
            </w:pPr>
          </w:p>
        </w:tc>
      </w:tr>
      <w:tr w14:paraId="467D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28A5"/>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70E9"/>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BA9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EBA2">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1827B">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7701">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2</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16D8">
            <w:pPr>
              <w:widowControl/>
              <w:spacing w:line="240" w:lineRule="exact"/>
              <w:jc w:val="left"/>
              <w:textAlignment w:val="center"/>
              <w:rPr>
                <w:rFonts w:ascii="宋体" w:eastAsia="宋体" w:cs="宋体"/>
                <w:color w:val="000000"/>
                <w:kern w:val="0"/>
                <w:sz w:val="24"/>
              </w:rPr>
            </w:pPr>
          </w:p>
        </w:tc>
      </w:tr>
      <w:tr w14:paraId="2CE5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031F"/>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1059"/>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4C2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260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9949">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8008">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BDAB">
            <w:pPr>
              <w:widowControl/>
              <w:spacing w:line="240" w:lineRule="exact"/>
              <w:jc w:val="left"/>
              <w:textAlignment w:val="center"/>
              <w:rPr>
                <w:rFonts w:ascii="宋体" w:eastAsia="宋体" w:cs="宋体"/>
                <w:color w:val="000000"/>
                <w:kern w:val="0"/>
                <w:sz w:val="24"/>
              </w:rPr>
            </w:pPr>
          </w:p>
        </w:tc>
      </w:tr>
      <w:tr w14:paraId="2D0A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8704"/>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30D7">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604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D2B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2466">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8ED8">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2</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6674">
            <w:pPr>
              <w:widowControl/>
              <w:spacing w:line="240" w:lineRule="exact"/>
              <w:jc w:val="left"/>
              <w:textAlignment w:val="center"/>
              <w:rPr>
                <w:rFonts w:ascii="宋体" w:eastAsia="宋体" w:cs="宋体"/>
                <w:color w:val="000000"/>
                <w:kern w:val="0"/>
                <w:sz w:val="24"/>
              </w:rPr>
            </w:pPr>
          </w:p>
        </w:tc>
      </w:tr>
      <w:tr w14:paraId="5FA7A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859E"/>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F9BD"/>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484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F8B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B43E">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2150">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CF4E">
            <w:pPr>
              <w:widowControl/>
              <w:spacing w:line="240" w:lineRule="exact"/>
              <w:jc w:val="left"/>
              <w:textAlignment w:val="center"/>
              <w:rPr>
                <w:rFonts w:ascii="宋体" w:eastAsia="宋体" w:cs="宋体"/>
                <w:color w:val="000000"/>
                <w:kern w:val="0"/>
                <w:sz w:val="24"/>
              </w:rPr>
            </w:pPr>
          </w:p>
        </w:tc>
      </w:tr>
      <w:tr w14:paraId="0B3A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2A4F">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w:t>
            </w:r>
            <w:r>
              <w:rPr>
                <w:rFonts w:hint="eastAsia" w:ascii="宋体" w:eastAsia="宋体" w:cs="宋体"/>
                <w:b/>
                <w:color w:val="000000"/>
                <w:kern w:val="0"/>
                <w:sz w:val="24"/>
              </w:rPr>
              <w:br w:type="textWrapping"/>
            </w:r>
            <w:r>
              <w:rPr>
                <w:rFonts w:hint="eastAsia" w:ascii="宋体" w:eastAsia="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B22B7">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A72A">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4F3C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C89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8233">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7DB8">
            <w:pPr>
              <w:widowControl/>
              <w:spacing w:line="240" w:lineRule="exact"/>
              <w:jc w:val="left"/>
              <w:textAlignment w:val="center"/>
              <w:rPr>
                <w:rFonts w:ascii="宋体" w:eastAsia="宋体" w:cs="宋体"/>
                <w:color w:val="000000"/>
                <w:kern w:val="0"/>
                <w:sz w:val="24"/>
              </w:rPr>
            </w:pPr>
          </w:p>
        </w:tc>
      </w:tr>
      <w:tr w14:paraId="37F0D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5FAA"/>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7893">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采购管理</w:t>
            </w:r>
            <w:r>
              <w:rPr>
                <w:rFonts w:hint="eastAsia" w:ascii="宋体" w:eastAsia="宋体" w:cs="宋体"/>
                <w:b/>
                <w:color w:val="000000"/>
                <w:kern w:val="0"/>
                <w:sz w:val="24"/>
              </w:rPr>
              <w:br w:type="textWrapping"/>
            </w:r>
            <w:r>
              <w:rPr>
                <w:rFonts w:hint="eastAsia" w:ascii="宋体" w:eastAsia="宋体" w:cs="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1AC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DFE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AF7D">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82A6">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97326">
            <w:pPr>
              <w:widowControl/>
              <w:spacing w:line="240" w:lineRule="exact"/>
              <w:jc w:val="left"/>
              <w:textAlignment w:val="center"/>
              <w:rPr>
                <w:rFonts w:ascii="宋体" w:eastAsia="宋体" w:cs="宋体"/>
                <w:color w:val="000000"/>
                <w:kern w:val="0"/>
                <w:sz w:val="24"/>
              </w:rPr>
            </w:pPr>
          </w:p>
        </w:tc>
      </w:tr>
      <w:tr w14:paraId="0F43C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7C34"/>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A094"/>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DB1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DE4C">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1CB5">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A18A">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0</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1C67">
            <w:pPr>
              <w:widowControl/>
              <w:spacing w:line="240" w:lineRule="exact"/>
              <w:jc w:val="left"/>
              <w:textAlignment w:val="center"/>
              <w:rPr>
                <w:rFonts w:ascii="宋体" w:eastAsia="宋体" w:cs="宋体"/>
                <w:color w:val="000000"/>
                <w:kern w:val="0"/>
                <w:sz w:val="24"/>
              </w:rPr>
            </w:pPr>
          </w:p>
        </w:tc>
      </w:tr>
      <w:tr w14:paraId="5B4D0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E98F">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项目绩效</w:t>
            </w:r>
            <w:r>
              <w:rPr>
                <w:rFonts w:hint="eastAsia" w:ascii="宋体" w:eastAsia="宋体" w:cs="宋体"/>
                <w:b/>
                <w:color w:val="000000"/>
                <w:kern w:val="0"/>
                <w:sz w:val="24"/>
              </w:rPr>
              <w:br w:type="textWrapping"/>
            </w:r>
            <w:r>
              <w:rPr>
                <w:rFonts w:hint="eastAsia" w:ascii="宋体" w:eastAsia="宋体" w:cs="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noWrap/>
            <w:vAlign w:val="center"/>
          </w:tcPr>
          <w:p w14:paraId="311F5E9B">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项目决策</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492F">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8EDD">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8D6A">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11F4">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B67A">
            <w:pPr>
              <w:widowControl/>
              <w:spacing w:line="240" w:lineRule="exact"/>
              <w:jc w:val="left"/>
              <w:textAlignment w:val="center"/>
              <w:rPr>
                <w:rFonts w:ascii="宋体" w:eastAsia="宋体" w:cs="宋体"/>
                <w:color w:val="000000"/>
                <w:kern w:val="0"/>
                <w:sz w:val="24"/>
              </w:rPr>
            </w:pPr>
          </w:p>
        </w:tc>
      </w:tr>
      <w:tr w14:paraId="49C1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7ED9"/>
        </w:tc>
        <w:tc>
          <w:tcPr>
            <w:tcW w:w="146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16D02BD"/>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971A">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9CD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7DD3">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B6DE">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2408">
            <w:pPr>
              <w:widowControl/>
              <w:spacing w:line="240" w:lineRule="exact"/>
              <w:jc w:val="left"/>
              <w:textAlignment w:val="center"/>
              <w:rPr>
                <w:rFonts w:ascii="宋体" w:eastAsia="宋体" w:cs="宋体"/>
                <w:color w:val="000000"/>
                <w:kern w:val="0"/>
                <w:sz w:val="24"/>
              </w:rPr>
            </w:pPr>
          </w:p>
        </w:tc>
      </w:tr>
      <w:tr w14:paraId="7BD3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0149"/>
        </w:tc>
        <w:tc>
          <w:tcPr>
            <w:tcW w:w="146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BBC7DB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51B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F98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14DD">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3CBE">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3390">
            <w:pPr>
              <w:widowControl/>
              <w:spacing w:line="240" w:lineRule="exact"/>
              <w:jc w:val="left"/>
              <w:textAlignment w:val="center"/>
              <w:rPr>
                <w:rFonts w:ascii="宋体" w:eastAsia="宋体" w:cs="宋体"/>
                <w:color w:val="000000"/>
                <w:kern w:val="0"/>
                <w:sz w:val="24"/>
              </w:rPr>
            </w:pPr>
          </w:p>
        </w:tc>
      </w:tr>
      <w:tr w14:paraId="6576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238A"/>
        </w:tc>
        <w:tc>
          <w:tcPr>
            <w:tcW w:w="1462" w:type="dxa"/>
            <w:vMerge w:val="restart"/>
            <w:tcBorders>
              <w:top w:val="single" w:color="000000" w:sz="4" w:space="0"/>
              <w:left w:val="single" w:color="000000" w:sz="4" w:space="0"/>
              <w:bottom w:val="nil"/>
              <w:right w:val="single" w:color="000000" w:sz="4" w:space="0"/>
            </w:tcBorders>
            <w:shd w:val="clear" w:color="auto" w:fill="auto"/>
            <w:noWrap/>
            <w:vAlign w:val="center"/>
          </w:tcPr>
          <w:p w14:paraId="5085EFD4">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项目执行</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3D0A">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7D6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1E47">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97958">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94F2">
            <w:pPr>
              <w:widowControl/>
              <w:spacing w:line="240" w:lineRule="exact"/>
              <w:jc w:val="left"/>
              <w:textAlignment w:val="center"/>
              <w:rPr>
                <w:rFonts w:ascii="宋体" w:eastAsia="宋体" w:cs="宋体"/>
                <w:color w:val="000000"/>
                <w:kern w:val="0"/>
                <w:sz w:val="24"/>
              </w:rPr>
            </w:pPr>
          </w:p>
        </w:tc>
      </w:tr>
      <w:tr w14:paraId="4BCD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E71F"/>
        </w:tc>
        <w:tc>
          <w:tcPr>
            <w:tcW w:w="146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4309A25"/>
        </w:tc>
        <w:tc>
          <w:tcPr>
            <w:tcW w:w="1665" w:type="dxa"/>
            <w:tcBorders>
              <w:top w:val="single" w:color="000000" w:sz="4" w:space="0"/>
              <w:left w:val="single" w:color="000000" w:sz="4" w:space="0"/>
              <w:bottom w:val="nil"/>
              <w:right w:val="single" w:color="000000" w:sz="4" w:space="0"/>
            </w:tcBorders>
            <w:shd w:val="clear" w:color="auto" w:fill="auto"/>
            <w:noWrap/>
            <w:vAlign w:val="center"/>
          </w:tcPr>
          <w:p w14:paraId="095CE4E9">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108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EA9B">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140D">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857F">
            <w:pPr>
              <w:widowControl/>
              <w:spacing w:line="240" w:lineRule="exact"/>
              <w:jc w:val="left"/>
              <w:textAlignment w:val="center"/>
              <w:rPr>
                <w:rFonts w:ascii="宋体" w:eastAsia="宋体" w:cs="宋体"/>
                <w:color w:val="000000"/>
                <w:kern w:val="0"/>
                <w:sz w:val="24"/>
              </w:rPr>
            </w:pPr>
          </w:p>
        </w:tc>
      </w:tr>
      <w:tr w14:paraId="6C56C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FD6B1"/>
        </w:tc>
        <w:tc>
          <w:tcPr>
            <w:tcW w:w="146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79104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639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DAC9">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374A">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9ED0">
            <w:pPr>
              <w:widowControl/>
              <w:spacing w:line="240" w:lineRule="exact"/>
              <w:jc w:val="left"/>
              <w:textAlignment w:val="center"/>
              <w:rPr>
                <w:rFonts w:hint="default" w:ascii="宋体" w:eastAsia="宋体" w:cs="宋体"/>
                <w:color w:val="000000"/>
                <w:kern w:val="0"/>
                <w:sz w:val="24"/>
                <w:lang w:val="en-US" w:eastAsia="zh-CN"/>
              </w:rPr>
            </w:pPr>
            <w:r>
              <w:rPr>
                <w:rFonts w:hint="eastAsia" w:ascii="宋体" w:eastAsia="宋体" w:cs="宋体"/>
                <w:color w:val="000000"/>
                <w:kern w:val="0"/>
                <w:sz w:val="24"/>
                <w:lang w:val="en-US" w:eastAsia="zh-CN"/>
              </w:rPr>
              <w:t>3.5</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F5FD">
            <w:pPr>
              <w:widowControl/>
              <w:spacing w:line="240" w:lineRule="exact"/>
              <w:jc w:val="left"/>
              <w:textAlignment w:val="center"/>
              <w:rPr>
                <w:rFonts w:ascii="宋体" w:eastAsia="宋体" w:cs="宋体"/>
                <w:color w:val="000000"/>
                <w:kern w:val="0"/>
                <w:sz w:val="24"/>
              </w:rPr>
            </w:pPr>
          </w:p>
        </w:tc>
      </w:tr>
      <w:tr w14:paraId="7FA7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812C"/>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2259">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目标实现</w:t>
            </w:r>
            <w:r>
              <w:rPr>
                <w:rFonts w:hint="eastAsia" w:ascii="宋体" w:eastAsia="宋体" w:cs="宋体"/>
                <w:b/>
                <w:color w:val="000000"/>
                <w:kern w:val="0"/>
                <w:sz w:val="24"/>
              </w:rPr>
              <w:br w:type="textWrapping"/>
            </w:r>
            <w:r>
              <w:rPr>
                <w:rFonts w:hint="eastAsia" w:ascii="宋体" w:eastAsia="宋体" w:cs="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23C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AAB9">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AAA9">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0AC2">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09B33">
            <w:pPr>
              <w:widowControl/>
              <w:spacing w:line="240" w:lineRule="exact"/>
              <w:jc w:val="left"/>
              <w:textAlignment w:val="center"/>
              <w:rPr>
                <w:rFonts w:ascii="宋体" w:eastAsia="宋体" w:cs="宋体"/>
                <w:color w:val="000000"/>
                <w:kern w:val="0"/>
                <w:sz w:val="24"/>
              </w:rPr>
            </w:pPr>
          </w:p>
        </w:tc>
      </w:tr>
      <w:tr w14:paraId="162C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8FAE"/>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A2E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3362">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76FC">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53E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4D21">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0F3B">
            <w:pPr>
              <w:widowControl/>
              <w:spacing w:line="240" w:lineRule="exact"/>
              <w:jc w:val="left"/>
              <w:textAlignment w:val="center"/>
              <w:rPr>
                <w:rFonts w:ascii="宋体" w:eastAsia="宋体" w:cs="宋体"/>
                <w:color w:val="000000"/>
                <w:kern w:val="0"/>
                <w:sz w:val="24"/>
              </w:rPr>
            </w:pPr>
          </w:p>
        </w:tc>
      </w:tr>
      <w:tr w14:paraId="6F202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F397"/>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923F"/>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1FEED">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CE8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E19E">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87F6">
            <w:pPr>
              <w:widowControl/>
              <w:spacing w:line="240" w:lineRule="exact"/>
              <w:jc w:val="left"/>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AF56">
            <w:pPr>
              <w:widowControl/>
              <w:spacing w:line="240" w:lineRule="exact"/>
              <w:jc w:val="left"/>
              <w:textAlignment w:val="center"/>
              <w:rPr>
                <w:rFonts w:ascii="宋体" w:eastAsia="宋体" w:cs="宋体"/>
                <w:color w:val="000000"/>
                <w:kern w:val="0"/>
                <w:sz w:val="24"/>
              </w:rPr>
            </w:pPr>
          </w:p>
        </w:tc>
      </w:tr>
      <w:tr w14:paraId="34E3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CF19">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扣分项</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FF7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21C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7B6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4F5F">
            <w:pPr>
              <w:widowControl/>
              <w:spacing w:line="240" w:lineRule="exact"/>
              <w:jc w:val="left"/>
              <w:textAlignment w:val="center"/>
              <w:rPr>
                <w:rFonts w:ascii="宋体" w:eastAsia="宋体" w:cs="宋体"/>
                <w:color w:val="000000"/>
                <w:kern w:val="0"/>
                <w:sz w:val="24"/>
              </w:rPr>
            </w:pPr>
          </w:p>
        </w:tc>
        <w:tc>
          <w:tcPr>
            <w:tcW w:w="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B087">
            <w:pPr>
              <w:widowControl/>
              <w:spacing w:line="240" w:lineRule="exact"/>
              <w:jc w:val="left"/>
              <w:textAlignment w:val="center"/>
              <w:rPr>
                <w:rFonts w:ascii="宋体" w:eastAsia="宋体" w:cs="宋体"/>
                <w:color w:val="000000"/>
                <w:kern w:val="0"/>
                <w:sz w:val="24"/>
              </w:rPr>
            </w:pPr>
          </w:p>
        </w:tc>
      </w:tr>
    </w:tbl>
    <w:p w14:paraId="2BD451C0">
      <w:pPr>
        <w:rPr>
          <w:rFonts w:hint="eastAsia" w:ascii="Times New Roman" w:hAnsi="Times New Roman" w:eastAsia="宋体" w:cs="Times New Roman"/>
          <w:kern w:val="2"/>
          <w:sz w:val="21"/>
          <w:szCs w:val="24"/>
          <w:lang w:val="zh-CN" w:eastAsia="zh-CN" w:bidi="ar-SA"/>
        </w:rPr>
        <w:sectPr>
          <w:pgSz w:w="11906" w:h="16838"/>
          <w:pgMar w:top="1440" w:right="1800" w:bottom="1440" w:left="1800" w:header="851" w:footer="992" w:gutter="0"/>
          <w:pgNumType w:fmt="numberInDash"/>
          <w:cols w:space="425" w:num="1"/>
          <w:docGrid w:type="lines" w:linePitch="312" w:charSpace="0"/>
        </w:sectPr>
      </w:pPr>
    </w:p>
    <w:p w14:paraId="30982E3B">
      <w:pPr>
        <w:jc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0EDD38BE">
      <w:pPr>
        <w:widowControl/>
        <w:spacing w:line="578" w:lineRule="exact"/>
        <w:jc w:val="center"/>
        <w:textAlignment w:val="center"/>
        <w:rPr>
          <w:rFonts w:ascii="Times New Roman" w:hAnsi="Times New Roman" w:eastAsia="黑体"/>
          <w:szCs w:val="24"/>
        </w:rPr>
      </w:pPr>
      <w:r>
        <w:rPr>
          <w:rFonts w:eastAsia="方正小标宋简体"/>
          <w:color w:val="000000"/>
          <w:kern w:val="0"/>
          <w:szCs w:val="32"/>
        </w:rPr>
        <w:t>（202</w:t>
      </w:r>
      <w:r>
        <w:rPr>
          <w:rFonts w:hint="eastAsia" w:eastAsia="方正小标宋简体"/>
          <w:color w:val="000000"/>
          <w:kern w:val="0"/>
          <w:szCs w:val="32"/>
          <w:lang w:val="en-US" w:eastAsia="zh-CN"/>
        </w:rPr>
        <w:t>5</w:t>
      </w:r>
      <w:r>
        <w:rPr>
          <w:rFonts w:eastAsia="方正小标宋简体"/>
          <w:color w:val="000000"/>
          <w:kern w:val="0"/>
          <w:szCs w:val="32"/>
        </w:rPr>
        <w:t>年度）</w:t>
      </w:r>
    </w:p>
    <w:tbl>
      <w:tblPr>
        <w:tblStyle w:val="13"/>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4"/>
        <w:gridCol w:w="521"/>
        <w:gridCol w:w="1676"/>
        <w:gridCol w:w="521"/>
        <w:gridCol w:w="1091"/>
        <w:gridCol w:w="505"/>
        <w:gridCol w:w="456"/>
        <w:gridCol w:w="2556"/>
      </w:tblGrid>
      <w:tr w14:paraId="0413B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57351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83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AAF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8711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51322324T000010147290-工业园区基础设施运行经费</w:t>
            </w:r>
          </w:p>
        </w:tc>
      </w:tr>
      <w:tr w14:paraId="6E038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9B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A99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茂县工业服务中心本级</w:t>
            </w:r>
          </w:p>
        </w:tc>
        <w:tc>
          <w:tcPr>
            <w:tcW w:w="1091" w:type="dxa"/>
            <w:tcBorders>
              <w:top w:val="nil"/>
              <w:left w:val="nil"/>
              <w:bottom w:val="nil"/>
              <w:right w:val="nil"/>
            </w:tcBorders>
            <w:shd w:val="clear" w:color="auto" w:fill="auto"/>
            <w:vAlign w:val="center"/>
          </w:tcPr>
          <w:p w14:paraId="2F4F0B1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46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w:t>
            </w:r>
          </w:p>
        </w:tc>
      </w:tr>
      <w:tr w14:paraId="2D2C2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EE7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A75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8DD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CB7F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C4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4082">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6D893">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2D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茂县工业园区基础设施正常运行和管理，为园区企业正常运转提供要素保障等。</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6C22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完成了槽木集中区鱼厅取水口清淤维修；保障了园区的正常运行。</w:t>
            </w:r>
          </w:p>
        </w:tc>
      </w:tr>
      <w:tr w14:paraId="0235E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AFD58">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1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15AD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完成了槽木集中区鱼厅取水口清淤维修；保障了园区的正常运行。</w:t>
            </w:r>
          </w:p>
        </w:tc>
      </w:tr>
      <w:tr w14:paraId="481F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D4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9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C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1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BE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6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7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C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3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0B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F2DC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B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7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8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90.95</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57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C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C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E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73D0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为财政代管资金，故在需要使用时在进行申请支付；未及时进行支付是由于报账资料未及时提交，无法及时经性资金的支付</w:t>
            </w:r>
          </w:p>
        </w:tc>
      </w:tr>
      <w:tr w14:paraId="1F60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060C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F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9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4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A59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2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C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48A51">
            <w:pPr>
              <w:rPr>
                <w:rFonts w:hint="eastAsia" w:ascii="黑体" w:hAnsi="黑体" w:eastAsia="黑体" w:cs="黑体"/>
                <w:i/>
                <w:iCs/>
                <w:color w:val="000000"/>
                <w:sz w:val="18"/>
                <w:szCs w:val="18"/>
                <w:u w:val="none"/>
              </w:rPr>
            </w:pPr>
          </w:p>
        </w:tc>
      </w:tr>
      <w:tr w14:paraId="6B04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B37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F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8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0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B6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4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A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8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55C92">
            <w:pPr>
              <w:rPr>
                <w:rFonts w:hint="eastAsia" w:ascii="黑体" w:hAnsi="黑体" w:eastAsia="黑体" w:cs="黑体"/>
                <w:i/>
                <w:iCs/>
                <w:color w:val="000000"/>
                <w:sz w:val="18"/>
                <w:szCs w:val="18"/>
                <w:u w:val="none"/>
              </w:rPr>
            </w:pPr>
          </w:p>
        </w:tc>
      </w:tr>
      <w:tr w14:paraId="0456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36E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7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8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8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90.95</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09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0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A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B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38C81">
            <w:pPr>
              <w:rPr>
                <w:rFonts w:hint="eastAsia" w:ascii="黑体" w:hAnsi="黑体" w:eastAsia="黑体" w:cs="黑体"/>
                <w:i/>
                <w:iCs/>
                <w:color w:val="000000"/>
                <w:sz w:val="18"/>
                <w:szCs w:val="18"/>
                <w:u w:val="none"/>
              </w:rPr>
            </w:pPr>
          </w:p>
        </w:tc>
      </w:tr>
      <w:tr w14:paraId="2BE02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C3BF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6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B0AD">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644F">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74D1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15C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1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A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DD371">
            <w:pPr>
              <w:rPr>
                <w:rFonts w:hint="eastAsia" w:ascii="黑体" w:hAnsi="黑体" w:eastAsia="黑体" w:cs="黑体"/>
                <w:i/>
                <w:iCs/>
                <w:color w:val="000000"/>
                <w:sz w:val="18"/>
                <w:szCs w:val="18"/>
                <w:u w:val="none"/>
              </w:rPr>
            </w:pPr>
          </w:p>
        </w:tc>
      </w:tr>
      <w:tr w14:paraId="4572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8"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18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0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2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E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3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5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F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4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7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7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E7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3722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38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9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F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完成槽木、团结2个集中区基础设施正常运转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A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F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9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3AE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7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AA3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6C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BC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EDD0">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EF55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4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5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2025年园区道路通畅、供水正常、排水达标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C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C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853B">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86C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8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4BC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93C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23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05A2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0EFA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A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3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完成1-12月基础设施完整运行</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D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3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3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D76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8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786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C2B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B52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B96AB">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CB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8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A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促进招商引资工作开展和项目顺利落地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E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0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F784">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00C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F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B65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7C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6526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F16A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621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2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E1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减少整体安全风险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8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1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B2E9">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C49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0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E27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90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06A4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F772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C0E5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4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C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企业向园区集中，项目向园区倾斜</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1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E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3E9A">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8E9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9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FB0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BE1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39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A03F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2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0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9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达到企业满意园区服务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0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2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60E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3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3B8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D8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736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171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7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AB3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C950">
            <w:pPr>
              <w:rPr>
                <w:rFonts w:hint="eastAsia" w:ascii="宋体" w:hAnsi="宋体" w:eastAsia="宋体" w:cs="宋体"/>
                <w:i w:val="0"/>
                <w:iCs w:val="0"/>
                <w:color w:val="000000"/>
                <w:sz w:val="18"/>
                <w:szCs w:val="18"/>
                <w:u w:val="none"/>
              </w:rPr>
            </w:pPr>
          </w:p>
        </w:tc>
      </w:tr>
      <w:tr w14:paraId="34BFE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4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BD57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维修维护并保障茂县工业园区给排水厂、道路、桥梁等基础设施正常运行，为企业正常运行提供要素保障；做好园区环境污染检测、安全生产等工作；确保了园区各企业正常生产、生活运转</w:t>
            </w:r>
          </w:p>
        </w:tc>
      </w:tr>
      <w:tr w14:paraId="1F208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5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1E7D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绩效管理的跟踪反馈不足；加强预算编制的精细化管理，提高预算的准确性和可操作性</w:t>
            </w:r>
          </w:p>
        </w:tc>
      </w:tr>
      <w:tr w14:paraId="190D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8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D7D5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加强单位预算编制、支出执行、决算编制等工作的管理，特别是应加快专项资金的预算执行进度；进一步科学设定绩效目标，加强预算执行管理。改进部门收支预算编制，务实预算基础工作，提高预算编制质量</w:t>
            </w:r>
          </w:p>
        </w:tc>
      </w:tr>
      <w:tr w14:paraId="428A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452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项目负责人：张航</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C688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财务负责人：杨春鹏</w:t>
            </w:r>
          </w:p>
        </w:tc>
      </w:tr>
      <w:tr w14:paraId="3706A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E6930A5">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20014E0E">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4FAC1A89">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5058CCC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D8C43E9">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68724421">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DEA30A5">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1CF4AB3">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F82FCF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778327C">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6D055B3A">
            <w:pPr>
              <w:rPr>
                <w:rFonts w:hint="eastAsia" w:ascii="宋体" w:hAnsi="宋体" w:eastAsia="宋体" w:cs="宋体"/>
                <w:i w:val="0"/>
                <w:iCs w:val="0"/>
                <w:color w:val="000000"/>
                <w:sz w:val="18"/>
                <w:szCs w:val="18"/>
                <w:u w:val="none"/>
              </w:rPr>
            </w:pPr>
          </w:p>
        </w:tc>
      </w:tr>
      <w:tr w14:paraId="318C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FB217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646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CD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4CD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51322325T000013004337-阿坝州生态环境分区管控茂县工业重点管控单元大气污染物允许排放量更新论证</w:t>
            </w:r>
          </w:p>
        </w:tc>
      </w:tr>
      <w:tr w14:paraId="23F43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FD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656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茂县工业服务中心本级</w:t>
            </w:r>
          </w:p>
        </w:tc>
        <w:tc>
          <w:tcPr>
            <w:tcW w:w="1091" w:type="dxa"/>
            <w:tcBorders>
              <w:top w:val="nil"/>
              <w:left w:val="nil"/>
              <w:bottom w:val="nil"/>
              <w:right w:val="nil"/>
            </w:tcBorders>
            <w:shd w:val="clear" w:color="auto" w:fill="auto"/>
            <w:vAlign w:val="center"/>
          </w:tcPr>
          <w:p w14:paraId="4BD740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A9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茂县工业服务中心</w:t>
            </w:r>
          </w:p>
        </w:tc>
      </w:tr>
      <w:tr w14:paraId="2BC4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59B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842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448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A2789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77E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356E1">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9C718">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84DF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藏族羌族自治州茂县2025年和2035年PM2.5目标浓度，结合茂县工业重点管控单元内工业园区发展规划和污染源排放现状，测算茂县PM2.5浓度达标约束下，工业重点管控单元SO2、NOx、PM2.5和VOCs允许排放量，制定重点污染源减排措施，确保茂县2025年和2035年PM2.5浓度达到目标要求。</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C9C8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已委托第三方完成茂县4个工业集中区重点管控单元SO</w:t>
            </w:r>
            <w:r>
              <w:rPr>
                <w:rStyle w:val="20"/>
                <w:rFonts w:eastAsia="黑体"/>
                <w:lang w:val="en-US" w:eastAsia="zh-CN" w:bidi="ar"/>
              </w:rPr>
              <w:t>₂</w:t>
            </w:r>
            <w:r>
              <w:rPr>
                <w:rFonts w:hint="eastAsia" w:ascii="黑体" w:hAnsi="黑体" w:eastAsia="黑体" w:cs="黑体"/>
                <w:i w:val="0"/>
                <w:iCs w:val="0"/>
                <w:color w:val="000000"/>
                <w:kern w:val="0"/>
                <w:sz w:val="18"/>
                <w:szCs w:val="18"/>
                <w:u w:val="none"/>
                <w:lang w:val="en-US" w:eastAsia="zh-CN" w:bidi="ar"/>
              </w:rPr>
              <w:t>、NOx、PM</w:t>
            </w:r>
            <w:r>
              <w:rPr>
                <w:rStyle w:val="20"/>
                <w:rFonts w:eastAsia="黑体"/>
                <w:lang w:val="en-US" w:eastAsia="zh-CN" w:bidi="ar"/>
              </w:rPr>
              <w:t>₂</w:t>
            </w:r>
            <w:r>
              <w:rPr>
                <w:rFonts w:hint="eastAsia" w:ascii="黑体" w:hAnsi="黑体" w:eastAsia="黑体" w:cs="黑体"/>
                <w:i w:val="0"/>
                <w:iCs w:val="0"/>
                <w:color w:val="000000"/>
                <w:kern w:val="0"/>
                <w:sz w:val="18"/>
                <w:szCs w:val="18"/>
                <w:u w:val="none"/>
                <w:lang w:val="en-US" w:eastAsia="zh-CN" w:bidi="ar"/>
              </w:rPr>
              <w:t>.</w:t>
            </w:r>
            <w:r>
              <w:rPr>
                <w:rStyle w:val="20"/>
                <w:rFonts w:eastAsia="黑体"/>
                <w:lang w:val="en-US" w:eastAsia="zh-CN" w:bidi="ar"/>
              </w:rPr>
              <w:t>₅</w:t>
            </w:r>
            <w:r>
              <w:rPr>
                <w:rFonts w:hint="eastAsia" w:ascii="黑体" w:hAnsi="黑体" w:eastAsia="黑体" w:cs="黑体"/>
                <w:i w:val="0"/>
                <w:iCs w:val="0"/>
                <w:color w:val="000000"/>
                <w:kern w:val="0"/>
                <w:sz w:val="18"/>
                <w:szCs w:val="18"/>
                <w:u w:val="none"/>
                <w:lang w:val="en-US" w:eastAsia="zh-CN" w:bidi="ar"/>
              </w:rPr>
              <w:t>、VOCs允许排放量测算，编制更新论证报告，提出分阶段减排措施建议，为2025年和2035年PM2.5浓度达标提供科学支撑，年度目标全面完成。</w:t>
            </w:r>
          </w:p>
        </w:tc>
      </w:tr>
      <w:tr w14:paraId="1209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C534D">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B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578A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21"/>
                <w:lang w:val="en-US" w:eastAsia="zh-CN" w:bidi="ar"/>
              </w:rPr>
              <w:t>项目通过公开采购委托第三方机构，对茂县槽木、亚坪、团结、太安4个工业集中区开展排放现状调查与模型测算，编制完成大气污染物允许排放量更新论证报告，明确SO</w:t>
            </w:r>
            <w:r>
              <w:rPr>
                <w:rStyle w:val="20"/>
                <w:rFonts w:eastAsia="宋体"/>
                <w:lang w:val="en-US" w:eastAsia="zh-CN" w:bidi="ar"/>
              </w:rPr>
              <w:t>₂</w:t>
            </w:r>
            <w:r>
              <w:rPr>
                <w:rStyle w:val="21"/>
                <w:lang w:val="en-US" w:eastAsia="zh-CN" w:bidi="ar"/>
              </w:rPr>
              <w:t>、NOx、PM</w:t>
            </w:r>
            <w:r>
              <w:rPr>
                <w:rStyle w:val="20"/>
                <w:rFonts w:eastAsia="宋体"/>
                <w:lang w:val="en-US" w:eastAsia="zh-CN" w:bidi="ar"/>
              </w:rPr>
              <w:t>₂</w:t>
            </w:r>
            <w:r>
              <w:rPr>
                <w:rStyle w:val="21"/>
                <w:lang w:val="en-US" w:eastAsia="zh-CN" w:bidi="ar"/>
              </w:rPr>
              <w:t>.</w:t>
            </w:r>
            <w:r>
              <w:rPr>
                <w:rStyle w:val="20"/>
                <w:rFonts w:eastAsia="宋体"/>
                <w:lang w:val="en-US" w:eastAsia="zh-CN" w:bidi="ar"/>
              </w:rPr>
              <w:t>₅</w:t>
            </w:r>
            <w:r>
              <w:rPr>
                <w:rStyle w:val="21"/>
                <w:lang w:val="en-US" w:eastAsia="zh-CN" w:bidi="ar"/>
              </w:rPr>
              <w:t>、VOCs允许排放量，提出减排措施建议。</w:t>
            </w:r>
          </w:p>
        </w:tc>
      </w:tr>
      <w:tr w14:paraId="03425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62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A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9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3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8C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2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0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B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6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44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A767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3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C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F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DB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E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0E6D">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1BE4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64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D6A5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5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1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7B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C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4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9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A942">
            <w:pPr>
              <w:rPr>
                <w:rFonts w:hint="eastAsia" w:ascii="黑体" w:hAnsi="黑体" w:eastAsia="黑体" w:cs="黑体"/>
                <w:i/>
                <w:iCs/>
                <w:color w:val="000000"/>
                <w:sz w:val="18"/>
                <w:szCs w:val="18"/>
                <w:u w:val="none"/>
              </w:rPr>
            </w:pPr>
          </w:p>
        </w:tc>
      </w:tr>
      <w:tr w14:paraId="3DAA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8F9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6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6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4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FC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F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A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2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5DB72">
            <w:pPr>
              <w:rPr>
                <w:rFonts w:hint="eastAsia" w:ascii="黑体" w:hAnsi="黑体" w:eastAsia="黑体" w:cs="黑体"/>
                <w:i/>
                <w:iCs/>
                <w:color w:val="000000"/>
                <w:sz w:val="18"/>
                <w:szCs w:val="18"/>
                <w:u w:val="none"/>
              </w:rPr>
            </w:pPr>
          </w:p>
        </w:tc>
      </w:tr>
      <w:tr w14:paraId="7238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7FCE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9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E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E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BC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C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E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DE529">
            <w:pPr>
              <w:rPr>
                <w:rFonts w:hint="eastAsia" w:ascii="黑体" w:hAnsi="黑体" w:eastAsia="黑体" w:cs="黑体"/>
                <w:i/>
                <w:iCs/>
                <w:color w:val="000000"/>
                <w:sz w:val="18"/>
                <w:szCs w:val="18"/>
                <w:u w:val="none"/>
              </w:rPr>
            </w:pPr>
          </w:p>
        </w:tc>
      </w:tr>
      <w:tr w14:paraId="2516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1327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0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33DF">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1082">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B075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F19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B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B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6A687">
            <w:pPr>
              <w:rPr>
                <w:rFonts w:hint="eastAsia" w:ascii="黑体" w:hAnsi="黑体" w:eastAsia="黑体" w:cs="黑体"/>
                <w:i/>
                <w:iCs/>
                <w:color w:val="000000"/>
                <w:sz w:val="18"/>
                <w:szCs w:val="18"/>
                <w:u w:val="none"/>
              </w:rPr>
            </w:pPr>
          </w:p>
        </w:tc>
      </w:tr>
      <w:tr w14:paraId="01974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A3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F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5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6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B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8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6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0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F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C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6F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B028">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8E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1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D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完成槽木、亚坪、团结、太安4个工业集中区重点管控单元SO2、NOx、PM2.5和VOCs允许排放量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A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2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4697">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3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033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BF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584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A52A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3D8F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4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6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确保2025-2035年PM2.5浓度达到目标要求</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A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8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28B4">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552C">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4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BFC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7E3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D446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588A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F7EE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5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B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2024年完成大气污染物允许排放量更新论证报告</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3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C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3A11">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7E5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AEC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D3F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6C1E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4E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3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7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统筹解决茂县工业园区后续发展带来的大气环境影响</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6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8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C68A">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C782">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1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C70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F7D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44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07DE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F148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7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E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制定重点污染源减排措施，确保茂县2025年和2035年PM2.5目标浓度达标，解决茂县工业园区后续发展带来的大气环境影响，支持园区长远合理发展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B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A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885A">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90C4">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4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3A8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609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B80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94A6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4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5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6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企业及周边群众满意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F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7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E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C27D">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6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27A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CDA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43F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3450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D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E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一家公司10万元费用。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3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9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4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1104">
            <w:pPr>
              <w:jc w:val="center"/>
              <w:rPr>
                <w:rFonts w:hint="eastAsia" w:ascii="宋体" w:hAnsi="宋体" w:eastAsia="宋体" w:cs="宋体"/>
                <w:i w:val="0"/>
                <w:iCs w:val="0"/>
                <w:color w:val="000000"/>
                <w:sz w:val="18"/>
                <w:szCs w:val="18"/>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F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1B5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A6F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BAD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93F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6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4BE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A552">
            <w:pPr>
              <w:rPr>
                <w:rFonts w:hint="eastAsia" w:ascii="宋体" w:hAnsi="宋体" w:eastAsia="宋体" w:cs="宋体"/>
                <w:i w:val="0"/>
                <w:iCs w:val="0"/>
                <w:color w:val="000000"/>
                <w:sz w:val="18"/>
                <w:szCs w:val="18"/>
                <w:u w:val="none"/>
              </w:rPr>
            </w:pPr>
          </w:p>
        </w:tc>
      </w:tr>
      <w:tr w14:paraId="52F86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0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49B2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完成茂县4个工业集中区重点管控单元SO</w:t>
            </w:r>
            <w:r>
              <w:rPr>
                <w:rStyle w:val="22"/>
                <w:rFonts w:eastAsia="微软雅黑"/>
                <w:lang w:val="en-US" w:eastAsia="zh-CN" w:bidi="ar"/>
              </w:rPr>
              <w:t>₂</w:t>
            </w:r>
            <w:r>
              <w:rPr>
                <w:rFonts w:hint="eastAsia" w:ascii="微软雅黑" w:hAnsi="微软雅黑" w:eastAsia="微软雅黑" w:cs="微软雅黑"/>
                <w:i/>
                <w:iCs/>
                <w:color w:val="000000"/>
                <w:kern w:val="0"/>
                <w:sz w:val="16"/>
                <w:szCs w:val="16"/>
                <w:u w:val="none"/>
                <w:lang w:val="en-US" w:eastAsia="zh-CN" w:bidi="ar"/>
              </w:rPr>
              <w:t>、NOx、PM</w:t>
            </w:r>
            <w:r>
              <w:rPr>
                <w:rStyle w:val="22"/>
                <w:rFonts w:eastAsia="微软雅黑"/>
                <w:lang w:val="en-US" w:eastAsia="zh-CN" w:bidi="ar"/>
              </w:rPr>
              <w:t>₂</w:t>
            </w:r>
            <w:r>
              <w:rPr>
                <w:rFonts w:hint="eastAsia" w:ascii="微软雅黑" w:hAnsi="微软雅黑" w:eastAsia="微软雅黑" w:cs="微软雅黑"/>
                <w:i/>
                <w:iCs/>
                <w:color w:val="000000"/>
                <w:kern w:val="0"/>
                <w:sz w:val="16"/>
                <w:szCs w:val="16"/>
                <w:u w:val="none"/>
                <w:lang w:val="en-US" w:eastAsia="zh-CN" w:bidi="ar"/>
              </w:rPr>
              <w:t>.</w:t>
            </w:r>
            <w:r>
              <w:rPr>
                <w:rStyle w:val="22"/>
                <w:rFonts w:eastAsia="微软雅黑"/>
                <w:lang w:val="en-US" w:eastAsia="zh-CN" w:bidi="ar"/>
              </w:rPr>
              <w:t>₅</w:t>
            </w:r>
            <w:r>
              <w:rPr>
                <w:rFonts w:hint="eastAsia" w:ascii="微软雅黑" w:hAnsi="微软雅黑" w:eastAsia="微软雅黑" w:cs="微软雅黑"/>
                <w:i/>
                <w:iCs/>
                <w:color w:val="000000"/>
                <w:kern w:val="0"/>
                <w:sz w:val="16"/>
                <w:szCs w:val="16"/>
                <w:u w:val="none"/>
                <w:lang w:val="en-US" w:eastAsia="zh-CN" w:bidi="ar"/>
              </w:rPr>
              <w:t>、VOCs允许排放量测算，编制更新论证报告，提出分阶段减排措施建议，为2025年和2035年PM2.5浓度达标提供科学支撑</w:t>
            </w:r>
          </w:p>
        </w:tc>
      </w:tr>
      <w:tr w14:paraId="4077F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E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44F1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绩效管理的跟踪反馈不足；加强预算编制的精细化管理，提高预算的准确性和可操作性</w:t>
            </w:r>
          </w:p>
        </w:tc>
      </w:tr>
      <w:tr w14:paraId="1BBF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8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619A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加强单位预算编制、支出执行、决算编制等工作的管理，特别是应加快专项资金的预算执行进度；进一步科学设定绩效目标，加强预算执行管理。改进部门收支预算编制，务实预算基础工作，提高预算编制质量</w:t>
            </w:r>
          </w:p>
        </w:tc>
      </w:tr>
      <w:tr w14:paraId="45879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91F0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项目负责人：张航</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313A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财务负责人：杨春鹏</w:t>
            </w:r>
          </w:p>
        </w:tc>
      </w:tr>
    </w:tbl>
    <w:p w14:paraId="19A4E881">
      <w:pPr>
        <w:rPr>
          <w:rFonts w:hint="eastAsia" w:ascii="Times New Roman" w:hAnsi="Times New Roman" w:eastAsia="宋体" w:cs="Times New Roman"/>
          <w:kern w:val="2"/>
          <w:sz w:val="21"/>
          <w:szCs w:val="24"/>
          <w:lang w:val="zh-CN" w:eastAsia="zh-CN" w:bidi="ar-SA"/>
        </w:rPr>
        <w:sectPr>
          <w:pgSz w:w="16838" w:h="11906" w:orient="landscape"/>
          <w:pgMar w:top="1800" w:right="1440" w:bottom="1800" w:left="1440" w:header="851" w:footer="992" w:gutter="0"/>
          <w:pgNumType w:fmt="numberInDash"/>
          <w:cols w:space="425" w:num="1"/>
          <w:docGrid w:type="lines" w:linePitch="312" w:charSpace="0"/>
        </w:sectPr>
      </w:pPr>
    </w:p>
    <w:p w14:paraId="75EE0A78">
      <w:pPr>
        <w:rPr>
          <w:rFonts w:hint="eastAsia" w:eastAsia="方正小标宋简体" w:cs="Times New Roman"/>
          <w:color w:val="auto"/>
          <w:kern w:val="2"/>
          <w:sz w:val="40"/>
          <w:szCs w:val="40"/>
          <w:lang w:val="en-US" w:eastAsia="zh-CN" w:bidi="ar-SA"/>
        </w:rPr>
      </w:pPr>
      <w:r>
        <w:rPr>
          <w:rFonts w:hint="eastAsia" w:ascii="Times New Roman" w:hAnsi="Times New Roman" w:eastAsia="方正小标宋简体" w:cs="Times New Roman"/>
          <w:color w:val="auto"/>
          <w:kern w:val="2"/>
          <w:sz w:val="40"/>
          <w:szCs w:val="40"/>
          <w:lang w:val="en-US" w:eastAsia="zh-CN" w:bidi="ar-SA"/>
        </w:rPr>
        <w:t>附件</w:t>
      </w:r>
      <w:r>
        <w:rPr>
          <w:rFonts w:hint="eastAsia" w:eastAsia="方正小标宋简体" w:cs="Times New Roman"/>
          <w:color w:val="auto"/>
          <w:kern w:val="2"/>
          <w:sz w:val="40"/>
          <w:szCs w:val="40"/>
          <w:lang w:val="en-US" w:eastAsia="zh-CN" w:bidi="ar-SA"/>
        </w:rPr>
        <w:t>2：</w:t>
      </w:r>
    </w:p>
    <w:p w14:paraId="69E4932B">
      <w:pPr>
        <w:rPr>
          <w:rFonts w:hint="default" w:eastAsia="方正小标宋简体" w:cs="Times New Roman"/>
          <w:color w:val="auto"/>
          <w:kern w:val="2"/>
          <w:sz w:val="40"/>
          <w:szCs w:val="40"/>
          <w:lang w:val="en-US" w:eastAsia="zh-CN" w:bidi="ar-SA"/>
        </w:rPr>
      </w:pPr>
    </w:p>
    <w:p w14:paraId="6E33BFC0">
      <w:pPr>
        <w:pStyle w:val="19"/>
        <w:spacing w:line="578" w:lineRule="exact"/>
        <w:jc w:val="center"/>
        <w:rPr>
          <w:rFonts w:ascii="Times New Roman" w:hAnsi="Times New Roman" w:eastAsia="方正小标宋简体"/>
          <w:color w:val="auto"/>
          <w:kern w:val="2"/>
          <w:sz w:val="44"/>
          <w:szCs w:val="44"/>
          <w:lang w:val="en-US"/>
        </w:rPr>
      </w:pPr>
      <w:bookmarkStart w:id="43" w:name="_Toc15396618"/>
      <w:r>
        <w:rPr>
          <w:rFonts w:ascii="Times New Roman" w:hAnsi="Times New Roman" w:eastAsia="方正小标宋简体"/>
          <w:color w:val="auto"/>
          <w:kern w:val="2"/>
          <w:sz w:val="44"/>
          <w:szCs w:val="44"/>
          <w:lang w:val="en-US"/>
        </w:rPr>
        <w:t>专项预算</w:t>
      </w:r>
      <w:r>
        <w:rPr>
          <w:rFonts w:hint="eastAsia" w:ascii="Times New Roman" w:hAnsi="Times New Roman" w:eastAsia="方正小标宋简体"/>
          <w:color w:val="auto"/>
          <w:kern w:val="2"/>
          <w:sz w:val="44"/>
          <w:szCs w:val="44"/>
          <w:lang w:val="en-US" w:eastAsia="zh-CN"/>
        </w:rPr>
        <w:t>项目</w:t>
      </w:r>
      <w:r>
        <w:rPr>
          <w:rFonts w:ascii="Times New Roman" w:hAnsi="Times New Roman" w:eastAsia="方正小标宋简体"/>
          <w:color w:val="auto"/>
          <w:kern w:val="2"/>
          <w:sz w:val="44"/>
          <w:szCs w:val="44"/>
          <w:lang w:val="en-US"/>
        </w:rPr>
        <w:t>绩效</w:t>
      </w:r>
      <w:r>
        <w:rPr>
          <w:rFonts w:hint="eastAsia" w:ascii="Times New Roman" w:hAnsi="Times New Roman" w:eastAsia="方正小标宋简体"/>
          <w:color w:val="auto"/>
          <w:kern w:val="2"/>
          <w:sz w:val="44"/>
          <w:szCs w:val="44"/>
          <w:lang w:val="en-US" w:eastAsia="zh-CN"/>
        </w:rPr>
        <w:t>评价</w:t>
      </w:r>
      <w:r>
        <w:rPr>
          <w:rFonts w:ascii="Times New Roman" w:hAnsi="Times New Roman" w:eastAsia="方正小标宋简体"/>
          <w:color w:val="auto"/>
          <w:kern w:val="2"/>
          <w:sz w:val="44"/>
          <w:szCs w:val="44"/>
          <w:lang w:val="en-US"/>
        </w:rPr>
        <w:t>报告</w:t>
      </w:r>
    </w:p>
    <w:p w14:paraId="57F9E8CB">
      <w:pPr>
        <w:pStyle w:val="19"/>
        <w:spacing w:line="578" w:lineRule="exact"/>
        <w:jc w:val="center"/>
        <w:rPr>
          <w:rFonts w:hint="eastAsia" w:ascii="Times New Roman" w:hAnsi="Times New Roman" w:eastAsia="方正小标宋简体"/>
          <w:b w:val="0"/>
          <w:bCs w:val="0"/>
          <w:color w:val="auto"/>
          <w:kern w:val="2"/>
          <w:sz w:val="36"/>
          <w:szCs w:val="36"/>
          <w:lang w:val="en-US" w:eastAsia="zh-CN"/>
        </w:rPr>
      </w:pPr>
      <w:r>
        <w:rPr>
          <w:rFonts w:hint="eastAsia" w:ascii="Times New Roman" w:hAnsi="Times New Roman" w:eastAsia="方正小标宋简体"/>
          <w:b w:val="0"/>
          <w:bCs w:val="0"/>
          <w:color w:val="auto"/>
          <w:kern w:val="2"/>
          <w:sz w:val="36"/>
          <w:szCs w:val="36"/>
          <w:lang w:val="en-US" w:eastAsia="zh-CN"/>
        </w:rPr>
        <w:t>（本部门不涉及此类项目）</w:t>
      </w:r>
    </w:p>
    <w:p w14:paraId="7189EFCC">
      <w:pPr>
        <w:widowControl/>
        <w:jc w:val="both"/>
        <w:rPr>
          <w:rFonts w:hint="eastAsia" w:ascii="Times New Roman" w:hAnsi="Times New Roman" w:eastAsia="黑体"/>
          <w:color w:val="auto"/>
          <w:sz w:val="44"/>
          <w:szCs w:val="44"/>
          <w:highlight w:val="none"/>
        </w:rPr>
      </w:pPr>
    </w:p>
    <w:p w14:paraId="74453598">
      <w:pPr>
        <w:widowControl/>
        <w:jc w:val="both"/>
        <w:rPr>
          <w:rFonts w:hint="eastAsia" w:ascii="Times New Roman" w:hAnsi="Times New Roman" w:eastAsia="黑体"/>
          <w:color w:val="auto"/>
          <w:sz w:val="44"/>
          <w:szCs w:val="44"/>
          <w:highlight w:val="none"/>
        </w:rPr>
      </w:pPr>
    </w:p>
    <w:p w14:paraId="3FB7C383">
      <w:pPr>
        <w:widowControl/>
        <w:jc w:val="both"/>
        <w:rPr>
          <w:rFonts w:hint="eastAsia" w:ascii="Times New Roman" w:hAnsi="Times New Roman" w:eastAsia="黑体"/>
          <w:color w:val="auto"/>
          <w:sz w:val="44"/>
          <w:szCs w:val="44"/>
          <w:highlight w:val="none"/>
        </w:rPr>
      </w:pPr>
    </w:p>
    <w:p w14:paraId="544206E3">
      <w:pPr>
        <w:widowControl/>
        <w:jc w:val="both"/>
        <w:rPr>
          <w:rFonts w:hint="eastAsia" w:ascii="Times New Roman" w:hAnsi="Times New Roman" w:eastAsia="黑体"/>
          <w:color w:val="auto"/>
          <w:sz w:val="44"/>
          <w:szCs w:val="44"/>
          <w:highlight w:val="none"/>
        </w:rPr>
      </w:pPr>
    </w:p>
    <w:p w14:paraId="040E6727">
      <w:pPr>
        <w:widowControl/>
        <w:jc w:val="both"/>
        <w:rPr>
          <w:rFonts w:hint="eastAsia" w:ascii="Times New Roman" w:hAnsi="Times New Roman" w:eastAsia="黑体"/>
          <w:color w:val="auto"/>
          <w:sz w:val="44"/>
          <w:szCs w:val="44"/>
          <w:highlight w:val="none"/>
        </w:rPr>
      </w:pPr>
    </w:p>
    <w:p w14:paraId="6E527AC9">
      <w:pPr>
        <w:widowControl/>
        <w:jc w:val="both"/>
        <w:rPr>
          <w:rFonts w:hint="eastAsia" w:ascii="Times New Roman" w:hAnsi="Times New Roman" w:eastAsia="黑体"/>
          <w:color w:val="auto"/>
          <w:sz w:val="44"/>
          <w:szCs w:val="44"/>
          <w:highlight w:val="none"/>
        </w:rPr>
      </w:pPr>
    </w:p>
    <w:p w14:paraId="4FCEEB5B">
      <w:pPr>
        <w:widowControl/>
        <w:jc w:val="both"/>
        <w:rPr>
          <w:rFonts w:hint="eastAsia" w:ascii="Times New Roman" w:hAnsi="Times New Roman" w:eastAsia="黑体"/>
          <w:color w:val="auto"/>
          <w:sz w:val="44"/>
          <w:szCs w:val="44"/>
          <w:highlight w:val="none"/>
        </w:rPr>
      </w:pPr>
    </w:p>
    <w:p w14:paraId="2FF8FDD8">
      <w:pPr>
        <w:widowControl/>
        <w:jc w:val="both"/>
        <w:rPr>
          <w:rFonts w:hint="eastAsia" w:ascii="Times New Roman" w:hAnsi="Times New Roman" w:eastAsia="黑体"/>
          <w:color w:val="auto"/>
          <w:sz w:val="44"/>
          <w:szCs w:val="44"/>
          <w:highlight w:val="none"/>
        </w:rPr>
      </w:pPr>
    </w:p>
    <w:p w14:paraId="5BCAA699">
      <w:pPr>
        <w:widowControl/>
        <w:jc w:val="both"/>
        <w:rPr>
          <w:rFonts w:hint="eastAsia" w:ascii="Times New Roman" w:hAnsi="Times New Roman" w:eastAsia="黑体"/>
          <w:color w:val="auto"/>
          <w:sz w:val="44"/>
          <w:szCs w:val="44"/>
          <w:highlight w:val="none"/>
        </w:rPr>
      </w:pPr>
    </w:p>
    <w:p w14:paraId="0DBAF25C">
      <w:pPr>
        <w:widowControl/>
        <w:jc w:val="both"/>
        <w:rPr>
          <w:rFonts w:hint="eastAsia" w:ascii="Times New Roman" w:hAnsi="Times New Roman" w:eastAsia="黑体"/>
          <w:color w:val="auto"/>
          <w:sz w:val="44"/>
          <w:szCs w:val="44"/>
          <w:highlight w:val="none"/>
        </w:rPr>
      </w:pPr>
    </w:p>
    <w:p w14:paraId="6AB56A41">
      <w:pPr>
        <w:widowControl/>
        <w:jc w:val="both"/>
        <w:rPr>
          <w:rFonts w:hint="eastAsia" w:ascii="Times New Roman" w:hAnsi="Times New Roman" w:eastAsia="黑体"/>
          <w:color w:val="auto"/>
          <w:sz w:val="44"/>
          <w:szCs w:val="44"/>
          <w:highlight w:val="none"/>
        </w:rPr>
      </w:pPr>
    </w:p>
    <w:p w14:paraId="6B653E6F">
      <w:pPr>
        <w:widowControl/>
        <w:jc w:val="both"/>
        <w:rPr>
          <w:rFonts w:hint="eastAsia" w:ascii="Times New Roman" w:hAnsi="Times New Roman" w:eastAsia="黑体"/>
          <w:color w:val="auto"/>
          <w:sz w:val="44"/>
          <w:szCs w:val="44"/>
          <w:highlight w:val="none"/>
        </w:rPr>
      </w:pPr>
    </w:p>
    <w:p w14:paraId="6F477C6C">
      <w:pPr>
        <w:widowControl/>
        <w:jc w:val="both"/>
        <w:rPr>
          <w:rFonts w:hint="eastAsia" w:ascii="Times New Roman" w:hAnsi="Times New Roman" w:eastAsia="黑体"/>
          <w:color w:val="auto"/>
          <w:sz w:val="44"/>
          <w:szCs w:val="44"/>
          <w:highlight w:val="none"/>
        </w:rPr>
      </w:pPr>
    </w:p>
    <w:p w14:paraId="43ED8785">
      <w:pPr>
        <w:widowControl/>
        <w:jc w:val="both"/>
        <w:rPr>
          <w:rFonts w:hint="eastAsia" w:ascii="Times New Roman" w:hAnsi="Times New Roman" w:eastAsia="黑体"/>
          <w:color w:val="auto"/>
          <w:sz w:val="44"/>
          <w:szCs w:val="44"/>
          <w:highlight w:val="none"/>
        </w:rPr>
      </w:pPr>
    </w:p>
    <w:p w14:paraId="467F5717">
      <w:pPr>
        <w:widowControl/>
        <w:jc w:val="both"/>
        <w:rPr>
          <w:rFonts w:hint="eastAsia" w:ascii="Times New Roman" w:hAnsi="Times New Roman" w:eastAsia="黑体"/>
          <w:color w:val="auto"/>
          <w:sz w:val="44"/>
          <w:szCs w:val="44"/>
          <w:highlight w:val="none"/>
        </w:rPr>
      </w:pPr>
    </w:p>
    <w:p w14:paraId="6B468947">
      <w:pPr>
        <w:widowControl/>
        <w:jc w:val="both"/>
        <w:rPr>
          <w:rFonts w:hint="eastAsia" w:ascii="Times New Roman" w:hAnsi="Times New Roman" w:eastAsia="黑体"/>
          <w:color w:val="auto"/>
          <w:sz w:val="44"/>
          <w:szCs w:val="44"/>
          <w:highlight w:val="none"/>
        </w:rPr>
      </w:pPr>
    </w:p>
    <w:bookmarkEnd w:id="40"/>
    <w:bookmarkEnd w:id="43"/>
    <w:p w14:paraId="314AEF49">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第五部分 附表</w:t>
      </w:r>
      <w:bookmarkStart w:id="44" w:name="_Toc15396619"/>
    </w:p>
    <w:bookmarkEnd w:id="44"/>
    <w:p w14:paraId="11414BF5">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3A6A8810">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一、封面</w:t>
      </w:r>
    </w:p>
    <w:p w14:paraId="14A962EF">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二、收入支出决算总表</w:t>
      </w:r>
    </w:p>
    <w:p w14:paraId="534E7912">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三、收入决算表</w:t>
      </w:r>
    </w:p>
    <w:p w14:paraId="6DC00A65">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四、支出决算表</w:t>
      </w:r>
    </w:p>
    <w:p w14:paraId="49799EB7">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五、财政拨款收入支出决算总表</w:t>
      </w:r>
    </w:p>
    <w:p w14:paraId="030B5557">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六、财政拨款支出决算明细表</w:t>
      </w:r>
    </w:p>
    <w:p w14:paraId="0BFFBDC4">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七、一般公共预算财政拨款支出决算表</w:t>
      </w:r>
    </w:p>
    <w:p w14:paraId="3E3216E8">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八、一般公共预算财政拨款支出决算明细表</w:t>
      </w:r>
    </w:p>
    <w:p w14:paraId="6982F710">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九、一般公共预算财政拨款基本支出决算明细表</w:t>
      </w:r>
    </w:p>
    <w:p w14:paraId="1AD8E909">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十、一般公共预算财政拨款项目支出决算表</w:t>
      </w:r>
    </w:p>
    <w:p w14:paraId="2F14ED7C">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十一、政府性基金预算财政拨款收入支出决算表</w:t>
      </w:r>
    </w:p>
    <w:p w14:paraId="3D394522">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十二、国有资本经营预算财政拨款收入支出决算表</w:t>
      </w:r>
    </w:p>
    <w:p w14:paraId="58271045">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十三、国有资本经营预算财政拨款支出决算</w:t>
      </w:r>
      <w:bookmarkStart w:id="45" w:name="_GoBack"/>
      <w:bookmarkEnd w:id="45"/>
      <w:r>
        <w:rPr>
          <w:rFonts w:hint="eastAsia" w:ascii="Times New Roman" w:hAnsi="Times New Roman" w:eastAsia="仿宋_GB2312" w:cs="仿宋_GB2312"/>
          <w:color w:val="auto"/>
          <w:sz w:val="32"/>
          <w:szCs w:val="32"/>
          <w:highlight w:val="none"/>
          <w:lang w:val="en-US" w:eastAsia="zh-CN"/>
        </w:rPr>
        <w:t>表</w:t>
      </w:r>
    </w:p>
    <w:p w14:paraId="665CE6E3">
      <w:pPr>
        <w:pStyle w:val="12"/>
        <w:keepNext w:val="0"/>
        <w:keepLines w:val="0"/>
        <w:pageBreakBefore w:val="0"/>
        <w:suppressAutoHyphen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十四、财政拨款“三公”经费支出决算</w:t>
      </w:r>
    </w:p>
    <w:p w14:paraId="10481B76">
      <w:pPr>
        <w:rPr>
          <w:b/>
          <w:bCs/>
        </w:rPr>
      </w:pPr>
    </w:p>
    <w:sectPr>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B6C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CB4E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FA45">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F6DF2">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39F6DF2">
                    <w:pPr>
                      <w:pStyle w:val="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9C56F">
    <w:pPr>
      <w:spacing w:line="235" w:lineRule="auto"/>
      <w:ind w:left="84"/>
      <w:rPr>
        <w:rFonts w:ascii="宋体" w:hAnsi="宋体" w:eastAsia="宋体" w:cs="宋体"/>
        <w:sz w:val="31"/>
        <w:szCs w:val="31"/>
      </w:rPr>
    </w:pPr>
    <w:r>
      <w:rPr>
        <w:sz w:val="3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C3BDB5">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12C3BDB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70513A"/>
    <w:multiLevelType w:val="singleLevel"/>
    <w:tmpl w:val="6670513A"/>
    <w:lvl w:ilvl="0" w:tentative="0">
      <w:start w:val="2"/>
      <w:numFmt w:val="chineseCounting"/>
      <w:suff w:val="nothing"/>
      <w:lvlText w:val="（%1）"/>
      <w:lvlJc w:val="left"/>
      <w:rPr>
        <w:rFonts w:hint="eastAsia"/>
      </w:rPr>
    </w:lvl>
  </w:abstractNum>
  <w:abstractNum w:abstractNumId="1">
    <w:nsid w:val="7E504434"/>
    <w:multiLevelType w:val="singleLevel"/>
    <w:tmpl w:val="7E50443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594651"/>
    <w:rsid w:val="07AF3996"/>
    <w:rsid w:val="0C1178BB"/>
    <w:rsid w:val="140246F1"/>
    <w:rsid w:val="25845BA0"/>
    <w:rsid w:val="2A594651"/>
    <w:rsid w:val="2A670B7C"/>
    <w:rsid w:val="339733AC"/>
    <w:rsid w:val="33A90EA2"/>
    <w:rsid w:val="376E60C0"/>
    <w:rsid w:val="3AB45A37"/>
    <w:rsid w:val="45A81449"/>
    <w:rsid w:val="4FC652ED"/>
    <w:rsid w:val="50A218B6"/>
    <w:rsid w:val="53887BDC"/>
    <w:rsid w:val="566969F3"/>
    <w:rsid w:val="5AEA6ACD"/>
    <w:rsid w:val="5C642116"/>
    <w:rsid w:val="772B7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able of figures"/>
    <w:basedOn w:val="1"/>
    <w:next w:val="1"/>
    <w:qFormat/>
    <w:uiPriority w:val="0"/>
    <w:pPr>
      <w:ind w:left="400" w:leftChars="200" w:hanging="200" w:hangingChars="200"/>
    </w:p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customStyle="1" w:styleId="16">
    <w:name w:val="标题 1 Char"/>
    <w:basedOn w:val="14"/>
    <w:link w:val="3"/>
    <w:qFormat/>
    <w:uiPriority w:val="9"/>
    <w:rPr>
      <w:b/>
      <w:bCs/>
      <w:kern w:val="44"/>
      <w:sz w:val="44"/>
      <w:szCs w:val="44"/>
    </w:rPr>
  </w:style>
  <w:style w:type="character" w:customStyle="1" w:styleId="17">
    <w:name w:val="标题 2 Char"/>
    <w:basedOn w:val="14"/>
    <w:link w:val="4"/>
    <w:qFormat/>
    <w:uiPriority w:val="9"/>
    <w:rPr>
      <w:rFonts w:asciiTheme="majorHAnsi" w:hAnsiTheme="majorHAnsi" w:eastAsiaTheme="majorEastAsia" w:cstheme="majorBidi"/>
      <w:b/>
      <w:bCs/>
      <w:sz w:val="32"/>
      <w:szCs w:val="32"/>
    </w:rPr>
  </w:style>
  <w:style w:type="paragraph" w:styleId="18">
    <w:name w:val="List Paragraph"/>
    <w:basedOn w:val="1"/>
    <w:qFormat/>
    <w:uiPriority w:val="34"/>
    <w:pPr>
      <w:ind w:firstLine="420" w:firstLineChars="200"/>
    </w:pPr>
  </w:style>
  <w:style w:type="paragraph" w:customStyle="1" w:styleId="19">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20">
    <w:name w:val="font71"/>
    <w:basedOn w:val="14"/>
    <w:qFormat/>
    <w:uiPriority w:val="0"/>
    <w:rPr>
      <w:rFonts w:hint="default" w:ascii="Times New Roman" w:hAnsi="Times New Roman" w:cs="Times New Roman"/>
      <w:color w:val="000000"/>
      <w:sz w:val="18"/>
      <w:szCs w:val="18"/>
      <w:u w:val="none"/>
    </w:rPr>
  </w:style>
  <w:style w:type="character" w:customStyle="1" w:styleId="21">
    <w:name w:val="font21"/>
    <w:basedOn w:val="14"/>
    <w:qFormat/>
    <w:uiPriority w:val="0"/>
    <w:rPr>
      <w:rFonts w:ascii="宋体" w:hAnsi="宋体" w:eastAsia="宋体" w:cs="宋体"/>
      <w:color w:val="000000"/>
      <w:sz w:val="18"/>
      <w:szCs w:val="18"/>
      <w:u w:val="none"/>
    </w:rPr>
  </w:style>
  <w:style w:type="character" w:customStyle="1" w:styleId="22">
    <w:name w:val="font81"/>
    <w:basedOn w:val="14"/>
    <w:qFormat/>
    <w:uiPriority w:val="0"/>
    <w:rPr>
      <w:rFonts w:hint="default" w:ascii="Times New Roman" w:hAnsi="Times New Roman" w:cs="Times New Roman"/>
      <w:i/>
      <w:iCs/>
      <w:color w:val="000000"/>
      <w:sz w:val="16"/>
      <w:szCs w:val="16"/>
      <w:u w:val="none"/>
    </w:rPr>
  </w:style>
  <w:style w:type="paragraph" w:customStyle="1" w:styleId="23">
    <w:name w:val="17"/>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支出</c:v>
                </c:pt>
                <c:pt idx="1">
                  <c:v>收入</c:v>
                </c:pt>
              </c:strCache>
            </c:strRef>
          </c:cat>
          <c:val>
            <c:numRef>
              <c:f>Sheet1!$B$2:$B$3</c:f>
              <c:numCache>
                <c:formatCode>General</c:formatCode>
                <c:ptCount val="2"/>
                <c:pt idx="0">
                  <c:v>192.73</c:v>
                </c:pt>
                <c:pt idx="1">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支出</c:v>
                </c:pt>
                <c:pt idx="1">
                  <c:v>收入</c:v>
                </c:pt>
              </c:strCache>
            </c:strRef>
          </c:cat>
          <c:val>
            <c:numRef>
              <c:f>Sheet1!$C$2:$C$3</c:f>
              <c:numCache>
                <c:formatCode>General</c:formatCode>
                <c:ptCount val="2"/>
                <c:pt idx="0">
                  <c:v>168.93</c:v>
                </c:pt>
                <c:pt idx="1">
                  <c:v>168.93</c:v>
                </c:pt>
              </c:numCache>
            </c:numRef>
          </c:val>
        </c:ser>
        <c:dLbls>
          <c:showLegendKey val="0"/>
          <c:showVal val="1"/>
          <c:showCatName val="0"/>
          <c:showSerName val="0"/>
          <c:showPercent val="0"/>
          <c:showBubbleSize val="0"/>
        </c:dLbls>
        <c:gapWidth val="246"/>
        <c:overlap val="-28"/>
        <c:axId val="850256839"/>
        <c:axId val="547030264"/>
      </c:barChart>
      <c:catAx>
        <c:axId val="8502568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30264"/>
        <c:crosses val="autoZero"/>
        <c:auto val="1"/>
        <c:lblAlgn val="ctr"/>
        <c:lblOffset val="100"/>
        <c:noMultiLvlLbl val="0"/>
      </c:catAx>
      <c:valAx>
        <c:axId val="54703026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2568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e6e287-1bda-4b73-b216-8ad71774d4d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168.93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2c59a1-c5ee-4c13-9504-c3c0418dc3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168.93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32d078-4210-48c1-b3b6-4730d97e71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财政拨款收入、支出决算总计</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192.73</c:v>
                </c:pt>
                <c:pt idx="1">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168.93</c:v>
                </c:pt>
                <c:pt idx="1">
                  <c:v>168.93</c:v>
                </c:pt>
              </c:numCache>
            </c:numRef>
          </c:val>
        </c:ser>
        <c:dLbls>
          <c:showLegendKey val="0"/>
          <c:showVal val="1"/>
          <c:showCatName val="0"/>
          <c:showSerName val="0"/>
          <c:showPercent val="0"/>
          <c:showBubbleSize val="0"/>
        </c:dLbls>
        <c:gapWidth val="246"/>
        <c:overlap val="-28"/>
        <c:axId val="986515464"/>
        <c:axId val="325630449"/>
      </c:barChart>
      <c:catAx>
        <c:axId val="9865154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630449"/>
        <c:crosses val="autoZero"/>
        <c:auto val="1"/>
        <c:lblAlgn val="ctr"/>
        <c:lblOffset val="100"/>
        <c:noMultiLvlLbl val="0"/>
      </c:catAx>
      <c:valAx>
        <c:axId val="3256304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5154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8d3171-3f04-4cb3-b2ec-6beb68bb8bf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192.73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168.93</c:v>
                </c:pt>
              </c:numCache>
            </c:numRef>
          </c:val>
        </c:ser>
        <c:dLbls>
          <c:showLegendKey val="0"/>
          <c:showVal val="1"/>
          <c:showCatName val="0"/>
          <c:showSerName val="0"/>
          <c:showPercent val="0"/>
          <c:showBubbleSize val="0"/>
        </c:dLbls>
        <c:gapWidth val="246"/>
        <c:overlap val="-28"/>
        <c:axId val="778649978"/>
        <c:axId val="561213063"/>
      </c:barChart>
      <c:catAx>
        <c:axId val="7786499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213063"/>
        <c:crosses val="autoZero"/>
        <c:auto val="1"/>
        <c:lblAlgn val="ctr"/>
        <c:lblOffset val="100"/>
        <c:noMultiLvlLbl val="0"/>
      </c:catAx>
      <c:valAx>
        <c:axId val="56121306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86499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b23a4a-320b-4476-9ecb-5705174fd4b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27691768671799"/>
                  <c:y val="-0.070800899017112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099948942248"/>
                  <c:y val="0.020172919642330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20322832012553"/>
                  <c:y val="-0.010598151014539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45627406865407"/>
                  <c:y val="0.001268636350486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125.76</c:v>
                </c:pt>
                <c:pt idx="1">
                  <c:v>21.59</c:v>
                </c:pt>
                <c:pt idx="2">
                  <c:v>8.83</c:v>
                </c:pt>
                <c:pt idx="3">
                  <c:v>12.75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fd6e0e-d359-49b9-9e71-a5e39fea735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财政拨款“三公”经费支出决算</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公出国（境）费支出</c:v>
                </c:pt>
                <c:pt idx="1">
                  <c:v>公务用车购置及运行维护费支出</c:v>
                </c:pt>
                <c:pt idx="2">
                  <c:v>公务接待费支出</c:v>
                </c:pt>
              </c:strCache>
            </c:strRef>
          </c:cat>
          <c:val>
            <c:numRef>
              <c:f>Sheet1!$B$2:$B$4</c:f>
              <c:numCache>
                <c:formatCode>General</c:formatCode>
                <c:ptCount val="3"/>
                <c:pt idx="0">
                  <c:v>0</c:v>
                </c:pt>
                <c:pt idx="1">
                  <c:v>0.92</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88f956-4d24-47bb-86cb-9d906303578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7396</Words>
  <Characters>7955</Characters>
  <Lines>0</Lines>
  <Paragraphs>0</Paragraphs>
  <TotalTime>1</TotalTime>
  <ScaleCrop>false</ScaleCrop>
  <LinksUpToDate>false</LinksUpToDate>
  <CharactersWithSpaces>8032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2026-08-29T08:15:00Z</dcterms:created>
  <dc:creator>@*</dc:creator>
  <cp:lastModifiedBy>修行者</cp:lastModifiedBy>
  <cp:lastPrinted>2026-09-03T07:31:00Z</cp:lastPrinted>
  <dcterms:modified xsi:type="dcterms:W3CDTF">2026-09-04T01:44:47Z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CAC7AA9939034900A1A19084089FBC2C_11</vt:lpwstr>
  </property>
  <property fmtid="{D5CDD505-2E9C-101B-9397-08002B2CF9AE}" pid="4" name="KSOTemplateDocerSaveRecord">
    <vt:lpwstr>eyJoZGlkIjoiNTRhZDU0NDcxZDQ5NTZiMWIxM2FlN2Y4MTFkNDE4ZTEiLCJ1c2VySWQiOiI2Njc0NzIxOTIifQ==</vt:lpwstr>
  </property>
</Properties>
</file>