
<file path=[Content_Types].xml><?xml version="1.0" encoding="utf-8"?>
<Types xmlns="http://schemas.openxmlformats.org/package/2006/content-types">
  <Default Extension="xml" ContentType="application/xml"/>
  <Default Extension="xlsx" ContentType="application/vnd.openxmlformats-officedocument.spreadsheetml.sheet"/>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olors1.xml" ContentType="application/vnd.ms-office.chartcolorstyle+xml"/>
  <Override PartName="/word/charts/colors2.xml" ContentType="application/vnd.ms-office.chartcolorstyle+xml"/>
  <Override PartName="/word/charts/colors3.xml" ContentType="application/vnd.ms-office.chartcolorstyle+xml"/>
  <Override PartName="/word/charts/colors4.xml" ContentType="application/vnd.ms-office.chartcolorstyle+xml"/>
  <Override PartName="/word/charts/colors5.xml" ContentType="application/vnd.ms-office.chartcolorstyle+xml"/>
  <Override PartName="/word/charts/colors6.xml" ContentType="application/vnd.ms-office.chartcolorstyle+xml"/>
  <Override PartName="/word/charts/colors7.xml" ContentType="application/vnd.ms-office.chartcolorstyle+xml"/>
  <Override PartName="/word/charts/style1.xml" ContentType="application/vnd.ms-office.chartstyle+xml"/>
  <Override PartName="/word/charts/style2.xml" ContentType="application/vnd.ms-office.chartstyle+xml"/>
  <Override PartName="/word/charts/style3.xml" ContentType="application/vnd.ms-office.chartstyle+xml"/>
  <Override PartName="/word/charts/style4.xml" ContentType="application/vnd.ms-office.chartstyle+xml"/>
  <Override PartName="/word/charts/style5.xml" ContentType="application/vnd.ms-office.chartstyle+xml"/>
  <Override PartName="/word/charts/style6.xml" ContentType="application/vnd.ms-office.chartstyle+xml"/>
  <Override PartName="/word/charts/style7.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5231FF4">
      <w:pPr>
        <w:pStyle w:val="5"/>
        <w:jc w:val="center"/>
        <w:rPr>
          <w:rFonts w:hint="eastAsia" w:ascii="方正小标宋简体" w:hAnsi="宋体" w:eastAsia="方正小标宋简体" w:cs="Times New Roman"/>
          <w:color w:val="auto"/>
          <w:kern w:val="2"/>
          <w:sz w:val="44"/>
          <w:szCs w:val="44"/>
          <w:highlight w:val="none"/>
          <w:lang w:val="en-US" w:eastAsia="zh-CN" w:bidi="ar-SA"/>
        </w:rPr>
      </w:pPr>
    </w:p>
    <w:p w14:paraId="686D7A92">
      <w:pPr>
        <w:pStyle w:val="5"/>
        <w:jc w:val="center"/>
        <w:rPr>
          <w:rFonts w:hint="eastAsia" w:ascii="方正小标宋简体" w:hAnsi="宋体" w:eastAsia="方正小标宋简体" w:cs="Times New Roman"/>
          <w:color w:val="auto"/>
          <w:kern w:val="2"/>
          <w:sz w:val="44"/>
          <w:szCs w:val="44"/>
          <w:highlight w:val="none"/>
          <w:lang w:val="en-US" w:eastAsia="zh-CN" w:bidi="ar-SA"/>
        </w:rPr>
      </w:pPr>
    </w:p>
    <w:p w14:paraId="13A3B0C6">
      <w:pPr>
        <w:pStyle w:val="5"/>
        <w:jc w:val="center"/>
        <w:rPr>
          <w:rFonts w:hint="eastAsia" w:ascii="方正小标宋简体" w:hAnsi="宋体" w:eastAsia="方正小标宋简体" w:cs="Times New Roman"/>
          <w:color w:val="auto"/>
          <w:kern w:val="2"/>
          <w:sz w:val="44"/>
          <w:szCs w:val="44"/>
          <w:highlight w:val="none"/>
          <w:lang w:val="en-US" w:eastAsia="zh-CN" w:bidi="ar-SA"/>
        </w:rPr>
      </w:pPr>
    </w:p>
    <w:p w14:paraId="461313DF">
      <w:pPr>
        <w:pStyle w:val="5"/>
        <w:jc w:val="center"/>
        <w:rPr>
          <w:rFonts w:hint="eastAsia" w:ascii="方正小标宋简体" w:hAnsi="宋体" w:eastAsia="方正小标宋简体" w:cs="Times New Roman"/>
          <w:color w:val="auto"/>
          <w:kern w:val="2"/>
          <w:sz w:val="72"/>
          <w:szCs w:val="72"/>
          <w:highlight w:val="none"/>
          <w:lang w:val="en-US" w:eastAsia="zh-CN" w:bidi="ar-SA"/>
        </w:rPr>
      </w:pPr>
      <w:r>
        <w:rPr>
          <w:rFonts w:hint="eastAsia" w:ascii="方正小标宋简体" w:hAnsi="宋体" w:eastAsia="方正小标宋简体" w:cs="Times New Roman"/>
          <w:color w:val="auto"/>
          <w:kern w:val="2"/>
          <w:sz w:val="72"/>
          <w:szCs w:val="72"/>
          <w:highlight w:val="none"/>
          <w:lang w:val="en-US" w:eastAsia="zh-CN" w:bidi="ar-SA"/>
        </w:rPr>
        <w:t>2025年度</w:t>
      </w:r>
    </w:p>
    <w:p w14:paraId="2296D1F6">
      <w:pPr>
        <w:pStyle w:val="5"/>
        <w:jc w:val="center"/>
        <w:rPr>
          <w:rFonts w:hint="eastAsia" w:ascii="方正小标宋简体" w:hAnsi="宋体" w:eastAsia="方正小标宋简体" w:cs="Times New Roman"/>
          <w:color w:val="auto"/>
          <w:kern w:val="2"/>
          <w:sz w:val="72"/>
          <w:szCs w:val="72"/>
          <w:highlight w:val="none"/>
          <w:lang w:val="en-US" w:eastAsia="zh-CN" w:bidi="ar-SA"/>
        </w:rPr>
      </w:pPr>
      <w:r>
        <w:rPr>
          <w:rFonts w:hint="eastAsia" w:ascii="方正小标宋简体" w:hAnsi="宋体" w:eastAsia="方正小标宋简体" w:cs="Times New Roman"/>
          <w:color w:val="auto"/>
          <w:kern w:val="2"/>
          <w:sz w:val="72"/>
          <w:szCs w:val="72"/>
          <w:highlight w:val="none"/>
          <w:lang w:val="en-US" w:eastAsia="zh-CN" w:bidi="ar-SA"/>
        </w:rPr>
        <w:t>四川省阿坝州茂县工业</w:t>
      </w:r>
    </w:p>
    <w:p w14:paraId="2D9FE975">
      <w:pPr>
        <w:pStyle w:val="5"/>
        <w:jc w:val="center"/>
        <w:rPr>
          <w:rFonts w:hint="eastAsia" w:ascii="方正小标宋简体" w:hAnsi="宋体" w:eastAsia="方正小标宋简体" w:cs="Times New Roman"/>
          <w:color w:val="auto"/>
          <w:kern w:val="2"/>
          <w:sz w:val="72"/>
          <w:szCs w:val="72"/>
          <w:highlight w:val="none"/>
          <w:lang w:val="en-US" w:eastAsia="zh-CN" w:bidi="ar-SA"/>
        </w:rPr>
      </w:pPr>
      <w:r>
        <w:rPr>
          <w:rFonts w:hint="eastAsia" w:ascii="方正小标宋简体" w:hAnsi="宋体" w:eastAsia="方正小标宋简体" w:cs="Times New Roman"/>
          <w:color w:val="auto"/>
          <w:kern w:val="2"/>
          <w:sz w:val="72"/>
          <w:szCs w:val="72"/>
          <w:highlight w:val="none"/>
          <w:lang w:val="en-US" w:eastAsia="zh-CN" w:bidi="ar-SA"/>
        </w:rPr>
        <w:t>服务中心单位决算</w:t>
      </w:r>
    </w:p>
    <w:p w14:paraId="0643F0A1">
      <w:pPr>
        <w:pStyle w:val="5"/>
        <w:jc w:val="center"/>
        <w:rPr>
          <w:rFonts w:ascii="黑体" w:hAnsi="黑体" w:eastAsia="黑体" w:cs="Times New Roman"/>
          <w:color w:val="auto"/>
          <w:sz w:val="28"/>
          <w:szCs w:val="28"/>
          <w:highlight w:val="none"/>
        </w:rPr>
      </w:pPr>
      <w:r>
        <w:rPr>
          <w:rFonts w:hint="eastAsia" w:ascii="方正小标宋简体" w:hAnsi="宋体" w:eastAsia="方正小标宋简体" w:cs="Times New Roman"/>
          <w:color w:val="auto"/>
          <w:kern w:val="2"/>
          <w:sz w:val="72"/>
          <w:szCs w:val="72"/>
          <w:highlight w:val="none"/>
          <w:lang w:val="en-US" w:eastAsia="zh-CN" w:bidi="ar-SA"/>
        </w:rPr>
        <w:br w:type="page"/>
      </w:r>
      <w:r>
        <w:rPr>
          <w:rFonts w:hint="eastAsia" w:ascii="黑体" w:hAnsi="黑体" w:eastAsia="黑体"/>
          <w:color w:val="auto"/>
          <w:sz w:val="48"/>
          <w:szCs w:val="48"/>
          <w:highlight w:val="none"/>
        </w:rPr>
        <w:t>目录</w:t>
      </w:r>
    </w:p>
    <w:p w14:paraId="4CDF2C00">
      <w:pPr>
        <w:pStyle w:val="8"/>
        <w:rPr>
          <w:rFonts w:hint="eastAsia" w:cs="Times New Roman"/>
          <w:color w:val="auto"/>
          <w:highlight w:val="none"/>
        </w:rPr>
      </w:pPr>
      <w:r>
        <w:rPr>
          <w:rFonts w:hint="eastAsia" w:cs="Times New Roman"/>
          <w:color w:val="auto"/>
          <w:highlight w:val="none"/>
        </w:rPr>
        <w:t>公开时间：</w:t>
      </w:r>
      <w:r>
        <w:rPr>
          <w:rFonts w:hint="eastAsia" w:cs="Times New Roman"/>
          <w:color w:val="auto"/>
          <w:highlight w:val="none"/>
          <w:lang w:eastAsia="zh-CN"/>
        </w:rPr>
        <w:t>202</w:t>
      </w:r>
      <w:r>
        <w:rPr>
          <w:rFonts w:hint="eastAsia" w:cs="Times New Roman"/>
          <w:color w:val="auto"/>
          <w:highlight w:val="none"/>
          <w:lang w:val="en-US" w:eastAsia="zh-CN"/>
        </w:rPr>
        <w:t>6</w:t>
      </w:r>
      <w:r>
        <w:rPr>
          <w:rFonts w:hint="eastAsia" w:cs="Times New Roman"/>
          <w:color w:val="auto"/>
          <w:highlight w:val="none"/>
          <w:lang w:eastAsia="zh-CN"/>
        </w:rPr>
        <w:t>年</w:t>
      </w:r>
      <w:r>
        <w:rPr>
          <w:rFonts w:hint="eastAsia" w:cs="Times New Roman"/>
          <w:color w:val="auto"/>
          <w:highlight w:val="none"/>
          <w:lang w:val="en-US" w:eastAsia="zh-CN"/>
        </w:rPr>
        <w:t>9</w:t>
      </w:r>
      <w:r>
        <w:rPr>
          <w:rFonts w:hint="eastAsia" w:cs="Times New Roman"/>
          <w:color w:val="auto"/>
          <w:highlight w:val="none"/>
        </w:rPr>
        <w:t>月</w:t>
      </w:r>
      <w:r>
        <w:rPr>
          <w:rFonts w:hint="eastAsia" w:cs="Times New Roman"/>
          <w:color w:val="auto"/>
          <w:highlight w:val="none"/>
          <w:lang w:val="en-US" w:eastAsia="zh-CN"/>
        </w:rPr>
        <w:t>4</w:t>
      </w:r>
      <w:r>
        <w:rPr>
          <w:rFonts w:hint="eastAsia" w:cs="Times New Roman"/>
          <w:color w:val="auto"/>
          <w:highlight w:val="none"/>
        </w:rPr>
        <w:t>日</w:t>
      </w:r>
    </w:p>
    <w:p w14:paraId="39201376">
      <w:pPr>
        <w:rPr>
          <w:color w:val="auto"/>
          <w:highlight w:val="none"/>
        </w:rPr>
      </w:pPr>
    </w:p>
    <w:p w14:paraId="6EA22480">
      <w:pPr>
        <w:pStyle w:val="8"/>
        <w:keepNext w:val="0"/>
        <w:keepLines w:val="0"/>
        <w:pageBreakBefore w:val="0"/>
        <w:suppressAutoHyphens/>
        <w:kinsoku/>
        <w:wordWrap/>
        <w:overflowPunct/>
        <w:topLinePunct w:val="0"/>
        <w:autoSpaceDE/>
        <w:autoSpaceDN/>
        <w:bidi w:val="0"/>
        <w:adjustRightInd w:val="0"/>
        <w:snapToGrid w:val="0"/>
        <w:spacing w:before="0" w:line="560" w:lineRule="exact"/>
        <w:jc w:val="left"/>
        <w:textAlignment w:val="auto"/>
        <w:rPr>
          <w:rFonts w:hint="eastAsia" w:ascii="Times New Roman" w:hAnsi="Times New Roman" w:eastAsia="黑体" w:cs="黑体"/>
          <w:color w:val="auto"/>
          <w:sz w:val="32"/>
          <w:szCs w:val="32"/>
          <w:highlight w:val="none"/>
        </w:rPr>
      </w:pPr>
      <w:r>
        <w:rPr>
          <w:rFonts w:hint="eastAsia" w:ascii="Times New Roman" w:hAnsi="Times New Roman" w:eastAsia="黑体" w:cs="黑体"/>
          <w:color w:val="auto"/>
          <w:sz w:val="32"/>
          <w:szCs w:val="32"/>
          <w:highlight w:val="none"/>
        </w:rPr>
        <w:t xml:space="preserve">第一部分 </w:t>
      </w:r>
      <w:r>
        <w:rPr>
          <w:rFonts w:hint="eastAsia" w:ascii="Times New Roman" w:hAnsi="Times New Roman" w:eastAsia="黑体" w:cs="黑体"/>
          <w:color w:val="auto"/>
          <w:sz w:val="32"/>
          <w:szCs w:val="32"/>
          <w:highlight w:val="none"/>
          <w:lang w:eastAsia="zh-CN"/>
        </w:rPr>
        <w:t>单位</w:t>
      </w:r>
      <w:r>
        <w:rPr>
          <w:rFonts w:hint="eastAsia" w:ascii="Times New Roman" w:hAnsi="Times New Roman" w:eastAsia="黑体" w:cs="黑体"/>
          <w:color w:val="auto"/>
          <w:sz w:val="32"/>
          <w:szCs w:val="32"/>
          <w:highlight w:val="none"/>
        </w:rPr>
        <w:t>概况</w:t>
      </w:r>
      <w:r>
        <w:rPr>
          <w:sz w:val="21"/>
          <w:szCs w:val="21"/>
        </w:rPr>
        <w:tab/>
      </w:r>
      <w:r>
        <w:rPr>
          <w:rFonts w:hint="eastAsia"/>
          <w:sz w:val="21"/>
          <w:szCs w:val="21"/>
          <w:lang w:val="en-US" w:eastAsia="zh-CN"/>
        </w:rPr>
        <w:t>1</w:t>
      </w:r>
    </w:p>
    <w:p w14:paraId="27A62B9B">
      <w:pPr>
        <w:pStyle w:val="9"/>
        <w:keepNext w:val="0"/>
        <w:keepLines w:val="0"/>
        <w:pageBreakBefore w:val="0"/>
        <w:widowControl w:val="0"/>
        <w:suppressAutoHyphens/>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仿宋_GB2312" w:cs="仿宋_GB2312"/>
          <w:color w:val="auto"/>
          <w:sz w:val="32"/>
          <w:szCs w:val="32"/>
          <w:highlight w:val="none"/>
        </w:rPr>
        <w:t>一、</w:t>
      </w:r>
      <w:r>
        <w:rPr>
          <w:rFonts w:hint="eastAsia" w:ascii="Times New Roman" w:hAnsi="Times New Roman" w:eastAsia="仿宋_GB2312" w:cs="仿宋_GB2312"/>
          <w:color w:val="auto"/>
          <w:sz w:val="32"/>
          <w:szCs w:val="32"/>
          <w:highlight w:val="none"/>
          <w:lang w:eastAsia="zh-CN"/>
        </w:rPr>
        <w:t>主要职责</w:t>
      </w:r>
      <w:r>
        <w:rPr>
          <w:sz w:val="21"/>
          <w:szCs w:val="21"/>
        </w:rPr>
        <w:tab/>
      </w:r>
      <w:r>
        <w:rPr>
          <w:rFonts w:hint="eastAsia"/>
          <w:sz w:val="21"/>
          <w:szCs w:val="21"/>
          <w:lang w:val="en-US" w:eastAsia="zh-CN"/>
        </w:rPr>
        <w:t>1</w:t>
      </w:r>
    </w:p>
    <w:p w14:paraId="525B81AE">
      <w:pPr>
        <w:pStyle w:val="9"/>
        <w:keepNext w:val="0"/>
        <w:keepLines w:val="0"/>
        <w:pageBreakBefore w:val="0"/>
        <w:widowControl w:val="0"/>
        <w:suppressAutoHyphens/>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仿宋_GB2312" w:cs="仿宋_GB2312"/>
          <w:color w:val="auto"/>
          <w:sz w:val="32"/>
          <w:szCs w:val="32"/>
          <w:highlight w:val="none"/>
          <w:lang w:eastAsia="zh-CN"/>
        </w:rPr>
        <w:t>二</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机构设置</w:t>
      </w:r>
      <w:r>
        <w:rPr>
          <w:sz w:val="21"/>
          <w:szCs w:val="21"/>
        </w:rPr>
        <w:tab/>
      </w:r>
      <w:r>
        <w:rPr>
          <w:rFonts w:hint="eastAsia"/>
          <w:sz w:val="21"/>
          <w:szCs w:val="21"/>
          <w:lang w:val="en-US" w:eastAsia="zh-CN"/>
        </w:rPr>
        <w:t>2</w:t>
      </w:r>
    </w:p>
    <w:p w14:paraId="0BAC95EA">
      <w:pPr>
        <w:pStyle w:val="8"/>
        <w:keepNext w:val="0"/>
        <w:keepLines w:val="0"/>
        <w:pageBreakBefore w:val="0"/>
        <w:suppressAutoHyphens/>
        <w:kinsoku/>
        <w:wordWrap/>
        <w:overflowPunct/>
        <w:topLinePunct w:val="0"/>
        <w:autoSpaceDE/>
        <w:autoSpaceDN/>
        <w:bidi w:val="0"/>
        <w:adjustRightInd w:val="0"/>
        <w:snapToGrid w:val="0"/>
        <w:spacing w:before="0" w:line="560" w:lineRule="exact"/>
        <w:jc w:val="left"/>
        <w:textAlignment w:val="auto"/>
        <w:rPr>
          <w:rFonts w:hint="eastAsia" w:ascii="Times New Roman" w:hAnsi="Times New Roman" w:eastAsia="黑体" w:cs="黑体"/>
          <w:color w:val="auto"/>
          <w:sz w:val="32"/>
          <w:szCs w:val="32"/>
          <w:highlight w:val="none"/>
        </w:rPr>
      </w:pPr>
      <w:r>
        <w:rPr>
          <w:rFonts w:hint="eastAsia" w:ascii="Times New Roman" w:hAnsi="Times New Roman" w:eastAsia="黑体" w:cs="黑体"/>
          <w:color w:val="auto"/>
          <w:sz w:val="32"/>
          <w:szCs w:val="32"/>
          <w:highlight w:val="none"/>
        </w:rPr>
        <w:t>第二部分</w:t>
      </w:r>
      <w:r>
        <w:rPr>
          <w:rFonts w:hint="eastAsia" w:ascii="Times New Roman" w:hAnsi="Times New Roman" w:eastAsia="黑体" w:cs="黑体"/>
          <w:color w:val="auto"/>
          <w:sz w:val="32"/>
          <w:szCs w:val="32"/>
          <w:highlight w:val="none"/>
          <w:lang w:val="en-US" w:eastAsia="zh-CN"/>
        </w:rPr>
        <w:t xml:space="preserve"> 2025年度</w:t>
      </w:r>
      <w:r>
        <w:rPr>
          <w:rFonts w:hint="eastAsia" w:ascii="Times New Roman" w:hAnsi="Times New Roman" w:eastAsia="黑体" w:cs="黑体"/>
          <w:color w:val="auto"/>
          <w:sz w:val="32"/>
          <w:szCs w:val="32"/>
          <w:highlight w:val="none"/>
          <w:lang w:eastAsia="zh-CN"/>
        </w:rPr>
        <w:t>单位</w:t>
      </w:r>
      <w:r>
        <w:rPr>
          <w:rFonts w:hint="eastAsia" w:ascii="Times New Roman" w:hAnsi="Times New Roman" w:eastAsia="黑体" w:cs="黑体"/>
          <w:color w:val="auto"/>
          <w:sz w:val="32"/>
          <w:szCs w:val="32"/>
          <w:highlight w:val="none"/>
        </w:rPr>
        <w:t>决算情况说明</w:t>
      </w:r>
      <w:r>
        <w:rPr>
          <w:sz w:val="21"/>
          <w:szCs w:val="21"/>
        </w:rPr>
        <w:tab/>
      </w:r>
      <w:r>
        <w:rPr>
          <w:rFonts w:hint="eastAsia"/>
          <w:sz w:val="21"/>
          <w:szCs w:val="21"/>
          <w:lang w:val="en-US" w:eastAsia="zh-CN"/>
        </w:rPr>
        <w:t>3</w:t>
      </w:r>
    </w:p>
    <w:p w14:paraId="2F1FF8F2">
      <w:pPr>
        <w:pStyle w:val="9"/>
        <w:keepNext w:val="0"/>
        <w:keepLines w:val="0"/>
        <w:pageBreakBefore w:val="0"/>
        <w:widowControl w:val="0"/>
        <w:suppressAutoHyphens/>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宋体"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一、收入支出决算总体情况说明</w:t>
      </w:r>
      <w:r>
        <w:rPr>
          <w:sz w:val="21"/>
          <w:szCs w:val="21"/>
        </w:rPr>
        <w:tab/>
      </w:r>
      <w:r>
        <w:rPr>
          <w:rFonts w:hint="eastAsia"/>
          <w:sz w:val="21"/>
          <w:szCs w:val="21"/>
          <w:lang w:val="en-US" w:eastAsia="zh-CN"/>
        </w:rPr>
        <w:t>3</w:t>
      </w:r>
    </w:p>
    <w:p w14:paraId="77D42377">
      <w:pPr>
        <w:pStyle w:val="9"/>
        <w:keepNext w:val="0"/>
        <w:keepLines w:val="0"/>
        <w:pageBreakBefore w:val="0"/>
        <w:widowControl w:val="0"/>
        <w:suppressAutoHyphens/>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二、收入决算情况说明</w:t>
      </w:r>
      <w:r>
        <w:rPr>
          <w:sz w:val="21"/>
          <w:szCs w:val="21"/>
        </w:rPr>
        <w:tab/>
      </w:r>
      <w:r>
        <w:rPr>
          <w:rFonts w:hint="eastAsia"/>
          <w:sz w:val="21"/>
          <w:szCs w:val="21"/>
          <w:lang w:val="en-US" w:eastAsia="zh-CN"/>
        </w:rPr>
        <w:t>3</w:t>
      </w:r>
    </w:p>
    <w:p w14:paraId="4A69C9BF">
      <w:pPr>
        <w:pStyle w:val="9"/>
        <w:keepNext w:val="0"/>
        <w:keepLines w:val="0"/>
        <w:pageBreakBefore w:val="0"/>
        <w:widowControl w:val="0"/>
        <w:suppressAutoHyphens/>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三、支出决算情况说明</w:t>
      </w:r>
      <w:r>
        <w:rPr>
          <w:sz w:val="21"/>
          <w:szCs w:val="21"/>
        </w:rPr>
        <w:tab/>
      </w:r>
      <w:r>
        <w:rPr>
          <w:rFonts w:hint="eastAsia"/>
          <w:sz w:val="21"/>
          <w:szCs w:val="21"/>
          <w:lang w:val="en-US" w:eastAsia="zh-CN"/>
        </w:rPr>
        <w:t>4</w:t>
      </w:r>
    </w:p>
    <w:p w14:paraId="5F59B5DE">
      <w:pPr>
        <w:pStyle w:val="9"/>
        <w:keepNext w:val="0"/>
        <w:keepLines w:val="0"/>
        <w:pageBreakBefore w:val="0"/>
        <w:widowControl w:val="0"/>
        <w:suppressAutoHyphens/>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四、财政拨款收入支出决算总体情况说明</w:t>
      </w:r>
      <w:r>
        <w:rPr>
          <w:sz w:val="21"/>
          <w:szCs w:val="21"/>
        </w:rPr>
        <w:tab/>
      </w:r>
      <w:r>
        <w:rPr>
          <w:rFonts w:hint="eastAsia"/>
          <w:sz w:val="21"/>
          <w:szCs w:val="21"/>
          <w:lang w:val="en-US" w:eastAsia="zh-CN"/>
        </w:rPr>
        <w:t>4</w:t>
      </w:r>
    </w:p>
    <w:p w14:paraId="261A5293">
      <w:pPr>
        <w:pStyle w:val="9"/>
        <w:keepNext w:val="0"/>
        <w:keepLines w:val="0"/>
        <w:pageBreakBefore w:val="0"/>
        <w:widowControl w:val="0"/>
        <w:suppressAutoHyphens/>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五、一般公共预算财政拨款支出决算情况说明</w:t>
      </w:r>
      <w:r>
        <w:rPr>
          <w:sz w:val="21"/>
          <w:szCs w:val="21"/>
        </w:rPr>
        <w:tab/>
      </w:r>
      <w:r>
        <w:rPr>
          <w:rFonts w:hint="eastAsia"/>
          <w:sz w:val="21"/>
          <w:szCs w:val="21"/>
          <w:lang w:val="en-US" w:eastAsia="zh-CN"/>
        </w:rPr>
        <w:t>5</w:t>
      </w:r>
    </w:p>
    <w:p w14:paraId="0226E4EF">
      <w:pPr>
        <w:pStyle w:val="9"/>
        <w:keepNext w:val="0"/>
        <w:keepLines w:val="0"/>
        <w:pageBreakBefore w:val="0"/>
        <w:widowControl w:val="0"/>
        <w:suppressAutoHyphens/>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六、一般公共预算财政拨款基本支出决算情况说明</w:t>
      </w:r>
      <w:r>
        <w:rPr>
          <w:sz w:val="21"/>
          <w:szCs w:val="21"/>
        </w:rPr>
        <w:tab/>
      </w:r>
      <w:r>
        <w:rPr>
          <w:rFonts w:hint="eastAsia"/>
          <w:sz w:val="21"/>
          <w:szCs w:val="21"/>
          <w:lang w:val="en-US" w:eastAsia="zh-CN"/>
        </w:rPr>
        <w:t>7</w:t>
      </w:r>
    </w:p>
    <w:p w14:paraId="3017E735">
      <w:pPr>
        <w:pStyle w:val="9"/>
        <w:keepNext w:val="0"/>
        <w:keepLines w:val="0"/>
        <w:pageBreakBefore w:val="0"/>
        <w:widowControl w:val="0"/>
        <w:suppressAutoHyphens/>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七、财政拨款</w:t>
      </w:r>
      <w:r>
        <w:rPr>
          <w:rFonts w:hint="eastAsia" w:ascii="Times New Roman" w:hAnsi="Times New Roman" w:eastAsia="仿宋_GB2312" w:cs="仿宋_GB2312"/>
          <w:color w:val="auto"/>
          <w:sz w:val="32"/>
          <w:szCs w:val="32"/>
          <w:highlight w:val="none"/>
          <w:lang w:eastAsia="zh-CN"/>
        </w:rPr>
        <w:t>“</w:t>
      </w:r>
      <w:r>
        <w:rPr>
          <w:rFonts w:hint="eastAsia" w:ascii="Times New Roman" w:hAnsi="Times New Roman" w:eastAsia="仿宋_GB2312" w:cs="仿宋_GB2312"/>
          <w:color w:val="auto"/>
          <w:sz w:val="32"/>
          <w:szCs w:val="32"/>
          <w:highlight w:val="none"/>
        </w:rPr>
        <w:t>三公”经费支出决算情况说明</w:t>
      </w:r>
      <w:r>
        <w:rPr>
          <w:sz w:val="21"/>
          <w:szCs w:val="21"/>
        </w:rPr>
        <w:tab/>
      </w:r>
      <w:r>
        <w:rPr>
          <w:rFonts w:hint="eastAsia"/>
          <w:sz w:val="21"/>
          <w:szCs w:val="21"/>
          <w:lang w:val="en-US" w:eastAsia="zh-CN"/>
        </w:rPr>
        <w:t>7</w:t>
      </w:r>
    </w:p>
    <w:p w14:paraId="19C0056F">
      <w:pPr>
        <w:pStyle w:val="9"/>
        <w:keepNext w:val="0"/>
        <w:keepLines w:val="0"/>
        <w:pageBreakBefore w:val="0"/>
        <w:widowControl w:val="0"/>
        <w:suppressAutoHyphens/>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rPr>
      </w:pPr>
      <w:r>
        <w:rPr>
          <w:rFonts w:hint="eastAsia" w:ascii="Times New Roman" w:hAnsi="Times New Roman" w:eastAsia="仿宋_GB2312" w:cs="仿宋_GB2312"/>
          <w:color w:val="auto"/>
          <w:sz w:val="32"/>
          <w:szCs w:val="32"/>
          <w:highlight w:val="none"/>
        </w:rPr>
        <w:t>八、政府性基金预算支出决算情况说明</w:t>
      </w:r>
      <w:r>
        <w:rPr>
          <w:sz w:val="21"/>
          <w:szCs w:val="21"/>
        </w:rPr>
        <w:tab/>
      </w:r>
      <w:r>
        <w:rPr>
          <w:rFonts w:hint="eastAsia"/>
          <w:sz w:val="21"/>
          <w:szCs w:val="21"/>
          <w:lang w:val="en-US" w:eastAsia="zh-CN"/>
        </w:rPr>
        <w:t>9</w:t>
      </w:r>
    </w:p>
    <w:p w14:paraId="4D406E57">
      <w:pPr>
        <w:pStyle w:val="9"/>
        <w:keepNext w:val="0"/>
        <w:keepLines w:val="0"/>
        <w:pageBreakBefore w:val="0"/>
        <w:widowControl w:val="0"/>
        <w:suppressAutoHyphens/>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rPr>
      </w:pPr>
      <w:r>
        <w:rPr>
          <w:rFonts w:hint="eastAsia" w:ascii="Times New Roman" w:hAnsi="Times New Roman" w:eastAsia="仿宋_GB2312" w:cs="仿宋_GB2312"/>
          <w:color w:val="auto"/>
          <w:sz w:val="32"/>
          <w:szCs w:val="32"/>
          <w:highlight w:val="none"/>
        </w:rPr>
        <w:t>九、国有资本经营预算支出决算情况说明</w:t>
      </w:r>
      <w:r>
        <w:rPr>
          <w:sz w:val="21"/>
          <w:szCs w:val="21"/>
        </w:rPr>
        <w:tab/>
      </w:r>
      <w:r>
        <w:rPr>
          <w:rFonts w:hint="eastAsia"/>
          <w:sz w:val="21"/>
          <w:szCs w:val="21"/>
          <w:lang w:val="en-US" w:eastAsia="zh-CN"/>
        </w:rPr>
        <w:t>9</w:t>
      </w:r>
    </w:p>
    <w:p w14:paraId="33133331">
      <w:pPr>
        <w:pStyle w:val="9"/>
        <w:keepNext w:val="0"/>
        <w:keepLines w:val="0"/>
        <w:pageBreakBefore w:val="0"/>
        <w:widowControl w:val="0"/>
        <w:suppressAutoHyphens/>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十、其他重要事项的情况说明</w:t>
      </w:r>
      <w:r>
        <w:rPr>
          <w:sz w:val="21"/>
          <w:szCs w:val="21"/>
        </w:rPr>
        <w:tab/>
      </w:r>
      <w:r>
        <w:rPr>
          <w:rFonts w:hint="eastAsia"/>
          <w:sz w:val="21"/>
          <w:szCs w:val="21"/>
          <w:lang w:val="en-US" w:eastAsia="zh-CN"/>
        </w:rPr>
        <w:t>9</w:t>
      </w:r>
    </w:p>
    <w:p w14:paraId="35EFE002">
      <w:pPr>
        <w:pStyle w:val="8"/>
        <w:keepNext w:val="0"/>
        <w:keepLines w:val="0"/>
        <w:pageBreakBefore w:val="0"/>
        <w:suppressAutoHyphens/>
        <w:kinsoku/>
        <w:wordWrap/>
        <w:overflowPunct/>
        <w:topLinePunct w:val="0"/>
        <w:autoSpaceDE/>
        <w:autoSpaceDN/>
        <w:bidi w:val="0"/>
        <w:adjustRightInd w:val="0"/>
        <w:snapToGrid w:val="0"/>
        <w:spacing w:before="0" w:line="560" w:lineRule="exact"/>
        <w:jc w:val="left"/>
        <w:textAlignment w:val="auto"/>
        <w:rPr>
          <w:rFonts w:hint="default" w:ascii="Times New Roman" w:hAnsi="Times New Roman" w:eastAsia="黑体" w:cs="黑体"/>
          <w:color w:val="auto"/>
          <w:sz w:val="32"/>
          <w:szCs w:val="32"/>
          <w:highlight w:val="none"/>
          <w:lang w:val="en-US"/>
        </w:rPr>
      </w:pPr>
      <w:r>
        <w:rPr>
          <w:rFonts w:hint="eastAsia" w:ascii="Times New Roman" w:hAnsi="Times New Roman" w:eastAsia="黑体" w:cs="黑体"/>
          <w:color w:val="auto"/>
          <w:sz w:val="32"/>
          <w:szCs w:val="32"/>
          <w:highlight w:val="none"/>
        </w:rPr>
        <w:t>第三部分 名词解释</w:t>
      </w:r>
      <w:r>
        <w:rPr>
          <w:sz w:val="21"/>
          <w:szCs w:val="21"/>
        </w:rPr>
        <w:tab/>
      </w:r>
      <w:r>
        <w:rPr>
          <w:rFonts w:hint="eastAsia"/>
          <w:sz w:val="21"/>
          <w:szCs w:val="21"/>
          <w:lang w:val="en-US" w:eastAsia="zh-CN"/>
        </w:rPr>
        <w:t>11</w:t>
      </w:r>
    </w:p>
    <w:p w14:paraId="3D96C6B8">
      <w:pPr>
        <w:pStyle w:val="8"/>
        <w:keepNext w:val="0"/>
        <w:keepLines w:val="0"/>
        <w:pageBreakBefore w:val="0"/>
        <w:suppressAutoHyphens/>
        <w:kinsoku/>
        <w:wordWrap/>
        <w:overflowPunct/>
        <w:topLinePunct w:val="0"/>
        <w:autoSpaceDE/>
        <w:autoSpaceDN/>
        <w:bidi w:val="0"/>
        <w:adjustRightInd w:val="0"/>
        <w:snapToGrid w:val="0"/>
        <w:spacing w:before="0" w:line="560" w:lineRule="exact"/>
        <w:jc w:val="left"/>
        <w:textAlignment w:val="auto"/>
        <w:rPr>
          <w:rFonts w:hint="default"/>
          <w:sz w:val="21"/>
          <w:szCs w:val="21"/>
          <w:lang w:val="en-US" w:eastAsia="zh-CN"/>
        </w:rPr>
      </w:pPr>
      <w:r>
        <w:rPr>
          <w:rFonts w:hint="eastAsia" w:ascii="Times New Roman" w:hAnsi="Times New Roman" w:eastAsia="黑体" w:cs="黑体"/>
          <w:color w:val="auto"/>
          <w:sz w:val="32"/>
          <w:szCs w:val="32"/>
          <w:highlight w:val="none"/>
        </w:rPr>
        <w:t>第四部分 附件</w:t>
      </w:r>
      <w:r>
        <w:rPr>
          <w:sz w:val="21"/>
          <w:szCs w:val="21"/>
        </w:rPr>
        <w:tab/>
      </w:r>
      <w:r>
        <w:rPr>
          <w:rFonts w:hint="eastAsia"/>
          <w:sz w:val="21"/>
          <w:szCs w:val="21"/>
          <w:lang w:val="en-US" w:eastAsia="zh-CN"/>
        </w:rPr>
        <w:t>14</w:t>
      </w:r>
    </w:p>
    <w:p w14:paraId="04FE126C">
      <w:pPr>
        <w:pStyle w:val="8"/>
        <w:keepNext w:val="0"/>
        <w:keepLines w:val="0"/>
        <w:pageBreakBefore w:val="0"/>
        <w:suppressAutoHyphens/>
        <w:kinsoku/>
        <w:wordWrap/>
        <w:overflowPunct/>
        <w:topLinePunct w:val="0"/>
        <w:autoSpaceDE/>
        <w:autoSpaceDN/>
        <w:bidi w:val="0"/>
        <w:adjustRightInd w:val="0"/>
        <w:snapToGrid w:val="0"/>
        <w:spacing w:before="0" w:line="560" w:lineRule="exact"/>
        <w:jc w:val="left"/>
        <w:textAlignment w:val="auto"/>
        <w:rPr>
          <w:rFonts w:hint="default" w:ascii="Times New Roman" w:hAnsi="Times New Roman" w:eastAsia="黑体" w:cs="黑体"/>
          <w:color w:val="auto"/>
          <w:sz w:val="32"/>
          <w:szCs w:val="32"/>
          <w:highlight w:val="none"/>
          <w:lang w:val="en-US"/>
        </w:rPr>
      </w:pPr>
      <w:r>
        <w:rPr>
          <w:rFonts w:hint="eastAsia" w:ascii="Times New Roman" w:hAnsi="Times New Roman" w:eastAsia="黑体" w:cs="黑体"/>
          <w:color w:val="auto"/>
          <w:sz w:val="32"/>
          <w:szCs w:val="32"/>
          <w:highlight w:val="none"/>
        </w:rPr>
        <w:t>第五部分 附表</w:t>
      </w:r>
      <w:r>
        <w:rPr>
          <w:sz w:val="21"/>
          <w:szCs w:val="21"/>
        </w:rPr>
        <w:tab/>
      </w:r>
      <w:r>
        <w:rPr>
          <w:rFonts w:hint="eastAsia"/>
          <w:sz w:val="21"/>
          <w:szCs w:val="21"/>
          <w:lang w:val="en-US" w:eastAsia="zh-CN"/>
        </w:rPr>
        <w:t>19</w:t>
      </w:r>
    </w:p>
    <w:p w14:paraId="2C506624">
      <w:pPr>
        <w:pStyle w:val="8"/>
        <w:keepNext w:val="0"/>
        <w:keepLines w:val="0"/>
        <w:pageBreakBefore w:val="0"/>
        <w:kinsoku/>
        <w:wordWrap/>
        <w:overflowPunct/>
        <w:topLinePunct w:val="0"/>
        <w:autoSpaceDE/>
        <w:autoSpaceDN/>
        <w:bidi w:val="0"/>
        <w:adjustRightInd w:val="0"/>
        <w:snapToGrid w:val="0"/>
        <w:spacing w:before="0" w:line="560" w:lineRule="exact"/>
        <w:ind w:firstLine="640" w:firstLineChars="200"/>
        <w:jc w:val="left"/>
        <w:textAlignment w:val="auto"/>
        <w:rPr>
          <w:rFonts w:hint="default"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lang w:eastAsia="zh-CN"/>
        </w:rPr>
        <w:t>一、封面</w:t>
      </w:r>
      <w:r>
        <w:rPr>
          <w:sz w:val="21"/>
          <w:szCs w:val="21"/>
        </w:rPr>
        <w:tab/>
      </w:r>
      <w:r>
        <w:rPr>
          <w:rFonts w:hint="eastAsia"/>
          <w:sz w:val="21"/>
          <w:szCs w:val="21"/>
          <w:lang w:val="en-US" w:eastAsia="zh-CN"/>
        </w:rPr>
        <w:t>19</w:t>
      </w:r>
    </w:p>
    <w:p w14:paraId="417F83A2">
      <w:pPr>
        <w:pStyle w:val="8"/>
        <w:keepNext w:val="0"/>
        <w:keepLines w:val="0"/>
        <w:pageBreakBefore w:val="0"/>
        <w:kinsoku/>
        <w:wordWrap/>
        <w:overflowPunct/>
        <w:topLinePunct w:val="0"/>
        <w:autoSpaceDE/>
        <w:autoSpaceDN/>
        <w:bidi w:val="0"/>
        <w:adjustRightInd w:val="0"/>
        <w:snapToGrid w:val="0"/>
        <w:spacing w:before="0" w:line="560" w:lineRule="exact"/>
        <w:ind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二、收入支出决算总表</w:t>
      </w:r>
      <w:r>
        <w:rPr>
          <w:sz w:val="21"/>
          <w:szCs w:val="21"/>
        </w:rPr>
        <w:tab/>
      </w:r>
      <w:r>
        <w:rPr>
          <w:rFonts w:hint="eastAsia"/>
          <w:sz w:val="21"/>
          <w:szCs w:val="21"/>
          <w:lang w:val="en-US" w:eastAsia="zh-CN"/>
        </w:rPr>
        <w:t>19</w:t>
      </w:r>
    </w:p>
    <w:p w14:paraId="0C071C19">
      <w:pPr>
        <w:pStyle w:val="9"/>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eastAsia="仿宋_GB2312" w:cs="仿宋_GB2312"/>
          <w:color w:val="auto"/>
          <w:sz w:val="32"/>
          <w:szCs w:val="32"/>
          <w:highlight w:val="none"/>
          <w:lang w:eastAsia="zh-CN"/>
        </w:rPr>
        <w:t>三、</w:t>
      </w:r>
      <w:r>
        <w:rPr>
          <w:rFonts w:hint="eastAsia" w:ascii="Times New Roman" w:hAnsi="Times New Roman" w:eastAsia="仿宋_GB2312" w:cs="仿宋_GB2312"/>
          <w:color w:val="auto"/>
          <w:sz w:val="32"/>
          <w:szCs w:val="32"/>
          <w:highlight w:val="none"/>
        </w:rPr>
        <w:t>收入决算表</w:t>
      </w:r>
      <w:r>
        <w:rPr>
          <w:sz w:val="21"/>
          <w:szCs w:val="21"/>
        </w:rPr>
        <w:tab/>
      </w:r>
      <w:r>
        <w:rPr>
          <w:rFonts w:hint="eastAsia"/>
          <w:sz w:val="21"/>
          <w:szCs w:val="21"/>
          <w:lang w:val="en-US" w:eastAsia="zh-CN"/>
        </w:rPr>
        <w:t>19</w:t>
      </w:r>
    </w:p>
    <w:p w14:paraId="0F409362">
      <w:pPr>
        <w:pStyle w:val="9"/>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eastAsia="仿宋_GB2312" w:cs="仿宋_GB2312"/>
          <w:color w:val="auto"/>
          <w:sz w:val="32"/>
          <w:szCs w:val="32"/>
          <w:highlight w:val="none"/>
          <w:lang w:eastAsia="zh-CN"/>
        </w:rPr>
        <w:t>四</w:t>
      </w:r>
      <w:r>
        <w:rPr>
          <w:rFonts w:hint="eastAsia" w:ascii="Times New Roman" w:hAnsi="Times New Roman" w:eastAsia="仿宋_GB2312" w:cs="仿宋_GB2312"/>
          <w:color w:val="auto"/>
          <w:sz w:val="32"/>
          <w:szCs w:val="32"/>
          <w:highlight w:val="none"/>
        </w:rPr>
        <w:t>、支出决算表</w:t>
      </w:r>
      <w:r>
        <w:rPr>
          <w:sz w:val="21"/>
          <w:szCs w:val="21"/>
        </w:rPr>
        <w:tab/>
      </w:r>
      <w:r>
        <w:rPr>
          <w:rFonts w:hint="eastAsia"/>
          <w:sz w:val="21"/>
          <w:szCs w:val="21"/>
          <w:lang w:val="en-US" w:eastAsia="zh-CN"/>
        </w:rPr>
        <w:t>19</w:t>
      </w:r>
    </w:p>
    <w:p w14:paraId="5E07DEC9">
      <w:pPr>
        <w:pStyle w:val="9"/>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eastAsia="仿宋_GB2312" w:cs="仿宋_GB2312"/>
          <w:color w:val="auto"/>
          <w:sz w:val="32"/>
          <w:szCs w:val="32"/>
          <w:highlight w:val="none"/>
          <w:lang w:eastAsia="zh-CN"/>
        </w:rPr>
        <w:t>五</w:t>
      </w:r>
      <w:r>
        <w:rPr>
          <w:rFonts w:hint="eastAsia" w:ascii="Times New Roman" w:hAnsi="Times New Roman" w:eastAsia="仿宋_GB2312" w:cs="仿宋_GB2312"/>
          <w:color w:val="auto"/>
          <w:sz w:val="32"/>
          <w:szCs w:val="32"/>
          <w:highlight w:val="none"/>
        </w:rPr>
        <w:t>、财政拨款收入支出决算总表</w:t>
      </w:r>
      <w:r>
        <w:rPr>
          <w:sz w:val="21"/>
          <w:szCs w:val="21"/>
        </w:rPr>
        <w:tab/>
      </w:r>
      <w:r>
        <w:rPr>
          <w:rFonts w:hint="eastAsia"/>
          <w:sz w:val="21"/>
          <w:szCs w:val="21"/>
          <w:lang w:val="en-US" w:eastAsia="zh-CN"/>
        </w:rPr>
        <w:t>19</w:t>
      </w:r>
    </w:p>
    <w:p w14:paraId="1D3BF8A7">
      <w:pPr>
        <w:pStyle w:val="9"/>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eastAsia="仿宋_GB2312" w:cs="仿宋_GB2312"/>
          <w:color w:val="auto"/>
          <w:sz w:val="32"/>
          <w:szCs w:val="32"/>
          <w:highlight w:val="none"/>
          <w:lang w:eastAsia="zh-CN"/>
        </w:rPr>
        <w:t>六</w:t>
      </w:r>
      <w:r>
        <w:rPr>
          <w:rFonts w:hint="eastAsia" w:ascii="Times New Roman" w:hAnsi="Times New Roman" w:eastAsia="仿宋_GB2312" w:cs="仿宋_GB2312"/>
          <w:color w:val="auto"/>
          <w:sz w:val="32"/>
          <w:szCs w:val="32"/>
          <w:highlight w:val="none"/>
        </w:rPr>
        <w:t>、财政拨款支出决算明细表</w:t>
      </w:r>
      <w:r>
        <w:rPr>
          <w:sz w:val="21"/>
          <w:szCs w:val="21"/>
        </w:rPr>
        <w:tab/>
      </w:r>
      <w:r>
        <w:rPr>
          <w:rFonts w:hint="eastAsia"/>
          <w:sz w:val="21"/>
          <w:szCs w:val="21"/>
          <w:lang w:val="en-US" w:eastAsia="zh-CN"/>
        </w:rPr>
        <w:t>19</w:t>
      </w:r>
    </w:p>
    <w:p w14:paraId="3127D64F">
      <w:pPr>
        <w:pStyle w:val="9"/>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eastAsia="仿宋_GB2312" w:cs="仿宋_GB2312"/>
          <w:color w:val="auto"/>
          <w:sz w:val="32"/>
          <w:szCs w:val="32"/>
          <w:highlight w:val="none"/>
          <w:lang w:eastAsia="zh-CN"/>
        </w:rPr>
        <w:t>七</w:t>
      </w:r>
      <w:r>
        <w:rPr>
          <w:rFonts w:hint="eastAsia" w:ascii="Times New Roman" w:hAnsi="Times New Roman" w:eastAsia="仿宋_GB2312" w:cs="仿宋_GB2312"/>
          <w:color w:val="auto"/>
          <w:sz w:val="32"/>
          <w:szCs w:val="32"/>
          <w:highlight w:val="none"/>
        </w:rPr>
        <w:t>、一般公共预算财政拨款支出决算表</w:t>
      </w:r>
      <w:r>
        <w:rPr>
          <w:sz w:val="21"/>
          <w:szCs w:val="21"/>
        </w:rPr>
        <w:tab/>
      </w:r>
      <w:r>
        <w:rPr>
          <w:rFonts w:hint="eastAsia"/>
          <w:sz w:val="21"/>
          <w:szCs w:val="21"/>
          <w:lang w:val="en-US" w:eastAsia="zh-CN"/>
        </w:rPr>
        <w:t>19</w:t>
      </w:r>
    </w:p>
    <w:p w14:paraId="775CE12E">
      <w:pPr>
        <w:pStyle w:val="9"/>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eastAsia="仿宋_GB2312" w:cs="仿宋_GB2312"/>
          <w:color w:val="auto"/>
          <w:sz w:val="32"/>
          <w:szCs w:val="32"/>
          <w:highlight w:val="none"/>
          <w:lang w:eastAsia="zh-CN"/>
        </w:rPr>
        <w:t>八</w:t>
      </w:r>
      <w:r>
        <w:rPr>
          <w:rFonts w:hint="eastAsia" w:ascii="Times New Roman" w:hAnsi="Times New Roman" w:eastAsia="仿宋_GB2312" w:cs="仿宋_GB2312"/>
          <w:color w:val="auto"/>
          <w:sz w:val="32"/>
          <w:szCs w:val="32"/>
          <w:highlight w:val="none"/>
        </w:rPr>
        <w:t>、一般公共预算财政拨款支出决算明细表</w:t>
      </w:r>
      <w:r>
        <w:rPr>
          <w:sz w:val="21"/>
          <w:szCs w:val="21"/>
        </w:rPr>
        <w:tab/>
      </w:r>
      <w:r>
        <w:rPr>
          <w:rFonts w:hint="eastAsia"/>
          <w:sz w:val="21"/>
          <w:szCs w:val="21"/>
          <w:lang w:val="en-US" w:eastAsia="zh-CN"/>
        </w:rPr>
        <w:t>19</w:t>
      </w:r>
    </w:p>
    <w:p w14:paraId="7EB6347B">
      <w:pPr>
        <w:pStyle w:val="9"/>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eastAsia="仿宋_GB2312" w:cs="仿宋_GB2312"/>
          <w:color w:val="auto"/>
          <w:sz w:val="32"/>
          <w:szCs w:val="32"/>
          <w:highlight w:val="none"/>
          <w:lang w:eastAsia="zh-CN"/>
        </w:rPr>
        <w:t>九</w:t>
      </w:r>
      <w:r>
        <w:rPr>
          <w:rFonts w:hint="eastAsia" w:ascii="Times New Roman" w:hAnsi="Times New Roman" w:eastAsia="仿宋_GB2312" w:cs="仿宋_GB2312"/>
          <w:color w:val="auto"/>
          <w:sz w:val="32"/>
          <w:szCs w:val="32"/>
          <w:highlight w:val="none"/>
        </w:rPr>
        <w:t>、一般公共预算财政拨款基本支出决算</w:t>
      </w:r>
      <w:r>
        <w:rPr>
          <w:rFonts w:hint="eastAsia" w:ascii="Times New Roman" w:hAnsi="Times New Roman" w:eastAsia="仿宋_GB2312" w:cs="仿宋_GB2312"/>
          <w:color w:val="auto"/>
          <w:sz w:val="32"/>
          <w:szCs w:val="32"/>
          <w:highlight w:val="none"/>
          <w:lang w:eastAsia="zh-CN"/>
        </w:rPr>
        <w:t>明细</w:t>
      </w:r>
      <w:r>
        <w:rPr>
          <w:rFonts w:hint="eastAsia" w:ascii="Times New Roman" w:hAnsi="Times New Roman" w:eastAsia="仿宋_GB2312" w:cs="仿宋_GB2312"/>
          <w:color w:val="auto"/>
          <w:sz w:val="32"/>
          <w:szCs w:val="32"/>
          <w:highlight w:val="none"/>
        </w:rPr>
        <w:t>表</w:t>
      </w:r>
      <w:r>
        <w:rPr>
          <w:sz w:val="21"/>
          <w:szCs w:val="21"/>
        </w:rPr>
        <w:tab/>
      </w:r>
      <w:r>
        <w:rPr>
          <w:rFonts w:hint="eastAsia"/>
          <w:sz w:val="21"/>
          <w:szCs w:val="21"/>
          <w:lang w:val="en-US" w:eastAsia="zh-CN"/>
        </w:rPr>
        <w:t>19</w:t>
      </w:r>
    </w:p>
    <w:p w14:paraId="4A6679A3">
      <w:pPr>
        <w:pStyle w:val="9"/>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eastAsia="仿宋_GB2312" w:cs="仿宋_GB2312"/>
          <w:color w:val="auto"/>
          <w:sz w:val="32"/>
          <w:szCs w:val="32"/>
          <w:highlight w:val="none"/>
          <w:lang w:eastAsia="zh-CN"/>
        </w:rPr>
        <w:t>十</w:t>
      </w:r>
      <w:r>
        <w:rPr>
          <w:rFonts w:hint="eastAsia" w:ascii="Times New Roman" w:hAnsi="Times New Roman" w:eastAsia="仿宋_GB2312" w:cs="仿宋_GB2312"/>
          <w:color w:val="auto"/>
          <w:sz w:val="32"/>
          <w:szCs w:val="32"/>
          <w:highlight w:val="none"/>
        </w:rPr>
        <w:t>、一般公共预算财政拨款项目支出决算表</w:t>
      </w:r>
      <w:r>
        <w:rPr>
          <w:sz w:val="21"/>
          <w:szCs w:val="21"/>
        </w:rPr>
        <w:tab/>
      </w:r>
      <w:r>
        <w:rPr>
          <w:rFonts w:hint="eastAsia"/>
          <w:sz w:val="21"/>
          <w:szCs w:val="21"/>
          <w:lang w:val="en-US" w:eastAsia="zh-CN"/>
        </w:rPr>
        <w:t>19</w:t>
      </w:r>
    </w:p>
    <w:p w14:paraId="3E4899F4">
      <w:pPr>
        <w:pStyle w:val="9"/>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eastAsia="仿宋_GB2312" w:cs="仿宋_GB2312"/>
          <w:color w:val="auto"/>
          <w:sz w:val="32"/>
          <w:szCs w:val="32"/>
          <w:highlight w:val="none"/>
          <w:lang w:eastAsia="zh-CN"/>
        </w:rPr>
        <w:t>十一</w:t>
      </w:r>
      <w:r>
        <w:rPr>
          <w:rFonts w:hint="eastAsia" w:ascii="Times New Roman" w:hAnsi="Times New Roman" w:eastAsia="仿宋_GB2312" w:cs="仿宋_GB2312"/>
          <w:color w:val="auto"/>
          <w:sz w:val="32"/>
          <w:szCs w:val="32"/>
          <w:highlight w:val="none"/>
        </w:rPr>
        <w:t>、政府性基金预算财政拨款收入支出决算表</w:t>
      </w:r>
      <w:r>
        <w:rPr>
          <w:sz w:val="21"/>
          <w:szCs w:val="21"/>
        </w:rPr>
        <w:tab/>
      </w:r>
      <w:r>
        <w:rPr>
          <w:rFonts w:hint="eastAsia"/>
          <w:sz w:val="21"/>
          <w:szCs w:val="21"/>
          <w:lang w:val="en-US" w:eastAsia="zh-CN"/>
        </w:rPr>
        <w:t>19</w:t>
      </w:r>
    </w:p>
    <w:p w14:paraId="2B2500B8">
      <w:pPr>
        <w:pStyle w:val="9"/>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eastAsia="仿宋_GB2312" w:cs="仿宋_GB2312"/>
          <w:color w:val="auto"/>
          <w:sz w:val="32"/>
          <w:szCs w:val="32"/>
          <w:highlight w:val="none"/>
          <w:lang w:eastAsia="zh-CN"/>
        </w:rPr>
        <w:t>十二</w:t>
      </w:r>
      <w:r>
        <w:rPr>
          <w:rFonts w:hint="eastAsia" w:ascii="Times New Roman" w:hAnsi="Times New Roman" w:eastAsia="仿宋_GB2312" w:cs="仿宋_GB2312"/>
          <w:color w:val="auto"/>
          <w:sz w:val="32"/>
          <w:szCs w:val="32"/>
          <w:highlight w:val="none"/>
        </w:rPr>
        <w:t>、国有资本经营预算财政拨款收入支出决算表</w:t>
      </w:r>
      <w:r>
        <w:rPr>
          <w:sz w:val="21"/>
          <w:szCs w:val="21"/>
        </w:rPr>
        <w:tab/>
      </w:r>
      <w:r>
        <w:rPr>
          <w:rFonts w:hint="eastAsia"/>
          <w:sz w:val="21"/>
          <w:szCs w:val="21"/>
          <w:lang w:val="en-US" w:eastAsia="zh-CN"/>
        </w:rPr>
        <w:t>19</w:t>
      </w:r>
    </w:p>
    <w:p w14:paraId="207E18C9">
      <w:pPr>
        <w:pStyle w:val="9"/>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sz w:val="21"/>
          <w:szCs w:val="21"/>
          <w:lang w:val="en-US" w:eastAsia="zh-CN"/>
        </w:rPr>
      </w:pPr>
      <w:r>
        <w:rPr>
          <w:rFonts w:hint="eastAsia" w:eastAsia="仿宋_GB2312" w:cs="仿宋_GB2312"/>
          <w:color w:val="auto"/>
          <w:sz w:val="32"/>
          <w:szCs w:val="32"/>
          <w:highlight w:val="none"/>
          <w:lang w:eastAsia="zh-CN"/>
        </w:rPr>
        <w:t>十三</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val="en-US" w:eastAsia="zh-CN"/>
        </w:rPr>
        <w:t>国有资本经营预算财政拨款支出决算表</w:t>
      </w:r>
      <w:r>
        <w:rPr>
          <w:sz w:val="21"/>
          <w:szCs w:val="21"/>
        </w:rPr>
        <w:tab/>
      </w:r>
      <w:r>
        <w:rPr>
          <w:rFonts w:hint="eastAsia"/>
          <w:sz w:val="21"/>
          <w:szCs w:val="21"/>
          <w:lang w:val="en-US" w:eastAsia="zh-CN"/>
        </w:rPr>
        <w:t>19</w:t>
      </w:r>
    </w:p>
    <w:p w14:paraId="275D8000">
      <w:pPr>
        <w:pStyle w:val="9"/>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sz w:val="21"/>
          <w:szCs w:val="21"/>
          <w:lang w:val="en-US" w:eastAsia="zh-CN"/>
        </w:rPr>
      </w:pPr>
      <w:r>
        <w:rPr>
          <w:rFonts w:hint="eastAsia" w:ascii="Times New Roman" w:hAnsi="Times New Roman" w:eastAsia="仿宋_GB2312" w:cs="仿宋_GB2312"/>
          <w:color w:val="auto"/>
          <w:sz w:val="32"/>
          <w:szCs w:val="32"/>
          <w:highlight w:val="none"/>
        </w:rPr>
        <w:t>十</w:t>
      </w:r>
      <w:r>
        <w:rPr>
          <w:rFonts w:hint="eastAsia" w:eastAsia="仿宋_GB2312" w:cs="仿宋_GB2312"/>
          <w:color w:val="auto"/>
          <w:sz w:val="32"/>
          <w:szCs w:val="32"/>
          <w:highlight w:val="none"/>
          <w:lang w:eastAsia="zh-CN"/>
        </w:rPr>
        <w:t>四</w:t>
      </w:r>
      <w:r>
        <w:rPr>
          <w:rFonts w:hint="eastAsia" w:ascii="Times New Roman" w:hAnsi="Times New Roman" w:eastAsia="仿宋_GB2312" w:cs="仿宋_GB2312"/>
          <w:color w:val="auto"/>
          <w:sz w:val="32"/>
          <w:szCs w:val="32"/>
          <w:highlight w:val="none"/>
        </w:rPr>
        <w:t>、财政拨款“三公”经费支出决算</w:t>
      </w:r>
      <w:r>
        <w:rPr>
          <w:sz w:val="21"/>
          <w:szCs w:val="21"/>
        </w:rPr>
        <w:tab/>
      </w:r>
      <w:r>
        <w:rPr>
          <w:rFonts w:hint="eastAsia"/>
          <w:sz w:val="21"/>
          <w:szCs w:val="21"/>
          <w:lang w:val="en-US" w:eastAsia="zh-CN"/>
        </w:rPr>
        <w:t>19</w:t>
      </w:r>
    </w:p>
    <w:p w14:paraId="30E93267">
      <w:pPr>
        <w:bidi w:val="0"/>
        <w:rPr>
          <w:rFonts w:hint="default"/>
          <w:lang w:val="en-US"/>
        </w:rPr>
      </w:pPr>
    </w:p>
    <w:p w14:paraId="414C3D9F">
      <w:pPr>
        <w:bidi w:val="0"/>
        <w:rPr>
          <w:rFonts w:hint="default"/>
          <w:lang w:val="en-US"/>
        </w:rPr>
      </w:pPr>
    </w:p>
    <w:p w14:paraId="6AB9AFAF">
      <w:pPr>
        <w:bidi w:val="0"/>
        <w:rPr>
          <w:rFonts w:hint="default"/>
          <w:lang w:val="en-US"/>
        </w:rPr>
      </w:pPr>
    </w:p>
    <w:p w14:paraId="19F4A2D2">
      <w:pPr>
        <w:bidi w:val="0"/>
        <w:rPr>
          <w:rFonts w:hint="default"/>
          <w:lang w:val="en-US"/>
        </w:rPr>
      </w:pPr>
    </w:p>
    <w:p w14:paraId="40E61DDE">
      <w:pPr>
        <w:bidi w:val="0"/>
        <w:rPr>
          <w:rFonts w:hint="default"/>
          <w:lang w:val="en-US"/>
        </w:rPr>
      </w:pPr>
    </w:p>
    <w:p w14:paraId="52026E4F">
      <w:pPr>
        <w:bidi w:val="0"/>
        <w:rPr>
          <w:rFonts w:hint="default"/>
          <w:lang w:val="en-US"/>
        </w:rPr>
      </w:pPr>
    </w:p>
    <w:p w14:paraId="74B819F3">
      <w:pPr>
        <w:bidi w:val="0"/>
        <w:rPr>
          <w:rFonts w:hint="default"/>
          <w:lang w:val="en-US"/>
        </w:rPr>
      </w:pPr>
    </w:p>
    <w:p w14:paraId="465A18CD">
      <w:pPr>
        <w:bidi w:val="0"/>
        <w:rPr>
          <w:rFonts w:hint="default"/>
          <w:lang w:val="en-US"/>
        </w:rPr>
      </w:pPr>
    </w:p>
    <w:p w14:paraId="617BD55A">
      <w:pPr>
        <w:bidi w:val="0"/>
        <w:rPr>
          <w:rFonts w:hint="default"/>
          <w:lang w:val="en-US"/>
        </w:rPr>
      </w:pPr>
    </w:p>
    <w:p w14:paraId="0520D1C1">
      <w:pPr>
        <w:bidi w:val="0"/>
        <w:rPr>
          <w:rFonts w:hint="default"/>
          <w:lang w:val="en-US"/>
        </w:rPr>
      </w:pPr>
    </w:p>
    <w:p w14:paraId="12170285">
      <w:pPr>
        <w:bidi w:val="0"/>
        <w:rPr>
          <w:rFonts w:hint="default"/>
          <w:lang w:val="en-US"/>
        </w:rPr>
      </w:pPr>
    </w:p>
    <w:p w14:paraId="371F35A8">
      <w:pPr>
        <w:bidi w:val="0"/>
        <w:rPr>
          <w:rFonts w:hint="default"/>
          <w:lang w:val="en-US"/>
        </w:rPr>
      </w:pPr>
    </w:p>
    <w:p w14:paraId="37C95F75">
      <w:pPr>
        <w:bidi w:val="0"/>
        <w:jc w:val="left"/>
        <w:rPr>
          <w:rFonts w:hint="default"/>
          <w:lang w:val="en-US"/>
        </w:rPr>
        <w:sectPr>
          <w:headerReference r:id="rId3" w:type="default"/>
          <w:pgSz w:w="11906" w:h="16838"/>
          <w:pgMar w:top="2098" w:right="1474" w:bottom="1984" w:left="1587" w:header="851" w:footer="992" w:gutter="0"/>
          <w:pgNumType w:fmt="numberInDash"/>
          <w:cols w:space="720" w:num="1"/>
          <w:docGrid w:type="lines" w:linePitch="435" w:charSpace="0"/>
        </w:sectPr>
      </w:pPr>
    </w:p>
    <w:p w14:paraId="08211A80">
      <w:pPr>
        <w:pStyle w:val="3"/>
        <w:suppressAutoHyphens/>
        <w:bidi w:val="0"/>
        <w:jc w:val="center"/>
        <w:rPr>
          <w:rStyle w:val="13"/>
          <w:rFonts w:hint="eastAsia" w:ascii="Times New Roman" w:hAnsi="Times New Roman" w:eastAsia="方正小标宋简体" w:cs="方正小标宋简体"/>
          <w:b w:val="0"/>
          <w:bCs w:val="0"/>
          <w:color w:val="auto"/>
          <w:highlight w:val="none"/>
        </w:rPr>
      </w:pPr>
      <w:r>
        <w:rPr>
          <w:rStyle w:val="13"/>
          <w:rFonts w:hint="eastAsia" w:ascii="Times New Roman" w:hAnsi="Times New Roman" w:eastAsia="方正小标宋简体" w:cs="方正小标宋简体"/>
          <w:b w:val="0"/>
          <w:bCs w:val="0"/>
          <w:color w:val="auto"/>
          <w:highlight w:val="none"/>
        </w:rPr>
        <w:t xml:space="preserve">第一部分 </w:t>
      </w:r>
      <w:r>
        <w:rPr>
          <w:rStyle w:val="13"/>
          <w:rFonts w:hint="eastAsia" w:ascii="Times New Roman" w:hAnsi="Times New Roman" w:eastAsia="方正小标宋简体" w:cs="方正小标宋简体"/>
          <w:b w:val="0"/>
          <w:bCs w:val="0"/>
          <w:color w:val="auto"/>
          <w:highlight w:val="none"/>
          <w:lang w:eastAsia="zh-CN"/>
        </w:rPr>
        <w:t>单位</w:t>
      </w:r>
      <w:r>
        <w:rPr>
          <w:rStyle w:val="13"/>
          <w:rFonts w:hint="eastAsia" w:ascii="Times New Roman" w:hAnsi="Times New Roman" w:eastAsia="方正小标宋简体" w:cs="方正小标宋简体"/>
          <w:b w:val="0"/>
          <w:bCs w:val="0"/>
          <w:color w:val="auto"/>
          <w:highlight w:val="none"/>
        </w:rPr>
        <w:t>概况</w:t>
      </w:r>
    </w:p>
    <w:p w14:paraId="4ECD4C1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Style w:val="12"/>
          <w:rFonts w:hint="eastAsia" w:ascii="黑体" w:hAnsi="黑体" w:eastAsia="黑体" w:cs="黑体"/>
          <w:b w:val="0"/>
          <w:bCs/>
          <w:color w:val="000000"/>
          <w:sz w:val="32"/>
          <w:szCs w:val="32"/>
          <w:lang w:val="en-US" w:eastAsia="zh-CN"/>
        </w:rPr>
      </w:pPr>
      <w:r>
        <w:rPr>
          <w:rStyle w:val="12"/>
          <w:rFonts w:hint="eastAsia" w:ascii="黑体" w:hAnsi="黑体" w:eastAsia="黑体" w:cs="黑体"/>
          <w:b w:val="0"/>
          <w:bCs/>
          <w:color w:val="000000"/>
          <w:sz w:val="32"/>
          <w:szCs w:val="32"/>
          <w:lang w:val="en-US" w:eastAsia="zh-CN"/>
        </w:rPr>
        <w:t>一、主要</w:t>
      </w:r>
      <w:bookmarkStart w:id="4" w:name="_GoBack"/>
      <w:bookmarkEnd w:id="4"/>
      <w:r>
        <w:rPr>
          <w:rStyle w:val="12"/>
          <w:rFonts w:hint="eastAsia" w:ascii="黑体" w:hAnsi="黑体" w:eastAsia="黑体" w:cs="黑体"/>
          <w:b w:val="0"/>
          <w:bCs/>
          <w:color w:val="000000"/>
          <w:sz w:val="32"/>
          <w:szCs w:val="32"/>
          <w:lang w:val="en-US" w:eastAsia="zh-CN"/>
        </w:rPr>
        <w:t>职责</w:t>
      </w:r>
    </w:p>
    <w:p w14:paraId="522F5BA7">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Style w:val="12"/>
          <w:rFonts w:hint="eastAsia" w:ascii="仿宋_GB2312" w:eastAsia="仿宋_GB2312" w:cs="Times New Roman" w:hAnsiTheme="minorHAnsi"/>
          <w:b w:val="0"/>
          <w:bCs/>
          <w:color w:val="000000"/>
          <w:kern w:val="2"/>
          <w:sz w:val="32"/>
          <w:szCs w:val="32"/>
          <w:lang w:val="zh-CN" w:eastAsia="zh-CN" w:bidi="ar-SA"/>
        </w:rPr>
      </w:pPr>
      <w:r>
        <w:rPr>
          <w:rStyle w:val="12"/>
          <w:rFonts w:hint="eastAsia" w:ascii="仿宋_GB2312" w:eastAsia="仿宋_GB2312" w:cs="Times New Roman" w:hAnsiTheme="minorHAnsi"/>
          <w:b w:val="0"/>
          <w:bCs/>
          <w:color w:val="000000"/>
          <w:kern w:val="2"/>
          <w:sz w:val="32"/>
          <w:szCs w:val="32"/>
          <w:lang w:val="zh-CN" w:eastAsia="zh-CN" w:bidi="ar-SA"/>
        </w:rPr>
        <w:t>1.贯彻执行国家、省、州、县的有关方针、政策、法律法规，执行州委、州政府、县委、县政府的决定和指示，依法制定园区经济管理规范性文件，检查督促园区内各企业贯彻执行；制定工业园区有关行政管理制度并监督执行。</w:t>
      </w:r>
    </w:p>
    <w:p w14:paraId="112B7415">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Style w:val="12"/>
          <w:rFonts w:hint="eastAsia" w:ascii="仿宋_GB2312" w:eastAsia="仿宋_GB2312" w:cs="Times New Roman" w:hAnsiTheme="minorHAnsi"/>
          <w:b w:val="0"/>
          <w:bCs/>
          <w:color w:val="000000"/>
          <w:kern w:val="2"/>
          <w:sz w:val="32"/>
          <w:szCs w:val="32"/>
          <w:lang w:val="en-US" w:eastAsia="zh-CN" w:bidi="ar-SA"/>
        </w:rPr>
      </w:pPr>
      <w:r>
        <w:rPr>
          <w:rStyle w:val="12"/>
          <w:rFonts w:hint="eastAsia" w:ascii="仿宋_GB2312" w:eastAsia="仿宋_GB2312" w:cs="Times New Roman" w:hAnsiTheme="minorHAnsi"/>
          <w:b w:val="0"/>
          <w:bCs/>
          <w:color w:val="000000"/>
          <w:kern w:val="2"/>
          <w:sz w:val="32"/>
          <w:szCs w:val="32"/>
          <w:lang w:val="en-US" w:eastAsia="zh-CN" w:bidi="ar-SA"/>
        </w:rPr>
        <w:t>2. 按照现代工业发展的要求，编制园区发展总体规划、园区控制性详细规划、产业发展规划、经济目标规划、区域环评、水土保持、行洪论证、林地征占等报告并组织实施。</w:t>
      </w:r>
    </w:p>
    <w:p w14:paraId="4DE15C70">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Style w:val="12"/>
          <w:rFonts w:hint="eastAsia" w:ascii="仿宋_GB2312" w:eastAsia="仿宋_GB2312" w:cs="Times New Roman" w:hAnsiTheme="minorHAnsi"/>
          <w:b w:val="0"/>
          <w:bCs/>
          <w:color w:val="000000"/>
          <w:kern w:val="2"/>
          <w:sz w:val="32"/>
          <w:szCs w:val="32"/>
          <w:lang w:val="en-US" w:eastAsia="zh-CN" w:bidi="ar-SA"/>
        </w:rPr>
      </w:pPr>
      <w:r>
        <w:rPr>
          <w:rStyle w:val="12"/>
          <w:rFonts w:hint="eastAsia" w:ascii="仿宋_GB2312" w:eastAsia="仿宋_GB2312" w:cs="Times New Roman" w:hAnsiTheme="minorHAnsi"/>
          <w:b w:val="0"/>
          <w:bCs/>
          <w:color w:val="000000"/>
          <w:kern w:val="2"/>
          <w:sz w:val="32"/>
          <w:szCs w:val="32"/>
          <w:lang w:val="en-US" w:eastAsia="zh-CN" w:bidi="ar-SA"/>
        </w:rPr>
        <w:t>3.负责园区内土地的统一开发，规划、建设和管理园区内的基础设施和公共设施。</w:t>
      </w:r>
    </w:p>
    <w:p w14:paraId="39407460">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Style w:val="12"/>
          <w:rFonts w:hint="eastAsia" w:ascii="仿宋_GB2312" w:eastAsia="仿宋_GB2312" w:cs="Times New Roman" w:hAnsiTheme="minorHAnsi"/>
          <w:b w:val="0"/>
          <w:bCs/>
          <w:color w:val="000000"/>
          <w:kern w:val="2"/>
          <w:sz w:val="32"/>
          <w:szCs w:val="32"/>
          <w:lang w:val="en-US" w:eastAsia="zh-CN" w:bidi="ar-SA"/>
        </w:rPr>
      </w:pPr>
      <w:r>
        <w:rPr>
          <w:rStyle w:val="12"/>
          <w:rFonts w:hint="eastAsia" w:ascii="仿宋_GB2312" w:eastAsia="仿宋_GB2312" w:cs="Times New Roman" w:hAnsiTheme="minorHAnsi"/>
          <w:b w:val="0"/>
          <w:bCs/>
          <w:color w:val="000000"/>
          <w:kern w:val="2"/>
          <w:sz w:val="32"/>
          <w:szCs w:val="32"/>
          <w:lang w:val="en-US" w:eastAsia="zh-CN" w:bidi="ar-SA"/>
        </w:rPr>
        <w:t>4.配合县相关职能部门开展园区建设用地的实物量调查、土地征用、农户拆迁、土地价款的收支等工作。</w:t>
      </w:r>
    </w:p>
    <w:p w14:paraId="660781AA">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Style w:val="12"/>
          <w:rFonts w:hint="eastAsia" w:ascii="仿宋_GB2312" w:eastAsia="仿宋_GB2312" w:cs="Times New Roman" w:hAnsiTheme="minorHAnsi"/>
          <w:b w:val="0"/>
          <w:bCs/>
          <w:color w:val="000000"/>
          <w:kern w:val="2"/>
          <w:sz w:val="32"/>
          <w:szCs w:val="32"/>
          <w:lang w:val="en-US" w:eastAsia="zh-CN" w:bidi="ar-SA"/>
        </w:rPr>
      </w:pPr>
      <w:r>
        <w:rPr>
          <w:rStyle w:val="12"/>
          <w:rFonts w:hint="eastAsia" w:ascii="仿宋_GB2312" w:eastAsia="仿宋_GB2312" w:cs="Times New Roman" w:hAnsiTheme="minorHAnsi"/>
          <w:b w:val="0"/>
          <w:bCs/>
          <w:color w:val="000000"/>
          <w:kern w:val="2"/>
          <w:sz w:val="32"/>
          <w:szCs w:val="32"/>
          <w:lang w:val="en-US" w:eastAsia="zh-CN" w:bidi="ar-SA"/>
        </w:rPr>
        <w:t>5.坚持正确的产业导向，严格遵守国家制定的企业准入条件。对拟投资项目进行调研、论证、评估等相关工作，提出投资项目的可行性报告；做好招商引资、项目初审、合同签订等工作。</w:t>
      </w:r>
    </w:p>
    <w:p w14:paraId="70DCDCF6">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Style w:val="12"/>
          <w:rFonts w:hint="eastAsia" w:ascii="仿宋_GB2312" w:eastAsia="仿宋_GB2312" w:cs="Times New Roman" w:hAnsiTheme="minorHAnsi"/>
          <w:b w:val="0"/>
          <w:bCs/>
          <w:color w:val="000000"/>
          <w:kern w:val="2"/>
          <w:sz w:val="32"/>
          <w:szCs w:val="32"/>
          <w:lang w:val="en-US" w:eastAsia="zh-CN" w:bidi="ar-SA"/>
        </w:rPr>
      </w:pPr>
      <w:r>
        <w:rPr>
          <w:rStyle w:val="12"/>
          <w:rFonts w:hint="eastAsia" w:ascii="仿宋_GB2312" w:eastAsia="仿宋_GB2312" w:cs="Times New Roman" w:hAnsiTheme="minorHAnsi"/>
          <w:b w:val="0"/>
          <w:bCs/>
          <w:color w:val="000000"/>
          <w:kern w:val="2"/>
          <w:sz w:val="32"/>
          <w:szCs w:val="32"/>
          <w:lang w:val="en-US" w:eastAsia="zh-CN" w:bidi="ar-SA"/>
        </w:rPr>
        <w:t>6.统筹安排和管理园区的投资项目，负责企业入园的评估、选址工作；为企业用地、办证、项目备案、厂房建设、生产生活提供咨询、服务和协调。</w:t>
      </w:r>
    </w:p>
    <w:p w14:paraId="2EF8136E">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Style w:val="12"/>
          <w:rFonts w:hint="eastAsia" w:ascii="仿宋_GB2312" w:eastAsia="仿宋_GB2312" w:cs="Times New Roman" w:hAnsiTheme="minorHAnsi"/>
          <w:b w:val="0"/>
          <w:bCs/>
          <w:color w:val="000000"/>
          <w:kern w:val="2"/>
          <w:sz w:val="32"/>
          <w:szCs w:val="32"/>
          <w:lang w:val="en-US" w:eastAsia="zh-CN" w:bidi="ar-SA"/>
        </w:rPr>
      </w:pPr>
      <w:r>
        <w:rPr>
          <w:rStyle w:val="12"/>
          <w:rFonts w:hint="eastAsia" w:ascii="仿宋_GB2312" w:eastAsia="仿宋_GB2312" w:cs="Times New Roman" w:hAnsiTheme="minorHAnsi"/>
          <w:b w:val="0"/>
          <w:bCs/>
          <w:color w:val="000000"/>
          <w:kern w:val="2"/>
          <w:sz w:val="32"/>
          <w:szCs w:val="32"/>
          <w:lang w:val="en-US" w:eastAsia="zh-CN" w:bidi="ar-SA"/>
        </w:rPr>
        <w:t>7.贯彻落实州、县政府赋予园区的各项优惠政策，监督建设项目的实施。</w:t>
      </w:r>
    </w:p>
    <w:p w14:paraId="6EFB6E29">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Style w:val="12"/>
          <w:rFonts w:hint="eastAsia" w:ascii="仿宋_GB2312" w:eastAsia="仿宋_GB2312" w:cs="Times New Roman" w:hAnsiTheme="minorHAnsi"/>
          <w:b w:val="0"/>
          <w:bCs/>
          <w:color w:val="000000"/>
          <w:kern w:val="2"/>
          <w:sz w:val="32"/>
          <w:szCs w:val="32"/>
          <w:lang w:val="en-US" w:eastAsia="zh-CN" w:bidi="ar-SA"/>
        </w:rPr>
      </w:pPr>
      <w:r>
        <w:rPr>
          <w:rStyle w:val="12"/>
          <w:rFonts w:hint="eastAsia" w:ascii="仿宋_GB2312" w:eastAsia="仿宋_GB2312" w:cs="Times New Roman" w:hAnsiTheme="minorHAnsi"/>
          <w:b w:val="0"/>
          <w:bCs/>
          <w:color w:val="000000"/>
          <w:kern w:val="2"/>
          <w:sz w:val="32"/>
          <w:szCs w:val="32"/>
          <w:lang w:val="en-US" w:eastAsia="zh-CN" w:bidi="ar-SA"/>
        </w:rPr>
        <w:t>8.配合有关部门做好安全生产、环境保护等工作；会同人力资源和社会保障部门协助企业做好人员招聘、培训和社会保障工作；配合税务、工商、财政部门做好税费征管等工作。</w:t>
      </w:r>
    </w:p>
    <w:p w14:paraId="2309D08D">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Style w:val="12"/>
          <w:rFonts w:hint="eastAsia" w:ascii="仿宋_GB2312" w:eastAsia="仿宋_GB2312" w:cs="Times New Roman" w:hAnsiTheme="minorHAnsi"/>
          <w:b w:val="0"/>
          <w:bCs/>
          <w:color w:val="000000"/>
          <w:kern w:val="2"/>
          <w:sz w:val="32"/>
          <w:szCs w:val="32"/>
          <w:lang w:val="en-US" w:eastAsia="zh-CN" w:bidi="ar-SA"/>
        </w:rPr>
      </w:pPr>
      <w:r>
        <w:rPr>
          <w:rStyle w:val="12"/>
          <w:rFonts w:hint="eastAsia" w:ascii="仿宋_GB2312" w:eastAsia="仿宋_GB2312" w:cs="Times New Roman" w:hAnsiTheme="minorHAnsi"/>
          <w:b w:val="0"/>
          <w:bCs/>
          <w:color w:val="000000"/>
          <w:kern w:val="2"/>
          <w:sz w:val="32"/>
          <w:szCs w:val="32"/>
          <w:lang w:val="en-US" w:eastAsia="zh-CN" w:bidi="ar-SA"/>
        </w:rPr>
        <w:t>9.贯彻执行国家、省、州、县关于政府投融资管理的政策，构建投融资平台，为企业融资提供方便，促进园区产业又好又快发展。</w:t>
      </w:r>
    </w:p>
    <w:p w14:paraId="471DDB9D">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Style w:val="12"/>
          <w:rFonts w:hint="eastAsia" w:ascii="仿宋_GB2312" w:eastAsia="仿宋_GB2312" w:cs="Times New Roman" w:hAnsiTheme="minorHAnsi"/>
          <w:b w:val="0"/>
          <w:bCs/>
          <w:color w:val="000000"/>
          <w:kern w:val="2"/>
          <w:sz w:val="32"/>
          <w:szCs w:val="32"/>
          <w:lang w:val="en-US" w:eastAsia="zh-CN" w:bidi="ar-SA"/>
        </w:rPr>
      </w:pPr>
      <w:r>
        <w:rPr>
          <w:rStyle w:val="12"/>
          <w:rFonts w:hint="eastAsia" w:ascii="仿宋_GB2312" w:eastAsia="仿宋_GB2312" w:cs="Times New Roman" w:hAnsiTheme="minorHAnsi"/>
          <w:b w:val="0"/>
          <w:bCs/>
          <w:color w:val="000000"/>
          <w:kern w:val="2"/>
          <w:sz w:val="32"/>
          <w:szCs w:val="32"/>
          <w:lang w:val="en-US" w:eastAsia="zh-CN" w:bidi="ar-SA"/>
        </w:rPr>
        <w:t>10.承办县委、县政府交办的其他工作。</w:t>
      </w:r>
    </w:p>
    <w:p w14:paraId="4C00533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Style w:val="12"/>
          <w:rFonts w:hint="eastAsia" w:ascii="黑体" w:hAnsi="黑体" w:eastAsia="黑体" w:cs="黑体"/>
          <w:b w:val="0"/>
          <w:bCs/>
          <w:color w:val="000000"/>
          <w:sz w:val="32"/>
          <w:szCs w:val="32"/>
          <w:lang w:val="en-US" w:eastAsia="zh-CN"/>
        </w:rPr>
      </w:pPr>
      <w:r>
        <w:rPr>
          <w:rStyle w:val="12"/>
          <w:rFonts w:hint="eastAsia" w:ascii="黑体" w:hAnsi="黑体" w:eastAsia="黑体" w:cs="黑体"/>
          <w:b w:val="0"/>
          <w:bCs/>
          <w:color w:val="000000"/>
          <w:sz w:val="32"/>
          <w:szCs w:val="32"/>
          <w:lang w:val="en-US" w:eastAsia="zh-CN"/>
        </w:rPr>
        <w:t>二、机构设置</w:t>
      </w:r>
    </w:p>
    <w:p w14:paraId="5AB6671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Style w:val="12"/>
          <w:rFonts w:hint="eastAsia" w:ascii="仿宋_GB2312" w:eastAsia="仿宋_GB2312" w:cs="Times New Roman" w:hAnsiTheme="minorHAnsi"/>
          <w:b w:val="0"/>
          <w:bCs/>
          <w:color w:val="000000"/>
          <w:sz w:val="32"/>
          <w:szCs w:val="32"/>
          <w:lang w:val="en-US" w:eastAsia="zh-CN"/>
        </w:rPr>
      </w:pPr>
      <w:r>
        <w:rPr>
          <w:rStyle w:val="12"/>
          <w:rFonts w:hint="eastAsia" w:ascii="仿宋_GB2312" w:eastAsia="仿宋_GB2312" w:cs="Times New Roman" w:hAnsiTheme="minorHAnsi"/>
          <w:b w:val="0"/>
          <w:bCs/>
          <w:color w:val="000000"/>
          <w:sz w:val="32"/>
          <w:szCs w:val="32"/>
          <w:lang w:val="en-US" w:eastAsia="zh-CN"/>
        </w:rPr>
        <w:t>茂县工业服务中心下属二级预算单位0个，其中行政单位0个，参照公务员法管理的事业单位0个，其他事业单位0个。</w:t>
      </w:r>
    </w:p>
    <w:p w14:paraId="1891C20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Style w:val="12"/>
          <w:rFonts w:hint="eastAsia" w:ascii="仿宋_GB2312" w:hAnsi="Calibri" w:eastAsia="仿宋_GB2312" w:cs="Times New Roman"/>
          <w:b w:val="0"/>
          <w:bCs/>
          <w:color w:val="000000"/>
          <w:sz w:val="32"/>
          <w:szCs w:val="32"/>
          <w:lang w:val="en-US" w:eastAsia="zh-CN"/>
        </w:rPr>
      </w:pPr>
      <w:r>
        <w:rPr>
          <w:rStyle w:val="12"/>
          <w:rFonts w:hint="eastAsia" w:ascii="仿宋_GB2312" w:hAnsi="Calibri" w:eastAsia="仿宋_GB2312" w:cs="Times New Roman"/>
          <w:b w:val="0"/>
          <w:bCs/>
          <w:color w:val="000000"/>
          <w:sz w:val="32"/>
          <w:szCs w:val="32"/>
          <w:lang w:val="en-US" w:eastAsia="zh-CN"/>
        </w:rPr>
        <w:br w:type="page"/>
      </w:r>
    </w:p>
    <w:p w14:paraId="64BA3090">
      <w:pPr>
        <w:pStyle w:val="3"/>
        <w:suppressAutoHyphens/>
        <w:bidi w:val="0"/>
        <w:ind w:firstLine="440" w:firstLineChars="100"/>
        <w:jc w:val="both"/>
        <w:rPr>
          <w:rFonts w:hint="eastAsia" w:ascii="Times New Roman" w:hAnsi="Times New Roman" w:eastAsia="方正小标宋简体" w:cs="方正小标宋简体"/>
          <w:b w:val="0"/>
          <w:color w:val="auto"/>
          <w:highlight w:val="none"/>
          <w:lang w:val="en-US" w:eastAsia="zh-CN"/>
        </w:rPr>
      </w:pPr>
      <w:r>
        <w:rPr>
          <w:rFonts w:hint="eastAsia" w:ascii="Times New Roman" w:hAnsi="Times New Roman" w:eastAsia="方正小标宋简体" w:cs="方正小标宋简体"/>
          <w:b w:val="0"/>
          <w:color w:val="auto"/>
          <w:highlight w:val="none"/>
          <w:lang w:val="en-US" w:eastAsia="zh-CN"/>
        </w:rPr>
        <w:t>第二部分 2025年度单位决算情况说明</w:t>
      </w:r>
    </w:p>
    <w:p w14:paraId="2B065F7E">
      <w:pPr>
        <w:rPr>
          <w:color w:val="auto"/>
          <w:highlight w:val="none"/>
        </w:rPr>
      </w:pPr>
    </w:p>
    <w:p w14:paraId="5BB9E5A3">
      <w:pPr>
        <w:pStyle w:val="15"/>
        <w:numPr>
          <w:ilvl w:val="0"/>
          <w:numId w:val="0"/>
        </w:numPr>
        <w:spacing w:line="600" w:lineRule="exact"/>
        <w:ind w:left="640" w:leftChars="0"/>
        <w:outlineLvl w:val="1"/>
        <w:rPr>
          <w:rStyle w:val="14"/>
          <w:rFonts w:ascii="黑体" w:hAnsi="黑体" w:eastAsia="黑体"/>
          <w:b w:val="0"/>
          <w:color w:val="auto"/>
          <w:highlight w:val="none"/>
        </w:rPr>
      </w:pPr>
      <w:r>
        <w:rPr>
          <w:rFonts w:hint="eastAsia" w:ascii="黑体" w:hAnsi="黑体" w:eastAsia="黑体"/>
          <w:color w:val="auto"/>
          <w:sz w:val="32"/>
          <w:szCs w:val="32"/>
          <w:highlight w:val="none"/>
          <w:lang w:eastAsia="zh-CN"/>
        </w:rPr>
        <w:t>一、</w:t>
      </w:r>
      <w:r>
        <w:rPr>
          <w:rFonts w:hint="eastAsia" w:ascii="黑体" w:hAnsi="黑体" w:eastAsia="黑体"/>
          <w:color w:val="auto"/>
          <w:sz w:val="32"/>
          <w:szCs w:val="32"/>
          <w:highlight w:val="none"/>
        </w:rPr>
        <w:t>收</w:t>
      </w:r>
      <w:r>
        <w:rPr>
          <w:rStyle w:val="14"/>
          <w:rFonts w:hint="eastAsia" w:ascii="黑体" w:hAnsi="黑体" w:eastAsia="黑体"/>
          <w:b w:val="0"/>
          <w:color w:val="auto"/>
          <w:highlight w:val="none"/>
        </w:rPr>
        <w:t>入支出决算总体情况说明</w:t>
      </w:r>
    </w:p>
    <w:p w14:paraId="7756A75C">
      <w:pPr>
        <w:keepNext w:val="0"/>
        <w:keepLines w:val="0"/>
        <w:pageBreakBefore w:val="0"/>
        <w:widowControl w:val="0"/>
        <w:kinsoku/>
        <w:wordWrap/>
        <w:overflowPunct/>
        <w:topLinePunct w:val="0"/>
        <w:autoSpaceDE/>
        <w:autoSpaceDN/>
        <w:bidi w:val="0"/>
        <w:adjustRightInd/>
        <w:snapToGrid/>
        <w:spacing w:afterAutospacing="0" w:line="560" w:lineRule="exact"/>
        <w:ind w:firstLine="640" w:firstLineChars="200"/>
        <w:textAlignment w:val="auto"/>
        <w:rPr>
          <w:rStyle w:val="12"/>
          <w:rFonts w:hint="eastAsia" w:ascii="仿宋_GB2312" w:eastAsia="仿宋_GB2312" w:cs="Times New Roman"/>
          <w:b w:val="0"/>
          <w:bCs/>
          <w:color w:val="000000"/>
          <w:sz w:val="32"/>
          <w:szCs w:val="32"/>
          <w:lang w:val="en-US" w:eastAsia="zh-CN"/>
        </w:rPr>
      </w:pPr>
      <w:r>
        <w:rPr>
          <w:rStyle w:val="12"/>
          <w:rFonts w:hint="eastAsia" w:ascii="仿宋_GB2312" w:hAnsi="Calibri" w:eastAsia="仿宋_GB2312" w:cs="Times New Roman"/>
          <w:b w:val="0"/>
          <w:bCs/>
          <w:color w:val="000000"/>
          <w:sz w:val="32"/>
          <w:szCs w:val="32"/>
          <w:lang w:val="en-US" w:eastAsia="zh-CN"/>
        </w:rPr>
        <w:t>2025年度收、支总计均为168.93万元。与2024年度相比，收、支总计各减少23.8万元，下降12.35%，主要变动原因是</w:t>
      </w:r>
      <w:r>
        <w:rPr>
          <w:rStyle w:val="12"/>
          <w:rFonts w:hint="eastAsia" w:ascii="仿宋_GB2312" w:eastAsia="仿宋_GB2312" w:cs="Times New Roman"/>
          <w:b w:val="0"/>
          <w:bCs/>
          <w:color w:val="000000"/>
          <w:sz w:val="32"/>
          <w:szCs w:val="32"/>
          <w:lang w:val="en-US" w:eastAsia="zh-CN"/>
        </w:rPr>
        <w:t>：</w:t>
      </w:r>
      <w:r>
        <w:rPr>
          <w:rStyle w:val="12"/>
          <w:rFonts w:hint="eastAsia" w:ascii="仿宋_GB2312" w:hAnsi="Calibri" w:eastAsia="仿宋_GB2312" w:cs="Times New Roman"/>
          <w:b w:val="0"/>
          <w:bCs/>
          <w:color w:val="000000"/>
          <w:sz w:val="32"/>
          <w:szCs w:val="32"/>
          <w:lang w:val="en-US" w:eastAsia="zh-CN"/>
        </w:rPr>
        <w:t>农林水支出其他水利支出减少</w:t>
      </w:r>
      <w:r>
        <w:rPr>
          <w:rStyle w:val="12"/>
          <w:rFonts w:hint="eastAsia" w:ascii="仿宋_GB2312" w:eastAsia="仿宋_GB2312" w:cs="Times New Roman"/>
          <w:b w:val="0"/>
          <w:bCs/>
          <w:color w:val="000000"/>
          <w:sz w:val="32"/>
          <w:szCs w:val="32"/>
          <w:lang w:val="en-US" w:eastAsia="zh-CN"/>
        </w:rPr>
        <w:t>。</w:t>
      </w:r>
    </w:p>
    <w:p w14:paraId="59E8B261">
      <w:pPr>
        <w:pStyle w:val="15"/>
        <w:keepNext w:val="0"/>
        <w:keepLines w:val="0"/>
        <w:pageBreakBefore w:val="0"/>
        <w:widowControl w:val="0"/>
        <w:numPr>
          <w:ilvl w:val="0"/>
          <w:numId w:val="0"/>
        </w:numPr>
        <w:kinsoku/>
        <w:wordWrap/>
        <w:overflowPunct/>
        <w:topLinePunct w:val="0"/>
        <w:autoSpaceDE/>
        <w:autoSpaceDN/>
        <w:bidi w:val="0"/>
        <w:adjustRightInd/>
        <w:snapToGrid/>
        <w:spacing w:line="560" w:lineRule="exact"/>
        <w:ind w:left="640" w:leftChars="0"/>
        <w:textAlignment w:val="auto"/>
        <w:outlineLvl w:val="1"/>
        <w:rPr>
          <w:rStyle w:val="14"/>
          <w:rFonts w:ascii="黑体" w:hAnsi="黑体" w:eastAsia="黑体"/>
          <w:b w:val="0"/>
          <w:color w:val="auto"/>
          <w:highlight w:val="none"/>
        </w:rPr>
      </w:pPr>
      <w:r>
        <w:rPr>
          <w:rStyle w:val="12"/>
          <w:rFonts w:hint="eastAsia" w:ascii="仿宋_GB2312" w:eastAsia="仿宋_GB2312" w:cs="Times New Roman"/>
          <w:b w:val="0"/>
          <w:bCs/>
          <w:color w:val="000000"/>
          <w:sz w:val="32"/>
          <w:szCs w:val="32"/>
          <w:lang w:val="en-US" w:eastAsia="zh-CN"/>
        </w:rPr>
        <w:drawing>
          <wp:anchor distT="0" distB="0" distL="114300" distR="114300" simplePos="0" relativeHeight="251659264" behindDoc="0" locked="0" layoutInCell="1" allowOverlap="1">
            <wp:simplePos x="0" y="0"/>
            <wp:positionH relativeFrom="column">
              <wp:posOffset>696595</wp:posOffset>
            </wp:positionH>
            <wp:positionV relativeFrom="paragraph">
              <wp:posOffset>80645</wp:posOffset>
            </wp:positionV>
            <wp:extent cx="4065905" cy="2519045"/>
            <wp:effectExtent l="4445" t="4445" r="6350" b="10160"/>
            <wp:wrapTopAndBottom/>
            <wp:docPr id="1"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anchor>
        </w:drawing>
      </w:r>
      <w:r>
        <w:rPr>
          <w:rFonts w:hint="eastAsia" w:ascii="黑体" w:hAnsi="黑体" w:eastAsia="黑体"/>
          <w:color w:val="auto"/>
          <w:sz w:val="32"/>
          <w:szCs w:val="32"/>
          <w:highlight w:val="none"/>
          <w:lang w:eastAsia="zh-CN"/>
        </w:rPr>
        <w:t>二、</w:t>
      </w:r>
      <w:r>
        <w:rPr>
          <w:rFonts w:hint="eastAsia" w:ascii="黑体" w:hAnsi="黑体" w:eastAsia="黑体"/>
          <w:color w:val="auto"/>
          <w:sz w:val="32"/>
          <w:szCs w:val="32"/>
          <w:highlight w:val="none"/>
        </w:rPr>
        <w:t>收</w:t>
      </w:r>
      <w:r>
        <w:rPr>
          <w:rStyle w:val="14"/>
          <w:rFonts w:hint="eastAsia" w:ascii="黑体" w:hAnsi="黑体" w:eastAsia="黑体"/>
          <w:b w:val="0"/>
          <w:color w:val="auto"/>
          <w:highlight w:val="none"/>
        </w:rPr>
        <w:t>入决算情况说明</w:t>
      </w:r>
    </w:p>
    <w:p w14:paraId="63192134">
      <w:pPr>
        <w:keepNext w:val="0"/>
        <w:keepLines w:val="0"/>
        <w:pageBreakBefore w:val="0"/>
        <w:widowControl w:val="0"/>
        <w:kinsoku/>
        <w:wordWrap/>
        <w:overflowPunct/>
        <w:topLinePunct w:val="0"/>
        <w:autoSpaceDE/>
        <w:autoSpaceDN/>
        <w:bidi w:val="0"/>
        <w:adjustRightInd/>
        <w:snapToGrid/>
        <w:spacing w:afterAutospacing="0" w:line="560" w:lineRule="exact"/>
        <w:ind w:firstLine="640" w:firstLineChars="200"/>
        <w:textAlignment w:val="auto"/>
        <w:rPr>
          <w:rStyle w:val="12"/>
          <w:rFonts w:hint="eastAsia" w:ascii="仿宋_GB2312" w:hAnsi="Calibri" w:eastAsia="仿宋_GB2312" w:cs="Times New Roman"/>
          <w:b w:val="0"/>
          <w:bCs/>
          <w:color w:val="000000"/>
          <w:sz w:val="32"/>
          <w:szCs w:val="32"/>
          <w:lang w:val="en-US" w:eastAsia="zh-CN"/>
        </w:rPr>
      </w:pPr>
      <w:r>
        <w:rPr>
          <w:rStyle w:val="12"/>
          <w:rFonts w:hint="eastAsia" w:ascii="仿宋_GB2312" w:hAnsi="Calibri" w:eastAsia="仿宋_GB2312" w:cs="Times New Roman"/>
          <w:b w:val="0"/>
          <w:bCs/>
          <w:color w:val="000000"/>
          <w:sz w:val="32"/>
          <w:szCs w:val="32"/>
          <w:lang w:val="en-US" w:eastAsia="zh-CN"/>
        </w:rPr>
        <w:drawing>
          <wp:anchor distT="0" distB="0" distL="114300" distR="114300" simplePos="0" relativeHeight="251660288" behindDoc="0" locked="0" layoutInCell="1" allowOverlap="1">
            <wp:simplePos x="0" y="0"/>
            <wp:positionH relativeFrom="column">
              <wp:posOffset>402590</wp:posOffset>
            </wp:positionH>
            <wp:positionV relativeFrom="paragraph">
              <wp:posOffset>816610</wp:posOffset>
            </wp:positionV>
            <wp:extent cx="4519295" cy="2851785"/>
            <wp:effectExtent l="4445" t="4445" r="10160" b="20320"/>
            <wp:wrapTopAndBottom/>
            <wp:docPr id="2"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anchor>
        </w:drawing>
      </w:r>
      <w:r>
        <w:rPr>
          <w:rStyle w:val="12"/>
          <w:rFonts w:hint="eastAsia" w:ascii="仿宋_GB2312" w:hAnsi="Calibri" w:eastAsia="仿宋_GB2312" w:cs="Times New Roman"/>
          <w:b w:val="0"/>
          <w:bCs/>
          <w:color w:val="000000"/>
          <w:sz w:val="32"/>
          <w:szCs w:val="32"/>
          <w:lang w:val="en-US" w:eastAsia="zh-CN"/>
        </w:rPr>
        <w:t>2025年度本年收入合计168.93万元，其中：一般公共预算财政拨款收入168.93万元，占100%。</w:t>
      </w:r>
    </w:p>
    <w:p w14:paraId="3869DE22">
      <w:pPr>
        <w:pStyle w:val="15"/>
        <w:numPr>
          <w:ilvl w:val="0"/>
          <w:numId w:val="0"/>
        </w:numPr>
        <w:spacing w:line="600" w:lineRule="exact"/>
        <w:ind w:left="640" w:leftChars="0"/>
        <w:outlineLvl w:val="1"/>
        <w:rPr>
          <w:rStyle w:val="14"/>
          <w:rFonts w:ascii="黑体" w:hAnsi="黑体" w:eastAsia="黑体"/>
          <w:b w:val="0"/>
          <w:color w:val="auto"/>
          <w:highlight w:val="none"/>
        </w:rPr>
      </w:pPr>
      <w:r>
        <w:rPr>
          <w:rFonts w:hint="eastAsia" w:ascii="黑体" w:hAnsi="黑体" w:eastAsia="黑体"/>
          <w:color w:val="auto"/>
          <w:sz w:val="32"/>
          <w:szCs w:val="32"/>
          <w:highlight w:val="none"/>
          <w:lang w:eastAsia="zh-CN"/>
        </w:rPr>
        <w:t>三、</w:t>
      </w:r>
      <w:r>
        <w:rPr>
          <w:rFonts w:hint="eastAsia" w:ascii="黑体" w:hAnsi="黑体" w:eastAsia="黑体"/>
          <w:color w:val="auto"/>
          <w:sz w:val="32"/>
          <w:szCs w:val="32"/>
          <w:highlight w:val="none"/>
        </w:rPr>
        <w:t>支</w:t>
      </w:r>
      <w:r>
        <w:rPr>
          <w:rStyle w:val="14"/>
          <w:rFonts w:hint="eastAsia" w:ascii="黑体" w:hAnsi="黑体" w:eastAsia="黑体"/>
          <w:b w:val="0"/>
          <w:color w:val="auto"/>
          <w:highlight w:val="none"/>
        </w:rPr>
        <w:t>出决算情况说明</w:t>
      </w:r>
    </w:p>
    <w:p w14:paraId="29915F17">
      <w:pPr>
        <w:keepNext w:val="0"/>
        <w:keepLines w:val="0"/>
        <w:pageBreakBefore w:val="0"/>
        <w:widowControl w:val="0"/>
        <w:kinsoku/>
        <w:wordWrap/>
        <w:overflowPunct/>
        <w:topLinePunct w:val="0"/>
        <w:autoSpaceDE/>
        <w:autoSpaceDN/>
        <w:bidi w:val="0"/>
        <w:adjustRightInd/>
        <w:snapToGrid/>
        <w:spacing w:afterAutospacing="0" w:line="560" w:lineRule="exact"/>
        <w:ind w:firstLine="640" w:firstLineChars="200"/>
        <w:textAlignment w:val="auto"/>
        <w:rPr>
          <w:rStyle w:val="12"/>
          <w:rFonts w:hint="eastAsia" w:ascii="仿宋_GB2312" w:hAnsi="Calibri" w:eastAsia="仿宋_GB2312" w:cs="Times New Roman"/>
          <w:b w:val="0"/>
          <w:bCs/>
          <w:color w:val="000000"/>
          <w:sz w:val="32"/>
          <w:szCs w:val="32"/>
          <w:lang w:val="en-US" w:eastAsia="zh-CN"/>
        </w:rPr>
      </w:pPr>
      <w:r>
        <w:rPr>
          <w:rStyle w:val="12"/>
          <w:rFonts w:hint="eastAsia" w:ascii="仿宋_GB2312" w:hAnsi="Calibri" w:eastAsia="仿宋_GB2312" w:cs="Times New Roman"/>
          <w:b w:val="0"/>
          <w:bCs/>
          <w:color w:val="000000"/>
          <w:sz w:val="32"/>
          <w:szCs w:val="32"/>
          <w:lang w:val="en-US" w:eastAsia="zh-CN"/>
        </w:rPr>
        <w:t>2025年度本年支出合计168.93万元，其中：基本支出168.93万元，占100%。</w:t>
      </w:r>
    </w:p>
    <w:p w14:paraId="011C52FB">
      <w:pPr>
        <w:suppressAutoHyphens/>
        <w:bidi w:val="0"/>
        <w:spacing w:line="600" w:lineRule="exact"/>
        <w:ind w:firstLine="640" w:firstLineChars="200"/>
        <w:outlineLvl w:val="1"/>
        <w:rPr>
          <w:rStyle w:val="14"/>
          <w:rFonts w:hint="eastAsia" w:ascii="Times New Roman" w:hAnsi="Times New Roman" w:eastAsia="黑体" w:cstheme="majorBidi"/>
          <w:b w:val="0"/>
          <w:color w:val="auto"/>
          <w:highlight w:val="none"/>
        </w:rPr>
      </w:pPr>
      <w:r>
        <w:rPr>
          <w:rStyle w:val="14"/>
          <w:rFonts w:hint="eastAsia" w:ascii="Times New Roman" w:hAnsi="Times New Roman" w:eastAsia="黑体" w:cstheme="majorBidi"/>
          <w:b w:val="0"/>
          <w:color w:val="auto"/>
          <w:highlight w:val="none"/>
          <w:lang w:val="en-US" w:eastAsia="zh-CN"/>
        </w:rPr>
        <w:drawing>
          <wp:anchor distT="0" distB="0" distL="114300" distR="114300" simplePos="0" relativeHeight="251661312" behindDoc="0" locked="0" layoutInCell="1" allowOverlap="1">
            <wp:simplePos x="0" y="0"/>
            <wp:positionH relativeFrom="column">
              <wp:posOffset>574675</wp:posOffset>
            </wp:positionH>
            <wp:positionV relativeFrom="paragraph">
              <wp:posOffset>78740</wp:posOffset>
            </wp:positionV>
            <wp:extent cx="4387215" cy="2933700"/>
            <wp:effectExtent l="5080" t="5080" r="8255" b="13970"/>
            <wp:wrapTopAndBottom/>
            <wp:docPr id="3" name="图表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anchor>
        </w:drawing>
      </w:r>
      <w:r>
        <w:rPr>
          <w:rStyle w:val="14"/>
          <w:rFonts w:hint="eastAsia" w:ascii="Times New Roman" w:hAnsi="Times New Roman" w:eastAsia="黑体" w:cstheme="majorBidi"/>
          <w:b w:val="0"/>
          <w:color w:val="auto"/>
          <w:highlight w:val="none"/>
        </w:rPr>
        <w:t>四、财政拨款收入支出决算总体情况说明</w:t>
      </w:r>
    </w:p>
    <w:p w14:paraId="3E8C2531">
      <w:pPr>
        <w:keepNext w:val="0"/>
        <w:keepLines w:val="0"/>
        <w:pageBreakBefore w:val="0"/>
        <w:widowControl w:val="0"/>
        <w:kinsoku/>
        <w:wordWrap/>
        <w:overflowPunct/>
        <w:topLinePunct w:val="0"/>
        <w:autoSpaceDE/>
        <w:autoSpaceDN/>
        <w:bidi w:val="0"/>
        <w:adjustRightInd/>
        <w:snapToGrid/>
        <w:spacing w:afterAutospacing="0" w:line="560" w:lineRule="exact"/>
        <w:ind w:firstLine="640" w:firstLineChars="200"/>
        <w:textAlignment w:val="auto"/>
        <w:rPr>
          <w:rStyle w:val="12"/>
          <w:rFonts w:hint="eastAsia" w:ascii="仿宋_GB2312" w:hAnsi="Calibri" w:eastAsia="仿宋_GB2312" w:cs="Times New Roman"/>
          <w:b w:val="0"/>
          <w:bCs/>
          <w:color w:val="000000"/>
          <w:sz w:val="32"/>
          <w:szCs w:val="32"/>
          <w:lang w:val="en-US" w:eastAsia="zh-CN"/>
        </w:rPr>
      </w:pPr>
      <w:r>
        <w:rPr>
          <w:rStyle w:val="12"/>
          <w:rFonts w:hint="eastAsia" w:ascii="仿宋_GB2312" w:hAnsi="Calibri" w:eastAsia="仿宋_GB2312" w:cs="Times New Roman"/>
          <w:b w:val="0"/>
          <w:bCs/>
          <w:color w:val="000000"/>
          <w:sz w:val="32"/>
          <w:szCs w:val="32"/>
          <w:lang w:val="en-US" w:eastAsia="zh-CN"/>
        </w:rPr>
        <w:t>2025年度财政拨款收、支总计均为168.93万元。与2024年度相比，财政拨款收、支总计各减少23.8万元，下降12.35%，主要变动原因是：农林水支出其他水利支出减少。</w:t>
      </w:r>
    </w:p>
    <w:p w14:paraId="1E2726B1">
      <w:pPr>
        <w:tabs>
          <w:tab w:val="left" w:pos="625"/>
        </w:tabs>
        <w:suppressAutoHyphens/>
        <w:bidi w:val="0"/>
        <w:spacing w:line="240" w:lineRule="auto"/>
        <w:ind w:firstLine="0" w:firstLineChars="0"/>
        <w:outlineLvl w:val="1"/>
        <w:rPr>
          <w:rStyle w:val="14"/>
          <w:rFonts w:hint="eastAsia" w:ascii="Times New Roman" w:hAnsi="Times New Roman" w:eastAsia="黑体" w:cstheme="majorBidi"/>
          <w:b w:val="0"/>
          <w:color w:val="auto"/>
          <w:highlight w:val="none"/>
          <w:lang w:eastAsia="zh-CN"/>
        </w:rPr>
      </w:pPr>
      <w:r>
        <w:rPr>
          <w:rStyle w:val="14"/>
          <w:rFonts w:hint="eastAsia" w:ascii="Times New Roman" w:hAnsi="Times New Roman" w:eastAsia="黑体" w:cstheme="majorBidi"/>
          <w:b w:val="0"/>
          <w:color w:val="auto"/>
          <w:highlight w:val="none"/>
          <w:lang w:eastAsia="zh-CN"/>
        </w:rPr>
        <w:drawing>
          <wp:anchor distT="0" distB="0" distL="114300" distR="114300" simplePos="0" relativeHeight="251662336" behindDoc="0" locked="0" layoutInCell="1" allowOverlap="0">
            <wp:simplePos x="0" y="0"/>
            <wp:positionH relativeFrom="column">
              <wp:posOffset>482600</wp:posOffset>
            </wp:positionH>
            <wp:positionV relativeFrom="paragraph">
              <wp:posOffset>30480</wp:posOffset>
            </wp:positionV>
            <wp:extent cx="4735195" cy="2864485"/>
            <wp:effectExtent l="4445" t="4445" r="22860" b="7620"/>
            <wp:wrapTopAndBottom/>
            <wp:docPr id="4" name="图表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anchor>
        </w:drawing>
      </w:r>
      <w:r>
        <w:rPr>
          <w:rStyle w:val="14"/>
          <w:rFonts w:hint="eastAsia" w:ascii="Times New Roman" w:hAnsi="Times New Roman" w:eastAsia="黑体" w:cstheme="majorBidi"/>
          <w:b w:val="0"/>
          <w:color w:val="auto"/>
          <w:highlight w:val="none"/>
          <w:lang w:eastAsia="zh-CN"/>
        </w:rPr>
        <w:tab/>
      </w:r>
    </w:p>
    <w:p w14:paraId="09614297">
      <w:pPr>
        <w:tabs>
          <w:tab w:val="left" w:pos="625"/>
        </w:tabs>
        <w:suppressAutoHyphens/>
        <w:bidi w:val="0"/>
        <w:spacing w:line="240" w:lineRule="auto"/>
        <w:ind w:firstLine="640" w:firstLineChars="200"/>
        <w:outlineLvl w:val="1"/>
        <w:rPr>
          <w:rStyle w:val="14"/>
          <w:rFonts w:hint="eastAsia" w:ascii="Times New Roman" w:hAnsi="Times New Roman" w:eastAsia="黑体" w:cstheme="majorBidi"/>
          <w:b w:val="0"/>
          <w:color w:val="auto"/>
          <w:highlight w:val="none"/>
        </w:rPr>
      </w:pPr>
      <w:r>
        <w:rPr>
          <w:rStyle w:val="14"/>
          <w:rFonts w:hint="eastAsia" w:ascii="Times New Roman" w:hAnsi="Times New Roman" w:eastAsia="黑体" w:cstheme="majorBidi"/>
          <w:b w:val="0"/>
          <w:color w:val="auto"/>
          <w:highlight w:val="none"/>
        </w:rPr>
        <w:t>五、一般公共预算财政拨款支出决算情况说明</w:t>
      </w:r>
    </w:p>
    <w:p w14:paraId="38534F71">
      <w:pPr>
        <w:suppressAutoHyphens/>
        <w:bidi w:val="0"/>
        <w:spacing w:line="600" w:lineRule="exact"/>
        <w:ind w:firstLine="643" w:firstLineChars="200"/>
        <w:outlineLvl w:val="2"/>
        <w:rPr>
          <w:rFonts w:hint="eastAsia" w:ascii="Times New Roman" w:hAnsi="Times New Roman" w:eastAsia="楷体_GB2312" w:cs="楷体_GB2312"/>
          <w:b/>
          <w:color w:val="auto"/>
          <w:sz w:val="32"/>
          <w:szCs w:val="32"/>
          <w:highlight w:val="none"/>
        </w:rPr>
      </w:pPr>
      <w:r>
        <w:rPr>
          <w:rFonts w:hint="eastAsia" w:ascii="Times New Roman" w:hAnsi="Times New Roman" w:eastAsia="楷体_GB2312" w:cs="楷体_GB2312"/>
          <w:b/>
          <w:color w:val="auto"/>
          <w:sz w:val="32"/>
          <w:szCs w:val="32"/>
          <w:highlight w:val="none"/>
        </w:rPr>
        <w:t>（一）一般公共预算财政拨款支出决算总体情况</w:t>
      </w:r>
    </w:p>
    <w:p w14:paraId="69A75DC9">
      <w:pPr>
        <w:keepNext w:val="0"/>
        <w:keepLines w:val="0"/>
        <w:pageBreakBefore w:val="0"/>
        <w:widowControl w:val="0"/>
        <w:kinsoku/>
        <w:wordWrap/>
        <w:overflowPunct/>
        <w:topLinePunct w:val="0"/>
        <w:autoSpaceDE/>
        <w:autoSpaceDN/>
        <w:bidi w:val="0"/>
        <w:adjustRightInd/>
        <w:snapToGrid/>
        <w:spacing w:afterAutospacing="0" w:line="560" w:lineRule="exact"/>
        <w:ind w:firstLine="640" w:firstLineChars="200"/>
        <w:textAlignment w:val="auto"/>
        <w:rPr>
          <w:rStyle w:val="12"/>
          <w:rFonts w:hint="eastAsia" w:ascii="仿宋_GB2312" w:hAnsi="Calibri" w:eastAsia="仿宋_GB2312" w:cs="Times New Roman"/>
          <w:b w:val="0"/>
          <w:bCs/>
          <w:color w:val="000000"/>
          <w:sz w:val="32"/>
          <w:szCs w:val="32"/>
          <w:lang w:val="en-US" w:eastAsia="zh-CN"/>
        </w:rPr>
      </w:pPr>
      <w:r>
        <w:rPr>
          <w:rStyle w:val="12"/>
          <w:rFonts w:hint="eastAsia" w:ascii="仿宋_GB2312" w:hAnsi="Calibri" w:eastAsia="仿宋_GB2312" w:cs="Times New Roman"/>
          <w:b w:val="0"/>
          <w:bCs/>
          <w:color w:val="000000"/>
          <w:sz w:val="32"/>
          <w:szCs w:val="32"/>
          <w:lang w:val="en-US" w:eastAsia="zh-CN"/>
        </w:rPr>
        <w:t>2025年度一般公共预算财政拨款支出168.93万元，占本年支出合计的100%。与2024年度相比，一般公共预算财政拨款支出减少23.8万元，下降12.35%，主要变动原因是：农林水支出其他水利支出减少。</w:t>
      </w:r>
    </w:p>
    <w:p w14:paraId="165E8BB3">
      <w:pPr>
        <w:keepNext w:val="0"/>
        <w:keepLines w:val="0"/>
        <w:pageBreakBefore w:val="0"/>
        <w:widowControl w:val="0"/>
        <w:kinsoku/>
        <w:wordWrap/>
        <w:overflowPunct/>
        <w:topLinePunct w:val="0"/>
        <w:autoSpaceDE/>
        <w:autoSpaceDN/>
        <w:bidi w:val="0"/>
        <w:adjustRightInd/>
        <w:snapToGrid/>
        <w:spacing w:afterAutospacing="0" w:line="560" w:lineRule="exact"/>
        <w:ind w:firstLine="643" w:firstLineChars="200"/>
        <w:textAlignment w:val="auto"/>
        <w:rPr>
          <w:rFonts w:hint="eastAsia" w:ascii="Times New Roman" w:hAnsi="Times New Roman" w:eastAsia="楷体_GB2312" w:cs="楷体_GB2312"/>
          <w:b/>
          <w:color w:val="auto"/>
          <w:sz w:val="32"/>
          <w:szCs w:val="32"/>
          <w:highlight w:val="none"/>
        </w:rPr>
      </w:pPr>
      <w:r>
        <w:rPr>
          <w:rFonts w:hint="eastAsia" w:ascii="Times New Roman" w:hAnsi="Times New Roman" w:eastAsia="楷体_GB2312" w:cs="楷体_GB2312"/>
          <w:b/>
          <w:color w:val="auto"/>
          <w:sz w:val="32"/>
          <w:szCs w:val="32"/>
          <w:highlight w:val="none"/>
          <w:lang w:val="en-US" w:eastAsia="zh-CN"/>
        </w:rPr>
        <w:drawing>
          <wp:anchor distT="0" distB="0" distL="114300" distR="114300" simplePos="0" relativeHeight="251663360" behindDoc="0" locked="0" layoutInCell="1" allowOverlap="1">
            <wp:simplePos x="0" y="0"/>
            <wp:positionH relativeFrom="column">
              <wp:posOffset>282575</wp:posOffset>
            </wp:positionH>
            <wp:positionV relativeFrom="paragraph">
              <wp:posOffset>76200</wp:posOffset>
            </wp:positionV>
            <wp:extent cx="4759960" cy="2984500"/>
            <wp:effectExtent l="4445" t="4445" r="17145" b="20955"/>
            <wp:wrapTopAndBottom/>
            <wp:docPr id="6" name="图表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anchor>
        </w:drawing>
      </w:r>
      <w:r>
        <w:rPr>
          <w:rFonts w:hint="eastAsia" w:ascii="Times New Roman" w:hAnsi="Times New Roman" w:eastAsia="楷体_GB2312" w:cs="楷体_GB2312"/>
          <w:b/>
          <w:color w:val="auto"/>
          <w:sz w:val="32"/>
          <w:szCs w:val="32"/>
          <w:highlight w:val="none"/>
          <w:lang w:val="en-US" w:eastAsia="zh-CN"/>
        </w:rPr>
        <w:t>（二）一般公共预算财政拨款支</w:t>
      </w:r>
      <w:r>
        <w:rPr>
          <w:rFonts w:hint="eastAsia" w:ascii="Times New Roman" w:hAnsi="Times New Roman" w:eastAsia="楷体_GB2312" w:cs="楷体_GB2312"/>
          <w:b/>
          <w:color w:val="auto"/>
          <w:sz w:val="32"/>
          <w:szCs w:val="32"/>
          <w:highlight w:val="none"/>
        </w:rPr>
        <w:t>出决算结构情况</w:t>
      </w:r>
    </w:p>
    <w:p w14:paraId="1369F867">
      <w:pPr>
        <w:spacing w:line="600" w:lineRule="exact"/>
        <w:ind w:firstLine="640"/>
        <w:rPr>
          <w:rFonts w:hint="eastAsia" w:ascii="仿宋" w:hAnsi="仿宋" w:eastAsia="仿宋"/>
          <w:color w:val="auto"/>
          <w:sz w:val="32"/>
          <w:szCs w:val="32"/>
          <w:highlight w:val="none"/>
          <w:lang w:eastAsia="zh-CN"/>
        </w:rPr>
      </w:pPr>
      <w:r>
        <w:rPr>
          <w:rStyle w:val="12"/>
          <w:rFonts w:hint="eastAsia" w:ascii="仿宋_GB2312" w:hAnsi="Calibri" w:eastAsia="仿宋_GB2312" w:cs="Times New Roman"/>
          <w:b w:val="0"/>
          <w:bCs/>
          <w:color w:val="000000"/>
          <w:sz w:val="32"/>
          <w:szCs w:val="32"/>
          <w:lang w:val="en-US" w:eastAsia="zh-CN"/>
        </w:rPr>
        <w:t>2025年度一般公共预算财政拨款支出168.93万元，主要用于以下方面:</w:t>
      </w:r>
      <w:r>
        <w:rPr>
          <w:rFonts w:hint="eastAsia" w:ascii="仿宋" w:hAnsi="仿宋" w:eastAsia="仿宋"/>
          <w:b/>
          <w:color w:val="auto"/>
          <w:sz w:val="32"/>
          <w:szCs w:val="32"/>
          <w:highlight w:val="none"/>
        </w:rPr>
        <w:t>一般公共服务</w:t>
      </w:r>
      <w:r>
        <w:rPr>
          <w:rFonts w:hint="eastAsia" w:ascii="仿宋" w:hAnsi="仿宋" w:eastAsia="仿宋"/>
          <w:b/>
          <w:bCs/>
          <w:color w:val="auto"/>
          <w:sz w:val="32"/>
          <w:szCs w:val="32"/>
          <w:highlight w:val="none"/>
        </w:rPr>
        <w:t>支出</w:t>
      </w:r>
      <w:r>
        <w:rPr>
          <w:rStyle w:val="12"/>
          <w:rFonts w:hint="eastAsia" w:ascii="仿宋_GB2312" w:hAnsi="Calibri" w:eastAsia="仿宋_GB2312" w:cs="Times New Roman"/>
          <w:b w:val="0"/>
          <w:bCs/>
          <w:color w:val="000000"/>
          <w:sz w:val="32"/>
          <w:szCs w:val="32"/>
          <w:lang w:val="en-US" w:eastAsia="zh-CN"/>
        </w:rPr>
        <w:t>125.76万元，占74.44%；</w:t>
      </w:r>
      <w:r>
        <w:rPr>
          <w:rFonts w:hint="eastAsia" w:ascii="仿宋" w:hAnsi="仿宋" w:eastAsia="仿宋"/>
          <w:b/>
          <w:color w:val="auto"/>
          <w:sz w:val="32"/>
          <w:szCs w:val="32"/>
          <w:highlight w:val="none"/>
        </w:rPr>
        <w:t>社会保障和就业</w:t>
      </w:r>
      <w:r>
        <w:rPr>
          <w:rFonts w:hint="eastAsia" w:ascii="仿宋" w:hAnsi="仿宋" w:eastAsia="仿宋"/>
          <w:b/>
          <w:bCs/>
          <w:color w:val="auto"/>
          <w:sz w:val="32"/>
          <w:szCs w:val="32"/>
          <w:highlight w:val="none"/>
        </w:rPr>
        <w:t>支出</w:t>
      </w:r>
      <w:r>
        <w:rPr>
          <w:rStyle w:val="12"/>
          <w:rFonts w:hint="eastAsia" w:ascii="仿宋_GB2312" w:hAnsi="Calibri" w:eastAsia="仿宋_GB2312" w:cs="Times New Roman"/>
          <w:b w:val="0"/>
          <w:bCs/>
          <w:color w:val="000000"/>
          <w:sz w:val="32"/>
          <w:szCs w:val="32"/>
          <w:lang w:val="en-US" w:eastAsia="zh-CN"/>
        </w:rPr>
        <w:t>21.59万元，占12.78%；</w:t>
      </w:r>
      <w:r>
        <w:rPr>
          <w:rFonts w:hint="eastAsia" w:ascii="仿宋" w:hAnsi="仿宋" w:eastAsia="仿宋"/>
          <w:b/>
          <w:bCs/>
          <w:color w:val="auto"/>
          <w:sz w:val="32"/>
          <w:szCs w:val="32"/>
          <w:highlight w:val="none"/>
        </w:rPr>
        <w:t>卫生健康支出</w:t>
      </w:r>
      <w:r>
        <w:rPr>
          <w:rStyle w:val="12"/>
          <w:rFonts w:hint="eastAsia" w:ascii="仿宋_GB2312" w:hAnsi="Calibri" w:eastAsia="仿宋_GB2312" w:cs="Times New Roman"/>
          <w:b w:val="0"/>
          <w:bCs/>
          <w:color w:val="000000"/>
          <w:sz w:val="32"/>
          <w:szCs w:val="32"/>
          <w:lang w:val="en-US" w:eastAsia="zh-CN"/>
        </w:rPr>
        <w:t>8.83万元，占5.23%；</w:t>
      </w:r>
      <w:r>
        <w:rPr>
          <w:rFonts w:hint="eastAsia" w:ascii="仿宋" w:hAnsi="仿宋" w:eastAsia="仿宋"/>
          <w:b/>
          <w:bCs/>
          <w:color w:val="auto"/>
          <w:sz w:val="32"/>
          <w:szCs w:val="32"/>
          <w:highlight w:val="none"/>
        </w:rPr>
        <w:t>住房保障支出</w:t>
      </w:r>
      <w:r>
        <w:rPr>
          <w:rStyle w:val="12"/>
          <w:rFonts w:hint="eastAsia" w:ascii="仿宋_GB2312" w:hAnsi="Calibri" w:eastAsia="仿宋_GB2312" w:cs="Times New Roman"/>
          <w:b w:val="0"/>
          <w:bCs/>
          <w:color w:val="000000"/>
          <w:sz w:val="32"/>
          <w:szCs w:val="32"/>
          <w:lang w:val="en-US" w:eastAsia="zh-CN"/>
        </w:rPr>
        <w:t>12.75万元，占7.55%。</w:t>
      </w:r>
    </w:p>
    <w:p w14:paraId="3D3F5B0B">
      <w:pPr>
        <w:suppressAutoHyphens/>
        <w:bidi w:val="0"/>
        <w:spacing w:line="600" w:lineRule="exact"/>
        <w:ind w:firstLine="643" w:firstLineChars="200"/>
        <w:outlineLvl w:val="2"/>
        <w:rPr>
          <w:rFonts w:hint="eastAsia" w:ascii="Times New Roman" w:hAnsi="Times New Roman" w:eastAsia="楷体_GB2312" w:cs="楷体_GB2312"/>
          <w:b/>
          <w:color w:val="auto"/>
          <w:sz w:val="32"/>
          <w:szCs w:val="32"/>
          <w:highlight w:val="none"/>
        </w:rPr>
      </w:pPr>
      <w:r>
        <w:rPr>
          <w:rFonts w:hint="eastAsia" w:ascii="Times New Roman" w:hAnsi="Times New Roman" w:eastAsia="楷体_GB2312" w:cs="楷体_GB2312"/>
          <w:b/>
          <w:color w:val="auto"/>
          <w:sz w:val="32"/>
          <w:szCs w:val="32"/>
          <w:highlight w:val="none"/>
          <w:lang w:val="en-US" w:eastAsia="zh-CN"/>
        </w:rPr>
        <w:drawing>
          <wp:anchor distT="0" distB="0" distL="114300" distR="114300" simplePos="0" relativeHeight="251664384" behindDoc="0" locked="0" layoutInCell="1" allowOverlap="1">
            <wp:simplePos x="0" y="0"/>
            <wp:positionH relativeFrom="column">
              <wp:posOffset>252730</wp:posOffset>
            </wp:positionH>
            <wp:positionV relativeFrom="paragraph">
              <wp:posOffset>92710</wp:posOffset>
            </wp:positionV>
            <wp:extent cx="4615180" cy="2755265"/>
            <wp:effectExtent l="4445" t="4445" r="9525" b="21590"/>
            <wp:wrapTopAndBottom/>
            <wp:docPr id="7" name="图表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anchor>
        </w:drawing>
      </w:r>
      <w:r>
        <w:rPr>
          <w:rFonts w:hint="eastAsia" w:ascii="Times New Roman" w:hAnsi="Times New Roman" w:eastAsia="楷体_GB2312" w:cs="楷体_GB2312"/>
          <w:b/>
          <w:color w:val="auto"/>
          <w:sz w:val="32"/>
          <w:szCs w:val="32"/>
          <w:highlight w:val="none"/>
        </w:rPr>
        <w:t>（三）一般公共预算财政拨款支出决算具体情况</w:t>
      </w:r>
    </w:p>
    <w:p w14:paraId="53223C18">
      <w:pPr>
        <w:spacing w:line="600" w:lineRule="exact"/>
        <w:ind w:firstLine="643" w:firstLineChars="200"/>
        <w:outlineLvl w:val="2"/>
        <w:rPr>
          <w:rFonts w:ascii="仿宋" w:hAnsi="仿宋" w:eastAsia="仿宋"/>
          <w:color w:val="auto"/>
          <w:sz w:val="32"/>
          <w:szCs w:val="32"/>
          <w:highlight w:val="none"/>
        </w:rPr>
      </w:pPr>
      <w:r>
        <w:rPr>
          <w:rFonts w:hint="eastAsia" w:ascii="仿宋" w:hAnsi="仿宋" w:eastAsia="仿宋"/>
          <w:b/>
          <w:color w:val="auto"/>
          <w:sz w:val="32"/>
          <w:szCs w:val="32"/>
          <w:highlight w:val="none"/>
          <w:lang w:eastAsia="zh-CN"/>
        </w:rPr>
        <w:t>202</w:t>
      </w:r>
      <w:r>
        <w:rPr>
          <w:rFonts w:hint="eastAsia" w:ascii="仿宋" w:hAnsi="仿宋" w:eastAsia="仿宋"/>
          <w:b/>
          <w:color w:val="auto"/>
          <w:sz w:val="32"/>
          <w:szCs w:val="32"/>
          <w:highlight w:val="none"/>
          <w:lang w:val="en-US" w:eastAsia="zh-CN"/>
        </w:rPr>
        <w:t>5</w:t>
      </w:r>
      <w:r>
        <w:rPr>
          <w:rFonts w:hint="eastAsia" w:ascii="仿宋" w:hAnsi="仿宋" w:eastAsia="仿宋"/>
          <w:b/>
          <w:color w:val="auto"/>
          <w:sz w:val="32"/>
          <w:szCs w:val="32"/>
          <w:highlight w:val="none"/>
          <w:lang w:eastAsia="zh-CN"/>
        </w:rPr>
        <w:t>年度一般公共预算支出决算数为</w:t>
      </w:r>
      <w:r>
        <w:rPr>
          <w:rFonts w:hint="eastAsia" w:ascii="仿宋" w:hAnsi="仿宋" w:eastAsia="仿宋"/>
          <w:b/>
          <w:color w:val="auto"/>
          <w:sz w:val="32"/>
          <w:szCs w:val="32"/>
          <w:highlight w:val="none"/>
          <w:lang w:val="en-US" w:eastAsia="zh-CN"/>
        </w:rPr>
        <w:t>168.93万元</w:t>
      </w:r>
      <w:r>
        <w:rPr>
          <w:rFonts w:hint="eastAsia" w:ascii="仿宋" w:hAnsi="仿宋" w:eastAsia="仿宋"/>
          <w:b/>
          <w:color w:val="auto"/>
          <w:sz w:val="32"/>
          <w:szCs w:val="32"/>
          <w:highlight w:val="none"/>
          <w:lang w:eastAsia="zh-CN"/>
        </w:rPr>
        <w:t>，完成预算</w:t>
      </w:r>
      <w:r>
        <w:rPr>
          <w:rFonts w:hint="eastAsia" w:ascii="仿宋" w:hAnsi="仿宋" w:eastAsia="仿宋"/>
          <w:b/>
          <w:color w:val="auto"/>
          <w:sz w:val="32"/>
          <w:szCs w:val="32"/>
          <w:highlight w:val="none"/>
          <w:lang w:val="en-US" w:eastAsia="zh-CN"/>
        </w:rPr>
        <w:t>100</w:t>
      </w:r>
      <w:r>
        <w:rPr>
          <w:rFonts w:hint="eastAsia" w:ascii="仿宋" w:hAnsi="仿宋" w:eastAsia="仿宋"/>
          <w:b/>
          <w:color w:val="auto"/>
          <w:sz w:val="32"/>
          <w:szCs w:val="32"/>
          <w:highlight w:val="none"/>
          <w:lang w:eastAsia="zh-CN"/>
        </w:rPr>
        <w:t>%</w:t>
      </w:r>
      <w:r>
        <w:rPr>
          <w:rStyle w:val="12"/>
          <w:rFonts w:hint="eastAsia" w:ascii="仿宋" w:hAnsi="仿宋" w:eastAsia="仿宋"/>
          <w:bCs/>
          <w:color w:val="auto"/>
          <w:sz w:val="32"/>
          <w:szCs w:val="32"/>
          <w:highlight w:val="none"/>
        </w:rPr>
        <w:t>。其中：</w:t>
      </w:r>
    </w:p>
    <w:p w14:paraId="4C7A6434">
      <w:pPr>
        <w:pageBreakBefore w:val="0"/>
        <w:widowControl w:val="0"/>
        <w:suppressAutoHyphens/>
        <w:kinsoku/>
        <w:wordWrap/>
        <w:overflowPunct/>
        <w:topLinePunct w:val="0"/>
        <w:autoSpaceDE/>
        <w:autoSpaceDN/>
        <w:bidi w:val="0"/>
        <w:adjustRightInd/>
        <w:snapToGrid/>
        <w:spacing w:line="576" w:lineRule="exact"/>
        <w:ind w:firstLine="640"/>
        <w:textAlignment w:val="auto"/>
        <w:rPr>
          <w:rFonts w:hint="default" w:ascii="Times New Roman" w:hAnsi="Times New Roman" w:eastAsia="仿宋_GB2312" w:cs="Times New Roman"/>
          <w:color w:val="000000"/>
          <w:sz w:val="32"/>
          <w:szCs w:val="32"/>
        </w:rPr>
      </w:pPr>
      <w:r>
        <w:rPr>
          <w:rStyle w:val="12"/>
          <w:rFonts w:ascii="仿宋" w:hAnsi="仿宋" w:eastAsia="仿宋"/>
          <w:bCs/>
          <w:color w:val="auto"/>
          <w:sz w:val="32"/>
          <w:szCs w:val="32"/>
          <w:highlight w:val="none"/>
        </w:rPr>
        <w:t>1.</w:t>
      </w:r>
      <w:r>
        <w:rPr>
          <w:rStyle w:val="12"/>
          <w:rFonts w:hint="eastAsia" w:ascii="仿宋" w:hAnsi="仿宋" w:eastAsia="仿宋"/>
          <w:bCs/>
          <w:color w:val="auto"/>
          <w:sz w:val="32"/>
          <w:szCs w:val="32"/>
          <w:highlight w:val="none"/>
        </w:rPr>
        <w:t>一般公共服务</w:t>
      </w:r>
      <w:r>
        <w:rPr>
          <w:rStyle w:val="12"/>
          <w:rFonts w:hint="eastAsia" w:ascii="仿宋" w:hAnsi="仿宋" w:eastAsia="仿宋"/>
          <w:bCs/>
          <w:color w:val="auto"/>
          <w:sz w:val="32"/>
          <w:szCs w:val="32"/>
          <w:highlight w:val="none"/>
          <w:lang w:eastAsia="zh-CN"/>
        </w:rPr>
        <w:t>支出</w:t>
      </w:r>
      <w:r>
        <w:rPr>
          <w:rStyle w:val="12"/>
          <w:rFonts w:hint="eastAsia" w:ascii="仿宋" w:hAnsi="仿宋" w:eastAsia="仿宋"/>
          <w:bCs/>
          <w:color w:val="auto"/>
          <w:sz w:val="32"/>
          <w:szCs w:val="32"/>
          <w:highlight w:val="none"/>
        </w:rPr>
        <w:t>（</w:t>
      </w:r>
      <w:r>
        <w:rPr>
          <w:rStyle w:val="12"/>
          <w:rFonts w:hint="eastAsia" w:ascii="仿宋" w:hAnsi="仿宋" w:eastAsia="仿宋"/>
          <w:bCs/>
          <w:color w:val="auto"/>
          <w:sz w:val="32"/>
          <w:szCs w:val="32"/>
          <w:highlight w:val="none"/>
          <w:lang w:val="en-US" w:eastAsia="zh-CN"/>
        </w:rPr>
        <w:t>类</w:t>
      </w:r>
      <w:r>
        <w:rPr>
          <w:rStyle w:val="12"/>
          <w:rFonts w:hint="eastAsia" w:ascii="仿宋" w:hAnsi="仿宋" w:eastAsia="仿宋"/>
          <w:bCs/>
          <w:color w:val="auto"/>
          <w:sz w:val="32"/>
          <w:szCs w:val="32"/>
          <w:highlight w:val="none"/>
        </w:rPr>
        <w:t>）</w:t>
      </w:r>
      <w:r>
        <w:rPr>
          <w:rStyle w:val="12"/>
          <w:rFonts w:hint="eastAsia" w:ascii="仿宋" w:hAnsi="仿宋" w:eastAsia="仿宋"/>
          <w:bCs/>
          <w:color w:val="auto"/>
          <w:sz w:val="32"/>
          <w:szCs w:val="32"/>
          <w:highlight w:val="none"/>
          <w:lang w:eastAsia="zh-CN"/>
        </w:rPr>
        <w:t>商贸事务</w:t>
      </w:r>
      <w:r>
        <w:rPr>
          <w:rStyle w:val="12"/>
          <w:rFonts w:hint="eastAsia" w:ascii="仿宋" w:hAnsi="仿宋" w:eastAsia="仿宋"/>
          <w:bCs/>
          <w:color w:val="auto"/>
          <w:sz w:val="32"/>
          <w:szCs w:val="32"/>
          <w:highlight w:val="none"/>
        </w:rPr>
        <w:t>（</w:t>
      </w:r>
      <w:r>
        <w:rPr>
          <w:rStyle w:val="12"/>
          <w:rFonts w:hint="eastAsia" w:ascii="仿宋" w:hAnsi="仿宋" w:eastAsia="仿宋"/>
          <w:bCs/>
          <w:color w:val="auto"/>
          <w:sz w:val="32"/>
          <w:szCs w:val="32"/>
          <w:highlight w:val="none"/>
          <w:lang w:val="en-US" w:eastAsia="zh-CN"/>
        </w:rPr>
        <w:t>款</w:t>
      </w:r>
      <w:r>
        <w:rPr>
          <w:rStyle w:val="12"/>
          <w:rFonts w:hint="eastAsia" w:ascii="仿宋" w:hAnsi="仿宋" w:eastAsia="仿宋"/>
          <w:bCs/>
          <w:color w:val="auto"/>
          <w:sz w:val="32"/>
          <w:szCs w:val="32"/>
          <w:highlight w:val="none"/>
        </w:rPr>
        <w:t>）</w:t>
      </w:r>
      <w:r>
        <w:rPr>
          <w:rStyle w:val="12"/>
          <w:rFonts w:hint="eastAsia" w:ascii="仿宋" w:hAnsi="仿宋" w:eastAsia="仿宋"/>
          <w:bCs/>
          <w:color w:val="auto"/>
          <w:sz w:val="32"/>
          <w:szCs w:val="32"/>
          <w:highlight w:val="none"/>
          <w:lang w:eastAsia="zh-CN"/>
        </w:rPr>
        <w:t>事业运行</w:t>
      </w:r>
      <w:r>
        <w:rPr>
          <w:rStyle w:val="12"/>
          <w:rFonts w:hint="eastAsia" w:ascii="仿宋" w:hAnsi="仿宋" w:eastAsia="仿宋"/>
          <w:bCs/>
          <w:color w:val="auto"/>
          <w:sz w:val="32"/>
          <w:szCs w:val="32"/>
          <w:highlight w:val="none"/>
        </w:rPr>
        <w:t>（</w:t>
      </w:r>
      <w:r>
        <w:rPr>
          <w:rStyle w:val="12"/>
          <w:rFonts w:hint="eastAsia" w:ascii="仿宋" w:hAnsi="仿宋" w:eastAsia="仿宋"/>
          <w:bCs/>
          <w:color w:val="auto"/>
          <w:sz w:val="32"/>
          <w:szCs w:val="32"/>
          <w:highlight w:val="none"/>
          <w:lang w:val="en-US" w:eastAsia="zh-CN"/>
        </w:rPr>
        <w:t>项</w:t>
      </w:r>
      <w:r>
        <w:rPr>
          <w:rStyle w:val="12"/>
          <w:rFonts w:hint="eastAsia" w:ascii="仿宋" w:hAnsi="仿宋" w:eastAsia="仿宋"/>
          <w:bCs/>
          <w:color w:val="auto"/>
          <w:sz w:val="32"/>
          <w:szCs w:val="32"/>
          <w:highlight w:val="none"/>
        </w:rPr>
        <w:t>）</w:t>
      </w:r>
      <w:r>
        <w:rPr>
          <w:rStyle w:val="12"/>
          <w:rFonts w:ascii="仿宋" w:hAnsi="仿宋" w:eastAsia="仿宋"/>
          <w:bCs/>
          <w:color w:val="auto"/>
          <w:sz w:val="32"/>
          <w:szCs w:val="32"/>
          <w:highlight w:val="none"/>
        </w:rPr>
        <w:t>:</w:t>
      </w:r>
      <w:r>
        <w:rPr>
          <w:rStyle w:val="12"/>
          <w:rFonts w:ascii="仿宋" w:hAnsi="仿宋" w:eastAsia="仿宋"/>
          <w:b w:val="0"/>
          <w:bCs/>
          <w:color w:val="auto"/>
          <w:sz w:val="32"/>
          <w:szCs w:val="32"/>
          <w:highlight w:val="none"/>
        </w:rPr>
        <w:t xml:space="preserve"> </w:t>
      </w:r>
      <w:r>
        <w:rPr>
          <w:rStyle w:val="12"/>
          <w:rFonts w:hint="eastAsia" w:ascii="仿宋_GB2312" w:hAnsi="Calibri" w:eastAsia="仿宋_GB2312" w:cs="Times New Roman"/>
          <w:b w:val="0"/>
          <w:bCs/>
          <w:color w:val="000000"/>
          <w:sz w:val="32"/>
          <w:szCs w:val="32"/>
          <w:lang w:val="en-US" w:eastAsia="zh-CN"/>
        </w:rPr>
        <w:t>支出决算为125.76万元，完成预算100%，</w:t>
      </w:r>
      <w:r>
        <w:rPr>
          <w:rStyle w:val="12"/>
          <w:rFonts w:hint="default" w:ascii="仿宋_GB2312" w:hAnsi="Calibri" w:eastAsia="仿宋_GB2312" w:cs="Times New Roman"/>
          <w:b w:val="0"/>
          <w:bCs/>
          <w:color w:val="000000"/>
          <w:sz w:val="32"/>
          <w:szCs w:val="32"/>
          <w:lang w:val="en-US" w:eastAsia="zh-CN"/>
        </w:rPr>
        <w:t>决算数与预算数持平。</w:t>
      </w:r>
    </w:p>
    <w:p w14:paraId="2710D89D">
      <w:pPr>
        <w:pageBreakBefore w:val="0"/>
        <w:widowControl w:val="0"/>
        <w:suppressAutoHyphens/>
        <w:kinsoku/>
        <w:wordWrap/>
        <w:overflowPunct/>
        <w:topLinePunct w:val="0"/>
        <w:autoSpaceDE/>
        <w:autoSpaceDN/>
        <w:bidi w:val="0"/>
        <w:adjustRightInd/>
        <w:snapToGrid/>
        <w:spacing w:line="576" w:lineRule="exact"/>
        <w:ind w:firstLine="640"/>
        <w:textAlignment w:val="auto"/>
        <w:rPr>
          <w:rStyle w:val="12"/>
          <w:rFonts w:hint="eastAsia" w:ascii="仿宋_GB2312" w:hAnsi="Calibri" w:eastAsia="仿宋_GB2312" w:cs="Times New Roman"/>
          <w:b w:val="0"/>
          <w:bCs/>
          <w:color w:val="000000"/>
          <w:sz w:val="32"/>
          <w:szCs w:val="32"/>
          <w:lang w:val="en-US" w:eastAsia="zh-CN"/>
        </w:rPr>
      </w:pPr>
      <w:r>
        <w:rPr>
          <w:rStyle w:val="12"/>
          <w:rFonts w:hint="eastAsia" w:ascii="仿宋_GB2312" w:hAnsi="Calibri" w:eastAsia="仿宋_GB2312" w:cs="Times New Roman"/>
          <w:b/>
          <w:bCs w:val="0"/>
          <w:color w:val="000000"/>
          <w:sz w:val="32"/>
          <w:szCs w:val="32"/>
          <w:lang w:val="en-US" w:eastAsia="zh-CN"/>
        </w:rPr>
        <w:t>2.社会保障和就业支出（</w:t>
      </w:r>
      <w:r>
        <w:rPr>
          <w:rStyle w:val="12"/>
          <w:rFonts w:hint="eastAsia" w:ascii="仿宋" w:hAnsi="仿宋" w:eastAsia="仿宋"/>
          <w:bCs/>
          <w:color w:val="auto"/>
          <w:sz w:val="32"/>
          <w:szCs w:val="32"/>
          <w:highlight w:val="none"/>
          <w:lang w:val="en-US" w:eastAsia="zh-CN"/>
        </w:rPr>
        <w:t>类</w:t>
      </w:r>
      <w:r>
        <w:rPr>
          <w:rStyle w:val="12"/>
          <w:rFonts w:hint="eastAsia" w:ascii="仿宋_GB2312" w:hAnsi="Calibri" w:eastAsia="仿宋_GB2312" w:cs="Times New Roman"/>
          <w:b/>
          <w:bCs w:val="0"/>
          <w:color w:val="000000"/>
          <w:sz w:val="32"/>
          <w:szCs w:val="32"/>
          <w:lang w:val="en-US" w:eastAsia="zh-CN"/>
        </w:rPr>
        <w:t>）行政事业单位养老支出（</w:t>
      </w:r>
      <w:r>
        <w:rPr>
          <w:rStyle w:val="12"/>
          <w:rFonts w:hint="eastAsia" w:ascii="仿宋" w:hAnsi="仿宋" w:eastAsia="仿宋"/>
          <w:bCs/>
          <w:color w:val="auto"/>
          <w:sz w:val="32"/>
          <w:szCs w:val="32"/>
          <w:highlight w:val="none"/>
          <w:lang w:val="en-US" w:eastAsia="zh-CN"/>
        </w:rPr>
        <w:t>款</w:t>
      </w:r>
      <w:r>
        <w:rPr>
          <w:rStyle w:val="12"/>
          <w:rFonts w:hint="eastAsia" w:ascii="仿宋_GB2312" w:hAnsi="Calibri" w:eastAsia="仿宋_GB2312" w:cs="Times New Roman"/>
          <w:b/>
          <w:bCs w:val="0"/>
          <w:color w:val="000000"/>
          <w:sz w:val="32"/>
          <w:szCs w:val="32"/>
          <w:lang w:val="en-US" w:eastAsia="zh-CN"/>
        </w:rPr>
        <w:t>）机关事业单位基本养老保险缴费支出（</w:t>
      </w:r>
      <w:r>
        <w:rPr>
          <w:rStyle w:val="12"/>
          <w:rFonts w:hint="eastAsia" w:ascii="仿宋" w:hAnsi="仿宋" w:eastAsia="仿宋"/>
          <w:bCs/>
          <w:color w:val="auto"/>
          <w:sz w:val="32"/>
          <w:szCs w:val="32"/>
          <w:highlight w:val="none"/>
          <w:lang w:val="en-US" w:eastAsia="zh-CN"/>
        </w:rPr>
        <w:t>项</w:t>
      </w:r>
      <w:r>
        <w:rPr>
          <w:rStyle w:val="12"/>
          <w:rFonts w:hint="eastAsia" w:ascii="仿宋_GB2312" w:hAnsi="Calibri" w:eastAsia="仿宋_GB2312" w:cs="Times New Roman"/>
          <w:b/>
          <w:bCs w:val="0"/>
          <w:color w:val="000000"/>
          <w:sz w:val="32"/>
          <w:szCs w:val="32"/>
          <w:lang w:val="en-US" w:eastAsia="zh-CN"/>
        </w:rPr>
        <w:t>）：</w:t>
      </w:r>
      <w:r>
        <w:rPr>
          <w:rStyle w:val="12"/>
          <w:rFonts w:hint="eastAsia" w:ascii="仿宋_GB2312" w:hAnsi="Calibri" w:eastAsia="仿宋_GB2312" w:cs="Times New Roman"/>
          <w:b w:val="0"/>
          <w:bCs/>
          <w:color w:val="000000"/>
          <w:sz w:val="32"/>
          <w:szCs w:val="32"/>
          <w:lang w:val="en-US" w:eastAsia="zh-CN"/>
        </w:rPr>
        <w:t>支出决算为14.39万元，完成预算100%，</w:t>
      </w:r>
      <w:r>
        <w:rPr>
          <w:rStyle w:val="12"/>
          <w:rFonts w:hint="default" w:ascii="仿宋_GB2312" w:hAnsi="Calibri" w:eastAsia="仿宋_GB2312" w:cs="Times New Roman"/>
          <w:b w:val="0"/>
          <w:bCs/>
          <w:color w:val="000000"/>
          <w:sz w:val="32"/>
          <w:szCs w:val="32"/>
          <w:lang w:val="en-US" w:eastAsia="zh-CN"/>
        </w:rPr>
        <w:t>决算数与预算数持平。</w:t>
      </w:r>
    </w:p>
    <w:p w14:paraId="48384FAB">
      <w:pPr>
        <w:pageBreakBefore w:val="0"/>
        <w:widowControl w:val="0"/>
        <w:suppressAutoHyphens/>
        <w:kinsoku/>
        <w:wordWrap/>
        <w:overflowPunct/>
        <w:topLinePunct w:val="0"/>
        <w:autoSpaceDE/>
        <w:autoSpaceDN/>
        <w:bidi w:val="0"/>
        <w:adjustRightInd/>
        <w:snapToGrid/>
        <w:spacing w:line="576" w:lineRule="exact"/>
        <w:ind w:firstLine="640"/>
        <w:textAlignment w:val="auto"/>
        <w:rPr>
          <w:rStyle w:val="12"/>
          <w:rFonts w:hint="default" w:ascii="仿宋_GB2312" w:hAnsi="Calibri" w:eastAsia="仿宋_GB2312" w:cs="Times New Roman"/>
          <w:b w:val="0"/>
          <w:bCs/>
          <w:color w:val="000000"/>
          <w:sz w:val="32"/>
          <w:szCs w:val="32"/>
          <w:lang w:val="en-US" w:eastAsia="zh-CN"/>
        </w:rPr>
      </w:pPr>
      <w:r>
        <w:rPr>
          <w:rStyle w:val="12"/>
          <w:rFonts w:hint="eastAsia" w:ascii="仿宋_GB2312" w:hAnsi="Calibri" w:eastAsia="仿宋_GB2312" w:cs="Times New Roman"/>
          <w:b/>
          <w:bCs w:val="0"/>
          <w:color w:val="000000"/>
          <w:sz w:val="32"/>
          <w:szCs w:val="32"/>
          <w:lang w:val="en-US" w:eastAsia="zh-CN"/>
        </w:rPr>
        <w:t>3.社会保障和就业支出（</w:t>
      </w:r>
      <w:r>
        <w:rPr>
          <w:rStyle w:val="12"/>
          <w:rFonts w:hint="eastAsia" w:ascii="仿宋" w:hAnsi="仿宋" w:eastAsia="仿宋"/>
          <w:bCs/>
          <w:color w:val="auto"/>
          <w:sz w:val="32"/>
          <w:szCs w:val="32"/>
          <w:highlight w:val="none"/>
          <w:lang w:val="en-US" w:eastAsia="zh-CN"/>
        </w:rPr>
        <w:t>类</w:t>
      </w:r>
      <w:r>
        <w:rPr>
          <w:rStyle w:val="12"/>
          <w:rFonts w:hint="eastAsia" w:ascii="仿宋_GB2312" w:hAnsi="Calibri" w:eastAsia="仿宋_GB2312" w:cs="Times New Roman"/>
          <w:b/>
          <w:bCs w:val="0"/>
          <w:color w:val="000000"/>
          <w:sz w:val="32"/>
          <w:szCs w:val="32"/>
          <w:lang w:val="en-US" w:eastAsia="zh-CN"/>
        </w:rPr>
        <w:t>）行政事业单位养老支出（</w:t>
      </w:r>
      <w:r>
        <w:rPr>
          <w:rStyle w:val="12"/>
          <w:rFonts w:hint="eastAsia" w:ascii="仿宋" w:hAnsi="仿宋" w:eastAsia="仿宋"/>
          <w:bCs/>
          <w:color w:val="auto"/>
          <w:sz w:val="32"/>
          <w:szCs w:val="32"/>
          <w:highlight w:val="none"/>
          <w:lang w:val="en-US" w:eastAsia="zh-CN"/>
        </w:rPr>
        <w:t>款</w:t>
      </w:r>
      <w:r>
        <w:rPr>
          <w:rStyle w:val="12"/>
          <w:rFonts w:hint="eastAsia" w:ascii="仿宋_GB2312" w:hAnsi="Calibri" w:eastAsia="仿宋_GB2312" w:cs="Times New Roman"/>
          <w:b/>
          <w:bCs w:val="0"/>
          <w:color w:val="000000"/>
          <w:sz w:val="32"/>
          <w:szCs w:val="32"/>
          <w:lang w:val="en-US" w:eastAsia="zh-CN"/>
        </w:rPr>
        <w:t>）机关事业单位职业年金缴费支出（</w:t>
      </w:r>
      <w:r>
        <w:rPr>
          <w:rStyle w:val="12"/>
          <w:rFonts w:hint="eastAsia" w:ascii="仿宋" w:hAnsi="仿宋" w:eastAsia="仿宋"/>
          <w:bCs/>
          <w:color w:val="auto"/>
          <w:sz w:val="32"/>
          <w:szCs w:val="32"/>
          <w:highlight w:val="none"/>
          <w:lang w:val="en-US" w:eastAsia="zh-CN"/>
        </w:rPr>
        <w:t>项</w:t>
      </w:r>
      <w:r>
        <w:rPr>
          <w:rStyle w:val="12"/>
          <w:rFonts w:hint="eastAsia" w:ascii="仿宋_GB2312" w:hAnsi="Calibri" w:eastAsia="仿宋_GB2312" w:cs="Times New Roman"/>
          <w:b/>
          <w:bCs w:val="0"/>
          <w:color w:val="000000"/>
          <w:sz w:val="32"/>
          <w:szCs w:val="32"/>
          <w:lang w:val="en-US" w:eastAsia="zh-CN"/>
        </w:rPr>
        <w:t>）：</w:t>
      </w:r>
      <w:r>
        <w:rPr>
          <w:rStyle w:val="12"/>
          <w:rFonts w:hint="eastAsia" w:ascii="仿宋_GB2312" w:hAnsi="Calibri" w:eastAsia="仿宋_GB2312" w:cs="Times New Roman"/>
          <w:b w:val="0"/>
          <w:bCs/>
          <w:color w:val="000000"/>
          <w:sz w:val="32"/>
          <w:szCs w:val="32"/>
          <w:lang w:val="en-US" w:eastAsia="zh-CN"/>
        </w:rPr>
        <w:t>支出决算为7.2万元，完成预算100%，</w:t>
      </w:r>
      <w:r>
        <w:rPr>
          <w:rStyle w:val="12"/>
          <w:rFonts w:hint="default" w:ascii="仿宋_GB2312" w:hAnsi="Calibri" w:eastAsia="仿宋_GB2312" w:cs="Times New Roman"/>
          <w:b w:val="0"/>
          <w:bCs/>
          <w:color w:val="000000"/>
          <w:sz w:val="32"/>
          <w:szCs w:val="32"/>
          <w:lang w:val="en-US" w:eastAsia="zh-CN"/>
        </w:rPr>
        <w:t>决算数与预算数持平。</w:t>
      </w:r>
    </w:p>
    <w:p w14:paraId="03526427">
      <w:pPr>
        <w:pageBreakBefore w:val="0"/>
        <w:widowControl w:val="0"/>
        <w:suppressAutoHyphens/>
        <w:kinsoku/>
        <w:wordWrap/>
        <w:overflowPunct/>
        <w:topLinePunct w:val="0"/>
        <w:autoSpaceDE/>
        <w:autoSpaceDN/>
        <w:bidi w:val="0"/>
        <w:adjustRightInd/>
        <w:snapToGrid/>
        <w:spacing w:line="576" w:lineRule="exact"/>
        <w:ind w:firstLine="640"/>
        <w:textAlignment w:val="auto"/>
        <w:rPr>
          <w:rStyle w:val="12"/>
          <w:rFonts w:hint="default" w:ascii="仿宋_GB2312" w:hAnsi="Calibri" w:eastAsia="仿宋_GB2312" w:cs="Times New Roman"/>
          <w:b w:val="0"/>
          <w:bCs/>
          <w:color w:val="000000"/>
          <w:sz w:val="32"/>
          <w:szCs w:val="32"/>
          <w:lang w:val="en-US" w:eastAsia="zh-CN"/>
        </w:rPr>
      </w:pPr>
      <w:r>
        <w:rPr>
          <w:rStyle w:val="12"/>
          <w:rFonts w:hint="eastAsia" w:ascii="仿宋_GB2312" w:hAnsi="Calibri" w:eastAsia="仿宋_GB2312" w:cs="Times New Roman"/>
          <w:b/>
          <w:bCs w:val="0"/>
          <w:color w:val="000000"/>
          <w:sz w:val="32"/>
          <w:szCs w:val="32"/>
          <w:lang w:val="en-US" w:eastAsia="zh-CN"/>
        </w:rPr>
        <w:t>4.卫生健康支出（</w:t>
      </w:r>
      <w:r>
        <w:rPr>
          <w:rStyle w:val="12"/>
          <w:rFonts w:hint="eastAsia" w:ascii="仿宋" w:hAnsi="仿宋" w:eastAsia="仿宋"/>
          <w:bCs/>
          <w:color w:val="auto"/>
          <w:sz w:val="32"/>
          <w:szCs w:val="32"/>
          <w:highlight w:val="none"/>
          <w:lang w:val="en-US" w:eastAsia="zh-CN"/>
        </w:rPr>
        <w:t>类</w:t>
      </w:r>
      <w:r>
        <w:rPr>
          <w:rStyle w:val="12"/>
          <w:rFonts w:hint="eastAsia" w:ascii="仿宋_GB2312" w:hAnsi="Calibri" w:eastAsia="仿宋_GB2312" w:cs="Times New Roman"/>
          <w:b/>
          <w:bCs w:val="0"/>
          <w:color w:val="000000"/>
          <w:sz w:val="32"/>
          <w:szCs w:val="32"/>
          <w:lang w:val="en-US" w:eastAsia="zh-CN"/>
        </w:rPr>
        <w:t>）行政事业单位医疗（</w:t>
      </w:r>
      <w:r>
        <w:rPr>
          <w:rStyle w:val="12"/>
          <w:rFonts w:hint="eastAsia" w:ascii="仿宋" w:hAnsi="仿宋" w:eastAsia="仿宋"/>
          <w:bCs/>
          <w:color w:val="auto"/>
          <w:sz w:val="32"/>
          <w:szCs w:val="32"/>
          <w:highlight w:val="none"/>
          <w:lang w:val="en-US" w:eastAsia="zh-CN"/>
        </w:rPr>
        <w:t>款</w:t>
      </w:r>
      <w:r>
        <w:rPr>
          <w:rStyle w:val="12"/>
          <w:rFonts w:hint="eastAsia" w:ascii="仿宋_GB2312" w:hAnsi="Calibri" w:eastAsia="仿宋_GB2312" w:cs="Times New Roman"/>
          <w:b/>
          <w:bCs w:val="0"/>
          <w:color w:val="000000"/>
          <w:sz w:val="32"/>
          <w:szCs w:val="32"/>
          <w:lang w:val="en-US" w:eastAsia="zh-CN"/>
        </w:rPr>
        <w:t>）事业单位医疗（</w:t>
      </w:r>
      <w:r>
        <w:rPr>
          <w:rStyle w:val="12"/>
          <w:rFonts w:hint="eastAsia" w:ascii="仿宋" w:hAnsi="仿宋" w:eastAsia="仿宋"/>
          <w:bCs/>
          <w:color w:val="auto"/>
          <w:sz w:val="32"/>
          <w:szCs w:val="32"/>
          <w:highlight w:val="none"/>
          <w:lang w:val="en-US" w:eastAsia="zh-CN"/>
        </w:rPr>
        <w:t>项</w:t>
      </w:r>
      <w:r>
        <w:rPr>
          <w:rStyle w:val="12"/>
          <w:rFonts w:hint="eastAsia" w:ascii="仿宋_GB2312" w:hAnsi="Calibri" w:eastAsia="仿宋_GB2312" w:cs="Times New Roman"/>
          <w:b/>
          <w:bCs w:val="0"/>
          <w:color w:val="000000"/>
          <w:sz w:val="32"/>
          <w:szCs w:val="32"/>
          <w:lang w:val="en-US" w:eastAsia="zh-CN"/>
        </w:rPr>
        <w:t>）：</w:t>
      </w:r>
      <w:r>
        <w:rPr>
          <w:rStyle w:val="12"/>
          <w:rFonts w:hint="eastAsia" w:ascii="仿宋_GB2312" w:hAnsi="Calibri" w:eastAsia="仿宋_GB2312" w:cs="Times New Roman"/>
          <w:b w:val="0"/>
          <w:bCs/>
          <w:color w:val="000000"/>
          <w:sz w:val="32"/>
          <w:szCs w:val="32"/>
          <w:lang w:val="en-US" w:eastAsia="zh-CN"/>
        </w:rPr>
        <w:t>支出决算为8.83万元，完成预算100%，</w:t>
      </w:r>
      <w:r>
        <w:rPr>
          <w:rStyle w:val="12"/>
          <w:rFonts w:hint="default" w:ascii="仿宋_GB2312" w:hAnsi="Calibri" w:eastAsia="仿宋_GB2312" w:cs="Times New Roman"/>
          <w:b w:val="0"/>
          <w:bCs/>
          <w:color w:val="000000"/>
          <w:sz w:val="32"/>
          <w:szCs w:val="32"/>
          <w:lang w:val="en-US" w:eastAsia="zh-CN"/>
        </w:rPr>
        <w:t>决算数与预算数持平。</w:t>
      </w:r>
    </w:p>
    <w:p w14:paraId="68D39891">
      <w:pPr>
        <w:pageBreakBefore w:val="0"/>
        <w:widowControl w:val="0"/>
        <w:suppressAutoHyphens/>
        <w:kinsoku/>
        <w:wordWrap/>
        <w:overflowPunct/>
        <w:topLinePunct w:val="0"/>
        <w:autoSpaceDE/>
        <w:autoSpaceDN/>
        <w:bidi w:val="0"/>
        <w:adjustRightInd/>
        <w:snapToGrid/>
        <w:spacing w:line="576" w:lineRule="exact"/>
        <w:ind w:firstLine="640"/>
        <w:textAlignment w:val="auto"/>
        <w:rPr>
          <w:rFonts w:hint="eastAsia" w:ascii="Times New Roman" w:hAnsi="Times New Roman" w:eastAsia="仿宋_GB2312" w:cs="仿宋_GB2312"/>
          <w:color w:val="auto"/>
          <w:kern w:val="2"/>
          <w:sz w:val="32"/>
          <w:szCs w:val="32"/>
          <w:highlight w:val="none"/>
          <w:lang w:val="en-US" w:eastAsia="zh-CN" w:bidi="ar-SA"/>
        </w:rPr>
      </w:pPr>
      <w:r>
        <w:rPr>
          <w:rStyle w:val="12"/>
          <w:rFonts w:hint="eastAsia" w:ascii="仿宋_GB2312" w:hAnsi="Calibri" w:eastAsia="仿宋_GB2312" w:cs="Times New Roman"/>
          <w:b/>
          <w:bCs w:val="0"/>
          <w:color w:val="000000"/>
          <w:sz w:val="32"/>
          <w:szCs w:val="32"/>
          <w:lang w:val="en-US" w:eastAsia="zh-CN"/>
        </w:rPr>
        <w:t>5.住房保障支出（</w:t>
      </w:r>
      <w:r>
        <w:rPr>
          <w:rStyle w:val="12"/>
          <w:rFonts w:hint="eastAsia" w:ascii="仿宋" w:hAnsi="仿宋" w:eastAsia="仿宋"/>
          <w:bCs/>
          <w:color w:val="auto"/>
          <w:sz w:val="32"/>
          <w:szCs w:val="32"/>
          <w:highlight w:val="none"/>
          <w:lang w:val="en-US" w:eastAsia="zh-CN"/>
        </w:rPr>
        <w:t>类</w:t>
      </w:r>
      <w:r>
        <w:rPr>
          <w:rStyle w:val="12"/>
          <w:rFonts w:hint="eastAsia" w:ascii="仿宋_GB2312" w:hAnsi="Calibri" w:eastAsia="仿宋_GB2312" w:cs="Times New Roman"/>
          <w:b/>
          <w:bCs w:val="0"/>
          <w:color w:val="000000"/>
          <w:sz w:val="32"/>
          <w:szCs w:val="32"/>
          <w:lang w:val="en-US" w:eastAsia="zh-CN"/>
        </w:rPr>
        <w:t>）住房改革支出（</w:t>
      </w:r>
      <w:r>
        <w:rPr>
          <w:rStyle w:val="12"/>
          <w:rFonts w:hint="eastAsia" w:ascii="仿宋" w:hAnsi="仿宋" w:eastAsia="仿宋"/>
          <w:bCs/>
          <w:color w:val="auto"/>
          <w:sz w:val="32"/>
          <w:szCs w:val="32"/>
          <w:highlight w:val="none"/>
          <w:lang w:val="en-US" w:eastAsia="zh-CN"/>
        </w:rPr>
        <w:t>款</w:t>
      </w:r>
      <w:r>
        <w:rPr>
          <w:rStyle w:val="12"/>
          <w:rFonts w:hint="eastAsia" w:ascii="仿宋_GB2312" w:hAnsi="Calibri" w:eastAsia="仿宋_GB2312" w:cs="Times New Roman"/>
          <w:b/>
          <w:bCs w:val="0"/>
          <w:color w:val="000000"/>
          <w:sz w:val="32"/>
          <w:szCs w:val="32"/>
          <w:lang w:val="en-US" w:eastAsia="zh-CN"/>
        </w:rPr>
        <w:t>）住房公积金（</w:t>
      </w:r>
      <w:r>
        <w:rPr>
          <w:rStyle w:val="12"/>
          <w:rFonts w:hint="eastAsia" w:ascii="仿宋" w:hAnsi="仿宋" w:eastAsia="仿宋"/>
          <w:bCs/>
          <w:color w:val="auto"/>
          <w:sz w:val="32"/>
          <w:szCs w:val="32"/>
          <w:highlight w:val="none"/>
          <w:lang w:val="en-US" w:eastAsia="zh-CN"/>
        </w:rPr>
        <w:t>项</w:t>
      </w:r>
      <w:r>
        <w:rPr>
          <w:rStyle w:val="12"/>
          <w:rFonts w:hint="eastAsia" w:ascii="仿宋_GB2312" w:hAnsi="Calibri" w:eastAsia="仿宋_GB2312" w:cs="Times New Roman"/>
          <w:b/>
          <w:bCs w:val="0"/>
          <w:color w:val="000000"/>
          <w:sz w:val="32"/>
          <w:szCs w:val="32"/>
          <w:lang w:val="en-US" w:eastAsia="zh-CN"/>
        </w:rPr>
        <w:t>）</w:t>
      </w:r>
      <w:r>
        <w:rPr>
          <w:rStyle w:val="12"/>
          <w:rFonts w:hint="eastAsia" w:ascii="仿宋_GB2312" w:eastAsia="仿宋_GB2312" w:cs="Times New Roman"/>
          <w:b/>
          <w:bCs w:val="0"/>
          <w:color w:val="000000"/>
          <w:sz w:val="32"/>
          <w:szCs w:val="32"/>
          <w:lang w:val="en-US" w:eastAsia="zh-CN"/>
        </w:rPr>
        <w:t>：</w:t>
      </w:r>
      <w:r>
        <w:rPr>
          <w:rStyle w:val="12"/>
          <w:rFonts w:hint="eastAsia" w:ascii="仿宋_GB2312" w:hAnsi="Calibri" w:eastAsia="仿宋_GB2312" w:cs="Times New Roman"/>
          <w:b w:val="0"/>
          <w:bCs/>
          <w:color w:val="000000"/>
          <w:sz w:val="32"/>
          <w:szCs w:val="32"/>
          <w:lang w:val="en-US" w:eastAsia="zh-CN"/>
        </w:rPr>
        <w:t>支出决算为12.75万元，完成预算100%，</w:t>
      </w:r>
      <w:r>
        <w:rPr>
          <w:rStyle w:val="12"/>
          <w:rFonts w:hint="default" w:ascii="仿宋_GB2312" w:hAnsi="Calibri" w:eastAsia="仿宋_GB2312" w:cs="Times New Roman"/>
          <w:b w:val="0"/>
          <w:bCs/>
          <w:color w:val="000000"/>
          <w:sz w:val="32"/>
          <w:szCs w:val="32"/>
          <w:lang w:val="en-US" w:eastAsia="zh-CN"/>
        </w:rPr>
        <w:t>决算数与预算数持平。</w:t>
      </w:r>
    </w:p>
    <w:p w14:paraId="6831BB00">
      <w:pPr>
        <w:tabs>
          <w:tab w:val="right" w:pos="8306"/>
        </w:tabs>
        <w:spacing w:line="600" w:lineRule="exact"/>
        <w:ind w:firstLine="640"/>
        <w:outlineLvl w:val="1"/>
        <w:rPr>
          <w:rStyle w:val="14"/>
          <w:color w:val="auto"/>
          <w:highlight w:val="none"/>
        </w:rPr>
      </w:pPr>
      <w:r>
        <w:rPr>
          <w:rFonts w:hint="eastAsia" w:ascii="黑体" w:eastAsia="黑体"/>
          <w:color w:val="auto"/>
          <w:sz w:val="32"/>
          <w:szCs w:val="32"/>
          <w:highlight w:val="none"/>
        </w:rPr>
        <w:t>六</w:t>
      </w:r>
      <w:r>
        <w:rPr>
          <w:rFonts w:hint="eastAsia" w:ascii="黑体" w:eastAsia="黑体"/>
          <w:b/>
          <w:color w:val="auto"/>
          <w:sz w:val="32"/>
          <w:szCs w:val="32"/>
          <w:highlight w:val="none"/>
        </w:rPr>
        <w:t>、</w:t>
      </w:r>
      <w:r>
        <w:rPr>
          <w:rFonts w:hint="eastAsia" w:ascii="黑体" w:hAnsi="黑体" w:eastAsia="黑体"/>
          <w:b/>
          <w:color w:val="auto"/>
          <w:sz w:val="32"/>
          <w:szCs w:val="32"/>
          <w:highlight w:val="none"/>
        </w:rPr>
        <w:t>一</w:t>
      </w:r>
      <w:r>
        <w:rPr>
          <w:rStyle w:val="14"/>
          <w:rFonts w:hint="eastAsia" w:ascii="黑体" w:hAnsi="黑体" w:eastAsia="黑体"/>
          <w:b w:val="0"/>
          <w:color w:val="auto"/>
          <w:highlight w:val="none"/>
        </w:rPr>
        <w:t>般公共预算财政拨款基本支出决算情况说明</w:t>
      </w:r>
      <w:r>
        <w:rPr>
          <w:rStyle w:val="14"/>
          <w:rFonts w:ascii="黑体" w:hAnsi="黑体" w:eastAsia="黑体"/>
          <w:b w:val="0"/>
          <w:color w:val="auto"/>
          <w:highlight w:val="none"/>
        </w:rPr>
        <w:tab/>
      </w:r>
    </w:p>
    <w:p w14:paraId="79A89055">
      <w:pPr>
        <w:pageBreakBefore w:val="0"/>
        <w:widowControl w:val="0"/>
        <w:suppressAutoHyphens/>
        <w:kinsoku/>
        <w:wordWrap/>
        <w:overflowPunct/>
        <w:topLinePunct w:val="0"/>
        <w:autoSpaceDE/>
        <w:autoSpaceDN/>
        <w:bidi w:val="0"/>
        <w:adjustRightInd/>
        <w:snapToGrid/>
        <w:spacing w:line="576" w:lineRule="exact"/>
        <w:ind w:firstLine="640"/>
        <w:textAlignment w:val="auto"/>
        <w:rPr>
          <w:rStyle w:val="12"/>
          <w:rFonts w:hint="eastAsia" w:ascii="仿宋_GB2312" w:hAnsi="Calibri" w:eastAsia="仿宋_GB2312" w:cs="Times New Roman"/>
          <w:b w:val="0"/>
          <w:bCs/>
          <w:color w:val="000000"/>
          <w:sz w:val="32"/>
          <w:szCs w:val="32"/>
          <w:lang w:val="en-US" w:eastAsia="zh-CN"/>
        </w:rPr>
      </w:pPr>
      <w:r>
        <w:rPr>
          <w:rStyle w:val="12"/>
          <w:rFonts w:hint="eastAsia" w:ascii="仿宋_GB2312" w:hAnsi="Calibri" w:eastAsia="仿宋_GB2312" w:cs="Times New Roman"/>
          <w:b w:val="0"/>
          <w:bCs/>
          <w:color w:val="000000"/>
          <w:sz w:val="32"/>
          <w:szCs w:val="32"/>
          <w:lang w:val="en-US" w:eastAsia="zh-CN"/>
        </w:rPr>
        <w:t>2025年度一般公共预算财政拨款基本支出168.93万元，其中：</w:t>
      </w:r>
    </w:p>
    <w:p w14:paraId="67D2B4A7">
      <w:pPr>
        <w:pageBreakBefore w:val="0"/>
        <w:widowControl w:val="0"/>
        <w:suppressAutoHyphens/>
        <w:kinsoku/>
        <w:wordWrap/>
        <w:overflowPunct/>
        <w:topLinePunct w:val="0"/>
        <w:autoSpaceDE/>
        <w:autoSpaceDN/>
        <w:bidi w:val="0"/>
        <w:adjustRightInd/>
        <w:snapToGrid/>
        <w:spacing w:line="576" w:lineRule="exact"/>
        <w:ind w:firstLine="640"/>
        <w:textAlignment w:val="auto"/>
        <w:rPr>
          <w:rStyle w:val="12"/>
          <w:rFonts w:hint="eastAsia" w:ascii="仿宋_GB2312" w:hAnsi="Calibri" w:eastAsia="仿宋_GB2312" w:cs="Times New Roman"/>
          <w:b w:val="0"/>
          <w:bCs/>
          <w:color w:val="000000"/>
          <w:sz w:val="32"/>
          <w:szCs w:val="32"/>
          <w:lang w:val="en-US" w:eastAsia="zh-CN"/>
        </w:rPr>
      </w:pPr>
      <w:r>
        <w:rPr>
          <w:rStyle w:val="12"/>
          <w:rFonts w:hint="eastAsia" w:ascii="仿宋_GB2312" w:hAnsi="Calibri" w:eastAsia="仿宋_GB2312" w:cs="Times New Roman"/>
          <w:b w:val="0"/>
          <w:bCs/>
          <w:color w:val="000000"/>
          <w:sz w:val="32"/>
          <w:szCs w:val="32"/>
          <w:lang w:val="en-US" w:eastAsia="zh-CN"/>
        </w:rPr>
        <w:t>人员经费160.74万元，主要包括：基本工资、津贴补贴、绩效工资、机关事业单位基本养老保险缴费、职业年金缴费、职工基本医疗保险缴费、其他社会保障缴费、住房公积金、医疗费、其他对个人和家庭的补助支出奖励金等。</w:t>
      </w:r>
      <w:r>
        <w:rPr>
          <w:rStyle w:val="12"/>
          <w:rFonts w:hint="eastAsia" w:ascii="仿宋_GB2312" w:hAnsi="Calibri" w:eastAsia="仿宋_GB2312" w:cs="Times New Roman"/>
          <w:b w:val="0"/>
          <w:bCs/>
          <w:color w:val="000000"/>
          <w:sz w:val="32"/>
          <w:szCs w:val="32"/>
          <w:lang w:val="en-US" w:eastAsia="zh-CN"/>
        </w:rPr>
        <w:br w:type="textWrapping"/>
      </w:r>
      <w:r>
        <w:rPr>
          <w:rStyle w:val="12"/>
          <w:rFonts w:hint="eastAsia" w:ascii="仿宋_GB2312" w:hAnsi="Calibri" w:eastAsia="仿宋_GB2312" w:cs="Times New Roman"/>
          <w:b w:val="0"/>
          <w:bCs/>
          <w:color w:val="000000"/>
          <w:sz w:val="32"/>
          <w:szCs w:val="32"/>
          <w:lang w:val="en-US" w:eastAsia="zh-CN"/>
        </w:rPr>
        <w:t>　　公用经费8.19万元，主要包括：办公费、邮电费、差旅费、其他商品和服务支出、公务用车运行维护费等。</w:t>
      </w:r>
    </w:p>
    <w:p w14:paraId="7E465D4B">
      <w:pPr>
        <w:spacing w:line="600" w:lineRule="exact"/>
        <w:ind w:firstLine="640"/>
        <w:outlineLvl w:val="1"/>
        <w:rPr>
          <w:rStyle w:val="14"/>
          <w:rFonts w:ascii="黑体" w:hAnsi="黑体" w:eastAsia="黑体"/>
          <w:b w:val="0"/>
          <w:color w:val="auto"/>
          <w:highlight w:val="none"/>
        </w:rPr>
      </w:pPr>
      <w:r>
        <w:rPr>
          <w:rFonts w:hint="eastAsia" w:ascii="黑体" w:eastAsia="黑体"/>
          <w:color w:val="auto"/>
          <w:sz w:val="32"/>
          <w:szCs w:val="32"/>
          <w:highlight w:val="none"/>
        </w:rPr>
        <w:t>七、</w:t>
      </w:r>
      <w:r>
        <w:rPr>
          <w:rStyle w:val="14"/>
          <w:rFonts w:hint="eastAsia" w:ascii="黑体" w:hAnsi="黑体" w:eastAsia="黑体"/>
          <w:b w:val="0"/>
          <w:color w:val="auto"/>
          <w:highlight w:val="none"/>
        </w:rPr>
        <w:t>财政拨款</w:t>
      </w:r>
      <w:r>
        <w:rPr>
          <w:rStyle w:val="14"/>
          <w:rFonts w:hint="eastAsia" w:ascii="黑体" w:hAnsi="黑体" w:eastAsia="黑体" w:cs="Times New Roman"/>
          <w:b w:val="0"/>
          <w:color w:val="auto"/>
          <w:highlight w:val="none"/>
        </w:rPr>
        <w:t>“三公”经</w:t>
      </w:r>
      <w:r>
        <w:rPr>
          <w:rStyle w:val="14"/>
          <w:rFonts w:hint="eastAsia" w:ascii="黑体" w:hAnsi="黑体" w:eastAsia="黑体"/>
          <w:b w:val="0"/>
          <w:color w:val="auto"/>
          <w:highlight w:val="none"/>
        </w:rPr>
        <w:t>费支出决算情况说明</w:t>
      </w:r>
    </w:p>
    <w:p w14:paraId="439166BE">
      <w:pPr>
        <w:suppressAutoHyphens/>
        <w:bidi w:val="0"/>
        <w:spacing w:line="600" w:lineRule="exact"/>
        <w:ind w:firstLine="643" w:firstLineChars="200"/>
        <w:outlineLvl w:val="2"/>
        <w:rPr>
          <w:rFonts w:hint="eastAsia" w:ascii="Times New Roman" w:hAnsi="Times New Roman" w:eastAsia="楷体_GB2312" w:cs="楷体_GB2312"/>
          <w:b/>
          <w:color w:val="auto"/>
          <w:sz w:val="32"/>
          <w:szCs w:val="32"/>
          <w:highlight w:val="none"/>
        </w:rPr>
      </w:pPr>
      <w:r>
        <w:rPr>
          <w:rFonts w:hint="eastAsia" w:ascii="Times New Roman" w:hAnsi="Times New Roman" w:eastAsia="楷体_GB2312" w:cs="楷体_GB2312"/>
          <w:b/>
          <w:color w:val="auto"/>
          <w:sz w:val="32"/>
          <w:szCs w:val="32"/>
          <w:highlight w:val="none"/>
        </w:rPr>
        <w:t>（一）“三公”经费财政拨款支出决算总体情况说明</w:t>
      </w:r>
    </w:p>
    <w:p w14:paraId="4899775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olor w:val="auto"/>
          <w:sz w:val="32"/>
          <w:szCs w:val="32"/>
          <w:highlight w:val="none"/>
          <w:lang w:eastAsia="zh-CN"/>
        </w:rPr>
      </w:pPr>
      <w:r>
        <w:rPr>
          <w:rFonts w:hint="eastAsia" w:ascii="仿宋" w:hAnsi="仿宋" w:eastAsia="仿宋"/>
          <w:color w:val="auto"/>
          <w:sz w:val="32"/>
          <w:szCs w:val="32"/>
          <w:highlight w:val="none"/>
          <w:lang w:eastAsia="zh-CN"/>
        </w:rPr>
        <w:t>202</w:t>
      </w:r>
      <w:r>
        <w:rPr>
          <w:rFonts w:hint="eastAsia" w:ascii="仿宋" w:hAnsi="仿宋" w:eastAsia="仿宋"/>
          <w:color w:val="auto"/>
          <w:sz w:val="32"/>
          <w:szCs w:val="32"/>
          <w:highlight w:val="none"/>
          <w:lang w:val="en-US" w:eastAsia="zh-CN"/>
        </w:rPr>
        <w:t>5</w:t>
      </w:r>
      <w:r>
        <w:rPr>
          <w:rFonts w:hint="eastAsia" w:ascii="仿宋" w:hAnsi="仿宋" w:eastAsia="仿宋"/>
          <w:color w:val="auto"/>
          <w:sz w:val="32"/>
          <w:szCs w:val="32"/>
          <w:highlight w:val="none"/>
          <w:lang w:eastAsia="zh-CN"/>
        </w:rPr>
        <w:t>年度</w:t>
      </w:r>
      <w:r>
        <w:rPr>
          <w:rFonts w:hint="eastAsia" w:ascii="仿宋" w:hAnsi="仿宋" w:eastAsia="仿宋"/>
          <w:color w:val="auto"/>
          <w:sz w:val="32"/>
          <w:szCs w:val="32"/>
          <w:highlight w:val="none"/>
        </w:rPr>
        <w:t>“三公”经费财政拨款支出决算为</w:t>
      </w:r>
      <w:r>
        <w:rPr>
          <w:rFonts w:hint="eastAsia" w:ascii="仿宋" w:hAnsi="仿宋" w:eastAsia="仿宋"/>
          <w:color w:val="auto"/>
          <w:sz w:val="32"/>
          <w:szCs w:val="32"/>
          <w:highlight w:val="none"/>
          <w:lang w:val="en-US" w:eastAsia="zh-CN"/>
        </w:rPr>
        <w:t>0.92</w:t>
      </w:r>
      <w:r>
        <w:rPr>
          <w:rFonts w:hint="eastAsia" w:ascii="仿宋" w:hAnsi="仿宋" w:eastAsia="仿宋"/>
          <w:color w:val="auto"/>
          <w:sz w:val="32"/>
          <w:szCs w:val="32"/>
          <w:highlight w:val="none"/>
        </w:rPr>
        <w:t>万元，完成预算</w:t>
      </w:r>
      <w:r>
        <w:rPr>
          <w:rFonts w:hint="eastAsia" w:ascii="仿宋" w:hAnsi="仿宋" w:eastAsia="仿宋"/>
          <w:color w:val="auto"/>
          <w:sz w:val="32"/>
          <w:szCs w:val="32"/>
          <w:highlight w:val="none"/>
          <w:lang w:val="en-US" w:eastAsia="zh-CN"/>
        </w:rPr>
        <w:t>100</w:t>
      </w:r>
      <w:r>
        <w:rPr>
          <w:rFonts w:ascii="仿宋" w:hAnsi="仿宋" w:eastAsia="仿宋"/>
          <w:color w:val="auto"/>
          <w:sz w:val="32"/>
          <w:szCs w:val="32"/>
          <w:highlight w:val="none"/>
        </w:rPr>
        <w:t>%</w:t>
      </w:r>
      <w:r>
        <w:rPr>
          <w:rFonts w:hint="eastAsia" w:ascii="仿宋" w:hAnsi="仿宋" w:eastAsia="仿宋"/>
          <w:color w:val="auto"/>
          <w:sz w:val="32"/>
          <w:szCs w:val="32"/>
          <w:highlight w:val="none"/>
        </w:rPr>
        <w:t>，</w:t>
      </w:r>
      <w:r>
        <w:rPr>
          <w:rFonts w:hint="eastAsia" w:ascii="仿宋" w:hAnsi="仿宋" w:eastAsia="仿宋"/>
          <w:color w:val="auto"/>
          <w:sz w:val="32"/>
          <w:szCs w:val="32"/>
          <w:highlight w:val="none"/>
          <w:lang w:val="en-US" w:eastAsia="zh-CN"/>
        </w:rPr>
        <w:t>与</w:t>
      </w:r>
      <w:r>
        <w:rPr>
          <w:rFonts w:hint="eastAsia" w:ascii="仿宋" w:hAnsi="仿宋" w:eastAsia="仿宋"/>
          <w:color w:val="auto"/>
          <w:sz w:val="32"/>
          <w:szCs w:val="32"/>
          <w:highlight w:val="none"/>
          <w:lang w:eastAsia="zh-CN"/>
        </w:rPr>
        <w:t>上年度</w:t>
      </w:r>
      <w:r>
        <w:rPr>
          <w:rFonts w:hint="eastAsia" w:ascii="仿宋" w:hAnsi="仿宋" w:eastAsia="仿宋"/>
          <w:color w:val="auto"/>
          <w:sz w:val="32"/>
          <w:szCs w:val="32"/>
          <w:highlight w:val="none"/>
          <w:lang w:val="en-US" w:eastAsia="zh-CN"/>
        </w:rPr>
        <w:t>相比减少1.15万元，下降55.55%。</w:t>
      </w:r>
      <w:r>
        <w:rPr>
          <w:rFonts w:hint="eastAsia" w:ascii="仿宋_GB2312" w:eastAsia="仿宋_GB2312"/>
          <w:color w:val="auto"/>
          <w:sz w:val="32"/>
          <w:szCs w:val="32"/>
          <w:highlight w:val="none"/>
        </w:rPr>
        <w:t>主要原因是</w:t>
      </w:r>
      <w:r>
        <w:rPr>
          <w:rFonts w:hint="eastAsia" w:ascii="仿宋_GB2312" w:eastAsia="仿宋_GB2312"/>
          <w:color w:val="auto"/>
          <w:sz w:val="32"/>
          <w:szCs w:val="32"/>
          <w:highlight w:val="none"/>
          <w:lang w:eastAsia="zh-CN"/>
        </w:rPr>
        <w:t>：</w:t>
      </w:r>
      <w:r>
        <w:rPr>
          <w:rStyle w:val="12"/>
          <w:rFonts w:hint="eastAsia" w:ascii="仿宋_GB2312" w:hAnsi="Calibri" w:eastAsia="仿宋_GB2312" w:cs="Times New Roman"/>
          <w:b w:val="0"/>
          <w:bCs/>
          <w:color w:val="000000"/>
          <w:sz w:val="32"/>
          <w:szCs w:val="32"/>
          <w:lang w:val="en-US" w:eastAsia="zh-CN"/>
        </w:rPr>
        <w:t>厉行节俭、减少支出。</w:t>
      </w:r>
    </w:p>
    <w:p w14:paraId="6431993E">
      <w:pPr>
        <w:suppressAutoHyphens/>
        <w:bidi w:val="0"/>
        <w:spacing w:line="600" w:lineRule="exact"/>
        <w:ind w:firstLine="643" w:firstLineChars="200"/>
        <w:outlineLvl w:val="2"/>
        <w:rPr>
          <w:rFonts w:hint="eastAsia" w:ascii="Times New Roman" w:hAnsi="Times New Roman" w:eastAsia="楷体_GB2312" w:cs="楷体_GB2312"/>
          <w:b/>
          <w:color w:val="auto"/>
          <w:sz w:val="32"/>
          <w:szCs w:val="32"/>
          <w:highlight w:val="none"/>
        </w:rPr>
      </w:pPr>
      <w:r>
        <w:rPr>
          <w:rFonts w:hint="eastAsia" w:ascii="Times New Roman" w:hAnsi="Times New Roman" w:eastAsia="楷体_GB2312" w:cs="楷体_GB2312"/>
          <w:b/>
          <w:color w:val="auto"/>
          <w:sz w:val="32"/>
          <w:szCs w:val="32"/>
          <w:highlight w:val="none"/>
        </w:rPr>
        <w:t>（二）“三公”经费财政拨款支出决算具体情况说明</w:t>
      </w:r>
    </w:p>
    <w:p w14:paraId="30914F81">
      <w:pPr>
        <w:pageBreakBefore w:val="0"/>
        <w:widowControl w:val="0"/>
        <w:suppressAutoHyphens/>
        <w:kinsoku/>
        <w:wordWrap/>
        <w:overflowPunct/>
        <w:topLinePunct w:val="0"/>
        <w:autoSpaceDE/>
        <w:autoSpaceDN/>
        <w:bidi w:val="0"/>
        <w:adjustRightInd/>
        <w:snapToGrid/>
        <w:spacing w:line="576" w:lineRule="exact"/>
        <w:ind w:firstLine="640"/>
        <w:textAlignment w:val="auto"/>
        <w:rPr>
          <w:rStyle w:val="12"/>
          <w:rFonts w:hint="eastAsia" w:ascii="仿宋_GB2312" w:hAnsi="Calibri" w:eastAsia="仿宋_GB2312" w:cs="Times New Roman"/>
          <w:b w:val="0"/>
          <w:bCs/>
          <w:color w:val="000000"/>
          <w:sz w:val="32"/>
          <w:szCs w:val="32"/>
          <w:lang w:val="en-US" w:eastAsia="zh-CN"/>
        </w:rPr>
      </w:pPr>
      <w:r>
        <w:rPr>
          <w:rStyle w:val="12"/>
          <w:rFonts w:hint="eastAsia" w:ascii="仿宋_GB2312" w:hAnsi="Calibri" w:eastAsia="仿宋_GB2312" w:cs="Times New Roman"/>
          <w:b w:val="0"/>
          <w:bCs/>
          <w:color w:val="000000"/>
          <w:sz w:val="32"/>
          <w:szCs w:val="32"/>
          <w:lang w:val="en-US" w:eastAsia="zh-CN"/>
        </w:rPr>
        <w:t>2025年度“三公”经费财政拨款支出决算中，公务用车购置及运行维护费支出决算0.92万元，占100%。具体情况如下：</w:t>
      </w:r>
    </w:p>
    <w:p w14:paraId="67E8884F">
      <w:pPr>
        <w:pageBreakBefore w:val="0"/>
        <w:widowControl w:val="0"/>
        <w:suppressAutoHyphens/>
        <w:kinsoku/>
        <w:wordWrap/>
        <w:overflowPunct/>
        <w:topLinePunct w:val="0"/>
        <w:autoSpaceDE/>
        <w:autoSpaceDN/>
        <w:bidi w:val="0"/>
        <w:adjustRightInd/>
        <w:snapToGrid/>
        <w:spacing w:line="576" w:lineRule="exact"/>
        <w:ind w:firstLine="640"/>
        <w:textAlignment w:val="auto"/>
        <w:rPr>
          <w:rStyle w:val="12"/>
          <w:rFonts w:hint="eastAsia" w:ascii="仿宋_GB2312" w:hAnsi="Calibri" w:eastAsia="仿宋_GB2312" w:cs="Times New Roman"/>
          <w:b w:val="0"/>
          <w:bCs/>
          <w:color w:val="000000"/>
          <w:sz w:val="32"/>
          <w:szCs w:val="32"/>
          <w:lang w:val="en-US" w:eastAsia="zh-CN"/>
        </w:rPr>
      </w:pPr>
    </w:p>
    <w:p w14:paraId="30BDEB5C">
      <w:pPr>
        <w:bidi w:val="0"/>
        <w:rPr>
          <w:rFonts w:hint="eastAsia"/>
          <w:lang w:val="en-US" w:eastAsia="zh-CN"/>
        </w:rPr>
      </w:pPr>
    </w:p>
    <w:p w14:paraId="41092A8F">
      <w:pPr>
        <w:bidi w:val="0"/>
        <w:rPr>
          <w:rFonts w:hint="eastAsia"/>
          <w:lang w:val="en-US" w:eastAsia="zh-CN"/>
        </w:rPr>
      </w:pPr>
    </w:p>
    <w:p w14:paraId="63462E22">
      <w:pPr>
        <w:spacing w:line="240" w:lineRule="auto"/>
        <w:rPr>
          <w:rFonts w:hint="eastAsia" w:ascii="Times New Roman" w:hAnsi="Times New Roman" w:eastAsia="仿宋_GB2312" w:cs="仿宋_GB2312"/>
          <w:color w:val="auto"/>
          <w:kern w:val="2"/>
          <w:sz w:val="32"/>
          <w:szCs w:val="32"/>
          <w:highlight w:val="none"/>
          <w:lang w:val="en-US" w:eastAsia="zh-CN" w:bidi="ar-SA"/>
        </w:rPr>
      </w:pPr>
      <w:r>
        <w:rPr>
          <w:rFonts w:hint="eastAsia" w:ascii="仿宋" w:hAnsi="仿宋" w:eastAsia="仿宋"/>
          <w:color w:val="auto"/>
          <w:sz w:val="32"/>
          <w:szCs w:val="32"/>
          <w:highlight w:val="none"/>
          <w:lang w:eastAsia="zh-CN"/>
        </w:rPr>
        <w:drawing>
          <wp:anchor distT="0" distB="0" distL="114300" distR="114300" simplePos="0" relativeHeight="251665408" behindDoc="0" locked="0" layoutInCell="1" allowOverlap="1">
            <wp:simplePos x="0" y="0"/>
            <wp:positionH relativeFrom="column">
              <wp:posOffset>608965</wp:posOffset>
            </wp:positionH>
            <wp:positionV relativeFrom="page">
              <wp:posOffset>930275</wp:posOffset>
            </wp:positionV>
            <wp:extent cx="4056380" cy="2447290"/>
            <wp:effectExtent l="4445" t="4445" r="15875" b="5715"/>
            <wp:wrapTopAndBottom/>
            <wp:docPr id="8" name="图表 8"/>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anchor>
        </w:drawing>
      </w:r>
      <w:r>
        <w:rPr>
          <w:rFonts w:hint="eastAsia" w:ascii="仿宋" w:hAnsi="仿宋" w:eastAsia="仿宋"/>
          <w:color w:val="auto"/>
          <w:sz w:val="32"/>
          <w:szCs w:val="32"/>
          <w:highlight w:val="none"/>
          <w:lang w:val="en-US" w:eastAsia="zh-CN"/>
        </w:rPr>
        <w:t xml:space="preserve">    </w:t>
      </w:r>
      <w:r>
        <w:rPr>
          <w:rFonts w:hint="eastAsia" w:ascii="Times New Roman" w:hAnsi="Times New Roman" w:eastAsia="仿宋_GB2312" w:cs="仿宋_GB2312"/>
          <w:b/>
          <w:bCs/>
          <w:color w:val="auto"/>
          <w:kern w:val="2"/>
          <w:sz w:val="32"/>
          <w:szCs w:val="32"/>
          <w:highlight w:val="none"/>
          <w:lang w:val="en-US" w:eastAsia="zh-CN" w:bidi="ar-SA"/>
        </w:rPr>
        <w:t>1.因公出国（境）经费支出</w:t>
      </w:r>
      <w:r>
        <w:rPr>
          <w:rStyle w:val="12"/>
          <w:rFonts w:hint="eastAsia" w:ascii="仿宋_GB2312" w:hAnsi="Calibri" w:eastAsia="仿宋_GB2312" w:cs="Times New Roman"/>
          <w:b w:val="0"/>
          <w:bCs/>
          <w:color w:val="000000"/>
          <w:sz w:val="32"/>
          <w:szCs w:val="32"/>
          <w:lang w:val="en-US" w:eastAsia="zh-CN"/>
        </w:rPr>
        <w:t>0万元，完成预算0%。</w:t>
      </w:r>
    </w:p>
    <w:p w14:paraId="4188B01C">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Style w:val="12"/>
          <w:rFonts w:hint="default" w:ascii="仿宋_GB2312" w:hAnsi="Calibri" w:eastAsia="仿宋_GB2312" w:cs="Times New Roman"/>
          <w:b w:val="0"/>
          <w:bCs/>
          <w:color w:val="000000"/>
          <w:sz w:val="32"/>
          <w:szCs w:val="32"/>
          <w:lang w:val="en-US" w:eastAsia="zh-CN"/>
        </w:rPr>
      </w:pPr>
      <w:r>
        <w:rPr>
          <w:rFonts w:hint="eastAsia" w:ascii="Times New Roman" w:hAnsi="Times New Roman" w:eastAsia="仿宋_GB2312" w:cs="仿宋_GB2312"/>
          <w:b/>
          <w:bCs/>
          <w:color w:val="auto"/>
          <w:kern w:val="2"/>
          <w:sz w:val="32"/>
          <w:szCs w:val="32"/>
          <w:highlight w:val="none"/>
          <w:lang w:val="en-US" w:eastAsia="zh-CN" w:bidi="ar-SA"/>
        </w:rPr>
        <w:t>2.公务用车购置及运行维护费支出</w:t>
      </w:r>
      <w:r>
        <w:rPr>
          <w:rFonts w:hint="eastAsia" w:ascii="仿宋_GB2312" w:eastAsia="仿宋_GB2312"/>
          <w:color w:val="auto"/>
          <w:sz w:val="32"/>
          <w:szCs w:val="32"/>
          <w:highlight w:val="none"/>
          <w:lang w:val="en-US" w:eastAsia="zh-CN"/>
        </w:rPr>
        <w:t>0.92</w:t>
      </w:r>
      <w:r>
        <w:rPr>
          <w:rFonts w:hint="eastAsia" w:ascii="仿宋_GB2312" w:eastAsia="仿宋_GB2312"/>
          <w:color w:val="auto"/>
          <w:sz w:val="32"/>
          <w:szCs w:val="32"/>
          <w:highlight w:val="none"/>
        </w:rPr>
        <w:t>万元,</w:t>
      </w:r>
      <w:r>
        <w:rPr>
          <w:rStyle w:val="12"/>
          <w:rFonts w:hint="eastAsia" w:ascii="仿宋" w:hAnsi="仿宋" w:eastAsia="仿宋"/>
          <w:b w:val="0"/>
          <w:bCs/>
          <w:color w:val="auto"/>
          <w:sz w:val="32"/>
          <w:szCs w:val="32"/>
          <w:highlight w:val="none"/>
        </w:rPr>
        <w:t>完成预算</w:t>
      </w:r>
      <w:r>
        <w:rPr>
          <w:rStyle w:val="12"/>
          <w:rFonts w:hint="eastAsia" w:ascii="仿宋" w:hAnsi="仿宋" w:eastAsia="仿宋"/>
          <w:b w:val="0"/>
          <w:bCs/>
          <w:color w:val="auto"/>
          <w:sz w:val="32"/>
          <w:szCs w:val="32"/>
          <w:highlight w:val="none"/>
          <w:lang w:val="en-US" w:eastAsia="zh-CN"/>
        </w:rPr>
        <w:t>100</w:t>
      </w:r>
      <w:r>
        <w:rPr>
          <w:rStyle w:val="12"/>
          <w:rFonts w:ascii="仿宋" w:hAnsi="仿宋" w:eastAsia="仿宋"/>
          <w:b w:val="0"/>
          <w:bCs/>
          <w:color w:val="auto"/>
          <w:sz w:val="32"/>
          <w:szCs w:val="32"/>
          <w:highlight w:val="none"/>
        </w:rPr>
        <w:t>%</w:t>
      </w:r>
      <w:r>
        <w:rPr>
          <w:rStyle w:val="12"/>
          <w:rFonts w:hint="eastAsia" w:ascii="仿宋" w:hAnsi="仿宋" w:eastAsia="仿宋"/>
          <w:b w:val="0"/>
          <w:bCs/>
          <w:color w:val="auto"/>
          <w:sz w:val="32"/>
          <w:szCs w:val="32"/>
          <w:highlight w:val="none"/>
        </w:rPr>
        <w:t>。</w:t>
      </w:r>
      <w:r>
        <w:rPr>
          <w:rFonts w:hint="eastAsia" w:ascii="仿宋_GB2312" w:eastAsia="仿宋_GB2312"/>
          <w:color w:val="auto"/>
          <w:sz w:val="32"/>
          <w:szCs w:val="32"/>
          <w:highlight w:val="none"/>
        </w:rPr>
        <w:t>公务用车购置及运行维护费支出决算</w:t>
      </w:r>
      <w:r>
        <w:rPr>
          <w:rFonts w:hint="eastAsia" w:ascii="仿宋_GB2312" w:eastAsia="仿宋_GB2312"/>
          <w:color w:val="auto"/>
          <w:sz w:val="32"/>
          <w:szCs w:val="32"/>
          <w:highlight w:val="none"/>
          <w:lang w:val="en-US" w:eastAsia="zh-CN"/>
        </w:rPr>
        <w:t>与2024</w:t>
      </w:r>
      <w:r>
        <w:rPr>
          <w:rFonts w:hint="eastAsia" w:ascii="仿宋_GB2312" w:eastAsia="仿宋_GB2312"/>
          <w:color w:val="auto"/>
          <w:sz w:val="32"/>
          <w:szCs w:val="32"/>
          <w:highlight w:val="none"/>
          <w:lang w:eastAsia="zh-CN"/>
        </w:rPr>
        <w:t>年度</w:t>
      </w:r>
      <w:r>
        <w:rPr>
          <w:rFonts w:hint="eastAsia" w:ascii="仿宋_GB2312" w:eastAsia="仿宋_GB2312"/>
          <w:color w:val="auto"/>
          <w:sz w:val="32"/>
          <w:szCs w:val="32"/>
          <w:highlight w:val="none"/>
          <w:lang w:val="en-US" w:eastAsia="zh-CN"/>
        </w:rPr>
        <w:t>相比</w:t>
      </w:r>
      <w:r>
        <w:rPr>
          <w:rFonts w:hint="eastAsia" w:ascii="仿宋_GB2312" w:eastAsia="仿宋_GB2312"/>
          <w:color w:val="auto"/>
          <w:sz w:val="32"/>
          <w:szCs w:val="32"/>
          <w:highlight w:val="none"/>
        </w:rPr>
        <w:t>减少</w:t>
      </w:r>
      <w:r>
        <w:rPr>
          <w:rFonts w:hint="eastAsia" w:ascii="仿宋_GB2312" w:eastAsia="仿宋_GB2312"/>
          <w:color w:val="auto"/>
          <w:sz w:val="32"/>
          <w:szCs w:val="32"/>
          <w:highlight w:val="none"/>
          <w:lang w:val="en-US" w:eastAsia="zh-CN"/>
        </w:rPr>
        <w:t>1.15</w:t>
      </w:r>
      <w:r>
        <w:rPr>
          <w:rFonts w:hint="eastAsia" w:ascii="仿宋_GB2312" w:eastAsia="仿宋_GB2312"/>
          <w:color w:val="auto"/>
          <w:sz w:val="32"/>
          <w:szCs w:val="32"/>
          <w:highlight w:val="none"/>
        </w:rPr>
        <w:t>万元，</w:t>
      </w:r>
      <w:r>
        <w:rPr>
          <w:rFonts w:hint="eastAsia" w:ascii="仿宋" w:hAnsi="仿宋" w:eastAsia="仿宋"/>
          <w:color w:val="auto"/>
          <w:sz w:val="32"/>
          <w:szCs w:val="32"/>
          <w:highlight w:val="none"/>
          <w:lang w:val="en-US" w:eastAsia="zh-CN"/>
        </w:rPr>
        <w:t>下降55.55%</w:t>
      </w:r>
      <w:r>
        <w:rPr>
          <w:rFonts w:hint="eastAsia" w:ascii="仿宋_GB2312" w:eastAsia="仿宋_GB2312"/>
          <w:color w:val="auto"/>
          <w:sz w:val="32"/>
          <w:szCs w:val="32"/>
          <w:highlight w:val="none"/>
        </w:rPr>
        <w:t>。主要原因是</w:t>
      </w:r>
      <w:r>
        <w:rPr>
          <w:rFonts w:hint="eastAsia" w:ascii="仿宋_GB2312" w:eastAsia="仿宋_GB2312"/>
          <w:color w:val="auto"/>
          <w:sz w:val="32"/>
          <w:szCs w:val="32"/>
          <w:highlight w:val="none"/>
          <w:lang w:eastAsia="zh-CN"/>
        </w:rPr>
        <w:t>：</w:t>
      </w:r>
      <w:r>
        <w:rPr>
          <w:rStyle w:val="12"/>
          <w:rFonts w:hint="eastAsia" w:ascii="仿宋_GB2312" w:hAnsi="Calibri" w:eastAsia="仿宋_GB2312" w:cs="Times New Roman"/>
          <w:b w:val="0"/>
          <w:bCs/>
          <w:color w:val="000000"/>
          <w:sz w:val="32"/>
          <w:szCs w:val="32"/>
          <w:lang w:val="en-US" w:eastAsia="zh-CN"/>
        </w:rPr>
        <w:t>厉行节俭、减少支出。</w:t>
      </w:r>
    </w:p>
    <w:p w14:paraId="683BDB43">
      <w:pPr>
        <w:spacing w:line="600" w:lineRule="exact"/>
        <w:ind w:firstLine="640" w:firstLineChars="200"/>
        <w:rPr>
          <w:rStyle w:val="12"/>
          <w:rFonts w:hint="eastAsia" w:ascii="仿宋_GB2312" w:hAnsi="Calibri" w:eastAsia="仿宋_GB2312" w:cs="Times New Roman"/>
          <w:b w:val="0"/>
          <w:bCs/>
          <w:color w:val="000000"/>
          <w:sz w:val="32"/>
          <w:szCs w:val="32"/>
          <w:lang w:val="en-US" w:eastAsia="zh-CN"/>
        </w:rPr>
      </w:pPr>
      <w:r>
        <w:rPr>
          <w:rStyle w:val="12"/>
          <w:rFonts w:hint="eastAsia" w:ascii="仿宋_GB2312" w:hAnsi="Calibri" w:eastAsia="仿宋_GB2312" w:cs="Times New Roman"/>
          <w:b w:val="0"/>
          <w:bCs/>
          <w:color w:val="000000"/>
          <w:sz w:val="32"/>
          <w:szCs w:val="32"/>
          <w:lang w:val="en-US" w:eastAsia="zh-CN"/>
        </w:rPr>
        <w:t>截至2025年12月31日，单位共有公务用车2辆，其中：轿车0辆、越野车2辆、载客汽车0辆。</w:t>
      </w:r>
    </w:p>
    <w:p w14:paraId="6EB20037">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Style w:val="12"/>
          <w:rFonts w:hint="eastAsia" w:ascii="仿宋_GB2312" w:hAnsi="Calibri" w:eastAsia="仿宋_GB2312" w:cs="Times New Roman"/>
          <w:b w:val="0"/>
          <w:bCs/>
          <w:color w:val="000000"/>
          <w:sz w:val="32"/>
          <w:szCs w:val="32"/>
          <w:lang w:val="en-US" w:eastAsia="zh-CN"/>
        </w:rPr>
      </w:pPr>
      <w:r>
        <w:rPr>
          <w:rFonts w:hint="eastAsia" w:ascii="仿宋_GB2312" w:eastAsia="仿宋_GB2312"/>
          <w:b/>
          <w:color w:val="auto"/>
          <w:sz w:val="32"/>
          <w:szCs w:val="32"/>
          <w:highlight w:val="none"/>
        </w:rPr>
        <w:t>公务用车运行维护费支出</w:t>
      </w:r>
      <w:r>
        <w:rPr>
          <w:rStyle w:val="12"/>
          <w:rFonts w:hint="eastAsia" w:ascii="仿宋_GB2312" w:hAnsi="Calibri" w:eastAsia="仿宋_GB2312" w:cs="Times New Roman"/>
          <w:b w:val="0"/>
          <w:bCs/>
          <w:color w:val="000000"/>
          <w:sz w:val="32"/>
          <w:szCs w:val="32"/>
          <w:lang w:val="en-US" w:eastAsia="zh-CN"/>
        </w:rPr>
        <w:t>0.92万元。主要用于下乡、出差等工作所需的公务用车燃料费、维修费、过路过桥费、保险费等支出。</w:t>
      </w:r>
    </w:p>
    <w:p w14:paraId="12466076">
      <w:pPr>
        <w:spacing w:line="600" w:lineRule="exact"/>
        <w:ind w:firstLine="640"/>
        <w:rPr>
          <w:rStyle w:val="12"/>
          <w:rFonts w:hint="eastAsia" w:ascii="仿宋_GB2312" w:hAnsi="Calibri" w:eastAsia="仿宋_GB2312" w:cs="Times New Roman"/>
          <w:b w:val="0"/>
          <w:bCs/>
          <w:color w:val="000000"/>
          <w:sz w:val="32"/>
          <w:szCs w:val="32"/>
          <w:lang w:val="en-US" w:eastAsia="zh-CN"/>
        </w:rPr>
      </w:pPr>
      <w:r>
        <w:rPr>
          <w:rFonts w:hint="eastAsia" w:ascii="Times New Roman" w:hAnsi="Times New Roman" w:eastAsia="仿宋_GB2312" w:cs="仿宋_GB2312"/>
          <w:b/>
          <w:bCs/>
          <w:color w:val="auto"/>
          <w:kern w:val="2"/>
          <w:sz w:val="32"/>
          <w:szCs w:val="32"/>
          <w:highlight w:val="none"/>
          <w:lang w:val="en-US" w:eastAsia="zh-CN" w:bidi="ar-SA"/>
        </w:rPr>
        <w:t>3.公务接待费支出</w:t>
      </w:r>
      <w:r>
        <w:rPr>
          <w:rStyle w:val="12"/>
          <w:rFonts w:hint="eastAsia" w:ascii="仿宋_GB2312" w:hAnsi="Calibri" w:eastAsia="仿宋_GB2312" w:cs="Times New Roman"/>
          <w:b w:val="0"/>
          <w:bCs/>
          <w:color w:val="000000"/>
          <w:sz w:val="32"/>
          <w:szCs w:val="32"/>
          <w:lang w:val="en-US" w:eastAsia="zh-CN"/>
        </w:rPr>
        <w:t>0万元，其中：</w:t>
      </w:r>
    </w:p>
    <w:p w14:paraId="3347A0D4">
      <w:pPr>
        <w:spacing w:line="600" w:lineRule="exact"/>
        <w:ind w:firstLine="640"/>
        <w:rPr>
          <w:rFonts w:hint="eastAsia" w:ascii="仿宋_GB2312" w:eastAsia="仿宋_GB2312"/>
          <w:color w:val="auto"/>
          <w:sz w:val="32"/>
          <w:szCs w:val="32"/>
          <w:highlight w:val="none"/>
          <w:lang w:eastAsia="zh-CN"/>
        </w:rPr>
      </w:pPr>
      <w:r>
        <w:rPr>
          <w:rFonts w:hint="eastAsia" w:ascii="仿宋" w:hAnsi="仿宋" w:eastAsia="仿宋"/>
          <w:b/>
          <w:color w:val="auto"/>
          <w:sz w:val="32"/>
          <w:szCs w:val="32"/>
          <w:highlight w:val="none"/>
        </w:rPr>
        <w:t>国内公务接待支</w:t>
      </w:r>
      <w:r>
        <w:rPr>
          <w:rFonts w:hint="eastAsia" w:ascii="仿宋" w:hAnsi="仿宋" w:eastAsia="仿宋"/>
          <w:b/>
          <w:bCs w:val="0"/>
          <w:color w:val="auto"/>
          <w:sz w:val="32"/>
          <w:szCs w:val="32"/>
          <w:highlight w:val="none"/>
        </w:rPr>
        <w:t>出</w:t>
      </w:r>
      <w:r>
        <w:rPr>
          <w:rFonts w:hint="eastAsia" w:ascii="仿宋" w:hAnsi="仿宋" w:eastAsia="仿宋"/>
          <w:b/>
          <w:bCs w:val="0"/>
          <w:color w:val="auto"/>
          <w:sz w:val="32"/>
          <w:szCs w:val="32"/>
          <w:highlight w:val="none"/>
          <w:lang w:val="en-US" w:eastAsia="zh-CN"/>
        </w:rPr>
        <w:t>0</w:t>
      </w:r>
      <w:r>
        <w:rPr>
          <w:rFonts w:hint="eastAsia" w:ascii="仿宋_GB2312" w:eastAsia="仿宋_GB2312"/>
          <w:b/>
          <w:bCs w:val="0"/>
          <w:color w:val="auto"/>
          <w:sz w:val="32"/>
          <w:szCs w:val="32"/>
          <w:highlight w:val="none"/>
        </w:rPr>
        <w:t>万元</w:t>
      </w:r>
      <w:r>
        <w:rPr>
          <w:rFonts w:hint="eastAsia" w:ascii="仿宋_GB2312" w:eastAsia="仿宋_GB2312"/>
          <w:color w:val="auto"/>
          <w:sz w:val="32"/>
          <w:szCs w:val="32"/>
          <w:highlight w:val="none"/>
          <w:lang w:eastAsia="zh-CN"/>
        </w:rPr>
        <w:t>；</w:t>
      </w:r>
    </w:p>
    <w:p w14:paraId="0790FE3F">
      <w:pPr>
        <w:spacing w:line="600" w:lineRule="exact"/>
        <w:ind w:firstLine="640"/>
        <w:rPr>
          <w:rFonts w:ascii="黑体" w:eastAsia="黑体"/>
          <w:color w:val="auto"/>
          <w:sz w:val="32"/>
          <w:szCs w:val="32"/>
          <w:highlight w:val="none"/>
        </w:rPr>
      </w:pPr>
      <w:r>
        <w:rPr>
          <w:rFonts w:hint="eastAsia" w:ascii="仿宋" w:hAnsi="仿宋" w:eastAsia="仿宋"/>
          <w:b/>
          <w:color w:val="auto"/>
          <w:sz w:val="32"/>
          <w:szCs w:val="32"/>
          <w:highlight w:val="none"/>
        </w:rPr>
        <w:t>外事接</w:t>
      </w:r>
      <w:r>
        <w:rPr>
          <w:rFonts w:hint="eastAsia" w:ascii="仿宋" w:hAnsi="仿宋" w:eastAsia="仿宋"/>
          <w:b/>
          <w:bCs w:val="0"/>
          <w:color w:val="auto"/>
          <w:sz w:val="32"/>
          <w:szCs w:val="32"/>
          <w:highlight w:val="none"/>
        </w:rPr>
        <w:t>待支出</w:t>
      </w:r>
      <w:r>
        <w:rPr>
          <w:rFonts w:hint="eastAsia" w:ascii="仿宋" w:hAnsi="仿宋" w:eastAsia="仿宋"/>
          <w:b/>
          <w:bCs w:val="0"/>
          <w:color w:val="auto"/>
          <w:sz w:val="32"/>
          <w:szCs w:val="32"/>
          <w:highlight w:val="none"/>
          <w:lang w:val="en-US" w:eastAsia="zh-CN"/>
        </w:rPr>
        <w:t>0</w:t>
      </w:r>
      <w:r>
        <w:rPr>
          <w:rFonts w:hint="eastAsia" w:ascii="仿宋_GB2312" w:eastAsia="仿宋_GB2312"/>
          <w:b/>
          <w:bCs w:val="0"/>
          <w:color w:val="auto"/>
          <w:sz w:val="32"/>
          <w:szCs w:val="32"/>
          <w:highlight w:val="none"/>
        </w:rPr>
        <w:t>万元</w:t>
      </w:r>
      <w:r>
        <w:rPr>
          <w:rFonts w:hint="eastAsia" w:ascii="仿宋_GB2312" w:eastAsia="仿宋_GB2312"/>
          <w:color w:val="auto"/>
          <w:sz w:val="32"/>
          <w:szCs w:val="32"/>
          <w:highlight w:val="none"/>
        </w:rPr>
        <w:t>。</w:t>
      </w:r>
    </w:p>
    <w:p w14:paraId="1F463954">
      <w:pPr>
        <w:spacing w:line="600" w:lineRule="exact"/>
        <w:ind w:firstLine="640"/>
        <w:outlineLvl w:val="1"/>
        <w:rPr>
          <w:rStyle w:val="14"/>
          <w:rFonts w:ascii="黑体" w:hAnsi="黑体" w:eastAsia="黑体"/>
          <w:color w:val="auto"/>
          <w:highlight w:val="none"/>
        </w:rPr>
      </w:pPr>
      <w:r>
        <w:rPr>
          <w:rFonts w:hint="eastAsia" w:ascii="黑体" w:eastAsia="黑体"/>
          <w:color w:val="auto"/>
          <w:sz w:val="32"/>
          <w:szCs w:val="32"/>
          <w:highlight w:val="none"/>
        </w:rPr>
        <w:t>八、</w:t>
      </w:r>
      <w:r>
        <w:rPr>
          <w:rStyle w:val="14"/>
          <w:rFonts w:hint="eastAsia" w:ascii="黑体" w:hAnsi="黑体" w:eastAsia="黑体"/>
          <w:b w:val="0"/>
          <w:color w:val="auto"/>
          <w:highlight w:val="none"/>
        </w:rPr>
        <w:t>政府性基金预算支出决算情况说明</w:t>
      </w:r>
    </w:p>
    <w:p w14:paraId="440CDD61">
      <w:pPr>
        <w:keepNext w:val="0"/>
        <w:keepLines w:val="0"/>
        <w:pageBreakBefore w:val="0"/>
        <w:widowControl w:val="0"/>
        <w:kinsoku/>
        <w:wordWrap/>
        <w:overflowPunct/>
        <w:topLinePunct w:val="0"/>
        <w:bidi w:val="0"/>
        <w:snapToGrid/>
        <w:spacing w:line="560" w:lineRule="exact"/>
        <w:ind w:firstLine="640" w:firstLineChars="200"/>
        <w:textAlignment w:val="auto"/>
        <w:rPr>
          <w:rStyle w:val="12"/>
          <w:rFonts w:hint="eastAsia" w:ascii="仿宋_GB2312" w:hAnsi="Calibri" w:eastAsia="仿宋_GB2312" w:cs="Times New Roman"/>
          <w:b w:val="0"/>
          <w:bCs/>
          <w:color w:val="000000"/>
          <w:sz w:val="32"/>
          <w:szCs w:val="32"/>
          <w:lang w:val="en-US" w:eastAsia="zh-CN"/>
        </w:rPr>
      </w:pPr>
      <w:r>
        <w:rPr>
          <w:rStyle w:val="12"/>
          <w:rFonts w:hint="eastAsia" w:ascii="仿宋_GB2312" w:hAnsi="Calibri" w:eastAsia="仿宋_GB2312" w:cs="Times New Roman"/>
          <w:b w:val="0"/>
          <w:bCs/>
          <w:color w:val="000000"/>
          <w:sz w:val="32"/>
          <w:szCs w:val="32"/>
          <w:lang w:val="en-US" w:eastAsia="zh-CN"/>
        </w:rPr>
        <w:t>2025年度政府性基金预算财政拨款支出0万元。</w:t>
      </w:r>
    </w:p>
    <w:p w14:paraId="20FFA4AD">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Style w:val="14"/>
          <w:rFonts w:ascii="黑体" w:hAnsi="黑体" w:eastAsia="黑体"/>
          <w:b w:val="0"/>
          <w:color w:val="auto"/>
          <w:highlight w:val="none"/>
        </w:rPr>
      </w:pPr>
      <w:r>
        <w:rPr>
          <w:rStyle w:val="14"/>
          <w:rFonts w:hint="eastAsia" w:ascii="黑体" w:hAnsi="黑体" w:eastAsia="黑体"/>
          <w:b w:val="0"/>
          <w:color w:val="auto"/>
          <w:highlight w:val="none"/>
          <w:lang w:eastAsia="zh-CN"/>
        </w:rPr>
        <w:t>九、</w:t>
      </w:r>
      <w:r>
        <w:rPr>
          <w:rStyle w:val="14"/>
          <w:rFonts w:hint="eastAsia" w:ascii="黑体" w:hAnsi="黑体" w:eastAsia="黑体"/>
          <w:b w:val="0"/>
          <w:color w:val="auto"/>
          <w:highlight w:val="none"/>
        </w:rPr>
        <w:t>国有资本经营预算支出决算情况说明</w:t>
      </w:r>
    </w:p>
    <w:p w14:paraId="3CFA290F">
      <w:pPr>
        <w:keepNext w:val="0"/>
        <w:keepLines w:val="0"/>
        <w:pageBreakBefore w:val="0"/>
        <w:widowControl w:val="0"/>
        <w:kinsoku/>
        <w:wordWrap/>
        <w:overflowPunct/>
        <w:topLinePunct w:val="0"/>
        <w:bidi w:val="0"/>
        <w:snapToGrid/>
        <w:spacing w:line="560" w:lineRule="exact"/>
        <w:ind w:firstLine="640" w:firstLineChars="200"/>
        <w:textAlignment w:val="auto"/>
        <w:rPr>
          <w:rStyle w:val="12"/>
          <w:rFonts w:hint="eastAsia" w:ascii="仿宋_GB2312" w:hAnsi="Calibri" w:eastAsia="仿宋_GB2312" w:cs="Times New Roman"/>
          <w:b w:val="0"/>
          <w:bCs/>
          <w:color w:val="000000"/>
          <w:sz w:val="32"/>
          <w:szCs w:val="32"/>
          <w:lang w:val="en-US" w:eastAsia="zh-CN"/>
        </w:rPr>
      </w:pPr>
      <w:r>
        <w:rPr>
          <w:rStyle w:val="12"/>
          <w:rFonts w:hint="eastAsia" w:ascii="仿宋_GB2312" w:hAnsi="Calibri" w:eastAsia="仿宋_GB2312" w:cs="Times New Roman"/>
          <w:b w:val="0"/>
          <w:bCs/>
          <w:color w:val="000000"/>
          <w:sz w:val="32"/>
          <w:szCs w:val="32"/>
          <w:lang w:val="en-US" w:eastAsia="zh-CN"/>
        </w:rPr>
        <w:t>2025年度国有资本经营预算财政拨款支出0万元。</w:t>
      </w:r>
    </w:p>
    <w:p w14:paraId="2D9A4162">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Style w:val="14"/>
          <w:rFonts w:hint="eastAsia" w:ascii="黑体" w:hAnsi="黑体" w:eastAsia="黑体"/>
          <w:b w:val="0"/>
          <w:color w:val="auto"/>
          <w:highlight w:val="none"/>
        </w:rPr>
      </w:pPr>
      <w:r>
        <w:rPr>
          <w:rStyle w:val="14"/>
          <w:rFonts w:hint="eastAsia" w:ascii="黑体" w:hAnsi="黑体" w:eastAsia="黑体"/>
          <w:b w:val="0"/>
          <w:color w:val="auto"/>
          <w:highlight w:val="none"/>
          <w:lang w:eastAsia="zh-CN"/>
        </w:rPr>
        <w:t>十、</w:t>
      </w:r>
      <w:r>
        <w:rPr>
          <w:rStyle w:val="14"/>
          <w:rFonts w:hint="eastAsia" w:ascii="黑体" w:hAnsi="黑体" w:eastAsia="黑体"/>
          <w:b w:val="0"/>
          <w:color w:val="auto"/>
          <w:highlight w:val="none"/>
        </w:rPr>
        <w:t>其他重要事项的情况说明</w:t>
      </w:r>
    </w:p>
    <w:p w14:paraId="61B6F90B">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0" w:name="_Toc15377222"/>
      <w:r>
        <w:rPr>
          <w:rFonts w:hint="eastAsia" w:ascii="Times New Roman" w:hAnsi="Times New Roman" w:eastAsia="楷体_GB2312" w:cs="楷体_GB2312"/>
          <w:b/>
          <w:color w:val="auto"/>
          <w:sz w:val="32"/>
          <w:szCs w:val="32"/>
          <w:highlight w:val="none"/>
        </w:rPr>
        <w:t>（一）机关运行经费支出情况</w:t>
      </w:r>
      <w:bookmarkEnd w:id="0"/>
    </w:p>
    <w:p w14:paraId="6B4D2A92">
      <w:pPr>
        <w:keepNext w:val="0"/>
        <w:keepLines w:val="0"/>
        <w:pageBreakBefore w:val="0"/>
        <w:widowControl w:val="0"/>
        <w:kinsoku/>
        <w:wordWrap/>
        <w:overflowPunct/>
        <w:topLinePunct w:val="0"/>
        <w:bidi w:val="0"/>
        <w:snapToGrid/>
        <w:spacing w:line="560" w:lineRule="exact"/>
        <w:ind w:firstLine="640" w:firstLineChars="200"/>
        <w:textAlignment w:val="auto"/>
        <w:rPr>
          <w:rStyle w:val="12"/>
          <w:rFonts w:hint="eastAsia" w:ascii="仿宋_GB2312" w:hAnsi="Calibri" w:eastAsia="仿宋_GB2312" w:cs="Times New Roman"/>
          <w:b w:val="0"/>
          <w:bCs/>
          <w:color w:val="000000"/>
          <w:sz w:val="32"/>
          <w:szCs w:val="32"/>
          <w:lang w:val="en-US" w:eastAsia="zh-CN"/>
        </w:rPr>
      </w:pPr>
      <w:r>
        <w:rPr>
          <w:rStyle w:val="12"/>
          <w:rFonts w:hint="eastAsia" w:ascii="仿宋_GB2312" w:hAnsi="Calibri" w:eastAsia="仿宋_GB2312" w:cs="Times New Roman"/>
          <w:b w:val="0"/>
          <w:bCs/>
          <w:color w:val="000000"/>
          <w:sz w:val="32"/>
          <w:szCs w:val="32"/>
          <w:lang w:val="en-US" w:eastAsia="zh-CN"/>
        </w:rPr>
        <w:t>2025年度，</w:t>
      </w:r>
      <w:bookmarkStart w:id="1" w:name="_Toc15377223"/>
      <w:r>
        <w:rPr>
          <w:rStyle w:val="12"/>
          <w:rFonts w:hint="eastAsia" w:ascii="仿宋_GB2312" w:hAnsi="Calibri" w:eastAsia="仿宋_GB2312" w:cs="Times New Roman"/>
          <w:b w:val="0"/>
          <w:bCs/>
          <w:color w:val="000000"/>
          <w:sz w:val="32"/>
          <w:szCs w:val="32"/>
          <w:lang w:val="en-US" w:eastAsia="zh-CN"/>
        </w:rPr>
        <w:t>茂县工业服务中心机关运行经费支出0万元。</w:t>
      </w:r>
    </w:p>
    <w:p w14:paraId="79DB6A5C">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r>
        <w:rPr>
          <w:rFonts w:hint="eastAsia" w:ascii="Times New Roman" w:hAnsi="Times New Roman" w:eastAsia="楷体_GB2312" w:cs="楷体_GB2312"/>
          <w:b/>
          <w:color w:val="auto"/>
          <w:sz w:val="32"/>
          <w:szCs w:val="32"/>
          <w:highlight w:val="none"/>
        </w:rPr>
        <w:t>（二）政府采购支出情况</w:t>
      </w:r>
      <w:bookmarkEnd w:id="1"/>
    </w:p>
    <w:p w14:paraId="18C7A6A4">
      <w:pPr>
        <w:keepNext w:val="0"/>
        <w:keepLines w:val="0"/>
        <w:pageBreakBefore w:val="0"/>
        <w:widowControl w:val="0"/>
        <w:kinsoku/>
        <w:wordWrap/>
        <w:overflowPunct/>
        <w:topLinePunct w:val="0"/>
        <w:bidi w:val="0"/>
        <w:snapToGrid/>
        <w:spacing w:line="560" w:lineRule="exact"/>
        <w:ind w:firstLine="640" w:firstLineChars="200"/>
        <w:textAlignment w:val="auto"/>
        <w:rPr>
          <w:rStyle w:val="12"/>
          <w:rFonts w:hint="eastAsia" w:ascii="仿宋_GB2312" w:hAnsi="Calibri" w:eastAsia="仿宋_GB2312" w:cs="Times New Roman"/>
          <w:b w:val="0"/>
          <w:bCs/>
          <w:color w:val="000000"/>
          <w:sz w:val="32"/>
          <w:szCs w:val="32"/>
          <w:lang w:val="en-US" w:eastAsia="zh-CN"/>
        </w:rPr>
      </w:pPr>
      <w:bookmarkStart w:id="2" w:name="_Toc15377224"/>
      <w:r>
        <w:rPr>
          <w:rStyle w:val="12"/>
          <w:rFonts w:hint="eastAsia" w:ascii="仿宋_GB2312" w:hAnsi="Calibri" w:eastAsia="仿宋_GB2312" w:cs="Times New Roman"/>
          <w:b w:val="0"/>
          <w:bCs/>
          <w:color w:val="000000"/>
          <w:sz w:val="32"/>
          <w:szCs w:val="32"/>
          <w:lang w:val="en-US" w:eastAsia="zh-CN"/>
        </w:rPr>
        <w:t>2025年度，茂县工业服务中心政府采购支出总额0万元。</w:t>
      </w:r>
    </w:p>
    <w:p w14:paraId="3874C08D">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r>
        <w:rPr>
          <w:rFonts w:hint="eastAsia" w:ascii="Times New Roman" w:hAnsi="Times New Roman" w:eastAsia="楷体_GB2312" w:cs="楷体_GB2312"/>
          <w:b/>
          <w:color w:val="auto"/>
          <w:sz w:val="32"/>
          <w:szCs w:val="32"/>
          <w:highlight w:val="none"/>
        </w:rPr>
        <w:t>（三）国有资产占有使用情况</w:t>
      </w:r>
      <w:bookmarkEnd w:id="2"/>
    </w:p>
    <w:p w14:paraId="3C544A9E">
      <w:pPr>
        <w:keepNext w:val="0"/>
        <w:keepLines w:val="0"/>
        <w:pageBreakBefore w:val="0"/>
        <w:widowControl w:val="0"/>
        <w:kinsoku/>
        <w:wordWrap/>
        <w:overflowPunct/>
        <w:topLinePunct w:val="0"/>
        <w:bidi w:val="0"/>
        <w:snapToGrid/>
        <w:spacing w:line="560" w:lineRule="exact"/>
        <w:ind w:firstLine="640" w:firstLineChars="200"/>
        <w:textAlignment w:val="auto"/>
        <w:rPr>
          <w:rStyle w:val="12"/>
          <w:rFonts w:hint="eastAsia" w:ascii="仿宋_GB2312" w:hAnsi="Calibri" w:eastAsia="仿宋_GB2312" w:cs="Times New Roman"/>
          <w:b w:val="0"/>
          <w:bCs/>
          <w:color w:val="000000"/>
          <w:sz w:val="32"/>
          <w:szCs w:val="32"/>
          <w:lang w:val="en-US" w:eastAsia="zh-CN"/>
        </w:rPr>
      </w:pPr>
      <w:r>
        <w:rPr>
          <w:rStyle w:val="12"/>
          <w:rFonts w:hint="eastAsia" w:ascii="仿宋_GB2312" w:hAnsi="Calibri" w:eastAsia="仿宋_GB2312" w:cs="Times New Roman"/>
          <w:b w:val="0"/>
          <w:bCs/>
          <w:color w:val="000000"/>
          <w:sz w:val="32"/>
          <w:szCs w:val="32"/>
          <w:lang w:val="en-US" w:eastAsia="zh-CN"/>
        </w:rPr>
        <w:t>截至2025年12月31日，茂县工业服务中心共有车辆2辆，其中：应急保障用车2辆。</w:t>
      </w:r>
    </w:p>
    <w:p w14:paraId="69322B68">
      <w:pPr>
        <w:autoSpaceDE w:val="0"/>
        <w:autoSpaceDN w:val="0"/>
        <w:adjustRightInd w:val="0"/>
        <w:spacing w:line="600" w:lineRule="exact"/>
        <w:ind w:firstLine="643" w:firstLineChars="200"/>
        <w:jc w:val="left"/>
        <w:outlineLvl w:val="2"/>
        <w:rPr>
          <w:rFonts w:hint="eastAsia" w:ascii="仿宋" w:hAnsi="仿宋" w:eastAsia="仿宋"/>
          <w:b/>
          <w:color w:val="auto"/>
          <w:sz w:val="32"/>
          <w:szCs w:val="32"/>
          <w:highlight w:val="none"/>
          <w:lang w:eastAsia="zh-CN"/>
        </w:rPr>
      </w:pPr>
      <w:r>
        <w:rPr>
          <w:rFonts w:hint="eastAsia" w:ascii="仿宋" w:hAnsi="仿宋" w:eastAsia="仿宋"/>
          <w:b/>
          <w:color w:val="auto"/>
          <w:sz w:val="32"/>
          <w:szCs w:val="32"/>
          <w:highlight w:val="none"/>
        </w:rPr>
        <w:t>（四）预算绩效管理情况</w:t>
      </w:r>
    </w:p>
    <w:p w14:paraId="08A13BD6">
      <w:pPr>
        <w:spacing w:line="600" w:lineRule="exact"/>
        <w:ind w:firstLine="640"/>
        <w:rPr>
          <w:rFonts w:hint="eastAsia" w:ascii="Times New Roman" w:hAnsi="Times New Roman" w:eastAsia="仿宋_GB2312" w:cs="仿宋_GB2312"/>
          <w:color w:val="000000" w:themeColor="text1"/>
          <w:kern w:val="2"/>
          <w:sz w:val="32"/>
          <w:szCs w:val="32"/>
          <w:highlight w:val="none"/>
          <w:lang w:val="en-US" w:eastAsia="zh-CN" w:bidi="ar-SA"/>
          <w14:textFill>
            <w14:solidFill>
              <w14:schemeClr w14:val="tx1"/>
            </w14:solidFill>
          </w14:textFill>
        </w:rPr>
      </w:pPr>
      <w:r>
        <w:rPr>
          <w:rFonts w:hint="eastAsia" w:ascii="Times New Roman" w:hAnsi="Times New Roman" w:eastAsia="仿宋_GB2312" w:cs="仿宋_GB2312"/>
          <w:color w:val="000000" w:themeColor="text1"/>
          <w:kern w:val="2"/>
          <w:sz w:val="32"/>
          <w:szCs w:val="32"/>
          <w:highlight w:val="none"/>
          <w:lang w:val="en-US" w:eastAsia="zh-CN" w:bidi="ar-SA"/>
          <w14:textFill>
            <w14:solidFill>
              <w14:schemeClr w14:val="tx1"/>
            </w14:solidFill>
          </w14:textFill>
        </w:rPr>
        <w:t>根据预算绩效管理要求，</w:t>
      </w:r>
      <w:r>
        <w:rPr>
          <w:rStyle w:val="12"/>
          <w:rFonts w:hint="eastAsia" w:ascii="仿宋_GB2312" w:eastAsia="仿宋_GB2312" w:cs="Times New Roman" w:hAnsiTheme="minorHAnsi"/>
          <w:b w:val="0"/>
          <w:bCs/>
          <w:color w:val="000000" w:themeColor="text1"/>
          <w:sz w:val="32"/>
          <w:szCs w:val="32"/>
          <w:lang w:val="en-US" w:eastAsia="zh-CN"/>
          <w14:textFill>
            <w14:solidFill>
              <w14:schemeClr w14:val="tx1"/>
            </w14:solidFill>
          </w14:textFill>
        </w:rPr>
        <w:t>茂县工业服务中心</w:t>
      </w:r>
      <w:r>
        <w:rPr>
          <w:rFonts w:hint="eastAsia" w:ascii="Times New Roman" w:hAnsi="Times New Roman" w:eastAsia="仿宋_GB2312" w:cs="仿宋_GB2312"/>
          <w:color w:val="000000" w:themeColor="text1"/>
          <w:kern w:val="2"/>
          <w:sz w:val="32"/>
          <w:szCs w:val="32"/>
          <w:highlight w:val="none"/>
          <w:lang w:val="en-US" w:eastAsia="zh-CN" w:bidi="ar-SA"/>
          <w14:textFill>
            <w14:solidFill>
              <w14:schemeClr w14:val="tx1"/>
            </w14:solidFill>
          </w14:textFill>
        </w:rPr>
        <w:t>在2025年度，组织对</w:t>
      </w:r>
      <w:r>
        <w:rPr>
          <w:rStyle w:val="12"/>
          <w:rFonts w:hint="eastAsia" w:ascii="仿宋_GB2312" w:hAnsi="Calibri" w:eastAsia="仿宋_GB2312" w:cs="Times New Roman"/>
          <w:b w:val="0"/>
          <w:bCs/>
          <w:color w:val="000000" w:themeColor="text1"/>
          <w:sz w:val="32"/>
          <w:szCs w:val="32"/>
          <w:lang w:val="en-US" w:eastAsia="zh-CN"/>
          <w14:textFill>
            <w14:solidFill>
              <w14:schemeClr w14:val="tx1"/>
            </w14:solidFill>
          </w14:textFill>
        </w:rPr>
        <w:t>工业园区基础设施运行经费项目</w:t>
      </w:r>
      <w:r>
        <w:rPr>
          <w:rFonts w:hint="eastAsia" w:ascii="Times New Roman" w:hAnsi="Times New Roman" w:eastAsia="仿宋_GB2312" w:cs="仿宋_GB2312"/>
          <w:color w:val="000000" w:themeColor="text1"/>
          <w:kern w:val="2"/>
          <w:sz w:val="32"/>
          <w:szCs w:val="32"/>
          <w:highlight w:val="none"/>
          <w:lang w:val="en-US" w:eastAsia="zh-CN" w:bidi="ar-SA"/>
          <w14:textFill>
            <w14:solidFill>
              <w14:schemeClr w14:val="tx1"/>
            </w14:solidFill>
          </w14:textFill>
        </w:rPr>
        <w:t>等</w:t>
      </w:r>
      <w:r>
        <w:rPr>
          <w:rFonts w:hint="eastAsia" w:eastAsia="仿宋_GB2312" w:cs="仿宋_GB2312"/>
          <w:color w:val="000000" w:themeColor="text1"/>
          <w:kern w:val="2"/>
          <w:sz w:val="32"/>
          <w:szCs w:val="32"/>
          <w:highlight w:val="none"/>
          <w:lang w:val="en-US" w:eastAsia="zh-CN" w:bidi="ar-SA"/>
          <w14:textFill>
            <w14:solidFill>
              <w14:schemeClr w14:val="tx1"/>
            </w14:solidFill>
          </w14:textFill>
        </w:rPr>
        <w:t>2</w:t>
      </w:r>
      <w:r>
        <w:rPr>
          <w:rFonts w:hint="eastAsia" w:ascii="Times New Roman" w:hAnsi="Times New Roman" w:eastAsia="仿宋_GB2312" w:cs="仿宋_GB2312"/>
          <w:color w:val="000000" w:themeColor="text1"/>
          <w:kern w:val="2"/>
          <w:sz w:val="32"/>
          <w:szCs w:val="32"/>
          <w:highlight w:val="none"/>
          <w:lang w:val="en-US" w:eastAsia="zh-CN" w:bidi="ar-SA"/>
          <w14:textFill>
            <w14:solidFill>
              <w14:schemeClr w14:val="tx1"/>
            </w14:solidFill>
          </w14:textFill>
        </w:rPr>
        <w:t>个项目涉及金额</w:t>
      </w:r>
      <w:r>
        <w:rPr>
          <w:rFonts w:hint="eastAsia" w:eastAsia="仿宋_GB2312" w:cs="仿宋_GB2312"/>
          <w:color w:val="000000" w:themeColor="text1"/>
          <w:kern w:val="2"/>
          <w:sz w:val="32"/>
          <w:szCs w:val="32"/>
          <w:highlight w:val="none"/>
          <w:lang w:val="en-US" w:eastAsia="zh-CN" w:bidi="ar-SA"/>
          <w14:textFill>
            <w14:solidFill>
              <w14:schemeClr w14:val="tx1"/>
            </w14:solidFill>
          </w14:textFill>
        </w:rPr>
        <w:t>98.15</w:t>
      </w:r>
      <w:r>
        <w:rPr>
          <w:rFonts w:hint="eastAsia" w:ascii="Times New Roman" w:hAnsi="Times New Roman" w:eastAsia="仿宋_GB2312" w:cs="仿宋_GB2312"/>
          <w:color w:val="000000" w:themeColor="text1"/>
          <w:kern w:val="2"/>
          <w:sz w:val="32"/>
          <w:szCs w:val="32"/>
          <w:highlight w:val="none"/>
          <w:lang w:val="en-US" w:eastAsia="zh-CN" w:bidi="ar-SA"/>
          <w14:textFill>
            <w14:solidFill>
              <w14:schemeClr w14:val="tx1"/>
            </w14:solidFill>
          </w14:textFill>
        </w:rPr>
        <w:t>万元开展了事前绩效评估，对</w:t>
      </w:r>
      <w:r>
        <w:rPr>
          <w:rFonts w:hint="eastAsia" w:eastAsia="仿宋_GB2312" w:cs="仿宋_GB2312"/>
          <w:color w:val="000000" w:themeColor="text1"/>
          <w:kern w:val="2"/>
          <w:sz w:val="32"/>
          <w:szCs w:val="32"/>
          <w:highlight w:val="none"/>
          <w:lang w:val="en-US" w:eastAsia="zh-CN" w:bidi="ar-SA"/>
          <w14:textFill>
            <w14:solidFill>
              <w14:schemeClr w14:val="tx1"/>
            </w14:solidFill>
          </w14:textFill>
        </w:rPr>
        <w:t>18</w:t>
      </w:r>
      <w:r>
        <w:rPr>
          <w:rFonts w:hint="eastAsia" w:ascii="Times New Roman" w:hAnsi="Times New Roman" w:eastAsia="仿宋_GB2312" w:cs="仿宋_GB2312"/>
          <w:color w:val="000000" w:themeColor="text1"/>
          <w:kern w:val="2"/>
          <w:sz w:val="32"/>
          <w:szCs w:val="32"/>
          <w:highlight w:val="none"/>
          <w:lang w:val="en-US" w:eastAsia="zh-CN" w:bidi="ar-SA"/>
          <w14:textFill>
            <w14:solidFill>
              <w14:schemeClr w14:val="tx1"/>
            </w14:solidFill>
          </w14:textFill>
        </w:rPr>
        <w:t>个项目编制了绩效目标</w:t>
      </w:r>
      <w:r>
        <w:rPr>
          <w:rFonts w:hint="eastAsia" w:eastAsia="仿宋_GB2312" w:cs="仿宋_GB2312"/>
          <w:color w:val="000000" w:themeColor="text1"/>
          <w:kern w:val="2"/>
          <w:sz w:val="32"/>
          <w:szCs w:val="32"/>
          <w:highlight w:val="none"/>
          <w:lang w:val="en-US" w:eastAsia="zh-CN" w:bidi="ar-SA"/>
          <w14:textFill>
            <w14:solidFill>
              <w14:schemeClr w14:val="tx1"/>
            </w14:solidFill>
          </w14:textFill>
        </w:rPr>
        <w:t>，</w:t>
      </w:r>
      <w:r>
        <w:rPr>
          <w:rFonts w:hint="eastAsia" w:ascii="Times New Roman" w:hAnsi="Times New Roman" w:eastAsia="仿宋_GB2312" w:cs="仿宋_GB2312"/>
          <w:color w:val="000000" w:themeColor="text1"/>
          <w:kern w:val="2"/>
          <w:sz w:val="32"/>
          <w:szCs w:val="32"/>
          <w:highlight w:val="none"/>
          <w:lang w:val="en-US" w:eastAsia="zh-CN" w:bidi="ar-SA"/>
          <w14:textFill>
            <w14:solidFill>
              <w14:schemeClr w14:val="tx1"/>
            </w14:solidFill>
          </w14:textFill>
        </w:rPr>
        <w:t>预算执行过程中，选取</w:t>
      </w:r>
      <w:r>
        <w:rPr>
          <w:rFonts w:hint="eastAsia" w:eastAsia="仿宋_GB2312" w:cs="仿宋_GB2312"/>
          <w:color w:val="000000" w:themeColor="text1"/>
          <w:kern w:val="2"/>
          <w:sz w:val="32"/>
          <w:szCs w:val="32"/>
          <w:highlight w:val="none"/>
          <w:lang w:val="en-US" w:eastAsia="zh-CN" w:bidi="ar-SA"/>
          <w14:textFill>
            <w14:solidFill>
              <w14:schemeClr w14:val="tx1"/>
            </w14:solidFill>
          </w14:textFill>
        </w:rPr>
        <w:t>18</w:t>
      </w:r>
      <w:r>
        <w:rPr>
          <w:rFonts w:hint="eastAsia" w:ascii="Times New Roman" w:hAnsi="Times New Roman" w:eastAsia="仿宋_GB2312" w:cs="仿宋_GB2312"/>
          <w:color w:val="000000" w:themeColor="text1"/>
          <w:kern w:val="2"/>
          <w:sz w:val="32"/>
          <w:szCs w:val="32"/>
          <w:highlight w:val="none"/>
          <w:lang w:val="en-US" w:eastAsia="zh-CN" w:bidi="ar-SA"/>
          <w14:textFill>
            <w14:solidFill>
              <w14:schemeClr w14:val="tx1"/>
            </w14:solidFill>
          </w14:textFill>
        </w:rPr>
        <w:t>个项目开展绩效监控。</w:t>
      </w:r>
    </w:p>
    <w:p w14:paraId="301CC8D4">
      <w:pPr>
        <w:keepNext w:val="0"/>
        <w:keepLines w:val="0"/>
        <w:pageBreakBefore w:val="0"/>
        <w:widowControl w:val="0"/>
        <w:kinsoku/>
        <w:wordWrap/>
        <w:overflowPunct/>
        <w:topLinePunct w:val="0"/>
        <w:autoSpaceDE/>
        <w:autoSpaceDN/>
        <w:bidi w:val="0"/>
        <w:adjustRightInd/>
        <w:snapToGrid/>
        <w:spacing w:line="560" w:lineRule="exact"/>
        <w:ind w:firstLine="641"/>
        <w:textAlignment w:val="auto"/>
        <w:rPr>
          <w:rStyle w:val="12"/>
          <w:rFonts w:hint="eastAsia" w:ascii="仿宋_GB2312" w:hAnsi="Calibri" w:eastAsia="仿宋_GB2312" w:cs="Times New Roman"/>
          <w:b w:val="0"/>
          <w:bCs/>
          <w:color w:val="000000"/>
          <w:sz w:val="32"/>
          <w:szCs w:val="32"/>
          <w:lang w:val="en-US" w:eastAsia="zh-CN"/>
        </w:rPr>
      </w:pPr>
      <w:r>
        <w:rPr>
          <w:rStyle w:val="12"/>
          <w:rFonts w:hint="eastAsia" w:ascii="仿宋_GB2312" w:eastAsia="仿宋_GB2312" w:cs="Times New Roman" w:hAnsiTheme="minorHAnsi"/>
          <w:b w:val="0"/>
          <w:bCs/>
          <w:color w:val="000000"/>
          <w:sz w:val="32"/>
          <w:szCs w:val="32"/>
          <w:lang w:val="en-US" w:eastAsia="zh-CN"/>
        </w:rPr>
        <w:t>组织对2025年度一般公共预算、资本资产等全面开展绩效自评，形成茂县工业服务中心部门整体（含部门预算项目）绩效自评报告、</w:t>
      </w:r>
      <w:r>
        <w:rPr>
          <w:rStyle w:val="12"/>
          <w:rFonts w:hint="eastAsia" w:ascii="仿宋_GB2312" w:hAnsi="Calibri" w:eastAsia="仿宋_GB2312" w:cs="Times New Roman"/>
          <w:b w:val="0"/>
          <w:bCs/>
          <w:color w:val="000000"/>
          <w:sz w:val="32"/>
          <w:szCs w:val="32"/>
          <w:lang w:val="en-US" w:eastAsia="zh-CN"/>
        </w:rPr>
        <w:t>工业园区基础设施运行经费项目</w:t>
      </w:r>
      <w:r>
        <w:rPr>
          <w:rStyle w:val="12"/>
          <w:rFonts w:hint="eastAsia" w:ascii="仿宋_GB2312" w:eastAsia="仿宋_GB2312" w:cs="Times New Roman" w:hAnsiTheme="minorHAnsi"/>
          <w:b w:val="0"/>
          <w:bCs/>
          <w:color w:val="000000"/>
          <w:sz w:val="32"/>
          <w:szCs w:val="32"/>
          <w:lang w:val="en-US" w:eastAsia="zh-CN"/>
        </w:rPr>
        <w:t>等2个专项预算项目绩效自评报告，其中:茂县工业服务中心部门整体（含部门预算项目）绩效自评得分为82.5分，绩效自评综述：维修维护并保障茂县工业园区给排水厂、道路、桥梁等基础设施正常运行，为企业正常运行提供要素保障；做好园区环境污染检测、安全生产等工作；确保了园区各企业正常生产、生活运转；阿坝州生态环境分区管控茂县工业重点管控单元大气污染物允许排放量更新论证自评得分为70分，绩效自评综述:确保了阿坝藏族羌族自治州茂县2025年和2035年PM2.5目标浓度达标，统筹解决茂县工业园区后续发展带来的大气环境影响，解决茂县工业园区后续发展带来的大气环境影响，支持园区长远合理发展。</w:t>
      </w:r>
      <w:r>
        <w:rPr>
          <w:rStyle w:val="12"/>
          <w:rFonts w:hint="eastAsia" w:ascii="仿宋_GB2312" w:hAnsi="Calibri" w:eastAsia="仿宋_GB2312" w:cs="Times New Roman"/>
          <w:b w:val="0"/>
          <w:bCs/>
          <w:color w:val="000000"/>
          <w:sz w:val="32"/>
          <w:szCs w:val="32"/>
          <w:lang w:val="en-US" w:eastAsia="zh-CN"/>
        </w:rPr>
        <w:t>绩效自评表详见第四部分附件。</w:t>
      </w:r>
    </w:p>
    <w:p w14:paraId="34645952">
      <w:pPr>
        <w:keepNext w:val="0"/>
        <w:keepLines w:val="0"/>
        <w:pageBreakBefore w:val="0"/>
        <w:widowControl w:val="0"/>
        <w:kinsoku/>
        <w:wordWrap/>
        <w:overflowPunct/>
        <w:topLinePunct w:val="0"/>
        <w:bidi w:val="0"/>
        <w:snapToGrid/>
        <w:spacing w:line="560" w:lineRule="exact"/>
        <w:ind w:firstLine="640" w:firstLineChars="200"/>
        <w:textAlignment w:val="auto"/>
        <w:rPr>
          <w:rStyle w:val="12"/>
          <w:rFonts w:hint="eastAsia" w:ascii="仿宋_GB2312" w:hAnsi="Calibri" w:eastAsia="仿宋_GB2312" w:cs="Times New Roman"/>
          <w:b w:val="0"/>
          <w:bCs/>
          <w:color w:val="000000"/>
          <w:sz w:val="32"/>
          <w:szCs w:val="32"/>
          <w:lang w:val="en-US" w:eastAsia="zh-CN"/>
        </w:rPr>
      </w:pPr>
      <w:r>
        <w:rPr>
          <w:rStyle w:val="12"/>
          <w:rFonts w:hint="eastAsia" w:ascii="仿宋_GB2312" w:hAnsi="Calibri" w:eastAsia="仿宋_GB2312" w:cs="Times New Roman"/>
          <w:b w:val="0"/>
          <w:bCs/>
          <w:color w:val="000000"/>
          <w:sz w:val="32"/>
          <w:szCs w:val="32"/>
          <w:lang w:val="en-US" w:eastAsia="zh-CN"/>
        </w:rPr>
        <w:br w:type="page"/>
      </w:r>
    </w:p>
    <w:p w14:paraId="039C9ED5">
      <w:pPr>
        <w:numPr>
          <w:ilvl w:val="0"/>
          <w:numId w:val="0"/>
        </w:numPr>
        <w:spacing w:line="600" w:lineRule="exact"/>
        <w:jc w:val="center"/>
        <w:outlineLvl w:val="0"/>
        <w:rPr>
          <w:rStyle w:val="13"/>
          <w:rFonts w:ascii="黑体" w:hAnsi="黑体" w:eastAsia="黑体"/>
          <w:b w:val="0"/>
          <w:color w:val="auto"/>
          <w:highlight w:val="none"/>
        </w:rPr>
      </w:pPr>
      <w:r>
        <w:rPr>
          <w:rFonts w:hint="eastAsia" w:ascii="黑体" w:hAnsi="黑体" w:eastAsia="黑体"/>
          <w:color w:val="auto"/>
          <w:sz w:val="44"/>
          <w:szCs w:val="44"/>
          <w:highlight w:val="none"/>
          <w:lang w:eastAsia="zh-CN"/>
        </w:rPr>
        <w:t>第三部分</w:t>
      </w:r>
      <w:r>
        <w:rPr>
          <w:rFonts w:hint="eastAsia" w:ascii="黑体" w:hAnsi="黑体" w:eastAsia="黑体"/>
          <w:color w:val="auto"/>
          <w:sz w:val="44"/>
          <w:szCs w:val="44"/>
          <w:highlight w:val="none"/>
          <w:lang w:val="en-US" w:eastAsia="zh-CN"/>
        </w:rPr>
        <w:t xml:space="preserve">  </w:t>
      </w:r>
      <w:r>
        <w:rPr>
          <w:rFonts w:hint="eastAsia" w:ascii="黑体" w:hAnsi="黑体" w:eastAsia="黑体"/>
          <w:color w:val="auto"/>
          <w:sz w:val="44"/>
          <w:szCs w:val="44"/>
          <w:highlight w:val="none"/>
        </w:rPr>
        <w:t>名</w:t>
      </w:r>
      <w:r>
        <w:rPr>
          <w:rStyle w:val="13"/>
          <w:rFonts w:hint="eastAsia" w:ascii="黑体" w:hAnsi="黑体" w:eastAsia="黑体"/>
          <w:b w:val="0"/>
          <w:color w:val="auto"/>
          <w:highlight w:val="none"/>
        </w:rPr>
        <w:t>词解释</w:t>
      </w:r>
    </w:p>
    <w:p w14:paraId="0F57DC61">
      <w:pPr>
        <w:spacing w:line="600" w:lineRule="exact"/>
        <w:jc w:val="left"/>
        <w:rPr>
          <w:rFonts w:ascii="宋体"/>
          <w:b/>
          <w:color w:val="auto"/>
          <w:sz w:val="44"/>
          <w:szCs w:val="44"/>
          <w:highlight w:val="none"/>
        </w:rPr>
      </w:pPr>
    </w:p>
    <w:p w14:paraId="244F1AE2">
      <w:pPr>
        <w:keepNext w:val="0"/>
        <w:keepLines w:val="0"/>
        <w:pageBreakBefore w:val="0"/>
        <w:widowControl w:val="0"/>
        <w:kinsoku/>
        <w:wordWrap/>
        <w:overflowPunct/>
        <w:topLinePunct w:val="0"/>
        <w:bidi w:val="0"/>
        <w:snapToGrid/>
        <w:spacing w:line="560" w:lineRule="exact"/>
        <w:ind w:firstLine="640" w:firstLineChars="200"/>
        <w:textAlignment w:val="auto"/>
        <w:rPr>
          <w:rStyle w:val="12"/>
          <w:rFonts w:hint="eastAsia" w:ascii="仿宋_GB2312" w:hAnsi="Calibri" w:eastAsia="仿宋_GB2312" w:cs="Times New Roman"/>
          <w:b w:val="0"/>
          <w:bCs/>
          <w:color w:val="000000"/>
          <w:sz w:val="32"/>
          <w:szCs w:val="32"/>
          <w:lang w:val="en-US" w:eastAsia="zh-CN"/>
        </w:rPr>
      </w:pPr>
      <w:r>
        <w:rPr>
          <w:rStyle w:val="12"/>
          <w:rFonts w:hint="eastAsia" w:ascii="仿宋_GB2312" w:hAnsi="Calibri" w:eastAsia="仿宋_GB2312" w:cs="Times New Roman"/>
          <w:b w:val="0"/>
          <w:bCs/>
          <w:color w:val="000000"/>
          <w:sz w:val="32"/>
          <w:szCs w:val="32"/>
          <w:lang w:val="en-US" w:eastAsia="zh-CN"/>
        </w:rPr>
        <w:t>1.财政拨款收入：指单位从同级财政部门取得的财政预算资金。</w:t>
      </w:r>
    </w:p>
    <w:p w14:paraId="3BEBBC4F">
      <w:pPr>
        <w:keepNext w:val="0"/>
        <w:keepLines w:val="0"/>
        <w:pageBreakBefore w:val="0"/>
        <w:widowControl w:val="0"/>
        <w:kinsoku/>
        <w:wordWrap/>
        <w:overflowPunct/>
        <w:topLinePunct w:val="0"/>
        <w:bidi w:val="0"/>
        <w:snapToGrid/>
        <w:spacing w:line="560" w:lineRule="exact"/>
        <w:ind w:firstLine="640" w:firstLineChars="200"/>
        <w:textAlignment w:val="auto"/>
        <w:rPr>
          <w:rStyle w:val="12"/>
          <w:rFonts w:hint="eastAsia" w:ascii="仿宋_GB2312" w:hAnsi="Calibri" w:eastAsia="仿宋_GB2312" w:cs="Times New Roman"/>
          <w:b w:val="0"/>
          <w:bCs/>
          <w:color w:val="000000"/>
          <w:sz w:val="32"/>
          <w:szCs w:val="32"/>
          <w:lang w:val="en-US" w:eastAsia="zh-CN"/>
        </w:rPr>
      </w:pPr>
      <w:r>
        <w:rPr>
          <w:rStyle w:val="12"/>
          <w:rFonts w:hint="eastAsia" w:ascii="仿宋_GB2312" w:hAnsi="Calibri" w:eastAsia="仿宋_GB2312" w:cs="Times New Roman"/>
          <w:b w:val="0"/>
          <w:bCs/>
          <w:color w:val="000000"/>
          <w:sz w:val="32"/>
          <w:szCs w:val="32"/>
          <w:lang w:val="en-US" w:eastAsia="zh-CN"/>
        </w:rPr>
        <w:t>2.事业收入：指事业单位开展专业业务活动及辅助活动取得的收入。</w:t>
      </w:r>
    </w:p>
    <w:p w14:paraId="645507FD">
      <w:pPr>
        <w:keepNext w:val="0"/>
        <w:keepLines w:val="0"/>
        <w:pageBreakBefore w:val="0"/>
        <w:widowControl w:val="0"/>
        <w:kinsoku/>
        <w:wordWrap/>
        <w:overflowPunct/>
        <w:topLinePunct w:val="0"/>
        <w:bidi w:val="0"/>
        <w:snapToGrid/>
        <w:spacing w:line="560" w:lineRule="exact"/>
        <w:ind w:firstLine="640" w:firstLineChars="200"/>
        <w:textAlignment w:val="auto"/>
        <w:rPr>
          <w:rStyle w:val="12"/>
          <w:rFonts w:hint="eastAsia" w:ascii="仿宋_GB2312" w:hAnsi="Calibri" w:eastAsia="仿宋_GB2312" w:cs="Times New Roman"/>
          <w:b w:val="0"/>
          <w:bCs/>
          <w:color w:val="000000"/>
          <w:sz w:val="32"/>
          <w:szCs w:val="32"/>
          <w:lang w:val="en-US" w:eastAsia="zh-CN"/>
        </w:rPr>
      </w:pPr>
      <w:r>
        <w:rPr>
          <w:rStyle w:val="12"/>
          <w:rFonts w:hint="eastAsia" w:ascii="仿宋_GB2312" w:hAnsi="Calibri" w:eastAsia="仿宋_GB2312" w:cs="Times New Roman"/>
          <w:b w:val="0"/>
          <w:bCs/>
          <w:color w:val="000000"/>
          <w:sz w:val="32"/>
          <w:szCs w:val="32"/>
          <w:lang w:val="en-US" w:eastAsia="zh-CN"/>
        </w:rPr>
        <w:t>3.经营收入：指事业单位在专业业务活动及其辅助活动之外开展非独立核算经营活动取得的收入。</w:t>
      </w:r>
    </w:p>
    <w:p w14:paraId="71D4BCBD">
      <w:pPr>
        <w:keepNext w:val="0"/>
        <w:keepLines w:val="0"/>
        <w:pageBreakBefore w:val="0"/>
        <w:widowControl w:val="0"/>
        <w:kinsoku/>
        <w:wordWrap/>
        <w:overflowPunct/>
        <w:topLinePunct w:val="0"/>
        <w:bidi w:val="0"/>
        <w:snapToGrid/>
        <w:spacing w:line="560" w:lineRule="exact"/>
        <w:ind w:firstLine="640" w:firstLineChars="200"/>
        <w:textAlignment w:val="auto"/>
        <w:rPr>
          <w:rStyle w:val="12"/>
          <w:rFonts w:hint="eastAsia" w:ascii="仿宋_GB2312" w:hAnsi="Calibri" w:eastAsia="仿宋_GB2312" w:cs="Times New Roman"/>
          <w:b w:val="0"/>
          <w:bCs/>
          <w:color w:val="000000"/>
          <w:sz w:val="32"/>
          <w:szCs w:val="32"/>
          <w:lang w:val="en-US" w:eastAsia="zh-CN"/>
        </w:rPr>
      </w:pPr>
      <w:r>
        <w:rPr>
          <w:rStyle w:val="12"/>
          <w:rFonts w:hint="eastAsia" w:ascii="仿宋_GB2312" w:hAnsi="Calibri" w:eastAsia="仿宋_GB2312" w:cs="Times New Roman"/>
          <w:b w:val="0"/>
          <w:bCs/>
          <w:color w:val="000000"/>
          <w:sz w:val="32"/>
          <w:szCs w:val="32"/>
          <w:lang w:val="en-US" w:eastAsia="zh-CN"/>
        </w:rPr>
        <w:t>4.其他收入：指单位取得的除上述收入以外的各项收入。</w:t>
      </w:r>
    </w:p>
    <w:p w14:paraId="6EF1B8C6">
      <w:pPr>
        <w:keepNext w:val="0"/>
        <w:keepLines w:val="0"/>
        <w:pageBreakBefore w:val="0"/>
        <w:widowControl w:val="0"/>
        <w:kinsoku/>
        <w:wordWrap/>
        <w:overflowPunct/>
        <w:topLinePunct w:val="0"/>
        <w:bidi w:val="0"/>
        <w:snapToGrid/>
        <w:spacing w:line="560" w:lineRule="exact"/>
        <w:ind w:firstLine="640" w:firstLineChars="200"/>
        <w:textAlignment w:val="auto"/>
        <w:rPr>
          <w:rStyle w:val="12"/>
          <w:rFonts w:hint="eastAsia" w:ascii="仿宋_GB2312" w:hAnsi="Calibri" w:eastAsia="仿宋_GB2312" w:cs="Times New Roman"/>
          <w:b w:val="0"/>
          <w:bCs/>
          <w:color w:val="000000"/>
          <w:sz w:val="32"/>
          <w:szCs w:val="32"/>
          <w:lang w:val="en-US" w:eastAsia="zh-CN"/>
        </w:rPr>
      </w:pPr>
      <w:r>
        <w:rPr>
          <w:rStyle w:val="12"/>
          <w:rFonts w:hint="eastAsia" w:ascii="仿宋_GB2312" w:hAnsi="Calibri" w:eastAsia="仿宋_GB2312" w:cs="Times New Roman"/>
          <w:b w:val="0"/>
          <w:bCs/>
          <w:color w:val="000000"/>
          <w:sz w:val="32"/>
          <w:szCs w:val="32"/>
          <w:lang w:val="en-US" w:eastAsia="zh-CN"/>
        </w:rPr>
        <w:t>5.使用非财政拨款结余（含专用结余）：指事业单位使用以前年度积累的非财政拨款结余弥补当年收支差额的金额。</w:t>
      </w:r>
    </w:p>
    <w:p w14:paraId="605040A4">
      <w:pPr>
        <w:keepNext w:val="0"/>
        <w:keepLines w:val="0"/>
        <w:pageBreakBefore w:val="0"/>
        <w:widowControl w:val="0"/>
        <w:kinsoku/>
        <w:wordWrap/>
        <w:overflowPunct/>
        <w:topLinePunct w:val="0"/>
        <w:bidi w:val="0"/>
        <w:snapToGrid/>
        <w:spacing w:line="560" w:lineRule="exact"/>
        <w:ind w:firstLine="640" w:firstLineChars="200"/>
        <w:textAlignment w:val="auto"/>
        <w:rPr>
          <w:rStyle w:val="12"/>
          <w:rFonts w:hint="eastAsia" w:ascii="仿宋_GB2312" w:hAnsi="Calibri" w:eastAsia="仿宋_GB2312" w:cs="Times New Roman"/>
          <w:b w:val="0"/>
          <w:bCs/>
          <w:color w:val="000000"/>
          <w:sz w:val="32"/>
          <w:szCs w:val="32"/>
          <w:lang w:val="en-US" w:eastAsia="zh-CN"/>
        </w:rPr>
      </w:pPr>
      <w:r>
        <w:rPr>
          <w:rStyle w:val="12"/>
          <w:rFonts w:hint="eastAsia" w:ascii="仿宋_GB2312" w:hAnsi="Calibri" w:eastAsia="仿宋_GB2312" w:cs="Times New Roman"/>
          <w:b w:val="0"/>
          <w:bCs/>
          <w:color w:val="000000"/>
          <w:sz w:val="32"/>
          <w:szCs w:val="32"/>
          <w:lang w:val="en-US" w:eastAsia="zh-CN"/>
        </w:rPr>
        <w:t>6.年初结转和结余：指以前年度尚未完成、结转到本年按有关规定继续使用的资金。</w:t>
      </w:r>
    </w:p>
    <w:p w14:paraId="34CEB5B1">
      <w:pPr>
        <w:keepNext w:val="0"/>
        <w:keepLines w:val="0"/>
        <w:pageBreakBefore w:val="0"/>
        <w:widowControl w:val="0"/>
        <w:kinsoku/>
        <w:wordWrap/>
        <w:overflowPunct/>
        <w:topLinePunct w:val="0"/>
        <w:bidi w:val="0"/>
        <w:snapToGrid/>
        <w:spacing w:line="560" w:lineRule="exact"/>
        <w:ind w:firstLine="640" w:firstLineChars="200"/>
        <w:textAlignment w:val="auto"/>
        <w:rPr>
          <w:rStyle w:val="12"/>
          <w:rFonts w:hint="eastAsia" w:ascii="仿宋_GB2312" w:hAnsi="Calibri" w:eastAsia="仿宋_GB2312" w:cs="Times New Roman"/>
          <w:b w:val="0"/>
          <w:bCs/>
          <w:color w:val="000000"/>
          <w:sz w:val="32"/>
          <w:szCs w:val="32"/>
          <w:lang w:val="en-US" w:eastAsia="zh-CN"/>
        </w:rPr>
      </w:pPr>
      <w:r>
        <w:rPr>
          <w:rStyle w:val="12"/>
          <w:rFonts w:hint="eastAsia" w:ascii="仿宋_GB2312" w:hAnsi="Calibri" w:eastAsia="仿宋_GB2312" w:cs="Times New Roman"/>
          <w:b w:val="0"/>
          <w:bCs/>
          <w:color w:val="000000"/>
          <w:sz w:val="32"/>
          <w:szCs w:val="32"/>
          <w:lang w:val="en-US" w:eastAsia="zh-CN"/>
        </w:rPr>
        <w:t>7.结余分配：指事业单位按照会计制度规定缴纳的所得税、提取的专用结余以及转入非财政拨款结余的金额等。</w:t>
      </w:r>
    </w:p>
    <w:p w14:paraId="0565E608">
      <w:pPr>
        <w:keepNext w:val="0"/>
        <w:keepLines w:val="0"/>
        <w:pageBreakBefore w:val="0"/>
        <w:widowControl w:val="0"/>
        <w:kinsoku/>
        <w:wordWrap/>
        <w:overflowPunct/>
        <w:topLinePunct w:val="0"/>
        <w:bidi w:val="0"/>
        <w:snapToGrid/>
        <w:spacing w:line="560" w:lineRule="exact"/>
        <w:ind w:firstLine="640" w:firstLineChars="200"/>
        <w:textAlignment w:val="auto"/>
        <w:rPr>
          <w:rStyle w:val="12"/>
          <w:rFonts w:hint="eastAsia" w:ascii="仿宋_GB2312" w:hAnsi="Calibri" w:eastAsia="仿宋_GB2312" w:cs="Times New Roman"/>
          <w:b w:val="0"/>
          <w:bCs/>
          <w:color w:val="000000"/>
          <w:sz w:val="32"/>
          <w:szCs w:val="32"/>
          <w:lang w:val="en-US" w:eastAsia="zh-CN"/>
        </w:rPr>
      </w:pPr>
      <w:r>
        <w:rPr>
          <w:rStyle w:val="12"/>
          <w:rFonts w:hint="eastAsia" w:ascii="仿宋_GB2312" w:hAnsi="Calibri" w:eastAsia="仿宋_GB2312" w:cs="Times New Roman"/>
          <w:b w:val="0"/>
          <w:bCs/>
          <w:color w:val="000000"/>
          <w:sz w:val="32"/>
          <w:szCs w:val="32"/>
          <w:lang w:val="en-US" w:eastAsia="zh-CN"/>
        </w:rPr>
        <w:t>8.年末结转和结余：指单位按有关规定结转到下年或以后年度继续使用的资金。</w:t>
      </w:r>
    </w:p>
    <w:p w14:paraId="0609DE9A">
      <w:pPr>
        <w:keepNext w:val="0"/>
        <w:keepLines w:val="0"/>
        <w:pageBreakBefore w:val="0"/>
        <w:widowControl w:val="0"/>
        <w:kinsoku/>
        <w:wordWrap/>
        <w:overflowPunct/>
        <w:topLinePunct w:val="0"/>
        <w:bidi w:val="0"/>
        <w:snapToGrid/>
        <w:spacing w:line="560" w:lineRule="exact"/>
        <w:ind w:firstLine="640" w:firstLineChars="200"/>
        <w:textAlignment w:val="auto"/>
        <w:rPr>
          <w:rStyle w:val="12"/>
          <w:rFonts w:hint="eastAsia" w:ascii="仿宋_GB2312" w:hAnsi="Calibri" w:eastAsia="仿宋_GB2312" w:cs="Times New Roman"/>
          <w:b w:val="0"/>
          <w:bCs/>
          <w:color w:val="000000"/>
          <w:sz w:val="32"/>
          <w:szCs w:val="32"/>
          <w:lang w:val="en-US" w:eastAsia="zh-CN"/>
        </w:rPr>
      </w:pPr>
      <w:r>
        <w:rPr>
          <w:rStyle w:val="12"/>
          <w:rFonts w:hint="eastAsia" w:ascii="仿宋_GB2312" w:hAnsi="Calibri" w:eastAsia="仿宋_GB2312" w:cs="Times New Roman"/>
          <w:b w:val="0"/>
          <w:bCs/>
          <w:color w:val="000000"/>
          <w:sz w:val="32"/>
          <w:szCs w:val="32"/>
          <w:lang w:val="en-US" w:eastAsia="zh-CN"/>
        </w:rPr>
        <w:t>9.一般公共服务支出（类）商贸事务（款）事业运行（项）：反映事业单位的基本支出，不包括行政单位</w:t>
      </w:r>
      <w:r>
        <w:rPr>
          <w:rStyle w:val="12"/>
          <w:rFonts w:hint="eastAsia" w:ascii="仿宋_GB2312" w:eastAsia="仿宋_GB2312" w:cs="Times New Roman"/>
          <w:b w:val="0"/>
          <w:bCs/>
          <w:color w:val="000000"/>
          <w:sz w:val="32"/>
          <w:szCs w:val="32"/>
          <w:lang w:val="en-US" w:eastAsia="zh-CN"/>
        </w:rPr>
        <w:t>（</w:t>
      </w:r>
      <w:r>
        <w:rPr>
          <w:rStyle w:val="12"/>
          <w:rFonts w:hint="eastAsia" w:ascii="仿宋_GB2312" w:hAnsi="Calibri" w:eastAsia="仿宋_GB2312" w:cs="Times New Roman"/>
          <w:b w:val="0"/>
          <w:bCs/>
          <w:color w:val="000000"/>
          <w:sz w:val="32"/>
          <w:szCs w:val="32"/>
          <w:lang w:val="en-US" w:eastAsia="zh-CN"/>
        </w:rPr>
        <w:t>包括实行公务员管理的事业单位、后勤服务中心，医务室等附属事业单位</w:t>
      </w:r>
      <w:r>
        <w:rPr>
          <w:rStyle w:val="12"/>
          <w:rFonts w:hint="eastAsia" w:ascii="仿宋_GB2312" w:eastAsia="仿宋_GB2312" w:cs="Times New Roman"/>
          <w:b w:val="0"/>
          <w:bCs/>
          <w:color w:val="000000"/>
          <w:sz w:val="32"/>
          <w:szCs w:val="32"/>
          <w:lang w:val="en-US" w:eastAsia="zh-CN"/>
        </w:rPr>
        <w:t>）</w:t>
      </w:r>
      <w:r>
        <w:rPr>
          <w:rStyle w:val="12"/>
          <w:rFonts w:hint="eastAsia" w:ascii="仿宋_GB2312" w:hAnsi="Calibri" w:eastAsia="仿宋_GB2312" w:cs="Times New Roman"/>
          <w:b w:val="0"/>
          <w:bCs/>
          <w:color w:val="000000"/>
          <w:sz w:val="32"/>
          <w:szCs w:val="32"/>
          <w:lang w:val="en-US" w:eastAsia="zh-CN"/>
        </w:rPr>
        <w:t>。</w:t>
      </w:r>
    </w:p>
    <w:p w14:paraId="6ABB689A">
      <w:pPr>
        <w:keepNext w:val="0"/>
        <w:keepLines w:val="0"/>
        <w:pageBreakBefore w:val="0"/>
        <w:widowControl w:val="0"/>
        <w:kinsoku/>
        <w:wordWrap/>
        <w:overflowPunct/>
        <w:topLinePunct w:val="0"/>
        <w:bidi w:val="0"/>
        <w:snapToGrid/>
        <w:spacing w:line="560" w:lineRule="exact"/>
        <w:ind w:firstLine="640" w:firstLineChars="200"/>
        <w:textAlignment w:val="auto"/>
        <w:rPr>
          <w:rStyle w:val="12"/>
          <w:rFonts w:hint="eastAsia" w:ascii="仿宋_GB2312" w:hAnsi="Calibri" w:eastAsia="仿宋_GB2312" w:cs="Times New Roman"/>
          <w:b w:val="0"/>
          <w:bCs/>
          <w:color w:val="000000"/>
          <w:sz w:val="32"/>
          <w:szCs w:val="32"/>
          <w:lang w:val="en-US" w:eastAsia="zh-CN"/>
        </w:rPr>
      </w:pPr>
      <w:r>
        <w:rPr>
          <w:rStyle w:val="12"/>
          <w:rFonts w:hint="eastAsia" w:ascii="仿宋_GB2312" w:hAnsi="Calibri" w:eastAsia="仿宋_GB2312" w:cs="Times New Roman"/>
          <w:b w:val="0"/>
          <w:bCs/>
          <w:color w:val="000000"/>
          <w:sz w:val="32"/>
          <w:szCs w:val="32"/>
          <w:lang w:val="en-US" w:eastAsia="zh-CN"/>
        </w:rPr>
        <w:t>10.社会保障和就业支出（类）行政事业单位养老支出（款）机关事业单位基本养老保险缴费支出（项）：反映机关事业单位实施养老保险制度由单位缴纳的基本养老保险费支出。</w:t>
      </w:r>
    </w:p>
    <w:p w14:paraId="44FB8CF2">
      <w:pPr>
        <w:keepNext w:val="0"/>
        <w:keepLines w:val="0"/>
        <w:pageBreakBefore w:val="0"/>
        <w:widowControl w:val="0"/>
        <w:kinsoku/>
        <w:wordWrap/>
        <w:overflowPunct/>
        <w:topLinePunct w:val="0"/>
        <w:bidi w:val="0"/>
        <w:snapToGrid/>
        <w:spacing w:line="560" w:lineRule="exact"/>
        <w:ind w:firstLine="640" w:firstLineChars="200"/>
        <w:textAlignment w:val="auto"/>
        <w:rPr>
          <w:rStyle w:val="12"/>
          <w:rFonts w:hint="eastAsia" w:ascii="仿宋_GB2312" w:hAnsi="Calibri" w:eastAsia="仿宋_GB2312" w:cs="Times New Roman"/>
          <w:b w:val="0"/>
          <w:bCs/>
          <w:color w:val="000000"/>
          <w:sz w:val="32"/>
          <w:szCs w:val="32"/>
          <w:lang w:val="en-US" w:eastAsia="zh-CN"/>
        </w:rPr>
      </w:pPr>
      <w:r>
        <w:rPr>
          <w:rStyle w:val="12"/>
          <w:rFonts w:hint="eastAsia" w:ascii="仿宋_GB2312" w:hAnsi="Calibri" w:eastAsia="仿宋_GB2312" w:cs="Times New Roman"/>
          <w:b w:val="0"/>
          <w:bCs/>
          <w:color w:val="000000"/>
          <w:sz w:val="32"/>
          <w:szCs w:val="32"/>
          <w:lang w:val="en-US" w:eastAsia="zh-CN"/>
        </w:rPr>
        <w:t>11.社会保障和就业支出（类）行政事业单位养老支出（款）机关事业单位职业年金缴费支出（项）：反映机关事业单位实施养老保险制度由单位实际缴纳的职业年金支出。</w:t>
      </w:r>
    </w:p>
    <w:p w14:paraId="39EC1D33">
      <w:pPr>
        <w:keepNext w:val="0"/>
        <w:keepLines w:val="0"/>
        <w:pageBreakBefore w:val="0"/>
        <w:widowControl w:val="0"/>
        <w:kinsoku/>
        <w:wordWrap/>
        <w:overflowPunct/>
        <w:topLinePunct w:val="0"/>
        <w:bidi w:val="0"/>
        <w:snapToGrid/>
        <w:spacing w:line="560" w:lineRule="exact"/>
        <w:ind w:firstLine="640" w:firstLineChars="200"/>
        <w:textAlignment w:val="auto"/>
        <w:rPr>
          <w:rStyle w:val="12"/>
          <w:rFonts w:hint="eastAsia" w:ascii="仿宋_GB2312" w:hAnsi="Calibri" w:eastAsia="仿宋_GB2312" w:cs="Times New Roman"/>
          <w:b w:val="0"/>
          <w:bCs/>
          <w:color w:val="000000"/>
          <w:sz w:val="32"/>
          <w:szCs w:val="32"/>
          <w:lang w:val="en-US" w:eastAsia="zh-CN"/>
        </w:rPr>
      </w:pPr>
      <w:r>
        <w:rPr>
          <w:rStyle w:val="12"/>
          <w:rFonts w:hint="eastAsia" w:ascii="仿宋_GB2312" w:hAnsi="Calibri" w:eastAsia="仿宋_GB2312" w:cs="Times New Roman"/>
          <w:b w:val="0"/>
          <w:bCs/>
          <w:color w:val="000000"/>
          <w:sz w:val="32"/>
          <w:szCs w:val="32"/>
          <w:lang w:val="en-US" w:eastAsia="zh-CN"/>
        </w:rPr>
        <w:t>12.卫生健康支出（类）行政事业单位医疗（款）事业单位医疗（项）：反映财政部门安排的事业单位基本医疗保险缴费经费，未参加医疗保险的事业单位的公费医疗经费按国家规定享受离休人员待遇的医疗经费。</w:t>
      </w:r>
    </w:p>
    <w:p w14:paraId="5B40DA26">
      <w:pPr>
        <w:keepNext w:val="0"/>
        <w:keepLines w:val="0"/>
        <w:pageBreakBefore w:val="0"/>
        <w:widowControl w:val="0"/>
        <w:kinsoku/>
        <w:wordWrap/>
        <w:overflowPunct/>
        <w:topLinePunct w:val="0"/>
        <w:bidi w:val="0"/>
        <w:snapToGrid/>
        <w:spacing w:line="560" w:lineRule="exact"/>
        <w:ind w:firstLine="640" w:firstLineChars="200"/>
        <w:textAlignment w:val="auto"/>
        <w:rPr>
          <w:rStyle w:val="12"/>
          <w:rFonts w:hint="eastAsia" w:ascii="仿宋_GB2312" w:hAnsi="Calibri" w:eastAsia="仿宋_GB2312" w:cs="Times New Roman"/>
          <w:b w:val="0"/>
          <w:bCs/>
          <w:color w:val="000000"/>
          <w:sz w:val="32"/>
          <w:szCs w:val="32"/>
          <w:lang w:val="en-US" w:eastAsia="zh-CN"/>
        </w:rPr>
      </w:pPr>
      <w:r>
        <w:rPr>
          <w:rStyle w:val="12"/>
          <w:rFonts w:hint="eastAsia" w:ascii="仿宋_GB2312" w:hAnsi="Calibri" w:eastAsia="仿宋_GB2312" w:cs="Times New Roman"/>
          <w:b w:val="0"/>
          <w:bCs/>
          <w:color w:val="000000"/>
          <w:sz w:val="32"/>
          <w:szCs w:val="32"/>
          <w:lang w:val="en-US" w:eastAsia="zh-CN"/>
        </w:rPr>
        <w:t>13.住房保障支出（类）住房改革支出（款）住房公积金（项）：反映行政事业单位按人力资源和社会保障部、财政部规定的基本工资和津贴补贴以及规定比例为职工缴纳的住房公积金。</w:t>
      </w:r>
    </w:p>
    <w:p w14:paraId="5BC2280E">
      <w:pPr>
        <w:keepNext w:val="0"/>
        <w:keepLines w:val="0"/>
        <w:pageBreakBefore w:val="0"/>
        <w:widowControl w:val="0"/>
        <w:kinsoku/>
        <w:wordWrap/>
        <w:overflowPunct/>
        <w:topLinePunct w:val="0"/>
        <w:bidi w:val="0"/>
        <w:snapToGrid/>
        <w:spacing w:line="560" w:lineRule="exact"/>
        <w:ind w:firstLine="640" w:firstLineChars="200"/>
        <w:textAlignment w:val="auto"/>
        <w:rPr>
          <w:rStyle w:val="12"/>
          <w:rFonts w:hint="eastAsia" w:ascii="仿宋_GB2312" w:hAnsi="Calibri" w:eastAsia="仿宋_GB2312" w:cs="Times New Roman"/>
          <w:b w:val="0"/>
          <w:bCs/>
          <w:color w:val="000000"/>
          <w:sz w:val="32"/>
          <w:szCs w:val="32"/>
          <w:lang w:val="en-US" w:eastAsia="zh-CN"/>
        </w:rPr>
      </w:pPr>
      <w:r>
        <w:rPr>
          <w:rStyle w:val="12"/>
          <w:rFonts w:hint="eastAsia" w:ascii="仿宋_GB2312" w:hAnsi="Calibri" w:eastAsia="仿宋_GB2312" w:cs="Times New Roman"/>
          <w:b w:val="0"/>
          <w:bCs/>
          <w:color w:val="000000"/>
          <w:sz w:val="32"/>
          <w:szCs w:val="32"/>
          <w:lang w:val="en-US" w:eastAsia="zh-CN"/>
        </w:rPr>
        <w:t>14.基本支出：指为保障机构正常运转、完成日常工作任务而发生的人员支出和公用支出。</w:t>
      </w:r>
    </w:p>
    <w:p w14:paraId="68475C32">
      <w:pPr>
        <w:keepNext w:val="0"/>
        <w:keepLines w:val="0"/>
        <w:pageBreakBefore w:val="0"/>
        <w:widowControl w:val="0"/>
        <w:kinsoku/>
        <w:wordWrap/>
        <w:overflowPunct/>
        <w:topLinePunct w:val="0"/>
        <w:bidi w:val="0"/>
        <w:snapToGrid/>
        <w:spacing w:line="560" w:lineRule="exact"/>
        <w:ind w:firstLine="640" w:firstLineChars="200"/>
        <w:textAlignment w:val="auto"/>
        <w:rPr>
          <w:rStyle w:val="12"/>
          <w:rFonts w:hint="eastAsia" w:ascii="仿宋_GB2312" w:hAnsi="Calibri" w:eastAsia="仿宋_GB2312" w:cs="Times New Roman"/>
          <w:b w:val="0"/>
          <w:bCs/>
          <w:color w:val="000000"/>
          <w:sz w:val="32"/>
          <w:szCs w:val="32"/>
          <w:lang w:val="en-US" w:eastAsia="zh-CN"/>
        </w:rPr>
      </w:pPr>
      <w:r>
        <w:rPr>
          <w:rStyle w:val="12"/>
          <w:rFonts w:hint="eastAsia" w:ascii="仿宋_GB2312" w:hAnsi="Calibri" w:eastAsia="仿宋_GB2312" w:cs="Times New Roman"/>
          <w:b w:val="0"/>
          <w:bCs/>
          <w:color w:val="000000"/>
          <w:sz w:val="32"/>
          <w:szCs w:val="32"/>
          <w:lang w:val="en-US" w:eastAsia="zh-CN"/>
        </w:rPr>
        <w:t>15.项目支出：指在基本支出之外为完成特定行政任务和事业发展目标所发生的支出。</w:t>
      </w:r>
    </w:p>
    <w:p w14:paraId="17C5427C">
      <w:pPr>
        <w:keepNext w:val="0"/>
        <w:keepLines w:val="0"/>
        <w:pageBreakBefore w:val="0"/>
        <w:widowControl w:val="0"/>
        <w:kinsoku/>
        <w:wordWrap/>
        <w:overflowPunct/>
        <w:topLinePunct w:val="0"/>
        <w:bidi w:val="0"/>
        <w:snapToGrid/>
        <w:spacing w:line="560" w:lineRule="exact"/>
        <w:ind w:firstLine="640" w:firstLineChars="200"/>
        <w:textAlignment w:val="auto"/>
        <w:rPr>
          <w:rStyle w:val="12"/>
          <w:rFonts w:hint="eastAsia" w:ascii="仿宋_GB2312" w:hAnsi="Calibri" w:eastAsia="仿宋_GB2312" w:cs="Times New Roman"/>
          <w:b w:val="0"/>
          <w:bCs/>
          <w:color w:val="000000"/>
          <w:sz w:val="32"/>
          <w:szCs w:val="32"/>
          <w:lang w:val="en-US" w:eastAsia="zh-CN"/>
        </w:rPr>
      </w:pPr>
      <w:r>
        <w:rPr>
          <w:rStyle w:val="12"/>
          <w:rFonts w:hint="eastAsia" w:ascii="仿宋_GB2312" w:hAnsi="Calibri" w:eastAsia="仿宋_GB2312" w:cs="Times New Roman"/>
          <w:b w:val="0"/>
          <w:bCs/>
          <w:color w:val="000000"/>
          <w:sz w:val="32"/>
          <w:szCs w:val="32"/>
          <w:lang w:val="en-US" w:eastAsia="zh-CN"/>
        </w:rPr>
        <w:t>16.经营支出：指事业单位在专业业务活动及其辅助活动之外开展非独立核算经营活动发生的支出。</w:t>
      </w:r>
    </w:p>
    <w:p w14:paraId="2FEC10B7">
      <w:pPr>
        <w:keepNext w:val="0"/>
        <w:keepLines w:val="0"/>
        <w:pageBreakBefore w:val="0"/>
        <w:widowControl w:val="0"/>
        <w:kinsoku/>
        <w:wordWrap/>
        <w:overflowPunct/>
        <w:topLinePunct w:val="0"/>
        <w:bidi w:val="0"/>
        <w:snapToGrid/>
        <w:spacing w:line="560" w:lineRule="exact"/>
        <w:ind w:firstLine="640" w:firstLineChars="200"/>
        <w:textAlignment w:val="auto"/>
        <w:rPr>
          <w:rStyle w:val="12"/>
          <w:rFonts w:hint="eastAsia" w:ascii="仿宋_GB2312" w:hAnsi="Calibri" w:eastAsia="仿宋_GB2312" w:cs="Times New Roman"/>
          <w:b w:val="0"/>
          <w:bCs/>
          <w:color w:val="000000"/>
          <w:sz w:val="32"/>
          <w:szCs w:val="32"/>
          <w:lang w:val="en-US" w:eastAsia="zh-CN"/>
        </w:rPr>
      </w:pPr>
      <w:r>
        <w:rPr>
          <w:rStyle w:val="12"/>
          <w:rFonts w:hint="eastAsia" w:ascii="仿宋_GB2312" w:hAnsi="Calibri" w:eastAsia="仿宋_GB2312" w:cs="Times New Roman"/>
          <w:b w:val="0"/>
          <w:bCs/>
          <w:color w:val="000000"/>
          <w:sz w:val="32"/>
          <w:szCs w:val="32"/>
          <w:lang w:val="en-US" w:eastAsia="zh-CN"/>
        </w:rPr>
        <w:t>17.“三公”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14:paraId="65CD1B49">
      <w:pPr>
        <w:keepNext w:val="0"/>
        <w:keepLines w:val="0"/>
        <w:pageBreakBefore w:val="0"/>
        <w:widowControl w:val="0"/>
        <w:kinsoku/>
        <w:wordWrap/>
        <w:overflowPunct/>
        <w:topLinePunct w:val="0"/>
        <w:bidi w:val="0"/>
        <w:snapToGrid/>
        <w:spacing w:line="560" w:lineRule="exact"/>
        <w:ind w:firstLine="640" w:firstLineChars="200"/>
        <w:textAlignment w:val="auto"/>
        <w:rPr>
          <w:rStyle w:val="12"/>
          <w:rFonts w:hint="eastAsia" w:ascii="仿宋_GB2312" w:hAnsi="Calibri" w:eastAsia="仿宋_GB2312" w:cs="Times New Roman"/>
          <w:b w:val="0"/>
          <w:bCs/>
          <w:color w:val="000000"/>
          <w:sz w:val="32"/>
          <w:szCs w:val="32"/>
          <w:lang w:val="en-US" w:eastAsia="zh-CN"/>
        </w:rPr>
        <w:sectPr>
          <w:footerReference r:id="rId4" w:type="default"/>
          <w:pgSz w:w="11906" w:h="16838"/>
          <w:pgMar w:top="1440" w:right="1800" w:bottom="1440" w:left="1800" w:header="720" w:footer="720" w:gutter="0"/>
          <w:pgNumType w:fmt="numberInDash" w:start="1"/>
          <w:cols w:space="720" w:num="1"/>
          <w:docGrid w:type="lines" w:linePitch="312" w:charSpace="0"/>
        </w:sectPr>
      </w:pPr>
      <w:r>
        <w:rPr>
          <w:rStyle w:val="12"/>
          <w:rFonts w:hint="eastAsia" w:ascii="仿宋_GB2312" w:hAnsi="Calibri" w:eastAsia="仿宋_GB2312" w:cs="Times New Roman"/>
          <w:b w:val="0"/>
          <w:bCs/>
          <w:color w:val="000000"/>
          <w:sz w:val="32"/>
          <w:szCs w:val="32"/>
          <w:lang w:val="en-US" w:eastAsia="zh-CN"/>
        </w:rPr>
        <w:t>18.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5DB6ED69">
      <w:pPr>
        <w:spacing w:line="600" w:lineRule="exact"/>
        <w:ind w:firstLine="5280" w:firstLineChars="1200"/>
        <w:jc w:val="both"/>
        <w:outlineLvl w:val="0"/>
        <w:rPr>
          <w:rStyle w:val="13"/>
          <w:rFonts w:ascii="黑体" w:hAnsi="黑体" w:eastAsia="黑体"/>
          <w:b w:val="0"/>
          <w:color w:val="auto"/>
          <w:highlight w:val="none"/>
        </w:rPr>
      </w:pPr>
      <w:r>
        <w:rPr>
          <w:rFonts w:hint="eastAsia" w:ascii="黑体" w:hAnsi="黑体" w:eastAsia="黑体"/>
          <w:color w:val="auto"/>
          <w:sz w:val="44"/>
          <w:szCs w:val="44"/>
          <w:highlight w:val="none"/>
        </w:rPr>
        <w:t>第</w:t>
      </w:r>
      <w:r>
        <w:rPr>
          <w:rStyle w:val="13"/>
          <w:rFonts w:hint="eastAsia" w:ascii="黑体" w:hAnsi="黑体" w:eastAsia="黑体"/>
          <w:b w:val="0"/>
          <w:color w:val="auto"/>
          <w:highlight w:val="none"/>
        </w:rPr>
        <w:t>四部分 附件</w:t>
      </w:r>
    </w:p>
    <w:p w14:paraId="1678D209">
      <w:pPr>
        <w:keepNext w:val="0"/>
        <w:keepLines w:val="0"/>
        <w:pageBreakBefore w:val="0"/>
        <w:kinsoku/>
        <w:wordWrap/>
        <w:overflowPunct/>
        <w:topLinePunct w:val="0"/>
        <w:autoSpaceDE/>
        <w:autoSpaceDN/>
        <w:bidi w:val="0"/>
        <w:spacing w:line="572" w:lineRule="exact"/>
        <w:jc w:val="center"/>
        <w:textAlignment w:val="auto"/>
        <w:outlineLvl w:val="0"/>
        <w:rPr>
          <w:rFonts w:ascii="仿宋_GB2312" w:hAnsi="仿宋_GB2312" w:eastAsia="仿宋_GB2312" w:cs="仿宋_GB2312"/>
          <w:color w:val="auto"/>
          <w:sz w:val="32"/>
          <w:szCs w:val="32"/>
          <w:highlight w:val="none"/>
        </w:rPr>
      </w:pPr>
    </w:p>
    <w:p w14:paraId="1A5420DB">
      <w:pPr>
        <w:jc w:val="center"/>
        <w:rPr>
          <w:rFonts w:eastAsia="方正小标宋简体"/>
          <w:color w:val="000000"/>
          <w:kern w:val="0"/>
          <w:sz w:val="44"/>
          <w:szCs w:val="44"/>
        </w:rPr>
      </w:pPr>
      <w:r>
        <w:rPr>
          <w:rFonts w:eastAsia="方正小标宋简体"/>
          <w:color w:val="000000"/>
          <w:kern w:val="0"/>
          <w:sz w:val="44"/>
          <w:szCs w:val="44"/>
        </w:rPr>
        <w:t>部门预算项目支出绩效评价表</w:t>
      </w:r>
    </w:p>
    <w:p w14:paraId="11C06C76">
      <w:pPr>
        <w:widowControl/>
        <w:spacing w:line="578" w:lineRule="exact"/>
        <w:jc w:val="center"/>
        <w:textAlignment w:val="center"/>
        <w:rPr>
          <w:rFonts w:ascii="Times New Roman" w:hAnsi="Times New Roman" w:eastAsia="黑体"/>
          <w:szCs w:val="24"/>
        </w:rPr>
      </w:pPr>
      <w:r>
        <w:rPr>
          <w:rFonts w:eastAsia="方正小标宋简体"/>
          <w:color w:val="000000"/>
          <w:kern w:val="0"/>
          <w:szCs w:val="32"/>
        </w:rPr>
        <w:t>（202</w:t>
      </w:r>
      <w:r>
        <w:rPr>
          <w:rFonts w:hint="eastAsia" w:eastAsia="方正小标宋简体"/>
          <w:color w:val="000000"/>
          <w:kern w:val="0"/>
          <w:szCs w:val="32"/>
          <w:lang w:val="en-US" w:eastAsia="zh-CN"/>
        </w:rPr>
        <w:t>5</w:t>
      </w:r>
      <w:r>
        <w:rPr>
          <w:rFonts w:eastAsia="方正小标宋简体"/>
          <w:color w:val="000000"/>
          <w:kern w:val="0"/>
          <w:szCs w:val="32"/>
        </w:rPr>
        <w:t>年度）</w:t>
      </w:r>
    </w:p>
    <w:tbl>
      <w:tblPr>
        <w:tblStyle w:val="10"/>
        <w:tblW w:w="1410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684"/>
        <w:gridCol w:w="2051"/>
        <w:gridCol w:w="1775"/>
        <w:gridCol w:w="2447"/>
        <w:gridCol w:w="750"/>
        <w:gridCol w:w="1264"/>
        <w:gridCol w:w="521"/>
        <w:gridCol w:w="1091"/>
        <w:gridCol w:w="505"/>
        <w:gridCol w:w="456"/>
        <w:gridCol w:w="2556"/>
      </w:tblGrid>
      <w:tr w14:paraId="57CEF1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14100" w:type="dxa"/>
            <w:gridSpan w:val="11"/>
            <w:tcBorders>
              <w:top w:val="single" w:color="000000" w:sz="4" w:space="0"/>
              <w:left w:val="single" w:color="000000" w:sz="4" w:space="0"/>
              <w:bottom w:val="single" w:color="000000" w:sz="4" w:space="0"/>
              <w:right w:val="single" w:color="000000" w:sz="4" w:space="0"/>
            </w:tcBorders>
            <w:noWrap w:val="0"/>
            <w:vAlign w:val="center"/>
          </w:tcPr>
          <w:p w14:paraId="6B3815F4">
            <w:pPr>
              <w:keepNext w:val="0"/>
              <w:keepLines w:val="0"/>
              <w:widowControl/>
              <w:suppressLineNumbers w:val="0"/>
              <w:jc w:val="center"/>
              <w:textAlignment w:val="center"/>
              <w:rPr>
                <w:rFonts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149E4E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735" w:type="dxa"/>
            <w:gridSpan w:val="2"/>
            <w:tcBorders>
              <w:top w:val="single" w:color="000000" w:sz="4" w:space="0"/>
              <w:left w:val="single" w:color="000000" w:sz="4" w:space="0"/>
              <w:bottom w:val="single" w:color="000000" w:sz="4" w:space="0"/>
              <w:right w:val="single" w:color="000000" w:sz="4" w:space="0"/>
            </w:tcBorders>
            <w:noWrap w:val="0"/>
            <w:vAlign w:val="center"/>
          </w:tcPr>
          <w:p w14:paraId="707BA1B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11365" w:type="dxa"/>
            <w:gridSpan w:val="9"/>
            <w:tcBorders>
              <w:top w:val="single" w:color="000000" w:sz="4" w:space="0"/>
              <w:left w:val="single" w:color="000000" w:sz="4" w:space="0"/>
              <w:bottom w:val="single" w:color="000000" w:sz="4" w:space="0"/>
              <w:right w:val="single" w:color="000000" w:sz="4" w:space="0"/>
            </w:tcBorders>
            <w:noWrap w:val="0"/>
            <w:vAlign w:val="center"/>
          </w:tcPr>
          <w:p w14:paraId="48055CF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51322324T000010147290-工业园区基础设施运行经费</w:t>
            </w:r>
          </w:p>
        </w:tc>
      </w:tr>
      <w:tr w14:paraId="6ABA0C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9" w:hRule="atLeast"/>
        </w:trPr>
        <w:tc>
          <w:tcPr>
            <w:tcW w:w="2735" w:type="dxa"/>
            <w:gridSpan w:val="2"/>
            <w:tcBorders>
              <w:top w:val="single" w:color="000000" w:sz="4" w:space="0"/>
              <w:left w:val="single" w:color="000000" w:sz="4" w:space="0"/>
              <w:bottom w:val="single" w:color="000000" w:sz="4" w:space="0"/>
              <w:right w:val="single" w:color="000000" w:sz="4" w:space="0"/>
            </w:tcBorders>
            <w:noWrap w:val="0"/>
            <w:vAlign w:val="center"/>
          </w:tcPr>
          <w:p w14:paraId="731321C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6757" w:type="dxa"/>
            <w:gridSpan w:val="5"/>
            <w:tcBorders>
              <w:top w:val="single" w:color="000000" w:sz="4" w:space="0"/>
              <w:left w:val="single" w:color="000000" w:sz="4" w:space="0"/>
              <w:bottom w:val="single" w:color="000000" w:sz="4" w:space="0"/>
              <w:right w:val="single" w:color="000000" w:sz="4" w:space="0"/>
            </w:tcBorders>
            <w:noWrap w:val="0"/>
            <w:vAlign w:val="center"/>
          </w:tcPr>
          <w:p w14:paraId="4B5EBED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茂县工业服务中心本级</w:t>
            </w:r>
          </w:p>
        </w:tc>
        <w:tc>
          <w:tcPr>
            <w:tcW w:w="1091" w:type="dxa"/>
            <w:tcBorders>
              <w:top w:val="nil"/>
              <w:left w:val="nil"/>
              <w:bottom w:val="nil"/>
              <w:right w:val="nil"/>
            </w:tcBorders>
            <w:noWrap w:val="0"/>
            <w:vAlign w:val="center"/>
          </w:tcPr>
          <w:p w14:paraId="1A6FF415">
            <w:pPr>
              <w:keepNext w:val="0"/>
              <w:keepLines w:val="0"/>
              <w:widowControl/>
              <w:suppressLineNumbers w:val="0"/>
              <w:jc w:val="left"/>
              <w:textAlignment w:val="center"/>
              <w:rPr>
                <w:rFonts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3517" w:type="dxa"/>
            <w:gridSpan w:val="3"/>
            <w:tcBorders>
              <w:top w:val="single" w:color="000000" w:sz="4" w:space="0"/>
              <w:left w:val="single" w:color="000000" w:sz="4" w:space="0"/>
              <w:bottom w:val="single" w:color="000000" w:sz="4" w:space="0"/>
              <w:right w:val="single" w:color="000000" w:sz="4" w:space="0"/>
            </w:tcBorders>
            <w:noWrap w:val="0"/>
            <w:vAlign w:val="center"/>
          </w:tcPr>
          <w:p w14:paraId="120A3F1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茂县工业服务中心</w:t>
            </w:r>
          </w:p>
        </w:tc>
      </w:tr>
      <w:tr w14:paraId="16DA71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84" w:type="dxa"/>
            <w:vMerge w:val="restart"/>
            <w:tcBorders>
              <w:top w:val="single" w:color="000000" w:sz="4" w:space="0"/>
              <w:left w:val="single" w:color="000000" w:sz="4" w:space="0"/>
              <w:bottom w:val="single" w:color="000000" w:sz="4" w:space="0"/>
              <w:right w:val="single" w:color="000000" w:sz="4" w:space="0"/>
            </w:tcBorders>
            <w:noWrap w:val="0"/>
            <w:vAlign w:val="center"/>
          </w:tcPr>
          <w:p w14:paraId="470A182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2051" w:type="dxa"/>
            <w:vMerge w:val="restart"/>
            <w:tcBorders>
              <w:top w:val="single" w:color="000000" w:sz="4" w:space="0"/>
              <w:left w:val="single" w:color="000000" w:sz="4" w:space="0"/>
              <w:bottom w:val="single" w:color="000000" w:sz="4" w:space="0"/>
              <w:right w:val="single" w:color="000000" w:sz="4" w:space="0"/>
            </w:tcBorders>
            <w:noWrap w:val="0"/>
            <w:vAlign w:val="center"/>
          </w:tcPr>
          <w:p w14:paraId="54A4170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6757" w:type="dxa"/>
            <w:gridSpan w:val="5"/>
            <w:tcBorders>
              <w:top w:val="single" w:color="000000" w:sz="4" w:space="0"/>
              <w:left w:val="single" w:color="000000" w:sz="4" w:space="0"/>
              <w:bottom w:val="single" w:color="000000" w:sz="4" w:space="0"/>
              <w:right w:val="single" w:color="000000" w:sz="4" w:space="0"/>
            </w:tcBorders>
            <w:noWrap w:val="0"/>
            <w:vAlign w:val="center"/>
          </w:tcPr>
          <w:p w14:paraId="17F3DC5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4608" w:type="dxa"/>
            <w:gridSpan w:val="4"/>
            <w:tcBorders>
              <w:top w:val="single" w:color="000000" w:sz="4" w:space="0"/>
              <w:left w:val="single" w:color="000000" w:sz="4" w:space="0"/>
              <w:bottom w:val="single" w:color="000000" w:sz="4" w:space="0"/>
              <w:right w:val="single" w:color="000000" w:sz="4" w:space="0"/>
            </w:tcBorders>
            <w:noWrap w:val="0"/>
            <w:vAlign w:val="center"/>
          </w:tcPr>
          <w:p w14:paraId="59745489">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446E03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22" w:hRule="atLeast"/>
        </w:trPr>
        <w:tc>
          <w:tcPr>
            <w:tcW w:w="684" w:type="dxa"/>
            <w:vMerge w:val="continue"/>
            <w:tcBorders>
              <w:top w:val="single" w:color="000000" w:sz="4" w:space="0"/>
              <w:left w:val="single" w:color="000000" w:sz="4" w:space="0"/>
              <w:bottom w:val="single" w:color="000000" w:sz="4" w:space="0"/>
              <w:right w:val="single" w:color="000000" w:sz="4" w:space="0"/>
            </w:tcBorders>
            <w:noWrap w:val="0"/>
            <w:vAlign w:val="center"/>
          </w:tcPr>
          <w:p w14:paraId="335C5C3C">
            <w:pPr>
              <w:rPr>
                <w:rFonts w:hint="eastAsia" w:ascii="宋体" w:hAnsi="宋体" w:eastAsia="宋体" w:cs="宋体"/>
                <w:i w:val="0"/>
                <w:iCs w:val="0"/>
                <w:color w:val="000000"/>
                <w:sz w:val="18"/>
                <w:szCs w:val="18"/>
                <w:u w:val="none"/>
              </w:rPr>
            </w:pPr>
          </w:p>
        </w:tc>
        <w:tc>
          <w:tcPr>
            <w:tcW w:w="205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087DD6F">
            <w:pPr>
              <w:rPr>
                <w:rFonts w:hint="eastAsia" w:ascii="宋体" w:hAnsi="宋体" w:eastAsia="宋体" w:cs="宋体"/>
                <w:i w:val="0"/>
                <w:iCs w:val="0"/>
                <w:color w:val="000000"/>
                <w:sz w:val="18"/>
                <w:szCs w:val="18"/>
                <w:u w:val="none"/>
              </w:rPr>
            </w:pPr>
          </w:p>
        </w:tc>
        <w:tc>
          <w:tcPr>
            <w:tcW w:w="6757" w:type="dxa"/>
            <w:gridSpan w:val="5"/>
            <w:tcBorders>
              <w:top w:val="single" w:color="000000" w:sz="4" w:space="0"/>
              <w:left w:val="single" w:color="000000" w:sz="4" w:space="0"/>
              <w:bottom w:val="single" w:color="000000" w:sz="4" w:space="0"/>
              <w:right w:val="single" w:color="000000" w:sz="4" w:space="0"/>
            </w:tcBorders>
            <w:noWrap w:val="0"/>
            <w:vAlign w:val="center"/>
          </w:tcPr>
          <w:p w14:paraId="7A1EF9B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茂县工业园区基础设施正常运行和管理，为园区企业正常运转提供要素保障等。</w:t>
            </w:r>
          </w:p>
        </w:tc>
        <w:tc>
          <w:tcPr>
            <w:tcW w:w="4608" w:type="dxa"/>
            <w:gridSpan w:val="4"/>
            <w:tcBorders>
              <w:top w:val="single" w:color="000000" w:sz="4" w:space="0"/>
              <w:left w:val="single" w:color="000000" w:sz="4" w:space="0"/>
              <w:bottom w:val="single" w:color="000000" w:sz="4" w:space="0"/>
              <w:right w:val="single" w:color="000000" w:sz="4" w:space="0"/>
            </w:tcBorders>
            <w:noWrap w:val="0"/>
            <w:vAlign w:val="center"/>
          </w:tcPr>
          <w:p w14:paraId="0C7EBD67">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维修维护并保障茂县工业园区给排水厂、道路、桥梁等基础设施正常运行，为企业正常运行提供要素保障；做好园区环境污染检测、安全生产等工作；确保了园区各企业正常生产、生活运转；完成了槽木集中区鱼厅取水口清淤维修；保障了园区的正常运行。</w:t>
            </w:r>
          </w:p>
        </w:tc>
      </w:tr>
      <w:tr w14:paraId="3B01DC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684" w:type="dxa"/>
            <w:vMerge w:val="continue"/>
            <w:tcBorders>
              <w:top w:val="single" w:color="000000" w:sz="4" w:space="0"/>
              <w:left w:val="single" w:color="000000" w:sz="4" w:space="0"/>
              <w:bottom w:val="single" w:color="000000" w:sz="4" w:space="0"/>
              <w:right w:val="single" w:color="000000" w:sz="4" w:space="0"/>
            </w:tcBorders>
            <w:noWrap w:val="0"/>
            <w:vAlign w:val="center"/>
          </w:tcPr>
          <w:p w14:paraId="4E87285A">
            <w:pPr>
              <w:rPr>
                <w:rFonts w:hint="eastAsia" w:ascii="宋体" w:hAnsi="宋体" w:eastAsia="宋体" w:cs="宋体"/>
                <w:i w:val="0"/>
                <w:iCs w:val="0"/>
                <w:color w:val="000000"/>
                <w:sz w:val="18"/>
                <w:szCs w:val="18"/>
                <w:u w:val="none"/>
              </w:rPr>
            </w:pPr>
          </w:p>
        </w:tc>
        <w:tc>
          <w:tcPr>
            <w:tcW w:w="2051" w:type="dxa"/>
            <w:tcBorders>
              <w:top w:val="single" w:color="000000" w:sz="4" w:space="0"/>
              <w:left w:val="single" w:color="000000" w:sz="4" w:space="0"/>
              <w:bottom w:val="single" w:color="000000" w:sz="4" w:space="0"/>
              <w:right w:val="single" w:color="000000" w:sz="4" w:space="0"/>
            </w:tcBorders>
            <w:noWrap w:val="0"/>
            <w:vAlign w:val="center"/>
          </w:tcPr>
          <w:p w14:paraId="0FD46F3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11365" w:type="dxa"/>
            <w:gridSpan w:val="9"/>
            <w:tcBorders>
              <w:top w:val="single" w:color="000000" w:sz="4" w:space="0"/>
              <w:left w:val="single" w:color="000000" w:sz="4" w:space="0"/>
              <w:bottom w:val="single" w:color="000000" w:sz="4" w:space="0"/>
              <w:right w:val="single" w:color="000000" w:sz="4" w:space="0"/>
            </w:tcBorders>
            <w:noWrap w:val="0"/>
            <w:vAlign w:val="center"/>
          </w:tcPr>
          <w:p w14:paraId="5129C9A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维修维护并保障茂县工业园区给排水厂、道路、桥梁等基础设施正常运行，为企业正常运行提供要素保障；做好园区环境污染检测、安全生产等工作；确保了园区各企业正常生产、生活运转；完成了槽木集中区鱼厅取水口清淤维修；保障了园区的正常运行。</w:t>
            </w:r>
          </w:p>
        </w:tc>
      </w:tr>
      <w:tr w14:paraId="6D5B22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684" w:type="dxa"/>
            <w:vMerge w:val="restart"/>
            <w:tcBorders>
              <w:top w:val="single" w:color="000000" w:sz="4" w:space="0"/>
              <w:left w:val="single" w:color="000000" w:sz="4" w:space="0"/>
              <w:bottom w:val="single" w:color="000000" w:sz="4" w:space="0"/>
              <w:right w:val="single" w:color="000000" w:sz="4" w:space="0"/>
            </w:tcBorders>
            <w:noWrap w:val="0"/>
            <w:vAlign w:val="center"/>
          </w:tcPr>
          <w:p w14:paraId="6F77DF7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2051" w:type="dxa"/>
            <w:tcBorders>
              <w:top w:val="single" w:color="000000" w:sz="4" w:space="0"/>
              <w:left w:val="single" w:color="000000" w:sz="4" w:space="0"/>
              <w:bottom w:val="single" w:color="000000" w:sz="4" w:space="0"/>
              <w:right w:val="single" w:color="000000" w:sz="4" w:space="0"/>
            </w:tcBorders>
            <w:noWrap w:val="0"/>
            <w:vAlign w:val="center"/>
          </w:tcPr>
          <w:p w14:paraId="6D7051E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1775" w:type="dxa"/>
            <w:tcBorders>
              <w:top w:val="single" w:color="000000" w:sz="4" w:space="0"/>
              <w:left w:val="single" w:color="000000" w:sz="4" w:space="0"/>
              <w:bottom w:val="single" w:color="000000" w:sz="4" w:space="0"/>
              <w:right w:val="single" w:color="000000" w:sz="4" w:space="0"/>
            </w:tcBorders>
            <w:noWrap w:val="0"/>
            <w:vAlign w:val="center"/>
          </w:tcPr>
          <w:p w14:paraId="150D6E3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2447" w:type="dxa"/>
            <w:tcBorders>
              <w:top w:val="single" w:color="000000" w:sz="4" w:space="0"/>
              <w:left w:val="single" w:color="000000" w:sz="4" w:space="0"/>
              <w:bottom w:val="single" w:color="000000" w:sz="4" w:space="0"/>
              <w:right w:val="single" w:color="000000" w:sz="4" w:space="0"/>
            </w:tcBorders>
            <w:noWrap w:val="0"/>
            <w:vAlign w:val="center"/>
          </w:tcPr>
          <w:p w14:paraId="210D2A3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2535" w:type="dxa"/>
            <w:gridSpan w:val="3"/>
            <w:tcBorders>
              <w:top w:val="single" w:color="000000" w:sz="4" w:space="0"/>
              <w:left w:val="single" w:color="000000" w:sz="4" w:space="0"/>
              <w:bottom w:val="single" w:color="000000" w:sz="4" w:space="0"/>
              <w:right w:val="single" w:color="000000" w:sz="4" w:space="0"/>
            </w:tcBorders>
            <w:noWrap w:val="0"/>
            <w:vAlign w:val="center"/>
          </w:tcPr>
          <w:p w14:paraId="167F7C8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1091" w:type="dxa"/>
            <w:tcBorders>
              <w:top w:val="single" w:color="000000" w:sz="4" w:space="0"/>
              <w:left w:val="single" w:color="000000" w:sz="4" w:space="0"/>
              <w:bottom w:val="single" w:color="000000" w:sz="4" w:space="0"/>
              <w:right w:val="single" w:color="000000" w:sz="4" w:space="0"/>
            </w:tcBorders>
            <w:noWrap w:val="0"/>
            <w:vAlign w:val="center"/>
          </w:tcPr>
          <w:p w14:paraId="1D2E0E0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505" w:type="dxa"/>
            <w:tcBorders>
              <w:top w:val="single" w:color="000000" w:sz="4" w:space="0"/>
              <w:left w:val="single" w:color="000000" w:sz="4" w:space="0"/>
              <w:bottom w:val="single" w:color="000000" w:sz="4" w:space="0"/>
              <w:right w:val="single" w:color="000000" w:sz="4" w:space="0"/>
            </w:tcBorders>
            <w:noWrap w:val="0"/>
            <w:vAlign w:val="center"/>
          </w:tcPr>
          <w:p w14:paraId="758436D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noWrap w:val="0"/>
            <w:vAlign w:val="center"/>
          </w:tcPr>
          <w:p w14:paraId="3C3D18C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2556" w:type="dxa"/>
            <w:tcBorders>
              <w:top w:val="single" w:color="000000" w:sz="4" w:space="0"/>
              <w:left w:val="single" w:color="000000" w:sz="4" w:space="0"/>
              <w:bottom w:val="single" w:color="000000" w:sz="4" w:space="0"/>
              <w:right w:val="single" w:color="000000" w:sz="4" w:space="0"/>
            </w:tcBorders>
            <w:noWrap w:val="0"/>
            <w:vAlign w:val="center"/>
          </w:tcPr>
          <w:p w14:paraId="6996AFC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0C48F9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684" w:type="dxa"/>
            <w:vMerge w:val="continue"/>
            <w:tcBorders>
              <w:top w:val="single" w:color="000000" w:sz="4" w:space="0"/>
              <w:left w:val="single" w:color="000000" w:sz="4" w:space="0"/>
              <w:bottom w:val="single" w:color="000000" w:sz="4" w:space="0"/>
              <w:right w:val="single" w:color="000000" w:sz="4" w:space="0"/>
            </w:tcBorders>
            <w:noWrap w:val="0"/>
            <w:vAlign w:val="center"/>
          </w:tcPr>
          <w:p w14:paraId="0F8839F7">
            <w:pPr>
              <w:jc w:val="center"/>
              <w:rPr>
                <w:rFonts w:hint="eastAsia" w:ascii="宋体" w:hAnsi="宋体" w:eastAsia="宋体" w:cs="宋体"/>
                <w:i w:val="0"/>
                <w:iCs w:val="0"/>
                <w:color w:val="000000"/>
                <w:sz w:val="18"/>
                <w:szCs w:val="18"/>
                <w:u w:val="none"/>
              </w:rPr>
            </w:pPr>
          </w:p>
        </w:tc>
        <w:tc>
          <w:tcPr>
            <w:tcW w:w="2051" w:type="dxa"/>
            <w:tcBorders>
              <w:top w:val="single" w:color="000000" w:sz="4" w:space="0"/>
              <w:left w:val="single" w:color="000000" w:sz="4" w:space="0"/>
              <w:bottom w:val="single" w:color="000000" w:sz="4" w:space="0"/>
              <w:right w:val="single" w:color="000000" w:sz="4" w:space="0"/>
            </w:tcBorders>
            <w:noWrap w:val="0"/>
            <w:vAlign w:val="center"/>
          </w:tcPr>
          <w:p w14:paraId="1EFD763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1775" w:type="dxa"/>
            <w:tcBorders>
              <w:top w:val="single" w:color="000000" w:sz="4" w:space="0"/>
              <w:left w:val="single" w:color="000000" w:sz="4" w:space="0"/>
              <w:bottom w:val="single" w:color="000000" w:sz="4" w:space="0"/>
              <w:right w:val="single" w:color="000000" w:sz="4" w:space="0"/>
            </w:tcBorders>
            <w:noWrap w:val="0"/>
            <w:vAlign w:val="center"/>
          </w:tcPr>
          <w:p w14:paraId="09D1207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447" w:type="dxa"/>
            <w:tcBorders>
              <w:top w:val="single" w:color="000000" w:sz="4" w:space="0"/>
              <w:left w:val="single" w:color="000000" w:sz="4" w:space="0"/>
              <w:bottom w:val="single" w:color="000000" w:sz="4" w:space="0"/>
              <w:right w:val="single" w:color="000000" w:sz="4" w:space="0"/>
            </w:tcBorders>
            <w:noWrap w:val="0"/>
            <w:vAlign w:val="center"/>
          </w:tcPr>
          <w:p w14:paraId="1DCC418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90.95</w:t>
            </w:r>
          </w:p>
        </w:tc>
        <w:tc>
          <w:tcPr>
            <w:tcW w:w="2535" w:type="dxa"/>
            <w:gridSpan w:val="3"/>
            <w:tcBorders>
              <w:top w:val="single" w:color="000000" w:sz="4" w:space="0"/>
              <w:left w:val="single" w:color="000000" w:sz="4" w:space="0"/>
              <w:bottom w:val="single" w:color="000000" w:sz="4" w:space="0"/>
              <w:right w:val="single" w:color="000000" w:sz="4" w:space="0"/>
            </w:tcBorders>
            <w:noWrap w:val="0"/>
            <w:vAlign w:val="center"/>
          </w:tcPr>
          <w:p w14:paraId="146204F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88.15</w:t>
            </w:r>
          </w:p>
        </w:tc>
        <w:tc>
          <w:tcPr>
            <w:tcW w:w="1091" w:type="dxa"/>
            <w:tcBorders>
              <w:top w:val="single" w:color="000000" w:sz="4" w:space="0"/>
              <w:left w:val="single" w:color="000000" w:sz="4" w:space="0"/>
              <w:bottom w:val="single" w:color="000000" w:sz="4" w:space="0"/>
              <w:right w:val="single" w:color="000000" w:sz="4" w:space="0"/>
            </w:tcBorders>
            <w:noWrap w:val="0"/>
            <w:vAlign w:val="center"/>
          </w:tcPr>
          <w:p w14:paraId="2D923BD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96.93%</w:t>
            </w:r>
          </w:p>
        </w:tc>
        <w:tc>
          <w:tcPr>
            <w:tcW w:w="505" w:type="dxa"/>
            <w:tcBorders>
              <w:top w:val="single" w:color="000000" w:sz="4" w:space="0"/>
              <w:left w:val="single" w:color="000000" w:sz="4" w:space="0"/>
              <w:bottom w:val="single" w:color="000000" w:sz="4" w:space="0"/>
              <w:right w:val="single" w:color="000000" w:sz="4" w:space="0"/>
            </w:tcBorders>
            <w:noWrap w:val="0"/>
            <w:vAlign w:val="center"/>
          </w:tcPr>
          <w:p w14:paraId="2051B31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noWrap w:val="0"/>
            <w:vAlign w:val="center"/>
          </w:tcPr>
          <w:p w14:paraId="0C018EB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w:t>
            </w:r>
          </w:p>
        </w:tc>
        <w:tc>
          <w:tcPr>
            <w:tcW w:w="2556" w:type="dxa"/>
            <w:vMerge w:val="restart"/>
            <w:tcBorders>
              <w:top w:val="single" w:color="000000" w:sz="4" w:space="0"/>
              <w:left w:val="single" w:color="000000" w:sz="4" w:space="0"/>
              <w:bottom w:val="single" w:color="000000" w:sz="4" w:space="0"/>
              <w:right w:val="single" w:color="000000" w:sz="4" w:space="0"/>
            </w:tcBorders>
            <w:noWrap w:val="0"/>
            <w:vAlign w:val="center"/>
          </w:tcPr>
          <w:p w14:paraId="67D4F80D">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为财政代管资金，故在需要使用时再进行申请支付；未及时进行支付是由于报账资料未及时提交，无法及时经性资金的支付</w:t>
            </w:r>
          </w:p>
        </w:tc>
      </w:tr>
      <w:tr w14:paraId="778F12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684" w:type="dxa"/>
            <w:vMerge w:val="continue"/>
            <w:tcBorders>
              <w:top w:val="single" w:color="000000" w:sz="4" w:space="0"/>
              <w:left w:val="single" w:color="000000" w:sz="4" w:space="0"/>
              <w:bottom w:val="single" w:color="000000" w:sz="4" w:space="0"/>
              <w:right w:val="single" w:color="000000" w:sz="4" w:space="0"/>
            </w:tcBorders>
            <w:noWrap w:val="0"/>
            <w:vAlign w:val="center"/>
          </w:tcPr>
          <w:p w14:paraId="5CFE2EE9">
            <w:pPr>
              <w:jc w:val="center"/>
              <w:rPr>
                <w:rFonts w:hint="eastAsia" w:ascii="宋体" w:hAnsi="宋体" w:eastAsia="宋体" w:cs="宋体"/>
                <w:i w:val="0"/>
                <w:iCs w:val="0"/>
                <w:color w:val="000000"/>
                <w:sz w:val="18"/>
                <w:szCs w:val="18"/>
                <w:u w:val="none"/>
              </w:rPr>
            </w:pPr>
          </w:p>
        </w:tc>
        <w:tc>
          <w:tcPr>
            <w:tcW w:w="2051" w:type="dxa"/>
            <w:tcBorders>
              <w:top w:val="single" w:color="000000" w:sz="4" w:space="0"/>
              <w:left w:val="single" w:color="000000" w:sz="4" w:space="0"/>
              <w:bottom w:val="single" w:color="000000" w:sz="4" w:space="0"/>
              <w:right w:val="single" w:color="000000" w:sz="4" w:space="0"/>
            </w:tcBorders>
            <w:noWrap w:val="0"/>
            <w:vAlign w:val="center"/>
          </w:tcPr>
          <w:p w14:paraId="0464D58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1775" w:type="dxa"/>
            <w:tcBorders>
              <w:top w:val="single" w:color="000000" w:sz="4" w:space="0"/>
              <w:left w:val="single" w:color="000000" w:sz="4" w:space="0"/>
              <w:bottom w:val="single" w:color="000000" w:sz="4" w:space="0"/>
              <w:right w:val="single" w:color="000000" w:sz="4" w:space="0"/>
            </w:tcBorders>
            <w:noWrap w:val="0"/>
            <w:vAlign w:val="center"/>
          </w:tcPr>
          <w:p w14:paraId="1A387B8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447" w:type="dxa"/>
            <w:tcBorders>
              <w:top w:val="single" w:color="000000" w:sz="4" w:space="0"/>
              <w:left w:val="single" w:color="000000" w:sz="4" w:space="0"/>
              <w:bottom w:val="single" w:color="000000" w:sz="4" w:space="0"/>
              <w:right w:val="single" w:color="000000" w:sz="4" w:space="0"/>
            </w:tcBorders>
            <w:noWrap w:val="0"/>
            <w:vAlign w:val="center"/>
          </w:tcPr>
          <w:p w14:paraId="22AFB0E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535" w:type="dxa"/>
            <w:gridSpan w:val="3"/>
            <w:tcBorders>
              <w:top w:val="single" w:color="000000" w:sz="4" w:space="0"/>
              <w:left w:val="single" w:color="000000" w:sz="4" w:space="0"/>
              <w:bottom w:val="single" w:color="000000" w:sz="4" w:space="0"/>
              <w:right w:val="single" w:color="000000" w:sz="4" w:space="0"/>
            </w:tcBorders>
            <w:noWrap w:val="0"/>
            <w:vAlign w:val="center"/>
          </w:tcPr>
          <w:p w14:paraId="0C21A29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91" w:type="dxa"/>
            <w:tcBorders>
              <w:top w:val="single" w:color="000000" w:sz="4" w:space="0"/>
              <w:left w:val="single" w:color="000000" w:sz="4" w:space="0"/>
              <w:bottom w:val="single" w:color="000000" w:sz="4" w:space="0"/>
              <w:right w:val="single" w:color="000000" w:sz="4" w:space="0"/>
            </w:tcBorders>
            <w:noWrap w:val="0"/>
            <w:vAlign w:val="center"/>
          </w:tcPr>
          <w:p w14:paraId="38FE08D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noWrap w:val="0"/>
            <w:vAlign w:val="center"/>
          </w:tcPr>
          <w:p w14:paraId="375905C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noWrap w:val="0"/>
            <w:vAlign w:val="center"/>
          </w:tcPr>
          <w:p w14:paraId="67FB307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556" w:type="dxa"/>
            <w:vMerge w:val="continue"/>
            <w:tcBorders>
              <w:top w:val="single" w:color="000000" w:sz="4" w:space="0"/>
              <w:left w:val="single" w:color="000000" w:sz="4" w:space="0"/>
              <w:bottom w:val="single" w:color="000000" w:sz="4" w:space="0"/>
              <w:right w:val="single" w:color="000000" w:sz="4" w:space="0"/>
            </w:tcBorders>
            <w:noWrap w:val="0"/>
            <w:vAlign w:val="center"/>
          </w:tcPr>
          <w:p w14:paraId="2CAC24CF">
            <w:pPr>
              <w:rPr>
                <w:rFonts w:hint="eastAsia" w:ascii="黑体" w:hAnsi="黑体" w:eastAsia="黑体" w:cs="黑体"/>
                <w:i/>
                <w:iCs/>
                <w:color w:val="000000"/>
                <w:sz w:val="18"/>
                <w:szCs w:val="18"/>
                <w:u w:val="none"/>
              </w:rPr>
            </w:pPr>
          </w:p>
        </w:tc>
      </w:tr>
      <w:tr w14:paraId="66B333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684" w:type="dxa"/>
            <w:vMerge w:val="continue"/>
            <w:tcBorders>
              <w:top w:val="single" w:color="000000" w:sz="4" w:space="0"/>
              <w:left w:val="single" w:color="000000" w:sz="4" w:space="0"/>
              <w:bottom w:val="single" w:color="000000" w:sz="4" w:space="0"/>
              <w:right w:val="single" w:color="000000" w:sz="4" w:space="0"/>
            </w:tcBorders>
            <w:noWrap w:val="0"/>
            <w:vAlign w:val="center"/>
          </w:tcPr>
          <w:p w14:paraId="149C37E8">
            <w:pPr>
              <w:jc w:val="center"/>
              <w:rPr>
                <w:rFonts w:hint="eastAsia" w:ascii="宋体" w:hAnsi="宋体" w:eastAsia="宋体" w:cs="宋体"/>
                <w:i w:val="0"/>
                <w:iCs w:val="0"/>
                <w:color w:val="000000"/>
                <w:sz w:val="18"/>
                <w:szCs w:val="18"/>
                <w:u w:val="none"/>
              </w:rPr>
            </w:pPr>
          </w:p>
        </w:tc>
        <w:tc>
          <w:tcPr>
            <w:tcW w:w="2051" w:type="dxa"/>
            <w:tcBorders>
              <w:top w:val="single" w:color="000000" w:sz="4" w:space="0"/>
              <w:left w:val="single" w:color="000000" w:sz="4" w:space="0"/>
              <w:bottom w:val="single" w:color="000000" w:sz="4" w:space="0"/>
              <w:right w:val="single" w:color="000000" w:sz="4" w:space="0"/>
            </w:tcBorders>
            <w:noWrap w:val="0"/>
            <w:vAlign w:val="center"/>
          </w:tcPr>
          <w:p w14:paraId="5854EA5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1775" w:type="dxa"/>
            <w:tcBorders>
              <w:top w:val="single" w:color="000000" w:sz="4" w:space="0"/>
              <w:left w:val="single" w:color="000000" w:sz="4" w:space="0"/>
              <w:bottom w:val="single" w:color="000000" w:sz="4" w:space="0"/>
              <w:right w:val="single" w:color="000000" w:sz="4" w:space="0"/>
            </w:tcBorders>
            <w:noWrap w:val="0"/>
            <w:vAlign w:val="center"/>
          </w:tcPr>
          <w:p w14:paraId="61E72C1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447" w:type="dxa"/>
            <w:tcBorders>
              <w:top w:val="single" w:color="000000" w:sz="4" w:space="0"/>
              <w:left w:val="single" w:color="000000" w:sz="4" w:space="0"/>
              <w:bottom w:val="single" w:color="000000" w:sz="4" w:space="0"/>
              <w:right w:val="single" w:color="000000" w:sz="4" w:space="0"/>
            </w:tcBorders>
            <w:noWrap w:val="0"/>
            <w:vAlign w:val="center"/>
          </w:tcPr>
          <w:p w14:paraId="6D2D0DD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535" w:type="dxa"/>
            <w:gridSpan w:val="3"/>
            <w:tcBorders>
              <w:top w:val="single" w:color="000000" w:sz="4" w:space="0"/>
              <w:left w:val="single" w:color="000000" w:sz="4" w:space="0"/>
              <w:bottom w:val="single" w:color="000000" w:sz="4" w:space="0"/>
              <w:right w:val="single" w:color="000000" w:sz="4" w:space="0"/>
            </w:tcBorders>
            <w:noWrap w:val="0"/>
            <w:vAlign w:val="center"/>
          </w:tcPr>
          <w:p w14:paraId="7D7947F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91" w:type="dxa"/>
            <w:tcBorders>
              <w:top w:val="single" w:color="000000" w:sz="4" w:space="0"/>
              <w:left w:val="single" w:color="000000" w:sz="4" w:space="0"/>
              <w:bottom w:val="single" w:color="000000" w:sz="4" w:space="0"/>
              <w:right w:val="single" w:color="000000" w:sz="4" w:space="0"/>
            </w:tcBorders>
            <w:noWrap w:val="0"/>
            <w:vAlign w:val="center"/>
          </w:tcPr>
          <w:p w14:paraId="5848026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noWrap w:val="0"/>
            <w:vAlign w:val="center"/>
          </w:tcPr>
          <w:p w14:paraId="3399C90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noWrap w:val="0"/>
            <w:vAlign w:val="center"/>
          </w:tcPr>
          <w:p w14:paraId="3EE031F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556" w:type="dxa"/>
            <w:vMerge w:val="continue"/>
            <w:tcBorders>
              <w:top w:val="single" w:color="000000" w:sz="4" w:space="0"/>
              <w:left w:val="single" w:color="000000" w:sz="4" w:space="0"/>
              <w:bottom w:val="single" w:color="000000" w:sz="4" w:space="0"/>
              <w:right w:val="single" w:color="000000" w:sz="4" w:space="0"/>
            </w:tcBorders>
            <w:noWrap w:val="0"/>
            <w:vAlign w:val="center"/>
          </w:tcPr>
          <w:p w14:paraId="1578933C">
            <w:pPr>
              <w:rPr>
                <w:rFonts w:hint="eastAsia" w:ascii="黑体" w:hAnsi="黑体" w:eastAsia="黑体" w:cs="黑体"/>
                <w:i/>
                <w:iCs/>
                <w:color w:val="000000"/>
                <w:sz w:val="18"/>
                <w:szCs w:val="18"/>
                <w:u w:val="none"/>
              </w:rPr>
            </w:pPr>
          </w:p>
        </w:tc>
      </w:tr>
      <w:tr w14:paraId="719888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684" w:type="dxa"/>
            <w:vMerge w:val="continue"/>
            <w:tcBorders>
              <w:top w:val="single" w:color="000000" w:sz="4" w:space="0"/>
              <w:left w:val="single" w:color="000000" w:sz="4" w:space="0"/>
              <w:bottom w:val="single" w:color="000000" w:sz="4" w:space="0"/>
              <w:right w:val="single" w:color="000000" w:sz="4" w:space="0"/>
            </w:tcBorders>
            <w:noWrap w:val="0"/>
            <w:vAlign w:val="center"/>
          </w:tcPr>
          <w:p w14:paraId="792CB351">
            <w:pPr>
              <w:jc w:val="center"/>
              <w:rPr>
                <w:rFonts w:hint="eastAsia" w:ascii="宋体" w:hAnsi="宋体" w:eastAsia="宋体" w:cs="宋体"/>
                <w:i w:val="0"/>
                <w:iCs w:val="0"/>
                <w:color w:val="000000"/>
                <w:sz w:val="18"/>
                <w:szCs w:val="18"/>
                <w:u w:val="none"/>
              </w:rPr>
            </w:pPr>
          </w:p>
        </w:tc>
        <w:tc>
          <w:tcPr>
            <w:tcW w:w="2051" w:type="dxa"/>
            <w:tcBorders>
              <w:top w:val="single" w:color="000000" w:sz="4" w:space="0"/>
              <w:left w:val="single" w:color="000000" w:sz="4" w:space="0"/>
              <w:bottom w:val="single" w:color="000000" w:sz="4" w:space="0"/>
              <w:right w:val="single" w:color="000000" w:sz="4" w:space="0"/>
            </w:tcBorders>
            <w:noWrap w:val="0"/>
            <w:vAlign w:val="center"/>
          </w:tcPr>
          <w:p w14:paraId="1FF1722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1775" w:type="dxa"/>
            <w:tcBorders>
              <w:top w:val="single" w:color="000000" w:sz="4" w:space="0"/>
              <w:left w:val="single" w:color="000000" w:sz="4" w:space="0"/>
              <w:bottom w:val="single" w:color="000000" w:sz="4" w:space="0"/>
              <w:right w:val="single" w:color="000000" w:sz="4" w:space="0"/>
            </w:tcBorders>
            <w:noWrap w:val="0"/>
            <w:vAlign w:val="center"/>
          </w:tcPr>
          <w:p w14:paraId="1280DEE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447" w:type="dxa"/>
            <w:tcBorders>
              <w:top w:val="single" w:color="000000" w:sz="4" w:space="0"/>
              <w:left w:val="single" w:color="000000" w:sz="4" w:space="0"/>
              <w:bottom w:val="single" w:color="000000" w:sz="4" w:space="0"/>
              <w:right w:val="single" w:color="000000" w:sz="4" w:space="0"/>
            </w:tcBorders>
            <w:noWrap w:val="0"/>
            <w:vAlign w:val="center"/>
          </w:tcPr>
          <w:p w14:paraId="519B9D4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90.95</w:t>
            </w:r>
          </w:p>
        </w:tc>
        <w:tc>
          <w:tcPr>
            <w:tcW w:w="2535" w:type="dxa"/>
            <w:gridSpan w:val="3"/>
            <w:tcBorders>
              <w:top w:val="single" w:color="000000" w:sz="4" w:space="0"/>
              <w:left w:val="single" w:color="000000" w:sz="4" w:space="0"/>
              <w:bottom w:val="single" w:color="000000" w:sz="4" w:space="0"/>
              <w:right w:val="single" w:color="000000" w:sz="4" w:space="0"/>
            </w:tcBorders>
            <w:noWrap w:val="0"/>
            <w:vAlign w:val="center"/>
          </w:tcPr>
          <w:p w14:paraId="36840AA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88.15</w:t>
            </w:r>
          </w:p>
        </w:tc>
        <w:tc>
          <w:tcPr>
            <w:tcW w:w="1091" w:type="dxa"/>
            <w:tcBorders>
              <w:top w:val="single" w:color="000000" w:sz="4" w:space="0"/>
              <w:left w:val="single" w:color="000000" w:sz="4" w:space="0"/>
              <w:bottom w:val="single" w:color="000000" w:sz="4" w:space="0"/>
              <w:right w:val="single" w:color="000000" w:sz="4" w:space="0"/>
            </w:tcBorders>
            <w:noWrap w:val="0"/>
            <w:vAlign w:val="center"/>
          </w:tcPr>
          <w:p w14:paraId="2A79854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96.93%</w:t>
            </w:r>
          </w:p>
        </w:tc>
        <w:tc>
          <w:tcPr>
            <w:tcW w:w="505" w:type="dxa"/>
            <w:tcBorders>
              <w:top w:val="single" w:color="000000" w:sz="4" w:space="0"/>
              <w:left w:val="single" w:color="000000" w:sz="4" w:space="0"/>
              <w:bottom w:val="single" w:color="000000" w:sz="4" w:space="0"/>
              <w:right w:val="single" w:color="000000" w:sz="4" w:space="0"/>
            </w:tcBorders>
            <w:noWrap w:val="0"/>
            <w:vAlign w:val="center"/>
          </w:tcPr>
          <w:p w14:paraId="1716E6F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noWrap w:val="0"/>
            <w:vAlign w:val="center"/>
          </w:tcPr>
          <w:p w14:paraId="3619111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556" w:type="dxa"/>
            <w:vMerge w:val="continue"/>
            <w:tcBorders>
              <w:top w:val="single" w:color="000000" w:sz="4" w:space="0"/>
              <w:left w:val="single" w:color="000000" w:sz="4" w:space="0"/>
              <w:bottom w:val="single" w:color="000000" w:sz="4" w:space="0"/>
              <w:right w:val="single" w:color="000000" w:sz="4" w:space="0"/>
            </w:tcBorders>
            <w:noWrap w:val="0"/>
            <w:vAlign w:val="center"/>
          </w:tcPr>
          <w:p w14:paraId="61405532">
            <w:pPr>
              <w:rPr>
                <w:rFonts w:hint="eastAsia" w:ascii="黑体" w:hAnsi="黑体" w:eastAsia="黑体" w:cs="黑体"/>
                <w:i/>
                <w:iCs/>
                <w:color w:val="000000"/>
                <w:sz w:val="18"/>
                <w:szCs w:val="18"/>
                <w:u w:val="none"/>
              </w:rPr>
            </w:pPr>
          </w:p>
        </w:tc>
      </w:tr>
      <w:tr w14:paraId="56195F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noWrap w:val="0"/>
            <w:vAlign w:val="center"/>
          </w:tcPr>
          <w:p w14:paraId="359389C1">
            <w:pPr>
              <w:jc w:val="center"/>
              <w:rPr>
                <w:rFonts w:hint="eastAsia" w:ascii="宋体" w:hAnsi="宋体" w:eastAsia="宋体" w:cs="宋体"/>
                <w:i w:val="0"/>
                <w:iCs w:val="0"/>
                <w:color w:val="000000"/>
                <w:sz w:val="18"/>
                <w:szCs w:val="18"/>
                <w:u w:val="none"/>
              </w:rPr>
            </w:pPr>
          </w:p>
        </w:tc>
        <w:tc>
          <w:tcPr>
            <w:tcW w:w="2051" w:type="dxa"/>
            <w:tcBorders>
              <w:top w:val="single" w:color="000000" w:sz="4" w:space="0"/>
              <w:left w:val="single" w:color="000000" w:sz="4" w:space="0"/>
              <w:bottom w:val="single" w:color="000000" w:sz="4" w:space="0"/>
              <w:right w:val="single" w:color="000000" w:sz="4" w:space="0"/>
            </w:tcBorders>
            <w:noWrap w:val="0"/>
            <w:vAlign w:val="center"/>
          </w:tcPr>
          <w:p w14:paraId="6CC5FBB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1775" w:type="dxa"/>
            <w:tcBorders>
              <w:top w:val="single" w:color="000000" w:sz="4" w:space="0"/>
              <w:left w:val="single" w:color="000000" w:sz="4" w:space="0"/>
              <w:bottom w:val="single" w:color="000000" w:sz="4" w:space="0"/>
              <w:right w:val="single" w:color="000000" w:sz="4" w:space="0"/>
            </w:tcBorders>
            <w:noWrap w:val="0"/>
            <w:vAlign w:val="center"/>
          </w:tcPr>
          <w:p w14:paraId="12A51BDE">
            <w:pPr>
              <w:jc w:val="center"/>
              <w:rPr>
                <w:rFonts w:hint="eastAsia" w:ascii="微软雅黑" w:hAnsi="微软雅黑" w:eastAsia="微软雅黑" w:cs="微软雅黑"/>
                <w:i/>
                <w:iCs/>
                <w:color w:val="000000"/>
                <w:sz w:val="16"/>
                <w:szCs w:val="16"/>
                <w:u w:val="none"/>
              </w:rPr>
            </w:pPr>
          </w:p>
        </w:tc>
        <w:tc>
          <w:tcPr>
            <w:tcW w:w="2447" w:type="dxa"/>
            <w:tcBorders>
              <w:top w:val="single" w:color="000000" w:sz="4" w:space="0"/>
              <w:left w:val="single" w:color="000000" w:sz="4" w:space="0"/>
              <w:bottom w:val="single" w:color="000000" w:sz="4" w:space="0"/>
              <w:right w:val="single" w:color="000000" w:sz="4" w:space="0"/>
            </w:tcBorders>
            <w:noWrap w:val="0"/>
            <w:vAlign w:val="center"/>
          </w:tcPr>
          <w:p w14:paraId="54B0964C">
            <w:pPr>
              <w:jc w:val="center"/>
              <w:rPr>
                <w:rFonts w:hint="eastAsia" w:ascii="微软雅黑" w:hAnsi="微软雅黑" w:eastAsia="微软雅黑" w:cs="微软雅黑"/>
                <w:i/>
                <w:iCs/>
                <w:color w:val="000000"/>
                <w:sz w:val="16"/>
                <w:szCs w:val="16"/>
                <w:u w:val="none"/>
              </w:rPr>
            </w:pPr>
          </w:p>
        </w:tc>
        <w:tc>
          <w:tcPr>
            <w:tcW w:w="2535" w:type="dxa"/>
            <w:gridSpan w:val="3"/>
            <w:tcBorders>
              <w:top w:val="single" w:color="000000" w:sz="4" w:space="0"/>
              <w:left w:val="single" w:color="000000" w:sz="4" w:space="0"/>
              <w:bottom w:val="single" w:color="000000" w:sz="4" w:space="0"/>
              <w:right w:val="single" w:color="000000" w:sz="4" w:space="0"/>
            </w:tcBorders>
            <w:noWrap w:val="0"/>
            <w:vAlign w:val="center"/>
          </w:tcPr>
          <w:p w14:paraId="19F40132">
            <w:pPr>
              <w:jc w:val="center"/>
              <w:rPr>
                <w:rFonts w:hint="eastAsia" w:ascii="微软雅黑" w:hAnsi="微软雅黑" w:eastAsia="微软雅黑" w:cs="微软雅黑"/>
                <w:i/>
                <w:iCs/>
                <w:color w:val="000000"/>
                <w:sz w:val="16"/>
                <w:szCs w:val="16"/>
                <w:u w:val="none"/>
              </w:rPr>
            </w:pPr>
          </w:p>
        </w:tc>
        <w:tc>
          <w:tcPr>
            <w:tcW w:w="1091" w:type="dxa"/>
            <w:tcBorders>
              <w:top w:val="single" w:color="000000" w:sz="4" w:space="0"/>
              <w:left w:val="single" w:color="000000" w:sz="4" w:space="0"/>
              <w:bottom w:val="single" w:color="000000" w:sz="4" w:space="0"/>
              <w:right w:val="single" w:color="000000" w:sz="4" w:space="0"/>
            </w:tcBorders>
            <w:noWrap w:val="0"/>
            <w:vAlign w:val="center"/>
          </w:tcPr>
          <w:p w14:paraId="0267B8A6">
            <w:pPr>
              <w:jc w:val="center"/>
              <w:rPr>
                <w:rFonts w:hint="eastAsia"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noWrap w:val="0"/>
            <w:vAlign w:val="center"/>
          </w:tcPr>
          <w:p w14:paraId="6F57A1F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noWrap w:val="0"/>
            <w:vAlign w:val="center"/>
          </w:tcPr>
          <w:p w14:paraId="4F45164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556" w:type="dxa"/>
            <w:vMerge w:val="continue"/>
            <w:tcBorders>
              <w:top w:val="single" w:color="000000" w:sz="4" w:space="0"/>
              <w:left w:val="single" w:color="000000" w:sz="4" w:space="0"/>
              <w:bottom w:val="single" w:color="000000" w:sz="4" w:space="0"/>
              <w:right w:val="single" w:color="000000" w:sz="4" w:space="0"/>
            </w:tcBorders>
            <w:noWrap w:val="0"/>
            <w:vAlign w:val="center"/>
          </w:tcPr>
          <w:p w14:paraId="3937206D">
            <w:pPr>
              <w:rPr>
                <w:rFonts w:hint="eastAsia" w:ascii="黑体" w:hAnsi="黑体" w:eastAsia="黑体" w:cs="黑体"/>
                <w:i/>
                <w:iCs/>
                <w:color w:val="000000"/>
                <w:sz w:val="18"/>
                <w:szCs w:val="18"/>
                <w:u w:val="none"/>
              </w:rPr>
            </w:pPr>
          </w:p>
        </w:tc>
      </w:tr>
      <w:tr w14:paraId="6B6FB9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13" w:hRule="atLeast"/>
        </w:trPr>
        <w:tc>
          <w:tcPr>
            <w:tcW w:w="684" w:type="dxa"/>
            <w:vMerge w:val="restart"/>
            <w:tcBorders>
              <w:top w:val="single" w:color="000000" w:sz="4" w:space="0"/>
              <w:left w:val="single" w:color="000000" w:sz="4" w:space="0"/>
              <w:bottom w:val="single" w:color="000000" w:sz="4" w:space="0"/>
              <w:right w:val="single" w:color="000000" w:sz="4" w:space="0"/>
            </w:tcBorders>
            <w:noWrap w:val="0"/>
            <w:vAlign w:val="center"/>
          </w:tcPr>
          <w:p w14:paraId="20DECC6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2051" w:type="dxa"/>
            <w:tcBorders>
              <w:top w:val="single" w:color="000000" w:sz="4" w:space="0"/>
              <w:left w:val="single" w:color="000000" w:sz="4" w:space="0"/>
              <w:bottom w:val="single" w:color="000000" w:sz="4" w:space="0"/>
              <w:right w:val="single" w:color="000000" w:sz="4" w:space="0"/>
            </w:tcBorders>
            <w:noWrap w:val="0"/>
            <w:vAlign w:val="center"/>
          </w:tcPr>
          <w:p w14:paraId="30E98A4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1775" w:type="dxa"/>
            <w:tcBorders>
              <w:top w:val="single" w:color="000000" w:sz="4" w:space="0"/>
              <w:left w:val="single" w:color="000000" w:sz="4" w:space="0"/>
              <w:bottom w:val="single" w:color="000000" w:sz="4" w:space="0"/>
              <w:right w:val="single" w:color="000000" w:sz="4" w:space="0"/>
            </w:tcBorders>
            <w:noWrap w:val="0"/>
            <w:vAlign w:val="center"/>
          </w:tcPr>
          <w:p w14:paraId="5CD81DB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2447" w:type="dxa"/>
            <w:tcBorders>
              <w:top w:val="single" w:color="000000" w:sz="4" w:space="0"/>
              <w:left w:val="single" w:color="000000" w:sz="4" w:space="0"/>
              <w:bottom w:val="single" w:color="000000" w:sz="4" w:space="0"/>
              <w:right w:val="single" w:color="000000" w:sz="4" w:space="0"/>
            </w:tcBorders>
            <w:noWrap w:val="0"/>
            <w:vAlign w:val="center"/>
          </w:tcPr>
          <w:p w14:paraId="1EAEA4A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750" w:type="dxa"/>
            <w:tcBorders>
              <w:top w:val="single" w:color="000000" w:sz="4" w:space="0"/>
              <w:left w:val="single" w:color="000000" w:sz="4" w:space="0"/>
              <w:bottom w:val="single" w:color="000000" w:sz="4" w:space="0"/>
              <w:right w:val="single" w:color="000000" w:sz="4" w:space="0"/>
            </w:tcBorders>
            <w:noWrap w:val="0"/>
            <w:vAlign w:val="center"/>
          </w:tcPr>
          <w:p w14:paraId="5940B4B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1264" w:type="dxa"/>
            <w:tcBorders>
              <w:top w:val="single" w:color="000000" w:sz="4" w:space="0"/>
              <w:left w:val="single" w:color="000000" w:sz="4" w:space="0"/>
              <w:bottom w:val="single" w:color="000000" w:sz="4" w:space="0"/>
              <w:right w:val="single" w:color="000000" w:sz="4" w:space="0"/>
            </w:tcBorders>
            <w:noWrap w:val="0"/>
            <w:vAlign w:val="center"/>
          </w:tcPr>
          <w:p w14:paraId="3ECAB27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521" w:type="dxa"/>
            <w:tcBorders>
              <w:top w:val="single" w:color="000000" w:sz="4" w:space="0"/>
              <w:left w:val="single" w:color="000000" w:sz="4" w:space="0"/>
              <w:bottom w:val="single" w:color="000000" w:sz="4" w:space="0"/>
              <w:right w:val="single" w:color="000000" w:sz="4" w:space="0"/>
            </w:tcBorders>
            <w:noWrap w:val="0"/>
            <w:vAlign w:val="center"/>
          </w:tcPr>
          <w:p w14:paraId="6C2D26F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1091" w:type="dxa"/>
            <w:tcBorders>
              <w:top w:val="single" w:color="000000" w:sz="4" w:space="0"/>
              <w:left w:val="single" w:color="000000" w:sz="4" w:space="0"/>
              <w:bottom w:val="single" w:color="000000" w:sz="4" w:space="0"/>
              <w:right w:val="single" w:color="000000" w:sz="4" w:space="0"/>
            </w:tcBorders>
            <w:noWrap w:val="0"/>
            <w:vAlign w:val="center"/>
          </w:tcPr>
          <w:p w14:paraId="52F3D18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505" w:type="dxa"/>
            <w:tcBorders>
              <w:top w:val="single" w:color="000000" w:sz="4" w:space="0"/>
              <w:left w:val="single" w:color="000000" w:sz="4" w:space="0"/>
              <w:bottom w:val="single" w:color="000000" w:sz="4" w:space="0"/>
              <w:right w:val="single" w:color="000000" w:sz="4" w:space="0"/>
            </w:tcBorders>
            <w:noWrap w:val="0"/>
            <w:vAlign w:val="center"/>
          </w:tcPr>
          <w:p w14:paraId="273CBB1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noWrap w:val="0"/>
            <w:vAlign w:val="center"/>
          </w:tcPr>
          <w:p w14:paraId="5A4B51A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2556" w:type="dxa"/>
            <w:tcBorders>
              <w:top w:val="single" w:color="000000" w:sz="4" w:space="0"/>
              <w:left w:val="single" w:color="000000" w:sz="4" w:space="0"/>
              <w:bottom w:val="single" w:color="000000" w:sz="4" w:space="0"/>
              <w:right w:val="single" w:color="000000" w:sz="4" w:space="0"/>
            </w:tcBorders>
            <w:noWrap w:val="0"/>
            <w:vAlign w:val="center"/>
          </w:tcPr>
          <w:p w14:paraId="0C8A2F6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18B02C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84" w:type="dxa"/>
            <w:vMerge w:val="continue"/>
            <w:tcBorders>
              <w:top w:val="single" w:color="000000" w:sz="4" w:space="0"/>
              <w:left w:val="single" w:color="000000" w:sz="4" w:space="0"/>
              <w:bottom w:val="single" w:color="000000" w:sz="4" w:space="0"/>
              <w:right w:val="single" w:color="000000" w:sz="4" w:space="0"/>
            </w:tcBorders>
            <w:noWrap w:val="0"/>
            <w:vAlign w:val="center"/>
          </w:tcPr>
          <w:p w14:paraId="55383A7A">
            <w:pPr>
              <w:jc w:val="center"/>
              <w:rPr>
                <w:rFonts w:hint="eastAsia" w:ascii="宋体" w:hAnsi="宋体" w:eastAsia="宋体" w:cs="宋体"/>
                <w:i w:val="0"/>
                <w:iCs w:val="0"/>
                <w:color w:val="000000"/>
                <w:sz w:val="18"/>
                <w:szCs w:val="18"/>
                <w:u w:val="none"/>
              </w:rPr>
            </w:pPr>
          </w:p>
        </w:tc>
        <w:tc>
          <w:tcPr>
            <w:tcW w:w="2051" w:type="dxa"/>
            <w:vMerge w:val="restart"/>
            <w:tcBorders>
              <w:top w:val="single" w:color="000000" w:sz="4" w:space="0"/>
              <w:left w:val="single" w:color="000000" w:sz="4" w:space="0"/>
              <w:bottom w:val="single" w:color="000000" w:sz="4" w:space="0"/>
              <w:right w:val="single" w:color="000000" w:sz="4" w:space="0"/>
            </w:tcBorders>
            <w:noWrap w:val="0"/>
            <w:vAlign w:val="center"/>
          </w:tcPr>
          <w:p w14:paraId="583509F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1775" w:type="dxa"/>
            <w:tcBorders>
              <w:top w:val="single" w:color="000000" w:sz="4" w:space="0"/>
              <w:left w:val="single" w:color="000000" w:sz="4" w:space="0"/>
              <w:bottom w:val="single" w:color="000000" w:sz="4" w:space="0"/>
              <w:right w:val="single" w:color="000000" w:sz="4" w:space="0"/>
            </w:tcBorders>
            <w:noWrap w:val="0"/>
            <w:vAlign w:val="center"/>
          </w:tcPr>
          <w:p w14:paraId="02FBD82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2447" w:type="dxa"/>
            <w:tcBorders>
              <w:top w:val="single" w:color="000000" w:sz="4" w:space="0"/>
              <w:left w:val="single" w:color="000000" w:sz="4" w:space="0"/>
              <w:bottom w:val="single" w:color="000000" w:sz="4" w:space="0"/>
              <w:right w:val="single" w:color="000000" w:sz="4" w:space="0"/>
            </w:tcBorders>
            <w:noWrap w:val="0"/>
            <w:vAlign w:val="center"/>
          </w:tcPr>
          <w:p w14:paraId="559AA1A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完成槽木、团结2个集中区基础设施正常运转</w:t>
            </w:r>
          </w:p>
        </w:tc>
        <w:tc>
          <w:tcPr>
            <w:tcW w:w="750" w:type="dxa"/>
            <w:tcBorders>
              <w:top w:val="single" w:color="000000" w:sz="4" w:space="0"/>
              <w:left w:val="single" w:color="000000" w:sz="4" w:space="0"/>
              <w:bottom w:val="single" w:color="000000" w:sz="4" w:space="0"/>
              <w:right w:val="single" w:color="000000" w:sz="4" w:space="0"/>
            </w:tcBorders>
            <w:noWrap w:val="0"/>
            <w:vAlign w:val="center"/>
          </w:tcPr>
          <w:p w14:paraId="4377C9D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264" w:type="dxa"/>
            <w:tcBorders>
              <w:top w:val="single" w:color="000000" w:sz="4" w:space="0"/>
              <w:left w:val="single" w:color="000000" w:sz="4" w:space="0"/>
              <w:bottom w:val="single" w:color="000000" w:sz="4" w:space="0"/>
              <w:right w:val="single" w:color="000000" w:sz="4" w:space="0"/>
            </w:tcBorders>
            <w:noWrap w:val="0"/>
            <w:vAlign w:val="center"/>
          </w:tcPr>
          <w:p w14:paraId="29970DD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w:t>
            </w:r>
          </w:p>
        </w:tc>
        <w:tc>
          <w:tcPr>
            <w:tcW w:w="521" w:type="dxa"/>
            <w:tcBorders>
              <w:top w:val="single" w:color="000000" w:sz="4" w:space="0"/>
              <w:left w:val="single" w:color="000000" w:sz="4" w:space="0"/>
              <w:bottom w:val="single" w:color="000000" w:sz="4" w:space="0"/>
              <w:right w:val="single" w:color="000000" w:sz="4" w:space="0"/>
            </w:tcBorders>
            <w:noWrap w:val="0"/>
            <w:vAlign w:val="center"/>
          </w:tcPr>
          <w:p w14:paraId="05EC17B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处</w:t>
            </w:r>
          </w:p>
        </w:tc>
        <w:tc>
          <w:tcPr>
            <w:tcW w:w="1091" w:type="dxa"/>
            <w:tcBorders>
              <w:top w:val="single" w:color="000000" w:sz="4" w:space="0"/>
              <w:left w:val="single" w:color="000000" w:sz="4" w:space="0"/>
              <w:bottom w:val="single" w:color="000000" w:sz="4" w:space="0"/>
              <w:right w:val="single" w:color="000000" w:sz="4" w:space="0"/>
            </w:tcBorders>
            <w:noWrap w:val="0"/>
            <w:vAlign w:val="center"/>
          </w:tcPr>
          <w:p w14:paraId="0C6BC289">
            <w:pPr>
              <w:jc w:val="center"/>
              <w:rPr>
                <w:rFonts w:hint="eastAsia"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noWrap w:val="0"/>
            <w:vAlign w:val="center"/>
          </w:tcPr>
          <w:p w14:paraId="7EBF0CB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56" w:type="dxa"/>
            <w:tcBorders>
              <w:top w:val="single" w:color="000000" w:sz="4" w:space="0"/>
              <w:left w:val="single" w:color="000000" w:sz="4" w:space="0"/>
              <w:bottom w:val="single" w:color="000000" w:sz="4" w:space="0"/>
              <w:right w:val="single" w:color="000000" w:sz="4" w:space="0"/>
            </w:tcBorders>
            <w:noWrap w:val="0"/>
            <w:vAlign w:val="center"/>
          </w:tcPr>
          <w:p w14:paraId="7809FACF">
            <w:pPr>
              <w:jc w:val="center"/>
              <w:rPr>
                <w:rFonts w:hint="eastAsia" w:ascii="宋体" w:hAnsi="宋体" w:eastAsia="宋体" w:cs="宋体"/>
                <w:i w:val="0"/>
                <w:iCs w:val="0"/>
                <w:color w:val="000000"/>
                <w:sz w:val="18"/>
                <w:szCs w:val="18"/>
                <w:u w:val="none"/>
              </w:rPr>
            </w:pPr>
          </w:p>
        </w:tc>
        <w:tc>
          <w:tcPr>
            <w:tcW w:w="2556" w:type="dxa"/>
            <w:tcBorders>
              <w:top w:val="single" w:color="000000" w:sz="4" w:space="0"/>
              <w:left w:val="single" w:color="000000" w:sz="4" w:space="0"/>
              <w:bottom w:val="single" w:color="000000" w:sz="4" w:space="0"/>
              <w:right w:val="single" w:color="000000" w:sz="4" w:space="0"/>
            </w:tcBorders>
            <w:noWrap w:val="0"/>
            <w:vAlign w:val="center"/>
          </w:tcPr>
          <w:p w14:paraId="317DA26C">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14:paraId="3519A8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84" w:type="dxa"/>
            <w:vMerge w:val="continue"/>
            <w:tcBorders>
              <w:top w:val="single" w:color="000000" w:sz="4" w:space="0"/>
              <w:left w:val="single" w:color="000000" w:sz="4" w:space="0"/>
              <w:bottom w:val="single" w:color="000000" w:sz="4" w:space="0"/>
              <w:right w:val="single" w:color="000000" w:sz="4" w:space="0"/>
            </w:tcBorders>
            <w:noWrap w:val="0"/>
            <w:vAlign w:val="center"/>
          </w:tcPr>
          <w:p w14:paraId="48C7ED3B">
            <w:pPr>
              <w:jc w:val="center"/>
              <w:rPr>
                <w:rFonts w:hint="eastAsia" w:ascii="宋体" w:hAnsi="宋体" w:eastAsia="宋体" w:cs="宋体"/>
                <w:i w:val="0"/>
                <w:iCs w:val="0"/>
                <w:color w:val="000000"/>
                <w:sz w:val="18"/>
                <w:szCs w:val="18"/>
                <w:u w:val="none"/>
              </w:rPr>
            </w:pPr>
          </w:p>
        </w:tc>
        <w:tc>
          <w:tcPr>
            <w:tcW w:w="205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8AB7A0E">
            <w:pPr>
              <w:jc w:val="center"/>
              <w:rPr>
                <w:rFonts w:hint="eastAsia" w:ascii="宋体" w:hAnsi="宋体" w:eastAsia="宋体" w:cs="宋体"/>
                <w:i w:val="0"/>
                <w:iCs w:val="0"/>
                <w:color w:val="000000"/>
                <w:sz w:val="18"/>
                <w:szCs w:val="18"/>
                <w:u w:val="none"/>
              </w:rPr>
            </w:pPr>
          </w:p>
        </w:tc>
        <w:tc>
          <w:tcPr>
            <w:tcW w:w="1775" w:type="dxa"/>
            <w:tcBorders>
              <w:top w:val="single" w:color="000000" w:sz="4" w:space="0"/>
              <w:left w:val="single" w:color="000000" w:sz="4" w:space="0"/>
              <w:bottom w:val="single" w:color="000000" w:sz="4" w:space="0"/>
              <w:right w:val="single" w:color="000000" w:sz="4" w:space="0"/>
            </w:tcBorders>
            <w:noWrap w:val="0"/>
            <w:vAlign w:val="center"/>
          </w:tcPr>
          <w:p w14:paraId="1B26168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2447" w:type="dxa"/>
            <w:tcBorders>
              <w:top w:val="single" w:color="000000" w:sz="4" w:space="0"/>
              <w:left w:val="single" w:color="000000" w:sz="4" w:space="0"/>
              <w:bottom w:val="single" w:color="000000" w:sz="4" w:space="0"/>
              <w:right w:val="single" w:color="000000" w:sz="4" w:space="0"/>
            </w:tcBorders>
            <w:noWrap w:val="0"/>
            <w:vAlign w:val="center"/>
          </w:tcPr>
          <w:p w14:paraId="2BF6E2A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2025年园区道路通畅、供水正常、排水达标</w:t>
            </w:r>
          </w:p>
        </w:tc>
        <w:tc>
          <w:tcPr>
            <w:tcW w:w="750" w:type="dxa"/>
            <w:tcBorders>
              <w:top w:val="single" w:color="000000" w:sz="4" w:space="0"/>
              <w:left w:val="single" w:color="000000" w:sz="4" w:space="0"/>
              <w:bottom w:val="single" w:color="000000" w:sz="4" w:space="0"/>
              <w:right w:val="single" w:color="000000" w:sz="4" w:space="0"/>
            </w:tcBorders>
            <w:noWrap w:val="0"/>
            <w:vAlign w:val="center"/>
          </w:tcPr>
          <w:p w14:paraId="5139F8D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1264" w:type="dxa"/>
            <w:tcBorders>
              <w:top w:val="single" w:color="000000" w:sz="4" w:space="0"/>
              <w:left w:val="single" w:color="000000" w:sz="4" w:space="0"/>
              <w:bottom w:val="single" w:color="000000" w:sz="4" w:space="0"/>
              <w:right w:val="single" w:color="000000" w:sz="4" w:space="0"/>
            </w:tcBorders>
            <w:noWrap w:val="0"/>
            <w:vAlign w:val="center"/>
          </w:tcPr>
          <w:p w14:paraId="0A6448A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优</w:t>
            </w:r>
          </w:p>
        </w:tc>
        <w:tc>
          <w:tcPr>
            <w:tcW w:w="521" w:type="dxa"/>
            <w:tcBorders>
              <w:top w:val="single" w:color="000000" w:sz="4" w:space="0"/>
              <w:left w:val="single" w:color="000000" w:sz="4" w:space="0"/>
              <w:bottom w:val="single" w:color="000000" w:sz="4" w:space="0"/>
              <w:right w:val="single" w:color="000000" w:sz="4" w:space="0"/>
            </w:tcBorders>
            <w:noWrap w:val="0"/>
            <w:vAlign w:val="center"/>
          </w:tcPr>
          <w:p w14:paraId="10C41FF9">
            <w:pPr>
              <w:jc w:val="center"/>
              <w:rPr>
                <w:rFonts w:hint="eastAsia" w:ascii="宋体" w:hAnsi="宋体" w:eastAsia="宋体" w:cs="宋体"/>
                <w:i w:val="0"/>
                <w:iCs w:val="0"/>
                <w:color w:val="000000"/>
                <w:sz w:val="18"/>
                <w:szCs w:val="18"/>
                <w:u w:val="none"/>
              </w:rPr>
            </w:pPr>
          </w:p>
        </w:tc>
        <w:tc>
          <w:tcPr>
            <w:tcW w:w="1091" w:type="dxa"/>
            <w:tcBorders>
              <w:top w:val="single" w:color="000000" w:sz="4" w:space="0"/>
              <w:left w:val="single" w:color="000000" w:sz="4" w:space="0"/>
              <w:bottom w:val="single" w:color="000000" w:sz="4" w:space="0"/>
              <w:right w:val="single" w:color="000000" w:sz="4" w:space="0"/>
            </w:tcBorders>
            <w:noWrap w:val="0"/>
            <w:vAlign w:val="center"/>
          </w:tcPr>
          <w:p w14:paraId="4316DBFB">
            <w:pPr>
              <w:jc w:val="center"/>
              <w:rPr>
                <w:rFonts w:hint="eastAsia"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noWrap w:val="0"/>
            <w:vAlign w:val="center"/>
          </w:tcPr>
          <w:p w14:paraId="45E4F82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noWrap w:val="0"/>
            <w:vAlign w:val="center"/>
          </w:tcPr>
          <w:p w14:paraId="19E2130A">
            <w:pPr>
              <w:jc w:val="center"/>
              <w:rPr>
                <w:rFonts w:hint="eastAsia" w:ascii="宋体" w:hAnsi="宋体" w:eastAsia="宋体" w:cs="宋体"/>
                <w:i w:val="0"/>
                <w:iCs w:val="0"/>
                <w:color w:val="000000"/>
                <w:sz w:val="18"/>
                <w:szCs w:val="18"/>
                <w:u w:val="none"/>
              </w:rPr>
            </w:pPr>
          </w:p>
        </w:tc>
        <w:tc>
          <w:tcPr>
            <w:tcW w:w="2556" w:type="dxa"/>
            <w:tcBorders>
              <w:top w:val="single" w:color="000000" w:sz="4" w:space="0"/>
              <w:left w:val="single" w:color="000000" w:sz="4" w:space="0"/>
              <w:bottom w:val="single" w:color="000000" w:sz="4" w:space="0"/>
              <w:right w:val="single" w:color="000000" w:sz="4" w:space="0"/>
            </w:tcBorders>
            <w:noWrap w:val="0"/>
            <w:vAlign w:val="center"/>
          </w:tcPr>
          <w:p w14:paraId="2EEAD47B">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14:paraId="12D777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84" w:type="dxa"/>
            <w:vMerge w:val="continue"/>
            <w:tcBorders>
              <w:top w:val="single" w:color="000000" w:sz="4" w:space="0"/>
              <w:left w:val="single" w:color="000000" w:sz="4" w:space="0"/>
              <w:bottom w:val="single" w:color="000000" w:sz="4" w:space="0"/>
              <w:right w:val="single" w:color="000000" w:sz="4" w:space="0"/>
            </w:tcBorders>
            <w:noWrap w:val="0"/>
            <w:vAlign w:val="center"/>
          </w:tcPr>
          <w:p w14:paraId="7C870A56">
            <w:pPr>
              <w:jc w:val="center"/>
              <w:rPr>
                <w:rFonts w:hint="eastAsia" w:ascii="宋体" w:hAnsi="宋体" w:eastAsia="宋体" w:cs="宋体"/>
                <w:i w:val="0"/>
                <w:iCs w:val="0"/>
                <w:color w:val="000000"/>
                <w:sz w:val="18"/>
                <w:szCs w:val="18"/>
                <w:u w:val="none"/>
              </w:rPr>
            </w:pPr>
          </w:p>
        </w:tc>
        <w:tc>
          <w:tcPr>
            <w:tcW w:w="205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441A49C">
            <w:pPr>
              <w:jc w:val="center"/>
              <w:rPr>
                <w:rFonts w:hint="eastAsia" w:ascii="宋体" w:hAnsi="宋体" w:eastAsia="宋体" w:cs="宋体"/>
                <w:i w:val="0"/>
                <w:iCs w:val="0"/>
                <w:color w:val="000000"/>
                <w:sz w:val="18"/>
                <w:szCs w:val="18"/>
                <w:u w:val="none"/>
              </w:rPr>
            </w:pPr>
          </w:p>
        </w:tc>
        <w:tc>
          <w:tcPr>
            <w:tcW w:w="1775" w:type="dxa"/>
            <w:tcBorders>
              <w:top w:val="single" w:color="000000" w:sz="4" w:space="0"/>
              <w:left w:val="single" w:color="000000" w:sz="4" w:space="0"/>
              <w:bottom w:val="single" w:color="000000" w:sz="4" w:space="0"/>
              <w:right w:val="single" w:color="000000" w:sz="4" w:space="0"/>
            </w:tcBorders>
            <w:noWrap w:val="0"/>
            <w:vAlign w:val="center"/>
          </w:tcPr>
          <w:p w14:paraId="05DAF3E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2447" w:type="dxa"/>
            <w:tcBorders>
              <w:top w:val="single" w:color="000000" w:sz="4" w:space="0"/>
              <w:left w:val="single" w:color="000000" w:sz="4" w:space="0"/>
              <w:bottom w:val="single" w:color="000000" w:sz="4" w:space="0"/>
              <w:right w:val="single" w:color="000000" w:sz="4" w:space="0"/>
            </w:tcBorders>
            <w:noWrap w:val="0"/>
            <w:vAlign w:val="center"/>
          </w:tcPr>
          <w:p w14:paraId="0AA6EEB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完成1-12月基础设施完整运行</w:t>
            </w:r>
          </w:p>
        </w:tc>
        <w:tc>
          <w:tcPr>
            <w:tcW w:w="750" w:type="dxa"/>
            <w:tcBorders>
              <w:top w:val="single" w:color="000000" w:sz="4" w:space="0"/>
              <w:left w:val="single" w:color="000000" w:sz="4" w:space="0"/>
              <w:bottom w:val="single" w:color="000000" w:sz="4" w:space="0"/>
              <w:right w:val="single" w:color="000000" w:sz="4" w:space="0"/>
            </w:tcBorders>
            <w:noWrap w:val="0"/>
            <w:vAlign w:val="center"/>
          </w:tcPr>
          <w:p w14:paraId="256FE40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264" w:type="dxa"/>
            <w:tcBorders>
              <w:top w:val="single" w:color="000000" w:sz="4" w:space="0"/>
              <w:left w:val="single" w:color="000000" w:sz="4" w:space="0"/>
              <w:bottom w:val="single" w:color="000000" w:sz="4" w:space="0"/>
              <w:right w:val="single" w:color="000000" w:sz="4" w:space="0"/>
            </w:tcBorders>
            <w:noWrap w:val="0"/>
            <w:vAlign w:val="center"/>
          </w:tcPr>
          <w:p w14:paraId="5AA233A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521" w:type="dxa"/>
            <w:tcBorders>
              <w:top w:val="single" w:color="000000" w:sz="4" w:space="0"/>
              <w:left w:val="single" w:color="000000" w:sz="4" w:space="0"/>
              <w:bottom w:val="single" w:color="000000" w:sz="4" w:space="0"/>
              <w:right w:val="single" w:color="000000" w:sz="4" w:space="0"/>
            </w:tcBorders>
            <w:noWrap w:val="0"/>
            <w:vAlign w:val="center"/>
          </w:tcPr>
          <w:p w14:paraId="75BD57F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w:t>
            </w:r>
          </w:p>
        </w:tc>
        <w:tc>
          <w:tcPr>
            <w:tcW w:w="1091" w:type="dxa"/>
            <w:tcBorders>
              <w:top w:val="single" w:color="000000" w:sz="4" w:space="0"/>
              <w:left w:val="single" w:color="000000" w:sz="4" w:space="0"/>
              <w:bottom w:val="single" w:color="000000" w:sz="4" w:space="0"/>
              <w:right w:val="single" w:color="000000" w:sz="4" w:space="0"/>
            </w:tcBorders>
            <w:noWrap w:val="0"/>
            <w:vAlign w:val="center"/>
          </w:tcPr>
          <w:p w14:paraId="5E38578D">
            <w:pPr>
              <w:jc w:val="center"/>
              <w:rPr>
                <w:rFonts w:hint="eastAsia"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noWrap w:val="0"/>
            <w:vAlign w:val="center"/>
          </w:tcPr>
          <w:p w14:paraId="218BC68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56" w:type="dxa"/>
            <w:tcBorders>
              <w:top w:val="single" w:color="000000" w:sz="4" w:space="0"/>
              <w:left w:val="single" w:color="000000" w:sz="4" w:space="0"/>
              <w:bottom w:val="single" w:color="000000" w:sz="4" w:space="0"/>
              <w:right w:val="single" w:color="000000" w:sz="4" w:space="0"/>
            </w:tcBorders>
            <w:noWrap w:val="0"/>
            <w:vAlign w:val="center"/>
          </w:tcPr>
          <w:p w14:paraId="02CF4F29">
            <w:pPr>
              <w:jc w:val="center"/>
              <w:rPr>
                <w:rFonts w:hint="eastAsia" w:ascii="宋体" w:hAnsi="宋体" w:eastAsia="宋体" w:cs="宋体"/>
                <w:i w:val="0"/>
                <w:iCs w:val="0"/>
                <w:color w:val="000000"/>
                <w:sz w:val="18"/>
                <w:szCs w:val="18"/>
                <w:u w:val="none"/>
              </w:rPr>
            </w:pPr>
          </w:p>
        </w:tc>
        <w:tc>
          <w:tcPr>
            <w:tcW w:w="2556" w:type="dxa"/>
            <w:tcBorders>
              <w:top w:val="single" w:color="000000" w:sz="4" w:space="0"/>
              <w:left w:val="single" w:color="000000" w:sz="4" w:space="0"/>
              <w:bottom w:val="single" w:color="000000" w:sz="4" w:space="0"/>
              <w:right w:val="single" w:color="000000" w:sz="4" w:space="0"/>
            </w:tcBorders>
            <w:noWrap w:val="0"/>
            <w:vAlign w:val="center"/>
          </w:tcPr>
          <w:p w14:paraId="78AB2C7E">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14:paraId="67E9C9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84" w:type="dxa"/>
            <w:vMerge w:val="continue"/>
            <w:tcBorders>
              <w:top w:val="single" w:color="000000" w:sz="4" w:space="0"/>
              <w:left w:val="single" w:color="000000" w:sz="4" w:space="0"/>
              <w:bottom w:val="single" w:color="000000" w:sz="4" w:space="0"/>
              <w:right w:val="single" w:color="000000" w:sz="4" w:space="0"/>
            </w:tcBorders>
            <w:noWrap w:val="0"/>
            <w:vAlign w:val="center"/>
          </w:tcPr>
          <w:p w14:paraId="6E8BD9A7">
            <w:pPr>
              <w:jc w:val="center"/>
              <w:rPr>
                <w:rFonts w:hint="eastAsia" w:ascii="宋体" w:hAnsi="宋体" w:eastAsia="宋体" w:cs="宋体"/>
                <w:i w:val="0"/>
                <w:iCs w:val="0"/>
                <w:color w:val="000000"/>
                <w:sz w:val="18"/>
                <w:szCs w:val="18"/>
                <w:u w:val="none"/>
              </w:rPr>
            </w:pPr>
          </w:p>
        </w:tc>
        <w:tc>
          <w:tcPr>
            <w:tcW w:w="2051" w:type="dxa"/>
            <w:vMerge w:val="restart"/>
            <w:tcBorders>
              <w:top w:val="single" w:color="000000" w:sz="4" w:space="0"/>
              <w:left w:val="single" w:color="000000" w:sz="4" w:space="0"/>
              <w:bottom w:val="single" w:color="000000" w:sz="4" w:space="0"/>
              <w:right w:val="single" w:color="000000" w:sz="4" w:space="0"/>
            </w:tcBorders>
            <w:noWrap w:val="0"/>
            <w:vAlign w:val="center"/>
          </w:tcPr>
          <w:p w14:paraId="6A28B51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1775" w:type="dxa"/>
            <w:tcBorders>
              <w:top w:val="single" w:color="000000" w:sz="4" w:space="0"/>
              <w:left w:val="single" w:color="000000" w:sz="4" w:space="0"/>
              <w:bottom w:val="single" w:color="000000" w:sz="4" w:space="0"/>
              <w:right w:val="single" w:color="000000" w:sz="4" w:space="0"/>
            </w:tcBorders>
            <w:noWrap w:val="0"/>
            <w:vAlign w:val="center"/>
          </w:tcPr>
          <w:p w14:paraId="378E4A1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经济效益指标</w:t>
            </w:r>
          </w:p>
        </w:tc>
        <w:tc>
          <w:tcPr>
            <w:tcW w:w="2447" w:type="dxa"/>
            <w:tcBorders>
              <w:top w:val="single" w:color="000000" w:sz="4" w:space="0"/>
              <w:left w:val="single" w:color="000000" w:sz="4" w:space="0"/>
              <w:bottom w:val="single" w:color="000000" w:sz="4" w:space="0"/>
              <w:right w:val="single" w:color="000000" w:sz="4" w:space="0"/>
            </w:tcBorders>
            <w:noWrap w:val="0"/>
            <w:vAlign w:val="center"/>
          </w:tcPr>
          <w:p w14:paraId="043FD0E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促进招商引资工作开展和项目顺利落地</w:t>
            </w:r>
          </w:p>
        </w:tc>
        <w:tc>
          <w:tcPr>
            <w:tcW w:w="750" w:type="dxa"/>
            <w:tcBorders>
              <w:top w:val="single" w:color="000000" w:sz="4" w:space="0"/>
              <w:left w:val="single" w:color="000000" w:sz="4" w:space="0"/>
              <w:bottom w:val="single" w:color="000000" w:sz="4" w:space="0"/>
              <w:right w:val="single" w:color="000000" w:sz="4" w:space="0"/>
            </w:tcBorders>
            <w:noWrap w:val="0"/>
            <w:vAlign w:val="center"/>
          </w:tcPr>
          <w:p w14:paraId="5FBA3A4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1264" w:type="dxa"/>
            <w:tcBorders>
              <w:top w:val="single" w:color="000000" w:sz="4" w:space="0"/>
              <w:left w:val="single" w:color="000000" w:sz="4" w:space="0"/>
              <w:bottom w:val="single" w:color="000000" w:sz="4" w:space="0"/>
              <w:right w:val="single" w:color="000000" w:sz="4" w:space="0"/>
            </w:tcBorders>
            <w:noWrap w:val="0"/>
            <w:vAlign w:val="center"/>
          </w:tcPr>
          <w:p w14:paraId="7FA5414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良好</w:t>
            </w:r>
          </w:p>
        </w:tc>
        <w:tc>
          <w:tcPr>
            <w:tcW w:w="521" w:type="dxa"/>
            <w:tcBorders>
              <w:top w:val="single" w:color="000000" w:sz="4" w:space="0"/>
              <w:left w:val="single" w:color="000000" w:sz="4" w:space="0"/>
              <w:bottom w:val="single" w:color="000000" w:sz="4" w:space="0"/>
              <w:right w:val="single" w:color="000000" w:sz="4" w:space="0"/>
            </w:tcBorders>
            <w:noWrap w:val="0"/>
            <w:vAlign w:val="center"/>
          </w:tcPr>
          <w:p w14:paraId="51F8E355">
            <w:pPr>
              <w:jc w:val="center"/>
              <w:rPr>
                <w:rFonts w:hint="eastAsia" w:ascii="宋体" w:hAnsi="宋体" w:eastAsia="宋体" w:cs="宋体"/>
                <w:i w:val="0"/>
                <w:iCs w:val="0"/>
                <w:color w:val="000000"/>
                <w:sz w:val="18"/>
                <w:szCs w:val="18"/>
                <w:u w:val="none"/>
              </w:rPr>
            </w:pPr>
          </w:p>
        </w:tc>
        <w:tc>
          <w:tcPr>
            <w:tcW w:w="1091" w:type="dxa"/>
            <w:tcBorders>
              <w:top w:val="single" w:color="000000" w:sz="4" w:space="0"/>
              <w:left w:val="single" w:color="000000" w:sz="4" w:space="0"/>
              <w:bottom w:val="single" w:color="000000" w:sz="4" w:space="0"/>
              <w:right w:val="single" w:color="000000" w:sz="4" w:space="0"/>
            </w:tcBorders>
            <w:noWrap w:val="0"/>
            <w:vAlign w:val="center"/>
          </w:tcPr>
          <w:p w14:paraId="4DDF1FD4">
            <w:pPr>
              <w:jc w:val="center"/>
              <w:rPr>
                <w:rFonts w:hint="eastAsia"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noWrap w:val="0"/>
            <w:vAlign w:val="center"/>
          </w:tcPr>
          <w:p w14:paraId="71BB1E0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noWrap w:val="0"/>
            <w:vAlign w:val="center"/>
          </w:tcPr>
          <w:p w14:paraId="500C5126">
            <w:pPr>
              <w:jc w:val="center"/>
              <w:rPr>
                <w:rFonts w:hint="eastAsia" w:ascii="宋体" w:hAnsi="宋体" w:eastAsia="宋体" w:cs="宋体"/>
                <w:i w:val="0"/>
                <w:iCs w:val="0"/>
                <w:color w:val="000000"/>
                <w:sz w:val="18"/>
                <w:szCs w:val="18"/>
                <w:u w:val="none"/>
              </w:rPr>
            </w:pPr>
          </w:p>
        </w:tc>
        <w:tc>
          <w:tcPr>
            <w:tcW w:w="2556" w:type="dxa"/>
            <w:tcBorders>
              <w:top w:val="single" w:color="000000" w:sz="4" w:space="0"/>
              <w:left w:val="single" w:color="000000" w:sz="4" w:space="0"/>
              <w:bottom w:val="single" w:color="000000" w:sz="4" w:space="0"/>
              <w:right w:val="single" w:color="000000" w:sz="4" w:space="0"/>
            </w:tcBorders>
            <w:noWrap w:val="0"/>
            <w:vAlign w:val="center"/>
          </w:tcPr>
          <w:p w14:paraId="075CF3E6">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14:paraId="066001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noWrap w:val="0"/>
            <w:vAlign w:val="center"/>
          </w:tcPr>
          <w:p w14:paraId="0AAF26E2">
            <w:pPr>
              <w:jc w:val="center"/>
              <w:rPr>
                <w:rFonts w:hint="eastAsia" w:ascii="宋体" w:hAnsi="宋体" w:eastAsia="宋体" w:cs="宋体"/>
                <w:i w:val="0"/>
                <w:iCs w:val="0"/>
                <w:color w:val="000000"/>
                <w:sz w:val="18"/>
                <w:szCs w:val="18"/>
                <w:u w:val="none"/>
              </w:rPr>
            </w:pPr>
          </w:p>
        </w:tc>
        <w:tc>
          <w:tcPr>
            <w:tcW w:w="205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92A1351">
            <w:pPr>
              <w:jc w:val="center"/>
              <w:rPr>
                <w:rFonts w:hint="eastAsia" w:ascii="宋体" w:hAnsi="宋体" w:eastAsia="宋体" w:cs="宋体"/>
                <w:i w:val="0"/>
                <w:iCs w:val="0"/>
                <w:color w:val="000000"/>
                <w:sz w:val="18"/>
                <w:szCs w:val="18"/>
                <w:u w:val="none"/>
              </w:rPr>
            </w:pPr>
          </w:p>
        </w:tc>
        <w:tc>
          <w:tcPr>
            <w:tcW w:w="1775" w:type="dxa"/>
            <w:tcBorders>
              <w:top w:val="single" w:color="000000" w:sz="4" w:space="0"/>
              <w:left w:val="single" w:color="000000" w:sz="4" w:space="0"/>
              <w:bottom w:val="single" w:color="000000" w:sz="4" w:space="0"/>
              <w:right w:val="single" w:color="000000" w:sz="4" w:space="0"/>
            </w:tcBorders>
            <w:noWrap w:val="0"/>
            <w:vAlign w:val="center"/>
          </w:tcPr>
          <w:p w14:paraId="206DF4D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2447" w:type="dxa"/>
            <w:tcBorders>
              <w:top w:val="single" w:color="000000" w:sz="4" w:space="0"/>
              <w:left w:val="single" w:color="000000" w:sz="4" w:space="0"/>
              <w:bottom w:val="single" w:color="000000" w:sz="4" w:space="0"/>
              <w:right w:val="single" w:color="000000" w:sz="4" w:space="0"/>
            </w:tcBorders>
            <w:noWrap w:val="0"/>
            <w:vAlign w:val="center"/>
          </w:tcPr>
          <w:p w14:paraId="2A3DCF2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减少整体安全风险</w:t>
            </w:r>
          </w:p>
        </w:tc>
        <w:tc>
          <w:tcPr>
            <w:tcW w:w="750" w:type="dxa"/>
            <w:tcBorders>
              <w:top w:val="single" w:color="000000" w:sz="4" w:space="0"/>
              <w:left w:val="single" w:color="000000" w:sz="4" w:space="0"/>
              <w:bottom w:val="single" w:color="000000" w:sz="4" w:space="0"/>
              <w:right w:val="single" w:color="000000" w:sz="4" w:space="0"/>
            </w:tcBorders>
            <w:noWrap w:val="0"/>
            <w:vAlign w:val="center"/>
          </w:tcPr>
          <w:p w14:paraId="65E9220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1264" w:type="dxa"/>
            <w:tcBorders>
              <w:top w:val="single" w:color="000000" w:sz="4" w:space="0"/>
              <w:left w:val="single" w:color="000000" w:sz="4" w:space="0"/>
              <w:bottom w:val="single" w:color="000000" w:sz="4" w:space="0"/>
              <w:right w:val="single" w:color="000000" w:sz="4" w:space="0"/>
            </w:tcBorders>
            <w:noWrap w:val="0"/>
            <w:vAlign w:val="center"/>
          </w:tcPr>
          <w:p w14:paraId="5C119B1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良好</w:t>
            </w:r>
          </w:p>
        </w:tc>
        <w:tc>
          <w:tcPr>
            <w:tcW w:w="521" w:type="dxa"/>
            <w:tcBorders>
              <w:top w:val="single" w:color="000000" w:sz="4" w:space="0"/>
              <w:left w:val="single" w:color="000000" w:sz="4" w:space="0"/>
              <w:bottom w:val="single" w:color="000000" w:sz="4" w:space="0"/>
              <w:right w:val="single" w:color="000000" w:sz="4" w:space="0"/>
            </w:tcBorders>
            <w:noWrap w:val="0"/>
            <w:vAlign w:val="center"/>
          </w:tcPr>
          <w:p w14:paraId="2F539AD4">
            <w:pPr>
              <w:jc w:val="center"/>
              <w:rPr>
                <w:rFonts w:hint="eastAsia" w:ascii="宋体" w:hAnsi="宋体" w:eastAsia="宋体" w:cs="宋体"/>
                <w:i w:val="0"/>
                <w:iCs w:val="0"/>
                <w:color w:val="000000"/>
                <w:sz w:val="18"/>
                <w:szCs w:val="18"/>
                <w:u w:val="none"/>
              </w:rPr>
            </w:pPr>
          </w:p>
        </w:tc>
        <w:tc>
          <w:tcPr>
            <w:tcW w:w="1091" w:type="dxa"/>
            <w:tcBorders>
              <w:top w:val="single" w:color="000000" w:sz="4" w:space="0"/>
              <w:left w:val="single" w:color="000000" w:sz="4" w:space="0"/>
              <w:bottom w:val="single" w:color="000000" w:sz="4" w:space="0"/>
              <w:right w:val="single" w:color="000000" w:sz="4" w:space="0"/>
            </w:tcBorders>
            <w:noWrap w:val="0"/>
            <w:vAlign w:val="center"/>
          </w:tcPr>
          <w:p w14:paraId="6A19436E">
            <w:pPr>
              <w:jc w:val="center"/>
              <w:rPr>
                <w:rFonts w:hint="eastAsia"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noWrap w:val="0"/>
            <w:vAlign w:val="center"/>
          </w:tcPr>
          <w:p w14:paraId="5D3B072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noWrap w:val="0"/>
            <w:vAlign w:val="center"/>
          </w:tcPr>
          <w:p w14:paraId="17244EB3">
            <w:pPr>
              <w:jc w:val="center"/>
              <w:rPr>
                <w:rFonts w:hint="eastAsia" w:ascii="宋体" w:hAnsi="宋体" w:eastAsia="宋体" w:cs="宋体"/>
                <w:i w:val="0"/>
                <w:iCs w:val="0"/>
                <w:color w:val="000000"/>
                <w:sz w:val="18"/>
                <w:szCs w:val="18"/>
                <w:u w:val="none"/>
              </w:rPr>
            </w:pPr>
          </w:p>
        </w:tc>
        <w:tc>
          <w:tcPr>
            <w:tcW w:w="2556" w:type="dxa"/>
            <w:tcBorders>
              <w:top w:val="single" w:color="000000" w:sz="4" w:space="0"/>
              <w:left w:val="single" w:color="000000" w:sz="4" w:space="0"/>
              <w:bottom w:val="single" w:color="000000" w:sz="4" w:space="0"/>
              <w:right w:val="single" w:color="000000" w:sz="4" w:space="0"/>
            </w:tcBorders>
            <w:noWrap w:val="0"/>
            <w:vAlign w:val="center"/>
          </w:tcPr>
          <w:p w14:paraId="510CBC26">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14:paraId="17E162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84" w:type="dxa"/>
            <w:vMerge w:val="continue"/>
            <w:tcBorders>
              <w:top w:val="single" w:color="000000" w:sz="4" w:space="0"/>
              <w:left w:val="single" w:color="000000" w:sz="4" w:space="0"/>
              <w:bottom w:val="single" w:color="000000" w:sz="4" w:space="0"/>
              <w:right w:val="single" w:color="000000" w:sz="4" w:space="0"/>
            </w:tcBorders>
            <w:noWrap w:val="0"/>
            <w:vAlign w:val="center"/>
          </w:tcPr>
          <w:p w14:paraId="6C535B2F">
            <w:pPr>
              <w:jc w:val="center"/>
              <w:rPr>
                <w:rFonts w:hint="eastAsia" w:ascii="宋体" w:hAnsi="宋体" w:eastAsia="宋体" w:cs="宋体"/>
                <w:i w:val="0"/>
                <w:iCs w:val="0"/>
                <w:color w:val="000000"/>
                <w:sz w:val="18"/>
                <w:szCs w:val="18"/>
                <w:u w:val="none"/>
              </w:rPr>
            </w:pPr>
          </w:p>
        </w:tc>
        <w:tc>
          <w:tcPr>
            <w:tcW w:w="205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37EE2C3">
            <w:pPr>
              <w:jc w:val="center"/>
              <w:rPr>
                <w:rFonts w:hint="eastAsia" w:ascii="宋体" w:hAnsi="宋体" w:eastAsia="宋体" w:cs="宋体"/>
                <w:i w:val="0"/>
                <w:iCs w:val="0"/>
                <w:color w:val="000000"/>
                <w:sz w:val="18"/>
                <w:szCs w:val="18"/>
                <w:u w:val="none"/>
              </w:rPr>
            </w:pPr>
          </w:p>
        </w:tc>
        <w:tc>
          <w:tcPr>
            <w:tcW w:w="1775" w:type="dxa"/>
            <w:tcBorders>
              <w:top w:val="single" w:color="000000" w:sz="4" w:space="0"/>
              <w:left w:val="single" w:color="000000" w:sz="4" w:space="0"/>
              <w:bottom w:val="single" w:color="000000" w:sz="4" w:space="0"/>
              <w:right w:val="single" w:color="000000" w:sz="4" w:space="0"/>
            </w:tcBorders>
            <w:noWrap w:val="0"/>
            <w:vAlign w:val="center"/>
          </w:tcPr>
          <w:p w14:paraId="2FE1E08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可持续发展指标</w:t>
            </w:r>
          </w:p>
        </w:tc>
        <w:tc>
          <w:tcPr>
            <w:tcW w:w="2447" w:type="dxa"/>
            <w:tcBorders>
              <w:top w:val="single" w:color="000000" w:sz="4" w:space="0"/>
              <w:left w:val="single" w:color="000000" w:sz="4" w:space="0"/>
              <w:bottom w:val="single" w:color="000000" w:sz="4" w:space="0"/>
              <w:right w:val="single" w:color="000000" w:sz="4" w:space="0"/>
            </w:tcBorders>
            <w:noWrap w:val="0"/>
            <w:vAlign w:val="center"/>
          </w:tcPr>
          <w:p w14:paraId="3971AA1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企业向园区集中，项目向园区倾斜</w:t>
            </w:r>
          </w:p>
        </w:tc>
        <w:tc>
          <w:tcPr>
            <w:tcW w:w="750" w:type="dxa"/>
            <w:tcBorders>
              <w:top w:val="single" w:color="000000" w:sz="4" w:space="0"/>
              <w:left w:val="single" w:color="000000" w:sz="4" w:space="0"/>
              <w:bottom w:val="single" w:color="000000" w:sz="4" w:space="0"/>
              <w:right w:val="single" w:color="000000" w:sz="4" w:space="0"/>
            </w:tcBorders>
            <w:noWrap w:val="0"/>
            <w:vAlign w:val="center"/>
          </w:tcPr>
          <w:p w14:paraId="498BBBF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1264" w:type="dxa"/>
            <w:tcBorders>
              <w:top w:val="single" w:color="000000" w:sz="4" w:space="0"/>
              <w:left w:val="single" w:color="000000" w:sz="4" w:space="0"/>
              <w:bottom w:val="single" w:color="000000" w:sz="4" w:space="0"/>
              <w:right w:val="single" w:color="000000" w:sz="4" w:space="0"/>
            </w:tcBorders>
            <w:noWrap w:val="0"/>
            <w:vAlign w:val="center"/>
          </w:tcPr>
          <w:p w14:paraId="35C5A76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良好</w:t>
            </w:r>
          </w:p>
        </w:tc>
        <w:tc>
          <w:tcPr>
            <w:tcW w:w="521" w:type="dxa"/>
            <w:tcBorders>
              <w:top w:val="single" w:color="000000" w:sz="4" w:space="0"/>
              <w:left w:val="single" w:color="000000" w:sz="4" w:space="0"/>
              <w:bottom w:val="single" w:color="000000" w:sz="4" w:space="0"/>
              <w:right w:val="single" w:color="000000" w:sz="4" w:space="0"/>
            </w:tcBorders>
            <w:noWrap w:val="0"/>
            <w:vAlign w:val="center"/>
          </w:tcPr>
          <w:p w14:paraId="1713AAF8">
            <w:pPr>
              <w:jc w:val="center"/>
              <w:rPr>
                <w:rFonts w:hint="eastAsia" w:ascii="宋体" w:hAnsi="宋体" w:eastAsia="宋体" w:cs="宋体"/>
                <w:i w:val="0"/>
                <w:iCs w:val="0"/>
                <w:color w:val="000000"/>
                <w:sz w:val="18"/>
                <w:szCs w:val="18"/>
                <w:u w:val="none"/>
              </w:rPr>
            </w:pPr>
          </w:p>
        </w:tc>
        <w:tc>
          <w:tcPr>
            <w:tcW w:w="1091" w:type="dxa"/>
            <w:tcBorders>
              <w:top w:val="single" w:color="000000" w:sz="4" w:space="0"/>
              <w:left w:val="single" w:color="000000" w:sz="4" w:space="0"/>
              <w:bottom w:val="single" w:color="000000" w:sz="4" w:space="0"/>
              <w:right w:val="single" w:color="000000" w:sz="4" w:space="0"/>
            </w:tcBorders>
            <w:noWrap w:val="0"/>
            <w:vAlign w:val="center"/>
          </w:tcPr>
          <w:p w14:paraId="6FD44D05">
            <w:pPr>
              <w:jc w:val="center"/>
              <w:rPr>
                <w:rFonts w:hint="eastAsia"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noWrap w:val="0"/>
            <w:vAlign w:val="center"/>
          </w:tcPr>
          <w:p w14:paraId="7058519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noWrap w:val="0"/>
            <w:vAlign w:val="center"/>
          </w:tcPr>
          <w:p w14:paraId="46A565F4">
            <w:pPr>
              <w:jc w:val="center"/>
              <w:rPr>
                <w:rFonts w:hint="eastAsia" w:ascii="宋体" w:hAnsi="宋体" w:eastAsia="宋体" w:cs="宋体"/>
                <w:i w:val="0"/>
                <w:iCs w:val="0"/>
                <w:color w:val="000000"/>
                <w:sz w:val="18"/>
                <w:szCs w:val="18"/>
                <w:u w:val="none"/>
              </w:rPr>
            </w:pPr>
          </w:p>
        </w:tc>
        <w:tc>
          <w:tcPr>
            <w:tcW w:w="2556" w:type="dxa"/>
            <w:tcBorders>
              <w:top w:val="single" w:color="000000" w:sz="4" w:space="0"/>
              <w:left w:val="single" w:color="000000" w:sz="4" w:space="0"/>
              <w:bottom w:val="single" w:color="000000" w:sz="4" w:space="0"/>
              <w:right w:val="single" w:color="000000" w:sz="4" w:space="0"/>
            </w:tcBorders>
            <w:noWrap w:val="0"/>
            <w:vAlign w:val="center"/>
          </w:tcPr>
          <w:p w14:paraId="4E51A708">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14:paraId="159399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84" w:type="dxa"/>
            <w:vMerge w:val="continue"/>
            <w:tcBorders>
              <w:top w:val="single" w:color="000000" w:sz="4" w:space="0"/>
              <w:left w:val="single" w:color="000000" w:sz="4" w:space="0"/>
              <w:bottom w:val="single" w:color="000000" w:sz="4" w:space="0"/>
              <w:right w:val="single" w:color="000000" w:sz="4" w:space="0"/>
            </w:tcBorders>
            <w:noWrap w:val="0"/>
            <w:vAlign w:val="center"/>
          </w:tcPr>
          <w:p w14:paraId="5332F908">
            <w:pPr>
              <w:jc w:val="center"/>
              <w:rPr>
                <w:rFonts w:hint="eastAsia" w:ascii="宋体" w:hAnsi="宋体" w:eastAsia="宋体" w:cs="宋体"/>
                <w:i w:val="0"/>
                <w:iCs w:val="0"/>
                <w:color w:val="000000"/>
                <w:sz w:val="18"/>
                <w:szCs w:val="18"/>
                <w:u w:val="none"/>
              </w:rPr>
            </w:pPr>
          </w:p>
        </w:tc>
        <w:tc>
          <w:tcPr>
            <w:tcW w:w="2051" w:type="dxa"/>
            <w:tcBorders>
              <w:top w:val="single" w:color="000000" w:sz="4" w:space="0"/>
              <w:left w:val="single" w:color="000000" w:sz="4" w:space="0"/>
              <w:bottom w:val="single" w:color="000000" w:sz="4" w:space="0"/>
              <w:right w:val="single" w:color="000000" w:sz="4" w:space="0"/>
            </w:tcBorders>
            <w:noWrap w:val="0"/>
            <w:vAlign w:val="center"/>
          </w:tcPr>
          <w:p w14:paraId="5847940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1775" w:type="dxa"/>
            <w:tcBorders>
              <w:top w:val="single" w:color="000000" w:sz="4" w:space="0"/>
              <w:left w:val="single" w:color="000000" w:sz="4" w:space="0"/>
              <w:bottom w:val="single" w:color="000000" w:sz="4" w:space="0"/>
              <w:right w:val="single" w:color="000000" w:sz="4" w:space="0"/>
            </w:tcBorders>
            <w:noWrap w:val="0"/>
            <w:vAlign w:val="center"/>
          </w:tcPr>
          <w:p w14:paraId="2CE4D40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2447" w:type="dxa"/>
            <w:tcBorders>
              <w:top w:val="single" w:color="000000" w:sz="4" w:space="0"/>
              <w:left w:val="single" w:color="000000" w:sz="4" w:space="0"/>
              <w:bottom w:val="single" w:color="000000" w:sz="4" w:space="0"/>
              <w:right w:val="single" w:color="000000" w:sz="4" w:space="0"/>
            </w:tcBorders>
            <w:noWrap w:val="0"/>
            <w:vAlign w:val="center"/>
          </w:tcPr>
          <w:p w14:paraId="73F20B4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达到企业满意园区服务</w:t>
            </w:r>
          </w:p>
        </w:tc>
        <w:tc>
          <w:tcPr>
            <w:tcW w:w="750" w:type="dxa"/>
            <w:tcBorders>
              <w:top w:val="single" w:color="000000" w:sz="4" w:space="0"/>
              <w:left w:val="single" w:color="000000" w:sz="4" w:space="0"/>
              <w:bottom w:val="single" w:color="000000" w:sz="4" w:space="0"/>
              <w:right w:val="single" w:color="000000" w:sz="4" w:space="0"/>
            </w:tcBorders>
            <w:noWrap w:val="0"/>
            <w:vAlign w:val="center"/>
          </w:tcPr>
          <w:p w14:paraId="6746C22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264" w:type="dxa"/>
            <w:tcBorders>
              <w:top w:val="single" w:color="000000" w:sz="4" w:space="0"/>
              <w:left w:val="single" w:color="000000" w:sz="4" w:space="0"/>
              <w:bottom w:val="single" w:color="000000" w:sz="4" w:space="0"/>
              <w:right w:val="single" w:color="000000" w:sz="4" w:space="0"/>
            </w:tcBorders>
            <w:noWrap w:val="0"/>
            <w:vAlign w:val="center"/>
          </w:tcPr>
          <w:p w14:paraId="2DA1B46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521" w:type="dxa"/>
            <w:tcBorders>
              <w:top w:val="single" w:color="000000" w:sz="4" w:space="0"/>
              <w:left w:val="single" w:color="000000" w:sz="4" w:space="0"/>
              <w:bottom w:val="single" w:color="000000" w:sz="4" w:space="0"/>
              <w:right w:val="single" w:color="000000" w:sz="4" w:space="0"/>
            </w:tcBorders>
            <w:noWrap w:val="0"/>
            <w:vAlign w:val="center"/>
          </w:tcPr>
          <w:p w14:paraId="5BFEB7C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091" w:type="dxa"/>
            <w:tcBorders>
              <w:top w:val="single" w:color="000000" w:sz="4" w:space="0"/>
              <w:left w:val="single" w:color="000000" w:sz="4" w:space="0"/>
              <w:bottom w:val="single" w:color="000000" w:sz="4" w:space="0"/>
              <w:right w:val="single" w:color="000000" w:sz="4" w:space="0"/>
            </w:tcBorders>
            <w:noWrap w:val="0"/>
            <w:vAlign w:val="center"/>
          </w:tcPr>
          <w:p w14:paraId="3E09E226">
            <w:pPr>
              <w:jc w:val="center"/>
              <w:rPr>
                <w:rFonts w:hint="eastAsia"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noWrap w:val="0"/>
            <w:vAlign w:val="center"/>
          </w:tcPr>
          <w:p w14:paraId="0CF86E4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noWrap w:val="0"/>
            <w:vAlign w:val="center"/>
          </w:tcPr>
          <w:p w14:paraId="40CEC96B">
            <w:pPr>
              <w:jc w:val="center"/>
              <w:rPr>
                <w:rFonts w:hint="eastAsia" w:ascii="宋体" w:hAnsi="宋体" w:eastAsia="宋体" w:cs="宋体"/>
                <w:i w:val="0"/>
                <w:iCs w:val="0"/>
                <w:color w:val="000000"/>
                <w:sz w:val="18"/>
                <w:szCs w:val="18"/>
                <w:u w:val="none"/>
              </w:rPr>
            </w:pPr>
          </w:p>
        </w:tc>
        <w:tc>
          <w:tcPr>
            <w:tcW w:w="2556" w:type="dxa"/>
            <w:tcBorders>
              <w:top w:val="single" w:color="000000" w:sz="4" w:space="0"/>
              <w:left w:val="single" w:color="000000" w:sz="4" w:space="0"/>
              <w:bottom w:val="single" w:color="000000" w:sz="4" w:space="0"/>
              <w:right w:val="single" w:color="000000" w:sz="4" w:space="0"/>
            </w:tcBorders>
            <w:noWrap w:val="0"/>
            <w:vAlign w:val="center"/>
          </w:tcPr>
          <w:p w14:paraId="508EF9B7">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14:paraId="2A54AA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10583" w:type="dxa"/>
            <w:gridSpan w:val="8"/>
            <w:tcBorders>
              <w:top w:val="single" w:color="000000" w:sz="4" w:space="0"/>
              <w:left w:val="single" w:color="000000" w:sz="4" w:space="0"/>
              <w:bottom w:val="single" w:color="000000" w:sz="4" w:space="0"/>
              <w:right w:val="single" w:color="000000" w:sz="4" w:space="0"/>
            </w:tcBorders>
            <w:noWrap w:val="0"/>
            <w:vAlign w:val="center"/>
          </w:tcPr>
          <w:p w14:paraId="73621D1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505" w:type="dxa"/>
            <w:tcBorders>
              <w:top w:val="single" w:color="000000" w:sz="4" w:space="0"/>
              <w:left w:val="single" w:color="000000" w:sz="4" w:space="0"/>
              <w:bottom w:val="single" w:color="000000" w:sz="4" w:space="0"/>
              <w:right w:val="single" w:color="000000" w:sz="4" w:space="0"/>
            </w:tcBorders>
            <w:noWrap w:val="0"/>
            <w:vAlign w:val="center"/>
          </w:tcPr>
          <w:p w14:paraId="415541C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56" w:type="dxa"/>
            <w:tcBorders>
              <w:top w:val="single" w:color="000000" w:sz="4" w:space="0"/>
              <w:left w:val="single" w:color="000000" w:sz="4" w:space="0"/>
              <w:bottom w:val="single" w:color="000000" w:sz="4" w:space="0"/>
              <w:right w:val="single" w:color="000000" w:sz="4" w:space="0"/>
            </w:tcBorders>
            <w:noWrap w:val="0"/>
            <w:vAlign w:val="center"/>
          </w:tcPr>
          <w:p w14:paraId="6F409FE0">
            <w:pPr>
              <w:rPr>
                <w:rFonts w:hint="eastAsia" w:ascii="宋体" w:hAnsi="宋体" w:eastAsia="宋体" w:cs="宋体"/>
                <w:i w:val="0"/>
                <w:iCs w:val="0"/>
                <w:color w:val="000000"/>
                <w:sz w:val="18"/>
                <w:szCs w:val="18"/>
                <w:u w:val="none"/>
              </w:rPr>
            </w:pPr>
          </w:p>
        </w:tc>
        <w:tc>
          <w:tcPr>
            <w:tcW w:w="2556" w:type="dxa"/>
            <w:tcBorders>
              <w:top w:val="single" w:color="000000" w:sz="4" w:space="0"/>
              <w:left w:val="single" w:color="000000" w:sz="4" w:space="0"/>
              <w:bottom w:val="single" w:color="000000" w:sz="4" w:space="0"/>
              <w:right w:val="single" w:color="000000" w:sz="4" w:space="0"/>
            </w:tcBorders>
            <w:noWrap w:val="0"/>
            <w:vAlign w:val="center"/>
          </w:tcPr>
          <w:p w14:paraId="66C90E95">
            <w:pPr>
              <w:rPr>
                <w:rFonts w:hint="eastAsia" w:ascii="宋体" w:hAnsi="宋体" w:eastAsia="宋体" w:cs="宋体"/>
                <w:i w:val="0"/>
                <w:iCs w:val="0"/>
                <w:color w:val="000000"/>
                <w:sz w:val="18"/>
                <w:szCs w:val="18"/>
                <w:u w:val="none"/>
              </w:rPr>
            </w:pPr>
          </w:p>
        </w:tc>
      </w:tr>
      <w:tr w14:paraId="4A9782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684" w:type="dxa"/>
            <w:tcBorders>
              <w:top w:val="single" w:color="000000" w:sz="4" w:space="0"/>
              <w:left w:val="single" w:color="000000" w:sz="4" w:space="0"/>
              <w:bottom w:val="single" w:color="000000" w:sz="4" w:space="0"/>
              <w:right w:val="single" w:color="000000" w:sz="4" w:space="0"/>
            </w:tcBorders>
            <w:noWrap w:val="0"/>
            <w:vAlign w:val="center"/>
          </w:tcPr>
          <w:p w14:paraId="0F3DEE7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13416" w:type="dxa"/>
            <w:gridSpan w:val="10"/>
            <w:tcBorders>
              <w:top w:val="single" w:color="000000" w:sz="4" w:space="0"/>
              <w:left w:val="single" w:color="000000" w:sz="4" w:space="0"/>
              <w:bottom w:val="single" w:color="000000" w:sz="4" w:space="0"/>
              <w:right w:val="single" w:color="000000" w:sz="4" w:space="0"/>
            </w:tcBorders>
            <w:noWrap w:val="0"/>
            <w:vAlign w:val="center"/>
          </w:tcPr>
          <w:p w14:paraId="7BC43683">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维修维护并保障茂县工业园区给排水厂、道路、桥梁等基础设施正常运行，为企业正常运行提供要素保障；做好园区环境污染检测、安全生产等工作；确保了园区各企业正常生产、生活运转</w:t>
            </w:r>
          </w:p>
        </w:tc>
      </w:tr>
      <w:tr w14:paraId="1D146E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684" w:type="dxa"/>
            <w:tcBorders>
              <w:top w:val="single" w:color="000000" w:sz="4" w:space="0"/>
              <w:left w:val="single" w:color="000000" w:sz="4" w:space="0"/>
              <w:bottom w:val="single" w:color="000000" w:sz="4" w:space="0"/>
              <w:right w:val="single" w:color="000000" w:sz="4" w:space="0"/>
            </w:tcBorders>
            <w:noWrap w:val="0"/>
            <w:vAlign w:val="center"/>
          </w:tcPr>
          <w:p w14:paraId="50B0268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13416" w:type="dxa"/>
            <w:gridSpan w:val="10"/>
            <w:tcBorders>
              <w:top w:val="single" w:color="000000" w:sz="4" w:space="0"/>
              <w:left w:val="single" w:color="000000" w:sz="4" w:space="0"/>
              <w:bottom w:val="single" w:color="000000" w:sz="4" w:space="0"/>
              <w:right w:val="single" w:color="000000" w:sz="4" w:space="0"/>
            </w:tcBorders>
            <w:noWrap w:val="0"/>
            <w:vAlign w:val="center"/>
          </w:tcPr>
          <w:p w14:paraId="0122B102">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绩效管理的跟踪反馈不足；加强预算编制的精细化管理，提高预算的准确性和可操作性</w:t>
            </w:r>
          </w:p>
        </w:tc>
      </w:tr>
      <w:tr w14:paraId="68B87B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684" w:type="dxa"/>
            <w:tcBorders>
              <w:top w:val="single" w:color="000000" w:sz="4" w:space="0"/>
              <w:left w:val="single" w:color="000000" w:sz="4" w:space="0"/>
              <w:bottom w:val="single" w:color="000000" w:sz="4" w:space="0"/>
              <w:right w:val="single" w:color="000000" w:sz="4" w:space="0"/>
            </w:tcBorders>
            <w:noWrap w:val="0"/>
            <w:vAlign w:val="center"/>
          </w:tcPr>
          <w:p w14:paraId="388B880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13416" w:type="dxa"/>
            <w:gridSpan w:val="10"/>
            <w:tcBorders>
              <w:top w:val="single" w:color="000000" w:sz="4" w:space="0"/>
              <w:left w:val="single" w:color="000000" w:sz="4" w:space="0"/>
              <w:bottom w:val="single" w:color="000000" w:sz="4" w:space="0"/>
              <w:right w:val="single" w:color="000000" w:sz="4" w:space="0"/>
            </w:tcBorders>
            <w:noWrap w:val="0"/>
            <w:vAlign w:val="center"/>
          </w:tcPr>
          <w:p w14:paraId="39889F21">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进一步加强单位预算编制、支出执行、决算编制等工作的管理，特别是应加快专项资金的预算执行进度；进一步科学设定绩效目标，加强预算执行管理。改进部门收支预算编制，夯实预算基础工作，提高预算编制质量</w:t>
            </w:r>
          </w:p>
        </w:tc>
      </w:tr>
      <w:tr w14:paraId="317451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7707" w:type="dxa"/>
            <w:gridSpan w:val="5"/>
            <w:tcBorders>
              <w:top w:val="single" w:color="000000" w:sz="4" w:space="0"/>
              <w:left w:val="single" w:color="000000" w:sz="4" w:space="0"/>
              <w:bottom w:val="single" w:color="000000" w:sz="4" w:space="0"/>
              <w:right w:val="single" w:color="000000" w:sz="4" w:space="0"/>
            </w:tcBorders>
            <w:noWrap w:val="0"/>
            <w:vAlign w:val="center"/>
          </w:tcPr>
          <w:p w14:paraId="39B82F70">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项目负责人：张航</w:t>
            </w:r>
          </w:p>
        </w:tc>
        <w:tc>
          <w:tcPr>
            <w:tcW w:w="6393" w:type="dxa"/>
            <w:gridSpan w:val="6"/>
            <w:tcBorders>
              <w:top w:val="single" w:color="000000" w:sz="4" w:space="0"/>
              <w:left w:val="single" w:color="000000" w:sz="4" w:space="0"/>
              <w:bottom w:val="single" w:color="000000" w:sz="4" w:space="0"/>
              <w:right w:val="single" w:color="000000" w:sz="4" w:space="0"/>
            </w:tcBorders>
            <w:noWrap w:val="0"/>
            <w:vAlign w:val="center"/>
          </w:tcPr>
          <w:p w14:paraId="7DED08F0">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财务负责人：杨春鹏</w:t>
            </w:r>
          </w:p>
        </w:tc>
      </w:tr>
      <w:tr w14:paraId="508468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84" w:type="dxa"/>
            <w:tcBorders>
              <w:top w:val="nil"/>
              <w:left w:val="nil"/>
              <w:bottom w:val="nil"/>
              <w:right w:val="nil"/>
            </w:tcBorders>
            <w:noWrap w:val="0"/>
            <w:vAlign w:val="center"/>
          </w:tcPr>
          <w:p w14:paraId="3744036A">
            <w:pPr>
              <w:rPr>
                <w:rFonts w:hint="eastAsia" w:ascii="宋体" w:hAnsi="宋体" w:eastAsia="宋体" w:cs="宋体"/>
                <w:i w:val="0"/>
                <w:iCs w:val="0"/>
                <w:color w:val="000000"/>
                <w:sz w:val="18"/>
                <w:szCs w:val="18"/>
                <w:u w:val="none"/>
              </w:rPr>
            </w:pPr>
          </w:p>
        </w:tc>
        <w:tc>
          <w:tcPr>
            <w:tcW w:w="2051" w:type="dxa"/>
            <w:tcBorders>
              <w:top w:val="nil"/>
              <w:left w:val="nil"/>
              <w:bottom w:val="nil"/>
              <w:right w:val="nil"/>
            </w:tcBorders>
            <w:noWrap w:val="0"/>
            <w:vAlign w:val="center"/>
          </w:tcPr>
          <w:p w14:paraId="6B2A4353">
            <w:pPr>
              <w:rPr>
                <w:rFonts w:hint="eastAsia" w:ascii="宋体" w:hAnsi="宋体" w:eastAsia="宋体" w:cs="宋体"/>
                <w:i w:val="0"/>
                <w:iCs w:val="0"/>
                <w:color w:val="000000"/>
                <w:sz w:val="18"/>
                <w:szCs w:val="18"/>
                <w:u w:val="none"/>
              </w:rPr>
            </w:pPr>
          </w:p>
        </w:tc>
        <w:tc>
          <w:tcPr>
            <w:tcW w:w="1775" w:type="dxa"/>
            <w:tcBorders>
              <w:top w:val="nil"/>
              <w:left w:val="nil"/>
              <w:bottom w:val="nil"/>
              <w:right w:val="nil"/>
            </w:tcBorders>
            <w:noWrap w:val="0"/>
            <w:vAlign w:val="center"/>
          </w:tcPr>
          <w:p w14:paraId="7FBDE68B">
            <w:pPr>
              <w:rPr>
                <w:rFonts w:hint="eastAsia" w:ascii="宋体" w:hAnsi="宋体" w:eastAsia="宋体" w:cs="宋体"/>
                <w:i w:val="0"/>
                <w:iCs w:val="0"/>
                <w:color w:val="000000"/>
                <w:sz w:val="18"/>
                <w:szCs w:val="18"/>
                <w:u w:val="none"/>
              </w:rPr>
            </w:pPr>
          </w:p>
        </w:tc>
        <w:tc>
          <w:tcPr>
            <w:tcW w:w="2447" w:type="dxa"/>
            <w:tcBorders>
              <w:top w:val="nil"/>
              <w:left w:val="nil"/>
              <w:bottom w:val="nil"/>
              <w:right w:val="nil"/>
            </w:tcBorders>
            <w:noWrap w:val="0"/>
            <w:vAlign w:val="center"/>
          </w:tcPr>
          <w:p w14:paraId="3A26B21B">
            <w:pPr>
              <w:rPr>
                <w:rFonts w:hint="eastAsia" w:ascii="宋体" w:hAnsi="宋体" w:eastAsia="宋体" w:cs="宋体"/>
                <w:i w:val="0"/>
                <w:iCs w:val="0"/>
                <w:color w:val="000000"/>
                <w:sz w:val="18"/>
                <w:szCs w:val="18"/>
                <w:u w:val="none"/>
              </w:rPr>
            </w:pPr>
          </w:p>
        </w:tc>
        <w:tc>
          <w:tcPr>
            <w:tcW w:w="750" w:type="dxa"/>
            <w:tcBorders>
              <w:top w:val="nil"/>
              <w:left w:val="nil"/>
              <w:bottom w:val="nil"/>
              <w:right w:val="nil"/>
            </w:tcBorders>
            <w:noWrap w:val="0"/>
            <w:vAlign w:val="center"/>
          </w:tcPr>
          <w:p w14:paraId="06FD4303">
            <w:pPr>
              <w:rPr>
                <w:rFonts w:hint="eastAsia" w:ascii="宋体" w:hAnsi="宋体" w:eastAsia="宋体" w:cs="宋体"/>
                <w:i w:val="0"/>
                <w:iCs w:val="0"/>
                <w:color w:val="000000"/>
                <w:sz w:val="18"/>
                <w:szCs w:val="18"/>
                <w:u w:val="none"/>
              </w:rPr>
            </w:pPr>
          </w:p>
        </w:tc>
        <w:tc>
          <w:tcPr>
            <w:tcW w:w="1264" w:type="dxa"/>
            <w:tcBorders>
              <w:top w:val="nil"/>
              <w:left w:val="nil"/>
              <w:bottom w:val="nil"/>
              <w:right w:val="nil"/>
            </w:tcBorders>
            <w:noWrap w:val="0"/>
            <w:vAlign w:val="center"/>
          </w:tcPr>
          <w:p w14:paraId="63F8706D">
            <w:pPr>
              <w:rPr>
                <w:rFonts w:hint="eastAsia" w:ascii="宋体" w:hAnsi="宋体" w:eastAsia="宋体" w:cs="宋体"/>
                <w:i w:val="0"/>
                <w:iCs w:val="0"/>
                <w:color w:val="000000"/>
                <w:sz w:val="18"/>
                <w:szCs w:val="18"/>
                <w:u w:val="none"/>
              </w:rPr>
            </w:pPr>
          </w:p>
        </w:tc>
        <w:tc>
          <w:tcPr>
            <w:tcW w:w="521" w:type="dxa"/>
            <w:tcBorders>
              <w:top w:val="nil"/>
              <w:left w:val="nil"/>
              <w:bottom w:val="nil"/>
              <w:right w:val="nil"/>
            </w:tcBorders>
            <w:noWrap w:val="0"/>
            <w:vAlign w:val="center"/>
          </w:tcPr>
          <w:p w14:paraId="4C7F89ED">
            <w:pPr>
              <w:rPr>
                <w:rFonts w:hint="eastAsia" w:ascii="宋体" w:hAnsi="宋体" w:eastAsia="宋体" w:cs="宋体"/>
                <w:i w:val="0"/>
                <w:iCs w:val="0"/>
                <w:color w:val="000000"/>
                <w:sz w:val="18"/>
                <w:szCs w:val="18"/>
                <w:u w:val="none"/>
              </w:rPr>
            </w:pPr>
          </w:p>
        </w:tc>
        <w:tc>
          <w:tcPr>
            <w:tcW w:w="1091" w:type="dxa"/>
            <w:tcBorders>
              <w:top w:val="nil"/>
              <w:left w:val="nil"/>
              <w:bottom w:val="nil"/>
              <w:right w:val="nil"/>
            </w:tcBorders>
            <w:noWrap w:val="0"/>
            <w:vAlign w:val="center"/>
          </w:tcPr>
          <w:p w14:paraId="1A1C0538">
            <w:pPr>
              <w:rPr>
                <w:rFonts w:hint="eastAsia" w:ascii="宋体" w:hAnsi="宋体" w:eastAsia="宋体" w:cs="宋体"/>
                <w:i w:val="0"/>
                <w:iCs w:val="0"/>
                <w:color w:val="000000"/>
                <w:sz w:val="18"/>
                <w:szCs w:val="18"/>
                <w:u w:val="none"/>
              </w:rPr>
            </w:pPr>
          </w:p>
        </w:tc>
        <w:tc>
          <w:tcPr>
            <w:tcW w:w="505" w:type="dxa"/>
            <w:tcBorders>
              <w:top w:val="nil"/>
              <w:left w:val="nil"/>
              <w:bottom w:val="nil"/>
              <w:right w:val="nil"/>
            </w:tcBorders>
            <w:noWrap w:val="0"/>
            <w:vAlign w:val="center"/>
          </w:tcPr>
          <w:p w14:paraId="2F0568FF">
            <w:pPr>
              <w:rPr>
                <w:rFonts w:hint="eastAsia" w:ascii="宋体" w:hAnsi="宋体" w:eastAsia="宋体" w:cs="宋体"/>
                <w:i w:val="0"/>
                <w:iCs w:val="0"/>
                <w:color w:val="000000"/>
                <w:sz w:val="18"/>
                <w:szCs w:val="18"/>
                <w:u w:val="none"/>
              </w:rPr>
            </w:pPr>
          </w:p>
        </w:tc>
        <w:tc>
          <w:tcPr>
            <w:tcW w:w="456" w:type="dxa"/>
            <w:tcBorders>
              <w:top w:val="nil"/>
              <w:left w:val="nil"/>
              <w:bottom w:val="nil"/>
              <w:right w:val="nil"/>
            </w:tcBorders>
            <w:noWrap w:val="0"/>
            <w:vAlign w:val="center"/>
          </w:tcPr>
          <w:p w14:paraId="606D8E16">
            <w:pPr>
              <w:rPr>
                <w:rFonts w:hint="eastAsia" w:ascii="宋体" w:hAnsi="宋体" w:eastAsia="宋体" w:cs="宋体"/>
                <w:i w:val="0"/>
                <w:iCs w:val="0"/>
                <w:color w:val="000000"/>
                <w:sz w:val="18"/>
                <w:szCs w:val="18"/>
                <w:u w:val="none"/>
              </w:rPr>
            </w:pPr>
          </w:p>
        </w:tc>
        <w:tc>
          <w:tcPr>
            <w:tcW w:w="2556" w:type="dxa"/>
            <w:tcBorders>
              <w:top w:val="nil"/>
              <w:left w:val="nil"/>
              <w:bottom w:val="nil"/>
              <w:right w:val="nil"/>
            </w:tcBorders>
            <w:noWrap w:val="0"/>
            <w:vAlign w:val="center"/>
          </w:tcPr>
          <w:p w14:paraId="38FCC7D4">
            <w:pPr>
              <w:rPr>
                <w:rFonts w:hint="eastAsia" w:ascii="宋体" w:hAnsi="宋体" w:eastAsia="宋体" w:cs="宋体"/>
                <w:i w:val="0"/>
                <w:iCs w:val="0"/>
                <w:color w:val="000000"/>
                <w:sz w:val="18"/>
                <w:szCs w:val="18"/>
                <w:u w:val="none"/>
              </w:rPr>
            </w:pPr>
          </w:p>
        </w:tc>
      </w:tr>
      <w:tr w14:paraId="152607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14100" w:type="dxa"/>
            <w:gridSpan w:val="11"/>
            <w:tcBorders>
              <w:top w:val="single" w:color="000000" w:sz="4" w:space="0"/>
              <w:left w:val="single" w:color="000000" w:sz="4" w:space="0"/>
              <w:bottom w:val="single" w:color="000000" w:sz="4" w:space="0"/>
              <w:right w:val="single" w:color="000000" w:sz="4" w:space="0"/>
            </w:tcBorders>
            <w:noWrap w:val="0"/>
            <w:vAlign w:val="center"/>
          </w:tcPr>
          <w:p w14:paraId="5B1EDEC8">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7520A3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735" w:type="dxa"/>
            <w:gridSpan w:val="2"/>
            <w:tcBorders>
              <w:top w:val="single" w:color="000000" w:sz="4" w:space="0"/>
              <w:left w:val="single" w:color="000000" w:sz="4" w:space="0"/>
              <w:bottom w:val="single" w:color="000000" w:sz="4" w:space="0"/>
              <w:right w:val="single" w:color="000000" w:sz="4" w:space="0"/>
            </w:tcBorders>
            <w:noWrap w:val="0"/>
            <w:vAlign w:val="center"/>
          </w:tcPr>
          <w:p w14:paraId="447CF15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11365" w:type="dxa"/>
            <w:gridSpan w:val="9"/>
            <w:tcBorders>
              <w:top w:val="single" w:color="000000" w:sz="4" w:space="0"/>
              <w:left w:val="single" w:color="000000" w:sz="4" w:space="0"/>
              <w:bottom w:val="single" w:color="000000" w:sz="4" w:space="0"/>
              <w:right w:val="single" w:color="000000" w:sz="4" w:space="0"/>
            </w:tcBorders>
            <w:noWrap w:val="0"/>
            <w:vAlign w:val="center"/>
          </w:tcPr>
          <w:p w14:paraId="32B61F1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51322325T000013004337</w:t>
            </w:r>
            <w:r>
              <w:rPr>
                <w:rFonts w:hint="eastAsia" w:ascii="宋体" w:hAnsi="宋体" w:cs="宋体"/>
                <w:i w:val="0"/>
                <w:iCs w:val="0"/>
                <w:color w:val="000000"/>
                <w:kern w:val="0"/>
                <w:sz w:val="18"/>
                <w:szCs w:val="18"/>
                <w:u w:val="none"/>
                <w:lang w:val="en-US" w:eastAsia="zh-CN" w:bidi="ar"/>
              </w:rPr>
              <w:t>－</w:t>
            </w:r>
            <w:r>
              <w:rPr>
                <w:rFonts w:ascii="宋体" w:hAnsi="宋体" w:eastAsia="宋体" w:cs="宋体"/>
                <w:i w:val="0"/>
                <w:iCs w:val="0"/>
                <w:color w:val="000000"/>
                <w:kern w:val="0"/>
                <w:sz w:val="18"/>
                <w:szCs w:val="18"/>
                <w:u w:val="none"/>
                <w:lang w:val="en-US" w:eastAsia="zh-CN" w:bidi="ar"/>
              </w:rPr>
              <w:t>阿坝州生态环境分区管控茂县工业重点管控单元大气污染物允许排放量更新论证</w:t>
            </w:r>
          </w:p>
        </w:tc>
      </w:tr>
      <w:tr w14:paraId="23F939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2735" w:type="dxa"/>
            <w:gridSpan w:val="2"/>
            <w:tcBorders>
              <w:top w:val="single" w:color="000000" w:sz="4" w:space="0"/>
              <w:left w:val="single" w:color="000000" w:sz="4" w:space="0"/>
              <w:bottom w:val="single" w:color="000000" w:sz="4" w:space="0"/>
              <w:right w:val="single" w:color="000000" w:sz="4" w:space="0"/>
            </w:tcBorders>
            <w:noWrap w:val="0"/>
            <w:vAlign w:val="center"/>
          </w:tcPr>
          <w:p w14:paraId="4260B36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6757" w:type="dxa"/>
            <w:gridSpan w:val="5"/>
            <w:tcBorders>
              <w:top w:val="single" w:color="000000" w:sz="4" w:space="0"/>
              <w:left w:val="single" w:color="000000" w:sz="4" w:space="0"/>
              <w:bottom w:val="single" w:color="000000" w:sz="4" w:space="0"/>
              <w:right w:val="single" w:color="000000" w:sz="4" w:space="0"/>
            </w:tcBorders>
            <w:noWrap w:val="0"/>
            <w:vAlign w:val="center"/>
          </w:tcPr>
          <w:p w14:paraId="31AA23C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茂县工业服务中心本级</w:t>
            </w:r>
          </w:p>
        </w:tc>
        <w:tc>
          <w:tcPr>
            <w:tcW w:w="1091" w:type="dxa"/>
            <w:tcBorders>
              <w:top w:val="nil"/>
              <w:left w:val="nil"/>
              <w:bottom w:val="nil"/>
              <w:right w:val="nil"/>
            </w:tcBorders>
            <w:noWrap w:val="0"/>
            <w:vAlign w:val="center"/>
          </w:tcPr>
          <w:p w14:paraId="28D0673F">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3517" w:type="dxa"/>
            <w:gridSpan w:val="3"/>
            <w:tcBorders>
              <w:top w:val="single" w:color="000000" w:sz="4" w:space="0"/>
              <w:left w:val="single" w:color="000000" w:sz="4" w:space="0"/>
              <w:bottom w:val="single" w:color="000000" w:sz="4" w:space="0"/>
              <w:right w:val="single" w:color="000000" w:sz="4" w:space="0"/>
            </w:tcBorders>
            <w:noWrap w:val="0"/>
            <w:vAlign w:val="center"/>
          </w:tcPr>
          <w:p w14:paraId="46A4637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茂县工业服务中心</w:t>
            </w:r>
          </w:p>
        </w:tc>
      </w:tr>
      <w:tr w14:paraId="7274CF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84" w:type="dxa"/>
            <w:vMerge w:val="restart"/>
            <w:tcBorders>
              <w:top w:val="single" w:color="000000" w:sz="4" w:space="0"/>
              <w:left w:val="single" w:color="000000" w:sz="4" w:space="0"/>
              <w:bottom w:val="single" w:color="000000" w:sz="4" w:space="0"/>
              <w:right w:val="single" w:color="000000" w:sz="4" w:space="0"/>
            </w:tcBorders>
            <w:noWrap w:val="0"/>
            <w:vAlign w:val="center"/>
          </w:tcPr>
          <w:p w14:paraId="0C10D98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2051" w:type="dxa"/>
            <w:vMerge w:val="restart"/>
            <w:tcBorders>
              <w:top w:val="single" w:color="000000" w:sz="4" w:space="0"/>
              <w:left w:val="single" w:color="000000" w:sz="4" w:space="0"/>
              <w:bottom w:val="single" w:color="000000" w:sz="4" w:space="0"/>
              <w:right w:val="single" w:color="000000" w:sz="4" w:space="0"/>
            </w:tcBorders>
            <w:noWrap w:val="0"/>
            <w:vAlign w:val="center"/>
          </w:tcPr>
          <w:p w14:paraId="3A26755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6757" w:type="dxa"/>
            <w:gridSpan w:val="5"/>
            <w:tcBorders>
              <w:top w:val="single" w:color="000000" w:sz="4" w:space="0"/>
              <w:left w:val="single" w:color="000000" w:sz="4" w:space="0"/>
              <w:bottom w:val="single" w:color="000000" w:sz="4" w:space="0"/>
              <w:right w:val="single" w:color="000000" w:sz="4" w:space="0"/>
            </w:tcBorders>
            <w:noWrap w:val="0"/>
            <w:vAlign w:val="center"/>
          </w:tcPr>
          <w:p w14:paraId="445E3B0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4608" w:type="dxa"/>
            <w:gridSpan w:val="4"/>
            <w:tcBorders>
              <w:top w:val="single" w:color="000000" w:sz="4" w:space="0"/>
              <w:left w:val="single" w:color="000000" w:sz="4" w:space="0"/>
              <w:bottom w:val="single" w:color="000000" w:sz="4" w:space="0"/>
              <w:right w:val="single" w:color="000000" w:sz="4" w:space="0"/>
            </w:tcBorders>
            <w:noWrap w:val="0"/>
            <w:vAlign w:val="center"/>
          </w:tcPr>
          <w:p w14:paraId="499C3476">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6CAD77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684" w:type="dxa"/>
            <w:vMerge w:val="continue"/>
            <w:tcBorders>
              <w:top w:val="single" w:color="000000" w:sz="4" w:space="0"/>
              <w:left w:val="single" w:color="000000" w:sz="4" w:space="0"/>
              <w:bottom w:val="single" w:color="000000" w:sz="4" w:space="0"/>
              <w:right w:val="single" w:color="000000" w:sz="4" w:space="0"/>
            </w:tcBorders>
            <w:noWrap w:val="0"/>
            <w:vAlign w:val="center"/>
          </w:tcPr>
          <w:p w14:paraId="4D62F86F">
            <w:pPr>
              <w:rPr>
                <w:rFonts w:hint="eastAsia" w:ascii="宋体" w:hAnsi="宋体" w:eastAsia="宋体" w:cs="宋体"/>
                <w:i w:val="0"/>
                <w:iCs w:val="0"/>
                <w:color w:val="000000"/>
                <w:sz w:val="18"/>
                <w:szCs w:val="18"/>
                <w:u w:val="none"/>
              </w:rPr>
            </w:pPr>
          </w:p>
        </w:tc>
        <w:tc>
          <w:tcPr>
            <w:tcW w:w="205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423651E">
            <w:pPr>
              <w:rPr>
                <w:rFonts w:hint="eastAsia" w:ascii="宋体" w:hAnsi="宋体" w:eastAsia="宋体" w:cs="宋体"/>
                <w:i w:val="0"/>
                <w:iCs w:val="0"/>
                <w:color w:val="000000"/>
                <w:sz w:val="18"/>
                <w:szCs w:val="18"/>
                <w:u w:val="none"/>
              </w:rPr>
            </w:pPr>
          </w:p>
        </w:tc>
        <w:tc>
          <w:tcPr>
            <w:tcW w:w="6757" w:type="dxa"/>
            <w:gridSpan w:val="5"/>
            <w:tcBorders>
              <w:top w:val="single" w:color="000000" w:sz="4" w:space="0"/>
              <w:left w:val="single" w:color="000000" w:sz="4" w:space="0"/>
              <w:bottom w:val="single" w:color="000000" w:sz="4" w:space="0"/>
              <w:right w:val="single" w:color="000000" w:sz="4" w:space="0"/>
            </w:tcBorders>
            <w:noWrap w:val="0"/>
            <w:vAlign w:val="center"/>
          </w:tcPr>
          <w:p w14:paraId="097CD29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根据阿坝藏族羌族自治州茂县2025年和2035年PM2.5目标浓度，结合茂县工业重点管控单元内工业园区发展规划和污染源排放现状，测算茂县PM2.5浓度达标约束下，工业重点管控单元SO2、NOx、PM2.5和VOCs允许排放量，制定重点污染源减排措施，确保茂县2025年和2035年PM2.5浓度达到目标要求。</w:t>
            </w:r>
          </w:p>
        </w:tc>
        <w:tc>
          <w:tcPr>
            <w:tcW w:w="4608" w:type="dxa"/>
            <w:gridSpan w:val="4"/>
            <w:tcBorders>
              <w:top w:val="single" w:color="000000" w:sz="4" w:space="0"/>
              <w:left w:val="single" w:color="000000" w:sz="4" w:space="0"/>
              <w:bottom w:val="single" w:color="000000" w:sz="4" w:space="0"/>
              <w:right w:val="single" w:color="000000" w:sz="4" w:space="0"/>
            </w:tcBorders>
            <w:noWrap w:val="0"/>
            <w:vAlign w:val="center"/>
          </w:tcPr>
          <w:p w14:paraId="4592B77F">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已委托第三方完成茂县4个工业集中区重点管控单元SO</w:t>
            </w:r>
            <w:r>
              <w:rPr>
                <w:rStyle w:val="16"/>
                <w:rFonts w:eastAsia="黑体"/>
                <w:lang w:val="en-US" w:eastAsia="zh-CN" w:bidi="ar"/>
              </w:rPr>
              <w:t>₂</w:t>
            </w:r>
            <w:r>
              <w:rPr>
                <w:rFonts w:hint="eastAsia" w:ascii="黑体" w:hAnsi="黑体" w:eastAsia="黑体" w:cs="黑体"/>
                <w:i w:val="0"/>
                <w:iCs w:val="0"/>
                <w:color w:val="000000"/>
                <w:kern w:val="0"/>
                <w:sz w:val="18"/>
                <w:szCs w:val="18"/>
                <w:u w:val="none"/>
                <w:lang w:val="en-US" w:eastAsia="zh-CN" w:bidi="ar"/>
              </w:rPr>
              <w:t>、NOx、PM</w:t>
            </w:r>
            <w:r>
              <w:rPr>
                <w:rStyle w:val="16"/>
                <w:rFonts w:eastAsia="黑体"/>
                <w:lang w:val="en-US" w:eastAsia="zh-CN" w:bidi="ar"/>
              </w:rPr>
              <w:t>₂</w:t>
            </w:r>
            <w:r>
              <w:rPr>
                <w:rFonts w:hint="eastAsia" w:ascii="黑体" w:hAnsi="黑体" w:eastAsia="黑体" w:cs="黑体"/>
                <w:i w:val="0"/>
                <w:iCs w:val="0"/>
                <w:color w:val="000000"/>
                <w:kern w:val="0"/>
                <w:sz w:val="18"/>
                <w:szCs w:val="18"/>
                <w:u w:val="none"/>
                <w:lang w:val="en-US" w:eastAsia="zh-CN" w:bidi="ar"/>
              </w:rPr>
              <w:t>.</w:t>
            </w:r>
            <w:r>
              <w:rPr>
                <w:rStyle w:val="16"/>
                <w:rFonts w:eastAsia="黑体"/>
                <w:lang w:val="en-US" w:eastAsia="zh-CN" w:bidi="ar"/>
              </w:rPr>
              <w:t>₅</w:t>
            </w:r>
            <w:r>
              <w:rPr>
                <w:rFonts w:hint="eastAsia" w:ascii="黑体" w:hAnsi="黑体" w:eastAsia="黑体" w:cs="黑体"/>
                <w:i w:val="0"/>
                <w:iCs w:val="0"/>
                <w:color w:val="000000"/>
                <w:kern w:val="0"/>
                <w:sz w:val="18"/>
                <w:szCs w:val="18"/>
                <w:u w:val="none"/>
                <w:lang w:val="en-US" w:eastAsia="zh-CN" w:bidi="ar"/>
              </w:rPr>
              <w:t>、VOCs允许排放量测算，编制更新论证报告，提出分阶段减排措施建议，为2025年和2035年PM2.5浓度达标提供科学支撑，年度目标全面完成。</w:t>
            </w:r>
          </w:p>
        </w:tc>
      </w:tr>
      <w:tr w14:paraId="2A15FD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684" w:type="dxa"/>
            <w:vMerge w:val="continue"/>
            <w:tcBorders>
              <w:top w:val="single" w:color="000000" w:sz="4" w:space="0"/>
              <w:left w:val="single" w:color="000000" w:sz="4" w:space="0"/>
              <w:bottom w:val="single" w:color="000000" w:sz="4" w:space="0"/>
              <w:right w:val="single" w:color="000000" w:sz="4" w:space="0"/>
            </w:tcBorders>
            <w:noWrap w:val="0"/>
            <w:vAlign w:val="center"/>
          </w:tcPr>
          <w:p w14:paraId="7DF4A4F5">
            <w:pPr>
              <w:rPr>
                <w:rFonts w:hint="eastAsia" w:ascii="宋体" w:hAnsi="宋体" w:eastAsia="宋体" w:cs="宋体"/>
                <w:i w:val="0"/>
                <w:iCs w:val="0"/>
                <w:color w:val="000000"/>
                <w:sz w:val="18"/>
                <w:szCs w:val="18"/>
                <w:u w:val="none"/>
              </w:rPr>
            </w:pPr>
          </w:p>
        </w:tc>
        <w:tc>
          <w:tcPr>
            <w:tcW w:w="2051" w:type="dxa"/>
            <w:tcBorders>
              <w:top w:val="single" w:color="000000" w:sz="4" w:space="0"/>
              <w:left w:val="single" w:color="000000" w:sz="4" w:space="0"/>
              <w:bottom w:val="single" w:color="000000" w:sz="4" w:space="0"/>
              <w:right w:val="single" w:color="000000" w:sz="4" w:space="0"/>
            </w:tcBorders>
            <w:noWrap w:val="0"/>
            <w:vAlign w:val="center"/>
          </w:tcPr>
          <w:p w14:paraId="6200B49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11365" w:type="dxa"/>
            <w:gridSpan w:val="9"/>
            <w:tcBorders>
              <w:top w:val="single" w:color="000000" w:sz="4" w:space="0"/>
              <w:left w:val="single" w:color="000000" w:sz="4" w:space="0"/>
              <w:bottom w:val="single" w:color="000000" w:sz="4" w:space="0"/>
              <w:right w:val="single" w:color="000000" w:sz="4" w:space="0"/>
            </w:tcBorders>
            <w:noWrap w:val="0"/>
            <w:vAlign w:val="center"/>
          </w:tcPr>
          <w:p w14:paraId="03353969">
            <w:pPr>
              <w:keepNext w:val="0"/>
              <w:keepLines w:val="0"/>
              <w:widowControl/>
              <w:suppressLineNumbers w:val="0"/>
              <w:jc w:val="left"/>
              <w:textAlignment w:val="center"/>
              <w:rPr>
                <w:rFonts w:ascii="宋体" w:hAnsi="宋体" w:eastAsia="宋体" w:cs="宋体"/>
                <w:i w:val="0"/>
                <w:iCs w:val="0"/>
                <w:color w:val="000000"/>
                <w:sz w:val="18"/>
                <w:szCs w:val="18"/>
                <w:u w:val="none"/>
              </w:rPr>
            </w:pPr>
            <w:r>
              <w:rPr>
                <w:rStyle w:val="17"/>
                <w:lang w:val="en-US" w:eastAsia="zh-CN" w:bidi="ar"/>
              </w:rPr>
              <w:t>项目通过公开采购委托第三方机构，对茂县槽木、亚坪、团结、太安4个工业集中区开展排放现状调查与模型测算，编制完成大气污染物允许排放量更新论证报告，明确SO</w:t>
            </w:r>
            <w:r>
              <w:rPr>
                <w:rStyle w:val="16"/>
                <w:rFonts w:eastAsia="宋体"/>
                <w:lang w:val="en-US" w:eastAsia="zh-CN" w:bidi="ar"/>
              </w:rPr>
              <w:t>₂</w:t>
            </w:r>
            <w:r>
              <w:rPr>
                <w:rStyle w:val="17"/>
                <w:lang w:val="en-US" w:eastAsia="zh-CN" w:bidi="ar"/>
              </w:rPr>
              <w:t>、NOx、PM</w:t>
            </w:r>
            <w:r>
              <w:rPr>
                <w:rStyle w:val="16"/>
                <w:rFonts w:eastAsia="宋体"/>
                <w:lang w:val="en-US" w:eastAsia="zh-CN" w:bidi="ar"/>
              </w:rPr>
              <w:t>₂</w:t>
            </w:r>
            <w:r>
              <w:rPr>
                <w:rStyle w:val="17"/>
                <w:lang w:val="en-US" w:eastAsia="zh-CN" w:bidi="ar"/>
              </w:rPr>
              <w:t>.</w:t>
            </w:r>
            <w:r>
              <w:rPr>
                <w:rStyle w:val="16"/>
                <w:rFonts w:eastAsia="宋体"/>
                <w:lang w:val="en-US" w:eastAsia="zh-CN" w:bidi="ar"/>
              </w:rPr>
              <w:t>₅</w:t>
            </w:r>
            <w:r>
              <w:rPr>
                <w:rStyle w:val="17"/>
                <w:lang w:val="en-US" w:eastAsia="zh-CN" w:bidi="ar"/>
              </w:rPr>
              <w:t>、VOCs允许排放量，提出减排措施建议。</w:t>
            </w:r>
          </w:p>
        </w:tc>
      </w:tr>
      <w:tr w14:paraId="109D44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684" w:type="dxa"/>
            <w:vMerge w:val="restart"/>
            <w:tcBorders>
              <w:top w:val="single" w:color="000000" w:sz="4" w:space="0"/>
              <w:left w:val="single" w:color="000000" w:sz="4" w:space="0"/>
              <w:bottom w:val="single" w:color="000000" w:sz="4" w:space="0"/>
              <w:right w:val="single" w:color="000000" w:sz="4" w:space="0"/>
            </w:tcBorders>
            <w:noWrap w:val="0"/>
            <w:vAlign w:val="center"/>
          </w:tcPr>
          <w:p w14:paraId="13115C9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2051" w:type="dxa"/>
            <w:tcBorders>
              <w:top w:val="single" w:color="000000" w:sz="4" w:space="0"/>
              <w:left w:val="single" w:color="000000" w:sz="4" w:space="0"/>
              <w:bottom w:val="single" w:color="000000" w:sz="4" w:space="0"/>
              <w:right w:val="single" w:color="000000" w:sz="4" w:space="0"/>
            </w:tcBorders>
            <w:noWrap w:val="0"/>
            <w:vAlign w:val="center"/>
          </w:tcPr>
          <w:p w14:paraId="37F19CD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1775" w:type="dxa"/>
            <w:tcBorders>
              <w:top w:val="single" w:color="000000" w:sz="4" w:space="0"/>
              <w:left w:val="single" w:color="000000" w:sz="4" w:space="0"/>
              <w:bottom w:val="single" w:color="000000" w:sz="4" w:space="0"/>
              <w:right w:val="single" w:color="000000" w:sz="4" w:space="0"/>
            </w:tcBorders>
            <w:noWrap w:val="0"/>
            <w:vAlign w:val="center"/>
          </w:tcPr>
          <w:p w14:paraId="7757B64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2447" w:type="dxa"/>
            <w:tcBorders>
              <w:top w:val="single" w:color="000000" w:sz="4" w:space="0"/>
              <w:left w:val="single" w:color="000000" w:sz="4" w:space="0"/>
              <w:bottom w:val="single" w:color="000000" w:sz="4" w:space="0"/>
              <w:right w:val="single" w:color="000000" w:sz="4" w:space="0"/>
            </w:tcBorders>
            <w:noWrap w:val="0"/>
            <w:vAlign w:val="center"/>
          </w:tcPr>
          <w:p w14:paraId="307CEF6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2535" w:type="dxa"/>
            <w:gridSpan w:val="3"/>
            <w:tcBorders>
              <w:top w:val="single" w:color="000000" w:sz="4" w:space="0"/>
              <w:left w:val="single" w:color="000000" w:sz="4" w:space="0"/>
              <w:bottom w:val="single" w:color="000000" w:sz="4" w:space="0"/>
              <w:right w:val="single" w:color="000000" w:sz="4" w:space="0"/>
            </w:tcBorders>
            <w:noWrap w:val="0"/>
            <w:vAlign w:val="center"/>
          </w:tcPr>
          <w:p w14:paraId="04B55AE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1091" w:type="dxa"/>
            <w:tcBorders>
              <w:top w:val="single" w:color="000000" w:sz="4" w:space="0"/>
              <w:left w:val="single" w:color="000000" w:sz="4" w:space="0"/>
              <w:bottom w:val="single" w:color="000000" w:sz="4" w:space="0"/>
              <w:right w:val="single" w:color="000000" w:sz="4" w:space="0"/>
            </w:tcBorders>
            <w:noWrap w:val="0"/>
            <w:vAlign w:val="center"/>
          </w:tcPr>
          <w:p w14:paraId="565CB16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505" w:type="dxa"/>
            <w:tcBorders>
              <w:top w:val="single" w:color="000000" w:sz="4" w:space="0"/>
              <w:left w:val="single" w:color="000000" w:sz="4" w:space="0"/>
              <w:bottom w:val="single" w:color="000000" w:sz="4" w:space="0"/>
              <w:right w:val="single" w:color="000000" w:sz="4" w:space="0"/>
            </w:tcBorders>
            <w:noWrap w:val="0"/>
            <w:vAlign w:val="center"/>
          </w:tcPr>
          <w:p w14:paraId="58D6012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noWrap w:val="0"/>
            <w:vAlign w:val="center"/>
          </w:tcPr>
          <w:p w14:paraId="51BAD5F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2556" w:type="dxa"/>
            <w:tcBorders>
              <w:top w:val="single" w:color="000000" w:sz="4" w:space="0"/>
              <w:left w:val="single" w:color="000000" w:sz="4" w:space="0"/>
              <w:bottom w:val="single" w:color="000000" w:sz="4" w:space="0"/>
              <w:right w:val="single" w:color="000000" w:sz="4" w:space="0"/>
            </w:tcBorders>
            <w:noWrap w:val="0"/>
            <w:vAlign w:val="center"/>
          </w:tcPr>
          <w:p w14:paraId="5A28EE0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0C4DCC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684" w:type="dxa"/>
            <w:vMerge w:val="continue"/>
            <w:tcBorders>
              <w:top w:val="single" w:color="000000" w:sz="4" w:space="0"/>
              <w:left w:val="single" w:color="000000" w:sz="4" w:space="0"/>
              <w:bottom w:val="single" w:color="000000" w:sz="4" w:space="0"/>
              <w:right w:val="single" w:color="000000" w:sz="4" w:space="0"/>
            </w:tcBorders>
            <w:noWrap w:val="0"/>
            <w:vAlign w:val="center"/>
          </w:tcPr>
          <w:p w14:paraId="139220BE">
            <w:pPr>
              <w:jc w:val="center"/>
              <w:rPr>
                <w:rFonts w:hint="eastAsia" w:ascii="宋体" w:hAnsi="宋体" w:eastAsia="宋体" w:cs="宋体"/>
                <w:i w:val="0"/>
                <w:iCs w:val="0"/>
                <w:color w:val="000000"/>
                <w:sz w:val="18"/>
                <w:szCs w:val="18"/>
                <w:u w:val="none"/>
              </w:rPr>
            </w:pPr>
          </w:p>
        </w:tc>
        <w:tc>
          <w:tcPr>
            <w:tcW w:w="2051" w:type="dxa"/>
            <w:tcBorders>
              <w:top w:val="single" w:color="000000" w:sz="4" w:space="0"/>
              <w:left w:val="single" w:color="000000" w:sz="4" w:space="0"/>
              <w:bottom w:val="single" w:color="000000" w:sz="4" w:space="0"/>
              <w:right w:val="single" w:color="000000" w:sz="4" w:space="0"/>
            </w:tcBorders>
            <w:noWrap w:val="0"/>
            <w:vAlign w:val="center"/>
          </w:tcPr>
          <w:p w14:paraId="5DC8DF6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1775" w:type="dxa"/>
            <w:tcBorders>
              <w:top w:val="single" w:color="000000" w:sz="4" w:space="0"/>
              <w:left w:val="single" w:color="000000" w:sz="4" w:space="0"/>
              <w:bottom w:val="single" w:color="000000" w:sz="4" w:space="0"/>
              <w:right w:val="single" w:color="000000" w:sz="4" w:space="0"/>
            </w:tcBorders>
            <w:noWrap w:val="0"/>
            <w:vAlign w:val="center"/>
          </w:tcPr>
          <w:p w14:paraId="7DA7810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447" w:type="dxa"/>
            <w:tcBorders>
              <w:top w:val="single" w:color="000000" w:sz="4" w:space="0"/>
              <w:left w:val="single" w:color="000000" w:sz="4" w:space="0"/>
              <w:bottom w:val="single" w:color="000000" w:sz="4" w:space="0"/>
              <w:right w:val="single" w:color="000000" w:sz="4" w:space="0"/>
            </w:tcBorders>
            <w:noWrap w:val="0"/>
            <w:vAlign w:val="center"/>
          </w:tcPr>
          <w:p w14:paraId="5948CAE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w:t>
            </w:r>
          </w:p>
        </w:tc>
        <w:tc>
          <w:tcPr>
            <w:tcW w:w="2535" w:type="dxa"/>
            <w:gridSpan w:val="3"/>
            <w:tcBorders>
              <w:top w:val="single" w:color="000000" w:sz="4" w:space="0"/>
              <w:left w:val="single" w:color="000000" w:sz="4" w:space="0"/>
              <w:bottom w:val="single" w:color="000000" w:sz="4" w:space="0"/>
              <w:right w:val="single" w:color="000000" w:sz="4" w:space="0"/>
            </w:tcBorders>
            <w:noWrap w:val="0"/>
            <w:vAlign w:val="center"/>
          </w:tcPr>
          <w:p w14:paraId="59F234C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w:t>
            </w:r>
          </w:p>
        </w:tc>
        <w:tc>
          <w:tcPr>
            <w:tcW w:w="1091" w:type="dxa"/>
            <w:tcBorders>
              <w:top w:val="single" w:color="000000" w:sz="4" w:space="0"/>
              <w:left w:val="single" w:color="000000" w:sz="4" w:space="0"/>
              <w:bottom w:val="single" w:color="000000" w:sz="4" w:space="0"/>
              <w:right w:val="single" w:color="000000" w:sz="4" w:space="0"/>
            </w:tcBorders>
            <w:noWrap w:val="0"/>
            <w:vAlign w:val="center"/>
          </w:tcPr>
          <w:p w14:paraId="61F67C6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05" w:type="dxa"/>
            <w:tcBorders>
              <w:top w:val="single" w:color="000000" w:sz="4" w:space="0"/>
              <w:left w:val="single" w:color="000000" w:sz="4" w:space="0"/>
              <w:bottom w:val="single" w:color="000000" w:sz="4" w:space="0"/>
              <w:right w:val="single" w:color="000000" w:sz="4" w:space="0"/>
            </w:tcBorders>
            <w:noWrap w:val="0"/>
            <w:vAlign w:val="center"/>
          </w:tcPr>
          <w:p w14:paraId="3D326E3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noWrap w:val="0"/>
            <w:vAlign w:val="center"/>
          </w:tcPr>
          <w:p w14:paraId="76303891">
            <w:pPr>
              <w:jc w:val="center"/>
              <w:rPr>
                <w:rFonts w:hint="eastAsia" w:ascii="宋体" w:hAnsi="宋体" w:eastAsia="宋体" w:cs="宋体"/>
                <w:i w:val="0"/>
                <w:iCs w:val="0"/>
                <w:color w:val="000000"/>
                <w:sz w:val="18"/>
                <w:szCs w:val="18"/>
                <w:u w:val="none"/>
              </w:rPr>
            </w:pPr>
          </w:p>
        </w:tc>
        <w:tc>
          <w:tcPr>
            <w:tcW w:w="2556" w:type="dxa"/>
            <w:vMerge w:val="restart"/>
            <w:tcBorders>
              <w:top w:val="single" w:color="000000" w:sz="4" w:space="0"/>
              <w:left w:val="single" w:color="000000" w:sz="4" w:space="0"/>
              <w:bottom w:val="single" w:color="000000" w:sz="4" w:space="0"/>
              <w:right w:val="single" w:color="000000" w:sz="4" w:space="0"/>
            </w:tcBorders>
            <w:noWrap w:val="0"/>
            <w:vAlign w:val="center"/>
          </w:tcPr>
          <w:p w14:paraId="15BB77F1">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56AE28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684" w:type="dxa"/>
            <w:vMerge w:val="continue"/>
            <w:tcBorders>
              <w:top w:val="single" w:color="000000" w:sz="4" w:space="0"/>
              <w:left w:val="single" w:color="000000" w:sz="4" w:space="0"/>
              <w:bottom w:val="single" w:color="000000" w:sz="4" w:space="0"/>
              <w:right w:val="single" w:color="000000" w:sz="4" w:space="0"/>
            </w:tcBorders>
            <w:noWrap w:val="0"/>
            <w:vAlign w:val="center"/>
          </w:tcPr>
          <w:p w14:paraId="58A4B231">
            <w:pPr>
              <w:jc w:val="center"/>
              <w:rPr>
                <w:rFonts w:hint="eastAsia" w:ascii="宋体" w:hAnsi="宋体" w:eastAsia="宋体" w:cs="宋体"/>
                <w:i w:val="0"/>
                <w:iCs w:val="0"/>
                <w:color w:val="000000"/>
                <w:sz w:val="18"/>
                <w:szCs w:val="18"/>
                <w:u w:val="none"/>
              </w:rPr>
            </w:pPr>
          </w:p>
        </w:tc>
        <w:tc>
          <w:tcPr>
            <w:tcW w:w="2051" w:type="dxa"/>
            <w:tcBorders>
              <w:top w:val="single" w:color="000000" w:sz="4" w:space="0"/>
              <w:left w:val="single" w:color="000000" w:sz="4" w:space="0"/>
              <w:bottom w:val="single" w:color="000000" w:sz="4" w:space="0"/>
              <w:right w:val="single" w:color="000000" w:sz="4" w:space="0"/>
            </w:tcBorders>
            <w:noWrap w:val="0"/>
            <w:vAlign w:val="center"/>
          </w:tcPr>
          <w:p w14:paraId="7BDEDDE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1775" w:type="dxa"/>
            <w:tcBorders>
              <w:top w:val="single" w:color="000000" w:sz="4" w:space="0"/>
              <w:left w:val="single" w:color="000000" w:sz="4" w:space="0"/>
              <w:bottom w:val="single" w:color="000000" w:sz="4" w:space="0"/>
              <w:right w:val="single" w:color="000000" w:sz="4" w:space="0"/>
            </w:tcBorders>
            <w:noWrap w:val="0"/>
            <w:vAlign w:val="center"/>
          </w:tcPr>
          <w:p w14:paraId="46AB7E0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447" w:type="dxa"/>
            <w:tcBorders>
              <w:top w:val="single" w:color="000000" w:sz="4" w:space="0"/>
              <w:left w:val="single" w:color="000000" w:sz="4" w:space="0"/>
              <w:bottom w:val="single" w:color="000000" w:sz="4" w:space="0"/>
              <w:right w:val="single" w:color="000000" w:sz="4" w:space="0"/>
            </w:tcBorders>
            <w:noWrap w:val="0"/>
            <w:vAlign w:val="center"/>
          </w:tcPr>
          <w:p w14:paraId="72A9476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w:t>
            </w:r>
          </w:p>
        </w:tc>
        <w:tc>
          <w:tcPr>
            <w:tcW w:w="2535" w:type="dxa"/>
            <w:gridSpan w:val="3"/>
            <w:tcBorders>
              <w:top w:val="single" w:color="000000" w:sz="4" w:space="0"/>
              <w:left w:val="single" w:color="000000" w:sz="4" w:space="0"/>
              <w:bottom w:val="single" w:color="000000" w:sz="4" w:space="0"/>
              <w:right w:val="single" w:color="000000" w:sz="4" w:space="0"/>
            </w:tcBorders>
            <w:noWrap w:val="0"/>
            <w:vAlign w:val="center"/>
          </w:tcPr>
          <w:p w14:paraId="1EFE7E9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w:t>
            </w:r>
          </w:p>
        </w:tc>
        <w:tc>
          <w:tcPr>
            <w:tcW w:w="1091" w:type="dxa"/>
            <w:tcBorders>
              <w:top w:val="single" w:color="000000" w:sz="4" w:space="0"/>
              <w:left w:val="single" w:color="000000" w:sz="4" w:space="0"/>
              <w:bottom w:val="single" w:color="000000" w:sz="4" w:space="0"/>
              <w:right w:val="single" w:color="000000" w:sz="4" w:space="0"/>
            </w:tcBorders>
            <w:noWrap w:val="0"/>
            <w:vAlign w:val="center"/>
          </w:tcPr>
          <w:p w14:paraId="30B2CD9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05" w:type="dxa"/>
            <w:tcBorders>
              <w:top w:val="single" w:color="000000" w:sz="4" w:space="0"/>
              <w:left w:val="single" w:color="000000" w:sz="4" w:space="0"/>
              <w:bottom w:val="single" w:color="000000" w:sz="4" w:space="0"/>
              <w:right w:val="single" w:color="000000" w:sz="4" w:space="0"/>
            </w:tcBorders>
            <w:noWrap w:val="0"/>
            <w:vAlign w:val="center"/>
          </w:tcPr>
          <w:p w14:paraId="6D32E0D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noWrap w:val="0"/>
            <w:vAlign w:val="center"/>
          </w:tcPr>
          <w:p w14:paraId="0360874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556" w:type="dxa"/>
            <w:vMerge w:val="continue"/>
            <w:tcBorders>
              <w:top w:val="single" w:color="000000" w:sz="4" w:space="0"/>
              <w:left w:val="single" w:color="000000" w:sz="4" w:space="0"/>
              <w:bottom w:val="single" w:color="000000" w:sz="4" w:space="0"/>
              <w:right w:val="single" w:color="000000" w:sz="4" w:space="0"/>
            </w:tcBorders>
            <w:noWrap w:val="0"/>
            <w:vAlign w:val="center"/>
          </w:tcPr>
          <w:p w14:paraId="3F8DBBBF">
            <w:pPr>
              <w:rPr>
                <w:rFonts w:hint="eastAsia" w:ascii="黑体" w:hAnsi="黑体" w:eastAsia="黑体" w:cs="黑体"/>
                <w:i/>
                <w:iCs/>
                <w:color w:val="000000"/>
                <w:sz w:val="18"/>
                <w:szCs w:val="18"/>
                <w:u w:val="none"/>
              </w:rPr>
            </w:pPr>
          </w:p>
        </w:tc>
      </w:tr>
      <w:tr w14:paraId="6CB0F2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684" w:type="dxa"/>
            <w:vMerge w:val="continue"/>
            <w:tcBorders>
              <w:top w:val="single" w:color="000000" w:sz="4" w:space="0"/>
              <w:left w:val="single" w:color="000000" w:sz="4" w:space="0"/>
              <w:bottom w:val="single" w:color="000000" w:sz="4" w:space="0"/>
              <w:right w:val="single" w:color="000000" w:sz="4" w:space="0"/>
            </w:tcBorders>
            <w:noWrap w:val="0"/>
            <w:vAlign w:val="center"/>
          </w:tcPr>
          <w:p w14:paraId="31F3CF76">
            <w:pPr>
              <w:jc w:val="center"/>
              <w:rPr>
                <w:rFonts w:hint="eastAsia" w:ascii="宋体" w:hAnsi="宋体" w:eastAsia="宋体" w:cs="宋体"/>
                <w:i w:val="0"/>
                <w:iCs w:val="0"/>
                <w:color w:val="000000"/>
                <w:sz w:val="18"/>
                <w:szCs w:val="18"/>
                <w:u w:val="none"/>
              </w:rPr>
            </w:pPr>
          </w:p>
        </w:tc>
        <w:tc>
          <w:tcPr>
            <w:tcW w:w="2051" w:type="dxa"/>
            <w:tcBorders>
              <w:top w:val="single" w:color="000000" w:sz="4" w:space="0"/>
              <w:left w:val="single" w:color="000000" w:sz="4" w:space="0"/>
              <w:bottom w:val="single" w:color="000000" w:sz="4" w:space="0"/>
              <w:right w:val="single" w:color="000000" w:sz="4" w:space="0"/>
            </w:tcBorders>
            <w:noWrap w:val="0"/>
            <w:vAlign w:val="center"/>
          </w:tcPr>
          <w:p w14:paraId="6E68A6C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1775" w:type="dxa"/>
            <w:tcBorders>
              <w:top w:val="single" w:color="000000" w:sz="4" w:space="0"/>
              <w:left w:val="single" w:color="000000" w:sz="4" w:space="0"/>
              <w:bottom w:val="single" w:color="000000" w:sz="4" w:space="0"/>
              <w:right w:val="single" w:color="000000" w:sz="4" w:space="0"/>
            </w:tcBorders>
            <w:noWrap w:val="0"/>
            <w:vAlign w:val="center"/>
          </w:tcPr>
          <w:p w14:paraId="583E614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447" w:type="dxa"/>
            <w:tcBorders>
              <w:top w:val="single" w:color="000000" w:sz="4" w:space="0"/>
              <w:left w:val="single" w:color="000000" w:sz="4" w:space="0"/>
              <w:bottom w:val="single" w:color="000000" w:sz="4" w:space="0"/>
              <w:right w:val="single" w:color="000000" w:sz="4" w:space="0"/>
            </w:tcBorders>
            <w:noWrap w:val="0"/>
            <w:vAlign w:val="center"/>
          </w:tcPr>
          <w:p w14:paraId="7CFA321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535" w:type="dxa"/>
            <w:gridSpan w:val="3"/>
            <w:tcBorders>
              <w:top w:val="single" w:color="000000" w:sz="4" w:space="0"/>
              <w:left w:val="single" w:color="000000" w:sz="4" w:space="0"/>
              <w:bottom w:val="single" w:color="000000" w:sz="4" w:space="0"/>
              <w:right w:val="single" w:color="000000" w:sz="4" w:space="0"/>
            </w:tcBorders>
            <w:noWrap w:val="0"/>
            <w:vAlign w:val="center"/>
          </w:tcPr>
          <w:p w14:paraId="150E226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91" w:type="dxa"/>
            <w:tcBorders>
              <w:top w:val="single" w:color="000000" w:sz="4" w:space="0"/>
              <w:left w:val="single" w:color="000000" w:sz="4" w:space="0"/>
              <w:bottom w:val="single" w:color="000000" w:sz="4" w:space="0"/>
              <w:right w:val="single" w:color="000000" w:sz="4" w:space="0"/>
            </w:tcBorders>
            <w:noWrap w:val="0"/>
            <w:vAlign w:val="center"/>
          </w:tcPr>
          <w:p w14:paraId="7A565BD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noWrap w:val="0"/>
            <w:vAlign w:val="center"/>
          </w:tcPr>
          <w:p w14:paraId="417BEC0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noWrap w:val="0"/>
            <w:vAlign w:val="center"/>
          </w:tcPr>
          <w:p w14:paraId="67558C0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556" w:type="dxa"/>
            <w:vMerge w:val="continue"/>
            <w:tcBorders>
              <w:top w:val="single" w:color="000000" w:sz="4" w:space="0"/>
              <w:left w:val="single" w:color="000000" w:sz="4" w:space="0"/>
              <w:bottom w:val="single" w:color="000000" w:sz="4" w:space="0"/>
              <w:right w:val="single" w:color="000000" w:sz="4" w:space="0"/>
            </w:tcBorders>
            <w:noWrap w:val="0"/>
            <w:vAlign w:val="center"/>
          </w:tcPr>
          <w:p w14:paraId="3E4072E0">
            <w:pPr>
              <w:rPr>
                <w:rFonts w:hint="eastAsia" w:ascii="黑体" w:hAnsi="黑体" w:eastAsia="黑体" w:cs="黑体"/>
                <w:i/>
                <w:iCs/>
                <w:color w:val="000000"/>
                <w:sz w:val="18"/>
                <w:szCs w:val="18"/>
                <w:u w:val="none"/>
              </w:rPr>
            </w:pPr>
          </w:p>
        </w:tc>
      </w:tr>
      <w:tr w14:paraId="6FB732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684" w:type="dxa"/>
            <w:vMerge w:val="continue"/>
            <w:tcBorders>
              <w:top w:val="single" w:color="000000" w:sz="4" w:space="0"/>
              <w:left w:val="single" w:color="000000" w:sz="4" w:space="0"/>
              <w:bottom w:val="single" w:color="000000" w:sz="4" w:space="0"/>
              <w:right w:val="single" w:color="000000" w:sz="4" w:space="0"/>
            </w:tcBorders>
            <w:noWrap w:val="0"/>
            <w:vAlign w:val="center"/>
          </w:tcPr>
          <w:p w14:paraId="623F2A24">
            <w:pPr>
              <w:jc w:val="center"/>
              <w:rPr>
                <w:rFonts w:hint="eastAsia" w:ascii="宋体" w:hAnsi="宋体" w:eastAsia="宋体" w:cs="宋体"/>
                <w:i w:val="0"/>
                <w:iCs w:val="0"/>
                <w:color w:val="000000"/>
                <w:sz w:val="18"/>
                <w:szCs w:val="18"/>
                <w:u w:val="none"/>
              </w:rPr>
            </w:pPr>
          </w:p>
        </w:tc>
        <w:tc>
          <w:tcPr>
            <w:tcW w:w="2051" w:type="dxa"/>
            <w:tcBorders>
              <w:top w:val="single" w:color="000000" w:sz="4" w:space="0"/>
              <w:left w:val="single" w:color="000000" w:sz="4" w:space="0"/>
              <w:bottom w:val="single" w:color="000000" w:sz="4" w:space="0"/>
              <w:right w:val="single" w:color="000000" w:sz="4" w:space="0"/>
            </w:tcBorders>
            <w:noWrap w:val="0"/>
            <w:vAlign w:val="center"/>
          </w:tcPr>
          <w:p w14:paraId="2E4B4ED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1775" w:type="dxa"/>
            <w:tcBorders>
              <w:top w:val="single" w:color="000000" w:sz="4" w:space="0"/>
              <w:left w:val="single" w:color="000000" w:sz="4" w:space="0"/>
              <w:bottom w:val="single" w:color="000000" w:sz="4" w:space="0"/>
              <w:right w:val="single" w:color="000000" w:sz="4" w:space="0"/>
            </w:tcBorders>
            <w:noWrap w:val="0"/>
            <w:vAlign w:val="center"/>
          </w:tcPr>
          <w:p w14:paraId="551EEB7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447" w:type="dxa"/>
            <w:tcBorders>
              <w:top w:val="single" w:color="000000" w:sz="4" w:space="0"/>
              <w:left w:val="single" w:color="000000" w:sz="4" w:space="0"/>
              <w:bottom w:val="single" w:color="000000" w:sz="4" w:space="0"/>
              <w:right w:val="single" w:color="000000" w:sz="4" w:space="0"/>
            </w:tcBorders>
            <w:noWrap w:val="0"/>
            <w:vAlign w:val="center"/>
          </w:tcPr>
          <w:p w14:paraId="4DE08FF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535" w:type="dxa"/>
            <w:gridSpan w:val="3"/>
            <w:tcBorders>
              <w:top w:val="single" w:color="000000" w:sz="4" w:space="0"/>
              <w:left w:val="single" w:color="000000" w:sz="4" w:space="0"/>
              <w:bottom w:val="single" w:color="000000" w:sz="4" w:space="0"/>
              <w:right w:val="single" w:color="000000" w:sz="4" w:space="0"/>
            </w:tcBorders>
            <w:noWrap w:val="0"/>
            <w:vAlign w:val="center"/>
          </w:tcPr>
          <w:p w14:paraId="4A34DCC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91" w:type="dxa"/>
            <w:tcBorders>
              <w:top w:val="single" w:color="000000" w:sz="4" w:space="0"/>
              <w:left w:val="single" w:color="000000" w:sz="4" w:space="0"/>
              <w:bottom w:val="single" w:color="000000" w:sz="4" w:space="0"/>
              <w:right w:val="single" w:color="000000" w:sz="4" w:space="0"/>
            </w:tcBorders>
            <w:noWrap w:val="0"/>
            <w:vAlign w:val="center"/>
          </w:tcPr>
          <w:p w14:paraId="5581164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noWrap w:val="0"/>
            <w:vAlign w:val="center"/>
          </w:tcPr>
          <w:p w14:paraId="2DAA649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noWrap w:val="0"/>
            <w:vAlign w:val="center"/>
          </w:tcPr>
          <w:p w14:paraId="326462C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556" w:type="dxa"/>
            <w:vMerge w:val="continue"/>
            <w:tcBorders>
              <w:top w:val="single" w:color="000000" w:sz="4" w:space="0"/>
              <w:left w:val="single" w:color="000000" w:sz="4" w:space="0"/>
              <w:bottom w:val="single" w:color="000000" w:sz="4" w:space="0"/>
              <w:right w:val="single" w:color="000000" w:sz="4" w:space="0"/>
            </w:tcBorders>
            <w:noWrap w:val="0"/>
            <w:vAlign w:val="center"/>
          </w:tcPr>
          <w:p w14:paraId="7F1E1697">
            <w:pPr>
              <w:rPr>
                <w:rFonts w:hint="eastAsia" w:ascii="黑体" w:hAnsi="黑体" w:eastAsia="黑体" w:cs="黑体"/>
                <w:i/>
                <w:iCs/>
                <w:color w:val="000000"/>
                <w:sz w:val="18"/>
                <w:szCs w:val="18"/>
                <w:u w:val="none"/>
              </w:rPr>
            </w:pPr>
          </w:p>
        </w:tc>
      </w:tr>
      <w:tr w14:paraId="2ADADE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6" w:hRule="atLeast"/>
        </w:trPr>
        <w:tc>
          <w:tcPr>
            <w:tcW w:w="684" w:type="dxa"/>
            <w:vMerge w:val="continue"/>
            <w:tcBorders>
              <w:top w:val="single" w:color="000000" w:sz="4" w:space="0"/>
              <w:left w:val="single" w:color="000000" w:sz="4" w:space="0"/>
              <w:bottom w:val="single" w:color="000000" w:sz="4" w:space="0"/>
              <w:right w:val="single" w:color="000000" w:sz="4" w:space="0"/>
            </w:tcBorders>
            <w:noWrap w:val="0"/>
            <w:vAlign w:val="center"/>
          </w:tcPr>
          <w:p w14:paraId="0229ADC5">
            <w:pPr>
              <w:jc w:val="center"/>
              <w:rPr>
                <w:rFonts w:hint="eastAsia" w:ascii="宋体" w:hAnsi="宋体" w:eastAsia="宋体" w:cs="宋体"/>
                <w:i w:val="0"/>
                <w:iCs w:val="0"/>
                <w:color w:val="000000"/>
                <w:sz w:val="18"/>
                <w:szCs w:val="18"/>
                <w:u w:val="none"/>
              </w:rPr>
            </w:pPr>
          </w:p>
        </w:tc>
        <w:tc>
          <w:tcPr>
            <w:tcW w:w="2051" w:type="dxa"/>
            <w:tcBorders>
              <w:top w:val="single" w:color="000000" w:sz="4" w:space="0"/>
              <w:left w:val="single" w:color="000000" w:sz="4" w:space="0"/>
              <w:bottom w:val="single" w:color="000000" w:sz="4" w:space="0"/>
              <w:right w:val="single" w:color="000000" w:sz="4" w:space="0"/>
            </w:tcBorders>
            <w:noWrap w:val="0"/>
            <w:vAlign w:val="center"/>
          </w:tcPr>
          <w:p w14:paraId="31C5878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1775" w:type="dxa"/>
            <w:tcBorders>
              <w:top w:val="single" w:color="000000" w:sz="4" w:space="0"/>
              <w:left w:val="single" w:color="000000" w:sz="4" w:space="0"/>
              <w:bottom w:val="single" w:color="000000" w:sz="4" w:space="0"/>
              <w:right w:val="single" w:color="000000" w:sz="4" w:space="0"/>
            </w:tcBorders>
            <w:noWrap w:val="0"/>
            <w:vAlign w:val="center"/>
          </w:tcPr>
          <w:p w14:paraId="364C8C56">
            <w:pPr>
              <w:jc w:val="center"/>
              <w:rPr>
                <w:rFonts w:hint="eastAsia" w:ascii="微软雅黑" w:hAnsi="微软雅黑" w:eastAsia="微软雅黑" w:cs="微软雅黑"/>
                <w:i/>
                <w:iCs/>
                <w:color w:val="000000"/>
                <w:sz w:val="16"/>
                <w:szCs w:val="16"/>
                <w:u w:val="none"/>
              </w:rPr>
            </w:pPr>
          </w:p>
        </w:tc>
        <w:tc>
          <w:tcPr>
            <w:tcW w:w="2447" w:type="dxa"/>
            <w:tcBorders>
              <w:top w:val="single" w:color="000000" w:sz="4" w:space="0"/>
              <w:left w:val="single" w:color="000000" w:sz="4" w:space="0"/>
              <w:bottom w:val="single" w:color="000000" w:sz="4" w:space="0"/>
              <w:right w:val="single" w:color="000000" w:sz="4" w:space="0"/>
            </w:tcBorders>
            <w:noWrap w:val="0"/>
            <w:vAlign w:val="center"/>
          </w:tcPr>
          <w:p w14:paraId="44C15574">
            <w:pPr>
              <w:jc w:val="center"/>
              <w:rPr>
                <w:rFonts w:hint="eastAsia" w:ascii="微软雅黑" w:hAnsi="微软雅黑" w:eastAsia="微软雅黑" w:cs="微软雅黑"/>
                <w:i/>
                <w:iCs/>
                <w:color w:val="000000"/>
                <w:sz w:val="16"/>
                <w:szCs w:val="16"/>
                <w:u w:val="none"/>
              </w:rPr>
            </w:pPr>
          </w:p>
        </w:tc>
        <w:tc>
          <w:tcPr>
            <w:tcW w:w="2535" w:type="dxa"/>
            <w:gridSpan w:val="3"/>
            <w:tcBorders>
              <w:top w:val="single" w:color="000000" w:sz="4" w:space="0"/>
              <w:left w:val="single" w:color="000000" w:sz="4" w:space="0"/>
              <w:bottom w:val="single" w:color="000000" w:sz="4" w:space="0"/>
              <w:right w:val="single" w:color="000000" w:sz="4" w:space="0"/>
            </w:tcBorders>
            <w:noWrap w:val="0"/>
            <w:vAlign w:val="center"/>
          </w:tcPr>
          <w:p w14:paraId="732D42C4">
            <w:pPr>
              <w:jc w:val="center"/>
              <w:rPr>
                <w:rFonts w:hint="eastAsia" w:ascii="微软雅黑" w:hAnsi="微软雅黑" w:eastAsia="微软雅黑" w:cs="微软雅黑"/>
                <w:i/>
                <w:iCs/>
                <w:color w:val="000000"/>
                <w:sz w:val="16"/>
                <w:szCs w:val="16"/>
                <w:u w:val="none"/>
              </w:rPr>
            </w:pPr>
          </w:p>
        </w:tc>
        <w:tc>
          <w:tcPr>
            <w:tcW w:w="1091" w:type="dxa"/>
            <w:tcBorders>
              <w:top w:val="single" w:color="000000" w:sz="4" w:space="0"/>
              <w:left w:val="single" w:color="000000" w:sz="4" w:space="0"/>
              <w:bottom w:val="single" w:color="000000" w:sz="4" w:space="0"/>
              <w:right w:val="single" w:color="000000" w:sz="4" w:space="0"/>
            </w:tcBorders>
            <w:noWrap w:val="0"/>
            <w:vAlign w:val="center"/>
          </w:tcPr>
          <w:p w14:paraId="5D272B2F">
            <w:pPr>
              <w:jc w:val="center"/>
              <w:rPr>
                <w:rFonts w:hint="eastAsia"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noWrap w:val="0"/>
            <w:vAlign w:val="center"/>
          </w:tcPr>
          <w:p w14:paraId="49018A5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noWrap w:val="0"/>
            <w:vAlign w:val="center"/>
          </w:tcPr>
          <w:p w14:paraId="05CE1F0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556" w:type="dxa"/>
            <w:vMerge w:val="continue"/>
            <w:tcBorders>
              <w:top w:val="single" w:color="000000" w:sz="4" w:space="0"/>
              <w:left w:val="single" w:color="000000" w:sz="4" w:space="0"/>
              <w:bottom w:val="single" w:color="000000" w:sz="4" w:space="0"/>
              <w:right w:val="single" w:color="000000" w:sz="4" w:space="0"/>
            </w:tcBorders>
            <w:noWrap w:val="0"/>
            <w:vAlign w:val="center"/>
          </w:tcPr>
          <w:p w14:paraId="1506512F">
            <w:pPr>
              <w:rPr>
                <w:rFonts w:hint="eastAsia" w:ascii="黑体" w:hAnsi="黑体" w:eastAsia="黑体" w:cs="黑体"/>
                <w:i/>
                <w:iCs/>
                <w:color w:val="000000"/>
                <w:sz w:val="18"/>
                <w:szCs w:val="18"/>
                <w:u w:val="none"/>
              </w:rPr>
            </w:pPr>
          </w:p>
        </w:tc>
      </w:tr>
      <w:tr w14:paraId="181ADF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38" w:hRule="atLeast"/>
        </w:trPr>
        <w:tc>
          <w:tcPr>
            <w:tcW w:w="684" w:type="dxa"/>
            <w:vMerge w:val="restart"/>
            <w:tcBorders>
              <w:top w:val="single" w:color="000000" w:sz="4" w:space="0"/>
              <w:left w:val="single" w:color="000000" w:sz="4" w:space="0"/>
              <w:bottom w:val="single" w:color="000000" w:sz="4" w:space="0"/>
              <w:right w:val="single" w:color="000000" w:sz="4" w:space="0"/>
            </w:tcBorders>
            <w:noWrap w:val="0"/>
            <w:vAlign w:val="center"/>
          </w:tcPr>
          <w:p w14:paraId="4233206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2051" w:type="dxa"/>
            <w:tcBorders>
              <w:top w:val="single" w:color="000000" w:sz="4" w:space="0"/>
              <w:left w:val="single" w:color="000000" w:sz="4" w:space="0"/>
              <w:bottom w:val="single" w:color="000000" w:sz="4" w:space="0"/>
              <w:right w:val="single" w:color="000000" w:sz="4" w:space="0"/>
            </w:tcBorders>
            <w:noWrap w:val="0"/>
            <w:vAlign w:val="center"/>
          </w:tcPr>
          <w:p w14:paraId="16552C7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1775" w:type="dxa"/>
            <w:tcBorders>
              <w:top w:val="single" w:color="000000" w:sz="4" w:space="0"/>
              <w:left w:val="single" w:color="000000" w:sz="4" w:space="0"/>
              <w:bottom w:val="single" w:color="000000" w:sz="4" w:space="0"/>
              <w:right w:val="single" w:color="000000" w:sz="4" w:space="0"/>
            </w:tcBorders>
            <w:noWrap w:val="0"/>
            <w:vAlign w:val="center"/>
          </w:tcPr>
          <w:p w14:paraId="4D1CA43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2447" w:type="dxa"/>
            <w:tcBorders>
              <w:top w:val="single" w:color="000000" w:sz="4" w:space="0"/>
              <w:left w:val="single" w:color="000000" w:sz="4" w:space="0"/>
              <w:bottom w:val="single" w:color="000000" w:sz="4" w:space="0"/>
              <w:right w:val="single" w:color="000000" w:sz="4" w:space="0"/>
            </w:tcBorders>
            <w:noWrap w:val="0"/>
            <w:vAlign w:val="center"/>
          </w:tcPr>
          <w:p w14:paraId="0FF0237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750" w:type="dxa"/>
            <w:tcBorders>
              <w:top w:val="single" w:color="000000" w:sz="4" w:space="0"/>
              <w:left w:val="single" w:color="000000" w:sz="4" w:space="0"/>
              <w:bottom w:val="single" w:color="000000" w:sz="4" w:space="0"/>
              <w:right w:val="single" w:color="000000" w:sz="4" w:space="0"/>
            </w:tcBorders>
            <w:noWrap w:val="0"/>
            <w:vAlign w:val="center"/>
          </w:tcPr>
          <w:p w14:paraId="153308A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1264" w:type="dxa"/>
            <w:tcBorders>
              <w:top w:val="single" w:color="000000" w:sz="4" w:space="0"/>
              <w:left w:val="single" w:color="000000" w:sz="4" w:space="0"/>
              <w:bottom w:val="single" w:color="000000" w:sz="4" w:space="0"/>
              <w:right w:val="single" w:color="000000" w:sz="4" w:space="0"/>
            </w:tcBorders>
            <w:noWrap w:val="0"/>
            <w:vAlign w:val="center"/>
          </w:tcPr>
          <w:p w14:paraId="64C3E61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521" w:type="dxa"/>
            <w:tcBorders>
              <w:top w:val="single" w:color="000000" w:sz="4" w:space="0"/>
              <w:left w:val="single" w:color="000000" w:sz="4" w:space="0"/>
              <w:bottom w:val="single" w:color="000000" w:sz="4" w:space="0"/>
              <w:right w:val="single" w:color="000000" w:sz="4" w:space="0"/>
            </w:tcBorders>
            <w:noWrap w:val="0"/>
            <w:vAlign w:val="center"/>
          </w:tcPr>
          <w:p w14:paraId="7235B10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1091" w:type="dxa"/>
            <w:tcBorders>
              <w:top w:val="single" w:color="000000" w:sz="4" w:space="0"/>
              <w:left w:val="single" w:color="000000" w:sz="4" w:space="0"/>
              <w:bottom w:val="single" w:color="000000" w:sz="4" w:space="0"/>
              <w:right w:val="single" w:color="000000" w:sz="4" w:space="0"/>
            </w:tcBorders>
            <w:noWrap w:val="0"/>
            <w:vAlign w:val="center"/>
          </w:tcPr>
          <w:p w14:paraId="625DCE4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505" w:type="dxa"/>
            <w:tcBorders>
              <w:top w:val="single" w:color="000000" w:sz="4" w:space="0"/>
              <w:left w:val="single" w:color="000000" w:sz="4" w:space="0"/>
              <w:bottom w:val="single" w:color="000000" w:sz="4" w:space="0"/>
              <w:right w:val="single" w:color="000000" w:sz="4" w:space="0"/>
            </w:tcBorders>
            <w:noWrap w:val="0"/>
            <w:vAlign w:val="center"/>
          </w:tcPr>
          <w:p w14:paraId="257B997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noWrap w:val="0"/>
            <w:vAlign w:val="center"/>
          </w:tcPr>
          <w:p w14:paraId="54F43A5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2556" w:type="dxa"/>
            <w:tcBorders>
              <w:top w:val="single" w:color="000000" w:sz="4" w:space="0"/>
              <w:left w:val="single" w:color="000000" w:sz="4" w:space="0"/>
              <w:bottom w:val="single" w:color="000000" w:sz="4" w:space="0"/>
              <w:right w:val="single" w:color="000000" w:sz="4" w:space="0"/>
            </w:tcBorders>
            <w:noWrap w:val="0"/>
            <w:vAlign w:val="center"/>
          </w:tcPr>
          <w:p w14:paraId="7C270C4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5569CD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684" w:type="dxa"/>
            <w:vMerge w:val="continue"/>
            <w:tcBorders>
              <w:top w:val="single" w:color="000000" w:sz="4" w:space="0"/>
              <w:left w:val="single" w:color="000000" w:sz="4" w:space="0"/>
              <w:bottom w:val="single" w:color="000000" w:sz="4" w:space="0"/>
              <w:right w:val="single" w:color="000000" w:sz="4" w:space="0"/>
            </w:tcBorders>
            <w:noWrap w:val="0"/>
            <w:vAlign w:val="center"/>
          </w:tcPr>
          <w:p w14:paraId="4F3E9BAF">
            <w:pPr>
              <w:jc w:val="center"/>
              <w:rPr>
                <w:rFonts w:hint="eastAsia" w:ascii="宋体" w:hAnsi="宋体" w:eastAsia="宋体" w:cs="宋体"/>
                <w:i w:val="0"/>
                <w:iCs w:val="0"/>
                <w:color w:val="000000"/>
                <w:sz w:val="18"/>
                <w:szCs w:val="18"/>
                <w:u w:val="none"/>
              </w:rPr>
            </w:pPr>
          </w:p>
        </w:tc>
        <w:tc>
          <w:tcPr>
            <w:tcW w:w="2051" w:type="dxa"/>
            <w:vMerge w:val="restart"/>
            <w:tcBorders>
              <w:top w:val="single" w:color="000000" w:sz="4" w:space="0"/>
              <w:left w:val="single" w:color="000000" w:sz="4" w:space="0"/>
              <w:bottom w:val="single" w:color="000000" w:sz="4" w:space="0"/>
              <w:right w:val="single" w:color="000000" w:sz="4" w:space="0"/>
            </w:tcBorders>
            <w:noWrap w:val="0"/>
            <w:vAlign w:val="center"/>
          </w:tcPr>
          <w:p w14:paraId="54BC281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1775" w:type="dxa"/>
            <w:tcBorders>
              <w:top w:val="single" w:color="000000" w:sz="4" w:space="0"/>
              <w:left w:val="single" w:color="000000" w:sz="4" w:space="0"/>
              <w:bottom w:val="single" w:color="000000" w:sz="4" w:space="0"/>
              <w:right w:val="single" w:color="000000" w:sz="4" w:space="0"/>
            </w:tcBorders>
            <w:noWrap w:val="0"/>
            <w:vAlign w:val="center"/>
          </w:tcPr>
          <w:p w14:paraId="531F6F7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2447" w:type="dxa"/>
            <w:tcBorders>
              <w:top w:val="single" w:color="000000" w:sz="4" w:space="0"/>
              <w:left w:val="single" w:color="000000" w:sz="4" w:space="0"/>
              <w:bottom w:val="single" w:color="000000" w:sz="4" w:space="0"/>
              <w:right w:val="single" w:color="000000" w:sz="4" w:space="0"/>
            </w:tcBorders>
            <w:noWrap w:val="0"/>
            <w:vAlign w:val="center"/>
          </w:tcPr>
          <w:p w14:paraId="03B84DE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完成槽木、亚坪、团结、太安4个工业集中区重点管控单元SO2、NOx、PM2.5和VOCs允许排放量</w:t>
            </w:r>
          </w:p>
        </w:tc>
        <w:tc>
          <w:tcPr>
            <w:tcW w:w="750" w:type="dxa"/>
            <w:tcBorders>
              <w:top w:val="single" w:color="000000" w:sz="4" w:space="0"/>
              <w:left w:val="single" w:color="000000" w:sz="4" w:space="0"/>
              <w:bottom w:val="single" w:color="000000" w:sz="4" w:space="0"/>
              <w:right w:val="single" w:color="000000" w:sz="4" w:space="0"/>
            </w:tcBorders>
            <w:noWrap w:val="0"/>
            <w:vAlign w:val="center"/>
          </w:tcPr>
          <w:p w14:paraId="7D90899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264" w:type="dxa"/>
            <w:tcBorders>
              <w:top w:val="single" w:color="000000" w:sz="4" w:space="0"/>
              <w:left w:val="single" w:color="000000" w:sz="4" w:space="0"/>
              <w:bottom w:val="single" w:color="000000" w:sz="4" w:space="0"/>
              <w:right w:val="single" w:color="000000" w:sz="4" w:space="0"/>
            </w:tcBorders>
            <w:noWrap w:val="0"/>
            <w:vAlign w:val="center"/>
          </w:tcPr>
          <w:p w14:paraId="0ADB05E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w:t>
            </w:r>
          </w:p>
        </w:tc>
        <w:tc>
          <w:tcPr>
            <w:tcW w:w="521" w:type="dxa"/>
            <w:tcBorders>
              <w:top w:val="single" w:color="000000" w:sz="4" w:space="0"/>
              <w:left w:val="single" w:color="000000" w:sz="4" w:space="0"/>
              <w:bottom w:val="single" w:color="000000" w:sz="4" w:space="0"/>
              <w:right w:val="single" w:color="000000" w:sz="4" w:space="0"/>
            </w:tcBorders>
            <w:noWrap w:val="0"/>
            <w:vAlign w:val="center"/>
          </w:tcPr>
          <w:p w14:paraId="311442D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处</w:t>
            </w:r>
          </w:p>
        </w:tc>
        <w:tc>
          <w:tcPr>
            <w:tcW w:w="1091" w:type="dxa"/>
            <w:tcBorders>
              <w:top w:val="single" w:color="000000" w:sz="4" w:space="0"/>
              <w:left w:val="single" w:color="000000" w:sz="4" w:space="0"/>
              <w:bottom w:val="single" w:color="000000" w:sz="4" w:space="0"/>
              <w:right w:val="single" w:color="000000" w:sz="4" w:space="0"/>
            </w:tcBorders>
            <w:noWrap w:val="0"/>
            <w:vAlign w:val="center"/>
          </w:tcPr>
          <w:p w14:paraId="0DEAC96B">
            <w:pPr>
              <w:jc w:val="center"/>
              <w:rPr>
                <w:rFonts w:hint="eastAsia" w:ascii="宋体" w:hAnsi="宋体" w:eastAsia="宋体" w:cs="宋体"/>
                <w:i w:val="0"/>
                <w:iCs w:val="0"/>
                <w:color w:val="000000"/>
                <w:sz w:val="18"/>
                <w:szCs w:val="18"/>
                <w:u w:val="none"/>
              </w:rPr>
            </w:pPr>
          </w:p>
        </w:tc>
        <w:tc>
          <w:tcPr>
            <w:tcW w:w="505" w:type="dxa"/>
            <w:tcBorders>
              <w:top w:val="single" w:color="000000" w:sz="4" w:space="0"/>
              <w:left w:val="single" w:color="000000" w:sz="4" w:space="0"/>
              <w:bottom w:val="single" w:color="000000" w:sz="4" w:space="0"/>
              <w:right w:val="single" w:color="000000" w:sz="4" w:space="0"/>
            </w:tcBorders>
            <w:noWrap w:val="0"/>
            <w:vAlign w:val="center"/>
          </w:tcPr>
          <w:p w14:paraId="030781B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56" w:type="dxa"/>
            <w:tcBorders>
              <w:top w:val="single" w:color="000000" w:sz="4" w:space="0"/>
              <w:left w:val="single" w:color="000000" w:sz="4" w:space="0"/>
              <w:bottom w:val="single" w:color="000000" w:sz="4" w:space="0"/>
              <w:right w:val="single" w:color="000000" w:sz="4" w:space="0"/>
            </w:tcBorders>
            <w:noWrap w:val="0"/>
            <w:vAlign w:val="center"/>
          </w:tcPr>
          <w:p w14:paraId="68C42978">
            <w:pPr>
              <w:jc w:val="center"/>
              <w:rPr>
                <w:rFonts w:hint="eastAsia" w:ascii="宋体" w:hAnsi="宋体" w:eastAsia="宋体" w:cs="宋体"/>
                <w:i w:val="0"/>
                <w:iCs w:val="0"/>
                <w:color w:val="000000"/>
                <w:sz w:val="18"/>
                <w:szCs w:val="18"/>
                <w:u w:val="none"/>
              </w:rPr>
            </w:pPr>
          </w:p>
        </w:tc>
        <w:tc>
          <w:tcPr>
            <w:tcW w:w="2556" w:type="dxa"/>
            <w:tcBorders>
              <w:top w:val="single" w:color="000000" w:sz="4" w:space="0"/>
              <w:left w:val="single" w:color="000000" w:sz="4" w:space="0"/>
              <w:bottom w:val="single" w:color="000000" w:sz="4" w:space="0"/>
              <w:right w:val="single" w:color="000000" w:sz="4" w:space="0"/>
            </w:tcBorders>
            <w:noWrap w:val="0"/>
            <w:vAlign w:val="center"/>
          </w:tcPr>
          <w:p w14:paraId="57E128DE">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14:paraId="545EB0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84" w:type="dxa"/>
            <w:vMerge w:val="continue"/>
            <w:tcBorders>
              <w:top w:val="single" w:color="000000" w:sz="4" w:space="0"/>
              <w:left w:val="single" w:color="000000" w:sz="4" w:space="0"/>
              <w:bottom w:val="single" w:color="000000" w:sz="4" w:space="0"/>
              <w:right w:val="single" w:color="000000" w:sz="4" w:space="0"/>
            </w:tcBorders>
            <w:noWrap w:val="0"/>
            <w:vAlign w:val="center"/>
          </w:tcPr>
          <w:p w14:paraId="0189879D">
            <w:pPr>
              <w:jc w:val="center"/>
              <w:rPr>
                <w:rFonts w:hint="eastAsia" w:ascii="宋体" w:hAnsi="宋体" w:eastAsia="宋体" w:cs="宋体"/>
                <w:i w:val="0"/>
                <w:iCs w:val="0"/>
                <w:color w:val="000000"/>
                <w:sz w:val="18"/>
                <w:szCs w:val="18"/>
                <w:u w:val="none"/>
              </w:rPr>
            </w:pPr>
          </w:p>
        </w:tc>
        <w:tc>
          <w:tcPr>
            <w:tcW w:w="205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C58A334">
            <w:pPr>
              <w:jc w:val="center"/>
              <w:rPr>
                <w:rFonts w:hint="eastAsia" w:ascii="宋体" w:hAnsi="宋体" w:eastAsia="宋体" w:cs="宋体"/>
                <w:i w:val="0"/>
                <w:iCs w:val="0"/>
                <w:color w:val="000000"/>
                <w:sz w:val="18"/>
                <w:szCs w:val="18"/>
                <w:u w:val="none"/>
              </w:rPr>
            </w:pPr>
          </w:p>
        </w:tc>
        <w:tc>
          <w:tcPr>
            <w:tcW w:w="1775" w:type="dxa"/>
            <w:tcBorders>
              <w:top w:val="single" w:color="000000" w:sz="4" w:space="0"/>
              <w:left w:val="single" w:color="000000" w:sz="4" w:space="0"/>
              <w:bottom w:val="single" w:color="000000" w:sz="4" w:space="0"/>
              <w:right w:val="single" w:color="000000" w:sz="4" w:space="0"/>
            </w:tcBorders>
            <w:noWrap w:val="0"/>
            <w:vAlign w:val="center"/>
          </w:tcPr>
          <w:p w14:paraId="20A09CF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2447" w:type="dxa"/>
            <w:tcBorders>
              <w:top w:val="single" w:color="000000" w:sz="4" w:space="0"/>
              <w:left w:val="single" w:color="000000" w:sz="4" w:space="0"/>
              <w:bottom w:val="single" w:color="000000" w:sz="4" w:space="0"/>
              <w:right w:val="single" w:color="000000" w:sz="4" w:space="0"/>
            </w:tcBorders>
            <w:noWrap w:val="0"/>
            <w:vAlign w:val="center"/>
          </w:tcPr>
          <w:p w14:paraId="0A6FE92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确保2025</w:t>
            </w:r>
            <w:r>
              <w:rPr>
                <w:rFonts w:hint="eastAsia" w:ascii="宋体" w:hAnsi="宋体" w:cs="宋体"/>
                <w:i w:val="0"/>
                <w:iCs w:val="0"/>
                <w:color w:val="000000"/>
                <w:kern w:val="0"/>
                <w:sz w:val="18"/>
                <w:szCs w:val="18"/>
                <w:u w:val="none"/>
                <w:lang w:val="en-US" w:eastAsia="zh-CN" w:bidi="ar"/>
              </w:rPr>
              <w:t>—</w:t>
            </w:r>
            <w:r>
              <w:rPr>
                <w:rFonts w:ascii="宋体" w:hAnsi="宋体" w:eastAsia="宋体" w:cs="宋体"/>
                <w:i w:val="0"/>
                <w:iCs w:val="0"/>
                <w:color w:val="000000"/>
                <w:kern w:val="0"/>
                <w:sz w:val="18"/>
                <w:szCs w:val="18"/>
                <w:u w:val="none"/>
                <w:lang w:val="en-US" w:eastAsia="zh-CN" w:bidi="ar"/>
              </w:rPr>
              <w:t>2035年PM2.5浓度达到目标要求</w:t>
            </w:r>
          </w:p>
        </w:tc>
        <w:tc>
          <w:tcPr>
            <w:tcW w:w="750" w:type="dxa"/>
            <w:tcBorders>
              <w:top w:val="single" w:color="000000" w:sz="4" w:space="0"/>
              <w:left w:val="single" w:color="000000" w:sz="4" w:space="0"/>
              <w:bottom w:val="single" w:color="000000" w:sz="4" w:space="0"/>
              <w:right w:val="single" w:color="000000" w:sz="4" w:space="0"/>
            </w:tcBorders>
            <w:noWrap w:val="0"/>
            <w:vAlign w:val="center"/>
          </w:tcPr>
          <w:p w14:paraId="5B54B59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1264" w:type="dxa"/>
            <w:tcBorders>
              <w:top w:val="single" w:color="000000" w:sz="4" w:space="0"/>
              <w:left w:val="single" w:color="000000" w:sz="4" w:space="0"/>
              <w:bottom w:val="single" w:color="000000" w:sz="4" w:space="0"/>
              <w:right w:val="single" w:color="000000" w:sz="4" w:space="0"/>
            </w:tcBorders>
            <w:noWrap w:val="0"/>
            <w:vAlign w:val="center"/>
          </w:tcPr>
          <w:p w14:paraId="3C9369E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优良中差</w:t>
            </w:r>
          </w:p>
        </w:tc>
        <w:tc>
          <w:tcPr>
            <w:tcW w:w="521" w:type="dxa"/>
            <w:tcBorders>
              <w:top w:val="single" w:color="000000" w:sz="4" w:space="0"/>
              <w:left w:val="single" w:color="000000" w:sz="4" w:space="0"/>
              <w:bottom w:val="single" w:color="000000" w:sz="4" w:space="0"/>
              <w:right w:val="single" w:color="000000" w:sz="4" w:space="0"/>
            </w:tcBorders>
            <w:noWrap w:val="0"/>
            <w:vAlign w:val="center"/>
          </w:tcPr>
          <w:p w14:paraId="6CA23AA0">
            <w:pPr>
              <w:jc w:val="center"/>
              <w:rPr>
                <w:rFonts w:hint="eastAsia" w:ascii="宋体" w:hAnsi="宋体" w:eastAsia="宋体" w:cs="宋体"/>
                <w:i w:val="0"/>
                <w:iCs w:val="0"/>
                <w:color w:val="000000"/>
                <w:sz w:val="18"/>
                <w:szCs w:val="18"/>
                <w:u w:val="none"/>
              </w:rPr>
            </w:pPr>
          </w:p>
        </w:tc>
        <w:tc>
          <w:tcPr>
            <w:tcW w:w="1091" w:type="dxa"/>
            <w:tcBorders>
              <w:top w:val="single" w:color="000000" w:sz="4" w:space="0"/>
              <w:left w:val="single" w:color="000000" w:sz="4" w:space="0"/>
              <w:bottom w:val="single" w:color="000000" w:sz="4" w:space="0"/>
              <w:right w:val="single" w:color="000000" w:sz="4" w:space="0"/>
            </w:tcBorders>
            <w:noWrap w:val="0"/>
            <w:vAlign w:val="center"/>
          </w:tcPr>
          <w:p w14:paraId="33381433">
            <w:pPr>
              <w:jc w:val="center"/>
              <w:rPr>
                <w:rFonts w:hint="eastAsia" w:ascii="宋体" w:hAnsi="宋体" w:eastAsia="宋体" w:cs="宋体"/>
                <w:i w:val="0"/>
                <w:iCs w:val="0"/>
                <w:color w:val="000000"/>
                <w:sz w:val="18"/>
                <w:szCs w:val="18"/>
                <w:u w:val="none"/>
              </w:rPr>
            </w:pPr>
          </w:p>
        </w:tc>
        <w:tc>
          <w:tcPr>
            <w:tcW w:w="505" w:type="dxa"/>
            <w:tcBorders>
              <w:top w:val="single" w:color="000000" w:sz="4" w:space="0"/>
              <w:left w:val="single" w:color="000000" w:sz="4" w:space="0"/>
              <w:bottom w:val="single" w:color="000000" w:sz="4" w:space="0"/>
              <w:right w:val="single" w:color="000000" w:sz="4" w:space="0"/>
            </w:tcBorders>
            <w:noWrap w:val="0"/>
            <w:vAlign w:val="center"/>
          </w:tcPr>
          <w:p w14:paraId="33C1702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noWrap w:val="0"/>
            <w:vAlign w:val="center"/>
          </w:tcPr>
          <w:p w14:paraId="2F133BF0">
            <w:pPr>
              <w:jc w:val="center"/>
              <w:rPr>
                <w:rFonts w:hint="eastAsia" w:ascii="宋体" w:hAnsi="宋体" w:eastAsia="宋体" w:cs="宋体"/>
                <w:i w:val="0"/>
                <w:iCs w:val="0"/>
                <w:color w:val="000000"/>
                <w:sz w:val="18"/>
                <w:szCs w:val="18"/>
                <w:u w:val="none"/>
              </w:rPr>
            </w:pPr>
          </w:p>
        </w:tc>
        <w:tc>
          <w:tcPr>
            <w:tcW w:w="2556" w:type="dxa"/>
            <w:tcBorders>
              <w:top w:val="single" w:color="000000" w:sz="4" w:space="0"/>
              <w:left w:val="single" w:color="000000" w:sz="4" w:space="0"/>
              <w:bottom w:val="single" w:color="000000" w:sz="4" w:space="0"/>
              <w:right w:val="single" w:color="000000" w:sz="4" w:space="0"/>
            </w:tcBorders>
            <w:noWrap w:val="0"/>
            <w:vAlign w:val="center"/>
          </w:tcPr>
          <w:p w14:paraId="70406F10">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14:paraId="2A6E0A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84" w:type="dxa"/>
            <w:vMerge w:val="continue"/>
            <w:tcBorders>
              <w:top w:val="single" w:color="000000" w:sz="4" w:space="0"/>
              <w:left w:val="single" w:color="000000" w:sz="4" w:space="0"/>
              <w:bottom w:val="single" w:color="000000" w:sz="4" w:space="0"/>
              <w:right w:val="single" w:color="000000" w:sz="4" w:space="0"/>
            </w:tcBorders>
            <w:noWrap w:val="0"/>
            <w:vAlign w:val="center"/>
          </w:tcPr>
          <w:p w14:paraId="0683A32F">
            <w:pPr>
              <w:jc w:val="center"/>
              <w:rPr>
                <w:rFonts w:hint="eastAsia" w:ascii="宋体" w:hAnsi="宋体" w:eastAsia="宋体" w:cs="宋体"/>
                <w:i w:val="0"/>
                <w:iCs w:val="0"/>
                <w:color w:val="000000"/>
                <w:sz w:val="18"/>
                <w:szCs w:val="18"/>
                <w:u w:val="none"/>
              </w:rPr>
            </w:pPr>
          </w:p>
        </w:tc>
        <w:tc>
          <w:tcPr>
            <w:tcW w:w="205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B9C5313">
            <w:pPr>
              <w:jc w:val="center"/>
              <w:rPr>
                <w:rFonts w:hint="eastAsia" w:ascii="宋体" w:hAnsi="宋体" w:eastAsia="宋体" w:cs="宋体"/>
                <w:i w:val="0"/>
                <w:iCs w:val="0"/>
                <w:color w:val="000000"/>
                <w:sz w:val="18"/>
                <w:szCs w:val="18"/>
                <w:u w:val="none"/>
              </w:rPr>
            </w:pPr>
          </w:p>
        </w:tc>
        <w:tc>
          <w:tcPr>
            <w:tcW w:w="1775" w:type="dxa"/>
            <w:tcBorders>
              <w:top w:val="single" w:color="000000" w:sz="4" w:space="0"/>
              <w:left w:val="single" w:color="000000" w:sz="4" w:space="0"/>
              <w:bottom w:val="single" w:color="000000" w:sz="4" w:space="0"/>
              <w:right w:val="single" w:color="000000" w:sz="4" w:space="0"/>
            </w:tcBorders>
            <w:noWrap w:val="0"/>
            <w:vAlign w:val="center"/>
          </w:tcPr>
          <w:p w14:paraId="23800D1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2447" w:type="dxa"/>
            <w:tcBorders>
              <w:top w:val="single" w:color="000000" w:sz="4" w:space="0"/>
              <w:left w:val="single" w:color="000000" w:sz="4" w:space="0"/>
              <w:bottom w:val="single" w:color="000000" w:sz="4" w:space="0"/>
              <w:right w:val="single" w:color="000000" w:sz="4" w:space="0"/>
            </w:tcBorders>
            <w:noWrap w:val="0"/>
            <w:vAlign w:val="center"/>
          </w:tcPr>
          <w:p w14:paraId="1C5B042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2024年完成大气污染物允许排放量更新论证报告</w:t>
            </w:r>
          </w:p>
        </w:tc>
        <w:tc>
          <w:tcPr>
            <w:tcW w:w="750" w:type="dxa"/>
            <w:tcBorders>
              <w:top w:val="single" w:color="000000" w:sz="4" w:space="0"/>
              <w:left w:val="single" w:color="000000" w:sz="4" w:space="0"/>
              <w:bottom w:val="single" w:color="000000" w:sz="4" w:space="0"/>
              <w:right w:val="single" w:color="000000" w:sz="4" w:space="0"/>
            </w:tcBorders>
            <w:noWrap w:val="0"/>
            <w:vAlign w:val="center"/>
          </w:tcPr>
          <w:p w14:paraId="1502F77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264" w:type="dxa"/>
            <w:tcBorders>
              <w:top w:val="single" w:color="000000" w:sz="4" w:space="0"/>
              <w:left w:val="single" w:color="000000" w:sz="4" w:space="0"/>
              <w:bottom w:val="single" w:color="000000" w:sz="4" w:space="0"/>
              <w:right w:val="single" w:color="000000" w:sz="4" w:space="0"/>
            </w:tcBorders>
            <w:noWrap w:val="0"/>
            <w:vAlign w:val="center"/>
          </w:tcPr>
          <w:p w14:paraId="216B817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521" w:type="dxa"/>
            <w:tcBorders>
              <w:top w:val="single" w:color="000000" w:sz="4" w:space="0"/>
              <w:left w:val="single" w:color="000000" w:sz="4" w:space="0"/>
              <w:bottom w:val="single" w:color="000000" w:sz="4" w:space="0"/>
              <w:right w:val="single" w:color="000000" w:sz="4" w:space="0"/>
            </w:tcBorders>
            <w:noWrap w:val="0"/>
            <w:vAlign w:val="center"/>
          </w:tcPr>
          <w:p w14:paraId="2804668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w:t>
            </w:r>
          </w:p>
        </w:tc>
        <w:tc>
          <w:tcPr>
            <w:tcW w:w="1091" w:type="dxa"/>
            <w:tcBorders>
              <w:top w:val="single" w:color="000000" w:sz="4" w:space="0"/>
              <w:left w:val="single" w:color="000000" w:sz="4" w:space="0"/>
              <w:bottom w:val="single" w:color="000000" w:sz="4" w:space="0"/>
              <w:right w:val="single" w:color="000000" w:sz="4" w:space="0"/>
            </w:tcBorders>
            <w:noWrap w:val="0"/>
            <w:vAlign w:val="center"/>
          </w:tcPr>
          <w:p w14:paraId="7879C8AA">
            <w:pPr>
              <w:jc w:val="center"/>
              <w:rPr>
                <w:rFonts w:hint="eastAsia" w:ascii="宋体" w:hAnsi="宋体" w:eastAsia="宋体" w:cs="宋体"/>
                <w:i w:val="0"/>
                <w:iCs w:val="0"/>
                <w:color w:val="000000"/>
                <w:sz w:val="18"/>
                <w:szCs w:val="18"/>
                <w:u w:val="none"/>
              </w:rPr>
            </w:pPr>
          </w:p>
        </w:tc>
        <w:tc>
          <w:tcPr>
            <w:tcW w:w="505" w:type="dxa"/>
            <w:tcBorders>
              <w:top w:val="single" w:color="000000" w:sz="4" w:space="0"/>
              <w:left w:val="single" w:color="000000" w:sz="4" w:space="0"/>
              <w:bottom w:val="single" w:color="000000" w:sz="4" w:space="0"/>
              <w:right w:val="single" w:color="000000" w:sz="4" w:space="0"/>
            </w:tcBorders>
            <w:noWrap w:val="0"/>
            <w:vAlign w:val="center"/>
          </w:tcPr>
          <w:p w14:paraId="2ACB17A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56" w:type="dxa"/>
            <w:tcBorders>
              <w:top w:val="single" w:color="000000" w:sz="4" w:space="0"/>
              <w:left w:val="single" w:color="000000" w:sz="4" w:space="0"/>
              <w:bottom w:val="single" w:color="000000" w:sz="4" w:space="0"/>
              <w:right w:val="single" w:color="000000" w:sz="4" w:space="0"/>
            </w:tcBorders>
            <w:noWrap w:val="0"/>
            <w:vAlign w:val="center"/>
          </w:tcPr>
          <w:p w14:paraId="7CA16ECD">
            <w:pPr>
              <w:jc w:val="center"/>
              <w:rPr>
                <w:rFonts w:hint="eastAsia" w:ascii="宋体" w:hAnsi="宋体" w:eastAsia="宋体" w:cs="宋体"/>
                <w:i w:val="0"/>
                <w:iCs w:val="0"/>
                <w:color w:val="000000"/>
                <w:sz w:val="18"/>
                <w:szCs w:val="18"/>
                <w:u w:val="none"/>
              </w:rPr>
            </w:pPr>
          </w:p>
        </w:tc>
        <w:tc>
          <w:tcPr>
            <w:tcW w:w="2556" w:type="dxa"/>
            <w:tcBorders>
              <w:top w:val="single" w:color="000000" w:sz="4" w:space="0"/>
              <w:left w:val="single" w:color="000000" w:sz="4" w:space="0"/>
              <w:bottom w:val="single" w:color="000000" w:sz="4" w:space="0"/>
              <w:right w:val="single" w:color="000000" w:sz="4" w:space="0"/>
            </w:tcBorders>
            <w:noWrap w:val="0"/>
            <w:vAlign w:val="center"/>
          </w:tcPr>
          <w:p w14:paraId="5BD68CF1">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14:paraId="13CD20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8" w:hRule="atLeast"/>
        </w:trPr>
        <w:tc>
          <w:tcPr>
            <w:tcW w:w="684" w:type="dxa"/>
            <w:vMerge w:val="continue"/>
            <w:tcBorders>
              <w:top w:val="single" w:color="000000" w:sz="4" w:space="0"/>
              <w:left w:val="single" w:color="000000" w:sz="4" w:space="0"/>
              <w:bottom w:val="single" w:color="000000" w:sz="4" w:space="0"/>
              <w:right w:val="single" w:color="000000" w:sz="4" w:space="0"/>
            </w:tcBorders>
            <w:noWrap w:val="0"/>
            <w:vAlign w:val="center"/>
          </w:tcPr>
          <w:p w14:paraId="149D6E63">
            <w:pPr>
              <w:jc w:val="center"/>
              <w:rPr>
                <w:rFonts w:hint="eastAsia" w:ascii="宋体" w:hAnsi="宋体" w:eastAsia="宋体" w:cs="宋体"/>
                <w:i w:val="0"/>
                <w:iCs w:val="0"/>
                <w:color w:val="000000"/>
                <w:sz w:val="18"/>
                <w:szCs w:val="18"/>
                <w:u w:val="none"/>
              </w:rPr>
            </w:pPr>
          </w:p>
        </w:tc>
        <w:tc>
          <w:tcPr>
            <w:tcW w:w="2051" w:type="dxa"/>
            <w:vMerge w:val="restart"/>
            <w:tcBorders>
              <w:top w:val="single" w:color="000000" w:sz="4" w:space="0"/>
              <w:left w:val="single" w:color="000000" w:sz="4" w:space="0"/>
              <w:bottom w:val="single" w:color="000000" w:sz="4" w:space="0"/>
              <w:right w:val="single" w:color="000000" w:sz="4" w:space="0"/>
            </w:tcBorders>
            <w:noWrap w:val="0"/>
            <w:vAlign w:val="center"/>
          </w:tcPr>
          <w:p w14:paraId="1AEB5CC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1775" w:type="dxa"/>
            <w:tcBorders>
              <w:top w:val="single" w:color="000000" w:sz="4" w:space="0"/>
              <w:left w:val="single" w:color="000000" w:sz="4" w:space="0"/>
              <w:bottom w:val="single" w:color="000000" w:sz="4" w:space="0"/>
              <w:right w:val="single" w:color="000000" w:sz="4" w:space="0"/>
            </w:tcBorders>
            <w:noWrap w:val="0"/>
            <w:vAlign w:val="center"/>
          </w:tcPr>
          <w:p w14:paraId="264CEA3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生态效益指标</w:t>
            </w:r>
          </w:p>
        </w:tc>
        <w:tc>
          <w:tcPr>
            <w:tcW w:w="2447" w:type="dxa"/>
            <w:tcBorders>
              <w:top w:val="single" w:color="000000" w:sz="4" w:space="0"/>
              <w:left w:val="single" w:color="000000" w:sz="4" w:space="0"/>
              <w:bottom w:val="single" w:color="000000" w:sz="4" w:space="0"/>
              <w:right w:val="single" w:color="000000" w:sz="4" w:space="0"/>
            </w:tcBorders>
            <w:noWrap w:val="0"/>
            <w:vAlign w:val="center"/>
          </w:tcPr>
          <w:p w14:paraId="6556D15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统筹解决茂县工业园区后续发展带来的大气环境影响</w:t>
            </w:r>
          </w:p>
        </w:tc>
        <w:tc>
          <w:tcPr>
            <w:tcW w:w="750" w:type="dxa"/>
            <w:tcBorders>
              <w:top w:val="single" w:color="000000" w:sz="4" w:space="0"/>
              <w:left w:val="single" w:color="000000" w:sz="4" w:space="0"/>
              <w:bottom w:val="single" w:color="000000" w:sz="4" w:space="0"/>
              <w:right w:val="single" w:color="000000" w:sz="4" w:space="0"/>
            </w:tcBorders>
            <w:noWrap w:val="0"/>
            <w:vAlign w:val="center"/>
          </w:tcPr>
          <w:p w14:paraId="2667479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1264" w:type="dxa"/>
            <w:tcBorders>
              <w:top w:val="single" w:color="000000" w:sz="4" w:space="0"/>
              <w:left w:val="single" w:color="000000" w:sz="4" w:space="0"/>
              <w:bottom w:val="single" w:color="000000" w:sz="4" w:space="0"/>
              <w:right w:val="single" w:color="000000" w:sz="4" w:space="0"/>
            </w:tcBorders>
            <w:noWrap w:val="0"/>
            <w:vAlign w:val="center"/>
          </w:tcPr>
          <w:p w14:paraId="2410FEC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优良中差</w:t>
            </w:r>
          </w:p>
        </w:tc>
        <w:tc>
          <w:tcPr>
            <w:tcW w:w="521" w:type="dxa"/>
            <w:tcBorders>
              <w:top w:val="single" w:color="000000" w:sz="4" w:space="0"/>
              <w:left w:val="single" w:color="000000" w:sz="4" w:space="0"/>
              <w:bottom w:val="single" w:color="000000" w:sz="4" w:space="0"/>
              <w:right w:val="single" w:color="000000" w:sz="4" w:space="0"/>
            </w:tcBorders>
            <w:noWrap w:val="0"/>
            <w:vAlign w:val="center"/>
          </w:tcPr>
          <w:p w14:paraId="6A508D2E">
            <w:pPr>
              <w:jc w:val="center"/>
              <w:rPr>
                <w:rFonts w:hint="eastAsia" w:ascii="宋体" w:hAnsi="宋体" w:eastAsia="宋体" w:cs="宋体"/>
                <w:i w:val="0"/>
                <w:iCs w:val="0"/>
                <w:color w:val="000000"/>
                <w:sz w:val="18"/>
                <w:szCs w:val="18"/>
                <w:u w:val="none"/>
              </w:rPr>
            </w:pPr>
          </w:p>
        </w:tc>
        <w:tc>
          <w:tcPr>
            <w:tcW w:w="1091" w:type="dxa"/>
            <w:tcBorders>
              <w:top w:val="single" w:color="000000" w:sz="4" w:space="0"/>
              <w:left w:val="single" w:color="000000" w:sz="4" w:space="0"/>
              <w:bottom w:val="single" w:color="000000" w:sz="4" w:space="0"/>
              <w:right w:val="single" w:color="000000" w:sz="4" w:space="0"/>
            </w:tcBorders>
            <w:noWrap w:val="0"/>
            <w:vAlign w:val="center"/>
          </w:tcPr>
          <w:p w14:paraId="2F81A742">
            <w:pPr>
              <w:jc w:val="center"/>
              <w:rPr>
                <w:rFonts w:hint="eastAsia" w:ascii="宋体" w:hAnsi="宋体" w:eastAsia="宋体" w:cs="宋体"/>
                <w:i w:val="0"/>
                <w:iCs w:val="0"/>
                <w:color w:val="000000"/>
                <w:sz w:val="18"/>
                <w:szCs w:val="18"/>
                <w:u w:val="none"/>
              </w:rPr>
            </w:pPr>
          </w:p>
        </w:tc>
        <w:tc>
          <w:tcPr>
            <w:tcW w:w="505" w:type="dxa"/>
            <w:tcBorders>
              <w:top w:val="single" w:color="000000" w:sz="4" w:space="0"/>
              <w:left w:val="single" w:color="000000" w:sz="4" w:space="0"/>
              <w:bottom w:val="single" w:color="000000" w:sz="4" w:space="0"/>
              <w:right w:val="single" w:color="000000" w:sz="4" w:space="0"/>
            </w:tcBorders>
            <w:noWrap w:val="0"/>
            <w:vAlign w:val="center"/>
          </w:tcPr>
          <w:p w14:paraId="33DAD31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noWrap w:val="0"/>
            <w:vAlign w:val="center"/>
          </w:tcPr>
          <w:p w14:paraId="70FD6C00">
            <w:pPr>
              <w:jc w:val="center"/>
              <w:rPr>
                <w:rFonts w:hint="eastAsia" w:ascii="宋体" w:hAnsi="宋体" w:eastAsia="宋体" w:cs="宋体"/>
                <w:i w:val="0"/>
                <w:iCs w:val="0"/>
                <w:color w:val="000000"/>
                <w:sz w:val="18"/>
                <w:szCs w:val="18"/>
                <w:u w:val="none"/>
              </w:rPr>
            </w:pPr>
          </w:p>
        </w:tc>
        <w:tc>
          <w:tcPr>
            <w:tcW w:w="2556" w:type="dxa"/>
            <w:tcBorders>
              <w:top w:val="single" w:color="000000" w:sz="4" w:space="0"/>
              <w:left w:val="single" w:color="000000" w:sz="4" w:space="0"/>
              <w:bottom w:val="single" w:color="000000" w:sz="4" w:space="0"/>
              <w:right w:val="single" w:color="000000" w:sz="4" w:space="0"/>
            </w:tcBorders>
            <w:noWrap w:val="0"/>
            <w:vAlign w:val="center"/>
          </w:tcPr>
          <w:p w14:paraId="0FCA7B96">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14:paraId="56FE70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62" w:hRule="atLeast"/>
        </w:trPr>
        <w:tc>
          <w:tcPr>
            <w:tcW w:w="684" w:type="dxa"/>
            <w:vMerge w:val="continue"/>
            <w:tcBorders>
              <w:top w:val="single" w:color="000000" w:sz="4" w:space="0"/>
              <w:left w:val="single" w:color="000000" w:sz="4" w:space="0"/>
              <w:bottom w:val="single" w:color="000000" w:sz="4" w:space="0"/>
              <w:right w:val="single" w:color="000000" w:sz="4" w:space="0"/>
            </w:tcBorders>
            <w:noWrap w:val="0"/>
            <w:vAlign w:val="center"/>
          </w:tcPr>
          <w:p w14:paraId="44A6DE6E">
            <w:pPr>
              <w:jc w:val="center"/>
              <w:rPr>
                <w:rFonts w:hint="eastAsia" w:ascii="宋体" w:hAnsi="宋体" w:eastAsia="宋体" w:cs="宋体"/>
                <w:i w:val="0"/>
                <w:iCs w:val="0"/>
                <w:color w:val="000000"/>
                <w:sz w:val="18"/>
                <w:szCs w:val="18"/>
                <w:u w:val="none"/>
              </w:rPr>
            </w:pPr>
          </w:p>
        </w:tc>
        <w:tc>
          <w:tcPr>
            <w:tcW w:w="205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4D622CA">
            <w:pPr>
              <w:jc w:val="center"/>
              <w:rPr>
                <w:rFonts w:hint="eastAsia" w:ascii="宋体" w:hAnsi="宋体" w:eastAsia="宋体" w:cs="宋体"/>
                <w:i w:val="0"/>
                <w:iCs w:val="0"/>
                <w:color w:val="000000"/>
                <w:sz w:val="18"/>
                <w:szCs w:val="18"/>
                <w:u w:val="none"/>
              </w:rPr>
            </w:pPr>
          </w:p>
        </w:tc>
        <w:tc>
          <w:tcPr>
            <w:tcW w:w="1775" w:type="dxa"/>
            <w:tcBorders>
              <w:top w:val="single" w:color="000000" w:sz="4" w:space="0"/>
              <w:left w:val="single" w:color="000000" w:sz="4" w:space="0"/>
              <w:bottom w:val="single" w:color="000000" w:sz="4" w:space="0"/>
              <w:right w:val="single" w:color="000000" w:sz="4" w:space="0"/>
            </w:tcBorders>
            <w:noWrap w:val="0"/>
            <w:vAlign w:val="center"/>
          </w:tcPr>
          <w:p w14:paraId="224BEE2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可持续发展指标</w:t>
            </w:r>
          </w:p>
        </w:tc>
        <w:tc>
          <w:tcPr>
            <w:tcW w:w="2447" w:type="dxa"/>
            <w:tcBorders>
              <w:top w:val="single" w:color="000000" w:sz="4" w:space="0"/>
              <w:left w:val="single" w:color="000000" w:sz="4" w:space="0"/>
              <w:bottom w:val="single" w:color="000000" w:sz="4" w:space="0"/>
              <w:right w:val="single" w:color="000000" w:sz="4" w:space="0"/>
            </w:tcBorders>
            <w:noWrap w:val="0"/>
            <w:vAlign w:val="center"/>
          </w:tcPr>
          <w:p w14:paraId="53FC1DB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制定重点污染源减排措施，确保茂县2025年和2035年PM2.5目标浓度达标，解决茂县工业园区后续发展带来的大气环境影响，支持园区长远合理发展</w:t>
            </w:r>
          </w:p>
        </w:tc>
        <w:tc>
          <w:tcPr>
            <w:tcW w:w="750" w:type="dxa"/>
            <w:tcBorders>
              <w:top w:val="single" w:color="000000" w:sz="4" w:space="0"/>
              <w:left w:val="single" w:color="000000" w:sz="4" w:space="0"/>
              <w:bottom w:val="single" w:color="000000" w:sz="4" w:space="0"/>
              <w:right w:val="single" w:color="000000" w:sz="4" w:space="0"/>
            </w:tcBorders>
            <w:noWrap w:val="0"/>
            <w:vAlign w:val="center"/>
          </w:tcPr>
          <w:p w14:paraId="7F68C88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1264" w:type="dxa"/>
            <w:tcBorders>
              <w:top w:val="single" w:color="000000" w:sz="4" w:space="0"/>
              <w:left w:val="single" w:color="000000" w:sz="4" w:space="0"/>
              <w:bottom w:val="single" w:color="000000" w:sz="4" w:space="0"/>
              <w:right w:val="single" w:color="000000" w:sz="4" w:space="0"/>
            </w:tcBorders>
            <w:noWrap w:val="0"/>
            <w:vAlign w:val="center"/>
          </w:tcPr>
          <w:p w14:paraId="0D2C7CC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优良中差</w:t>
            </w:r>
          </w:p>
        </w:tc>
        <w:tc>
          <w:tcPr>
            <w:tcW w:w="521" w:type="dxa"/>
            <w:tcBorders>
              <w:top w:val="single" w:color="000000" w:sz="4" w:space="0"/>
              <w:left w:val="single" w:color="000000" w:sz="4" w:space="0"/>
              <w:bottom w:val="single" w:color="000000" w:sz="4" w:space="0"/>
              <w:right w:val="single" w:color="000000" w:sz="4" w:space="0"/>
            </w:tcBorders>
            <w:noWrap w:val="0"/>
            <w:vAlign w:val="center"/>
          </w:tcPr>
          <w:p w14:paraId="654D86AE">
            <w:pPr>
              <w:jc w:val="center"/>
              <w:rPr>
                <w:rFonts w:hint="eastAsia" w:ascii="宋体" w:hAnsi="宋体" w:eastAsia="宋体" w:cs="宋体"/>
                <w:i w:val="0"/>
                <w:iCs w:val="0"/>
                <w:color w:val="000000"/>
                <w:sz w:val="18"/>
                <w:szCs w:val="18"/>
                <w:u w:val="none"/>
              </w:rPr>
            </w:pPr>
          </w:p>
        </w:tc>
        <w:tc>
          <w:tcPr>
            <w:tcW w:w="1091" w:type="dxa"/>
            <w:tcBorders>
              <w:top w:val="single" w:color="000000" w:sz="4" w:space="0"/>
              <w:left w:val="single" w:color="000000" w:sz="4" w:space="0"/>
              <w:bottom w:val="single" w:color="000000" w:sz="4" w:space="0"/>
              <w:right w:val="single" w:color="000000" w:sz="4" w:space="0"/>
            </w:tcBorders>
            <w:noWrap w:val="0"/>
            <w:vAlign w:val="center"/>
          </w:tcPr>
          <w:p w14:paraId="3BB91527">
            <w:pPr>
              <w:jc w:val="center"/>
              <w:rPr>
                <w:rFonts w:hint="eastAsia" w:ascii="宋体" w:hAnsi="宋体" w:eastAsia="宋体" w:cs="宋体"/>
                <w:i w:val="0"/>
                <w:iCs w:val="0"/>
                <w:color w:val="000000"/>
                <w:sz w:val="18"/>
                <w:szCs w:val="18"/>
                <w:u w:val="none"/>
              </w:rPr>
            </w:pPr>
          </w:p>
        </w:tc>
        <w:tc>
          <w:tcPr>
            <w:tcW w:w="505" w:type="dxa"/>
            <w:tcBorders>
              <w:top w:val="single" w:color="000000" w:sz="4" w:space="0"/>
              <w:left w:val="single" w:color="000000" w:sz="4" w:space="0"/>
              <w:bottom w:val="single" w:color="000000" w:sz="4" w:space="0"/>
              <w:right w:val="single" w:color="000000" w:sz="4" w:space="0"/>
            </w:tcBorders>
            <w:noWrap w:val="0"/>
            <w:vAlign w:val="center"/>
          </w:tcPr>
          <w:p w14:paraId="0B2661F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noWrap w:val="0"/>
            <w:vAlign w:val="center"/>
          </w:tcPr>
          <w:p w14:paraId="549051AA">
            <w:pPr>
              <w:jc w:val="center"/>
              <w:rPr>
                <w:rFonts w:hint="eastAsia" w:ascii="宋体" w:hAnsi="宋体" w:eastAsia="宋体" w:cs="宋体"/>
                <w:i w:val="0"/>
                <w:iCs w:val="0"/>
                <w:color w:val="000000"/>
                <w:sz w:val="18"/>
                <w:szCs w:val="18"/>
                <w:u w:val="none"/>
              </w:rPr>
            </w:pPr>
          </w:p>
        </w:tc>
        <w:tc>
          <w:tcPr>
            <w:tcW w:w="2556" w:type="dxa"/>
            <w:tcBorders>
              <w:top w:val="single" w:color="000000" w:sz="4" w:space="0"/>
              <w:left w:val="single" w:color="000000" w:sz="4" w:space="0"/>
              <w:bottom w:val="single" w:color="000000" w:sz="4" w:space="0"/>
              <w:right w:val="single" w:color="000000" w:sz="4" w:space="0"/>
            </w:tcBorders>
            <w:noWrap w:val="0"/>
            <w:vAlign w:val="center"/>
          </w:tcPr>
          <w:p w14:paraId="76FA5A06">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14:paraId="2FC996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84" w:type="dxa"/>
            <w:vMerge w:val="continue"/>
            <w:tcBorders>
              <w:top w:val="single" w:color="000000" w:sz="4" w:space="0"/>
              <w:left w:val="single" w:color="000000" w:sz="4" w:space="0"/>
              <w:bottom w:val="single" w:color="000000" w:sz="4" w:space="0"/>
              <w:right w:val="single" w:color="000000" w:sz="4" w:space="0"/>
            </w:tcBorders>
            <w:noWrap w:val="0"/>
            <w:vAlign w:val="center"/>
          </w:tcPr>
          <w:p w14:paraId="760FB4BD">
            <w:pPr>
              <w:jc w:val="center"/>
              <w:rPr>
                <w:rFonts w:hint="eastAsia" w:ascii="宋体" w:hAnsi="宋体" w:eastAsia="宋体" w:cs="宋体"/>
                <w:i w:val="0"/>
                <w:iCs w:val="0"/>
                <w:color w:val="000000"/>
                <w:sz w:val="18"/>
                <w:szCs w:val="18"/>
                <w:u w:val="none"/>
              </w:rPr>
            </w:pPr>
          </w:p>
        </w:tc>
        <w:tc>
          <w:tcPr>
            <w:tcW w:w="2051" w:type="dxa"/>
            <w:tcBorders>
              <w:top w:val="single" w:color="000000" w:sz="4" w:space="0"/>
              <w:left w:val="single" w:color="000000" w:sz="4" w:space="0"/>
              <w:bottom w:val="single" w:color="000000" w:sz="4" w:space="0"/>
              <w:right w:val="single" w:color="000000" w:sz="4" w:space="0"/>
            </w:tcBorders>
            <w:noWrap w:val="0"/>
            <w:vAlign w:val="center"/>
          </w:tcPr>
          <w:p w14:paraId="1A667FA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1775" w:type="dxa"/>
            <w:tcBorders>
              <w:top w:val="single" w:color="000000" w:sz="4" w:space="0"/>
              <w:left w:val="single" w:color="000000" w:sz="4" w:space="0"/>
              <w:bottom w:val="single" w:color="000000" w:sz="4" w:space="0"/>
              <w:right w:val="single" w:color="000000" w:sz="4" w:space="0"/>
            </w:tcBorders>
            <w:noWrap w:val="0"/>
            <w:vAlign w:val="center"/>
          </w:tcPr>
          <w:p w14:paraId="64E4D37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2447" w:type="dxa"/>
            <w:tcBorders>
              <w:top w:val="single" w:color="000000" w:sz="4" w:space="0"/>
              <w:left w:val="single" w:color="000000" w:sz="4" w:space="0"/>
              <w:bottom w:val="single" w:color="000000" w:sz="4" w:space="0"/>
              <w:right w:val="single" w:color="000000" w:sz="4" w:space="0"/>
            </w:tcBorders>
            <w:noWrap w:val="0"/>
            <w:vAlign w:val="center"/>
          </w:tcPr>
          <w:p w14:paraId="5E20C58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企业及周边群众满意</w:t>
            </w:r>
          </w:p>
        </w:tc>
        <w:tc>
          <w:tcPr>
            <w:tcW w:w="750" w:type="dxa"/>
            <w:tcBorders>
              <w:top w:val="single" w:color="000000" w:sz="4" w:space="0"/>
              <w:left w:val="single" w:color="000000" w:sz="4" w:space="0"/>
              <w:bottom w:val="single" w:color="000000" w:sz="4" w:space="0"/>
              <w:right w:val="single" w:color="000000" w:sz="4" w:space="0"/>
            </w:tcBorders>
            <w:noWrap w:val="0"/>
            <w:vAlign w:val="center"/>
          </w:tcPr>
          <w:p w14:paraId="0CD1F89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264" w:type="dxa"/>
            <w:tcBorders>
              <w:top w:val="single" w:color="000000" w:sz="4" w:space="0"/>
              <w:left w:val="single" w:color="000000" w:sz="4" w:space="0"/>
              <w:bottom w:val="single" w:color="000000" w:sz="4" w:space="0"/>
              <w:right w:val="single" w:color="000000" w:sz="4" w:space="0"/>
            </w:tcBorders>
            <w:noWrap w:val="0"/>
            <w:vAlign w:val="center"/>
          </w:tcPr>
          <w:p w14:paraId="5E9D33B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521" w:type="dxa"/>
            <w:tcBorders>
              <w:top w:val="single" w:color="000000" w:sz="4" w:space="0"/>
              <w:left w:val="single" w:color="000000" w:sz="4" w:space="0"/>
              <w:bottom w:val="single" w:color="000000" w:sz="4" w:space="0"/>
              <w:right w:val="single" w:color="000000" w:sz="4" w:space="0"/>
            </w:tcBorders>
            <w:noWrap w:val="0"/>
            <w:vAlign w:val="center"/>
          </w:tcPr>
          <w:p w14:paraId="57BB11F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091" w:type="dxa"/>
            <w:tcBorders>
              <w:top w:val="single" w:color="000000" w:sz="4" w:space="0"/>
              <w:left w:val="single" w:color="000000" w:sz="4" w:space="0"/>
              <w:bottom w:val="single" w:color="000000" w:sz="4" w:space="0"/>
              <w:right w:val="single" w:color="000000" w:sz="4" w:space="0"/>
            </w:tcBorders>
            <w:noWrap w:val="0"/>
            <w:vAlign w:val="center"/>
          </w:tcPr>
          <w:p w14:paraId="4611FB46">
            <w:pPr>
              <w:jc w:val="center"/>
              <w:rPr>
                <w:rFonts w:hint="eastAsia" w:ascii="宋体" w:hAnsi="宋体" w:eastAsia="宋体" w:cs="宋体"/>
                <w:i w:val="0"/>
                <w:iCs w:val="0"/>
                <w:color w:val="000000"/>
                <w:sz w:val="18"/>
                <w:szCs w:val="18"/>
                <w:u w:val="none"/>
              </w:rPr>
            </w:pPr>
          </w:p>
        </w:tc>
        <w:tc>
          <w:tcPr>
            <w:tcW w:w="505" w:type="dxa"/>
            <w:tcBorders>
              <w:top w:val="single" w:color="000000" w:sz="4" w:space="0"/>
              <w:left w:val="single" w:color="000000" w:sz="4" w:space="0"/>
              <w:bottom w:val="single" w:color="000000" w:sz="4" w:space="0"/>
              <w:right w:val="single" w:color="000000" w:sz="4" w:space="0"/>
            </w:tcBorders>
            <w:noWrap w:val="0"/>
            <w:vAlign w:val="center"/>
          </w:tcPr>
          <w:p w14:paraId="0C2E25A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noWrap w:val="0"/>
            <w:vAlign w:val="center"/>
          </w:tcPr>
          <w:p w14:paraId="3A48CFD5">
            <w:pPr>
              <w:jc w:val="center"/>
              <w:rPr>
                <w:rFonts w:hint="eastAsia" w:ascii="宋体" w:hAnsi="宋体" w:eastAsia="宋体" w:cs="宋体"/>
                <w:i w:val="0"/>
                <w:iCs w:val="0"/>
                <w:color w:val="000000"/>
                <w:sz w:val="18"/>
                <w:szCs w:val="18"/>
                <w:u w:val="none"/>
              </w:rPr>
            </w:pPr>
          </w:p>
        </w:tc>
        <w:tc>
          <w:tcPr>
            <w:tcW w:w="2556" w:type="dxa"/>
            <w:tcBorders>
              <w:top w:val="single" w:color="000000" w:sz="4" w:space="0"/>
              <w:left w:val="single" w:color="000000" w:sz="4" w:space="0"/>
              <w:bottom w:val="single" w:color="000000" w:sz="4" w:space="0"/>
              <w:right w:val="single" w:color="000000" w:sz="4" w:space="0"/>
            </w:tcBorders>
            <w:noWrap w:val="0"/>
            <w:vAlign w:val="center"/>
          </w:tcPr>
          <w:p w14:paraId="0899347C">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14:paraId="772652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noWrap w:val="0"/>
            <w:vAlign w:val="center"/>
          </w:tcPr>
          <w:p w14:paraId="6BD45C57">
            <w:pPr>
              <w:jc w:val="center"/>
              <w:rPr>
                <w:rFonts w:hint="eastAsia" w:ascii="宋体" w:hAnsi="宋体" w:eastAsia="宋体" w:cs="宋体"/>
                <w:i w:val="0"/>
                <w:iCs w:val="0"/>
                <w:color w:val="000000"/>
                <w:sz w:val="18"/>
                <w:szCs w:val="18"/>
                <w:u w:val="none"/>
              </w:rPr>
            </w:pPr>
          </w:p>
        </w:tc>
        <w:tc>
          <w:tcPr>
            <w:tcW w:w="2051" w:type="dxa"/>
            <w:tcBorders>
              <w:top w:val="single" w:color="000000" w:sz="4" w:space="0"/>
              <w:left w:val="single" w:color="000000" w:sz="4" w:space="0"/>
              <w:bottom w:val="single" w:color="000000" w:sz="4" w:space="0"/>
              <w:right w:val="single" w:color="000000" w:sz="4" w:space="0"/>
            </w:tcBorders>
            <w:noWrap w:val="0"/>
            <w:vAlign w:val="center"/>
          </w:tcPr>
          <w:p w14:paraId="5DCC861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1775" w:type="dxa"/>
            <w:tcBorders>
              <w:top w:val="single" w:color="000000" w:sz="4" w:space="0"/>
              <w:left w:val="single" w:color="000000" w:sz="4" w:space="0"/>
              <w:bottom w:val="single" w:color="000000" w:sz="4" w:space="0"/>
              <w:right w:val="single" w:color="000000" w:sz="4" w:space="0"/>
            </w:tcBorders>
            <w:noWrap w:val="0"/>
            <w:vAlign w:val="center"/>
          </w:tcPr>
          <w:p w14:paraId="3F8D813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生态环境成本指标</w:t>
            </w:r>
          </w:p>
        </w:tc>
        <w:tc>
          <w:tcPr>
            <w:tcW w:w="2447" w:type="dxa"/>
            <w:tcBorders>
              <w:top w:val="single" w:color="000000" w:sz="4" w:space="0"/>
              <w:left w:val="single" w:color="000000" w:sz="4" w:space="0"/>
              <w:bottom w:val="single" w:color="000000" w:sz="4" w:space="0"/>
              <w:right w:val="single" w:color="000000" w:sz="4" w:space="0"/>
            </w:tcBorders>
            <w:noWrap w:val="0"/>
            <w:vAlign w:val="center"/>
          </w:tcPr>
          <w:p w14:paraId="10A6FC3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一家公司10万元费用。</w:t>
            </w:r>
          </w:p>
        </w:tc>
        <w:tc>
          <w:tcPr>
            <w:tcW w:w="750" w:type="dxa"/>
            <w:tcBorders>
              <w:top w:val="single" w:color="000000" w:sz="4" w:space="0"/>
              <w:left w:val="single" w:color="000000" w:sz="4" w:space="0"/>
              <w:bottom w:val="single" w:color="000000" w:sz="4" w:space="0"/>
              <w:right w:val="single" w:color="000000" w:sz="4" w:space="0"/>
            </w:tcBorders>
            <w:noWrap w:val="0"/>
            <w:vAlign w:val="center"/>
          </w:tcPr>
          <w:p w14:paraId="7C94956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264" w:type="dxa"/>
            <w:tcBorders>
              <w:top w:val="single" w:color="000000" w:sz="4" w:space="0"/>
              <w:left w:val="single" w:color="000000" w:sz="4" w:space="0"/>
              <w:bottom w:val="single" w:color="000000" w:sz="4" w:space="0"/>
              <w:right w:val="single" w:color="000000" w:sz="4" w:space="0"/>
            </w:tcBorders>
            <w:noWrap w:val="0"/>
            <w:vAlign w:val="center"/>
          </w:tcPr>
          <w:p w14:paraId="69A95B4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521" w:type="dxa"/>
            <w:tcBorders>
              <w:top w:val="single" w:color="000000" w:sz="4" w:space="0"/>
              <w:left w:val="single" w:color="000000" w:sz="4" w:space="0"/>
              <w:bottom w:val="single" w:color="000000" w:sz="4" w:space="0"/>
              <w:right w:val="single" w:color="000000" w:sz="4" w:space="0"/>
            </w:tcBorders>
            <w:noWrap w:val="0"/>
            <w:vAlign w:val="center"/>
          </w:tcPr>
          <w:p w14:paraId="0C020D0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万</w:t>
            </w:r>
          </w:p>
        </w:tc>
        <w:tc>
          <w:tcPr>
            <w:tcW w:w="1091" w:type="dxa"/>
            <w:tcBorders>
              <w:top w:val="single" w:color="000000" w:sz="4" w:space="0"/>
              <w:left w:val="single" w:color="000000" w:sz="4" w:space="0"/>
              <w:bottom w:val="single" w:color="000000" w:sz="4" w:space="0"/>
              <w:right w:val="single" w:color="000000" w:sz="4" w:space="0"/>
            </w:tcBorders>
            <w:noWrap w:val="0"/>
            <w:vAlign w:val="center"/>
          </w:tcPr>
          <w:p w14:paraId="0CE2F5AA">
            <w:pPr>
              <w:jc w:val="center"/>
              <w:rPr>
                <w:rFonts w:hint="eastAsia" w:ascii="宋体" w:hAnsi="宋体" w:eastAsia="宋体" w:cs="宋体"/>
                <w:i w:val="0"/>
                <w:iCs w:val="0"/>
                <w:color w:val="000000"/>
                <w:sz w:val="18"/>
                <w:szCs w:val="18"/>
                <w:u w:val="none"/>
              </w:rPr>
            </w:pPr>
          </w:p>
        </w:tc>
        <w:tc>
          <w:tcPr>
            <w:tcW w:w="505" w:type="dxa"/>
            <w:tcBorders>
              <w:top w:val="single" w:color="000000" w:sz="4" w:space="0"/>
              <w:left w:val="single" w:color="000000" w:sz="4" w:space="0"/>
              <w:bottom w:val="single" w:color="000000" w:sz="4" w:space="0"/>
              <w:right w:val="single" w:color="000000" w:sz="4" w:space="0"/>
            </w:tcBorders>
            <w:noWrap w:val="0"/>
            <w:vAlign w:val="center"/>
          </w:tcPr>
          <w:p w14:paraId="3F61CB9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noWrap w:val="0"/>
            <w:vAlign w:val="center"/>
          </w:tcPr>
          <w:p w14:paraId="125A7778">
            <w:pPr>
              <w:jc w:val="center"/>
              <w:rPr>
                <w:rFonts w:hint="eastAsia" w:ascii="宋体" w:hAnsi="宋体" w:eastAsia="宋体" w:cs="宋体"/>
                <w:i w:val="0"/>
                <w:iCs w:val="0"/>
                <w:color w:val="000000"/>
                <w:sz w:val="18"/>
                <w:szCs w:val="18"/>
                <w:u w:val="none"/>
              </w:rPr>
            </w:pPr>
          </w:p>
        </w:tc>
        <w:tc>
          <w:tcPr>
            <w:tcW w:w="2556" w:type="dxa"/>
            <w:tcBorders>
              <w:top w:val="single" w:color="000000" w:sz="4" w:space="0"/>
              <w:left w:val="single" w:color="000000" w:sz="4" w:space="0"/>
              <w:bottom w:val="single" w:color="000000" w:sz="4" w:space="0"/>
              <w:right w:val="single" w:color="000000" w:sz="4" w:space="0"/>
            </w:tcBorders>
            <w:noWrap w:val="0"/>
            <w:vAlign w:val="center"/>
          </w:tcPr>
          <w:p w14:paraId="4302A052">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14:paraId="7EFEC7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10583" w:type="dxa"/>
            <w:gridSpan w:val="8"/>
            <w:tcBorders>
              <w:top w:val="single" w:color="000000" w:sz="4" w:space="0"/>
              <w:left w:val="single" w:color="000000" w:sz="4" w:space="0"/>
              <w:bottom w:val="single" w:color="000000" w:sz="4" w:space="0"/>
              <w:right w:val="single" w:color="000000" w:sz="4" w:space="0"/>
            </w:tcBorders>
            <w:noWrap w:val="0"/>
            <w:vAlign w:val="center"/>
          </w:tcPr>
          <w:p w14:paraId="40D2A80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505" w:type="dxa"/>
            <w:tcBorders>
              <w:top w:val="single" w:color="000000" w:sz="4" w:space="0"/>
              <w:left w:val="single" w:color="000000" w:sz="4" w:space="0"/>
              <w:bottom w:val="single" w:color="000000" w:sz="4" w:space="0"/>
              <w:right w:val="single" w:color="000000" w:sz="4" w:space="0"/>
            </w:tcBorders>
            <w:noWrap w:val="0"/>
            <w:vAlign w:val="center"/>
          </w:tcPr>
          <w:p w14:paraId="574B746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56" w:type="dxa"/>
            <w:tcBorders>
              <w:top w:val="single" w:color="000000" w:sz="4" w:space="0"/>
              <w:left w:val="single" w:color="000000" w:sz="4" w:space="0"/>
              <w:bottom w:val="single" w:color="000000" w:sz="4" w:space="0"/>
              <w:right w:val="single" w:color="000000" w:sz="4" w:space="0"/>
            </w:tcBorders>
            <w:noWrap w:val="0"/>
            <w:vAlign w:val="center"/>
          </w:tcPr>
          <w:p w14:paraId="5057E282">
            <w:pPr>
              <w:rPr>
                <w:rFonts w:hint="eastAsia" w:ascii="宋体" w:hAnsi="宋体" w:eastAsia="宋体" w:cs="宋体"/>
                <w:i w:val="0"/>
                <w:iCs w:val="0"/>
                <w:color w:val="000000"/>
                <w:sz w:val="18"/>
                <w:szCs w:val="18"/>
                <w:u w:val="none"/>
              </w:rPr>
            </w:pPr>
          </w:p>
        </w:tc>
        <w:tc>
          <w:tcPr>
            <w:tcW w:w="2556" w:type="dxa"/>
            <w:tcBorders>
              <w:top w:val="single" w:color="000000" w:sz="4" w:space="0"/>
              <w:left w:val="single" w:color="000000" w:sz="4" w:space="0"/>
              <w:bottom w:val="single" w:color="000000" w:sz="4" w:space="0"/>
              <w:right w:val="single" w:color="000000" w:sz="4" w:space="0"/>
            </w:tcBorders>
            <w:noWrap w:val="0"/>
            <w:vAlign w:val="center"/>
          </w:tcPr>
          <w:p w14:paraId="06D8E77C">
            <w:pPr>
              <w:rPr>
                <w:rFonts w:hint="eastAsia" w:ascii="宋体" w:hAnsi="宋体" w:eastAsia="宋体" w:cs="宋体"/>
                <w:i w:val="0"/>
                <w:iCs w:val="0"/>
                <w:color w:val="000000"/>
                <w:sz w:val="18"/>
                <w:szCs w:val="18"/>
                <w:u w:val="none"/>
              </w:rPr>
            </w:pPr>
          </w:p>
        </w:tc>
      </w:tr>
      <w:tr w14:paraId="4A2F1C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684" w:type="dxa"/>
            <w:tcBorders>
              <w:top w:val="single" w:color="000000" w:sz="4" w:space="0"/>
              <w:left w:val="single" w:color="000000" w:sz="4" w:space="0"/>
              <w:bottom w:val="single" w:color="000000" w:sz="4" w:space="0"/>
              <w:right w:val="single" w:color="000000" w:sz="4" w:space="0"/>
            </w:tcBorders>
            <w:noWrap w:val="0"/>
            <w:vAlign w:val="center"/>
          </w:tcPr>
          <w:p w14:paraId="4D85379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13416" w:type="dxa"/>
            <w:gridSpan w:val="10"/>
            <w:tcBorders>
              <w:top w:val="single" w:color="000000" w:sz="4" w:space="0"/>
              <w:left w:val="single" w:color="000000" w:sz="4" w:space="0"/>
              <w:bottom w:val="single" w:color="000000" w:sz="4" w:space="0"/>
              <w:right w:val="single" w:color="000000" w:sz="4" w:space="0"/>
            </w:tcBorders>
            <w:noWrap w:val="0"/>
            <w:vAlign w:val="center"/>
          </w:tcPr>
          <w:p w14:paraId="3594B584">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完成茂县4个工业集中区重点管控单元SO</w:t>
            </w:r>
            <w:r>
              <w:rPr>
                <w:rStyle w:val="18"/>
                <w:rFonts w:eastAsia="微软雅黑"/>
                <w:lang w:val="en-US" w:eastAsia="zh-CN" w:bidi="ar"/>
              </w:rPr>
              <w:t>₂</w:t>
            </w:r>
            <w:r>
              <w:rPr>
                <w:rFonts w:hint="eastAsia" w:ascii="微软雅黑" w:hAnsi="微软雅黑" w:eastAsia="微软雅黑" w:cs="微软雅黑"/>
                <w:i/>
                <w:iCs/>
                <w:color w:val="000000"/>
                <w:kern w:val="0"/>
                <w:sz w:val="16"/>
                <w:szCs w:val="16"/>
                <w:u w:val="none"/>
                <w:lang w:val="en-US" w:eastAsia="zh-CN" w:bidi="ar"/>
              </w:rPr>
              <w:t>、NOx、PM</w:t>
            </w:r>
            <w:r>
              <w:rPr>
                <w:rStyle w:val="18"/>
                <w:rFonts w:eastAsia="微软雅黑"/>
                <w:lang w:val="en-US" w:eastAsia="zh-CN" w:bidi="ar"/>
              </w:rPr>
              <w:t>₂</w:t>
            </w:r>
            <w:r>
              <w:rPr>
                <w:rFonts w:hint="eastAsia" w:ascii="微软雅黑" w:hAnsi="微软雅黑" w:eastAsia="微软雅黑" w:cs="微软雅黑"/>
                <w:i/>
                <w:iCs/>
                <w:color w:val="000000"/>
                <w:kern w:val="0"/>
                <w:sz w:val="16"/>
                <w:szCs w:val="16"/>
                <w:u w:val="none"/>
                <w:lang w:val="en-US" w:eastAsia="zh-CN" w:bidi="ar"/>
              </w:rPr>
              <w:t>.</w:t>
            </w:r>
            <w:r>
              <w:rPr>
                <w:rStyle w:val="18"/>
                <w:rFonts w:eastAsia="微软雅黑"/>
                <w:lang w:val="en-US" w:eastAsia="zh-CN" w:bidi="ar"/>
              </w:rPr>
              <w:t>₅</w:t>
            </w:r>
            <w:r>
              <w:rPr>
                <w:rFonts w:hint="eastAsia" w:ascii="微软雅黑" w:hAnsi="微软雅黑" w:eastAsia="微软雅黑" w:cs="微软雅黑"/>
                <w:i/>
                <w:iCs/>
                <w:color w:val="000000"/>
                <w:kern w:val="0"/>
                <w:sz w:val="16"/>
                <w:szCs w:val="16"/>
                <w:u w:val="none"/>
                <w:lang w:val="en-US" w:eastAsia="zh-CN" w:bidi="ar"/>
              </w:rPr>
              <w:t>、VOCs允许排放量测算，编制更新论证报告，提出分阶段减排措施建议，为2025年和2035年PM2.5浓度达标提供科学支撑</w:t>
            </w:r>
          </w:p>
        </w:tc>
      </w:tr>
      <w:tr w14:paraId="243050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684" w:type="dxa"/>
            <w:tcBorders>
              <w:top w:val="single" w:color="000000" w:sz="4" w:space="0"/>
              <w:left w:val="single" w:color="000000" w:sz="4" w:space="0"/>
              <w:bottom w:val="single" w:color="000000" w:sz="4" w:space="0"/>
              <w:right w:val="single" w:color="000000" w:sz="4" w:space="0"/>
            </w:tcBorders>
            <w:noWrap w:val="0"/>
            <w:vAlign w:val="center"/>
          </w:tcPr>
          <w:p w14:paraId="0FCDB5A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13416" w:type="dxa"/>
            <w:gridSpan w:val="10"/>
            <w:tcBorders>
              <w:top w:val="single" w:color="000000" w:sz="4" w:space="0"/>
              <w:left w:val="single" w:color="000000" w:sz="4" w:space="0"/>
              <w:bottom w:val="single" w:color="000000" w:sz="4" w:space="0"/>
              <w:right w:val="single" w:color="000000" w:sz="4" w:space="0"/>
            </w:tcBorders>
            <w:noWrap w:val="0"/>
            <w:vAlign w:val="center"/>
          </w:tcPr>
          <w:p w14:paraId="15ABCF22">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绩效管理的跟踪反馈不足；加强预算编制的精细化管理，提高预算的准确性和可操作性</w:t>
            </w:r>
          </w:p>
        </w:tc>
      </w:tr>
      <w:tr w14:paraId="51E0C4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684" w:type="dxa"/>
            <w:tcBorders>
              <w:top w:val="single" w:color="000000" w:sz="4" w:space="0"/>
              <w:left w:val="single" w:color="000000" w:sz="4" w:space="0"/>
              <w:bottom w:val="single" w:color="000000" w:sz="4" w:space="0"/>
              <w:right w:val="single" w:color="000000" w:sz="4" w:space="0"/>
            </w:tcBorders>
            <w:noWrap w:val="0"/>
            <w:vAlign w:val="center"/>
          </w:tcPr>
          <w:p w14:paraId="0FA953A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13416" w:type="dxa"/>
            <w:gridSpan w:val="10"/>
            <w:tcBorders>
              <w:top w:val="single" w:color="000000" w:sz="4" w:space="0"/>
              <w:left w:val="single" w:color="000000" w:sz="4" w:space="0"/>
              <w:bottom w:val="single" w:color="000000" w:sz="4" w:space="0"/>
              <w:right w:val="single" w:color="000000" w:sz="4" w:space="0"/>
            </w:tcBorders>
            <w:noWrap w:val="0"/>
            <w:vAlign w:val="center"/>
          </w:tcPr>
          <w:p w14:paraId="75521807">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进一步加强单位预算编制、支出执行、决算编制等工作的管理，特别是应加快专项资金的预算执行进度；进一步科学设定绩效目标，加强预算执行管理。改进部门收支预算编制，夯实预算基础工作，提高预算编制质量</w:t>
            </w:r>
          </w:p>
        </w:tc>
      </w:tr>
      <w:tr w14:paraId="22588E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7707" w:type="dxa"/>
            <w:gridSpan w:val="5"/>
            <w:tcBorders>
              <w:top w:val="single" w:color="000000" w:sz="4" w:space="0"/>
              <w:left w:val="single" w:color="000000" w:sz="4" w:space="0"/>
              <w:bottom w:val="single" w:color="000000" w:sz="4" w:space="0"/>
              <w:right w:val="single" w:color="000000" w:sz="4" w:space="0"/>
            </w:tcBorders>
            <w:noWrap w:val="0"/>
            <w:vAlign w:val="center"/>
          </w:tcPr>
          <w:p w14:paraId="20ED8DD9">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项目负责人：张航</w:t>
            </w:r>
          </w:p>
        </w:tc>
        <w:tc>
          <w:tcPr>
            <w:tcW w:w="6393" w:type="dxa"/>
            <w:gridSpan w:val="6"/>
            <w:tcBorders>
              <w:top w:val="single" w:color="000000" w:sz="4" w:space="0"/>
              <w:left w:val="single" w:color="000000" w:sz="4" w:space="0"/>
              <w:bottom w:val="single" w:color="000000" w:sz="4" w:space="0"/>
              <w:right w:val="single" w:color="000000" w:sz="4" w:space="0"/>
            </w:tcBorders>
            <w:noWrap w:val="0"/>
            <w:vAlign w:val="center"/>
          </w:tcPr>
          <w:p w14:paraId="5FF5C8F4">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财务负责人：杨春鹏</w:t>
            </w:r>
          </w:p>
        </w:tc>
      </w:tr>
    </w:tbl>
    <w:p w14:paraId="1F645BB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Style w:val="12"/>
          <w:rFonts w:hint="eastAsia" w:ascii="仿宋_GB2312" w:hAnsi="Calibri" w:eastAsia="仿宋_GB2312" w:cs="Times New Roman"/>
          <w:b w:val="0"/>
          <w:bCs/>
          <w:color w:val="000000"/>
          <w:sz w:val="32"/>
          <w:szCs w:val="32"/>
          <w:lang w:val="en-US" w:eastAsia="zh-CN"/>
        </w:rPr>
        <w:sectPr>
          <w:pgSz w:w="16838" w:h="11906" w:orient="landscape"/>
          <w:pgMar w:top="1800" w:right="1440" w:bottom="1800" w:left="1440" w:header="720" w:footer="720" w:gutter="0"/>
          <w:pgNumType w:fmt="numberInDash"/>
          <w:cols w:space="720" w:num="1"/>
          <w:docGrid w:type="lines" w:linePitch="312" w:charSpace="0"/>
        </w:sectPr>
      </w:pPr>
    </w:p>
    <w:p w14:paraId="15CE271D">
      <w:pPr>
        <w:numPr>
          <w:ilvl w:val="0"/>
          <w:numId w:val="1"/>
        </w:numPr>
        <w:spacing w:line="600" w:lineRule="exact"/>
        <w:jc w:val="center"/>
        <w:outlineLvl w:val="0"/>
        <w:rPr>
          <w:rStyle w:val="13"/>
          <w:rFonts w:hint="eastAsia" w:ascii="黑体" w:hAnsi="黑体" w:eastAsia="黑体"/>
          <w:b w:val="0"/>
          <w:color w:val="auto"/>
          <w:highlight w:val="none"/>
        </w:rPr>
      </w:pPr>
      <w:bookmarkStart w:id="3" w:name="_Toc30437"/>
      <w:r>
        <w:rPr>
          <w:rStyle w:val="13"/>
          <w:rFonts w:hint="eastAsia" w:ascii="黑体" w:hAnsi="黑体" w:eastAsia="黑体"/>
          <w:b w:val="0"/>
          <w:color w:val="auto"/>
          <w:highlight w:val="none"/>
        </w:rPr>
        <w:t>附表</w:t>
      </w:r>
      <w:bookmarkEnd w:id="3"/>
    </w:p>
    <w:p w14:paraId="73616550">
      <w:pPr>
        <w:pStyle w:val="9"/>
        <w:keepNext w:val="0"/>
        <w:keepLines w:val="0"/>
        <w:pageBreakBefore w:val="0"/>
        <w:suppressAutoHyphens/>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p>
    <w:p w14:paraId="4B02DC9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Style w:val="12"/>
          <w:rFonts w:hint="eastAsia" w:ascii="仿宋_GB2312" w:hAnsi="Calibri" w:eastAsia="仿宋_GB2312" w:cs="Times New Roman"/>
          <w:b w:val="0"/>
          <w:bCs/>
          <w:color w:val="000000"/>
          <w:sz w:val="32"/>
          <w:szCs w:val="32"/>
          <w:lang w:val="en-US" w:eastAsia="zh-CN"/>
        </w:rPr>
      </w:pPr>
      <w:r>
        <w:rPr>
          <w:rStyle w:val="12"/>
          <w:rFonts w:hint="eastAsia" w:ascii="仿宋_GB2312" w:hAnsi="Calibri" w:eastAsia="仿宋_GB2312" w:cs="Times New Roman"/>
          <w:b w:val="0"/>
          <w:bCs/>
          <w:color w:val="000000"/>
          <w:sz w:val="32"/>
          <w:szCs w:val="32"/>
          <w:lang w:val="en-US" w:eastAsia="zh-CN"/>
        </w:rPr>
        <w:t>一、封面</w:t>
      </w:r>
    </w:p>
    <w:p w14:paraId="3D050E2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Style w:val="12"/>
          <w:rFonts w:hint="eastAsia" w:ascii="仿宋_GB2312" w:hAnsi="Calibri" w:eastAsia="仿宋_GB2312" w:cs="Times New Roman"/>
          <w:b w:val="0"/>
          <w:bCs/>
          <w:color w:val="000000"/>
          <w:sz w:val="32"/>
          <w:szCs w:val="32"/>
          <w:lang w:val="en-US" w:eastAsia="zh-CN"/>
        </w:rPr>
      </w:pPr>
      <w:r>
        <w:rPr>
          <w:rStyle w:val="12"/>
          <w:rFonts w:hint="eastAsia" w:ascii="仿宋_GB2312" w:hAnsi="Calibri" w:eastAsia="仿宋_GB2312" w:cs="Times New Roman"/>
          <w:b w:val="0"/>
          <w:bCs/>
          <w:color w:val="000000"/>
          <w:sz w:val="32"/>
          <w:szCs w:val="32"/>
          <w:lang w:val="en-US" w:eastAsia="zh-CN"/>
        </w:rPr>
        <w:t>二、收入支出决算总表</w:t>
      </w:r>
    </w:p>
    <w:p w14:paraId="5167B7F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Style w:val="12"/>
          <w:rFonts w:hint="eastAsia" w:ascii="仿宋_GB2312" w:hAnsi="Calibri" w:eastAsia="仿宋_GB2312" w:cs="Times New Roman"/>
          <w:b w:val="0"/>
          <w:bCs/>
          <w:color w:val="000000"/>
          <w:sz w:val="32"/>
          <w:szCs w:val="32"/>
          <w:lang w:val="en-US" w:eastAsia="zh-CN"/>
        </w:rPr>
      </w:pPr>
      <w:r>
        <w:rPr>
          <w:rStyle w:val="12"/>
          <w:rFonts w:hint="eastAsia" w:ascii="仿宋_GB2312" w:hAnsi="Calibri" w:eastAsia="仿宋_GB2312" w:cs="Times New Roman"/>
          <w:b w:val="0"/>
          <w:bCs/>
          <w:color w:val="000000"/>
          <w:sz w:val="32"/>
          <w:szCs w:val="32"/>
          <w:lang w:val="en-US" w:eastAsia="zh-CN"/>
        </w:rPr>
        <w:t>三、收入决算表</w:t>
      </w:r>
    </w:p>
    <w:p w14:paraId="3D1457B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Style w:val="12"/>
          <w:rFonts w:hint="eastAsia" w:ascii="仿宋_GB2312" w:hAnsi="Calibri" w:eastAsia="仿宋_GB2312" w:cs="Times New Roman"/>
          <w:b w:val="0"/>
          <w:bCs/>
          <w:color w:val="000000"/>
          <w:sz w:val="32"/>
          <w:szCs w:val="32"/>
          <w:lang w:val="en-US" w:eastAsia="zh-CN"/>
        </w:rPr>
      </w:pPr>
      <w:r>
        <w:rPr>
          <w:rStyle w:val="12"/>
          <w:rFonts w:hint="eastAsia" w:ascii="仿宋_GB2312" w:hAnsi="Calibri" w:eastAsia="仿宋_GB2312" w:cs="Times New Roman"/>
          <w:b w:val="0"/>
          <w:bCs/>
          <w:color w:val="000000"/>
          <w:sz w:val="32"/>
          <w:szCs w:val="32"/>
          <w:lang w:val="en-US" w:eastAsia="zh-CN"/>
        </w:rPr>
        <w:t>四、支出决算表</w:t>
      </w:r>
    </w:p>
    <w:p w14:paraId="4CE77FE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Style w:val="12"/>
          <w:rFonts w:hint="eastAsia" w:ascii="仿宋_GB2312" w:hAnsi="Calibri" w:eastAsia="仿宋_GB2312" w:cs="Times New Roman"/>
          <w:b w:val="0"/>
          <w:bCs/>
          <w:color w:val="000000"/>
          <w:sz w:val="32"/>
          <w:szCs w:val="32"/>
          <w:lang w:val="en-US" w:eastAsia="zh-CN"/>
        </w:rPr>
      </w:pPr>
      <w:r>
        <w:rPr>
          <w:rStyle w:val="12"/>
          <w:rFonts w:hint="eastAsia" w:ascii="仿宋_GB2312" w:hAnsi="Calibri" w:eastAsia="仿宋_GB2312" w:cs="Times New Roman"/>
          <w:b w:val="0"/>
          <w:bCs/>
          <w:color w:val="000000"/>
          <w:sz w:val="32"/>
          <w:szCs w:val="32"/>
          <w:lang w:val="en-US" w:eastAsia="zh-CN"/>
        </w:rPr>
        <w:t>五、财政拨款收入支出决算总表</w:t>
      </w:r>
    </w:p>
    <w:p w14:paraId="65C0040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Style w:val="12"/>
          <w:rFonts w:hint="eastAsia" w:ascii="仿宋_GB2312" w:hAnsi="Calibri" w:eastAsia="仿宋_GB2312" w:cs="Times New Roman"/>
          <w:b w:val="0"/>
          <w:bCs/>
          <w:color w:val="000000"/>
          <w:sz w:val="32"/>
          <w:szCs w:val="32"/>
          <w:lang w:val="en-US" w:eastAsia="zh-CN"/>
        </w:rPr>
      </w:pPr>
      <w:r>
        <w:rPr>
          <w:rStyle w:val="12"/>
          <w:rFonts w:hint="eastAsia" w:ascii="仿宋_GB2312" w:hAnsi="Calibri" w:eastAsia="仿宋_GB2312" w:cs="Times New Roman"/>
          <w:b w:val="0"/>
          <w:bCs/>
          <w:color w:val="000000"/>
          <w:sz w:val="32"/>
          <w:szCs w:val="32"/>
          <w:lang w:val="en-US" w:eastAsia="zh-CN"/>
        </w:rPr>
        <w:t>六、财政拨款支出决算明细表</w:t>
      </w:r>
    </w:p>
    <w:p w14:paraId="4E1742C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Style w:val="12"/>
          <w:rFonts w:hint="eastAsia" w:ascii="仿宋_GB2312" w:hAnsi="Calibri" w:eastAsia="仿宋_GB2312" w:cs="Times New Roman"/>
          <w:b w:val="0"/>
          <w:bCs/>
          <w:color w:val="000000"/>
          <w:sz w:val="32"/>
          <w:szCs w:val="32"/>
          <w:lang w:val="en-US" w:eastAsia="zh-CN"/>
        </w:rPr>
      </w:pPr>
      <w:r>
        <w:rPr>
          <w:rStyle w:val="12"/>
          <w:rFonts w:hint="eastAsia" w:ascii="仿宋_GB2312" w:hAnsi="Calibri" w:eastAsia="仿宋_GB2312" w:cs="Times New Roman"/>
          <w:b w:val="0"/>
          <w:bCs/>
          <w:color w:val="000000"/>
          <w:sz w:val="32"/>
          <w:szCs w:val="32"/>
          <w:lang w:val="en-US" w:eastAsia="zh-CN"/>
        </w:rPr>
        <w:t>七、一般公共预算财政拨款支出决算表</w:t>
      </w:r>
    </w:p>
    <w:p w14:paraId="04ACC31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Style w:val="12"/>
          <w:rFonts w:hint="eastAsia" w:ascii="仿宋_GB2312" w:hAnsi="Calibri" w:eastAsia="仿宋_GB2312" w:cs="Times New Roman"/>
          <w:b w:val="0"/>
          <w:bCs/>
          <w:color w:val="000000"/>
          <w:sz w:val="32"/>
          <w:szCs w:val="32"/>
          <w:lang w:val="en-US" w:eastAsia="zh-CN"/>
        </w:rPr>
      </w:pPr>
      <w:r>
        <w:rPr>
          <w:rStyle w:val="12"/>
          <w:rFonts w:hint="eastAsia" w:ascii="仿宋_GB2312" w:hAnsi="Calibri" w:eastAsia="仿宋_GB2312" w:cs="Times New Roman"/>
          <w:b w:val="0"/>
          <w:bCs/>
          <w:color w:val="000000"/>
          <w:sz w:val="32"/>
          <w:szCs w:val="32"/>
          <w:lang w:val="en-US" w:eastAsia="zh-CN"/>
        </w:rPr>
        <w:t>八、一般公共预算财政拨款支出决算明细表</w:t>
      </w:r>
    </w:p>
    <w:p w14:paraId="11A333A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Style w:val="12"/>
          <w:rFonts w:hint="eastAsia" w:ascii="仿宋_GB2312" w:hAnsi="Calibri" w:eastAsia="仿宋_GB2312" w:cs="Times New Roman"/>
          <w:b w:val="0"/>
          <w:bCs/>
          <w:color w:val="000000"/>
          <w:sz w:val="32"/>
          <w:szCs w:val="32"/>
          <w:lang w:val="en-US" w:eastAsia="zh-CN"/>
        </w:rPr>
      </w:pPr>
      <w:r>
        <w:rPr>
          <w:rStyle w:val="12"/>
          <w:rFonts w:hint="eastAsia" w:ascii="仿宋_GB2312" w:hAnsi="Calibri" w:eastAsia="仿宋_GB2312" w:cs="Times New Roman"/>
          <w:b w:val="0"/>
          <w:bCs/>
          <w:color w:val="000000"/>
          <w:sz w:val="32"/>
          <w:szCs w:val="32"/>
          <w:lang w:val="en-US" w:eastAsia="zh-CN"/>
        </w:rPr>
        <w:t>九、一般公共预算财政拨款基本支出决算明细表</w:t>
      </w:r>
    </w:p>
    <w:p w14:paraId="1B9DDA3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Style w:val="12"/>
          <w:rFonts w:hint="eastAsia" w:ascii="仿宋_GB2312" w:hAnsi="Calibri" w:eastAsia="仿宋_GB2312" w:cs="Times New Roman"/>
          <w:b w:val="0"/>
          <w:bCs/>
          <w:color w:val="000000"/>
          <w:sz w:val="32"/>
          <w:szCs w:val="32"/>
          <w:lang w:val="en-US" w:eastAsia="zh-CN"/>
        </w:rPr>
      </w:pPr>
      <w:r>
        <w:rPr>
          <w:rStyle w:val="12"/>
          <w:rFonts w:hint="eastAsia" w:ascii="仿宋_GB2312" w:hAnsi="Calibri" w:eastAsia="仿宋_GB2312" w:cs="Times New Roman"/>
          <w:b w:val="0"/>
          <w:bCs/>
          <w:color w:val="000000"/>
          <w:sz w:val="32"/>
          <w:szCs w:val="32"/>
          <w:lang w:val="en-US" w:eastAsia="zh-CN"/>
        </w:rPr>
        <w:t>十、一般公共预算财政拨款项目支出决算表</w:t>
      </w:r>
    </w:p>
    <w:p w14:paraId="7292729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Style w:val="12"/>
          <w:rFonts w:hint="eastAsia" w:ascii="仿宋_GB2312" w:hAnsi="Calibri" w:eastAsia="仿宋_GB2312" w:cs="Times New Roman"/>
          <w:b w:val="0"/>
          <w:bCs/>
          <w:color w:val="000000"/>
          <w:sz w:val="32"/>
          <w:szCs w:val="32"/>
          <w:lang w:val="en-US" w:eastAsia="zh-CN"/>
        </w:rPr>
      </w:pPr>
      <w:r>
        <w:rPr>
          <w:rStyle w:val="12"/>
          <w:rFonts w:hint="eastAsia" w:ascii="仿宋_GB2312" w:hAnsi="Calibri" w:eastAsia="仿宋_GB2312" w:cs="Times New Roman"/>
          <w:b w:val="0"/>
          <w:bCs/>
          <w:color w:val="000000"/>
          <w:sz w:val="32"/>
          <w:szCs w:val="32"/>
          <w:lang w:val="en-US" w:eastAsia="zh-CN"/>
        </w:rPr>
        <w:t>十一、政府性基金预算财政拨款收入支出决算表</w:t>
      </w:r>
    </w:p>
    <w:p w14:paraId="2AA71A2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Style w:val="12"/>
          <w:rFonts w:hint="eastAsia" w:ascii="仿宋_GB2312" w:hAnsi="Calibri" w:eastAsia="仿宋_GB2312" w:cs="Times New Roman"/>
          <w:b w:val="0"/>
          <w:bCs/>
          <w:color w:val="000000"/>
          <w:sz w:val="32"/>
          <w:szCs w:val="32"/>
          <w:lang w:val="en-US" w:eastAsia="zh-CN"/>
        </w:rPr>
      </w:pPr>
      <w:r>
        <w:rPr>
          <w:rStyle w:val="12"/>
          <w:rFonts w:hint="eastAsia" w:ascii="仿宋_GB2312" w:hAnsi="Calibri" w:eastAsia="仿宋_GB2312" w:cs="Times New Roman"/>
          <w:b w:val="0"/>
          <w:bCs/>
          <w:color w:val="000000"/>
          <w:sz w:val="32"/>
          <w:szCs w:val="32"/>
          <w:lang w:val="en-US" w:eastAsia="zh-CN"/>
        </w:rPr>
        <w:t>十二、国有资本经营预算财政拨款收入支出决算表</w:t>
      </w:r>
    </w:p>
    <w:p w14:paraId="30316D3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Style w:val="12"/>
          <w:rFonts w:hint="eastAsia" w:ascii="仿宋_GB2312" w:hAnsi="Calibri" w:eastAsia="仿宋_GB2312" w:cs="Times New Roman"/>
          <w:b w:val="0"/>
          <w:bCs/>
          <w:color w:val="000000"/>
          <w:sz w:val="32"/>
          <w:szCs w:val="32"/>
          <w:lang w:val="en-US" w:eastAsia="zh-CN"/>
        </w:rPr>
      </w:pPr>
      <w:r>
        <w:rPr>
          <w:rStyle w:val="12"/>
          <w:rFonts w:hint="eastAsia" w:ascii="仿宋_GB2312" w:hAnsi="Calibri" w:eastAsia="仿宋_GB2312" w:cs="Times New Roman"/>
          <w:b w:val="0"/>
          <w:bCs/>
          <w:color w:val="000000"/>
          <w:sz w:val="32"/>
          <w:szCs w:val="32"/>
          <w:lang w:val="en-US" w:eastAsia="zh-CN"/>
        </w:rPr>
        <w:t>十三、国有资本经营预算财政拨款支出决算表</w:t>
      </w:r>
    </w:p>
    <w:p w14:paraId="533FA50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Style w:val="12"/>
          <w:rFonts w:hint="eastAsia" w:ascii="仿宋_GB2312" w:hAnsi="Calibri" w:eastAsia="仿宋_GB2312" w:cs="Times New Roman"/>
          <w:b w:val="0"/>
          <w:bCs/>
          <w:color w:val="000000"/>
          <w:sz w:val="32"/>
          <w:szCs w:val="32"/>
          <w:lang w:val="en-US" w:eastAsia="zh-CN"/>
        </w:rPr>
      </w:pPr>
      <w:r>
        <w:rPr>
          <w:rStyle w:val="12"/>
          <w:rFonts w:hint="eastAsia" w:ascii="仿宋_GB2312" w:hAnsi="Calibri" w:eastAsia="仿宋_GB2312" w:cs="Times New Roman"/>
          <w:b w:val="0"/>
          <w:bCs/>
          <w:color w:val="000000"/>
          <w:sz w:val="32"/>
          <w:szCs w:val="32"/>
          <w:lang w:val="en-US" w:eastAsia="zh-CN"/>
        </w:rPr>
        <w:t>十四、财政拨款“三公”经费支出决算</w:t>
      </w:r>
    </w:p>
    <w:p w14:paraId="2683A165"/>
    <w:sectPr>
      <w:headerReference r:id="rId5" w:type="default"/>
      <w:footerReference r:id="rId6" w:type="default"/>
      <w:pgSz w:w="11906" w:h="16838"/>
      <w:pgMar w:top="1440" w:right="1800" w:bottom="1440" w:left="1800" w:header="720" w:footer="720" w:gutter="0"/>
      <w:pgNumType w:fmt="numberInDash"/>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w:panose1 w:val="02040503050406030204"/>
    <w:charset w:val="00"/>
    <w:family w:val="roman"/>
    <w:pitch w:val="default"/>
    <w:sig w:usb0="E00002FF" w:usb1="400004FF" w:usb2="00000000" w:usb3="00000000" w:csb0="2000019F" w:csb1="00000000"/>
  </w:font>
  <w:font w:name="仿宋">
    <w:panose1 w:val="02010609060101010101"/>
    <w:charset w:val="86"/>
    <w:family w:val="modern"/>
    <w:pitch w:val="default"/>
    <w:sig w:usb0="800002BF" w:usb1="38CF7CFA" w:usb2="00000016" w:usb3="00000000" w:csb0="00040001" w:csb1="00000000"/>
  </w:font>
  <w:font w:name="方正小标宋简体">
    <w:panose1 w:val="03000509000000000000"/>
    <w:charset w:val="86"/>
    <w:family w:val="script"/>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280F3C52" w:usb2="00000016" w:usb3="00000000" w:csb0="0004001F" w:csb1="00000000"/>
  </w:font>
  <w:font w:name="Gulim">
    <w:panose1 w:val="020B0600000101010101"/>
    <w:charset w:val="81"/>
    <w:family w:val="auto"/>
    <w:pitch w:val="default"/>
    <w:sig w:usb0="B00002AF" w:usb1="69D77CFB" w:usb2="00000030" w:usb3="00000000" w:csb0="4008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68E208">
    <w:pPr>
      <w:pStyle w:val="6"/>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70D5953">
                          <w:pPr>
                            <w:pStyle w:val="6"/>
                          </w:pPr>
                          <w:r>
                            <w:fldChar w:fldCharType="begin"/>
                          </w:r>
                          <w:r>
                            <w:instrText xml:space="preserve"> PAGE  \* MERGEFORMAT </w:instrText>
                          </w:r>
                          <w:r>
                            <w:fldChar w:fldCharType="separate"/>
                          </w:r>
                          <w:r>
                            <w:t>- 1 -</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rADh6MQIAAGMEAAAOAAAAAAAAAAEAIAAAAB8BAABkcnMvZTJvRG9jLnhtbFBLBQYA&#10;AAAABgAGAFkBAADCBQAAAAA=&#10;">
              <v:fill on="f" focussize="0,0"/>
              <v:stroke on="f" weight="0.5pt"/>
              <v:imagedata o:title=""/>
              <o:lock v:ext="edit" aspectratio="f"/>
              <v:textbox inset="0mm,0mm,0mm,0mm" style="mso-fit-shape-to-text:t;">
                <w:txbxContent>
                  <w:p w14:paraId="370D5953">
                    <w:pPr>
                      <w:pStyle w:val="6"/>
                    </w:pPr>
                    <w:r>
                      <w:fldChar w:fldCharType="begin"/>
                    </w:r>
                    <w:r>
                      <w:instrText xml:space="preserve"> PAGE  \* MERGEFORMAT </w:instrText>
                    </w:r>
                    <w:r>
                      <w:fldChar w:fldCharType="separate"/>
                    </w:r>
                    <w:r>
                      <w:t>- 1 -</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FF2C5F">
    <w:pPr>
      <w:pStyle w:val="6"/>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2" name="文本框 1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759656F">
                          <w:pPr>
                            <w:pStyle w:val="6"/>
                          </w:pPr>
                          <w:r>
                            <w:fldChar w:fldCharType="begin"/>
                          </w:r>
                          <w:r>
                            <w:instrText xml:space="preserve"> PAGE  \* MERGEFORMAT </w:instrText>
                          </w:r>
                          <w:r>
                            <w:fldChar w:fldCharType="separate"/>
                          </w:r>
                          <w:r>
                            <w:t>- 18 -</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z+8ZE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s/vGRMQIAAGMEAAAOAAAAAAAAAAEAIAAAAB8BAABkcnMvZTJvRG9jLnhtbFBLBQYA&#10;AAAABgAGAFkBAADCBQAAAAA=&#10;">
              <v:fill on="f" focussize="0,0"/>
              <v:stroke on="f" weight="0.5pt"/>
              <v:imagedata o:title=""/>
              <o:lock v:ext="edit" aspectratio="f"/>
              <v:textbox inset="0mm,0mm,0mm,0mm" style="mso-fit-shape-to-text:t;">
                <w:txbxContent>
                  <w:p w14:paraId="5759656F">
                    <w:pPr>
                      <w:pStyle w:val="6"/>
                    </w:pPr>
                    <w:r>
                      <w:fldChar w:fldCharType="begin"/>
                    </w:r>
                    <w:r>
                      <w:instrText xml:space="preserve"> PAGE  \* MERGEFORMAT </w:instrText>
                    </w:r>
                    <w:r>
                      <w:fldChar w:fldCharType="separate"/>
                    </w:r>
                    <w:r>
                      <w:t>- 18 -</w:t>
                    </w:r>
                    <w:r>
                      <w:fldChar w:fldCharType="end"/>
                    </w:r>
                  </w:p>
                </w:txbxContent>
              </v:textbox>
            </v:shape>
          </w:pict>
        </mc:Fallback>
      </mc:AlternateContent>
    </w:r>
    <w:r>
      <w:rPr>
        <w:rFonts w:hint="eastAsia"/>
        <w:lang w:eastAsia="zh-CN"/>
      </w:rPr>
      <w:tab/>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7ABB28">
    <w:pPr>
      <w:pStyle w:val="7"/>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715C6F">
    <w:pPr>
      <w:pStyle w:val="7"/>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9AE3F30"/>
    <w:multiLevelType w:val="singleLevel"/>
    <w:tmpl w:val="99AE3F30"/>
    <w:lvl w:ilvl="0" w:tentative="0">
      <w:start w:val="5"/>
      <w:numFmt w:val="chineseCounting"/>
      <w:suff w:val="space"/>
      <w:lvlText w:val="第%1部分"/>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1070BAB"/>
    <w:rsid w:val="01070BAB"/>
    <w:rsid w:val="0BDB70BB"/>
    <w:rsid w:val="17A80401"/>
    <w:rsid w:val="1DFD2257"/>
    <w:rsid w:val="1E6813C8"/>
    <w:rsid w:val="2B8E7BE2"/>
    <w:rsid w:val="304B1506"/>
    <w:rsid w:val="315C42DF"/>
    <w:rsid w:val="3A010C53"/>
    <w:rsid w:val="47D97FDF"/>
    <w:rsid w:val="47FF071E"/>
    <w:rsid w:val="4B410375"/>
    <w:rsid w:val="70C30EDA"/>
    <w:rsid w:val="77313A7E"/>
    <w:rsid w:val="793B5B5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unhideWhenUsed="0" w:uiPriority="0" w:semiHidden="0" w:name="Normal"/>
    <w:lsdException w:qFormat="1" w:unhideWhenUsed="0" w:uiPriority="9" w:semiHidden="0" w:name="heading 1"/>
    <w:lsdException w:qFormat="1" w:uiPriority="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iPriority="39" w:semiHidden="0" w:name="toc 1"/>
    <w:lsdException w:qFormat="1" w:uiPriority="39"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99"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uiPriority w:val="0"/>
    <w:pPr>
      <w:widowControl w:val="0"/>
      <w:suppressAutoHyphens/>
      <w:bidi w:val="0"/>
      <w:jc w:val="both"/>
    </w:pPr>
    <w:rPr>
      <w:rFonts w:ascii="Calibri" w:hAnsi="Calibri" w:eastAsia="宋体" w:cs="Times New Roman"/>
      <w:color w:val="auto"/>
      <w:kern w:val="2"/>
      <w:sz w:val="21"/>
      <w:szCs w:val="24"/>
      <w:lang w:val="en-US" w:eastAsia="zh-CN" w:bidi="ar-SA"/>
    </w:rPr>
  </w:style>
  <w:style w:type="paragraph" w:styleId="3">
    <w:name w:val="heading 1"/>
    <w:basedOn w:val="1"/>
    <w:next w:val="1"/>
    <w:link w:val="13"/>
    <w:qFormat/>
    <w:uiPriority w:val="9"/>
    <w:pPr>
      <w:keepNext/>
      <w:keepLines/>
      <w:spacing w:before="340" w:after="330" w:line="578" w:lineRule="auto"/>
      <w:outlineLvl w:val="0"/>
    </w:pPr>
    <w:rPr>
      <w:b/>
      <w:bCs/>
      <w:kern w:val="44"/>
      <w:sz w:val="44"/>
      <w:szCs w:val="44"/>
    </w:rPr>
  </w:style>
  <w:style w:type="paragraph" w:styleId="4">
    <w:name w:val="heading 2"/>
    <w:basedOn w:val="1"/>
    <w:next w:val="1"/>
    <w:link w:val="14"/>
    <w:unhideWhenUsed/>
    <w:qFormat/>
    <w:uiPriority w:val="9"/>
    <w:pPr>
      <w:keepNext/>
      <w:keepLines/>
      <w:spacing w:before="260" w:after="260" w:line="416" w:lineRule="auto"/>
      <w:outlineLvl w:val="1"/>
    </w:pPr>
    <w:rPr>
      <w:rFonts w:ascii="Cambria" w:hAnsi="Cambria" w:eastAsia="宋体" w:cs="Times New Roman"/>
      <w:b/>
      <w:bCs/>
      <w:sz w:val="32"/>
      <w:szCs w:val="32"/>
    </w:rPr>
  </w:style>
  <w:style w:type="character" w:default="1" w:styleId="11">
    <w:name w:val="Default Paragraph Font"/>
    <w:semiHidden/>
    <w:qFormat/>
    <w:uiPriority w:val="0"/>
  </w:style>
  <w:style w:type="table" w:default="1" w:styleId="10">
    <w:name w:val="Normal Table"/>
    <w:semiHidden/>
    <w:qFormat/>
    <w:uiPriority w:val="0"/>
    <w:tblPr>
      <w:tblCellMar>
        <w:top w:w="0" w:type="dxa"/>
        <w:left w:w="108" w:type="dxa"/>
        <w:bottom w:w="0" w:type="dxa"/>
        <w:right w:w="108" w:type="dxa"/>
      </w:tblCellMar>
    </w:tblPr>
  </w:style>
  <w:style w:type="paragraph" w:customStyle="1" w:styleId="2">
    <w:name w:val="标题 5（有编号）（绿盟科技）"/>
    <w:next w:val="1"/>
    <w:qFormat/>
    <w:uiPriority w:val="99"/>
    <w:pPr>
      <w:keepNext/>
      <w:keepLines/>
      <w:widowControl w:val="0"/>
      <w:spacing w:before="280" w:after="156" w:line="377" w:lineRule="auto"/>
      <w:outlineLvl w:val="4"/>
    </w:pPr>
    <w:rPr>
      <w:rFonts w:ascii="Arial" w:hAnsi="Arial" w:eastAsia="黑体" w:cs="Times New Roman"/>
      <w:b/>
      <w:kern w:val="2"/>
      <w:sz w:val="24"/>
      <w:szCs w:val="28"/>
      <w:lang w:val="en-US" w:eastAsia="zh-CN" w:bidi="ar-SA"/>
    </w:rPr>
  </w:style>
  <w:style w:type="paragraph" w:styleId="5">
    <w:name w:val="Body Text"/>
    <w:basedOn w:val="1"/>
    <w:qFormat/>
    <w:uiPriority w:val="0"/>
    <w:pPr>
      <w:spacing w:before="0" w:after="140" w:line="276" w:lineRule="auto"/>
    </w:pPr>
  </w:style>
  <w:style w:type="paragraph" w:styleId="6">
    <w:name w:val="footer"/>
    <w:basedOn w:val="1"/>
    <w:qFormat/>
    <w:uiPriority w:val="0"/>
    <w:pPr>
      <w:tabs>
        <w:tab w:val="center" w:pos="4153"/>
        <w:tab w:val="right" w:pos="8306"/>
      </w:tabs>
      <w:snapToGrid w:val="0"/>
      <w:jc w:val="left"/>
    </w:pPr>
    <w:rPr>
      <w:sz w:val="18"/>
    </w:rPr>
  </w:style>
  <w:style w:type="paragraph" w:styleId="7">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8">
    <w:name w:val="toc 1"/>
    <w:basedOn w:val="1"/>
    <w:next w:val="1"/>
    <w:unhideWhenUsed/>
    <w:qFormat/>
    <w:uiPriority w:val="39"/>
    <w:pPr>
      <w:tabs>
        <w:tab w:val="right" w:leader="dot" w:pos="8296"/>
      </w:tabs>
      <w:spacing w:before="93"/>
      <w:jc w:val="center"/>
    </w:pPr>
    <w:rPr>
      <w:rFonts w:ascii="仿宋" w:hAnsi="仿宋" w:eastAsia="仿宋"/>
      <w:sz w:val="28"/>
      <w:szCs w:val="28"/>
    </w:rPr>
  </w:style>
  <w:style w:type="paragraph" w:styleId="9">
    <w:name w:val="toc 2"/>
    <w:basedOn w:val="1"/>
    <w:next w:val="1"/>
    <w:unhideWhenUsed/>
    <w:qFormat/>
    <w:uiPriority w:val="39"/>
    <w:pPr>
      <w:tabs>
        <w:tab w:val="right" w:leader="dot" w:pos="8296"/>
      </w:tabs>
      <w:ind w:left="420" w:leftChars="200"/>
    </w:pPr>
  </w:style>
  <w:style w:type="character" w:styleId="12">
    <w:name w:val="Strong"/>
    <w:basedOn w:val="11"/>
    <w:qFormat/>
    <w:uiPriority w:val="99"/>
    <w:rPr>
      <w:b/>
    </w:rPr>
  </w:style>
  <w:style w:type="character" w:customStyle="1" w:styleId="13">
    <w:name w:val="标题 1 Char"/>
    <w:basedOn w:val="11"/>
    <w:link w:val="3"/>
    <w:qFormat/>
    <w:uiPriority w:val="9"/>
    <w:rPr>
      <w:b/>
      <w:bCs/>
      <w:kern w:val="44"/>
      <w:sz w:val="44"/>
      <w:szCs w:val="44"/>
    </w:rPr>
  </w:style>
  <w:style w:type="character" w:customStyle="1" w:styleId="14">
    <w:name w:val="标题 2 Char"/>
    <w:basedOn w:val="11"/>
    <w:link w:val="4"/>
    <w:qFormat/>
    <w:uiPriority w:val="9"/>
    <w:rPr>
      <w:rFonts w:ascii="Cambria" w:hAnsi="Cambria" w:eastAsia="宋体" w:cs="Times New Roman"/>
      <w:b/>
      <w:bCs/>
      <w:sz w:val="32"/>
      <w:szCs w:val="32"/>
    </w:rPr>
  </w:style>
  <w:style w:type="paragraph" w:styleId="15">
    <w:name w:val="List Paragraph"/>
    <w:basedOn w:val="1"/>
    <w:qFormat/>
    <w:uiPriority w:val="34"/>
    <w:pPr>
      <w:ind w:firstLine="420" w:firstLineChars="200"/>
    </w:pPr>
  </w:style>
  <w:style w:type="character" w:customStyle="1" w:styleId="16">
    <w:name w:val="font71"/>
    <w:basedOn w:val="11"/>
    <w:qFormat/>
    <w:uiPriority w:val="0"/>
    <w:rPr>
      <w:rFonts w:hint="default" w:ascii="Times New Roman" w:hAnsi="Times New Roman" w:cs="Times New Roman"/>
      <w:color w:val="000000"/>
      <w:sz w:val="18"/>
      <w:szCs w:val="18"/>
      <w:u w:val="none"/>
    </w:rPr>
  </w:style>
  <w:style w:type="character" w:customStyle="1" w:styleId="17">
    <w:name w:val="font21"/>
    <w:basedOn w:val="11"/>
    <w:qFormat/>
    <w:uiPriority w:val="0"/>
    <w:rPr>
      <w:rFonts w:ascii="宋体" w:hAnsi="宋体" w:eastAsia="宋体" w:cs="宋体"/>
      <w:color w:val="000000"/>
      <w:sz w:val="18"/>
      <w:szCs w:val="18"/>
      <w:u w:val="none"/>
    </w:rPr>
  </w:style>
  <w:style w:type="character" w:customStyle="1" w:styleId="18">
    <w:name w:val="font81"/>
    <w:basedOn w:val="11"/>
    <w:qFormat/>
    <w:uiPriority w:val="0"/>
    <w:rPr>
      <w:rFonts w:hint="default" w:ascii="Times New Roman" w:hAnsi="Times New Roman" w:cs="Times New Roman"/>
      <w:i/>
      <w:iCs/>
      <w:color w:val="000000"/>
      <w:sz w:val="16"/>
      <w:szCs w:val="16"/>
      <w:u w:val="none"/>
    </w:rPr>
  </w:style>
</w:styles>
</file>

<file path=word/_rels/document.xml.rels><?xml version="1.0" encoding="UTF-8" standalone="yes"?>
<Relationships xmlns="http://schemas.openxmlformats.org/package/2006/relationships"><Relationship Id="rId9" Type="http://schemas.openxmlformats.org/officeDocument/2006/relationships/chart" Target="charts/chart2.xml"/><Relationship Id="rId8" Type="http://schemas.openxmlformats.org/officeDocument/2006/relationships/chart" Target="charts/chart1.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header" Target="head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8" Type="http://schemas.openxmlformats.org/officeDocument/2006/relationships/fontTable" Target="fontTable.xml"/><Relationship Id="rId17" Type="http://schemas.openxmlformats.org/officeDocument/2006/relationships/customXml" Target="../customXml/item2.xml"/><Relationship Id="rId16" Type="http://schemas.openxmlformats.org/officeDocument/2006/relationships/numbering" Target="numbering.xml"/><Relationship Id="rId15" Type="http://schemas.openxmlformats.org/officeDocument/2006/relationships/customXml" Target="../customXml/item1.xml"/><Relationship Id="rId14" Type="http://schemas.openxmlformats.org/officeDocument/2006/relationships/chart" Target="charts/chart7.xml"/><Relationship Id="rId13" Type="http://schemas.openxmlformats.org/officeDocument/2006/relationships/chart" Target="charts/chart6.xml"/><Relationship Id="rId12" Type="http://schemas.openxmlformats.org/officeDocument/2006/relationships/chart" Target="charts/chart5.xml"/><Relationship Id="rId11" Type="http://schemas.openxmlformats.org/officeDocument/2006/relationships/chart" Target="charts/chart4.xml"/><Relationship Id="rId10" Type="http://schemas.openxmlformats.org/officeDocument/2006/relationships/chart" Target="charts/chart3.xml"/><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package" Target="../embeddings/Workbook1.xlsx"/></Relationships>
</file>

<file path=word/charts/_rels/chart2.xml.rels><?xml version="1.0" encoding="UTF-8" standalone="yes"?>
<Relationships xmlns="http://schemas.openxmlformats.org/package/2006/relationships"><Relationship Id="rId3" Type="http://schemas.microsoft.com/office/2011/relationships/chartColorStyle" Target="colors2.xml"/><Relationship Id="rId2" Type="http://schemas.microsoft.com/office/2011/relationships/chartStyle" Target="style2.xml"/><Relationship Id="rId1" Type="http://schemas.openxmlformats.org/officeDocument/2006/relationships/package" Target="../embeddings/Workbook2.xlsx"/></Relationships>
</file>

<file path=word/charts/_rels/chart3.xml.rels><?xml version="1.0" encoding="UTF-8" standalone="yes"?>
<Relationships xmlns="http://schemas.openxmlformats.org/package/2006/relationships"><Relationship Id="rId3" Type="http://schemas.microsoft.com/office/2011/relationships/chartColorStyle" Target="colors3.xml"/><Relationship Id="rId2" Type="http://schemas.microsoft.com/office/2011/relationships/chartStyle" Target="style3.xml"/><Relationship Id="rId1" Type="http://schemas.openxmlformats.org/officeDocument/2006/relationships/package" Target="../embeddings/Workbook3.xlsx"/></Relationships>
</file>

<file path=word/charts/_rels/chart4.xml.rels><?xml version="1.0" encoding="UTF-8" standalone="yes"?>
<Relationships xmlns="http://schemas.openxmlformats.org/package/2006/relationships"><Relationship Id="rId3" Type="http://schemas.microsoft.com/office/2011/relationships/chartColorStyle" Target="colors4.xml"/><Relationship Id="rId2" Type="http://schemas.microsoft.com/office/2011/relationships/chartStyle" Target="style4.xml"/><Relationship Id="rId1" Type="http://schemas.openxmlformats.org/officeDocument/2006/relationships/package" Target="../embeddings/Workbook4.xlsx"/></Relationships>
</file>

<file path=word/charts/_rels/chart5.xml.rels><?xml version="1.0" encoding="UTF-8" standalone="yes"?>
<Relationships xmlns="http://schemas.openxmlformats.org/package/2006/relationships"><Relationship Id="rId3" Type="http://schemas.microsoft.com/office/2011/relationships/chartColorStyle" Target="colors5.xml"/><Relationship Id="rId2" Type="http://schemas.microsoft.com/office/2011/relationships/chartStyle" Target="style5.xml"/><Relationship Id="rId1" Type="http://schemas.openxmlformats.org/officeDocument/2006/relationships/package" Target="../embeddings/Workbook5.xlsx"/></Relationships>
</file>

<file path=word/charts/_rels/chart6.xml.rels><?xml version="1.0" encoding="UTF-8" standalone="yes"?>
<Relationships xmlns="http://schemas.openxmlformats.org/package/2006/relationships"><Relationship Id="rId3" Type="http://schemas.microsoft.com/office/2011/relationships/chartColorStyle" Target="colors6.xml"/><Relationship Id="rId2" Type="http://schemas.microsoft.com/office/2011/relationships/chartStyle" Target="style6.xml"/><Relationship Id="rId1" Type="http://schemas.openxmlformats.org/officeDocument/2006/relationships/package" Target="../embeddings/Workbook6.xlsx"/></Relationships>
</file>

<file path=word/charts/_rels/chart7.xml.rels><?xml version="1.0" encoding="UTF-8" standalone="yes"?>
<Relationships xmlns="http://schemas.openxmlformats.org/package/2006/relationships"><Relationship Id="rId3" Type="http://schemas.microsoft.com/office/2011/relationships/chartColorStyle" Target="colors7.xml"/><Relationship Id="rId2" Type="http://schemas.microsoft.com/office/2011/relationships/chartStyle" Target="style7.xml"/><Relationship Id="rId1" Type="http://schemas.openxmlformats.org/officeDocument/2006/relationships/package" Target="../embeddings/Workbook7.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t>收入、支出决算总计变动情况图</a:t>
            </a:r>
          </a:p>
        </c:rich>
      </c:tx>
      <c:layout>
        <c:manualLayout>
          <c:xMode val="edge"/>
          <c:yMode val="edge"/>
          <c:x val="0.125716625716626"/>
          <c:y val="0.00782064650677789"/>
        </c:manualLayout>
      </c:layout>
      <c:overlay val="0"/>
      <c:spPr>
        <a:noFill/>
        <a:ln>
          <a:noFill/>
        </a:ln>
        <a:effectLst/>
      </c:spPr>
    </c:title>
    <c:autoTitleDeleted val="0"/>
    <c:plotArea>
      <c:layout/>
      <c:barChart>
        <c:barDir val="col"/>
        <c:grouping val="clustered"/>
        <c:varyColors val="0"/>
        <c:ser>
          <c:idx val="0"/>
          <c:order val="0"/>
          <c:tx>
            <c:strRef>
              <c:f>Sheet1!$B$1</c:f>
              <c:strCache>
                <c:ptCount val="1"/>
                <c:pt idx="0">
                  <c:v>2024年</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收入</c:v>
                </c:pt>
                <c:pt idx="1">
                  <c:v>支出</c:v>
                </c:pt>
              </c:strCache>
            </c:strRef>
          </c:cat>
          <c:val>
            <c:numRef>
              <c:f>Sheet1!$B$2:$B$3</c:f>
              <c:numCache>
                <c:formatCode>General</c:formatCode>
                <c:ptCount val="2"/>
                <c:pt idx="0">
                  <c:v>192.73</c:v>
                </c:pt>
                <c:pt idx="1">
                  <c:v>192.73</c:v>
                </c:pt>
              </c:numCache>
            </c:numRef>
          </c:val>
        </c:ser>
        <c:ser>
          <c:idx val="1"/>
          <c:order val="1"/>
          <c:tx>
            <c:strRef>
              <c:f>Sheet1!$C$1</c:f>
              <c:strCache>
                <c:ptCount val="1"/>
                <c:pt idx="0">
                  <c:v>2025年</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收入</c:v>
                </c:pt>
                <c:pt idx="1">
                  <c:v>支出</c:v>
                </c:pt>
              </c:strCache>
            </c:strRef>
          </c:cat>
          <c:val>
            <c:numRef>
              <c:f>Sheet1!$C$2:$C$3</c:f>
              <c:numCache>
                <c:formatCode>General</c:formatCode>
                <c:ptCount val="2"/>
                <c:pt idx="0">
                  <c:v>168.93</c:v>
                </c:pt>
                <c:pt idx="1">
                  <c:v>168.93</c:v>
                </c:pt>
              </c:numCache>
            </c:numRef>
          </c:val>
        </c:ser>
        <c:dLbls>
          <c:showLegendKey val="0"/>
          <c:showVal val="1"/>
          <c:showCatName val="0"/>
          <c:showSerName val="0"/>
          <c:showPercent val="0"/>
          <c:showBubbleSize val="0"/>
        </c:dLbls>
        <c:gapWidth val="246"/>
        <c:overlap val="-28"/>
        <c:axId val="273515539"/>
        <c:axId val="340158004"/>
      </c:barChart>
      <c:catAx>
        <c:axId val="273515539"/>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40158004"/>
        <c:crosses val="autoZero"/>
        <c:auto val="1"/>
        <c:lblAlgn val="ctr"/>
        <c:lblOffset val="100"/>
        <c:noMultiLvlLbl val="0"/>
      </c:catAx>
      <c:valAx>
        <c:axId val="340158004"/>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73515539"/>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560e3187-4b5e-4c3b-9612-61f1df7cf0bf}"/>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0" vertOverflow="ellipsis" vert="horz" wrap="square" anchor="ctr" anchorCtr="1"/>
        <a:lstStyle/>
        <a:p>
          <a:pPr>
            <a:defRPr lang="zh-CN" sz="1400" b="1" i="0" u="none" strike="noStrike" kern="1200" baseline="0">
              <a:solidFill>
                <a:schemeClr val="tx1">
                  <a:lumMod val="75000"/>
                  <a:lumOff val="25000"/>
                </a:schemeClr>
              </a:solidFill>
              <a:latin typeface="+mn-lt"/>
              <a:ea typeface="+mn-ea"/>
              <a:cs typeface="+mn-cs"/>
            </a:defRPr>
          </a:pPr>
        </a:p>
      </c:txPr>
    </c:title>
    <c:autoTitleDeleted val="0"/>
    <c:plotArea>
      <c:layout/>
      <c:pieChart>
        <c:varyColors val="1"/>
        <c:ser>
          <c:idx val="0"/>
          <c:order val="0"/>
          <c:tx>
            <c:strRef>
              <c:f>Sheet1!$B$1</c:f>
              <c:strCache>
                <c:ptCount val="1"/>
                <c:pt idx="0">
                  <c:v>收入决算结构图</c:v>
                </c:pt>
              </c:strCache>
            </c:strRef>
          </c:tx>
          <c:spPr/>
          <c:explosion val="0"/>
          <c:dPt>
            <c:idx val="0"/>
            <c:bubble3D val="0"/>
            <c:spPr>
              <a:solidFill>
                <a:schemeClr val="accent1"/>
              </a:solidFill>
              <a:ln>
                <a:solidFill>
                  <a:schemeClr val="bg1"/>
                </a:solidFill>
              </a:ln>
              <a:effectLst/>
            </c:spPr>
          </c:dPt>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bestFit"/>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c:f>
              <c:strCache>
                <c:ptCount val="1"/>
                <c:pt idx="0">
                  <c:v>一般公共预算财政拨款收入</c:v>
                </c:pt>
              </c:strCache>
            </c:strRef>
          </c:cat>
          <c:val>
            <c:numRef>
              <c:f>Sheet1!$B$2</c:f>
              <c:numCache>
                <c:formatCode>General</c:formatCode>
                <c:ptCount val="1"/>
                <c:pt idx="0">
                  <c:v>168.93</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t"/>
      <c:layout>
        <c:manualLayout>
          <c:xMode val="edge"/>
          <c:yMode val="edge"/>
          <c:x val="0.0262854212078472"/>
          <c:y val="0.153196282737257"/>
          <c:w val="0.961661751506603"/>
          <c:h val="0.24077724584624"/>
        </c:manualLayou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777212f7-4e57-4b3a-9125-25d7e5c767c2}"/>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0" vertOverflow="ellipsis" vert="horz" wrap="square" anchor="ctr" anchorCtr="1"/>
        <a:lstStyle/>
        <a:p>
          <a:pPr>
            <a:defRPr lang="zh-CN" sz="1400" b="1" i="0" u="none" strike="noStrike" kern="1200" baseline="0">
              <a:solidFill>
                <a:schemeClr val="tx1">
                  <a:lumMod val="75000"/>
                  <a:lumOff val="25000"/>
                </a:schemeClr>
              </a:solidFill>
              <a:latin typeface="+mn-lt"/>
              <a:ea typeface="+mn-ea"/>
              <a:cs typeface="+mn-cs"/>
            </a:defRPr>
          </a:pPr>
        </a:p>
      </c:txPr>
    </c:title>
    <c:autoTitleDeleted val="0"/>
    <c:plotArea>
      <c:layout/>
      <c:pieChart>
        <c:varyColors val="1"/>
        <c:ser>
          <c:idx val="0"/>
          <c:order val="0"/>
          <c:tx>
            <c:strRef>
              <c:f>Sheet1!$B$1</c:f>
              <c:strCache>
                <c:ptCount val="1"/>
                <c:pt idx="0">
                  <c:v>支出决算结构图</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Pt>
            <c:idx val="3"/>
            <c:bubble3D val="0"/>
            <c:spPr>
              <a:solidFill>
                <a:schemeClr val="accent4"/>
              </a:solidFill>
              <a:ln>
                <a:solidFill>
                  <a:schemeClr val="bg1"/>
                </a:solidFill>
              </a:ln>
              <a:effectLst/>
            </c:spPr>
          </c:dPt>
          <c:dPt>
            <c:idx val="4"/>
            <c:bubble3D val="0"/>
            <c:spPr>
              <a:solidFill>
                <a:schemeClr val="accent5"/>
              </a:solidFill>
              <a:ln>
                <a:solidFill>
                  <a:schemeClr val="bg1"/>
                </a:solidFill>
              </a:ln>
              <a:effectLst/>
            </c:spPr>
          </c:dPt>
          <c:dLbls>
            <c:dLbl>
              <c:idx val="0"/>
              <c:layout>
                <c:manualLayout>
                  <c:x val="0.0228780198365731"/>
                  <c:y val="-0.140698547158397"/>
                </c:manualLayout>
              </c:layout>
              <c:dLblPos val="bestFit"/>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bestFit"/>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Sheet1!$A$2:$A$6</c:f>
              <c:strCache>
                <c:ptCount val="5"/>
                <c:pt idx="0">
                  <c:v>基本支出</c:v>
                </c:pt>
                <c:pt idx="1">
                  <c:v>项目支出</c:v>
                </c:pt>
                <c:pt idx="2">
                  <c:v>上交上级支出</c:v>
                </c:pt>
                <c:pt idx="3">
                  <c:v>经营支出</c:v>
                </c:pt>
                <c:pt idx="4">
                  <c:v>对附属单位补助支出</c:v>
                </c:pt>
              </c:strCache>
            </c:strRef>
          </c:cat>
          <c:val>
            <c:numRef>
              <c:f>Sheet1!$B$2:$B$6</c:f>
              <c:numCache>
                <c:formatCode>General</c:formatCode>
                <c:ptCount val="5"/>
                <c:pt idx="0">
                  <c:v>168.93</c:v>
                </c:pt>
                <c:pt idx="1">
                  <c:v>0</c:v>
                </c:pt>
                <c:pt idx="2">
                  <c:v>0</c:v>
                </c:pt>
                <c:pt idx="3">
                  <c:v>0</c:v>
                </c:pt>
                <c:pt idx="4">
                  <c:v>0</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ac099c28-839b-4920-8dae-af65430a99c2}"/>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t>财政拨款收、支决算总计变动情况</a:t>
            </a:r>
          </a:p>
        </c:rich>
      </c:tx>
      <c:layout>
        <c:manualLayout>
          <c:xMode val="edge"/>
          <c:yMode val="edge"/>
          <c:x val="0.186439405316114"/>
          <c:y val="0.0406645177287379"/>
        </c:manualLayout>
      </c:layout>
      <c:overlay val="0"/>
      <c:spPr>
        <a:noFill/>
        <a:ln>
          <a:noFill/>
        </a:ln>
        <a:effectLst/>
      </c:spPr>
    </c:title>
    <c:autoTitleDeleted val="0"/>
    <c:plotArea>
      <c:layout/>
      <c:barChart>
        <c:barDir val="col"/>
        <c:grouping val="clustered"/>
        <c:varyColors val="0"/>
        <c:ser>
          <c:idx val="0"/>
          <c:order val="0"/>
          <c:tx>
            <c:strRef>
              <c:f>Sheet1!$B$1</c:f>
              <c:strCache>
                <c:ptCount val="1"/>
                <c:pt idx="0">
                  <c:v>2024年</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收入</c:v>
                </c:pt>
                <c:pt idx="1">
                  <c:v>支出</c:v>
                </c:pt>
              </c:strCache>
            </c:strRef>
          </c:cat>
          <c:val>
            <c:numRef>
              <c:f>Sheet1!$B$2:$B$3</c:f>
              <c:numCache>
                <c:formatCode>General</c:formatCode>
                <c:ptCount val="2"/>
                <c:pt idx="0">
                  <c:v>192.73</c:v>
                </c:pt>
                <c:pt idx="1">
                  <c:v>192.73</c:v>
                </c:pt>
              </c:numCache>
            </c:numRef>
          </c:val>
        </c:ser>
        <c:ser>
          <c:idx val="1"/>
          <c:order val="1"/>
          <c:tx>
            <c:strRef>
              <c:f>Sheet1!$C$1</c:f>
              <c:strCache>
                <c:ptCount val="1"/>
                <c:pt idx="0">
                  <c:v>2025年</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收入</c:v>
                </c:pt>
                <c:pt idx="1">
                  <c:v>支出</c:v>
                </c:pt>
              </c:strCache>
            </c:strRef>
          </c:cat>
          <c:val>
            <c:numRef>
              <c:f>Sheet1!$C$2:$C$3</c:f>
              <c:numCache>
                <c:formatCode>General</c:formatCode>
                <c:ptCount val="2"/>
                <c:pt idx="0">
                  <c:v>168.93</c:v>
                </c:pt>
                <c:pt idx="1">
                  <c:v>168.93</c:v>
                </c:pt>
              </c:numCache>
            </c:numRef>
          </c:val>
        </c:ser>
        <c:dLbls>
          <c:showLegendKey val="0"/>
          <c:showVal val="1"/>
          <c:showCatName val="0"/>
          <c:showSerName val="0"/>
          <c:showPercent val="0"/>
          <c:showBubbleSize val="0"/>
        </c:dLbls>
        <c:gapWidth val="246"/>
        <c:overlap val="-28"/>
        <c:axId val="450946661"/>
        <c:axId val="39684645"/>
      </c:barChart>
      <c:catAx>
        <c:axId val="450946661"/>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9684645"/>
        <c:crosses val="autoZero"/>
        <c:auto val="1"/>
        <c:lblAlgn val="ctr"/>
        <c:lblOffset val="100"/>
        <c:noMultiLvlLbl val="0"/>
      </c:catAx>
      <c:valAx>
        <c:axId val="39684645"/>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50946661"/>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7c060d45-c575-458e-b167-d36611e4017e}"/>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t>一般公共预算财政拨款支出决算</a:t>
            </a:r>
            <a:endParaRPr lang="en-US" altLang="zh-CN"/>
          </a:p>
        </c:rich>
      </c:tx>
      <c:layout/>
      <c:overlay val="0"/>
      <c:spPr>
        <a:noFill/>
        <a:ln>
          <a:noFill/>
        </a:ln>
        <a:effectLst/>
      </c:spPr>
    </c:title>
    <c:autoTitleDeleted val="0"/>
    <c:plotArea>
      <c:layout/>
      <c:barChart>
        <c:barDir val="col"/>
        <c:grouping val="clustered"/>
        <c:varyColors val="0"/>
        <c:ser>
          <c:idx val="0"/>
          <c:order val="0"/>
          <c:tx>
            <c:strRef>
              <c:f>Sheet1!$B$1</c:f>
              <c:strCache>
                <c:ptCount val="1"/>
                <c:pt idx="0">
                  <c:v>2024年</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c:f>
              <c:strCache>
                <c:ptCount val="1"/>
                <c:pt idx="0">
                  <c:v>一般公共预算财政拨款支出</c:v>
                </c:pt>
              </c:strCache>
            </c:strRef>
          </c:cat>
          <c:val>
            <c:numRef>
              <c:f>Sheet1!$B$2</c:f>
              <c:numCache>
                <c:formatCode>General</c:formatCode>
                <c:ptCount val="1"/>
                <c:pt idx="0">
                  <c:v>192.73</c:v>
                </c:pt>
              </c:numCache>
            </c:numRef>
          </c:val>
        </c:ser>
        <c:ser>
          <c:idx val="1"/>
          <c:order val="1"/>
          <c:tx>
            <c:strRef>
              <c:f>Sheet1!$C$1</c:f>
              <c:strCache>
                <c:ptCount val="1"/>
                <c:pt idx="0">
                  <c:v>2025年</c:v>
                </c:pt>
              </c:strCache>
            </c:strRef>
          </c:tx>
          <c:spPr>
            <a:solidFill>
              <a:schemeClr val="accent2"/>
            </a:solidFill>
            <a:ln>
              <a:noFill/>
            </a:ln>
            <a:effectLst/>
          </c:spPr>
          <c:invertIfNegative val="0"/>
          <c:dLbls>
            <c:numFmt formatCode="General" sourceLinked="1"/>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Sheet1!$A$2</c:f>
              <c:strCache>
                <c:ptCount val="1"/>
                <c:pt idx="0">
                  <c:v>一般公共预算财政拨款支出</c:v>
                </c:pt>
              </c:strCache>
            </c:strRef>
          </c:cat>
          <c:val>
            <c:numRef>
              <c:f>Sheet1!$C$2</c:f>
              <c:numCache>
                <c:formatCode>General</c:formatCode>
                <c:ptCount val="1"/>
                <c:pt idx="0">
                  <c:v>168.93</c:v>
                </c:pt>
              </c:numCache>
            </c:numRef>
          </c:val>
        </c:ser>
        <c:dLbls>
          <c:showLegendKey val="0"/>
          <c:showVal val="1"/>
          <c:showCatName val="0"/>
          <c:showSerName val="0"/>
          <c:showPercent val="0"/>
          <c:showBubbleSize val="0"/>
        </c:dLbls>
        <c:gapWidth val="246"/>
        <c:overlap val="-28"/>
        <c:axId val="282365853"/>
        <c:axId val="241008242"/>
      </c:barChart>
      <c:catAx>
        <c:axId val="282365853"/>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41008242"/>
        <c:crosses val="autoZero"/>
        <c:auto val="1"/>
        <c:lblAlgn val="ctr"/>
        <c:lblOffset val="100"/>
        <c:noMultiLvlLbl val="0"/>
      </c:catAx>
      <c:valAx>
        <c:axId val="241008242"/>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82365853"/>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62cd7755-b717-477a-9a28-693a4c8dd6e7}"/>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t>一般公共预算财政拨款支出决算结构图</a:t>
            </a:r>
          </a:p>
        </c:rich>
      </c:tx>
      <c:layout/>
      <c:overlay val="0"/>
      <c:spPr>
        <a:noFill/>
        <a:ln>
          <a:noFill/>
        </a:ln>
        <a:effectLst/>
      </c:spPr>
    </c:title>
    <c:autoTitleDeleted val="0"/>
    <c:plotArea>
      <c:layout/>
      <c:pieChart>
        <c:varyColors val="1"/>
        <c:ser>
          <c:idx val="0"/>
          <c:order val="0"/>
          <c:tx>
            <c:strRef>
              <c:f>Sheet1!$B$1</c:f>
              <c:strCache>
                <c:ptCount val="1"/>
                <c:pt idx="0">
                  <c:v>销售额</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Pt>
            <c:idx val="3"/>
            <c:bubble3D val="0"/>
            <c:spPr>
              <a:solidFill>
                <a:schemeClr val="accent4"/>
              </a:solidFill>
              <a:ln>
                <a:solidFill>
                  <a:schemeClr val="bg1"/>
                </a:solidFill>
              </a:ln>
              <a:effectLst/>
            </c:spPr>
          </c:dPt>
          <c:dLbls>
            <c:dLbl>
              <c:idx val="0"/>
              <c:layout>
                <c:manualLayout>
                  <c:x val="0.101280444191402"/>
                  <c:y val="-0.0706767914812008"/>
                </c:manualLayout>
              </c:layout>
              <c:dLblPos val="bestFit"/>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117291866166237"/>
                  <c:y val="0.00588151380530931"/>
                </c:manualLayout>
              </c:layout>
              <c:dLblPos val="bestFit"/>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220954297948982"/>
                  <c:y val="0.00477011495550833"/>
                </c:manualLayout>
              </c:layout>
              <c:dLblPos val="bestFit"/>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199783691222683"/>
                  <c:y val="-0.00839437230721596"/>
                </c:manualLayout>
              </c:layout>
              <c:dLblPos val="bestFit"/>
              <c:showLegendKey val="0"/>
              <c:showVal val="1"/>
              <c:showCatName val="0"/>
              <c:showSerName val="0"/>
              <c:showPercent val="0"/>
              <c:showBubbleSize val="0"/>
              <c:extLst>
                <c:ext xmlns:c15="http://schemas.microsoft.com/office/drawing/2012/chart" uri="{CE6537A1-D6FC-4f65-9D91-7224C49458BB}">
                  <c15:layout>
                    <c:manualLayout>
                      <c:w val="0.130580357142857"/>
                      <c:h val="0.0690205011389522"/>
                    </c:manualLayout>
                  </c15:layout>
                </c:ext>
              </c:extLst>
            </c:dLbl>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bestFit"/>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Sheet1!$A$2:$A$5</c:f>
              <c:strCache>
                <c:ptCount val="4"/>
                <c:pt idx="0">
                  <c:v>一般公共服务支出</c:v>
                </c:pt>
                <c:pt idx="1">
                  <c:v>社会保障和就业支出</c:v>
                </c:pt>
                <c:pt idx="2">
                  <c:v>卫生健康支出</c:v>
                </c:pt>
                <c:pt idx="3">
                  <c:v>住房保障支出</c:v>
                </c:pt>
              </c:strCache>
            </c:strRef>
          </c:cat>
          <c:val>
            <c:numRef>
              <c:f>Sheet1!$B$2:$B$5</c:f>
              <c:numCache>
                <c:formatCode>General</c:formatCode>
                <c:ptCount val="4"/>
                <c:pt idx="0">
                  <c:v>125.76</c:v>
                </c:pt>
                <c:pt idx="1">
                  <c:v>21.59</c:v>
                </c:pt>
                <c:pt idx="2">
                  <c:v>8.83</c:v>
                </c:pt>
                <c:pt idx="3">
                  <c:v>12.75</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t"/>
      <c:layout>
        <c:manualLayout>
          <c:xMode val="edge"/>
          <c:yMode val="edge"/>
          <c:x val="0.06201171875"/>
          <c:y val="0.12004555808656"/>
        </c:manualLayou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3d0b69d3-7609-4c2e-bd96-b6d74b1e99bf}"/>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0" vertOverflow="ellipsis" vert="horz" wrap="square" anchor="ctr" anchorCtr="1"/>
        <a:lstStyle/>
        <a:p>
          <a:pPr>
            <a:defRPr lang="zh-CN" sz="1400" b="1" i="0" u="none" strike="noStrike" kern="1200" baseline="0">
              <a:solidFill>
                <a:schemeClr val="tx1">
                  <a:lumMod val="75000"/>
                  <a:lumOff val="25000"/>
                </a:schemeClr>
              </a:solidFill>
              <a:latin typeface="+mn-lt"/>
              <a:ea typeface="+mn-ea"/>
              <a:cs typeface="+mn-cs"/>
            </a:defRPr>
          </a:pPr>
        </a:p>
      </c:txPr>
    </c:title>
    <c:autoTitleDeleted val="0"/>
    <c:plotArea>
      <c:layout/>
      <c:pieChart>
        <c:varyColors val="1"/>
        <c:ser>
          <c:idx val="0"/>
          <c:order val="0"/>
          <c:tx>
            <c:strRef>
              <c:f>Sheet1!$B$1</c:f>
              <c:strCache>
                <c:ptCount val="1"/>
                <c:pt idx="0">
                  <c:v>财政拨款“三公”经费支出决算</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bestFit"/>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Sheet1!$A$2:$A$4</c:f>
              <c:strCache>
                <c:ptCount val="3"/>
                <c:pt idx="0">
                  <c:v>公出国（境）费支出</c:v>
                </c:pt>
                <c:pt idx="1">
                  <c:v>公务用车购置及运行维护费支出</c:v>
                </c:pt>
                <c:pt idx="2">
                  <c:v>公务接待费支出</c:v>
                </c:pt>
              </c:strCache>
            </c:strRef>
          </c:cat>
          <c:val>
            <c:numRef>
              <c:f>Sheet1!$B$2:$B$4</c:f>
              <c:numCache>
                <c:formatCode>General</c:formatCode>
                <c:ptCount val="3"/>
                <c:pt idx="0">
                  <c:v>0</c:v>
                </c:pt>
                <c:pt idx="1">
                  <c:v>0.92</c:v>
                </c:pt>
                <c:pt idx="2">
                  <c:v>0</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7a88f956-4d24-47bb-86cb-9d906303578b}"/>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1">
  <a:schemeClr val="accent1"/>
  <a:schemeClr val="accent3"/>
  <a:schemeClr val="accent5"/>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2.xml><?xml version="1.0" encoding="utf-8"?>
<contractReview xmlns="http://schemas.wps.cn/vas-ai-hub/contract-review">
  <reviewItems>
    <reviewItem>
      <errorID>230d01b7-440a-4382-8539-e0f4bd1da7e9</errorID>
      <errorWord>出</errorWord>
      <group>L1_Word</group>
      <groupName>字词问题</groupName>
      <ability>L2_Typo</ability>
      <abilityName>字词错误</abilityName>
      <candidateList>
        <item>出和</item>
      </candidateList>
      <explain/>
      <paraID>7756A75C</paraID>
      <start>67</start>
      <end>68</end>
      <status>unmodified</status>
      <modifiedWord/>
      <trackRevisions>false</trackRevisions>
    </reviewItem>
    <reviewItem>
      <errorID>a115e75b-b9a0-49b8-817c-c715356fa9c7</errorID>
      <errorWord>出</errorWord>
      <group>L1_Word</group>
      <groupName>字词问题</groupName>
      <ability>L2_Typo</ability>
      <abilityName>字词错误</abilityName>
      <candidateList>
        <item>出和</item>
      </candidateList>
      <explain/>
      <paraID>3E8C2531</paraID>
      <start>75</start>
      <end>76</end>
      <status>unmodified</status>
      <modifiedWord/>
      <trackRevisions>false</trackRevisions>
    </reviewItem>
    <reviewItem>
      <errorID>beccec7e-6919-49e6-9f21-3715731327b9</errorID>
      <errorWord>出</errorWord>
      <group>L1_Word</group>
      <groupName>字词问题</groupName>
      <ability>L2_Typo</ability>
      <abilityName>字词错误</abilityName>
      <candidateList>
        <item>出和</item>
      </candidateList>
      <explain/>
      <paraID>69A75DC9</paraID>
      <start>92</start>
      <end>93</end>
      <status>unmodified</status>
      <modifiedWord/>
      <trackRevisions>false</trackRevisions>
    </reviewItem>
    <reviewItem>
      <errorID>8fd98f82-caca-4743-b7f3-76bf969c1260</errorID>
      <errorWord>(</errorWord>
      <group>L1_Format</group>
      <groupName>格式问题</groupName>
      <ability>L2_HalfPunc_CN</ability>
      <abilityName>全半角检查</abilityName>
      <candidateList>
        <item>（</item>
      </candidateList>
      <explain>文本全半角错误。</explain>
      <paraID> 609DE9A</paraID>
      <start>47</start>
      <end>48</end>
      <status>modified</status>
      <modifiedWord>（</modifiedWord>
      <trackRevisions>false</trackRevisions>
    </reviewItem>
    <reviewItem>
      <errorID>a4a49101-b479-461f-a3e8-701188f1b5eb</errorID>
      <errorWord>)</errorWord>
      <group>L1_Format</group>
      <groupName>格式问题</groupName>
      <ability>L2_HalfPunc_CN</ability>
      <abilityName>全半角检查</abilityName>
      <candidateList>
        <item>）</item>
      </candidateList>
      <explain>文本全半角错误。</explain>
      <paraID> 609DE9A</paraID>
      <start>80</start>
      <end>81</end>
      <status>modified</status>
      <modifiedWord>）</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99858133-cb7d-417e-8c21-0b095f375d7f}">
  <ds:schemaRefs/>
</ds:datastoreItem>
</file>

<file path=docProps/app.xml><?xml version="1.0" encoding="utf-8"?>
<Properties xmlns="http://schemas.openxmlformats.org/officeDocument/2006/extended-properties" xmlns:vt="http://schemas.openxmlformats.org/officeDocument/2006/docPropsVTypes">
  <Template>Normal.dotm</Template>
  <Pages>22</Pages>
  <Words>6839</Words>
  <Characters>7529</Characters>
  <Lines>0</Lines>
  <Paragraphs>0</Paragraphs>
  <TotalTime>2</TotalTime>
  <ScaleCrop>false</ScaleCrop>
  <LinksUpToDate>false</LinksUpToDate>
  <CharactersWithSpaces>7582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2026-08-29T07:07:00Z</dcterms:created>
  <dc:creator>@*</dc:creator>
  <cp:lastModifiedBy>修行者</cp:lastModifiedBy>
  <dcterms:modified xsi:type="dcterms:W3CDTF">2026-09-04T01:52:48Z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571B47E03BE24A6DA08934BE7C5FA9E0_11</vt:lpwstr>
  </property>
  <property fmtid="{D5CDD505-2E9C-101B-9397-08002B2CF9AE}" pid="4" name="KSOTemplateDocerSaveRecord">
    <vt:lpwstr>eyJoZGlkIjoiNTRhZDU0NDcxZDQ5NTZiMWIxM2FlN2Y4MTFkNDE4ZTEiLCJ1c2VySWQiOiI2Njc0NzIxOTIifQ==</vt:lpwstr>
  </property>
</Properties>
</file>