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both"/>
        <w:rPr>
          <w:rFonts w:hint="eastAsia" w:ascii="Times New Roman" w:hAnsi="Times New Roman" w:eastAsia="方正小标宋简体" w:cs="Times New Roman"/>
          <w:color w:val="auto"/>
          <w:kern w:val="2"/>
          <w:sz w:val="84"/>
          <w:szCs w:val="84"/>
          <w:highlight w:val="none"/>
          <w:lang w:val="en-US" w:eastAsia="zh-CN" w:bidi="ar-SA"/>
        </w:rPr>
      </w:pPr>
      <w:bookmarkStart w:id="0" w:name="_Toc15396475"/>
      <w:bookmarkStart w:id="1" w:name="_Toc15377193"/>
      <w:bookmarkStart w:id="2" w:name="_Toc15378441"/>
      <w:bookmarkStart w:id="3" w:name="_Toc15377425"/>
      <w:bookmarkStart w:id="4" w:name="_Toc15396597"/>
      <w:bookmarkStart w:id="5" w:name="_Toc15306267"/>
    </w:p>
    <w:bookmarkEnd w:id="0"/>
    <w:bookmarkEnd w:id="1"/>
    <w:bookmarkEnd w:id="2"/>
    <w:bookmarkEnd w:id="3"/>
    <w:bookmarkEnd w:id="4"/>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96598"/>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茂县交通运输综合服务</w:t>
      </w: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中心部门决算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stheme="minorBidi"/>
          <w:color w:val="auto"/>
          <w:sz w:val="28"/>
          <w:szCs w:val="28"/>
          <w:highlight w:val="none"/>
          <w:lang w:val="en-US" w:eastAsia="zh-CN"/>
        </w:rPr>
      </w:pPr>
      <w:r>
        <w:rPr>
          <w:rFonts w:hint="eastAsia" w:ascii="Times New Roman" w:hAnsi="Times New Roman" w:eastAsia="黑体"/>
          <w:color w:val="auto"/>
          <w:sz w:val="48"/>
          <w:szCs w:val="48"/>
          <w:highlight w:val="none"/>
        </w:rPr>
        <w:t>目录</w:t>
      </w:r>
    </w:p>
    <w:p>
      <w:pPr>
        <w:pStyle w:val="15"/>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公开时间：20</w:t>
      </w:r>
      <w:r>
        <w:rPr>
          <w:rFonts w:hint="eastAsia" w:ascii="楷体" w:hAnsi="楷体" w:eastAsia="楷体" w:cs="楷体"/>
          <w:color w:val="auto"/>
          <w:sz w:val="32"/>
          <w:szCs w:val="32"/>
          <w:highlight w:val="none"/>
          <w:lang w:val="en-US" w:eastAsia="zh-CN"/>
        </w:rPr>
        <w:t>26</w:t>
      </w:r>
      <w:r>
        <w:rPr>
          <w:rFonts w:hint="eastAsia" w:ascii="楷体" w:hAnsi="楷体" w:eastAsia="楷体" w:cs="楷体"/>
          <w:color w:val="auto"/>
          <w:sz w:val="32"/>
          <w:szCs w:val="32"/>
          <w:highlight w:val="none"/>
        </w:rPr>
        <w:t>年</w:t>
      </w:r>
      <w:r>
        <w:rPr>
          <w:rFonts w:hint="eastAsia" w:ascii="楷体" w:hAnsi="楷体" w:eastAsia="楷体" w:cs="楷体"/>
          <w:color w:val="auto"/>
          <w:sz w:val="32"/>
          <w:szCs w:val="32"/>
          <w:highlight w:val="none"/>
          <w:lang w:val="en-US" w:eastAsia="zh-CN"/>
        </w:rPr>
        <w:t>9</w:t>
      </w:r>
      <w:r>
        <w:rPr>
          <w:rFonts w:hint="eastAsia" w:ascii="楷体" w:hAnsi="楷体" w:eastAsia="楷体" w:cs="楷体"/>
          <w:color w:val="auto"/>
          <w:sz w:val="32"/>
          <w:szCs w:val="32"/>
          <w:highlight w:val="none"/>
        </w:rPr>
        <w:t>月</w:t>
      </w:r>
      <w:r>
        <w:rPr>
          <w:rFonts w:hint="eastAsia" w:ascii="楷体" w:hAnsi="楷体" w:eastAsia="楷体" w:cs="楷体"/>
          <w:color w:val="auto"/>
          <w:sz w:val="32"/>
          <w:szCs w:val="32"/>
          <w:highlight w:val="none"/>
          <w:lang w:val="en-US" w:eastAsia="zh-CN"/>
        </w:rPr>
        <w:t>4</w:t>
      </w:r>
      <w:r>
        <w:rPr>
          <w:rFonts w:hint="eastAsia" w:ascii="楷体" w:hAnsi="楷体" w:eastAsia="楷体" w:cs="楷体"/>
          <w:color w:val="auto"/>
          <w:sz w:val="32"/>
          <w:szCs w:val="32"/>
          <w:highlight w:val="none"/>
        </w:rPr>
        <w:t>日</w:t>
      </w:r>
    </w:p>
    <w:p>
      <w:pPr>
        <w:rPr>
          <w:rFonts w:ascii="Times New Roman" w:hAnsi="Times New Roman"/>
          <w:color w:val="auto"/>
          <w:highlight w:val="none"/>
        </w:rPr>
      </w:pPr>
    </w:p>
    <w:p>
      <w:pPr>
        <w:pStyle w:val="15"/>
        <w:tabs>
          <w:tab w:val="right" w:leader="dot" w:pos="8306"/>
          <w:tab w:val="clear" w:pos="8296"/>
        </w:tabs>
        <w:rPr>
          <w:rFonts w:hint="eastAsia" w:ascii="楷体" w:hAnsi="楷体" w:eastAsia="楷体" w:cs="楷体"/>
          <w:sz w:val="32"/>
          <w:szCs w:val="32"/>
        </w:rPr>
      </w:pPr>
      <w:bookmarkStart w:id="12" w:name="_Toc15396599"/>
      <w:bookmarkStart w:id="13" w:name="_Toc15377196"/>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TOC \o "1-2" \h \u </w:instrText>
      </w:r>
      <w:r>
        <w:rPr>
          <w:rFonts w:hint="eastAsia" w:ascii="楷体" w:hAnsi="楷体" w:eastAsia="楷体" w:cs="楷体"/>
          <w:sz w:val="32"/>
          <w:szCs w:val="32"/>
        </w:rPr>
        <w:fldChar w:fldCharType="separate"/>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_Toc32729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第一部分</w:t>
      </w:r>
      <w:r>
        <w:rPr>
          <w:rFonts w:hint="eastAsia" w:ascii="楷体" w:hAnsi="楷体" w:eastAsia="楷体" w:cs="楷体"/>
          <w:sz w:val="32"/>
          <w:szCs w:val="32"/>
          <w:highlight w:val="none"/>
          <w:lang w:val="en-US" w:eastAsia="zh-CN"/>
        </w:rPr>
        <w:t xml:space="preserve"> </w:t>
      </w:r>
      <w:r>
        <w:rPr>
          <w:rFonts w:hint="eastAsia" w:ascii="楷体" w:hAnsi="楷体" w:eastAsia="楷体" w:cs="楷体"/>
          <w:sz w:val="32"/>
          <w:szCs w:val="32"/>
          <w:highlight w:val="none"/>
        </w:rPr>
        <w:t xml:space="preserve"> </w:t>
      </w:r>
      <w:r>
        <w:rPr>
          <w:rFonts w:hint="eastAsia" w:ascii="楷体" w:hAnsi="楷体" w:eastAsia="楷体" w:cs="楷体"/>
          <w:bCs w:val="0"/>
          <w:sz w:val="32"/>
          <w:szCs w:val="32"/>
          <w:highlight w:val="none"/>
        </w:rPr>
        <w:t>部门概况</w:t>
      </w:r>
      <w:r>
        <w:rPr>
          <w:rFonts w:hint="eastAsia" w:ascii="楷体" w:hAnsi="楷体" w:eastAsia="楷体" w:cs="楷体"/>
          <w:sz w:val="32"/>
          <w:szCs w:val="32"/>
        </w:rPr>
        <w:tab/>
      </w:r>
      <w:r>
        <w:rPr>
          <w:rFonts w:hint="eastAsia" w:ascii="楷体" w:hAnsi="楷体" w:eastAsia="楷体" w:cs="楷体"/>
          <w:sz w:val="32"/>
          <w:szCs w:val="32"/>
          <w:lang w:val="en-US" w:eastAsia="zh-CN"/>
        </w:rPr>
        <w:t>4</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_Toc3217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一、部门职责</w:t>
      </w:r>
      <w:r>
        <w:rPr>
          <w:rFonts w:hint="eastAsia" w:ascii="楷体" w:hAnsi="楷体" w:eastAsia="楷体" w:cs="楷体"/>
          <w:sz w:val="32"/>
          <w:szCs w:val="32"/>
        </w:rPr>
        <w:tab/>
      </w:r>
      <w:r>
        <w:rPr>
          <w:rFonts w:hint="eastAsia" w:ascii="楷体" w:hAnsi="楷体" w:eastAsia="楷体" w:cs="楷体"/>
          <w:sz w:val="32"/>
          <w:szCs w:val="32"/>
          <w:lang w:val="en-US" w:eastAsia="zh-CN"/>
        </w:rPr>
        <w:t>4</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_Toc3534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二、机</w:t>
      </w:r>
      <w:r>
        <w:rPr>
          <w:rFonts w:hint="eastAsia" w:ascii="楷体" w:hAnsi="楷体" w:eastAsia="楷体" w:cs="楷体"/>
          <w:bCs w:val="0"/>
          <w:sz w:val="32"/>
          <w:szCs w:val="32"/>
          <w:highlight w:val="none"/>
        </w:rPr>
        <w:t>构设置</w:t>
      </w:r>
      <w:r>
        <w:rPr>
          <w:rFonts w:hint="eastAsia" w:ascii="楷体" w:hAnsi="楷体" w:eastAsia="楷体" w:cs="楷体"/>
          <w:sz w:val="32"/>
          <w:szCs w:val="32"/>
        </w:rPr>
        <w:tab/>
      </w:r>
      <w:r>
        <w:rPr>
          <w:rFonts w:hint="eastAsia" w:ascii="楷体" w:hAnsi="楷体" w:eastAsia="楷体" w:cs="楷体"/>
          <w:sz w:val="32"/>
          <w:szCs w:val="32"/>
          <w:lang w:val="en-US" w:eastAsia="zh-CN"/>
        </w:rPr>
        <w:t>5</w:t>
      </w:r>
      <w:r>
        <w:rPr>
          <w:rFonts w:hint="eastAsia" w:ascii="楷体" w:hAnsi="楷体" w:eastAsia="楷体" w:cs="楷体"/>
          <w:sz w:val="32"/>
          <w:szCs w:val="32"/>
        </w:rPr>
        <w:fldChar w:fldCharType="end"/>
      </w:r>
    </w:p>
    <w:p>
      <w:pPr>
        <w:pStyle w:val="15"/>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_Toc23258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第二部分</w:t>
      </w:r>
      <w:r>
        <w:rPr>
          <w:rFonts w:hint="eastAsia" w:ascii="楷体" w:hAnsi="楷体" w:eastAsia="楷体" w:cs="楷体"/>
          <w:sz w:val="32"/>
          <w:szCs w:val="32"/>
          <w:highlight w:val="none"/>
          <w:lang w:val="en-US" w:eastAsia="zh-CN"/>
        </w:rPr>
        <w:t xml:space="preserve"> </w:t>
      </w:r>
      <w:r>
        <w:rPr>
          <w:rFonts w:hint="eastAsia" w:ascii="楷体" w:hAnsi="楷体" w:eastAsia="楷体" w:cs="楷体"/>
          <w:sz w:val="32"/>
          <w:szCs w:val="32"/>
          <w:highlight w:val="none"/>
        </w:rPr>
        <w:t xml:space="preserve"> </w:t>
      </w:r>
      <w:r>
        <w:rPr>
          <w:rFonts w:hint="eastAsia" w:ascii="楷体" w:hAnsi="楷体" w:eastAsia="楷体" w:cs="楷体"/>
          <w:sz w:val="32"/>
          <w:szCs w:val="32"/>
          <w:highlight w:val="none"/>
          <w:lang w:val="en-US" w:eastAsia="zh-CN"/>
        </w:rPr>
        <w:t>2025年度</w:t>
      </w:r>
      <w:r>
        <w:rPr>
          <w:rFonts w:hint="eastAsia" w:ascii="楷体" w:hAnsi="楷体" w:eastAsia="楷体" w:cs="楷体"/>
          <w:sz w:val="32"/>
          <w:szCs w:val="32"/>
          <w:highlight w:val="none"/>
        </w:rPr>
        <w:t>部门决算情况说明</w:t>
      </w:r>
      <w:r>
        <w:rPr>
          <w:rFonts w:hint="eastAsia" w:ascii="楷体" w:hAnsi="楷体" w:eastAsia="楷体" w:cs="楷体"/>
          <w:sz w:val="32"/>
          <w:szCs w:val="32"/>
        </w:rPr>
        <w:tab/>
      </w:r>
      <w:r>
        <w:rPr>
          <w:rFonts w:hint="eastAsia" w:ascii="楷体" w:hAnsi="楷体" w:eastAsia="楷体" w:cs="楷体"/>
          <w:sz w:val="32"/>
          <w:szCs w:val="32"/>
          <w:lang w:val="en-US" w:eastAsia="zh-CN"/>
        </w:rPr>
        <w:t>6</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_Toc27810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一、</w:t>
      </w:r>
      <w:r>
        <w:rPr>
          <w:rFonts w:hint="eastAsia" w:ascii="楷体" w:hAnsi="楷体" w:eastAsia="楷体" w:cs="楷体"/>
          <w:sz w:val="32"/>
          <w:szCs w:val="32"/>
          <w:highlight w:val="none"/>
        </w:rPr>
        <w:t>收入支出决算总体情况说明</w:t>
      </w:r>
      <w:r>
        <w:rPr>
          <w:rFonts w:hint="eastAsia" w:ascii="楷体" w:hAnsi="楷体" w:eastAsia="楷体" w:cs="楷体"/>
          <w:sz w:val="32"/>
          <w:szCs w:val="32"/>
        </w:rPr>
        <w:tab/>
      </w:r>
      <w:r>
        <w:rPr>
          <w:rFonts w:hint="eastAsia" w:ascii="楷体" w:hAnsi="楷体" w:eastAsia="楷体" w:cs="楷体"/>
          <w:sz w:val="32"/>
          <w:szCs w:val="32"/>
          <w:lang w:val="en-US" w:eastAsia="zh-CN"/>
        </w:rPr>
        <w:t>6</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_Toc14772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二、收入决算情况说明</w:t>
      </w:r>
      <w:r>
        <w:rPr>
          <w:rFonts w:hint="eastAsia" w:ascii="楷体" w:hAnsi="楷体" w:eastAsia="楷体" w:cs="楷体"/>
          <w:sz w:val="32"/>
          <w:szCs w:val="32"/>
        </w:rPr>
        <w:tab/>
      </w:r>
      <w:r>
        <w:rPr>
          <w:rFonts w:hint="eastAsia" w:ascii="楷体" w:hAnsi="楷体" w:eastAsia="楷体" w:cs="楷体"/>
          <w:sz w:val="32"/>
          <w:szCs w:val="32"/>
          <w:lang w:val="en-US" w:eastAsia="zh-CN"/>
        </w:rPr>
        <w:t>6</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_Toc5184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三、</w:t>
      </w:r>
      <w:r>
        <w:rPr>
          <w:rFonts w:hint="eastAsia" w:ascii="楷体" w:hAnsi="楷体" w:eastAsia="楷体" w:cs="楷体"/>
          <w:sz w:val="32"/>
          <w:szCs w:val="32"/>
          <w:highlight w:val="none"/>
        </w:rPr>
        <w:t>支出决算情况说明</w:t>
      </w:r>
      <w:r>
        <w:rPr>
          <w:rFonts w:hint="eastAsia" w:ascii="楷体" w:hAnsi="楷体" w:eastAsia="楷体" w:cs="楷体"/>
          <w:sz w:val="32"/>
          <w:szCs w:val="32"/>
        </w:rPr>
        <w:tab/>
      </w:r>
      <w:r>
        <w:rPr>
          <w:rFonts w:hint="eastAsia" w:ascii="楷体" w:hAnsi="楷体" w:eastAsia="楷体" w:cs="楷体"/>
          <w:sz w:val="32"/>
          <w:szCs w:val="32"/>
          <w:lang w:val="en-US" w:eastAsia="zh-CN"/>
        </w:rPr>
        <w:t>7</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_Toc1026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四、财政拨款收入支出决算总体情况说明</w:t>
      </w:r>
      <w:r>
        <w:rPr>
          <w:rFonts w:hint="eastAsia" w:ascii="楷体" w:hAnsi="楷体" w:eastAsia="楷体" w:cs="楷体"/>
          <w:sz w:val="32"/>
          <w:szCs w:val="32"/>
        </w:rPr>
        <w:tab/>
      </w:r>
      <w:r>
        <w:rPr>
          <w:rFonts w:hint="eastAsia" w:ascii="楷体" w:hAnsi="楷体" w:eastAsia="楷体" w:cs="楷体"/>
          <w:sz w:val="32"/>
          <w:szCs w:val="32"/>
          <w:lang w:val="en-US" w:eastAsia="zh-CN"/>
        </w:rPr>
        <w:t>7</w:t>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_Toc20930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五、一般公共预算财政拨款支出决算情况说明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_Toc20930 \h </w:instrText>
      </w:r>
      <w:r>
        <w:rPr>
          <w:rFonts w:hint="eastAsia" w:ascii="楷体" w:hAnsi="楷体" w:eastAsia="楷体" w:cs="楷体"/>
          <w:sz w:val="32"/>
          <w:szCs w:val="32"/>
        </w:rPr>
        <w:fldChar w:fldCharType="separate"/>
      </w:r>
      <w:r>
        <w:rPr>
          <w:rFonts w:hint="eastAsia" w:ascii="楷体" w:hAnsi="楷体" w:eastAsia="楷体" w:cs="楷体"/>
          <w:sz w:val="32"/>
          <w:szCs w:val="32"/>
        </w:rPr>
        <w:t>7</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_Toc13415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六、一般公共预算财政拨款基本支出决算情况说明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_Toc13415 \h </w:instrText>
      </w:r>
      <w:r>
        <w:rPr>
          <w:rFonts w:hint="eastAsia" w:ascii="楷体" w:hAnsi="楷体" w:eastAsia="楷体" w:cs="楷体"/>
          <w:sz w:val="32"/>
          <w:szCs w:val="32"/>
        </w:rPr>
        <w:fldChar w:fldCharType="separate"/>
      </w:r>
      <w:r>
        <w:rPr>
          <w:rFonts w:hint="eastAsia" w:ascii="楷体" w:hAnsi="楷体" w:eastAsia="楷体" w:cs="楷体"/>
          <w:sz w:val="32"/>
          <w:szCs w:val="32"/>
        </w:rPr>
        <w:t>9</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_Toc18781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七、财政拨款</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三公</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经费支出决算情况说明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_Toc18781 \h </w:instrText>
      </w:r>
      <w:r>
        <w:rPr>
          <w:rFonts w:hint="eastAsia" w:ascii="楷体" w:hAnsi="楷体" w:eastAsia="楷体" w:cs="楷体"/>
          <w:sz w:val="32"/>
          <w:szCs w:val="32"/>
        </w:rPr>
        <w:fldChar w:fldCharType="separate"/>
      </w:r>
      <w:r>
        <w:rPr>
          <w:rFonts w:hint="eastAsia" w:ascii="楷体" w:hAnsi="楷体" w:eastAsia="楷体" w:cs="楷体"/>
          <w:sz w:val="32"/>
          <w:szCs w:val="32"/>
        </w:rPr>
        <w:t>10</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_Toc27580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八、政府性基金预算支出决算情况说明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_Toc27580 \h </w:instrText>
      </w:r>
      <w:r>
        <w:rPr>
          <w:rFonts w:hint="eastAsia" w:ascii="楷体" w:hAnsi="楷体" w:eastAsia="楷体" w:cs="楷体"/>
          <w:sz w:val="32"/>
          <w:szCs w:val="32"/>
        </w:rPr>
        <w:fldChar w:fldCharType="separate"/>
      </w:r>
      <w:r>
        <w:rPr>
          <w:rFonts w:hint="eastAsia" w:ascii="楷体" w:hAnsi="楷体" w:eastAsia="楷体" w:cs="楷体"/>
          <w:sz w:val="32"/>
          <w:szCs w:val="32"/>
        </w:rPr>
        <w:t>11</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_Toc22798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九、</w:t>
      </w:r>
      <w:r>
        <w:rPr>
          <w:rFonts w:hint="eastAsia" w:ascii="楷体" w:hAnsi="楷体" w:eastAsia="楷体" w:cs="楷体"/>
          <w:sz w:val="32"/>
          <w:szCs w:val="32"/>
          <w:highlight w:val="none"/>
        </w:rPr>
        <w:t>国有资本经营预算支出决算情况说明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_Toc22798 \h </w:instrText>
      </w:r>
      <w:r>
        <w:rPr>
          <w:rFonts w:hint="eastAsia" w:ascii="楷体" w:hAnsi="楷体" w:eastAsia="楷体" w:cs="楷体"/>
          <w:sz w:val="32"/>
          <w:szCs w:val="32"/>
        </w:rPr>
        <w:fldChar w:fldCharType="separate"/>
      </w:r>
      <w:r>
        <w:rPr>
          <w:rFonts w:hint="eastAsia" w:ascii="楷体" w:hAnsi="楷体" w:eastAsia="楷体" w:cs="楷体"/>
          <w:sz w:val="32"/>
          <w:szCs w:val="32"/>
        </w:rPr>
        <w:t>11</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8"/>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_Toc27448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lang w:eastAsia="zh-CN"/>
        </w:rPr>
        <w:t>十、</w:t>
      </w:r>
      <w:r>
        <w:rPr>
          <w:rFonts w:hint="eastAsia" w:ascii="楷体" w:hAnsi="楷体" w:eastAsia="楷体" w:cs="楷体"/>
          <w:sz w:val="32"/>
          <w:szCs w:val="32"/>
          <w:highlight w:val="none"/>
        </w:rPr>
        <w:t>其他重要事项的情况说明</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_Toc27448 \h </w:instrText>
      </w:r>
      <w:r>
        <w:rPr>
          <w:rFonts w:hint="eastAsia" w:ascii="楷体" w:hAnsi="楷体" w:eastAsia="楷体" w:cs="楷体"/>
          <w:sz w:val="32"/>
          <w:szCs w:val="32"/>
        </w:rPr>
        <w:fldChar w:fldCharType="separate"/>
      </w:r>
      <w:r>
        <w:rPr>
          <w:rFonts w:hint="eastAsia" w:ascii="楷体" w:hAnsi="楷体" w:eastAsia="楷体" w:cs="楷体"/>
          <w:sz w:val="32"/>
          <w:szCs w:val="32"/>
        </w:rPr>
        <w:t>11</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pStyle w:val="15"/>
        <w:tabs>
          <w:tab w:val="right" w:leader="dot" w:pos="8306"/>
          <w:tab w:val="clear" w:pos="8296"/>
        </w:tabs>
        <w:rPr>
          <w:rFonts w:hint="eastAsia" w:ascii="楷体" w:hAnsi="楷体" w:eastAsia="楷体" w:cs="楷体"/>
          <w:sz w:val="32"/>
          <w:szCs w:val="32"/>
        </w:rPr>
      </w:pP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HYPERLINK \l _Toc24579 </w:instrText>
      </w:r>
      <w:r>
        <w:rPr>
          <w:rFonts w:hint="eastAsia" w:ascii="楷体" w:hAnsi="楷体" w:eastAsia="楷体" w:cs="楷体"/>
          <w:sz w:val="32"/>
          <w:szCs w:val="32"/>
        </w:rPr>
        <w:fldChar w:fldCharType="separate"/>
      </w:r>
      <w:r>
        <w:rPr>
          <w:rFonts w:hint="eastAsia" w:ascii="楷体" w:hAnsi="楷体" w:eastAsia="楷体" w:cs="楷体"/>
          <w:sz w:val="32"/>
          <w:szCs w:val="32"/>
          <w:highlight w:val="none"/>
        </w:rPr>
        <w:t>第</w:t>
      </w:r>
      <w:r>
        <w:rPr>
          <w:rFonts w:hint="eastAsia" w:ascii="楷体" w:hAnsi="楷体" w:eastAsia="楷体" w:cs="楷体"/>
          <w:sz w:val="32"/>
          <w:szCs w:val="32"/>
          <w:highlight w:val="none"/>
          <w:lang w:eastAsia="zh-CN"/>
        </w:rPr>
        <w:t>三</w:t>
      </w:r>
      <w:r>
        <w:rPr>
          <w:rFonts w:hint="eastAsia" w:ascii="楷体" w:hAnsi="楷体" w:eastAsia="楷体" w:cs="楷体"/>
          <w:sz w:val="32"/>
          <w:szCs w:val="32"/>
          <w:highlight w:val="none"/>
        </w:rPr>
        <w:t>部分</w:t>
      </w:r>
      <w:r>
        <w:rPr>
          <w:rFonts w:hint="eastAsia" w:ascii="楷体" w:hAnsi="楷体" w:eastAsia="楷体" w:cs="楷体"/>
          <w:sz w:val="32"/>
          <w:szCs w:val="32"/>
          <w:highlight w:val="none"/>
          <w:lang w:val="en-US" w:eastAsia="zh-CN"/>
        </w:rPr>
        <w:t xml:space="preserve">  </w:t>
      </w:r>
      <w:r>
        <w:rPr>
          <w:rFonts w:hint="eastAsia" w:ascii="楷体" w:hAnsi="楷体" w:eastAsia="楷体" w:cs="楷体"/>
          <w:sz w:val="32"/>
          <w:szCs w:val="32"/>
          <w:highlight w:val="none"/>
        </w:rPr>
        <w:t>名词解释</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_Toc24579 \h </w:instrText>
      </w:r>
      <w:r>
        <w:rPr>
          <w:rFonts w:hint="eastAsia" w:ascii="楷体" w:hAnsi="楷体" w:eastAsia="楷体" w:cs="楷体"/>
          <w:sz w:val="32"/>
          <w:szCs w:val="32"/>
        </w:rPr>
        <w:fldChar w:fldCharType="separate"/>
      </w:r>
      <w:r>
        <w:rPr>
          <w:rFonts w:hint="eastAsia" w:ascii="楷体" w:hAnsi="楷体" w:eastAsia="楷体" w:cs="楷体"/>
          <w:sz w:val="32"/>
          <w:szCs w:val="32"/>
        </w:rPr>
        <w:t>13</w:t>
      </w:r>
      <w:r>
        <w:rPr>
          <w:rFonts w:hint="eastAsia" w:ascii="楷体" w:hAnsi="楷体" w:eastAsia="楷体" w:cs="楷体"/>
          <w:sz w:val="32"/>
          <w:szCs w:val="32"/>
        </w:rPr>
        <w:fldChar w:fldCharType="end"/>
      </w:r>
      <w:r>
        <w:rPr>
          <w:rFonts w:hint="eastAsia" w:ascii="楷体" w:hAnsi="楷体" w:eastAsia="楷体" w:cs="楷体"/>
          <w:sz w:val="32"/>
          <w:szCs w:val="32"/>
        </w:rPr>
        <w:fldChar w:fldCharType="end"/>
      </w:r>
    </w:p>
    <w:p>
      <w:pPr>
        <w:rPr>
          <w:rFonts w:hint="default" w:ascii="楷体" w:hAnsi="楷体" w:eastAsia="楷体" w:cs="楷体"/>
          <w:sz w:val="32"/>
          <w:szCs w:val="32"/>
          <w:lang w:val="en-US" w:eastAsia="zh-CN"/>
        </w:rPr>
      </w:pPr>
      <w:r>
        <w:rPr>
          <w:rFonts w:hint="eastAsia" w:ascii="楷体" w:hAnsi="楷体" w:eastAsia="楷体" w:cs="楷体"/>
          <w:sz w:val="32"/>
          <w:szCs w:val="32"/>
        </w:rPr>
        <w:t>第四部分 附件</w:t>
      </w:r>
      <w:r>
        <w:rPr>
          <w:rFonts w:hint="eastAsia" w:ascii="楷体" w:hAnsi="楷体" w:eastAsia="楷体" w:cs="楷体"/>
          <w:sz w:val="32"/>
          <w:szCs w:val="32"/>
        </w:rPr>
        <w:tab/>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第五部分 附表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一、收入支出决算总表</w:t>
      </w:r>
      <w:r>
        <w:rPr>
          <w:rFonts w:hint="eastAsia" w:ascii="楷体" w:hAnsi="楷体" w:eastAsia="楷体" w:cs="楷体"/>
          <w:sz w:val="32"/>
          <w:szCs w:val="32"/>
          <w:lang w:val="en-US" w:eastAsia="zh-CN"/>
        </w:rPr>
        <w:t xml:space="preserve"> ............................</w:t>
      </w:r>
    </w:p>
    <w:p>
      <w:pPr>
        <w:rPr>
          <w:rFonts w:hint="default" w:ascii="楷体" w:hAnsi="楷体" w:eastAsia="楷体" w:cs="楷体"/>
          <w:sz w:val="32"/>
          <w:szCs w:val="32"/>
          <w:lang w:val="en-US" w:eastAsia="zh-CN"/>
        </w:rPr>
      </w:pPr>
      <w:r>
        <w:rPr>
          <w:rFonts w:hint="eastAsia" w:ascii="楷体" w:hAnsi="楷体" w:eastAsia="楷体" w:cs="楷体"/>
          <w:sz w:val="32"/>
          <w:szCs w:val="32"/>
        </w:rPr>
        <w:t>二、收入决算表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三、支出决算表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四、财政拨款收入支出决算总表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五、财政拨款支出决算明细表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六、一般公共预算财政拨款支出决算表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七、一般公共预算财政拨款支出决算明细表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八、一般公共预算财政拨款基本支出决算明细表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九、一般公共预算财政拨款项目支出决算表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十、政府性基金预算财政拨款收入支出决算表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十一、国有资本经营预算财政拨款收入支出决算表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十二、国有资本经营预算财政拨款支出决算表</w:t>
      </w:r>
      <w:r>
        <w:rPr>
          <w:rFonts w:hint="eastAsia" w:ascii="楷体" w:hAnsi="楷体" w:eastAsia="楷体" w:cs="楷体"/>
          <w:sz w:val="32"/>
          <w:szCs w:val="32"/>
          <w:lang w:val="en-US" w:eastAsia="zh-CN"/>
        </w:rPr>
        <w:t>.....</w:t>
      </w:r>
    </w:p>
    <w:p>
      <w:pPr>
        <w:rPr>
          <w:rFonts w:hint="default" w:ascii="楷体" w:hAnsi="楷体" w:eastAsia="楷体" w:cs="楷体"/>
          <w:sz w:val="32"/>
          <w:szCs w:val="32"/>
          <w:lang w:val="en-US" w:eastAsia="zh-CN"/>
        </w:rPr>
      </w:pPr>
      <w:r>
        <w:rPr>
          <w:rFonts w:hint="eastAsia" w:ascii="楷体" w:hAnsi="楷体" w:eastAsia="楷体" w:cs="楷体"/>
          <w:sz w:val="32"/>
          <w:szCs w:val="32"/>
        </w:rPr>
        <w:t>十三、财政拨款“三公”经费支出决算表</w:t>
      </w:r>
      <w:r>
        <w:rPr>
          <w:rFonts w:hint="eastAsia" w:ascii="楷体" w:hAnsi="楷体" w:eastAsia="楷体" w:cs="楷体"/>
          <w:sz w:val="32"/>
          <w:szCs w:val="32"/>
        </w:rPr>
        <w:fldChar w:fldCharType="end"/>
      </w:r>
      <w:r>
        <w:rPr>
          <w:rFonts w:hint="eastAsia" w:ascii="楷体" w:hAnsi="楷体" w:eastAsia="楷体" w:cs="楷体"/>
          <w:sz w:val="32"/>
          <w:szCs w:val="32"/>
          <w:lang w:val="en-US"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pPr>
        <w:pStyle w:val="3"/>
        <w:jc w:val="center"/>
        <w:rPr>
          <w:rFonts w:ascii="Times New Roman" w:hAnsi="Times New Roman" w:eastAsia="黑体"/>
          <w:color w:val="auto"/>
          <w:sz w:val="32"/>
          <w:szCs w:val="32"/>
          <w:highlight w:val="none"/>
        </w:rPr>
      </w:pPr>
      <w:bookmarkStart w:id="14" w:name="_Toc32729"/>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12"/>
      <w:bookmarkEnd w:id="13"/>
      <w:bookmarkEnd w:id="14"/>
    </w:p>
    <w:p>
      <w:pPr>
        <w:pStyle w:val="4"/>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Times New Roman" w:hAnsi="Times New Roman" w:eastAsia="黑体"/>
          <w:b w:val="0"/>
          <w:color w:val="auto"/>
          <w:highlight w:val="none"/>
          <w:lang w:eastAsia="zh-CN"/>
        </w:rPr>
      </w:pPr>
      <w:bookmarkStart w:id="15" w:name="_Toc3217"/>
      <w:r>
        <w:rPr>
          <w:rFonts w:hint="eastAsia" w:ascii="Times New Roman" w:hAnsi="Times New Roman" w:eastAsia="黑体"/>
          <w:b w:val="0"/>
          <w:color w:val="auto"/>
          <w:highlight w:val="none"/>
          <w:lang w:eastAsia="zh-CN"/>
        </w:rPr>
        <w:t>一、部门职责</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lang w:eastAsia="zh-CN"/>
        </w:rPr>
        <w:t>）贯彻执行国家及省、州有关道路运输的方针、政策和法规，执行上级道路运输管理部门制定的有关规章、规范、标准和细则。</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在行业主管部门的领导下，</w:t>
      </w:r>
      <w:r>
        <w:rPr>
          <w:rFonts w:hint="eastAsia" w:ascii="仿宋_GB2312" w:hAnsi="仿宋_GB2312" w:eastAsia="仿宋_GB2312" w:cs="仿宋_GB2312"/>
          <w:color w:val="000000"/>
          <w:sz w:val="32"/>
          <w:szCs w:val="32"/>
          <w:lang w:eastAsia="zh-CN"/>
        </w:rPr>
        <w:t>负责县道路客货运输、城市公交、出租汽车、</w:t>
      </w:r>
      <w:r>
        <w:rPr>
          <w:rFonts w:hint="eastAsia" w:ascii="仿宋_GB2312" w:hAnsi="仿宋_GB2312" w:eastAsia="仿宋_GB2312" w:cs="仿宋_GB2312"/>
          <w:color w:val="000000"/>
          <w:sz w:val="32"/>
          <w:szCs w:val="32"/>
          <w:lang w:val="en-US" w:eastAsia="zh-CN"/>
        </w:rPr>
        <w:t>驾培机构、</w:t>
      </w:r>
      <w:r>
        <w:rPr>
          <w:rFonts w:hint="eastAsia" w:ascii="仿宋_GB2312" w:hAnsi="仿宋_GB2312" w:eastAsia="仿宋_GB2312" w:cs="仿宋_GB2312"/>
          <w:color w:val="000000"/>
          <w:sz w:val="32"/>
          <w:szCs w:val="32"/>
          <w:lang w:eastAsia="zh-CN"/>
        </w:rPr>
        <w:t>车辆维修和检测、运输服务行业管理、监督</w:t>
      </w:r>
      <w:r>
        <w:rPr>
          <w:rFonts w:hint="eastAsia" w:ascii="仿宋_GB2312" w:hAnsi="仿宋_GB2312" w:eastAsia="仿宋_GB2312" w:cs="仿宋_GB2312"/>
          <w:color w:val="000000"/>
          <w:sz w:val="32"/>
          <w:szCs w:val="32"/>
          <w:lang w:val="en-US" w:eastAsia="zh-CN"/>
        </w:rPr>
        <w:t>等事务性工作。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在行业主管部门的领导下，配合参与</w:t>
      </w:r>
      <w:r>
        <w:rPr>
          <w:rFonts w:hint="eastAsia" w:ascii="仿宋_GB2312" w:hAnsi="仿宋_GB2312" w:eastAsia="仿宋_GB2312" w:cs="仿宋_GB2312"/>
          <w:color w:val="000000"/>
          <w:sz w:val="32"/>
          <w:szCs w:val="32"/>
          <w:lang w:eastAsia="zh-CN"/>
        </w:rPr>
        <w:t>对道路运输市场的运输质量、经营行为、价格执行及使用的证、照、牌、单、票据等进行日常性监督检查</w:t>
      </w:r>
      <w:r>
        <w:rPr>
          <w:rFonts w:hint="eastAsia" w:ascii="仿宋_GB2312" w:hAnsi="仿宋_GB2312" w:eastAsia="仿宋_GB2312" w:cs="仿宋_GB2312"/>
          <w:color w:val="000000"/>
          <w:sz w:val="32"/>
          <w:szCs w:val="32"/>
          <w:lang w:val="en-US" w:eastAsia="zh-CN"/>
        </w:rPr>
        <w:t>和</w:t>
      </w:r>
      <w:r>
        <w:rPr>
          <w:rFonts w:hint="eastAsia" w:ascii="仿宋_GB2312" w:hAnsi="仿宋_GB2312" w:eastAsia="仿宋_GB2312" w:cs="仿宋_GB2312"/>
          <w:color w:val="000000"/>
          <w:sz w:val="32"/>
          <w:szCs w:val="32"/>
          <w:lang w:eastAsia="zh-CN"/>
        </w:rPr>
        <w:t>日常性运输纠纷调解。</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在行业主管部门的领导下，</w:t>
      </w:r>
      <w:r>
        <w:rPr>
          <w:rFonts w:hint="eastAsia" w:ascii="仿宋_GB2312" w:hAnsi="仿宋_GB2312" w:eastAsia="仿宋_GB2312" w:cs="仿宋_GB2312"/>
          <w:color w:val="000000"/>
          <w:sz w:val="32"/>
          <w:szCs w:val="32"/>
          <w:lang w:eastAsia="zh-CN"/>
        </w:rPr>
        <w:t>具体组织实施重点物资、大宗物资</w:t>
      </w:r>
      <w:r>
        <w:rPr>
          <w:rFonts w:hint="eastAsia" w:ascii="仿宋_GB2312" w:hAnsi="仿宋_GB2312" w:eastAsia="仿宋_GB2312" w:cs="仿宋_GB2312"/>
          <w:color w:val="000000"/>
          <w:sz w:val="32"/>
          <w:szCs w:val="32"/>
          <w:lang w:val="en-US" w:eastAsia="zh-CN"/>
        </w:rPr>
        <w:t>的运输，具体组织实施</w:t>
      </w:r>
      <w:r>
        <w:rPr>
          <w:rFonts w:hint="eastAsia" w:ascii="仿宋_GB2312" w:hAnsi="仿宋_GB2312" w:eastAsia="仿宋_GB2312" w:cs="仿宋_GB2312"/>
          <w:color w:val="000000"/>
          <w:sz w:val="32"/>
          <w:szCs w:val="32"/>
          <w:lang w:eastAsia="zh-CN"/>
        </w:rPr>
        <w:t>指令性的抢险救灾、战备物资的运输。</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五</w:t>
      </w:r>
      <w:r>
        <w:rPr>
          <w:rFonts w:hint="eastAsia" w:ascii="仿宋_GB2312" w:hAnsi="仿宋_GB2312" w:eastAsia="仿宋_GB2312" w:cs="仿宋_GB2312"/>
          <w:color w:val="000000"/>
          <w:sz w:val="32"/>
          <w:szCs w:val="32"/>
          <w:lang w:eastAsia="zh-CN"/>
        </w:rPr>
        <w:t>）掌握本地运力与运量的情况，按时向有关部门和上级交通运输部门提供需求信息，配合做好车辆投放、车辆结构和技术等级的调控工作，</w:t>
      </w:r>
      <w:r>
        <w:rPr>
          <w:rFonts w:hint="eastAsia" w:ascii="仿宋_GB2312" w:hAnsi="仿宋_GB2312" w:eastAsia="仿宋_GB2312" w:cs="仿宋_GB2312"/>
          <w:color w:val="000000"/>
          <w:sz w:val="32"/>
          <w:szCs w:val="32"/>
          <w:lang w:val="en-US" w:eastAsia="zh-CN"/>
        </w:rPr>
        <w:t>承担</w:t>
      </w:r>
      <w:r>
        <w:rPr>
          <w:rFonts w:hint="eastAsia" w:ascii="仿宋_GB2312" w:hAnsi="仿宋_GB2312" w:eastAsia="仿宋_GB2312" w:cs="仿宋_GB2312"/>
          <w:color w:val="000000"/>
          <w:sz w:val="32"/>
          <w:szCs w:val="32"/>
          <w:lang w:eastAsia="zh-CN"/>
        </w:rPr>
        <w:t>站点布局、建设、管理</w:t>
      </w:r>
      <w:r>
        <w:rPr>
          <w:rFonts w:hint="eastAsia" w:ascii="仿宋_GB2312" w:hAnsi="仿宋_GB2312" w:eastAsia="仿宋_GB2312" w:cs="仿宋_GB2312"/>
          <w:color w:val="000000"/>
          <w:sz w:val="32"/>
          <w:szCs w:val="32"/>
          <w:lang w:val="en-US" w:eastAsia="zh-CN"/>
        </w:rPr>
        <w:t>的事务性</w:t>
      </w:r>
      <w:r>
        <w:rPr>
          <w:rFonts w:hint="eastAsia" w:ascii="仿宋_GB2312" w:hAnsi="仿宋_GB2312" w:eastAsia="仿宋_GB2312" w:cs="仿宋_GB2312"/>
          <w:color w:val="000000"/>
          <w:sz w:val="32"/>
          <w:szCs w:val="32"/>
          <w:lang w:eastAsia="zh-CN"/>
        </w:rPr>
        <w:t>工作。</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六</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协助行业主管部门做好</w:t>
      </w:r>
      <w:r>
        <w:rPr>
          <w:rFonts w:hint="eastAsia" w:ascii="仿宋_GB2312" w:hAnsi="仿宋_GB2312" w:eastAsia="仿宋_GB2312" w:cs="仿宋_GB2312"/>
          <w:color w:val="000000"/>
          <w:sz w:val="32"/>
          <w:szCs w:val="32"/>
          <w:lang w:eastAsia="zh-CN"/>
        </w:rPr>
        <w:t>运输市场源头管理，建立各种基础台账。负责各类统计数据的收集、整理和上报，组织日常性运输市场调查，收集各种基本信息，开展咨询和市场预测，</w:t>
      </w:r>
      <w:r>
        <w:rPr>
          <w:rFonts w:hint="eastAsia" w:ascii="仿宋_GB2312" w:hAnsi="仿宋_GB2312" w:eastAsia="仿宋_GB2312" w:cs="仿宋_GB2312"/>
          <w:color w:val="000000"/>
          <w:sz w:val="32"/>
          <w:szCs w:val="32"/>
          <w:lang w:val="en-US" w:eastAsia="zh-CN"/>
        </w:rPr>
        <w:t>参与</w:t>
      </w:r>
      <w:r>
        <w:rPr>
          <w:rFonts w:hint="eastAsia" w:ascii="仿宋_GB2312" w:hAnsi="仿宋_GB2312" w:eastAsia="仿宋_GB2312" w:cs="仿宋_GB2312"/>
          <w:color w:val="000000"/>
          <w:sz w:val="32"/>
          <w:szCs w:val="32"/>
          <w:lang w:eastAsia="zh-CN"/>
        </w:rPr>
        <w:t>制定县行业发展计划、为上级制定发展规划和综合平衡工作提供依据。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七</w:t>
      </w:r>
      <w:r>
        <w:rPr>
          <w:rFonts w:hint="eastAsia" w:ascii="仿宋_GB2312" w:hAnsi="仿宋_GB2312" w:eastAsia="仿宋_GB2312" w:cs="仿宋_GB2312"/>
          <w:color w:val="000000"/>
          <w:sz w:val="32"/>
          <w:szCs w:val="32"/>
          <w:lang w:eastAsia="zh-CN"/>
        </w:rPr>
        <w:t>）组织县运输行业工作的经验交流及推广，负责对运输业（户）进行指导。</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八</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完成县委、县政府及县交通运输局交办的其他工作。</w:t>
      </w:r>
    </w:p>
    <w:p>
      <w:pPr>
        <w:pStyle w:val="4"/>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Style w:val="33"/>
          <w:rFonts w:ascii="Times New Roman" w:hAnsi="Times New Roman"/>
          <w:b w:val="0"/>
          <w:bCs w:val="0"/>
          <w:color w:val="auto"/>
          <w:highlight w:val="none"/>
        </w:rPr>
      </w:pPr>
      <w:bookmarkStart w:id="16" w:name="_Toc3534"/>
      <w:bookmarkStart w:id="17" w:name="_Toc15377200"/>
      <w:bookmarkStart w:id="18" w:name="_Toc15396601"/>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6"/>
      <w:bookmarkEnd w:id="17"/>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茂县交通运输综合服务中心下属二级预算单位</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个，其中行政单位</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个，参照公务员法管理的事业单位</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个，其他事业单位</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个。</w:t>
      </w:r>
    </w:p>
    <w:p>
      <w:pPr>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t>纳入</w:t>
      </w:r>
      <w:r>
        <w:rPr>
          <w:rFonts w:hint="eastAsia" w:ascii="仿宋_GB2312" w:hAnsi="仿宋_GB2312" w:eastAsia="仿宋_GB2312" w:cs="仿宋_GB2312"/>
          <w:color w:val="000000"/>
          <w:sz w:val="32"/>
          <w:szCs w:val="32"/>
          <w:lang w:eastAsia="zh-CN"/>
        </w:rPr>
        <w:t>茂县交通运输综合服务中心</w:t>
      </w:r>
      <w:r>
        <w:rPr>
          <w:rFonts w:hint="eastAsia" w:ascii="仿宋_GB2312" w:hAnsi="仿宋_GB2312" w:eastAsia="仿宋_GB2312" w:cs="仿宋_GB2312"/>
          <w:color w:val="auto"/>
          <w:kern w:val="2"/>
          <w:sz w:val="32"/>
          <w:szCs w:val="32"/>
          <w:highlight w:val="none"/>
          <w:lang w:val="en-US" w:eastAsia="zh-CN" w:bidi="ar-SA"/>
        </w:rPr>
        <w:t>2025年度部门决算编制范围</w:t>
      </w:r>
      <w:r>
        <w:rPr>
          <w:rFonts w:hint="eastAsia" w:ascii="仿宋_GB2312" w:hAnsi="仿宋_GB2312" w:eastAsia="仿宋_GB2312" w:cs="仿宋_GB2312"/>
          <w:color w:val="000000"/>
          <w:kern w:val="0"/>
          <w:sz w:val="32"/>
          <w:szCs w:val="32"/>
          <w:lang w:val="en-US" w:eastAsia="zh-CN" w:bidi="ar-SA"/>
        </w:rPr>
        <w:t>的二级预算单位包括：</w:t>
      </w:r>
    </w:p>
    <w:p>
      <w:pPr>
        <w:pageBreakBefore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b w:val="0"/>
          <w:color w:val="auto"/>
          <w:kern w:val="2"/>
          <w:sz w:val="32"/>
          <w:szCs w:val="32"/>
          <w:highlight w:val="none"/>
          <w:lang w:val="en-US" w:eastAsia="zh-CN" w:bidi="ar-SA"/>
        </w:rPr>
        <w:t>茂县交通运输综合服务中心（事业）</w:t>
      </w:r>
    </w:p>
    <w:p>
      <w:pPr>
        <w:rPr>
          <w:rFonts w:hint="eastAsia" w:ascii="Times New Roman" w:hAnsi="Times New Roman" w:eastAsia="仿宋_GB2312" w:cs="仿宋_GB2312"/>
          <w:color w:val="auto"/>
          <w:sz w:val="32"/>
          <w:szCs w:val="32"/>
          <w:highlight w:val="none"/>
        </w:rPr>
      </w:pPr>
    </w:p>
    <w:p>
      <w:pPr>
        <w:pStyle w:val="2"/>
        <w:rPr>
          <w:rFonts w:hint="eastAsia" w:ascii="Times New Roman" w:hAnsi="Times New Roman" w:eastAsia="仿宋_GB2312" w:cs="仿宋_GB2312"/>
          <w:color w:val="auto"/>
          <w:sz w:val="32"/>
          <w:szCs w:val="32"/>
          <w:highlight w:val="none"/>
        </w:rPr>
      </w:pPr>
    </w:p>
    <w:p>
      <w:pPr>
        <w:rPr>
          <w:rFonts w:hint="eastAsia" w:ascii="Times New Roman" w:hAnsi="Times New Roman" w:eastAsia="仿宋_GB2312" w:cs="仿宋_GB2312"/>
          <w:color w:val="auto"/>
          <w:sz w:val="32"/>
          <w:szCs w:val="32"/>
          <w:highlight w:val="none"/>
        </w:rPr>
      </w:pPr>
    </w:p>
    <w:p>
      <w:pPr>
        <w:pStyle w:val="2"/>
        <w:rPr>
          <w:rFonts w:hint="eastAsia" w:ascii="Times New Roman" w:hAnsi="Times New Roman" w:eastAsia="仿宋_GB2312" w:cs="仿宋_GB2312"/>
          <w:color w:val="auto"/>
          <w:sz w:val="32"/>
          <w:szCs w:val="32"/>
          <w:highlight w:val="none"/>
        </w:rPr>
      </w:pPr>
    </w:p>
    <w:p>
      <w:pPr>
        <w:rPr>
          <w:rFonts w:hint="eastAsia" w:ascii="Times New Roman" w:hAnsi="Times New Roman" w:eastAsia="仿宋_GB2312" w:cs="仿宋_GB2312"/>
          <w:color w:val="auto"/>
          <w:sz w:val="32"/>
          <w:szCs w:val="32"/>
          <w:highlight w:val="none"/>
        </w:rPr>
      </w:pPr>
    </w:p>
    <w:p>
      <w:pPr>
        <w:pStyle w:val="2"/>
        <w:rPr>
          <w:rFonts w:hint="eastAsia" w:ascii="Times New Roman" w:hAnsi="Times New Roman" w:eastAsia="仿宋_GB2312" w:cs="仿宋_GB2312"/>
          <w:color w:val="auto"/>
          <w:sz w:val="32"/>
          <w:szCs w:val="32"/>
          <w:highlight w:val="none"/>
        </w:rPr>
      </w:pPr>
    </w:p>
    <w:p>
      <w:pPr>
        <w:rPr>
          <w:rFonts w:hint="eastAsia"/>
        </w:rPr>
      </w:pPr>
    </w:p>
    <w:p>
      <w:pPr>
        <w:pStyle w:val="2"/>
        <w:rPr>
          <w:rFonts w:hint="eastAsia" w:ascii="Times New Roman" w:hAnsi="Times New Roman" w:eastAsia="仿宋_GB2312" w:cs="仿宋_GB2312"/>
          <w:color w:val="auto"/>
          <w:sz w:val="32"/>
          <w:szCs w:val="32"/>
          <w:highlight w:val="none"/>
        </w:rPr>
      </w:pPr>
    </w:p>
    <w:p/>
    <w:p>
      <w:pPr>
        <w:pStyle w:val="3"/>
        <w:jc w:val="center"/>
        <w:rPr>
          <w:rFonts w:ascii="Times New Roman" w:hAnsi="Times New Roman"/>
          <w:color w:val="auto"/>
          <w:highlight w:val="none"/>
        </w:rPr>
      </w:pPr>
      <w:bookmarkStart w:id="19" w:name="_Toc15396602"/>
      <w:bookmarkStart w:id="20" w:name="_Toc15377204"/>
      <w:bookmarkStart w:id="21" w:name="_Toc2325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9"/>
      <w:bookmarkEnd w:id="20"/>
      <w:bookmarkEnd w:id="21"/>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Style w:val="33"/>
          <w:rFonts w:hint="eastAsia" w:ascii="Times New Roman" w:hAnsi="Times New Roman" w:eastAsia="黑体"/>
          <w:b w:val="0"/>
          <w:color w:val="auto"/>
          <w:highlight w:val="none"/>
        </w:rPr>
      </w:pPr>
      <w:bookmarkStart w:id="22" w:name="_Toc15377205"/>
      <w:bookmarkStart w:id="23" w:name="_Toc15396603"/>
      <w:bookmarkStart w:id="24" w:name="_Toc27810"/>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22"/>
      <w:bookmarkEnd w:id="23"/>
      <w:bookmarkEnd w:id="24"/>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Fonts w:hint="eastAsia" w:ascii="仿宋_GB2312" w:hAnsi="仿宋_GB2312" w:eastAsia="仿宋_GB2312" w:cs="仿宋_GB2312"/>
          <w:color w:val="000000"/>
          <w:kern w:val="2"/>
          <w:sz w:val="32"/>
          <w:szCs w:val="32"/>
          <w:lang w:val="en-US" w:eastAsia="zh-CN" w:bidi="ar-SA"/>
        </w:rPr>
      </w:pPr>
      <w:bookmarkStart w:id="25" w:name="_Toc19187"/>
      <w:r>
        <w:rPr>
          <w:rFonts w:hint="eastAsia" w:ascii="仿宋_GB2312" w:hAnsi="仿宋_GB2312" w:eastAsia="仿宋_GB2312" w:cs="仿宋_GB2312"/>
          <w:color w:val="000000"/>
          <w:kern w:val="2"/>
          <w:sz w:val="32"/>
          <w:szCs w:val="32"/>
          <w:lang w:val="en-US" w:eastAsia="zh-CN" w:bidi="ar-SA"/>
        </w:rPr>
        <w:t>2025年度收入、支出总计均为265.03万元。与上年度相比，收入、支出总计各增加127.16万元，增长32.23%。主要变动原因是:项目资金增加。</w:t>
      </w:r>
      <w:bookmarkEnd w:id="25"/>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14772"/>
      <w:r>
        <w:rPr>
          <w:rFonts w:hint="eastAsia" w:ascii="仿宋_GB2312" w:hAnsi="仿宋_GB2312" w:eastAsia="仿宋_GB2312" w:cs="仿宋_GB2312"/>
          <w:color w:val="000000"/>
          <w:sz w:val="32"/>
          <w:szCs w:val="32"/>
          <w:lang w:eastAsia="zh-CN"/>
        </w:rPr>
        <w:drawing>
          <wp:anchor distT="0" distB="0" distL="114300" distR="114300" simplePos="0" relativeHeight="251660288" behindDoc="0" locked="0" layoutInCell="1" allowOverlap="1">
            <wp:simplePos x="0" y="0"/>
            <wp:positionH relativeFrom="column">
              <wp:posOffset>812165</wp:posOffset>
            </wp:positionH>
            <wp:positionV relativeFrom="paragraph">
              <wp:posOffset>186055</wp:posOffset>
            </wp:positionV>
            <wp:extent cx="4022725" cy="2253615"/>
            <wp:effectExtent l="5080" t="5080" r="10795" b="8255"/>
            <wp:wrapTopAndBottom/>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bookmarkStart w:id="27" w:name="_Toc15377206"/>
      <w:bookmarkStart w:id="28" w:name="_Toc15396604"/>
      <w:r>
        <w:rPr>
          <w:rFonts w:hint="eastAsia" w:ascii="Times New Roman" w:hAnsi="Times New Roman" w:eastAsia="黑体"/>
          <w:color w:val="auto"/>
          <w:sz w:val="32"/>
          <w:szCs w:val="32"/>
          <w:highlight w:val="none"/>
          <w:lang w:eastAsia="zh-CN"/>
        </w:rPr>
        <w:t>二、收入决算情况说明</w:t>
      </w:r>
      <w:bookmarkEnd w:id="26"/>
      <w:bookmarkEnd w:id="27"/>
      <w:bookmarkEnd w:id="28"/>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Fonts w:hint="eastAsia" w:ascii="仿宋_GB2312" w:hAnsi="仿宋_GB2312" w:eastAsia="仿宋_GB2312" w:cs="仿宋_GB2312"/>
          <w:color w:val="000000"/>
          <w:kern w:val="2"/>
          <w:sz w:val="32"/>
          <w:szCs w:val="32"/>
          <w:lang w:val="en-US" w:eastAsia="zh-CN" w:bidi="ar-SA"/>
        </w:rPr>
      </w:pPr>
      <w:bookmarkStart w:id="29" w:name="_Toc16966"/>
      <w:r>
        <w:rPr>
          <w:rFonts w:hint="eastAsia" w:ascii="仿宋_GB2312" w:hAnsi="仿宋_GB2312" w:eastAsia="仿宋_GB2312" w:cs="仿宋_GB2312"/>
          <w:color w:val="000000"/>
          <w:kern w:val="2"/>
          <w:sz w:val="32"/>
          <w:szCs w:val="32"/>
          <w:lang w:val="en-US" w:eastAsia="zh-CN" w:bidi="ar-SA"/>
        </w:rPr>
        <w:drawing>
          <wp:anchor distT="0" distB="0" distL="114300" distR="114300" simplePos="0" relativeHeight="251661312" behindDoc="0" locked="0" layoutInCell="1" allowOverlap="1">
            <wp:simplePos x="0" y="0"/>
            <wp:positionH relativeFrom="column">
              <wp:posOffset>726440</wp:posOffset>
            </wp:positionH>
            <wp:positionV relativeFrom="paragraph">
              <wp:posOffset>1230630</wp:posOffset>
            </wp:positionV>
            <wp:extent cx="3909060" cy="2225040"/>
            <wp:effectExtent l="4445" t="4445" r="10795" b="18415"/>
            <wp:wrapSquare wrapText="bothSides"/>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_GB2312" w:hAnsi="仿宋_GB2312" w:eastAsia="仿宋_GB2312" w:cs="仿宋_GB2312"/>
          <w:color w:val="000000"/>
          <w:kern w:val="2"/>
          <w:sz w:val="32"/>
          <w:szCs w:val="32"/>
          <w:lang w:val="en-US" w:eastAsia="zh-CN" w:bidi="ar-SA"/>
        </w:rPr>
        <w:t>2025年度本年收入合计265.03万元，其中：一般公共预算财政拨款收入90.51万元，占34.15%；政府性基金预算财政拨款收入174.52万元，占65.85%。</w:t>
      </w:r>
      <w:bookmarkEnd w:id="29"/>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Times New Roman" w:hAnsi="Times New Roman" w:eastAsia="仿宋_GB2312" w:cs="仿宋_GB2312"/>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Style w:val="33"/>
          <w:rFonts w:hint="eastAsia" w:ascii="Times New Roman" w:hAnsi="Times New Roman" w:eastAsia="黑体"/>
          <w:b w:val="0"/>
          <w:color w:val="auto"/>
          <w:highlight w:val="none"/>
        </w:rPr>
      </w:pPr>
      <w:bookmarkStart w:id="30" w:name="_Toc15396605"/>
      <w:bookmarkStart w:id="31" w:name="_Toc5184"/>
      <w:bookmarkStart w:id="3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30"/>
      <w:bookmarkEnd w:id="31"/>
      <w:bookmarkEnd w:id="32"/>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Fonts w:hint="eastAsia" w:ascii="仿宋_GB2312" w:hAnsi="仿宋_GB2312" w:eastAsia="仿宋_GB2312" w:cs="仿宋_GB2312"/>
          <w:color w:val="000000"/>
          <w:kern w:val="2"/>
          <w:sz w:val="32"/>
          <w:szCs w:val="32"/>
          <w:lang w:val="en-US" w:eastAsia="zh-CN" w:bidi="ar-SA"/>
        </w:rPr>
      </w:pPr>
      <w:bookmarkStart w:id="33" w:name="_Toc23726"/>
      <w:r>
        <w:rPr>
          <w:rFonts w:hint="eastAsia" w:ascii="仿宋_GB2312" w:hAnsi="仿宋_GB2312" w:eastAsia="仿宋_GB2312" w:cs="仿宋_GB2312"/>
          <w:color w:val="000000"/>
          <w:kern w:val="2"/>
          <w:sz w:val="32"/>
          <w:szCs w:val="32"/>
          <w:lang w:val="en-US" w:eastAsia="zh-CN" w:bidi="ar-SA"/>
        </w:rPr>
        <w:t>2025年度本年支出合计265.03万元，其中：基本支出90.51万元，占34.15%；项目支出174.52万元，占65.85%。</w:t>
      </w:r>
      <w:bookmarkEnd w:id="33"/>
    </w:p>
    <w:p>
      <w:pPr>
        <w:pageBreakBefore w:val="0"/>
        <w:kinsoku/>
        <w:wordWrap/>
        <w:overflowPunct/>
        <w:topLinePunct w:val="0"/>
        <w:autoSpaceDE/>
        <w:autoSpaceDN/>
        <w:bidi w:val="0"/>
        <w:adjustRightInd/>
        <w:snapToGrid/>
        <w:spacing w:line="576" w:lineRule="exact"/>
        <w:ind w:left="0" w:firstLine="640" w:firstLineChars="200"/>
        <w:textAlignment w:val="auto"/>
        <w:outlineLvl w:val="1"/>
        <w:rPr>
          <w:rStyle w:val="33"/>
          <w:rFonts w:ascii="Times New Roman" w:hAnsi="Times New Roman" w:eastAsia="黑体"/>
          <w:b w:val="0"/>
          <w:color w:val="auto"/>
          <w:highlight w:val="none"/>
        </w:rPr>
      </w:pPr>
      <w:bookmarkStart w:id="34" w:name="_Toc15396606"/>
      <w:bookmarkStart w:id="35" w:name="_Toc15377208"/>
      <w:bookmarkStart w:id="36" w:name="_Toc1026"/>
      <w:r>
        <w:rPr>
          <w:rFonts w:hint="eastAsia" w:ascii="仿宋_GB2312" w:hAnsi="仿宋_GB2312" w:eastAsia="仿宋_GB2312" w:cs="仿宋_GB2312"/>
          <w:color w:val="000000"/>
          <w:sz w:val="32"/>
          <w:szCs w:val="32"/>
          <w:lang w:eastAsia="zh-CN"/>
        </w:rPr>
        <w:drawing>
          <wp:anchor distT="0" distB="0" distL="114300" distR="114300" simplePos="0" relativeHeight="251662336" behindDoc="0" locked="0" layoutInCell="1" allowOverlap="1">
            <wp:simplePos x="0" y="0"/>
            <wp:positionH relativeFrom="column">
              <wp:posOffset>615950</wp:posOffset>
            </wp:positionH>
            <wp:positionV relativeFrom="paragraph">
              <wp:posOffset>184785</wp:posOffset>
            </wp:positionV>
            <wp:extent cx="3786505" cy="2375535"/>
            <wp:effectExtent l="4445" t="5080" r="19050" b="196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34"/>
      <w:bookmarkEnd w:id="35"/>
      <w:bookmarkEnd w:id="36"/>
    </w:p>
    <w:p>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Fonts w:hint="eastAsia" w:ascii="仿宋_GB2312" w:hAnsi="仿宋_GB2312" w:eastAsia="仿宋_GB2312" w:cs="仿宋_GB2312"/>
          <w:color w:val="000000"/>
          <w:kern w:val="2"/>
          <w:sz w:val="32"/>
          <w:szCs w:val="32"/>
          <w:lang w:val="en-US" w:eastAsia="zh-CN" w:bidi="ar-SA"/>
        </w:rPr>
      </w:pPr>
      <w:bookmarkStart w:id="37" w:name="_Toc6427"/>
      <w:r>
        <w:rPr>
          <w:rFonts w:hint="eastAsia" w:ascii="仿宋_GB2312" w:hAnsi="仿宋_GB2312" w:eastAsia="仿宋_GB2312" w:cs="仿宋_GB2312"/>
          <w:color w:val="000000"/>
          <w:kern w:val="2"/>
          <w:sz w:val="32"/>
          <w:szCs w:val="32"/>
          <w:lang w:val="en-US" w:eastAsia="zh-CN" w:bidi="ar-SA"/>
        </w:rPr>
        <w:t>2025年度财政拨款收入、支出总计均为265.03万元。与上年度相比，财政拨款收入、支出总计各增加127.16万元，增长32.23%。主要变动原因是：项目资金增加。</w:t>
      </w:r>
      <w:bookmarkEnd w:id="37"/>
    </w:p>
    <w:p>
      <w:pPr>
        <w:pageBreakBefore w:val="0"/>
        <w:kinsoku/>
        <w:wordWrap/>
        <w:overflowPunct/>
        <w:topLinePunct w:val="0"/>
        <w:autoSpaceDE/>
        <w:autoSpaceDN/>
        <w:bidi w:val="0"/>
        <w:adjustRightInd/>
        <w:snapToGrid/>
        <w:spacing w:line="576" w:lineRule="exact"/>
        <w:ind w:firstLine="630" w:firstLineChars="300"/>
        <w:textAlignment w:val="auto"/>
        <w:outlineLvl w:val="1"/>
        <w:rPr>
          <w:rStyle w:val="33"/>
          <w:rFonts w:ascii="Times New Roman" w:hAnsi="Times New Roman" w:eastAsia="黑体"/>
          <w:b w:val="0"/>
          <w:color w:val="auto"/>
          <w:highlight w:val="none"/>
        </w:rPr>
      </w:pPr>
      <w:bookmarkStart w:id="38" w:name="_Toc20930"/>
      <w:bookmarkStart w:id="39" w:name="_Toc15377209"/>
      <w:bookmarkStart w:id="40" w:name="_Toc15396607"/>
      <w:r>
        <w:drawing>
          <wp:anchor distT="0" distB="0" distL="114300" distR="114300" simplePos="0" relativeHeight="251663360" behindDoc="0" locked="0" layoutInCell="1" allowOverlap="1">
            <wp:simplePos x="0" y="0"/>
            <wp:positionH relativeFrom="column">
              <wp:posOffset>661035</wp:posOffset>
            </wp:positionH>
            <wp:positionV relativeFrom="paragraph">
              <wp:posOffset>133985</wp:posOffset>
            </wp:positionV>
            <wp:extent cx="4187825" cy="2346960"/>
            <wp:effectExtent l="4445" t="4445" r="17780" b="10795"/>
            <wp:wrapTopAndBottom/>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38"/>
      <w:bookmarkEnd w:id="39"/>
      <w:bookmarkEnd w:id="40"/>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bookmarkStart w:id="4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1"/>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2025年度一般公共预算财政拨款支出90.51万元，占本年支出合计的34.15%。与上年度相比，一般公共预算财政拨款支出减少47.36万元，下降52.33%。主要变动原因是：人员经费减少。</w:t>
      </w:r>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仿宋" w:hAnsi="仿宋" w:eastAsia="仿宋"/>
          <w:color w:val="auto"/>
          <w:sz w:val="32"/>
          <w:szCs w:val="32"/>
          <w:highlight w:val="none"/>
          <w:lang w:eastAsia="zh-CN"/>
        </w:rPr>
      </w:pPr>
      <w:r>
        <w:rPr>
          <w:rFonts w:hint="eastAsia" w:ascii="仿宋_GB2312" w:hAnsi="仿宋_GB2312" w:eastAsia="仿宋_GB2312" w:cs="仿宋_GB2312"/>
          <w:color w:val="000000"/>
          <w:kern w:val="2"/>
          <w:sz w:val="32"/>
          <w:szCs w:val="32"/>
          <w:lang w:val="en-US" w:eastAsia="zh-CN" w:bidi="ar-SA"/>
        </w:rPr>
        <w:drawing>
          <wp:anchor distT="0" distB="0" distL="114300" distR="114300" simplePos="0" relativeHeight="251664384" behindDoc="0" locked="0" layoutInCell="1" allowOverlap="1">
            <wp:simplePos x="0" y="0"/>
            <wp:positionH relativeFrom="column">
              <wp:posOffset>794385</wp:posOffset>
            </wp:positionH>
            <wp:positionV relativeFrom="paragraph">
              <wp:posOffset>50800</wp:posOffset>
            </wp:positionV>
            <wp:extent cx="4078605" cy="2432050"/>
            <wp:effectExtent l="4445" t="4445" r="12700" b="2095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bookmarkStart w:id="42" w:name="_Toc15377211"/>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42"/>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2025年度一般公共预算财政拨款支出90.51万元，主要用于以下方面：</w:t>
      </w:r>
      <w:r>
        <w:rPr>
          <w:rFonts w:hint="eastAsia" w:ascii="仿宋_GB2312" w:hAnsi="仿宋_GB2312" w:eastAsia="仿宋_GB2312" w:cs="仿宋_GB2312"/>
          <w:b w:val="0"/>
          <w:bCs w:val="0"/>
          <w:color w:val="000000"/>
          <w:kern w:val="2"/>
          <w:sz w:val="32"/>
          <w:szCs w:val="32"/>
          <w:lang w:val="en-US" w:eastAsia="zh-CN" w:bidi="ar-SA"/>
        </w:rPr>
        <w:t>社会保障和就业支出11.08万元，占12.24%；卫生健康支出4.56万元，占0.05%；交通运输出68.64万元，占75.84%；住房保障支出6.23万元，占0.07%。</w:t>
      </w:r>
    </w:p>
    <w:p>
      <w:pPr>
        <w:pageBreakBefore w:val="0"/>
        <w:kinsoku/>
        <w:wordWrap/>
        <w:overflowPunct/>
        <w:topLinePunct w:val="0"/>
        <w:autoSpaceDE/>
        <w:autoSpaceDN/>
        <w:bidi w:val="0"/>
        <w:adjustRightInd/>
        <w:snapToGrid/>
        <w:spacing w:line="576" w:lineRule="exact"/>
        <w:ind w:left="0" w:firstLine="420" w:firstLineChars="200"/>
        <w:textAlignment w:val="auto"/>
        <w:outlineLvl w:val="2"/>
        <w:rPr>
          <w:rFonts w:hint="eastAsia" w:ascii="Times New Roman" w:hAnsi="Times New Roman" w:eastAsia="楷体_GB2312" w:cs="楷体_GB2312"/>
          <w:b/>
          <w:color w:val="auto"/>
          <w:sz w:val="32"/>
          <w:szCs w:val="32"/>
          <w:highlight w:val="none"/>
        </w:rPr>
      </w:pPr>
      <w:bookmarkStart w:id="43" w:name="_Toc15377212"/>
      <w:r>
        <w:drawing>
          <wp:anchor distT="0" distB="0" distL="114300" distR="114300" simplePos="0" relativeHeight="251665408" behindDoc="0" locked="0" layoutInCell="1" allowOverlap="1">
            <wp:simplePos x="0" y="0"/>
            <wp:positionH relativeFrom="column">
              <wp:posOffset>452120</wp:posOffset>
            </wp:positionH>
            <wp:positionV relativeFrom="paragraph">
              <wp:posOffset>175260</wp:posOffset>
            </wp:positionV>
            <wp:extent cx="4926330" cy="2091055"/>
            <wp:effectExtent l="5080" t="4445" r="21590" b="190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p>
    <w:p>
      <w:pPr>
        <w:pStyle w:val="2"/>
        <w:pageBreakBefore w:val="0"/>
        <w:kinsoku/>
        <w:wordWrap/>
        <w:overflowPunct/>
        <w:topLinePunct w:val="0"/>
        <w:autoSpaceDE/>
        <w:autoSpaceDN/>
        <w:bidi w:val="0"/>
        <w:adjustRightInd/>
        <w:snapToGrid/>
        <w:spacing w:before="0" w:after="0" w:line="576" w:lineRule="exact"/>
        <w:ind w:left="0" w:firstLine="642" w:firstLineChars="200"/>
        <w:textAlignment w:val="auto"/>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ind w:left="0" w:firstLine="642" w:firstLineChars="200"/>
        <w:textAlignment w:val="auto"/>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ind w:left="0" w:firstLine="420" w:firstLineChars="200"/>
        <w:textAlignment w:val="auto"/>
        <w:rPr>
          <w:rFonts w:hint="eastAsia"/>
        </w:rPr>
      </w:pP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lang w:eastAsia="zh-CN"/>
        </w:rPr>
      </w:pP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三）一般公共预算财政拨款支出决算具体情况</w:t>
      </w:r>
      <w:bookmarkEnd w:id="43"/>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bookmarkStart w:id="44" w:name="_Toc15377214"/>
      <w:bookmarkStart w:id="45" w:name="_Toc15396608"/>
      <w:r>
        <w:rPr>
          <w:rFonts w:hint="eastAsia" w:ascii="仿宋_GB2312" w:hAnsi="仿宋_GB2312" w:eastAsia="仿宋_GB2312" w:cs="仿宋_GB2312"/>
          <w:b/>
          <w:bCs/>
          <w:color w:val="000000"/>
          <w:sz w:val="32"/>
          <w:szCs w:val="32"/>
          <w:lang w:val="en-US" w:eastAsia="zh-CN"/>
        </w:rPr>
        <w:t>2025年度一般公共预算支出决算数为90.51万元，完成预算100%。其中：</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1.社会保障和就业支出（类）行政事业单位养老支出（款）机关事业单位基本养老保险缴费支出（项）:支出决算7.39万元，完成预算100%,决算数与预算数持平。</w:t>
      </w:r>
      <w:r>
        <w:rPr>
          <w:rFonts w:hint="eastAsia" w:ascii="仿宋_GB2312" w:hAnsi="仿宋_GB2312" w:eastAsia="仿宋_GB2312" w:cs="仿宋_GB2312"/>
          <w:color w:val="000000"/>
          <w:sz w:val="32"/>
          <w:szCs w:val="32"/>
          <w:lang w:val="en-US" w:eastAsia="zh-CN"/>
        </w:rPr>
        <w:cr/>
      </w:r>
      <w:r>
        <w:rPr>
          <w:rFonts w:hint="eastAsia" w:ascii="仿宋_GB2312" w:hAnsi="仿宋_GB2312" w:eastAsia="仿宋_GB2312" w:cs="仿宋_GB2312"/>
          <w:color w:val="000000"/>
          <w:sz w:val="32"/>
          <w:szCs w:val="32"/>
          <w:lang w:val="en-US" w:eastAsia="zh-CN"/>
        </w:rPr>
        <w:t xml:space="preserve">    2.社会保障和就业支出（类）行政事业单位养老支出（款）机关事业单位职业年金缴费支出（项）:支出决算3.69万元，完成预算100%,决算数与预算数持平。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3.卫生健康支出（类）行政事业单位医疗（款）事业单位医疗（项）:支出决算4.56万元，完成预算100%,决算数与预算数持平。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4.交通运输支出（类）公路水路运输（款）其他公路水路运输支出（项）:支出决算64.14万元，完成预算100%,决算数与预算数持平。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5.交通运输支出（类）公路水路运输（款）其他交通运输支出（项）:支出决算4.5万元，完成预算100%,决算数与预算数持平。</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6.住房保障支出（类）住房改革支出（款）住房公积金（项）:支出决算6.23万元，完成预算100%,决算数与预算数持平。</w:t>
      </w:r>
    </w:p>
    <w:p>
      <w:pPr>
        <w:pageBreakBefore w:val="0"/>
        <w:tabs>
          <w:tab w:val="right" w:pos="8306"/>
        </w:tabs>
        <w:kinsoku/>
        <w:wordWrap/>
        <w:overflowPunct/>
        <w:topLinePunct w:val="0"/>
        <w:autoSpaceDE/>
        <w:autoSpaceDN/>
        <w:bidi w:val="0"/>
        <w:adjustRightInd/>
        <w:snapToGrid/>
        <w:spacing w:line="576" w:lineRule="exact"/>
        <w:ind w:left="0" w:firstLine="640" w:firstLineChars="200"/>
        <w:textAlignment w:val="auto"/>
        <w:outlineLvl w:val="1"/>
        <w:rPr>
          <w:rStyle w:val="33"/>
          <w:rFonts w:ascii="Times New Roman" w:hAnsi="Times New Roman"/>
          <w:color w:val="auto"/>
          <w:highlight w:val="none"/>
        </w:rPr>
      </w:pPr>
      <w:bookmarkStart w:id="46" w:name="_Toc13415"/>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44"/>
      <w:bookmarkEnd w:id="45"/>
      <w:bookmarkEnd w:id="46"/>
      <w:r>
        <w:rPr>
          <w:rStyle w:val="33"/>
          <w:rFonts w:ascii="Times New Roman" w:hAnsi="Times New Roman" w:eastAsia="黑体"/>
          <w:b w:val="0"/>
          <w:color w:val="auto"/>
          <w:highlight w:val="none"/>
        </w:rPr>
        <w:tab/>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bookmarkStart w:id="47" w:name="_Toc15396609"/>
      <w:bookmarkStart w:id="48" w:name="_Toc15377215"/>
      <w:r>
        <w:rPr>
          <w:rFonts w:hint="eastAsia" w:ascii="仿宋_GB2312" w:hAnsi="仿宋_GB2312" w:eastAsia="仿宋_GB2312" w:cs="仿宋_GB2312"/>
          <w:color w:val="000000"/>
          <w:sz w:val="32"/>
          <w:szCs w:val="32"/>
          <w:lang w:val="en-US" w:eastAsia="zh-CN"/>
        </w:rPr>
        <w:t>2025年度一般公共预算财政拨款基本支出86.01万元，其中：</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员经费76.85万元，主要包括：基本工资、津贴补贴、奖金、绩效工资、机关事业单位基本养老保险缴费、职业年金缴费、职工基本医疗保险缴费、其他社会保障缴费、生活补助、医疗费、奖励金、住房公积金、对个人和家庭的补助。</w:t>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公用经费9.16万元，主要包括：办公费、电费、邮电费、差旅费、公务用车运行维护费、其他商品和服务支出。</w:t>
      </w:r>
    </w:p>
    <w:p>
      <w:pPr>
        <w:pageBreakBefore w:val="0"/>
        <w:kinsoku/>
        <w:wordWrap/>
        <w:overflowPunct/>
        <w:topLinePunct w:val="0"/>
        <w:autoSpaceDE/>
        <w:autoSpaceDN/>
        <w:bidi w:val="0"/>
        <w:adjustRightInd/>
        <w:snapToGrid/>
        <w:spacing w:line="576" w:lineRule="exact"/>
        <w:ind w:left="0" w:firstLine="640" w:firstLineChars="200"/>
        <w:textAlignment w:val="auto"/>
        <w:outlineLvl w:val="1"/>
        <w:rPr>
          <w:rStyle w:val="33"/>
          <w:rFonts w:ascii="Times New Roman" w:hAnsi="Times New Roman" w:eastAsia="黑体"/>
          <w:b w:val="0"/>
          <w:color w:val="auto"/>
          <w:highlight w:val="none"/>
        </w:rPr>
      </w:pPr>
      <w:bookmarkStart w:id="49" w:name="_Toc18781"/>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Fonts w:hint="eastAsia" w:ascii="仿宋" w:hAnsi="仿宋" w:eastAsia="仿宋"/>
          <w:b/>
          <w:color w:val="auto"/>
          <w:sz w:val="32"/>
          <w:szCs w:val="32"/>
          <w:highlight w:val="none"/>
        </w:rPr>
        <w:t>“</w:t>
      </w:r>
      <w:r>
        <w:rPr>
          <w:rStyle w:val="33"/>
          <w:rFonts w:hint="eastAsia" w:ascii="Times New Roman" w:hAnsi="Times New Roman" w:eastAsia="黑体"/>
          <w:b w:val="0"/>
          <w:color w:val="auto"/>
          <w:highlight w:val="none"/>
        </w:rPr>
        <w:t>三公</w:t>
      </w:r>
      <w:r>
        <w:rPr>
          <w:rFonts w:hint="eastAsia" w:ascii="仿宋" w:hAnsi="仿宋" w:eastAsia="仿宋"/>
          <w:b/>
          <w:color w:val="auto"/>
          <w:sz w:val="32"/>
          <w:szCs w:val="32"/>
          <w:highlight w:val="none"/>
        </w:rPr>
        <w:t>”</w:t>
      </w:r>
      <w:r>
        <w:rPr>
          <w:rStyle w:val="33"/>
          <w:rFonts w:hint="eastAsia" w:ascii="Times New Roman" w:hAnsi="Times New Roman" w:eastAsia="黑体"/>
          <w:b w:val="0"/>
          <w:color w:val="auto"/>
          <w:highlight w:val="none"/>
        </w:rPr>
        <w:t>经费支出决算情况说明</w:t>
      </w:r>
      <w:bookmarkEnd w:id="47"/>
      <w:bookmarkEnd w:id="48"/>
      <w:bookmarkEnd w:id="49"/>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outlineLvl w:val="2"/>
        <w:rPr>
          <w:rFonts w:ascii="仿宋" w:hAnsi="仿宋" w:eastAsia="仿宋"/>
          <w:b/>
          <w:color w:val="auto"/>
          <w:sz w:val="32"/>
          <w:szCs w:val="32"/>
          <w:highlight w:val="none"/>
        </w:rPr>
      </w:pPr>
      <w:bookmarkStart w:id="50" w:name="_Toc15377218"/>
      <w:bookmarkStart w:id="51" w:name="_Toc15396610"/>
      <w:r>
        <w:rPr>
          <w:rFonts w:hint="eastAsia" w:ascii="仿宋" w:hAnsi="仿宋" w:eastAsia="仿宋"/>
          <w:b/>
          <w:color w:val="auto"/>
          <w:sz w:val="32"/>
          <w:szCs w:val="32"/>
          <w:highlight w:val="none"/>
        </w:rPr>
        <w:t>（一）“三公”经费财政拨款支出决算总体情况说明</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2025年度“三公”经费财政拨款支出决算为4万元，完成预算100%，与2024年相比无变化。</w:t>
      </w: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2025年度“三公”经费财政拨款支出决算中，公务用车购置及运行维护费支出决算4万元，占100%。具体情况如下：</w:t>
      </w:r>
    </w:p>
    <w:p>
      <w:pPr>
        <w:pageBreakBefore w:val="0"/>
        <w:kinsoku/>
        <w:wordWrap/>
        <w:overflowPunct/>
        <w:topLinePunct w:val="0"/>
        <w:autoSpaceDE/>
        <w:autoSpaceDN/>
        <w:bidi w:val="0"/>
        <w:adjustRightInd/>
        <w:snapToGrid/>
        <w:spacing w:line="576" w:lineRule="exact"/>
        <w:ind w:left="0" w:firstLine="420" w:firstLineChars="200"/>
        <w:jc w:val="center"/>
        <w:textAlignment w:val="auto"/>
        <w:rPr>
          <w:rFonts w:hint="eastAsia" w:ascii="仿宋" w:hAnsi="仿宋" w:eastAsia="仿宋"/>
          <w:color w:val="auto"/>
          <w:sz w:val="32"/>
          <w:szCs w:val="32"/>
          <w:highlight w:val="none"/>
        </w:rPr>
      </w:pPr>
      <w:r>
        <w:drawing>
          <wp:anchor distT="0" distB="0" distL="114300" distR="114300" simplePos="0" relativeHeight="251666432" behindDoc="0" locked="0" layoutInCell="1" allowOverlap="1">
            <wp:simplePos x="0" y="0"/>
            <wp:positionH relativeFrom="column">
              <wp:posOffset>765175</wp:posOffset>
            </wp:positionH>
            <wp:positionV relativeFrom="paragraph">
              <wp:posOffset>11430</wp:posOffset>
            </wp:positionV>
            <wp:extent cx="3975735" cy="2262505"/>
            <wp:effectExtent l="4445" t="4445" r="20320" b="19050"/>
            <wp:wrapSquare wrapText="bothSides"/>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b/>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1.因公出国（境）经费支出</w:t>
      </w:r>
      <w:r>
        <w:rPr>
          <w:rFonts w:hint="eastAsia" w:ascii="仿宋_GB2312" w:hAnsi="仿宋_GB2312" w:eastAsia="仿宋_GB2312" w:cs="仿宋_GB2312"/>
          <w:color w:val="000000"/>
          <w:sz w:val="32"/>
          <w:szCs w:val="32"/>
          <w:lang w:val="en-US" w:eastAsia="zh-CN"/>
        </w:rPr>
        <w:t>0万元。</w:t>
      </w: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2.公务用车购置及运行维护费支出</w:t>
      </w:r>
      <w:r>
        <w:rPr>
          <w:rFonts w:hint="eastAsia" w:ascii="仿宋_GB2312" w:hAnsi="仿宋_GB2312" w:eastAsia="仿宋_GB2312" w:cs="仿宋_GB2312"/>
          <w:color w:val="000000"/>
          <w:sz w:val="32"/>
          <w:szCs w:val="32"/>
          <w:lang w:val="en-US" w:eastAsia="zh-CN"/>
        </w:rPr>
        <w:t>4万元,完成预算100%。公务用车购置及运行维护费支出与2024年度相比无变化。</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截至2025年12月31日，单位共有公务用车4辆，其中：轿车4辆。</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公务用车运行维护费支出4万元。主要用于公务用车燃料费、维修费、过路过桥费、保险费等支出。</w:t>
      </w:r>
    </w:p>
    <w:p>
      <w:pPr>
        <w:keepNext w:val="0"/>
        <w:keepLines w:val="0"/>
        <w:pageBreakBefore w:val="0"/>
        <w:widowControl w:val="0"/>
        <w:kinsoku/>
        <w:wordWrap/>
        <w:overflowPunct/>
        <w:topLinePunct w:val="0"/>
        <w:autoSpaceDE/>
        <w:autoSpaceDN/>
        <w:bidi w:val="0"/>
        <w:adjustRightInd/>
        <w:snapToGrid/>
        <w:spacing w:line="576" w:lineRule="exact"/>
        <w:ind w:left="0" w:firstLine="642"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3.公务接待费支出</w:t>
      </w:r>
      <w:r>
        <w:rPr>
          <w:rFonts w:hint="eastAsia" w:ascii="仿宋_GB2312" w:hAnsi="仿宋_GB2312" w:eastAsia="仿宋_GB2312" w:cs="仿宋_GB2312"/>
          <w:color w:val="000000"/>
          <w:sz w:val="32"/>
          <w:szCs w:val="32"/>
          <w:lang w:val="en-US" w:eastAsia="zh-CN"/>
        </w:rPr>
        <w:t>0万元。</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国内公务接待支出0万元。</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外事接待支出0万元。</w:t>
      </w:r>
    </w:p>
    <w:p>
      <w:pPr>
        <w:pageBreakBefore w:val="0"/>
        <w:kinsoku/>
        <w:wordWrap/>
        <w:overflowPunct/>
        <w:topLinePunct w:val="0"/>
        <w:autoSpaceDE/>
        <w:autoSpaceDN/>
        <w:bidi w:val="0"/>
        <w:adjustRightInd/>
        <w:snapToGrid/>
        <w:spacing w:line="576" w:lineRule="exact"/>
        <w:ind w:left="0" w:firstLine="640" w:firstLineChars="200"/>
        <w:textAlignment w:val="auto"/>
        <w:outlineLvl w:val="1"/>
        <w:rPr>
          <w:rStyle w:val="33"/>
          <w:rFonts w:ascii="Times New Roman" w:hAnsi="Times New Roman" w:eastAsia="黑体"/>
          <w:color w:val="auto"/>
          <w:highlight w:val="none"/>
        </w:rPr>
      </w:pPr>
      <w:bookmarkStart w:id="52" w:name="_Toc27580"/>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50"/>
      <w:bookmarkEnd w:id="51"/>
      <w:bookmarkEnd w:id="52"/>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2025年度政府性基金预算财政拨款支出174.52万元，占本年支出合计的66%。与2024年相比，政府性基金预算财政拨款支出增加174.52万元，增长100%。主要变动原因是:项目资金增加。</w:t>
      </w:r>
    </w:p>
    <w:p>
      <w:pPr>
        <w:pageBreakBefore w:val="0"/>
        <w:numPr>
          <w:ilvl w:val="0"/>
          <w:numId w:val="0"/>
        </w:numPr>
        <w:kinsoku/>
        <w:wordWrap/>
        <w:overflowPunct/>
        <w:topLinePunct w:val="0"/>
        <w:autoSpaceDE/>
        <w:autoSpaceDN/>
        <w:bidi w:val="0"/>
        <w:adjustRightInd/>
        <w:snapToGrid/>
        <w:spacing w:line="576" w:lineRule="exact"/>
        <w:ind w:left="0" w:firstLine="640" w:firstLineChars="200"/>
        <w:textAlignment w:val="auto"/>
        <w:outlineLvl w:val="1"/>
        <w:rPr>
          <w:rStyle w:val="33"/>
          <w:rFonts w:ascii="Times New Roman" w:hAnsi="Times New Roman" w:eastAsia="黑体"/>
          <w:b w:val="0"/>
          <w:color w:val="auto"/>
          <w:highlight w:val="none"/>
        </w:rPr>
      </w:pPr>
      <w:bookmarkStart w:id="53" w:name="_Toc15377219"/>
      <w:bookmarkStart w:id="54" w:name="_Toc15396611"/>
      <w:bookmarkStart w:id="55" w:name="_Toc22798"/>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53"/>
      <w:bookmarkEnd w:id="54"/>
      <w:bookmarkEnd w:id="55"/>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bookmarkStart w:id="56" w:name="_Toc15396612"/>
      <w:bookmarkStart w:id="57" w:name="_Toc15377221"/>
      <w:r>
        <w:rPr>
          <w:rFonts w:hint="eastAsia" w:ascii="仿宋_GB2312" w:hAnsi="仿宋_GB2312" w:eastAsia="仿宋_GB2312" w:cs="仿宋_GB2312"/>
          <w:color w:val="000000"/>
          <w:sz w:val="32"/>
          <w:szCs w:val="32"/>
          <w:lang w:val="en-US" w:eastAsia="zh-CN"/>
        </w:rPr>
        <w:t>2025年度国有资本经营预算财政拨款支出0万元。</w:t>
      </w:r>
    </w:p>
    <w:p>
      <w:pPr>
        <w:pageBreakBefore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1"/>
        <w:rPr>
          <w:rStyle w:val="33"/>
          <w:rFonts w:hint="eastAsia" w:ascii="Times New Roman" w:hAnsi="Times New Roman" w:eastAsia="黑体"/>
          <w:b w:val="0"/>
          <w:color w:val="auto"/>
          <w:highlight w:val="none"/>
        </w:rPr>
      </w:pPr>
      <w:bookmarkStart w:id="58" w:name="_Toc27448"/>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56"/>
      <w:bookmarkEnd w:id="57"/>
      <w:bookmarkEnd w:id="58"/>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bookmarkStart w:id="59" w:name="_Toc15377222"/>
      <w:r>
        <w:rPr>
          <w:rFonts w:hint="eastAsia" w:ascii="Times New Roman" w:hAnsi="Times New Roman" w:eastAsia="楷体_GB2312" w:cs="楷体_GB2312"/>
          <w:b/>
          <w:color w:val="auto"/>
          <w:sz w:val="32"/>
          <w:szCs w:val="32"/>
          <w:highlight w:val="none"/>
        </w:rPr>
        <w:t>（一）机关运行经费支出情况</w:t>
      </w:r>
      <w:bookmarkEnd w:id="59"/>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bookmarkStart w:id="60" w:name="_Toc15377223"/>
      <w:r>
        <w:rPr>
          <w:rFonts w:hint="eastAsia" w:ascii="仿宋_GB2312" w:hAnsi="仿宋_GB2312" w:eastAsia="仿宋_GB2312" w:cs="仿宋_GB2312"/>
          <w:color w:val="000000"/>
          <w:sz w:val="32"/>
          <w:szCs w:val="32"/>
          <w:lang w:val="en-US" w:eastAsia="zh-CN"/>
        </w:rPr>
        <w:t>2025年度，茂县交通运输综合服务中心机关运行经费支出0万元。</w:t>
      </w: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60"/>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bookmarkStart w:id="61" w:name="_Toc15377224"/>
      <w:r>
        <w:rPr>
          <w:rFonts w:hint="eastAsia" w:ascii="仿宋_GB2312" w:hAnsi="仿宋_GB2312" w:eastAsia="仿宋_GB2312" w:cs="仿宋_GB2312"/>
          <w:color w:val="000000"/>
          <w:sz w:val="32"/>
          <w:szCs w:val="32"/>
          <w:lang w:val="en-US" w:eastAsia="zh-CN"/>
        </w:rPr>
        <w:t>2025年度，茂县交通运输综合服务中心政府采购支出总额0万元。</w:t>
      </w: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61"/>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截至2025年12月31日，茂县交通运输综合服务中心共有车辆4辆，其中：应急保障用车4辆。</w:t>
      </w:r>
    </w:p>
    <w:p>
      <w:pPr>
        <w:pageBreakBefore w:val="0"/>
        <w:kinsoku/>
        <w:wordWrap/>
        <w:overflowPunct/>
        <w:topLinePunct w:val="0"/>
        <w:autoSpaceDE/>
        <w:autoSpaceDN/>
        <w:bidi w:val="0"/>
        <w:adjustRightInd/>
        <w:snapToGrid/>
        <w:spacing w:line="576" w:lineRule="exact"/>
        <w:ind w:left="0"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pageBreakBefore w:val="0"/>
        <w:kinsoku/>
        <w:wordWrap/>
        <w:overflowPunct/>
        <w:topLinePunct w:val="0"/>
        <w:autoSpaceDE/>
        <w:autoSpaceDN/>
        <w:bidi w:val="0"/>
        <w:adjustRightInd/>
        <w:snapToGrid/>
        <w:spacing w:line="576" w:lineRule="exact"/>
        <w:ind w:left="0"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 w:hAnsi="仿宋" w:eastAsia="仿宋" w:cs="仿宋"/>
          <w:color w:val="000000"/>
          <w:sz w:val="32"/>
          <w:szCs w:val="32"/>
        </w:rPr>
        <w:t xml:space="preserve"> </w:t>
      </w:r>
      <w:r>
        <w:rPr>
          <w:rFonts w:hint="default" w:ascii="仿宋_GB2312" w:hAnsi="仿宋_GB2312" w:eastAsia="仿宋_GB2312" w:cs="仿宋_GB2312"/>
          <w:color w:val="000000"/>
          <w:sz w:val="32"/>
          <w:szCs w:val="32"/>
          <w:lang w:val="en-US" w:eastAsia="zh-CN"/>
        </w:rPr>
        <w:t>根据预算绩效管理要求，本部门在</w:t>
      </w:r>
      <w:r>
        <w:rPr>
          <w:rFonts w:hint="eastAsia" w:ascii="仿宋_GB2312" w:hAnsi="仿宋_GB2312" w:eastAsia="仿宋_GB2312" w:cs="仿宋_GB2312"/>
          <w:color w:val="000000"/>
          <w:sz w:val="32"/>
          <w:szCs w:val="32"/>
          <w:lang w:val="en-US" w:eastAsia="zh-CN"/>
        </w:rPr>
        <w:t>2025年度</w:t>
      </w:r>
      <w:r>
        <w:rPr>
          <w:rFonts w:hint="default" w:ascii="仿宋_GB2312" w:hAnsi="仿宋_GB2312" w:eastAsia="仿宋_GB2312" w:cs="仿宋_GB2312"/>
          <w:color w:val="000000"/>
          <w:sz w:val="32"/>
          <w:szCs w:val="32"/>
          <w:lang w:val="en-US" w:eastAsia="zh-CN"/>
        </w:rPr>
        <w:t>预算编制阶段，组织对</w:t>
      </w:r>
      <w:r>
        <w:rPr>
          <w:rFonts w:hint="eastAsia" w:ascii="仿宋_GB2312" w:hAnsi="仿宋_GB2312" w:eastAsia="仿宋_GB2312" w:cs="仿宋_GB2312"/>
          <w:color w:val="000000"/>
          <w:sz w:val="32"/>
          <w:szCs w:val="32"/>
          <w:lang w:val="en-US" w:eastAsia="zh-CN"/>
        </w:rPr>
        <w:t>四川省老旧营运货车报废更新补贴项目</w:t>
      </w:r>
      <w:r>
        <w:rPr>
          <w:rFonts w:hint="default" w:ascii="仿宋_GB2312" w:hAnsi="仿宋_GB2312" w:eastAsia="仿宋_GB2312" w:cs="仿宋_GB2312"/>
          <w:color w:val="000000"/>
          <w:sz w:val="32"/>
          <w:szCs w:val="32"/>
          <w:lang w:val="en-US" w:eastAsia="zh-CN"/>
        </w:rPr>
        <w:t>等</w:t>
      </w:r>
      <w:r>
        <w:rPr>
          <w:rFonts w:hint="eastAsia"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en-US" w:eastAsia="zh-CN"/>
        </w:rPr>
        <w:t>个项目开展了预算事前绩效评估，对</w:t>
      </w:r>
      <w:r>
        <w:rPr>
          <w:rFonts w:hint="eastAsia"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en-US" w:eastAsia="zh-CN"/>
        </w:rPr>
        <w:t>个项目编制了绩效目标</w:t>
      </w:r>
      <w:r>
        <w:rPr>
          <w:rFonts w:hint="eastAsia" w:ascii="仿宋_GB2312" w:hAnsi="仿宋_GB2312" w:eastAsia="仿宋_GB2312" w:cs="仿宋_GB2312"/>
          <w:color w:val="000000"/>
          <w:sz w:val="32"/>
          <w:szCs w:val="32"/>
          <w:lang w:val="en-US" w:eastAsia="zh-CN"/>
        </w:rPr>
        <w:t>，在</w:t>
      </w:r>
      <w:r>
        <w:rPr>
          <w:rFonts w:hint="default" w:ascii="仿宋_GB2312" w:hAnsi="仿宋_GB2312" w:eastAsia="仿宋_GB2312" w:cs="仿宋_GB2312"/>
          <w:color w:val="000000"/>
          <w:sz w:val="32"/>
          <w:szCs w:val="32"/>
          <w:lang w:val="en-US" w:eastAsia="zh-CN"/>
        </w:rPr>
        <w:t>预算执行过程中，选取</w:t>
      </w:r>
      <w:r>
        <w:rPr>
          <w:rFonts w:hint="eastAsia"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en-US" w:eastAsia="zh-CN"/>
        </w:rPr>
        <w:t>个项目开展绩效监控。</w:t>
      </w:r>
    </w:p>
    <w:p>
      <w:pPr>
        <w:pageBreakBefore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组织对</w:t>
      </w:r>
      <w:r>
        <w:rPr>
          <w:rFonts w:hint="eastAsia" w:ascii="仿宋_GB2312" w:hAnsi="仿宋_GB2312" w:eastAsia="仿宋_GB2312" w:cs="仿宋_GB2312"/>
          <w:color w:val="000000"/>
          <w:sz w:val="32"/>
          <w:szCs w:val="32"/>
          <w:lang w:val="en-US" w:eastAsia="zh-CN"/>
        </w:rPr>
        <w:t>2025年度</w:t>
      </w:r>
      <w:r>
        <w:rPr>
          <w:rFonts w:hint="default" w:ascii="仿宋_GB2312" w:hAnsi="仿宋_GB2312" w:eastAsia="仿宋_GB2312" w:cs="仿宋_GB2312"/>
          <w:color w:val="000000"/>
          <w:sz w:val="32"/>
          <w:szCs w:val="32"/>
          <w:lang w:val="en-US" w:eastAsia="zh-CN"/>
        </w:rPr>
        <w:t>一般公共预算、政府性基金预算全面开展绩效自评，形成</w:t>
      </w:r>
      <w:r>
        <w:rPr>
          <w:rFonts w:hint="eastAsia" w:ascii="仿宋_GB2312" w:hAnsi="仿宋_GB2312" w:eastAsia="仿宋_GB2312" w:cs="仿宋_GB2312"/>
          <w:color w:val="000000"/>
          <w:sz w:val="32"/>
          <w:szCs w:val="32"/>
          <w:lang w:val="en-US" w:eastAsia="zh-CN"/>
        </w:rPr>
        <w:t>茂县交通运输综合服务中心</w:t>
      </w:r>
      <w:r>
        <w:rPr>
          <w:rFonts w:hint="default" w:ascii="仿宋_GB2312" w:hAnsi="仿宋_GB2312" w:eastAsia="仿宋_GB2312" w:cs="仿宋_GB2312"/>
          <w:color w:val="000000"/>
          <w:sz w:val="32"/>
          <w:szCs w:val="32"/>
          <w:lang w:val="en-US" w:eastAsia="zh-CN"/>
        </w:rPr>
        <w:t>部门整体绩效</w:t>
      </w:r>
      <w:r>
        <w:rPr>
          <w:rFonts w:hint="eastAsia" w:ascii="仿宋_GB2312" w:hAnsi="仿宋_GB2312" w:eastAsia="仿宋_GB2312" w:cs="仿宋_GB2312"/>
          <w:color w:val="000000"/>
          <w:sz w:val="32"/>
          <w:szCs w:val="32"/>
          <w:lang w:val="en-US" w:eastAsia="zh-CN"/>
        </w:rPr>
        <w:t>自</w:t>
      </w:r>
      <w:r>
        <w:rPr>
          <w:rFonts w:hint="default" w:ascii="仿宋_GB2312" w:hAnsi="仿宋_GB2312" w:eastAsia="仿宋_GB2312" w:cs="仿宋_GB2312"/>
          <w:color w:val="000000"/>
          <w:sz w:val="32"/>
          <w:szCs w:val="32"/>
          <w:lang w:val="en-US" w:eastAsia="zh-CN"/>
        </w:rPr>
        <w:t>评报告</w:t>
      </w:r>
      <w:r>
        <w:rPr>
          <w:rFonts w:hint="eastAsia" w:ascii="仿宋_GB2312" w:hAnsi="仿宋_GB2312" w:eastAsia="仿宋_GB2312" w:cs="仿宋_GB2312"/>
          <w:color w:val="000000"/>
          <w:sz w:val="32"/>
          <w:szCs w:val="32"/>
          <w:lang w:val="en-US" w:eastAsia="zh-CN"/>
        </w:rPr>
        <w:t>四川省老旧营运货车报废更新补贴</w:t>
      </w:r>
      <w:r>
        <w:rPr>
          <w:rFonts w:hint="default" w:ascii="仿宋_GB2312" w:hAnsi="仿宋_GB2312" w:eastAsia="仿宋_GB2312" w:cs="仿宋_GB2312"/>
          <w:color w:val="000000"/>
          <w:sz w:val="32"/>
          <w:szCs w:val="32"/>
          <w:lang w:val="en-US" w:eastAsia="zh-CN"/>
        </w:rPr>
        <w:t>项目绩效</w:t>
      </w:r>
      <w:r>
        <w:rPr>
          <w:rFonts w:hint="eastAsia" w:ascii="仿宋_GB2312" w:hAnsi="仿宋_GB2312" w:eastAsia="仿宋_GB2312" w:cs="仿宋_GB2312"/>
          <w:color w:val="000000"/>
          <w:sz w:val="32"/>
          <w:szCs w:val="32"/>
          <w:lang w:val="en-US" w:eastAsia="zh-CN"/>
        </w:rPr>
        <w:t>自</w:t>
      </w:r>
      <w:r>
        <w:rPr>
          <w:rFonts w:hint="default" w:ascii="仿宋_GB2312" w:hAnsi="仿宋_GB2312" w:eastAsia="仿宋_GB2312" w:cs="仿宋_GB2312"/>
          <w:color w:val="000000"/>
          <w:sz w:val="32"/>
          <w:szCs w:val="32"/>
          <w:lang w:val="en-US" w:eastAsia="zh-CN"/>
        </w:rPr>
        <w:t>评报告，其中，</w:t>
      </w:r>
      <w:r>
        <w:rPr>
          <w:rFonts w:hint="eastAsia" w:ascii="仿宋_GB2312" w:hAnsi="仿宋_GB2312" w:eastAsia="仿宋_GB2312" w:cs="仿宋_GB2312"/>
          <w:color w:val="000000"/>
          <w:sz w:val="32"/>
          <w:szCs w:val="32"/>
          <w:lang w:val="en-US" w:eastAsia="zh-CN"/>
        </w:rPr>
        <w:t>茂县交通运输综合服务中心</w:t>
      </w:r>
      <w:r>
        <w:rPr>
          <w:rFonts w:hint="default" w:ascii="仿宋_GB2312" w:hAnsi="仿宋_GB2312" w:eastAsia="仿宋_GB2312" w:cs="仿宋_GB2312"/>
          <w:color w:val="000000"/>
          <w:sz w:val="32"/>
          <w:szCs w:val="32"/>
          <w:lang w:val="en-US" w:eastAsia="zh-CN"/>
        </w:rPr>
        <w:t>部门整体绩效自评得分为</w:t>
      </w:r>
      <w:r>
        <w:rPr>
          <w:rFonts w:hint="eastAsia" w:ascii="仿宋_GB2312" w:hAnsi="仿宋_GB2312" w:eastAsia="仿宋_GB2312" w:cs="仿宋_GB2312"/>
          <w:color w:val="000000"/>
          <w:sz w:val="32"/>
          <w:szCs w:val="32"/>
          <w:lang w:val="en-US" w:eastAsia="zh-CN"/>
        </w:rPr>
        <w:t>96</w:t>
      </w:r>
      <w:r>
        <w:rPr>
          <w:rFonts w:hint="default" w:ascii="仿宋_GB2312" w:hAnsi="仿宋_GB2312" w:eastAsia="仿宋_GB2312" w:cs="仿宋_GB2312"/>
          <w:color w:val="000000"/>
          <w:sz w:val="32"/>
          <w:szCs w:val="32"/>
          <w:lang w:val="en-US" w:eastAsia="zh-CN"/>
        </w:rPr>
        <w:t>分，绩效自评综述：202</w:t>
      </w:r>
      <w:r>
        <w:rPr>
          <w:rFonts w:hint="eastAsia" w:ascii="仿宋_GB2312" w:hAnsi="仿宋_GB2312" w:eastAsia="仿宋_GB2312" w:cs="仿宋_GB2312"/>
          <w:color w:val="000000"/>
          <w:sz w:val="32"/>
          <w:szCs w:val="32"/>
          <w:lang w:val="en-US" w:eastAsia="zh-CN"/>
        </w:rPr>
        <w:t>5</w:t>
      </w:r>
      <w:r>
        <w:rPr>
          <w:rFonts w:hint="default" w:ascii="仿宋_GB2312" w:hAnsi="仿宋_GB2312" w:eastAsia="仿宋_GB2312" w:cs="仿宋_GB2312"/>
          <w:color w:val="000000"/>
          <w:sz w:val="32"/>
          <w:szCs w:val="32"/>
          <w:lang w:val="en-US" w:eastAsia="zh-CN"/>
        </w:rPr>
        <w:t>年我</w:t>
      </w:r>
      <w:r>
        <w:rPr>
          <w:rFonts w:hint="eastAsia" w:ascii="仿宋_GB2312" w:hAnsi="仿宋_GB2312" w:eastAsia="仿宋_GB2312" w:cs="仿宋_GB2312"/>
          <w:color w:val="000000"/>
          <w:sz w:val="32"/>
          <w:szCs w:val="32"/>
          <w:lang w:val="en-US" w:eastAsia="zh-CN"/>
        </w:rPr>
        <w:t>单位</w:t>
      </w:r>
      <w:r>
        <w:rPr>
          <w:rFonts w:hint="default" w:ascii="仿宋_GB2312" w:hAnsi="仿宋_GB2312" w:eastAsia="仿宋_GB2312" w:cs="仿宋_GB2312"/>
          <w:color w:val="000000"/>
          <w:sz w:val="32"/>
          <w:szCs w:val="32"/>
          <w:lang w:val="en-US" w:eastAsia="zh-CN"/>
        </w:rPr>
        <w:t>部门整体支出绩效自查自评结果良好，</w:t>
      </w:r>
      <w:r>
        <w:rPr>
          <w:rFonts w:hint="eastAsia" w:ascii="仿宋_GB2312" w:hAnsi="仿宋_GB2312" w:eastAsia="仿宋_GB2312" w:cs="仿宋_GB2312"/>
          <w:color w:val="000000"/>
          <w:sz w:val="32"/>
          <w:szCs w:val="32"/>
          <w:lang w:val="en-US" w:eastAsia="zh-CN"/>
        </w:rPr>
        <w:t>全年基本支出保证了我单位的正常运行和日常工作的正常开展，项目支出保障了重点工作的开展，绩效目标得到较好实现，绩效管理水平不断提高，绩效指标体系逐渐丰富和完善</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四川省老旧营运货车报废更新补贴</w:t>
      </w:r>
      <w:r>
        <w:rPr>
          <w:rFonts w:hint="default" w:ascii="仿宋_GB2312" w:hAnsi="仿宋_GB2312" w:eastAsia="仿宋_GB2312" w:cs="仿宋_GB2312"/>
          <w:color w:val="000000"/>
          <w:sz w:val="32"/>
          <w:szCs w:val="32"/>
          <w:lang w:val="en-US" w:eastAsia="zh-CN"/>
        </w:rPr>
        <w:t>项目绩效自评得分为</w:t>
      </w:r>
      <w:r>
        <w:rPr>
          <w:rFonts w:hint="eastAsia" w:ascii="仿宋_GB2312" w:hAnsi="仿宋_GB2312" w:eastAsia="仿宋_GB2312" w:cs="仿宋_GB2312"/>
          <w:color w:val="000000"/>
          <w:sz w:val="32"/>
          <w:szCs w:val="32"/>
          <w:lang w:val="en-US" w:eastAsia="zh-CN"/>
        </w:rPr>
        <w:t>85</w:t>
      </w:r>
      <w:r>
        <w:rPr>
          <w:rFonts w:hint="default" w:ascii="仿宋_GB2312" w:hAnsi="仿宋_GB2312" w:eastAsia="仿宋_GB2312" w:cs="仿宋_GB2312"/>
          <w:color w:val="000000"/>
          <w:sz w:val="32"/>
          <w:szCs w:val="32"/>
          <w:lang w:val="en-US" w:eastAsia="zh-CN"/>
        </w:rPr>
        <w:t>分</w:t>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t>绩效自评综述：</w:t>
      </w:r>
      <w:r>
        <w:rPr>
          <w:rFonts w:hint="eastAsia" w:ascii="仿宋_GB2312" w:hAnsi="仿宋_GB2312" w:eastAsia="仿宋_GB2312" w:cs="仿宋_GB2312"/>
          <w:color w:val="000000"/>
          <w:sz w:val="32"/>
          <w:szCs w:val="32"/>
          <w:lang w:val="en-US" w:eastAsia="zh-CN"/>
        </w:rPr>
        <w:t>项目严格按照政策要求推进实施，预算执行到位，资金管理规范，补贴发放精准及时，全面完成年度绩效目标，有效推动辖区老旧营运货车报废更新工作，切实惠及货运企业及个体车主，财政资金使用效益良好，达到了项目实施预期效果。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2" w:name="_Toc15377225"/>
      <w:bookmarkStart w:id="63"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ascii="Times New Roman" w:hAnsi="Times New Roman"/>
          <w:b/>
          <w:color w:val="auto"/>
          <w:sz w:val="44"/>
          <w:szCs w:val="44"/>
          <w:highlight w:val="none"/>
        </w:rPr>
      </w:pPr>
      <w:bookmarkStart w:id="64" w:name="_Toc24579"/>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2"/>
      <w:bookmarkEnd w:id="63"/>
      <w:bookmarkEnd w:id="64"/>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bookmarkStart w:id="65" w:name="_Toc15377226"/>
      <w:r>
        <w:rPr>
          <w:rFonts w:hint="eastAsia" w:ascii="仿宋_GB2312" w:hAnsi="仿宋_GB2312" w:eastAsia="仿宋_GB2312" w:cs="仿宋_GB2312"/>
          <w:color w:val="000000"/>
          <w:sz w:val="32"/>
          <w:szCs w:val="32"/>
          <w:lang w:val="en-US" w:eastAsia="zh-CN"/>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4.其他收入：指单位取得的除上述收入以外的各项收入。</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5.使用非财政拨款结余（含专用结余）：指事业单位使用以前年度积累的非财政拨款结余弥补当年收支差额的金额。 </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6.年初结转和结余：指以前年度尚未完成、结转到本年按有关规定继续使用的资金。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7.结余分配：指事业单位按照会计制度规定缴纳的所得税、提取的专用结余以及转入非财政拨款结余的金额等。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lang w:val="en-US" w:eastAsia="zh-CN"/>
        </w:rPr>
        <w:cr/>
      </w:r>
      <w:r>
        <w:rPr>
          <w:rFonts w:hint="eastAsia" w:ascii="仿宋_GB2312" w:hAnsi="仿宋_GB2312" w:eastAsia="仿宋_GB2312" w:cs="仿宋_GB2312"/>
          <w:color w:val="000000"/>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lang w:val="en-US" w:eastAsia="zh-CN"/>
        </w:rPr>
        <w:cr/>
      </w:r>
      <w:r>
        <w:rPr>
          <w:rFonts w:hint="eastAsia" w:ascii="仿宋_GB2312" w:hAnsi="仿宋_GB2312" w:eastAsia="仿宋_GB2312" w:cs="仿宋_GB2312"/>
          <w:color w:val="000000"/>
          <w:sz w:val="32"/>
          <w:szCs w:val="32"/>
          <w:lang w:val="en-US" w:eastAsia="zh-CN"/>
        </w:rPr>
        <w:t xml:space="preserve">    11.卫生健康支出（类）行政事业单位医疗（款）事业单位医疗（项）:反映财政部门安排的事业单位基本医疗保险缴费经费，未参加医疗保险的事业单位的公费医疗经费，按国家规定享受离休人员待遇的医疗经费。</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12.城乡社区支出（类）国有土地使用权出让收入安排的支出（款）其他国有土地使用权出让收入安排的支出（项）：反映土地出让收入用于其他方面的支出。不包括市县级政府当年按规定用土地出让收人向中央和省级政府缴纳的新增建设用地土地有偿使用费的支出。</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13.交通运输支出（类）公路水路运输（款）其他公路水路运输支出（项）：反映除上述项目以外，其他用于公路水路运输方面的支出。</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14.交通运输支出（类）其他交通支出（款）其他交通支出（项）：反映其他交通运输支出中除对公共交通运营补助以外的其他支出。</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15.资源勘探工业信息的支出（类）超长期特别国债安排的支出（款）制造业（项）：反映使用超长期特别国债收入安排的纺织、轻工、化工、医药、机械、冶炼、建材、交通运输设备、烟草、兵器、核工、航空、航天、船舶、电子及通讯设备等制造业支出。</w:t>
      </w:r>
      <w:r>
        <w:rPr>
          <w:rFonts w:hint="eastAsia" w:ascii="仿宋_GB2312" w:hAnsi="仿宋_GB2312" w:eastAsia="仿宋_GB2312" w:cs="仿宋_GB2312"/>
          <w:color w:val="000000"/>
          <w:sz w:val="32"/>
          <w:szCs w:val="32"/>
          <w:lang w:val="en-US" w:eastAsia="zh-CN"/>
        </w:rPr>
        <w:cr/>
      </w:r>
      <w:r>
        <w:rPr>
          <w:rFonts w:hint="eastAsia" w:ascii="仿宋_GB2312" w:hAnsi="仿宋_GB2312" w:eastAsia="仿宋_GB2312" w:cs="仿宋_GB2312"/>
          <w:color w:val="000000"/>
          <w:sz w:val="32"/>
          <w:szCs w:val="32"/>
          <w:lang w:val="en-US" w:eastAsia="zh-CN"/>
        </w:rPr>
        <w:t xml:space="preserve">    16.住房保障支出（类）住房改革支出（款）住房公积金（项）:反映行政事业单位按人力资源和社会保障部、财政部规定的基本工资和津贴补贴以及规定比例为职工缴纳的住房公积金。</w:t>
      </w:r>
      <w:r>
        <w:rPr>
          <w:rFonts w:hint="eastAsia" w:ascii="仿宋_GB2312" w:hAnsi="仿宋_GB2312" w:eastAsia="仿宋_GB2312" w:cs="仿宋_GB2312"/>
          <w:color w:val="000000"/>
          <w:sz w:val="32"/>
          <w:szCs w:val="32"/>
          <w:lang w:val="en-US" w:eastAsia="zh-CN"/>
        </w:rPr>
        <w:cr/>
      </w:r>
      <w:r>
        <w:rPr>
          <w:rFonts w:hint="eastAsia" w:ascii="仿宋_GB2312" w:hAnsi="仿宋_GB2312" w:eastAsia="仿宋_GB2312" w:cs="仿宋_GB2312"/>
          <w:color w:val="000000"/>
          <w:sz w:val="32"/>
          <w:szCs w:val="32"/>
          <w:lang w:val="en-US" w:eastAsia="zh-CN"/>
        </w:rPr>
        <w:t xml:space="preserve">    17.基本支出：指为保障机构正常运转、完成日常工作任务而发生的人员支出和公用支出。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18.项目支出：指在基本支出之外为完成特定行政任务和事业发展目标所发生的支出。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19.经营支出：指事业单位在专业业务活动及其辅助活动之外开展非独立核算经营活动发生的支出。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66" w:name="_Toc4796"/>
      <w:bookmarkStart w:id="67" w:name="_Toc15396614"/>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6"/>
    </w:p>
    <w:p>
      <w:pPr>
        <w:spacing w:line="600" w:lineRule="exact"/>
        <w:jc w:val="center"/>
        <w:rPr>
          <w:rFonts w:hint="eastAsia" w:ascii="Times New Roman" w:hAnsi="Times New Roman" w:eastAsia="黑体" w:cs="黑体"/>
          <w:color w:val="FF0000"/>
          <w:sz w:val="32"/>
          <w:szCs w:val="32"/>
          <w:highlight w:val="none"/>
          <w:lang w:val="en-US"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黑体" w:hAnsi="黑体" w:eastAsia="黑体" w:cs="黑体"/>
          <w:b w:val="0"/>
          <w:bCs/>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黑体" w:hAnsi="黑体" w:eastAsia="黑体" w:cs="黑体"/>
          <w:b w:val="0"/>
          <w:bCs/>
          <w:sz w:val="44"/>
          <w:szCs w:val="44"/>
          <w:highlight w:val="none"/>
          <w:shd w:val="clear" w:color="auto" w:fill="FFFFFF"/>
          <w:lang w:eastAsia="zh-CN"/>
        </w:rPr>
      </w:pPr>
      <w:r>
        <w:rPr>
          <w:rFonts w:hint="eastAsia" w:ascii="黑体" w:hAnsi="黑体" w:eastAsia="黑体" w:cs="黑体"/>
          <w:b w:val="0"/>
          <w:bCs/>
          <w:sz w:val="44"/>
          <w:szCs w:val="44"/>
          <w:highlight w:val="none"/>
          <w:shd w:val="clear" w:color="auto" w:fill="FFFFFF"/>
          <w:lang w:val="en-US" w:eastAsia="zh-CN"/>
        </w:rPr>
        <w:t>茂县交通运输综合服务中心</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黑体" w:hAnsi="黑体" w:eastAsia="黑体" w:cs="黑体"/>
          <w:color w:val="000000"/>
          <w:kern w:val="0"/>
          <w:sz w:val="52"/>
          <w:szCs w:val="52"/>
          <w:highlight w:val="none"/>
          <w:shd w:val="clear" w:color="auto" w:fill="FFFFFF"/>
        </w:rPr>
      </w:pPr>
      <w:r>
        <w:rPr>
          <w:rFonts w:hint="eastAsia" w:ascii="黑体" w:hAnsi="黑体" w:eastAsia="黑体" w:cs="黑体"/>
          <w:b w:val="0"/>
          <w:bCs/>
          <w:sz w:val="44"/>
          <w:szCs w:val="44"/>
          <w:highlight w:val="none"/>
          <w:shd w:val="clear" w:color="auto" w:fill="FFFFFF"/>
        </w:rPr>
        <w:t>部门</w:t>
      </w:r>
      <w:r>
        <w:rPr>
          <w:rFonts w:hint="eastAsia" w:ascii="黑体" w:hAnsi="黑体" w:eastAsia="黑体" w:cs="黑体"/>
          <w:b w:val="0"/>
          <w:bCs/>
          <w:sz w:val="44"/>
          <w:szCs w:val="44"/>
          <w:highlight w:val="none"/>
          <w:shd w:val="clear" w:color="auto" w:fill="FFFFFF"/>
          <w:lang w:eastAsia="zh-CN"/>
        </w:rPr>
        <w:t>预算</w:t>
      </w:r>
      <w:r>
        <w:rPr>
          <w:rFonts w:hint="eastAsia" w:ascii="黑体" w:hAnsi="黑体" w:eastAsia="黑体" w:cs="黑体"/>
          <w:b w:val="0"/>
          <w:bCs/>
          <w:sz w:val="44"/>
          <w:szCs w:val="44"/>
          <w:highlight w:val="none"/>
          <w:shd w:val="clear" w:color="auto" w:fill="FFFFFF"/>
        </w:rPr>
        <w:t>绩效</w:t>
      </w:r>
      <w:r>
        <w:rPr>
          <w:rFonts w:hint="eastAsia" w:ascii="黑体" w:hAnsi="黑体" w:eastAsia="黑体" w:cs="黑体"/>
          <w:b w:val="0"/>
          <w:bCs/>
          <w:sz w:val="44"/>
          <w:szCs w:val="44"/>
          <w:highlight w:val="none"/>
          <w:shd w:val="clear" w:color="auto" w:fill="FFFFFF"/>
          <w:lang w:eastAsia="zh-CN"/>
        </w:rPr>
        <w:t>评价</w:t>
      </w:r>
      <w:r>
        <w:rPr>
          <w:rFonts w:hint="eastAsia" w:ascii="黑体" w:hAnsi="黑体" w:eastAsia="黑体" w:cs="黑体"/>
          <w:b w:val="0"/>
          <w:bCs/>
          <w:sz w:val="44"/>
          <w:szCs w:val="44"/>
          <w:highlight w:val="none"/>
          <w:shd w:val="clear" w:color="auto" w:fill="FFFFFF"/>
        </w:rPr>
        <w:t>报告</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widowControl/>
        <w:kinsoku/>
        <w:wordWrap/>
        <w:overflowPunct/>
        <w:topLinePunct w:val="0"/>
        <w:autoSpaceDE/>
        <w:autoSpaceDN/>
        <w:bidi w:val="0"/>
        <w:adjustRightInd w:val="0"/>
        <w:snapToGrid w:val="0"/>
        <w:spacing w:line="576" w:lineRule="exact"/>
        <w:ind w:leftChars="0" w:firstLine="640" w:firstLineChars="200"/>
        <w:contextualSpacing/>
        <w:jc w:val="left"/>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茂县交通运输综合服务中心</w:t>
      </w:r>
      <w:r>
        <w:rPr>
          <w:rFonts w:hint="eastAsia" w:ascii="仿宋_GB2312" w:hAnsi="仿宋_GB2312" w:eastAsia="仿宋_GB2312" w:cs="仿宋_GB2312"/>
          <w:color w:val="auto"/>
          <w:sz w:val="32"/>
          <w:szCs w:val="32"/>
          <w:highlight w:val="none"/>
          <w:lang w:val="zh-CN"/>
        </w:rPr>
        <w:t>内设机构</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rPr>
        <w:t>个，</w:t>
      </w:r>
      <w:r>
        <w:rPr>
          <w:rFonts w:hint="eastAsia" w:ascii="仿宋_GB2312" w:hAnsi="仿宋_GB2312" w:eastAsia="仿宋_GB2312" w:cs="仿宋_GB2312"/>
          <w:sz w:val="32"/>
          <w:szCs w:val="32"/>
          <w:lang w:val="zh-CN"/>
        </w:rPr>
        <w:t>为</w:t>
      </w:r>
      <w:r>
        <w:rPr>
          <w:rFonts w:hint="eastAsia" w:ascii="仿宋_GB2312" w:hAnsi="仿宋_GB2312" w:eastAsia="仿宋_GB2312" w:cs="仿宋_GB2312"/>
          <w:sz w:val="32"/>
          <w:szCs w:val="32"/>
        </w:rPr>
        <w:t>综合办公室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业务</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安全股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keepNext w:val="0"/>
        <w:keepLines w:val="0"/>
        <w:pageBreakBefore w:val="0"/>
        <w:widowControl/>
        <w:numPr>
          <w:ilvl w:val="0"/>
          <w:numId w:val="1"/>
        </w:numPr>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贯彻执行国家及省、州有关道路运输的方针、政策和法规，执行上级道路运输管理部门制定的有关规章、规范、标准和细则。</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2.在行业主管部门的领导下，</w:t>
      </w:r>
      <w:r>
        <w:rPr>
          <w:rFonts w:hint="eastAsia" w:ascii="仿宋_GB2312" w:hAnsi="仿宋_GB2312" w:eastAsia="仿宋_GB2312" w:cs="仿宋_GB2312"/>
          <w:color w:val="000000"/>
          <w:sz w:val="32"/>
          <w:szCs w:val="32"/>
          <w:lang w:eastAsia="zh-CN"/>
        </w:rPr>
        <w:t>负责县道路客货运输、城市公交、出租汽车、</w:t>
      </w:r>
      <w:r>
        <w:rPr>
          <w:rFonts w:hint="eastAsia" w:ascii="仿宋_GB2312" w:hAnsi="仿宋_GB2312" w:eastAsia="仿宋_GB2312" w:cs="仿宋_GB2312"/>
          <w:color w:val="000000"/>
          <w:sz w:val="32"/>
          <w:szCs w:val="32"/>
          <w:lang w:val="en-US" w:eastAsia="zh-CN"/>
        </w:rPr>
        <w:t>驾培机构、</w:t>
      </w:r>
      <w:r>
        <w:rPr>
          <w:rFonts w:hint="eastAsia" w:ascii="仿宋_GB2312" w:hAnsi="仿宋_GB2312" w:eastAsia="仿宋_GB2312" w:cs="仿宋_GB2312"/>
          <w:color w:val="000000"/>
          <w:sz w:val="32"/>
          <w:szCs w:val="32"/>
          <w:lang w:eastAsia="zh-CN"/>
        </w:rPr>
        <w:t>车辆维修和检测、运输服务行业管理、监督</w:t>
      </w:r>
      <w:r>
        <w:rPr>
          <w:rFonts w:hint="eastAsia" w:ascii="仿宋_GB2312" w:hAnsi="仿宋_GB2312" w:eastAsia="仿宋_GB2312" w:cs="仿宋_GB2312"/>
          <w:color w:val="000000"/>
          <w:sz w:val="32"/>
          <w:szCs w:val="32"/>
          <w:lang w:val="en-US" w:eastAsia="zh-CN"/>
        </w:rPr>
        <w:t>等事务性工作。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3.在行业主管部门的领导下，配合参与</w:t>
      </w:r>
      <w:r>
        <w:rPr>
          <w:rFonts w:hint="eastAsia" w:ascii="仿宋_GB2312" w:hAnsi="仿宋_GB2312" w:eastAsia="仿宋_GB2312" w:cs="仿宋_GB2312"/>
          <w:color w:val="000000"/>
          <w:sz w:val="32"/>
          <w:szCs w:val="32"/>
          <w:lang w:eastAsia="zh-CN"/>
        </w:rPr>
        <w:t>对道路运输市场的运输质量、经营行为、价格执行及使用的证、照、牌、单、票据等进行日常性监督检查</w:t>
      </w:r>
      <w:r>
        <w:rPr>
          <w:rFonts w:hint="eastAsia" w:ascii="仿宋_GB2312" w:hAnsi="仿宋_GB2312" w:eastAsia="仿宋_GB2312" w:cs="仿宋_GB2312"/>
          <w:color w:val="000000"/>
          <w:sz w:val="32"/>
          <w:szCs w:val="32"/>
          <w:lang w:val="en-US" w:eastAsia="zh-CN"/>
        </w:rPr>
        <w:t>和</w:t>
      </w:r>
      <w:r>
        <w:rPr>
          <w:rFonts w:hint="eastAsia" w:ascii="仿宋_GB2312" w:hAnsi="仿宋_GB2312" w:eastAsia="仿宋_GB2312" w:cs="仿宋_GB2312"/>
          <w:color w:val="000000"/>
          <w:sz w:val="32"/>
          <w:szCs w:val="32"/>
          <w:lang w:eastAsia="zh-CN"/>
        </w:rPr>
        <w:t>日常性运输纠纷调解。</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4.在行业主管部门的领导下，</w:t>
      </w:r>
      <w:r>
        <w:rPr>
          <w:rFonts w:hint="eastAsia" w:ascii="仿宋_GB2312" w:hAnsi="仿宋_GB2312" w:eastAsia="仿宋_GB2312" w:cs="仿宋_GB2312"/>
          <w:color w:val="000000"/>
          <w:sz w:val="32"/>
          <w:szCs w:val="32"/>
          <w:lang w:eastAsia="zh-CN"/>
        </w:rPr>
        <w:t>具体组织实施重点物资、大宗物资</w:t>
      </w:r>
      <w:r>
        <w:rPr>
          <w:rFonts w:hint="eastAsia" w:ascii="仿宋_GB2312" w:hAnsi="仿宋_GB2312" w:eastAsia="仿宋_GB2312" w:cs="仿宋_GB2312"/>
          <w:color w:val="000000"/>
          <w:sz w:val="32"/>
          <w:szCs w:val="32"/>
          <w:lang w:val="en-US" w:eastAsia="zh-CN"/>
        </w:rPr>
        <w:t>的运输，具体组织实施</w:t>
      </w:r>
      <w:r>
        <w:rPr>
          <w:rFonts w:hint="eastAsia" w:ascii="仿宋_GB2312" w:hAnsi="仿宋_GB2312" w:eastAsia="仿宋_GB2312" w:cs="仿宋_GB2312"/>
          <w:color w:val="000000"/>
          <w:sz w:val="32"/>
          <w:szCs w:val="32"/>
          <w:lang w:eastAsia="zh-CN"/>
        </w:rPr>
        <w:t>指令性的抢险救灾、战备物资的运输。</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掌握本地运力与运量的情况，按时向有关部门和上级交通运输部门提供需求信息，配合做好车辆投放、车辆结构和技术等级的调控工作，</w:t>
      </w:r>
      <w:r>
        <w:rPr>
          <w:rFonts w:hint="eastAsia" w:ascii="仿宋_GB2312" w:hAnsi="仿宋_GB2312" w:eastAsia="仿宋_GB2312" w:cs="仿宋_GB2312"/>
          <w:color w:val="000000"/>
          <w:sz w:val="32"/>
          <w:szCs w:val="32"/>
          <w:lang w:val="en-US" w:eastAsia="zh-CN"/>
        </w:rPr>
        <w:t>承担</w:t>
      </w:r>
      <w:r>
        <w:rPr>
          <w:rFonts w:hint="eastAsia" w:ascii="仿宋_GB2312" w:hAnsi="仿宋_GB2312" w:eastAsia="仿宋_GB2312" w:cs="仿宋_GB2312"/>
          <w:color w:val="000000"/>
          <w:sz w:val="32"/>
          <w:szCs w:val="32"/>
          <w:lang w:eastAsia="zh-CN"/>
        </w:rPr>
        <w:t>站点布局、建设、管理</w:t>
      </w:r>
      <w:r>
        <w:rPr>
          <w:rFonts w:hint="eastAsia" w:ascii="仿宋_GB2312" w:hAnsi="仿宋_GB2312" w:eastAsia="仿宋_GB2312" w:cs="仿宋_GB2312"/>
          <w:color w:val="000000"/>
          <w:sz w:val="32"/>
          <w:szCs w:val="32"/>
          <w:lang w:val="en-US" w:eastAsia="zh-CN"/>
        </w:rPr>
        <w:t>的事务性</w:t>
      </w:r>
      <w:r>
        <w:rPr>
          <w:rFonts w:hint="eastAsia" w:ascii="仿宋_GB2312" w:hAnsi="仿宋_GB2312" w:eastAsia="仿宋_GB2312" w:cs="仿宋_GB2312"/>
          <w:color w:val="000000"/>
          <w:sz w:val="32"/>
          <w:szCs w:val="32"/>
          <w:lang w:eastAsia="zh-CN"/>
        </w:rPr>
        <w:t>工作。</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6.协助行业主管部门做好</w:t>
      </w:r>
      <w:r>
        <w:rPr>
          <w:rFonts w:hint="eastAsia" w:ascii="仿宋_GB2312" w:hAnsi="仿宋_GB2312" w:eastAsia="仿宋_GB2312" w:cs="仿宋_GB2312"/>
          <w:color w:val="000000"/>
          <w:sz w:val="32"/>
          <w:szCs w:val="32"/>
          <w:lang w:eastAsia="zh-CN"/>
        </w:rPr>
        <w:t>运输市场源头管理，建立各种基础台账。负责各类统计数据的收集、整理和上报，组织日常性运输市场调查，收集各种基本信息，开展咨询和市场预测，</w:t>
      </w:r>
      <w:r>
        <w:rPr>
          <w:rFonts w:hint="eastAsia" w:ascii="仿宋_GB2312" w:hAnsi="仿宋_GB2312" w:eastAsia="仿宋_GB2312" w:cs="仿宋_GB2312"/>
          <w:color w:val="000000"/>
          <w:sz w:val="32"/>
          <w:szCs w:val="32"/>
          <w:lang w:val="en-US" w:eastAsia="zh-CN"/>
        </w:rPr>
        <w:t>参与</w:t>
      </w:r>
      <w:r>
        <w:rPr>
          <w:rFonts w:hint="eastAsia" w:ascii="仿宋_GB2312" w:hAnsi="仿宋_GB2312" w:eastAsia="仿宋_GB2312" w:cs="仿宋_GB2312"/>
          <w:color w:val="000000"/>
          <w:sz w:val="32"/>
          <w:szCs w:val="32"/>
          <w:lang w:eastAsia="zh-CN"/>
        </w:rPr>
        <w:t>制定县行业发展计划、为上级制定发展规划和综合平衡工作提供依据。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lang w:eastAsia="zh-CN"/>
        </w:rPr>
        <w:t>组织县运输行业工作的经验交流及推广，负责对运输业（户）进行指导。</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8.完成县委、县政府及县交通运输局交办的其他工作。</w:t>
      </w:r>
    </w:p>
    <w:p>
      <w:pPr>
        <w:keepNext w:val="0"/>
        <w:keepLines w:val="0"/>
        <w:pageBreakBefore w:val="0"/>
        <w:widowControl w:val="0"/>
        <w:kinsoku/>
        <w:wordWrap/>
        <w:overflowPunct/>
        <w:topLinePunct w:val="0"/>
        <w:autoSpaceDE/>
        <w:autoSpaceDN/>
        <w:bidi w:val="0"/>
        <w:adjustRightInd/>
        <w:snapToGrid/>
        <w:spacing w:line="576" w:lineRule="exact"/>
        <w:ind w:leftChars="0"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textAlignment w:val="auto"/>
        <w:rPr>
          <w:rFonts w:hint="default" w:ascii="Times New Roman" w:hAnsi="Times New Roman" w:cs="Times New Roman"/>
          <w:szCs w:val="32"/>
        </w:rPr>
      </w:pPr>
      <w:r>
        <w:rPr>
          <w:rFonts w:hint="default" w:ascii="仿宋_GB2312" w:hAnsi="仿宋_GB2312" w:eastAsia="仿宋_GB2312" w:cs="仿宋_GB2312"/>
          <w:color w:val="000000"/>
          <w:sz w:val="32"/>
          <w:szCs w:val="32"/>
          <w:lang w:val="en-US" w:eastAsia="zh-CN"/>
        </w:rPr>
        <w:t>截至202</w:t>
      </w:r>
      <w:r>
        <w:rPr>
          <w:rFonts w:hint="eastAsia" w:ascii="仿宋_GB2312" w:hAnsi="仿宋_GB2312" w:eastAsia="仿宋_GB2312" w:cs="仿宋_GB2312"/>
          <w:color w:val="000000"/>
          <w:sz w:val="32"/>
          <w:szCs w:val="32"/>
          <w:lang w:val="en-US" w:eastAsia="zh-CN"/>
        </w:rPr>
        <w:t>5</w:t>
      </w:r>
      <w:r>
        <w:rPr>
          <w:rFonts w:hint="default" w:ascii="仿宋_GB2312" w:hAnsi="仿宋_GB2312" w:eastAsia="仿宋_GB2312" w:cs="仿宋_GB2312"/>
          <w:color w:val="000000"/>
          <w:sz w:val="32"/>
          <w:szCs w:val="32"/>
          <w:lang w:val="en-US" w:eastAsia="zh-CN"/>
        </w:rPr>
        <w:t>年末，</w:t>
      </w:r>
      <w:r>
        <w:rPr>
          <w:rFonts w:hint="eastAsia" w:ascii="仿宋_GB2312" w:hAnsi="仿宋_GB2312" w:eastAsia="仿宋_GB2312" w:cs="仿宋_GB2312"/>
          <w:color w:val="000000"/>
          <w:sz w:val="32"/>
          <w:szCs w:val="32"/>
          <w:lang w:eastAsia="zh-CN"/>
        </w:rPr>
        <w:t>事业编制</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人。在职人员</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人，退休人员</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人。</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textAlignment w:val="auto"/>
        <w:rPr>
          <w:rFonts w:hint="default"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茂县交通运输综合服务中心</w:t>
      </w:r>
      <w:r>
        <w:rPr>
          <w:rFonts w:hint="default" w:ascii="仿宋_GB2312" w:hAnsi="仿宋_GB2312" w:eastAsia="仿宋_GB2312" w:cs="仿宋_GB2312"/>
          <w:color w:val="000000"/>
          <w:sz w:val="32"/>
          <w:szCs w:val="32"/>
          <w:lang w:val="en-US" w:eastAsia="zh-CN"/>
        </w:rPr>
        <w:t>202</w:t>
      </w:r>
      <w:r>
        <w:rPr>
          <w:rFonts w:hint="eastAsia" w:ascii="仿宋_GB2312" w:hAnsi="仿宋_GB2312" w:eastAsia="仿宋_GB2312" w:cs="仿宋_GB2312"/>
          <w:color w:val="000000"/>
          <w:sz w:val="32"/>
          <w:szCs w:val="32"/>
          <w:lang w:val="en-US" w:eastAsia="zh-CN"/>
        </w:rPr>
        <w:t>5</w:t>
      </w:r>
      <w:r>
        <w:rPr>
          <w:rFonts w:hint="default" w:ascii="仿宋_GB2312" w:hAnsi="仿宋_GB2312" w:eastAsia="仿宋_GB2312" w:cs="仿宋_GB2312"/>
          <w:color w:val="000000"/>
          <w:sz w:val="32"/>
          <w:szCs w:val="32"/>
          <w:lang w:val="en-US" w:eastAsia="zh-CN"/>
        </w:rPr>
        <w:t>年决算报表</w:t>
      </w:r>
      <w:r>
        <w:rPr>
          <w:rFonts w:hint="eastAsia" w:ascii="仿宋_GB2312" w:hAnsi="仿宋_GB2312" w:eastAsia="仿宋_GB2312" w:cs="仿宋_GB2312"/>
          <w:color w:val="000000"/>
          <w:sz w:val="32"/>
          <w:szCs w:val="32"/>
          <w:lang w:val="en-US" w:eastAsia="zh-CN"/>
        </w:rPr>
        <w:t>收入265.03万元，其中：一般公共预算财政拨款收入90.51万元；政府性基金预算财政拨款收入174.52万元。</w:t>
      </w:r>
    </w:p>
    <w:p>
      <w:pPr>
        <w:keepNext w:val="0"/>
        <w:keepLines w:val="0"/>
        <w:pageBreakBefore w:val="0"/>
        <w:widowControl/>
        <w:numPr>
          <w:ilvl w:val="0"/>
          <w:numId w:val="2"/>
        </w:numPr>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茂县交通运输综合服务中心</w:t>
      </w:r>
      <w:r>
        <w:rPr>
          <w:rFonts w:hint="default" w:ascii="仿宋_GB2312" w:hAnsi="仿宋_GB2312" w:eastAsia="仿宋_GB2312" w:cs="仿宋_GB2312"/>
          <w:color w:val="auto"/>
          <w:kern w:val="2"/>
          <w:sz w:val="32"/>
          <w:szCs w:val="32"/>
          <w:highlight w:val="none"/>
          <w:lang w:val="en-US" w:eastAsia="zh-CN" w:bidi="ar-SA"/>
        </w:rPr>
        <w:t>202</w:t>
      </w:r>
      <w:r>
        <w:rPr>
          <w:rFonts w:hint="eastAsia" w:ascii="仿宋_GB2312" w:hAnsi="仿宋_GB2312" w:eastAsia="仿宋_GB2312" w:cs="仿宋_GB2312"/>
          <w:color w:val="auto"/>
          <w:kern w:val="2"/>
          <w:sz w:val="32"/>
          <w:szCs w:val="32"/>
          <w:highlight w:val="none"/>
          <w:lang w:val="en-US" w:eastAsia="zh-CN" w:bidi="ar-SA"/>
        </w:rPr>
        <w:t>5</w:t>
      </w:r>
      <w:r>
        <w:rPr>
          <w:rFonts w:hint="default" w:ascii="仿宋_GB2312" w:hAnsi="仿宋_GB2312" w:eastAsia="仿宋_GB2312" w:cs="仿宋_GB2312"/>
          <w:color w:val="auto"/>
          <w:kern w:val="2"/>
          <w:sz w:val="32"/>
          <w:szCs w:val="32"/>
          <w:highlight w:val="none"/>
          <w:lang w:val="en-US" w:eastAsia="zh-CN" w:bidi="ar-SA"/>
        </w:rPr>
        <w:t>年决算报表</w:t>
      </w:r>
      <w:r>
        <w:rPr>
          <w:rFonts w:hint="eastAsia" w:ascii="仿宋_GB2312" w:hAnsi="仿宋_GB2312" w:eastAsia="仿宋_GB2312" w:cs="仿宋_GB2312"/>
          <w:color w:val="auto"/>
          <w:kern w:val="2"/>
          <w:sz w:val="32"/>
          <w:szCs w:val="32"/>
          <w:highlight w:val="none"/>
          <w:lang w:val="en-US" w:eastAsia="zh-CN" w:bidi="ar-SA"/>
        </w:rPr>
        <w:t>支出265.03</w:t>
      </w:r>
      <w:r>
        <w:rPr>
          <w:rFonts w:hint="eastAsia" w:ascii="仿宋_GB2312" w:hAnsi="仿宋_GB2312" w:eastAsia="仿宋_GB2312" w:cs="仿宋_GB2312"/>
          <w:color w:val="000000"/>
          <w:sz w:val="32"/>
          <w:szCs w:val="32"/>
          <w:lang w:val="en-US" w:eastAsia="zh-CN"/>
        </w:rPr>
        <w:t>万元，其中:</w:t>
      </w:r>
      <w:r>
        <w:rPr>
          <w:rFonts w:hint="eastAsia" w:ascii="仿宋_GB2312" w:hAnsi="仿宋_GB2312" w:eastAsia="仿宋_GB2312" w:cs="仿宋_GB2312"/>
          <w:sz w:val="32"/>
          <w:szCs w:val="32"/>
          <w:lang w:val="en-US" w:eastAsia="zh-CN"/>
        </w:rPr>
        <w:t>社会保障和就业支出11.08万元；卫生健康支出4.56万元；城乡社区支出160.22万元；交通运输支出68.64万元；资源勘探工业信息等支出14.3万元；住房保障支出6.23万元。</w:t>
      </w:r>
    </w:p>
    <w:p>
      <w:pPr>
        <w:pStyle w:val="6"/>
        <w:keepNext w:val="0"/>
        <w:keepLines w:val="0"/>
        <w:pageBreakBefore w:val="0"/>
        <w:numPr>
          <w:ilvl w:val="0"/>
          <w:numId w:val="0"/>
        </w:numPr>
        <w:kinsoku/>
        <w:wordWrap/>
        <w:overflowPunct/>
        <w:topLinePunct w:val="0"/>
        <w:autoSpaceDE/>
        <w:autoSpaceDN/>
        <w:bidi w:val="0"/>
        <w:spacing w:line="576" w:lineRule="exact"/>
        <w:ind w:leftChars="0"/>
        <w:textAlignment w:val="auto"/>
        <w:rPr>
          <w:rFonts w:hint="eastAsia"/>
          <w:b/>
          <w:bCs/>
          <w:lang w:val="zh-CN"/>
        </w:rPr>
      </w:pPr>
    </w:p>
    <w:p>
      <w:pPr>
        <w:keepNext w:val="0"/>
        <w:keepLines w:val="0"/>
        <w:pageBreakBefore w:val="0"/>
        <w:widowControl/>
        <w:numPr>
          <w:ilvl w:val="0"/>
          <w:numId w:val="2"/>
        </w:numPr>
        <w:kinsoku/>
        <w:wordWrap/>
        <w:overflowPunct/>
        <w:topLinePunct w:val="0"/>
        <w:autoSpaceDE/>
        <w:autoSpaceDN/>
        <w:bidi w:val="0"/>
        <w:adjustRightInd w:val="0"/>
        <w:snapToGrid w:val="0"/>
        <w:spacing w:line="576" w:lineRule="exact"/>
        <w:ind w:left="0" w:leftChars="0"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pPr>
        <w:keepNext w:val="0"/>
        <w:keepLines w:val="0"/>
        <w:pageBreakBefore w:val="0"/>
        <w:widowControl w:val="0"/>
        <w:kinsoku/>
        <w:wordWrap/>
        <w:overflowPunct/>
        <w:topLinePunct w:val="0"/>
        <w:autoSpaceDE/>
        <w:autoSpaceDN/>
        <w:bidi w:val="0"/>
        <w:adjustRightInd w:val="0"/>
        <w:snapToGrid w:val="0"/>
        <w:spacing w:line="576" w:lineRule="exact"/>
        <w:ind w:leftChars="0" w:firstLine="640" w:firstLineChars="200"/>
        <w:contextualSpacing/>
        <w:jc w:val="both"/>
        <w:textAlignment w:val="auto"/>
        <w:rPr>
          <w:rFonts w:hint="default"/>
          <w:lang w:val="zh-CN" w:eastAsia="zh-CN"/>
        </w:rPr>
      </w:pPr>
      <w:r>
        <w:rPr>
          <w:rFonts w:hint="eastAsia" w:ascii="仿宋_GB2312" w:hAnsi="仿宋_GB2312" w:eastAsia="仿宋_GB2312" w:cs="仿宋_GB2312"/>
          <w:color w:val="auto"/>
          <w:kern w:val="2"/>
          <w:sz w:val="32"/>
          <w:szCs w:val="32"/>
          <w:highlight w:val="none"/>
          <w:lang w:val="en-US" w:eastAsia="zh-CN" w:bidi="ar-SA"/>
        </w:rPr>
        <w:t>2025年财政拨款结转和结余资金共0万元。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b/>
          <w:bCs/>
          <w:color w:val="000000"/>
          <w:sz w:val="32"/>
          <w:szCs w:val="32"/>
          <w:lang w:val="zh-CN" w:eastAsia="zh-CN"/>
        </w:rPr>
      </w:pPr>
      <w:r>
        <w:rPr>
          <w:rFonts w:hint="eastAsia" w:ascii="仿宋_GB2312" w:hAnsi="仿宋_GB2312" w:eastAsia="仿宋_GB2312" w:cs="仿宋_GB2312"/>
          <w:b/>
          <w:bCs/>
          <w:color w:val="000000"/>
          <w:sz w:val="32"/>
          <w:szCs w:val="32"/>
          <w:lang w:val="en-US" w:eastAsia="zh-CN"/>
        </w:rPr>
        <w:t>1.</w:t>
      </w:r>
      <w:r>
        <w:rPr>
          <w:rFonts w:hint="eastAsia" w:ascii="仿宋_GB2312" w:hAnsi="仿宋_GB2312" w:eastAsia="仿宋_GB2312" w:cs="仿宋_GB2312"/>
          <w:b/>
          <w:bCs/>
          <w:color w:val="000000"/>
          <w:sz w:val="32"/>
          <w:szCs w:val="32"/>
          <w:lang w:val="zh-CN" w:eastAsia="zh-CN"/>
        </w:rPr>
        <w:t>履职效能</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2025年度茂县交运中心基本全面完成了年初确定的整体支出绩效任务、从工作任务完成数量上分析完成率为100%、完成质量达标率为100%、产出时效完成率达90%以上。2025年度主要计划任务全面完成，基本达到了预期的绩效目标，经济效益、指标完成指标率都为100%，实现了预期的履职和绩效目标。</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b/>
          <w:bCs/>
          <w:color w:val="000000"/>
          <w:sz w:val="32"/>
          <w:szCs w:val="32"/>
          <w:lang w:val="zh-CN" w:eastAsia="zh-CN"/>
        </w:rPr>
      </w:pPr>
      <w:r>
        <w:rPr>
          <w:rFonts w:hint="eastAsia" w:ascii="仿宋_GB2312" w:hAnsi="仿宋_GB2312" w:eastAsia="仿宋_GB2312" w:cs="仿宋_GB2312"/>
          <w:b/>
          <w:bCs/>
          <w:color w:val="000000"/>
          <w:sz w:val="32"/>
          <w:szCs w:val="32"/>
          <w:lang w:val="en-US" w:eastAsia="zh-CN"/>
        </w:rPr>
        <w:t>2.</w:t>
      </w:r>
      <w:r>
        <w:rPr>
          <w:rFonts w:hint="default" w:ascii="仿宋_GB2312" w:hAnsi="仿宋_GB2312" w:eastAsia="仿宋_GB2312" w:cs="仿宋_GB2312"/>
          <w:b/>
          <w:bCs/>
          <w:color w:val="000000"/>
          <w:sz w:val="32"/>
          <w:szCs w:val="32"/>
          <w:lang w:val="zh-CN" w:eastAsia="zh-CN"/>
        </w:rPr>
        <w:t>预算管理</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我中心根据年度工作计划和目标任务制定预算，确保资金分配合理。实施事前绩效评估，确保预算绩效目标的科学性和合理性。进行绩效运行监控，及时调整预算执行，确保资金使用符合预期目标。通过绩效自评,我中心能够自我监督预算执行情况,提高预算管理的透明度和规范性。</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b/>
          <w:bCs/>
          <w:color w:val="000000"/>
          <w:sz w:val="32"/>
          <w:szCs w:val="32"/>
          <w:lang w:val="zh-CN" w:eastAsia="zh-CN"/>
        </w:rPr>
      </w:pPr>
      <w:r>
        <w:rPr>
          <w:rFonts w:hint="eastAsia" w:ascii="仿宋_GB2312" w:hAnsi="仿宋_GB2312" w:eastAsia="仿宋_GB2312" w:cs="仿宋_GB2312"/>
          <w:b/>
          <w:bCs/>
          <w:color w:val="000000"/>
          <w:sz w:val="32"/>
          <w:szCs w:val="32"/>
          <w:lang w:val="en-US" w:eastAsia="zh-CN"/>
        </w:rPr>
        <w:t>3.</w:t>
      </w:r>
      <w:r>
        <w:rPr>
          <w:rFonts w:hint="default" w:ascii="仿宋_GB2312" w:hAnsi="仿宋_GB2312" w:eastAsia="仿宋_GB2312" w:cs="仿宋_GB2312"/>
          <w:b/>
          <w:bCs/>
          <w:color w:val="000000"/>
          <w:sz w:val="32"/>
          <w:szCs w:val="32"/>
          <w:lang w:val="zh-CN" w:eastAsia="zh-CN"/>
        </w:rPr>
        <w:t>财务管理</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我中心严格遵循财务管理制度，确保资金安全和合规使用。并且定期进行内部审计，确保财务活动的透明和规范，防止财务风险。通过财务管理培训,提升财务人员的专业能力和责任意识，提高财务管理效率。采用现代化财务管理系统，提高数据处理速度和准确性，优化财务决策。</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b/>
          <w:bCs/>
          <w:color w:val="000000"/>
          <w:sz w:val="32"/>
          <w:szCs w:val="32"/>
          <w:lang w:val="zh-CN" w:eastAsia="zh-CN"/>
        </w:rPr>
      </w:pPr>
      <w:r>
        <w:rPr>
          <w:rFonts w:hint="eastAsia" w:ascii="仿宋_GB2312" w:hAnsi="仿宋_GB2312" w:eastAsia="仿宋_GB2312" w:cs="仿宋_GB2312"/>
          <w:b/>
          <w:bCs/>
          <w:color w:val="000000"/>
          <w:sz w:val="32"/>
          <w:szCs w:val="32"/>
          <w:lang w:val="en-US" w:eastAsia="zh-CN"/>
        </w:rPr>
        <w:t>4.</w:t>
      </w:r>
      <w:r>
        <w:rPr>
          <w:rFonts w:hint="default" w:ascii="仿宋_GB2312" w:hAnsi="仿宋_GB2312" w:eastAsia="仿宋_GB2312" w:cs="仿宋_GB2312"/>
          <w:b/>
          <w:bCs/>
          <w:color w:val="000000"/>
          <w:sz w:val="32"/>
          <w:szCs w:val="32"/>
          <w:lang w:val="zh-CN" w:eastAsia="zh-CN"/>
        </w:rPr>
        <w:t>资产管理</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国有资产日常管理情况:按照《茂县行政事业单位国有</w:t>
      </w:r>
      <w:bookmarkStart w:id="83" w:name="_GoBack"/>
      <w:r>
        <w:rPr>
          <w:rFonts w:hint="eastAsia" w:ascii="仿宋_GB2312" w:hAnsi="仿宋_GB2312" w:eastAsia="仿宋_GB2312" w:cs="仿宋_GB2312"/>
          <w:color w:val="000000"/>
          <w:sz w:val="32"/>
          <w:szCs w:val="32"/>
          <w:lang w:val="en-US" w:eastAsia="zh-CN"/>
        </w:rPr>
        <w:t>资产管理暂行办法》要求，严格落实国有资产清查、登记、</w:t>
      </w:r>
      <w:bookmarkEnd w:id="83"/>
      <w:r>
        <w:rPr>
          <w:rFonts w:hint="eastAsia" w:ascii="仿宋_GB2312" w:hAnsi="仿宋_GB2312" w:eastAsia="仿宋_GB2312" w:cs="仿宋_GB2312"/>
          <w:color w:val="000000"/>
          <w:sz w:val="32"/>
          <w:szCs w:val="32"/>
          <w:lang w:val="en-US" w:eastAsia="zh-CN"/>
        </w:rPr>
        <w:t>上报制度设置固定资产卡片、总账及明细账簿，并定期进行了清查盘点，及时更新国有资产管理信息系统，做到账账相符，账实相符，明确责任并履行好职责。截至2025年12月31日，我单位自用固定资产350.73万元，占账面固定资产总额的100%，其中:在用 350.73万元，占账面固定资产总额的100%;无出租出借、对外投资、闲置情况。</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b/>
          <w:bCs/>
          <w:color w:val="000000"/>
          <w:sz w:val="32"/>
          <w:szCs w:val="32"/>
          <w:lang w:val="zh-CN" w:eastAsia="zh-CN"/>
        </w:rPr>
      </w:pPr>
      <w:r>
        <w:rPr>
          <w:rFonts w:hint="eastAsia" w:ascii="仿宋_GB2312" w:hAnsi="仿宋_GB2312" w:eastAsia="仿宋_GB2312" w:cs="仿宋_GB2312"/>
          <w:b/>
          <w:bCs/>
          <w:color w:val="000000"/>
          <w:sz w:val="32"/>
          <w:szCs w:val="32"/>
          <w:lang w:val="en-US" w:eastAsia="zh-CN"/>
        </w:rPr>
        <w:t>5.</w:t>
      </w:r>
      <w:r>
        <w:rPr>
          <w:rFonts w:hint="default" w:ascii="仿宋_GB2312" w:hAnsi="仿宋_GB2312" w:eastAsia="仿宋_GB2312" w:cs="仿宋_GB2312"/>
          <w:b/>
          <w:bCs/>
          <w:color w:val="000000"/>
          <w:sz w:val="32"/>
          <w:szCs w:val="32"/>
          <w:lang w:val="zh-CN" w:eastAsia="zh-CN"/>
        </w:rPr>
        <w:t>采购管理</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制定明确的采购需求，按照相关规定选择合适的采购方式确保采购活动的合法性和效率，实施采购合同管理，确保合同的履行和监督，避免合同风险，对采购过程进行透明公开，接受社会监督，提高采购活动的公信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Chars="0"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default" w:ascii="仿宋_GB2312" w:hAnsi="仿宋_GB2312" w:eastAsia="仿宋_GB2312" w:cs="仿宋_GB2312"/>
          <w:color w:val="000000"/>
          <w:sz w:val="32"/>
          <w:szCs w:val="32"/>
          <w:lang w:val="zh-CN" w:eastAsia="zh-CN"/>
        </w:rPr>
      </w:pPr>
      <w:r>
        <w:rPr>
          <w:rFonts w:hint="default" w:ascii="仿宋_GB2312" w:hAnsi="仿宋_GB2312" w:eastAsia="仿宋_GB2312" w:cs="仿宋_GB2312"/>
          <w:color w:val="000000"/>
          <w:sz w:val="32"/>
          <w:szCs w:val="32"/>
          <w:lang w:val="en-US" w:eastAsia="zh-CN"/>
        </w:rPr>
        <w:t>常年项目绩效分析。</w:t>
      </w:r>
      <w:r>
        <w:rPr>
          <w:rFonts w:hint="default" w:ascii="仿宋_GB2312" w:hAnsi="仿宋_GB2312" w:eastAsia="仿宋_GB2312" w:cs="仿宋_GB2312"/>
          <w:color w:val="000000"/>
          <w:sz w:val="32"/>
          <w:szCs w:val="32"/>
          <w:lang w:val="zh-CN" w:eastAsia="zh-CN"/>
        </w:rPr>
        <w:t>该类项目总数</w:t>
      </w:r>
      <w:r>
        <w:rPr>
          <w:rFonts w:hint="eastAsia"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zh-CN" w:eastAsia="zh-CN"/>
        </w:rPr>
        <w:t>个，涉及预算总金额</w:t>
      </w:r>
      <w:r>
        <w:rPr>
          <w:rFonts w:hint="eastAsia" w:ascii="仿宋_GB2312" w:hAnsi="仿宋_GB2312" w:eastAsia="仿宋_GB2312" w:cs="仿宋_GB2312"/>
          <w:color w:val="000000"/>
          <w:sz w:val="32"/>
          <w:szCs w:val="32"/>
          <w:lang w:val="en-US" w:eastAsia="zh-CN"/>
        </w:rPr>
        <w:t>179.02</w:t>
      </w:r>
      <w:r>
        <w:rPr>
          <w:rFonts w:hint="default" w:ascii="仿宋_GB2312" w:hAnsi="仿宋_GB2312" w:eastAsia="仿宋_GB2312" w:cs="仿宋_GB2312"/>
          <w:color w:val="000000"/>
          <w:sz w:val="32"/>
          <w:szCs w:val="32"/>
          <w:lang w:val="zh-CN" w:eastAsia="zh-CN"/>
        </w:rPr>
        <w:t>万元，1</w:t>
      </w:r>
      <w:r>
        <w:rPr>
          <w:rFonts w:hint="eastAsia" w:ascii="仿宋_GB2312" w:hAnsi="仿宋_GB2312" w:eastAsia="仿宋_GB2312" w:cs="仿宋_GB2312"/>
          <w:color w:val="000000"/>
          <w:sz w:val="32"/>
          <w:szCs w:val="32"/>
          <w:lang w:val="zh-CN" w:eastAsia="zh-CN"/>
        </w:rPr>
        <w:t>—</w:t>
      </w:r>
      <w:r>
        <w:rPr>
          <w:rFonts w:hint="default" w:ascii="仿宋_GB2312" w:hAnsi="仿宋_GB2312" w:eastAsia="仿宋_GB2312" w:cs="仿宋_GB2312"/>
          <w:color w:val="000000"/>
          <w:sz w:val="32"/>
          <w:szCs w:val="32"/>
          <w:lang w:val="zh-CN" w:eastAsia="zh-CN"/>
        </w:rPr>
        <w:t>1</w:t>
      </w:r>
      <w:r>
        <w:rPr>
          <w:rFonts w:hint="default" w:ascii="仿宋_GB2312" w:hAnsi="仿宋_GB2312" w:eastAsia="仿宋_GB2312" w:cs="仿宋_GB2312"/>
          <w:color w:val="000000"/>
          <w:sz w:val="32"/>
          <w:szCs w:val="32"/>
          <w:lang w:val="en-US" w:eastAsia="zh-CN"/>
        </w:rPr>
        <w:t>2</w:t>
      </w:r>
      <w:r>
        <w:rPr>
          <w:rFonts w:hint="default" w:ascii="仿宋_GB2312" w:hAnsi="仿宋_GB2312" w:eastAsia="仿宋_GB2312" w:cs="仿宋_GB2312"/>
          <w:color w:val="000000"/>
          <w:sz w:val="32"/>
          <w:szCs w:val="32"/>
          <w:lang w:val="zh-CN" w:eastAsia="zh-CN"/>
        </w:rPr>
        <w:t>月预算执行总体进度为</w:t>
      </w:r>
      <w:r>
        <w:rPr>
          <w:rFonts w:hint="eastAsia" w:ascii="仿宋_GB2312" w:hAnsi="仿宋_GB2312" w:eastAsia="仿宋_GB2312" w:cs="仿宋_GB2312"/>
          <w:color w:val="000000"/>
          <w:sz w:val="32"/>
          <w:szCs w:val="32"/>
          <w:lang w:val="en-US" w:eastAsia="zh-CN"/>
        </w:rPr>
        <w:t>100</w:t>
      </w:r>
      <w:r>
        <w:rPr>
          <w:rFonts w:hint="default" w:ascii="仿宋_GB2312" w:hAnsi="仿宋_GB2312" w:eastAsia="仿宋_GB2312" w:cs="仿宋_GB2312"/>
          <w:color w:val="000000"/>
          <w:sz w:val="32"/>
          <w:szCs w:val="32"/>
          <w:lang w:val="zh-CN" w:eastAsia="zh-CN"/>
        </w:rPr>
        <w:t>%，其中：预算结余率大于</w:t>
      </w:r>
      <w:r>
        <w:rPr>
          <w:rFonts w:hint="default" w:ascii="仿宋_GB2312" w:hAnsi="仿宋_GB2312" w:eastAsia="仿宋_GB2312" w:cs="仿宋_GB2312"/>
          <w:color w:val="000000"/>
          <w:sz w:val="32"/>
          <w:szCs w:val="32"/>
          <w:lang w:val="en-US" w:eastAsia="zh-CN"/>
        </w:rPr>
        <w:t>10%</w:t>
      </w:r>
      <w:r>
        <w:rPr>
          <w:rFonts w:hint="default" w:ascii="仿宋_GB2312" w:hAnsi="仿宋_GB2312" w:eastAsia="仿宋_GB2312" w:cs="仿宋_GB2312"/>
          <w:color w:val="000000"/>
          <w:sz w:val="32"/>
          <w:szCs w:val="32"/>
          <w:lang w:val="zh-CN" w:eastAsia="zh-CN"/>
        </w:rPr>
        <w:t>的项目共计</w:t>
      </w:r>
      <w:r>
        <w:rPr>
          <w:rFonts w:hint="eastAsia" w:ascii="仿宋_GB2312" w:hAnsi="仿宋_GB2312" w:eastAsia="仿宋_GB2312" w:cs="仿宋_GB2312"/>
          <w:color w:val="000000"/>
          <w:sz w:val="32"/>
          <w:szCs w:val="32"/>
          <w:lang w:val="en-US" w:eastAsia="zh-CN"/>
        </w:rPr>
        <w:t>0</w:t>
      </w:r>
      <w:r>
        <w:rPr>
          <w:rFonts w:hint="default" w:ascii="仿宋_GB2312" w:hAnsi="仿宋_GB2312" w:eastAsia="仿宋_GB2312" w:cs="仿宋_GB2312"/>
          <w:color w:val="000000"/>
          <w:sz w:val="32"/>
          <w:szCs w:val="32"/>
          <w:lang w:val="zh-CN" w:eastAsia="zh-CN"/>
        </w:rPr>
        <w:t>个。</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right="0" w:firstLine="640" w:firstLineChars="200"/>
        <w:jc w:val="both"/>
        <w:textAlignment w:val="auto"/>
        <w:outlineLvl w:val="9"/>
        <w:rPr>
          <w:rFonts w:hint="default" w:ascii="仿宋_GB2312" w:hAnsi="仿宋_GB2312" w:eastAsia="仿宋_GB2312" w:cs="仿宋_GB2312"/>
          <w:kern w:val="2"/>
          <w:sz w:val="32"/>
          <w:szCs w:val="32"/>
          <w:lang w:val="zh-CN" w:eastAsia="zh-CN" w:bidi="ar-SA"/>
        </w:rPr>
      </w:pPr>
      <w:r>
        <w:rPr>
          <w:rFonts w:hint="default" w:ascii="仿宋_GB2312" w:hAnsi="仿宋_GB2312" w:eastAsia="仿宋_GB2312" w:cs="仿宋_GB2312"/>
          <w:kern w:val="2"/>
          <w:sz w:val="32"/>
          <w:szCs w:val="32"/>
          <w:lang w:val="en-US" w:eastAsia="zh-CN" w:bidi="ar-SA"/>
        </w:rPr>
        <w:t>阶段</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一次性</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项目绩效分析。</w:t>
      </w:r>
      <w:r>
        <w:rPr>
          <w:rFonts w:hint="default" w:ascii="仿宋_GB2312" w:hAnsi="仿宋_GB2312" w:eastAsia="仿宋_GB2312" w:cs="仿宋_GB2312"/>
          <w:kern w:val="2"/>
          <w:sz w:val="32"/>
          <w:szCs w:val="32"/>
          <w:lang w:val="zh-CN" w:eastAsia="zh-CN" w:bidi="ar-SA"/>
        </w:rPr>
        <w:t>该类项目总数</w:t>
      </w:r>
      <w:r>
        <w:rPr>
          <w:rFonts w:hint="eastAsia" w:ascii="仿宋_GB2312" w:hAnsi="仿宋_GB2312" w:eastAsia="仿宋_GB2312" w:cs="仿宋_GB2312"/>
          <w:kern w:val="2"/>
          <w:sz w:val="32"/>
          <w:szCs w:val="32"/>
          <w:lang w:val="en-US" w:eastAsia="zh-CN" w:bidi="ar-SA"/>
        </w:rPr>
        <w:t>0</w:t>
      </w:r>
      <w:r>
        <w:rPr>
          <w:rFonts w:hint="default" w:ascii="仿宋_GB2312" w:hAnsi="仿宋_GB2312" w:eastAsia="仿宋_GB2312" w:cs="仿宋_GB2312"/>
          <w:kern w:val="2"/>
          <w:sz w:val="32"/>
          <w:szCs w:val="32"/>
          <w:lang w:val="zh-CN" w:eastAsia="zh-CN" w:bidi="ar-SA"/>
        </w:rPr>
        <w:t>个，涉及预算总金额</w:t>
      </w:r>
      <w:r>
        <w:rPr>
          <w:rFonts w:hint="eastAsia" w:ascii="仿宋_GB2312" w:hAnsi="仿宋_GB2312" w:eastAsia="仿宋_GB2312" w:cs="仿宋_GB2312"/>
          <w:kern w:val="2"/>
          <w:sz w:val="32"/>
          <w:szCs w:val="32"/>
          <w:lang w:val="en-US" w:eastAsia="zh-CN" w:bidi="ar-SA"/>
        </w:rPr>
        <w:t>0</w:t>
      </w:r>
      <w:r>
        <w:rPr>
          <w:rFonts w:hint="default" w:ascii="仿宋_GB2312" w:hAnsi="仿宋_GB2312" w:eastAsia="仿宋_GB2312" w:cs="仿宋_GB2312"/>
          <w:kern w:val="2"/>
          <w:sz w:val="32"/>
          <w:szCs w:val="32"/>
          <w:lang w:val="zh-CN" w:eastAsia="zh-CN" w:bidi="ar-SA"/>
        </w:rPr>
        <w:t>万元，1</w:t>
      </w:r>
      <w:r>
        <w:rPr>
          <w:rFonts w:hint="eastAsia" w:ascii="仿宋_GB2312" w:hAnsi="仿宋_GB2312" w:eastAsia="仿宋_GB2312" w:cs="仿宋_GB2312"/>
          <w:kern w:val="2"/>
          <w:sz w:val="32"/>
          <w:szCs w:val="32"/>
          <w:lang w:val="zh-CN" w:eastAsia="zh-CN" w:bidi="ar-SA"/>
        </w:rPr>
        <w:t>—</w:t>
      </w:r>
      <w:r>
        <w:rPr>
          <w:rFonts w:hint="default" w:ascii="仿宋_GB2312" w:hAnsi="仿宋_GB2312" w:eastAsia="仿宋_GB2312" w:cs="仿宋_GB2312"/>
          <w:kern w:val="2"/>
          <w:sz w:val="32"/>
          <w:szCs w:val="32"/>
          <w:lang w:val="zh-CN" w:eastAsia="zh-CN" w:bidi="ar-SA"/>
        </w:rPr>
        <w:t>1</w:t>
      </w:r>
      <w:r>
        <w:rPr>
          <w:rFonts w:hint="default" w:ascii="仿宋_GB2312" w:hAnsi="仿宋_GB2312" w:eastAsia="仿宋_GB2312" w:cs="仿宋_GB2312"/>
          <w:kern w:val="2"/>
          <w:sz w:val="32"/>
          <w:szCs w:val="32"/>
          <w:lang w:val="en-US" w:eastAsia="zh-CN" w:bidi="ar-SA"/>
        </w:rPr>
        <w:t>2</w:t>
      </w:r>
      <w:r>
        <w:rPr>
          <w:rFonts w:hint="default" w:ascii="仿宋_GB2312" w:hAnsi="仿宋_GB2312" w:eastAsia="仿宋_GB2312" w:cs="仿宋_GB2312"/>
          <w:kern w:val="2"/>
          <w:sz w:val="32"/>
          <w:szCs w:val="32"/>
          <w:lang w:val="zh-CN" w:eastAsia="zh-CN" w:bidi="ar-SA"/>
        </w:rPr>
        <w:t>月预算执行总体进度为</w:t>
      </w:r>
      <w:r>
        <w:rPr>
          <w:rFonts w:hint="eastAsia" w:ascii="仿宋_GB2312" w:hAnsi="仿宋_GB2312" w:eastAsia="仿宋_GB2312" w:cs="仿宋_GB2312"/>
          <w:kern w:val="2"/>
          <w:sz w:val="32"/>
          <w:szCs w:val="32"/>
          <w:lang w:val="en-US" w:eastAsia="zh-CN" w:bidi="ar-SA"/>
        </w:rPr>
        <w:t>0</w:t>
      </w:r>
      <w:r>
        <w:rPr>
          <w:rFonts w:hint="default" w:ascii="仿宋_GB2312" w:hAnsi="仿宋_GB2312" w:eastAsia="仿宋_GB2312" w:cs="仿宋_GB2312"/>
          <w:kern w:val="2"/>
          <w:sz w:val="32"/>
          <w:szCs w:val="32"/>
          <w:lang w:val="zh-CN" w:eastAsia="zh-CN" w:bidi="ar-SA"/>
        </w:rPr>
        <w:t>%，其中：预算结余率大于</w:t>
      </w:r>
      <w:r>
        <w:rPr>
          <w:rFonts w:hint="default" w:ascii="仿宋_GB2312" w:hAnsi="仿宋_GB2312" w:eastAsia="仿宋_GB2312" w:cs="仿宋_GB2312"/>
          <w:kern w:val="2"/>
          <w:sz w:val="32"/>
          <w:szCs w:val="32"/>
          <w:lang w:val="en-US" w:eastAsia="zh-CN" w:bidi="ar-SA"/>
        </w:rPr>
        <w:t>10%</w:t>
      </w:r>
      <w:r>
        <w:rPr>
          <w:rFonts w:hint="default" w:ascii="仿宋_GB2312" w:hAnsi="仿宋_GB2312" w:eastAsia="仿宋_GB2312" w:cs="仿宋_GB2312"/>
          <w:kern w:val="2"/>
          <w:sz w:val="32"/>
          <w:szCs w:val="32"/>
          <w:lang w:val="zh-CN" w:eastAsia="zh-CN" w:bidi="ar-SA"/>
        </w:rPr>
        <w:t>的项目共计</w:t>
      </w:r>
      <w:r>
        <w:rPr>
          <w:rFonts w:hint="eastAsia" w:ascii="仿宋_GB2312" w:hAnsi="仿宋_GB2312" w:eastAsia="仿宋_GB2312" w:cs="仿宋_GB2312"/>
          <w:kern w:val="2"/>
          <w:sz w:val="32"/>
          <w:szCs w:val="32"/>
          <w:lang w:val="en-US" w:eastAsia="zh-CN" w:bidi="ar-SA"/>
        </w:rPr>
        <w:t>0</w:t>
      </w:r>
      <w:r>
        <w:rPr>
          <w:rFonts w:hint="default" w:ascii="仿宋_GB2312" w:hAnsi="仿宋_GB2312" w:eastAsia="仿宋_GB2312" w:cs="仿宋_GB2312"/>
          <w:kern w:val="2"/>
          <w:sz w:val="32"/>
          <w:szCs w:val="32"/>
          <w:lang w:val="zh-CN" w:eastAsia="zh-CN" w:bidi="ar-SA"/>
        </w:rPr>
        <w:t>个。</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val="zh-CN" w:eastAsia="zh-CN"/>
        </w:rPr>
        <w:t>项目决策</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所有项目均经过严格的评审和批准程序，确保决策的透明性和合理性。目标设置方面，我们基于深入研究和实际需求制定，确保目标的实际性和挑战性，项目入库过程严格遵循了政策和程序要求。</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2.项目执行</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老旧营运货车报废更新补贴项目，</w:t>
      </w:r>
      <w:r>
        <w:rPr>
          <w:rFonts w:hint="default" w:ascii="仿宋_GB2312" w:hAnsi="仿宋_GB2312" w:eastAsia="仿宋_GB2312" w:cs="仿宋_GB2312"/>
          <w:color w:val="000000"/>
          <w:sz w:val="32"/>
          <w:szCs w:val="32"/>
          <w:lang w:val="en-US" w:eastAsia="zh-CN"/>
        </w:rPr>
        <w:t>预算数</w:t>
      </w:r>
      <w:r>
        <w:rPr>
          <w:rFonts w:hint="eastAsia" w:ascii="仿宋_GB2312" w:hAnsi="仿宋_GB2312" w:eastAsia="仿宋_GB2312" w:cs="仿宋_GB2312"/>
          <w:color w:val="000000"/>
          <w:sz w:val="32"/>
          <w:szCs w:val="32"/>
          <w:lang w:val="en-US" w:eastAsia="zh-CN"/>
        </w:rPr>
        <w:t>18.8</w:t>
      </w:r>
      <w:r>
        <w:rPr>
          <w:rFonts w:hint="default" w:ascii="仿宋_GB2312" w:hAnsi="仿宋_GB2312" w:eastAsia="仿宋_GB2312" w:cs="仿宋_GB2312"/>
          <w:color w:val="000000"/>
          <w:sz w:val="32"/>
          <w:szCs w:val="32"/>
          <w:lang w:val="en-US" w:eastAsia="zh-CN"/>
        </w:rPr>
        <w:t>万元，支付数</w:t>
      </w:r>
      <w:r>
        <w:rPr>
          <w:rFonts w:hint="eastAsia" w:ascii="仿宋_GB2312" w:hAnsi="仿宋_GB2312" w:eastAsia="仿宋_GB2312" w:cs="仿宋_GB2312"/>
          <w:color w:val="000000"/>
          <w:sz w:val="32"/>
          <w:szCs w:val="32"/>
          <w:lang w:val="en-US" w:eastAsia="zh-CN"/>
        </w:rPr>
        <w:t>18.8</w:t>
      </w:r>
      <w:r>
        <w:rPr>
          <w:rFonts w:hint="default" w:ascii="仿宋_GB2312" w:hAnsi="仿宋_GB2312" w:eastAsia="仿宋_GB2312" w:cs="仿宋_GB2312"/>
          <w:color w:val="000000"/>
          <w:sz w:val="32"/>
          <w:szCs w:val="32"/>
          <w:lang w:val="en-US" w:eastAsia="zh-CN"/>
        </w:rPr>
        <w:t>万元，执行进度100%。</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中央财政农村客运补贴和城市发展奖励资金项目，</w:t>
      </w:r>
      <w:r>
        <w:rPr>
          <w:rFonts w:hint="default" w:ascii="仿宋_GB2312" w:hAnsi="仿宋_GB2312" w:eastAsia="仿宋_GB2312" w:cs="仿宋_GB2312"/>
          <w:color w:val="000000"/>
          <w:sz w:val="32"/>
          <w:szCs w:val="32"/>
          <w:lang w:val="en-US" w:eastAsia="zh-CN"/>
        </w:rPr>
        <w:t>预算数</w:t>
      </w:r>
      <w:r>
        <w:rPr>
          <w:rFonts w:hint="eastAsia" w:ascii="仿宋_GB2312" w:hAnsi="仿宋_GB2312" w:eastAsia="仿宋_GB2312" w:cs="仿宋_GB2312"/>
          <w:color w:val="000000"/>
          <w:sz w:val="32"/>
          <w:szCs w:val="32"/>
          <w:lang w:val="en-US" w:eastAsia="zh-CN"/>
        </w:rPr>
        <w:t>160.22</w:t>
      </w:r>
      <w:r>
        <w:rPr>
          <w:rFonts w:hint="default" w:ascii="仿宋_GB2312" w:hAnsi="仿宋_GB2312" w:eastAsia="仿宋_GB2312" w:cs="仿宋_GB2312"/>
          <w:color w:val="000000"/>
          <w:sz w:val="32"/>
          <w:szCs w:val="32"/>
          <w:lang w:val="en-US" w:eastAsia="zh-CN"/>
        </w:rPr>
        <w:t>万元，支付数</w:t>
      </w:r>
      <w:r>
        <w:rPr>
          <w:rFonts w:hint="eastAsia" w:ascii="仿宋_GB2312" w:hAnsi="仿宋_GB2312" w:eastAsia="仿宋_GB2312" w:cs="仿宋_GB2312"/>
          <w:color w:val="000000"/>
          <w:sz w:val="32"/>
          <w:szCs w:val="32"/>
          <w:lang w:val="en-US" w:eastAsia="zh-CN"/>
        </w:rPr>
        <w:t>160.22</w:t>
      </w:r>
      <w:r>
        <w:rPr>
          <w:rFonts w:hint="default" w:ascii="仿宋_GB2312" w:hAnsi="仿宋_GB2312" w:eastAsia="仿宋_GB2312" w:cs="仿宋_GB2312"/>
          <w:color w:val="000000"/>
          <w:sz w:val="32"/>
          <w:szCs w:val="32"/>
          <w:lang w:val="en-US" w:eastAsia="zh-CN"/>
        </w:rPr>
        <w:t>万元，执行进度100%。</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zh-CN"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val="zh-CN" w:eastAsia="zh-CN"/>
        </w:rPr>
        <w:t>目标实现</w:t>
      </w:r>
    </w:p>
    <w:p>
      <w:pPr>
        <w:keepNext w:val="0"/>
        <w:keepLines w:val="0"/>
        <w:pageBreakBefore w:val="0"/>
        <w:widowControl w:val="0"/>
        <w:kinsoku/>
        <w:wordWrap/>
        <w:overflowPunct/>
        <w:topLinePunct w:val="0"/>
        <w:autoSpaceDE/>
        <w:autoSpaceDN/>
        <w:bidi w:val="0"/>
        <w:adjustRightInd/>
        <w:snapToGrid/>
        <w:spacing w:line="576" w:lineRule="exact"/>
        <w:ind w:leftChars="0"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成功完成了设定目标,项目实施对提升服务效率和质量产生了积极影响。经过对项目决策、执行及目标实现的全面绩效分析，我们认识到在项目决策的前瞻性、项目执行的透明度以及目标实现的可持续性方面仍有待提高。未来，我们将继续优化预算编制流程强化财务管理与监督，提升预算透明度与公众参与度，以进一步提高预算资金的使用效率和项目的综合绩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Chars="0"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pPr>
        <w:pStyle w:val="17"/>
        <w:keepNext w:val="0"/>
        <w:keepLines w:val="0"/>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茂县交通运输综合服务中心通常会对外信息公开，这有助于增加工作的透明度，让广大营运车辆驾驶员能够了解交运中心的工作成效和资源使用情况;能够增强广大营运车辆驾驶员对我中心的信任与支持，推动道路运输事业高质量发展。</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pStyle w:val="17"/>
        <w:keepNext w:val="0"/>
        <w:keepLines w:val="0"/>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2025年我中心部门整体支出绩效评价自评结果良好，全年基本支出保证了部门的正常运行和日常工作的正常开展，项目支出保障了重点工作的开展，达到预期绩效目标。</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0"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pStyle w:val="17"/>
        <w:keepNext w:val="0"/>
        <w:keepLines w:val="0"/>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default" w:ascii="仿宋_GB2312" w:hAnsi="仿宋_GB2312" w:eastAsia="仿宋_GB2312" w:cs="仿宋_GB2312"/>
          <w:color w:val="000000"/>
          <w:kern w:val="2"/>
          <w:sz w:val="32"/>
          <w:szCs w:val="32"/>
          <w:lang w:val="zh-CN" w:eastAsia="zh-CN" w:bidi="ar-SA"/>
        </w:rPr>
      </w:pPr>
      <w:r>
        <w:rPr>
          <w:rFonts w:hint="default" w:ascii="仿宋_GB2312" w:hAnsi="仿宋_GB2312" w:eastAsia="仿宋_GB2312" w:cs="仿宋_GB2312"/>
          <w:color w:val="000000"/>
          <w:kern w:val="2"/>
          <w:sz w:val="32"/>
          <w:szCs w:val="32"/>
          <w:lang w:val="zh-CN" w:eastAsia="zh-CN" w:bidi="ar-SA"/>
        </w:rPr>
        <w:t>政策宣传覆盖面不足。针对农村客运经营者、从业人员的政策宣传方式较为单一，部分偏远乡镇经营者对补助政策、行业管理要求理解不透彻，政策传导效果有待进一步增强。</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eastAsia"/>
          <w:lang w:val="en" w:eastAsia="zh-CN"/>
        </w:rPr>
      </w:pPr>
      <w:r>
        <w:rPr>
          <w:rFonts w:hint="eastAsia"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68" w:name="_Hlk110546638"/>
    </w:p>
    <w:bookmarkEnd w:id="68"/>
    <w:p>
      <w:pPr>
        <w:pStyle w:val="17"/>
        <w:keepNext w:val="0"/>
        <w:keepLines w:val="0"/>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eastAsia" w:ascii="仿宋_GB2312" w:hAnsi="仿宋_GB2312" w:eastAsia="仿宋_GB2312" w:cs="仿宋_GB2312"/>
          <w:color w:val="000000"/>
          <w:kern w:val="2"/>
          <w:sz w:val="32"/>
          <w:szCs w:val="32"/>
          <w:lang w:val="zh-CN" w:eastAsia="zh-CN" w:bidi="ar-SA"/>
        </w:rPr>
      </w:pPr>
      <w:r>
        <w:rPr>
          <w:rFonts w:hint="eastAsia" w:ascii="仿宋_GB2312" w:hAnsi="仿宋_GB2312" w:eastAsia="仿宋_GB2312" w:cs="仿宋_GB2312"/>
          <w:color w:val="000000"/>
          <w:kern w:val="2"/>
          <w:sz w:val="32"/>
          <w:szCs w:val="32"/>
          <w:lang w:val="zh-CN" w:eastAsia="zh-CN" w:bidi="ar-SA"/>
        </w:rPr>
        <w:t>聚焦薄弱区域，强化精准宣传。针对偏远乡镇、偏远线路经营主体开展定向宣传，主动入户讲解补助申报流程、资格条件、审核要求及行业管理规定，消除政策宣传盲区。</w:t>
      </w: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pStyle w:val="7"/>
        <w:rPr>
          <w:rFonts w:hint="eastAsia" w:ascii="Times New Roman" w:hAnsi="Times New Roman" w:cs="宋体"/>
          <w:color w:val="FF0000"/>
          <w:kern w:val="0"/>
          <w:sz w:val="32"/>
          <w:szCs w:val="32"/>
          <w:highlight w:val="yellow"/>
          <w:shd w:val="clear" w:color="auto" w:fill="FFFFFF"/>
          <w:lang w:val="zh-CN"/>
        </w:rPr>
      </w:pP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20"/>
        <w:tblW w:w="10838" w:type="dxa"/>
        <w:jc w:val="center"/>
        <w:tblLayout w:type="fixed"/>
        <w:tblCellMar>
          <w:top w:w="0" w:type="dxa"/>
          <w:left w:w="108" w:type="dxa"/>
          <w:bottom w:w="0" w:type="dxa"/>
          <w:right w:w="108" w:type="dxa"/>
        </w:tblCellMar>
      </w:tblPr>
      <w:tblGrid>
        <w:gridCol w:w="1089"/>
        <w:gridCol w:w="1193"/>
        <w:gridCol w:w="1916"/>
        <w:gridCol w:w="713"/>
        <w:gridCol w:w="4728"/>
        <w:gridCol w:w="725"/>
        <w:gridCol w:w="474"/>
      </w:tblGrid>
      <w:tr>
        <w:tblPrEx>
          <w:tblCellMar>
            <w:top w:w="0" w:type="dxa"/>
            <w:left w:w="108" w:type="dxa"/>
            <w:bottom w:w="0" w:type="dxa"/>
            <w:right w:w="108" w:type="dxa"/>
          </w:tblCellMar>
        </w:tblPrEx>
        <w:trPr>
          <w:trHeight w:val="262" w:hRule="atLeast"/>
          <w:jc w:val="center"/>
        </w:trPr>
        <w:tc>
          <w:tcPr>
            <w:tcW w:w="49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绩效评价指标指标分值</w:t>
            </w:r>
          </w:p>
        </w:tc>
        <w:tc>
          <w:tcPr>
            <w:tcW w:w="47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指标解释</w:t>
            </w:r>
          </w:p>
        </w:tc>
        <w:tc>
          <w:tcPr>
            <w:tcW w:w="725"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自评得分</w:t>
            </w:r>
          </w:p>
        </w:tc>
        <w:tc>
          <w:tcPr>
            <w:tcW w:w="474"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sz w:val="21"/>
                <w:szCs w:val="21"/>
              </w:rPr>
            </w:pPr>
            <w:r>
              <w:rPr>
                <w:rFonts w:hint="eastAsia" w:ascii="宋体" w:hAnsi="宋体" w:eastAsia="宋体" w:cs="宋体"/>
                <w:sz w:val="21"/>
                <w:szCs w:val="21"/>
              </w:rPr>
              <w:t>备注</w:t>
            </w:r>
          </w:p>
        </w:tc>
      </w:tr>
      <w:tr>
        <w:tblPrEx>
          <w:tblCellMar>
            <w:top w:w="0" w:type="dxa"/>
            <w:left w:w="108" w:type="dxa"/>
            <w:bottom w:w="0" w:type="dxa"/>
            <w:right w:w="108" w:type="dxa"/>
          </w:tblCellMar>
        </w:tblPrEx>
        <w:trPr>
          <w:trHeight w:val="516" w:hRule="atLeast"/>
          <w:jc w:val="center"/>
        </w:trPr>
        <w:tc>
          <w:tcPr>
            <w:tcW w:w="1089"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一级指标</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二级指标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三级指标</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指标</w:t>
            </w:r>
            <w:r>
              <w:rPr>
                <w:rFonts w:hint="eastAsia" w:ascii="宋体" w:hAnsi="宋体" w:eastAsia="宋体" w:cs="宋体"/>
                <w:sz w:val="21"/>
                <w:szCs w:val="21"/>
              </w:rPr>
              <w:br w:type="textWrapping"/>
            </w:r>
            <w:r>
              <w:rPr>
                <w:rFonts w:hint="eastAsia" w:ascii="宋体" w:hAnsi="宋体" w:eastAsia="宋体" w:cs="宋体"/>
                <w:sz w:val="21"/>
                <w:szCs w:val="21"/>
              </w:rPr>
              <w:t>分值</w:t>
            </w:r>
          </w:p>
        </w:tc>
        <w:tc>
          <w:tcPr>
            <w:tcW w:w="47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725" w:type="dxa"/>
            <w:vMerge w:val="continue"/>
            <w:tcBorders>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474" w:type="dxa"/>
            <w:vMerge w:val="continue"/>
            <w:tcBorders>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restart"/>
            <w:tcBorders>
              <w:top w:val="single" w:color="000000" w:sz="4" w:space="0"/>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总体绩效（65分）</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履职效能</w:t>
            </w:r>
            <w:r>
              <w:rPr>
                <w:rFonts w:hint="eastAsia" w:ascii="宋体" w:hAnsi="宋体" w:eastAsia="宋体" w:cs="宋体"/>
                <w:sz w:val="21"/>
                <w:szCs w:val="21"/>
              </w:rPr>
              <w:br w:type="textWrapping"/>
            </w:r>
            <w:r>
              <w:rPr>
                <w:rFonts w:hint="eastAsia" w:ascii="宋体" w:hAnsi="宋体" w:eastAsia="宋体" w:cs="宋体"/>
                <w:sz w:val="21"/>
                <w:szCs w:val="21"/>
              </w:rPr>
              <w:t>（15分）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履职效果</w:t>
            </w:r>
          </w:p>
        </w:tc>
        <w:tc>
          <w:tcPr>
            <w:tcW w:w="713" w:type="dxa"/>
            <w:tcBorders>
              <w:top w:val="nil"/>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15</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部门整体绩效目标中选定3-5个核心职能目标，反映该项职能目标完成效果情况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预算管理</w:t>
            </w:r>
            <w:r>
              <w:rPr>
                <w:rFonts w:hint="eastAsia" w:ascii="宋体" w:hAnsi="宋体" w:eastAsia="宋体" w:cs="宋体"/>
                <w:sz w:val="21"/>
                <w:szCs w:val="21"/>
              </w:rPr>
              <w:br w:type="textWrapping"/>
            </w:r>
            <w:r>
              <w:rPr>
                <w:rFonts w:hint="eastAsia" w:ascii="宋体" w:hAnsi="宋体" w:eastAsia="宋体" w:cs="宋体"/>
                <w:sz w:val="21"/>
                <w:szCs w:val="21"/>
              </w:rPr>
              <w:t>（25分）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预算编制质量</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8</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部门是否严格按要求编制年初部门预算，年初预算编制的科学性和准确性</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单位收入统筹</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部门统筹自有收入努力程度</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支出执行管理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6</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部门1至6月、1至10月预算执行情况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预算年终结余</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2</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部门整体年终预算结余情况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1024"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严控一般性支出</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5</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部门严控“三公”经费、会议、培训、差旅、办节办展、办公设备购置、信息化建设和运维、课题经费、竞赛活动、规划编制一般性支出情况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财务管理</w:t>
            </w:r>
            <w:r>
              <w:rPr>
                <w:rFonts w:hint="eastAsia" w:ascii="宋体" w:hAnsi="宋体" w:eastAsia="宋体" w:cs="宋体"/>
                <w:sz w:val="21"/>
                <w:szCs w:val="21"/>
              </w:rPr>
              <w:br w:type="textWrapping"/>
            </w:r>
            <w:r>
              <w:rPr>
                <w:rFonts w:hint="eastAsia" w:ascii="宋体" w:hAnsi="宋体" w:eastAsia="宋体" w:cs="宋体"/>
                <w:sz w:val="21"/>
                <w:szCs w:val="21"/>
              </w:rPr>
              <w:t>（10分）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财务管理制度</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部门财务管理制度建立情况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财务岗位设置</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2</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部门财务岗位设置是否符合相关财务管理制度要求</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资金使用规范</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部门资金使用是否符合相关财务管理制度规定</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资产管理</w:t>
            </w:r>
            <w:r>
              <w:rPr>
                <w:rFonts w:hint="eastAsia" w:ascii="宋体" w:hAnsi="宋体" w:eastAsia="宋体" w:cs="宋体"/>
                <w:sz w:val="21"/>
                <w:szCs w:val="21"/>
              </w:rPr>
              <w:br w:type="textWrapping"/>
            </w:r>
            <w:r>
              <w:rPr>
                <w:rFonts w:hint="eastAsia" w:ascii="宋体" w:hAnsi="宋体" w:eastAsia="宋体" w:cs="宋体"/>
                <w:sz w:val="21"/>
                <w:szCs w:val="21"/>
              </w:rPr>
              <w:t>（9分）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人均资产变化率</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部门人均资产变化情况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资产利用率</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部门资产超最低使用年限情况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资产管理</w:t>
            </w:r>
            <w:r>
              <w:rPr>
                <w:rFonts w:hint="eastAsia" w:ascii="宋体" w:hAnsi="宋体" w:eastAsia="宋体" w:cs="宋体"/>
                <w:sz w:val="21"/>
                <w:szCs w:val="21"/>
              </w:rPr>
              <w:br w:type="textWrapping"/>
            </w:r>
            <w:r>
              <w:rPr>
                <w:rFonts w:hint="eastAsia" w:ascii="宋体" w:hAnsi="宋体" w:eastAsia="宋体" w:cs="宋体"/>
                <w:sz w:val="21"/>
                <w:szCs w:val="21"/>
              </w:rPr>
              <w:t>（9分）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资产盘活率</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部门闲置一年以上的资产盘活情况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left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采购管理</w:t>
            </w:r>
            <w:r>
              <w:rPr>
                <w:rFonts w:hint="eastAsia" w:ascii="宋体" w:hAnsi="宋体" w:eastAsia="宋体" w:cs="宋体"/>
                <w:sz w:val="21"/>
                <w:szCs w:val="21"/>
              </w:rPr>
              <w:br w:type="textWrapping"/>
            </w:r>
            <w:r>
              <w:rPr>
                <w:rFonts w:hint="eastAsia" w:ascii="宋体" w:hAnsi="宋体" w:eastAsia="宋体" w:cs="宋体"/>
                <w:sz w:val="21"/>
                <w:szCs w:val="21"/>
              </w:rPr>
              <w:t>（6分）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支持中小企业发展</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部门是否严格执行政府采购促进中小企业发展相关管理办法</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采购执行率</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部门政府采购项目资金支付比例情况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项目绩效（35分）</w:t>
            </w:r>
          </w:p>
        </w:tc>
        <w:tc>
          <w:tcPr>
            <w:tcW w:w="1193" w:type="dxa"/>
            <w:vMerge w:val="restar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项目决策</w:t>
            </w:r>
            <w:r>
              <w:rPr>
                <w:rFonts w:hint="eastAsia" w:ascii="宋体" w:hAnsi="宋体" w:eastAsia="宋体" w:cs="宋体"/>
                <w:sz w:val="21"/>
                <w:szCs w:val="21"/>
              </w:rPr>
              <w:br w:type="textWrapping"/>
            </w:r>
            <w:r>
              <w:rPr>
                <w:rFonts w:hint="eastAsia" w:ascii="宋体" w:hAnsi="宋体" w:eastAsia="宋体" w:cs="宋体"/>
                <w:sz w:val="21"/>
                <w:szCs w:val="21"/>
              </w:rPr>
              <w:t>（12分）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决策程序</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部门预算项目设立是否按规定履行评估论证、申报程序</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1024"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目标设置</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部门预算项目绩效目标与计划期内的任务量、预算安排的资金量匹配情况，绩效目标设置是否科学合理、规范完整、量化细化、预算匹配</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项目入库</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部门预算项目是否在规定时间完成项目入库</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项目执行</w:t>
            </w:r>
            <w:r>
              <w:rPr>
                <w:rFonts w:hint="eastAsia" w:ascii="宋体" w:hAnsi="宋体" w:eastAsia="宋体" w:cs="宋体"/>
                <w:sz w:val="21"/>
                <w:szCs w:val="21"/>
              </w:rPr>
              <w:br w:type="textWrapping"/>
            </w:r>
            <w:r>
              <w:rPr>
                <w:rFonts w:hint="eastAsia" w:ascii="宋体" w:hAnsi="宋体" w:eastAsia="宋体" w:cs="宋体"/>
                <w:sz w:val="21"/>
                <w:szCs w:val="21"/>
              </w:rPr>
              <w:t>（12分）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执行同向</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部门预算项目实际列支内容是否与绩效目标设置方向相符</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项目调整</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部门预算项目是否采取对应调整措施</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执行结果</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部门预算项目预算执行情况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目标实现</w:t>
            </w:r>
            <w:r>
              <w:rPr>
                <w:rFonts w:hint="eastAsia" w:ascii="宋体" w:hAnsi="宋体" w:eastAsia="宋体" w:cs="宋体"/>
                <w:sz w:val="21"/>
                <w:szCs w:val="21"/>
              </w:rPr>
              <w:br w:type="textWrapping"/>
            </w:r>
            <w:r>
              <w:rPr>
                <w:rFonts w:hint="eastAsia" w:ascii="宋体" w:hAnsi="宋体" w:eastAsia="宋体" w:cs="宋体"/>
                <w:sz w:val="21"/>
                <w:szCs w:val="21"/>
              </w:rPr>
              <w:t>（11分）</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目标完成</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部门预算项目绩效目标数量指标完成情况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16"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目标偏离</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4</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部门预算项目绩效目标数量指标实现程度与预期目标的偏离情况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262" w:hRule="atLeas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实现效果</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3</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部门预算项目绩效目标效益指标实施效果</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r>
        <w:tblPrEx>
          <w:tblCellMar>
            <w:top w:w="0" w:type="dxa"/>
            <w:left w:w="108" w:type="dxa"/>
            <w:bottom w:w="0" w:type="dxa"/>
            <w:right w:w="108" w:type="dxa"/>
          </w:tblCellMar>
        </w:tblPrEx>
        <w:trPr>
          <w:trHeight w:val="524" w:hRule="atLeast"/>
          <w:jc w:val="center"/>
        </w:trPr>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扣分项</w:t>
            </w:r>
            <w:r>
              <w:rPr>
                <w:rFonts w:hint="eastAsia" w:ascii="宋体" w:hAnsi="宋体" w:eastAsia="宋体" w:cs="宋体"/>
                <w:sz w:val="21"/>
                <w:szCs w:val="21"/>
              </w:rPr>
              <w:br w:type="textWrapping"/>
            </w:r>
            <w:r>
              <w:rPr>
                <w:rFonts w:hint="eastAsia" w:ascii="宋体" w:hAnsi="宋体" w:eastAsia="宋体" w:cs="宋体"/>
                <w:sz w:val="21"/>
                <w:szCs w:val="21"/>
              </w:rPr>
              <w:t>（10分）</w:t>
            </w:r>
          </w:p>
        </w:tc>
        <w:tc>
          <w:tcPr>
            <w:tcW w:w="3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被评价部门配合度</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w:t>
            </w:r>
          </w:p>
        </w:tc>
        <w:tc>
          <w:tcPr>
            <w:tcW w:w="47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r>
              <w:rPr>
                <w:rFonts w:hint="eastAsia" w:ascii="宋体" w:hAnsi="宋体" w:eastAsia="宋体" w:cs="宋体"/>
                <w:sz w:val="21"/>
                <w:szCs w:val="21"/>
              </w:rPr>
              <w:t>被评价对象工作配合情况</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sz w:val="21"/>
                <w:szCs w:val="21"/>
              </w:rPr>
            </w:pPr>
          </w:p>
        </w:tc>
      </w:tr>
    </w:tbl>
    <w:p>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20"/>
        <w:tblW w:w="9658" w:type="dxa"/>
        <w:jc w:val="center"/>
        <w:tblLayout w:type="fixed"/>
        <w:tblCellMar>
          <w:top w:w="0" w:type="dxa"/>
          <w:left w:w="108" w:type="dxa"/>
          <w:bottom w:w="0" w:type="dxa"/>
          <w:right w:w="108" w:type="dxa"/>
        </w:tblCellMar>
      </w:tblPr>
      <w:tblGrid>
        <w:gridCol w:w="331"/>
        <w:gridCol w:w="593"/>
        <w:gridCol w:w="1066"/>
        <w:gridCol w:w="1097"/>
        <w:gridCol w:w="689"/>
        <w:gridCol w:w="777"/>
        <w:gridCol w:w="1018"/>
        <w:gridCol w:w="1045"/>
        <w:gridCol w:w="1111"/>
        <w:gridCol w:w="1931"/>
      </w:tblGrid>
      <w:tr>
        <w:tblPrEx>
          <w:tblCellMar>
            <w:top w:w="0" w:type="dxa"/>
            <w:left w:w="108" w:type="dxa"/>
            <w:bottom w:w="0" w:type="dxa"/>
            <w:right w:w="108" w:type="dxa"/>
          </w:tblCellMar>
        </w:tblPrEx>
        <w:trPr>
          <w:trHeight w:val="465" w:hRule="atLeast"/>
          <w:jc w:val="center"/>
        </w:trPr>
        <w:tc>
          <w:tcPr>
            <w:tcW w:w="1990" w:type="dxa"/>
            <w:gridSpan w:val="3"/>
            <w:tcBorders>
              <w:top w:val="single" w:color="000000" w:sz="4" w:space="0"/>
              <w:left w:val="single" w:color="000000" w:sz="4" w:space="0"/>
              <w:bottom w:val="single" w:color="auto" w:sz="4" w:space="0"/>
              <w:right w:val="single" w:color="000000" w:sz="4" w:space="0"/>
            </w:tcBorders>
            <w:vAlign w:val="center"/>
          </w:tcPr>
          <w:p>
            <w:pPr>
              <w:rPr>
                <w:rFonts w:hint="eastAsia" w:ascii="宋体" w:hAnsi="宋体" w:eastAsia="宋体" w:cs="宋体"/>
                <w:color w:val="000000"/>
                <w:kern w:val="0"/>
                <w:sz w:val="21"/>
                <w:szCs w:val="21"/>
              </w:rPr>
            </w:pPr>
            <w:r>
              <w:rPr>
                <w:rFonts w:hint="eastAsia" w:ascii="宋体" w:hAnsi="宋体" w:eastAsia="宋体" w:cs="宋体"/>
                <w:sz w:val="21"/>
                <w:szCs w:val="21"/>
              </w:rPr>
              <w:br w:type="page"/>
            </w:r>
            <w:r>
              <w:rPr>
                <w:rFonts w:hint="eastAsia" w:ascii="宋体" w:hAnsi="宋体" w:eastAsia="宋体" w:cs="宋体"/>
                <w:color w:val="000000"/>
                <w:kern w:val="0"/>
                <w:sz w:val="21"/>
                <w:szCs w:val="21"/>
              </w:rPr>
              <w:t>部门名称</w:t>
            </w:r>
          </w:p>
        </w:tc>
        <w:tc>
          <w:tcPr>
            <w:tcW w:w="766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茂县交通运输综合服务中心</w:t>
            </w:r>
          </w:p>
        </w:tc>
      </w:tr>
      <w:tr>
        <w:tblPrEx>
          <w:tblCellMar>
            <w:top w:w="0" w:type="dxa"/>
            <w:left w:w="108" w:type="dxa"/>
            <w:bottom w:w="0" w:type="dxa"/>
            <w:right w:w="108" w:type="dxa"/>
          </w:tblCellMar>
        </w:tblPrEx>
        <w:trPr>
          <w:trHeight w:val="239" w:hRule="atLeast"/>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年度部门整体预算</w:t>
            </w:r>
          </w:p>
        </w:tc>
        <w:tc>
          <w:tcPr>
            <w:tcW w:w="1786"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资金总额</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财政拨款</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其他资金</w:t>
            </w:r>
          </w:p>
        </w:tc>
      </w:tr>
      <w:tr>
        <w:tblPrEx>
          <w:tblCellMar>
            <w:top w:w="0" w:type="dxa"/>
            <w:left w:w="108" w:type="dxa"/>
            <w:bottom w:w="0" w:type="dxa"/>
            <w:right w:w="108" w:type="dxa"/>
          </w:tblCellMar>
        </w:tblPrEx>
        <w:trPr>
          <w:trHeight w:val="194" w:hRule="atLeast"/>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收入预算</w:t>
            </w:r>
          </w:p>
        </w:tc>
        <w:tc>
          <w:tcPr>
            <w:tcW w:w="1786" w:type="dxa"/>
            <w:gridSpan w:val="2"/>
            <w:tcBorders>
              <w:top w:val="single" w:color="000000" w:sz="4" w:space="0"/>
              <w:left w:val="single" w:color="auto" w:sz="4" w:space="0"/>
              <w:bottom w:val="single" w:color="000000" w:sz="4" w:space="0"/>
              <w:right w:val="single" w:color="auto" w:sz="4" w:space="0"/>
            </w:tcBorders>
            <w:vAlign w:val="center"/>
          </w:tcPr>
          <w:p>
            <w:pPr>
              <w:widowControl/>
              <w:spacing w:line="240" w:lineRule="exact"/>
              <w:ind w:firstLine="420" w:firstLineChars="200"/>
              <w:jc w:val="both"/>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265.03</w:t>
            </w:r>
          </w:p>
        </w:tc>
        <w:tc>
          <w:tcPr>
            <w:tcW w:w="1795"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265.03</w:t>
            </w:r>
          </w:p>
        </w:tc>
        <w:tc>
          <w:tcPr>
            <w:tcW w:w="4087"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296" w:hRule="atLeast"/>
          <w:jc w:val="center"/>
        </w:trPr>
        <w:tc>
          <w:tcPr>
            <w:tcW w:w="1990"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支出预算</w:t>
            </w:r>
          </w:p>
        </w:tc>
        <w:tc>
          <w:tcPr>
            <w:tcW w:w="1786" w:type="dxa"/>
            <w:gridSpan w:val="2"/>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265.03</w:t>
            </w:r>
          </w:p>
        </w:tc>
        <w:tc>
          <w:tcPr>
            <w:tcW w:w="1795" w:type="dxa"/>
            <w:gridSpan w:val="2"/>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265.03</w:t>
            </w:r>
          </w:p>
        </w:tc>
        <w:tc>
          <w:tcPr>
            <w:tcW w:w="4087"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296" w:hRule="atLeast"/>
          <w:jc w:val="center"/>
        </w:trPr>
        <w:tc>
          <w:tcPr>
            <w:tcW w:w="1990" w:type="dxa"/>
            <w:gridSpan w:val="3"/>
            <w:tcBorders>
              <w:top w:val="single" w:color="auto"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年度总体目标</w:t>
            </w:r>
          </w:p>
        </w:tc>
        <w:tc>
          <w:tcPr>
            <w:tcW w:w="7668"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sz w:val="21"/>
                <w:szCs w:val="21"/>
                <w:lang w:eastAsia="zh-CN"/>
              </w:rPr>
              <w:t>确</w:t>
            </w:r>
            <w:r>
              <w:rPr>
                <w:rFonts w:hint="eastAsia" w:ascii="宋体" w:hAnsi="宋体" w:eastAsia="宋体" w:cs="宋体"/>
                <w:color w:val="000000"/>
                <w:sz w:val="21"/>
                <w:szCs w:val="21"/>
              </w:rPr>
              <w:t>保单位日常运转、基本履职和事业发展等；</w:t>
            </w:r>
            <w:r>
              <w:rPr>
                <w:rFonts w:hint="eastAsia" w:ascii="宋体" w:hAnsi="宋体" w:eastAsia="宋体" w:cs="宋体"/>
                <w:color w:val="000000"/>
                <w:sz w:val="21"/>
                <w:szCs w:val="21"/>
                <w:lang w:eastAsia="zh-CN"/>
              </w:rPr>
              <w:t>指导和督促全县客运、货运、维修企业、驾培机构、出租车、快递行业做好安全生产工作。</w:t>
            </w:r>
          </w:p>
        </w:tc>
      </w:tr>
      <w:tr>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066"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09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68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指标值</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指标设置参考值</w:t>
            </w:r>
          </w:p>
        </w:tc>
        <w:tc>
          <w:tcPr>
            <w:tcW w:w="1931" w:type="dxa"/>
            <w:vMerge w:val="restart"/>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指标实际完成值</w:t>
            </w:r>
          </w:p>
        </w:tc>
      </w:tr>
      <w:tr>
        <w:tblPrEx>
          <w:tblCellMar>
            <w:top w:w="0" w:type="dxa"/>
            <w:left w:w="108" w:type="dxa"/>
            <w:bottom w:w="0" w:type="dxa"/>
            <w:right w:w="108" w:type="dxa"/>
          </w:tblCellMar>
        </w:tblPrEx>
        <w:trPr>
          <w:trHeight w:val="60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97"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68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777" w:type="dxa"/>
            <w:tcBorders>
              <w:top w:val="single" w:color="000000" w:sz="4" w:space="0"/>
              <w:left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三年</w:t>
            </w:r>
          </w:p>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均值</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2023年</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2024年</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2025年</w:t>
            </w:r>
          </w:p>
        </w:tc>
        <w:tc>
          <w:tcPr>
            <w:tcW w:w="1931" w:type="dxa"/>
            <w:vMerge w:val="continue"/>
            <w:tcBorders>
              <w:left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成本指标</w:t>
            </w:r>
          </w:p>
        </w:tc>
        <w:tc>
          <w:tcPr>
            <w:tcW w:w="1066"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预算管理</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财政拨款预算编制偏离度</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95</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541.1</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137.87</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265.03</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922.03</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单位收入统筹度</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预算年终结余率</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0.02</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22.03</w:t>
            </w: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22.03</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一般性支出金额</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90.51</w:t>
            </w:r>
            <w:r>
              <w:rPr>
                <w:rFonts w:hint="eastAsia" w:ascii="宋体" w:hAnsi="宋体" w:eastAsia="宋体" w:cs="宋体"/>
                <w:color w:val="000000"/>
                <w:kern w:val="0"/>
                <w:sz w:val="21"/>
                <w:szCs w:val="21"/>
              </w:rPr>
              <w:t>万元</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90.51</w:t>
            </w: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财务管理</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财务管理规范</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x为“优”“良”“中”或“差”</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资产管理</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资产配置预算偏离度</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采购管理</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采购执行率</w:t>
            </w:r>
          </w:p>
        </w:tc>
        <w:tc>
          <w:tcPr>
            <w:tcW w:w="689"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w:t>
            </w:r>
          </w:p>
        </w:tc>
        <w:tc>
          <w:tcPr>
            <w:tcW w:w="101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4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履职效能</w:t>
            </w:r>
          </w:p>
        </w:tc>
        <w:tc>
          <w:tcPr>
            <w:tcW w:w="59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数量指标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both"/>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单位职工人数</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职工人数为</w:t>
            </w:r>
            <w:r>
              <w:rPr>
                <w:rFonts w:hint="eastAsia" w:ascii="宋体" w:hAnsi="宋体" w:eastAsia="宋体" w:cs="宋体"/>
                <w:color w:val="000000"/>
                <w:kern w:val="0"/>
                <w:sz w:val="21"/>
                <w:szCs w:val="21"/>
                <w:lang w:val="en-US" w:eastAsia="zh-CN"/>
              </w:rPr>
              <w:t>5人</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质量指标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val="en-US" w:eastAsia="zh-CN"/>
              </w:rPr>
              <w:t>保障单位正常运行</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val="en-US" w:eastAsia="zh-CN"/>
              </w:rPr>
              <w:t>保障单位正常运行</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质量指标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val="en-US" w:eastAsia="zh-CN"/>
              </w:rPr>
              <w:t>保质保量完成各企业费用补贴工作</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val="en-US" w:eastAsia="zh-CN"/>
              </w:rPr>
              <w:t>保质保量完成各企业费用补贴工作</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34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效益指标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社会效益</w:t>
            </w:r>
          </w:p>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指标</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eastAsia="zh-CN"/>
              </w:rPr>
              <w:t>方便公众出行</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效益指标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eastAsia="zh-CN"/>
              </w:rPr>
              <w:t>可持续影响指标</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rPr>
              <w:t>确保客运企业正常运转，方便群众出行。</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c>
          <w:tcPr>
            <w:tcW w:w="106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bidi="ar"/>
              </w:rPr>
              <w:t>满意度指标</w:t>
            </w:r>
          </w:p>
        </w:tc>
        <w:tc>
          <w:tcPr>
            <w:tcW w:w="1097"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eastAsia="zh-CN"/>
              </w:rPr>
              <w:t>服务对象满意度指标</w:t>
            </w:r>
          </w:p>
        </w:tc>
        <w:tc>
          <w:tcPr>
            <w:tcW w:w="4640"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sz w:val="21"/>
                <w:szCs w:val="21"/>
                <w:lang w:eastAsia="zh-CN"/>
              </w:rPr>
              <w:t>群众满意度</w:t>
            </w:r>
          </w:p>
        </w:tc>
        <w:tc>
          <w:tcPr>
            <w:tcW w:w="193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hint="eastAsia" w:ascii="宋体" w:hAnsi="宋体" w:eastAsia="宋体" w:cs="宋体"/>
                <w:color w:val="000000"/>
                <w:kern w:val="0"/>
                <w:sz w:val="21"/>
                <w:szCs w:val="21"/>
              </w:rPr>
            </w:pPr>
          </w:p>
        </w:tc>
      </w:tr>
    </w:tbl>
    <w:p>
      <w:pPr>
        <w:pStyle w:val="7"/>
        <w:rPr>
          <w:rFonts w:hint="eastAsia" w:ascii="宋体" w:hAnsi="宋体" w:eastAsia="宋体" w:cs="宋体"/>
          <w:color w:val="auto"/>
          <w:kern w:val="0"/>
          <w:sz w:val="21"/>
          <w:szCs w:val="21"/>
          <w:highlight w:val="none"/>
          <w:shd w:val="clear" w:color="auto" w:fill="FFFFFF"/>
          <w:lang w:val="zh-CN"/>
        </w:rPr>
      </w:pPr>
    </w:p>
    <w:p>
      <w:pPr>
        <w:pStyle w:val="7"/>
        <w:rPr>
          <w:rFonts w:hint="eastAsia" w:ascii="宋体" w:hAnsi="宋体" w:eastAsia="宋体" w:cs="宋体"/>
          <w:color w:val="auto"/>
          <w:kern w:val="0"/>
          <w:sz w:val="21"/>
          <w:szCs w:val="21"/>
          <w:highlight w:val="none"/>
          <w:shd w:val="clear" w:color="auto" w:fill="FFFFFF"/>
          <w:lang w:val="zh-CN"/>
        </w:rPr>
      </w:pPr>
    </w:p>
    <w:p>
      <w:pPr>
        <w:pStyle w:val="7"/>
        <w:rPr>
          <w:rFonts w:hint="eastAsia" w:ascii="宋体" w:hAnsi="宋体" w:eastAsia="宋体" w:cs="宋体"/>
          <w:color w:val="auto"/>
          <w:kern w:val="0"/>
          <w:sz w:val="21"/>
          <w:szCs w:val="21"/>
          <w:highlight w:val="none"/>
          <w:shd w:val="clear" w:color="auto" w:fill="FFFFFF"/>
          <w:lang w:val="zh-CN"/>
        </w:rPr>
      </w:pPr>
    </w:p>
    <w:p>
      <w:pPr>
        <w:pStyle w:val="7"/>
        <w:rPr>
          <w:rFonts w:hint="eastAsia" w:ascii="Times New Roman" w:hAnsi="Times New Roman" w:eastAsia="方正小标宋简体" w:cs="方正小标宋简体"/>
          <w:color w:val="auto"/>
          <w:kern w:val="2"/>
          <w:sz w:val="44"/>
          <w:szCs w:val="44"/>
          <w:highlight w:val="none"/>
          <w:lang w:val="en-US" w:eastAsia="zh-CN" w:bidi="ar-SA"/>
        </w:rPr>
      </w:pPr>
      <w:r>
        <w:rPr>
          <w:rFonts w:hint="eastAsia" w:ascii="Times New Roman" w:hAnsi="Times New Roman" w:eastAsia="方正小标宋简体" w:cs="方正小标宋简体"/>
          <w:color w:val="auto"/>
          <w:kern w:val="2"/>
          <w:sz w:val="44"/>
          <w:szCs w:val="44"/>
          <w:highlight w:val="none"/>
          <w:lang w:val="zh-CN" w:eastAsia="zh-CN" w:bidi="ar-SA"/>
        </w:rPr>
        <w:t>附件</w:t>
      </w:r>
      <w:r>
        <w:rPr>
          <w:rFonts w:hint="eastAsia" w:ascii="Times New Roman" w:hAnsi="Times New Roman" w:eastAsia="方正小标宋简体" w:cs="方正小标宋简体"/>
          <w:color w:val="auto"/>
          <w:kern w:val="2"/>
          <w:sz w:val="44"/>
          <w:szCs w:val="44"/>
          <w:highlight w:val="none"/>
          <w:lang w:val="en-US" w:eastAsia="zh-CN" w:bidi="ar-SA"/>
        </w:rPr>
        <w:t>2</w:t>
      </w:r>
    </w:p>
    <w:p>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2"/>
        <w:jc w:val="center"/>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（本部门不涉及此类项目）</w:t>
      </w:r>
    </w:p>
    <w:p>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b/>
          <w:bCs/>
          <w:color w:val="auto"/>
          <w:kern w:val="2"/>
          <w:sz w:val="44"/>
          <w:szCs w:val="44"/>
          <w:highlight w:val="none"/>
          <w:lang w:val="en-US" w:eastAsia="zh-CN"/>
        </w:rPr>
      </w:pPr>
    </w:p>
    <w:p>
      <w:pPr>
        <w:pStyle w:val="38"/>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widowControl/>
        <w:jc w:val="center"/>
        <w:rPr>
          <w:rFonts w:hint="eastAsia" w:ascii="Times New Roman" w:hAnsi="Times New Roman" w:eastAsia="黑体"/>
          <w:color w:val="auto"/>
          <w:sz w:val="44"/>
          <w:szCs w:val="44"/>
          <w:highlight w:val="none"/>
        </w:rPr>
      </w:pPr>
      <w:bookmarkStart w:id="69" w:name="_Toc15396618"/>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65"/>
      <w:bookmarkEnd w:id="69"/>
      <w:bookmarkStart w:id="70" w:name="_Toc15396619"/>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0"/>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0"/>
      <w:r>
        <w:rPr>
          <w:rFonts w:hint="eastAsia" w:ascii="Times New Roman" w:hAnsi="Times New Roman" w:eastAsia="仿宋_GB2312" w:cs="仿宋_GB2312"/>
          <w:color w:val="auto"/>
          <w:sz w:val="32"/>
          <w:szCs w:val="32"/>
          <w:highlight w:val="none"/>
        </w:rPr>
        <w:t>二、收入决算表</w:t>
      </w:r>
      <w:bookmarkEnd w:id="71"/>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1"/>
      <w:r>
        <w:rPr>
          <w:rFonts w:hint="eastAsia" w:ascii="Times New Roman" w:hAnsi="Times New Roman" w:eastAsia="仿宋_GB2312" w:cs="仿宋_GB2312"/>
          <w:color w:val="auto"/>
          <w:sz w:val="32"/>
          <w:szCs w:val="32"/>
          <w:highlight w:val="none"/>
        </w:rPr>
        <w:t>三、支出决算表</w:t>
      </w:r>
      <w:bookmarkEnd w:id="72"/>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2"/>
      <w:r>
        <w:rPr>
          <w:rFonts w:hint="eastAsia" w:ascii="Times New Roman" w:hAnsi="Times New Roman" w:eastAsia="仿宋_GB2312" w:cs="仿宋_GB2312"/>
          <w:color w:val="auto"/>
          <w:sz w:val="32"/>
          <w:szCs w:val="32"/>
          <w:highlight w:val="none"/>
        </w:rPr>
        <w:t>四、财政拨款收入支出决算总表</w:t>
      </w:r>
      <w:bookmarkEnd w:id="73"/>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3"/>
      <w:r>
        <w:rPr>
          <w:rFonts w:hint="eastAsia" w:ascii="Times New Roman" w:hAnsi="Times New Roman" w:eastAsia="仿宋_GB2312" w:cs="仿宋_GB2312"/>
          <w:color w:val="auto"/>
          <w:sz w:val="32"/>
          <w:szCs w:val="32"/>
          <w:highlight w:val="none"/>
        </w:rPr>
        <w:t>五、财政拨款支出决算明细表</w:t>
      </w:r>
      <w:bookmarkEnd w:id="74"/>
      <w:bookmarkStart w:id="75" w:name="_Toc15396624"/>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5"/>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5"/>
      <w:r>
        <w:rPr>
          <w:rFonts w:hint="eastAsia" w:ascii="Times New Roman" w:hAnsi="Times New Roman" w:eastAsia="仿宋_GB2312" w:cs="仿宋_GB2312"/>
          <w:color w:val="auto"/>
          <w:sz w:val="32"/>
          <w:szCs w:val="32"/>
          <w:highlight w:val="none"/>
        </w:rPr>
        <w:t>七、一般公共预算财政拨款支出决算明细表</w:t>
      </w:r>
      <w:bookmarkEnd w:id="76"/>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6"/>
      <w:r>
        <w:rPr>
          <w:rFonts w:hint="eastAsia" w:ascii="Times New Roman" w:hAnsi="Times New Roman" w:eastAsia="仿宋_GB2312" w:cs="仿宋_GB2312"/>
          <w:color w:val="auto"/>
          <w:sz w:val="32"/>
          <w:szCs w:val="32"/>
          <w:highlight w:val="none"/>
        </w:rPr>
        <w:t>八、一般公共预算财政拨款基本支出决算表</w:t>
      </w:r>
      <w:bookmarkEnd w:id="77"/>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7"/>
      <w:r>
        <w:rPr>
          <w:rFonts w:hint="eastAsia" w:ascii="Times New Roman" w:hAnsi="Times New Roman" w:eastAsia="仿宋_GB2312" w:cs="仿宋_GB2312"/>
          <w:color w:val="auto"/>
          <w:sz w:val="32"/>
          <w:szCs w:val="32"/>
          <w:highlight w:val="none"/>
        </w:rPr>
        <w:t>九、一般公共预算财政拨款项目支出决算表</w:t>
      </w:r>
      <w:bookmarkEnd w:id="78"/>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8"/>
      <w:r>
        <w:rPr>
          <w:rFonts w:hint="eastAsia" w:ascii="Times New Roman" w:hAnsi="Times New Roman" w:eastAsia="仿宋_GB2312" w:cs="仿宋_GB2312"/>
          <w:color w:val="auto"/>
          <w:sz w:val="32"/>
          <w:szCs w:val="32"/>
          <w:highlight w:val="none"/>
        </w:rPr>
        <w:t>十、</w:t>
      </w:r>
      <w:bookmarkEnd w:id="79"/>
      <w:r>
        <w:rPr>
          <w:rFonts w:hint="eastAsia" w:ascii="Times New Roman" w:hAnsi="Times New Roman" w:eastAsia="仿宋_GB2312" w:cs="仿宋_GB2312"/>
          <w:color w:val="auto"/>
          <w:sz w:val="32"/>
          <w:szCs w:val="32"/>
          <w:highlight w:val="none"/>
        </w:rPr>
        <w:t>政府性基金预算财政拨款收入支出决算表</w:t>
      </w:r>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9"/>
      <w:r>
        <w:rPr>
          <w:rFonts w:hint="eastAsia" w:ascii="Times New Roman" w:hAnsi="Times New Roman" w:eastAsia="仿宋_GB2312" w:cs="仿宋_GB2312"/>
          <w:color w:val="auto"/>
          <w:sz w:val="32"/>
          <w:szCs w:val="32"/>
          <w:highlight w:val="none"/>
        </w:rPr>
        <w:t>十一、</w:t>
      </w:r>
      <w:bookmarkEnd w:id="8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30"/>
      <w:r>
        <w:rPr>
          <w:rFonts w:hint="eastAsia" w:ascii="Times New Roman" w:hAnsi="Times New Roman" w:eastAsia="仿宋_GB2312" w:cs="仿宋_GB2312"/>
          <w:color w:val="auto"/>
          <w:sz w:val="32"/>
          <w:szCs w:val="32"/>
          <w:highlight w:val="none"/>
        </w:rPr>
        <w:t>十二、</w:t>
      </w:r>
      <w:bookmarkEnd w:id="81"/>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2" w:name="_Toc15396631"/>
      <w:r>
        <w:rPr>
          <w:rFonts w:hint="eastAsia" w:ascii="Times New Roman" w:hAnsi="Times New Roman" w:eastAsia="仿宋_GB2312" w:cs="仿宋_GB2312"/>
          <w:color w:val="auto"/>
          <w:sz w:val="32"/>
          <w:szCs w:val="32"/>
          <w:highlight w:val="none"/>
        </w:rPr>
        <w:t>十三、</w:t>
      </w:r>
      <w:bookmarkEnd w:id="82"/>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FB87DD"/>
    <w:multiLevelType w:val="singleLevel"/>
    <w:tmpl w:val="9EFB87DD"/>
    <w:lvl w:ilvl="0" w:tentative="0">
      <w:start w:val="2"/>
      <w:numFmt w:val="chineseCounting"/>
      <w:suff w:val="nothing"/>
      <w:lvlText w:val="（%1）"/>
      <w:lvlJc w:val="left"/>
      <w:rPr>
        <w:rFonts w:hint="eastAsia"/>
      </w:rPr>
    </w:lvl>
  </w:abstractNum>
  <w:abstractNum w:abstractNumId="1">
    <w:nsid w:val="09747413"/>
    <w:multiLevelType w:val="singleLevel"/>
    <w:tmpl w:val="09747413"/>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375D"/>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73FB8"/>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28F8"/>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F7FF3"/>
    <w:rsid w:val="01203B42"/>
    <w:rsid w:val="015975B8"/>
    <w:rsid w:val="016D7686"/>
    <w:rsid w:val="019D73AC"/>
    <w:rsid w:val="01E7687A"/>
    <w:rsid w:val="01FB2F91"/>
    <w:rsid w:val="02317B1B"/>
    <w:rsid w:val="0270061D"/>
    <w:rsid w:val="02FEBE30"/>
    <w:rsid w:val="03045209"/>
    <w:rsid w:val="03885E3A"/>
    <w:rsid w:val="04700DA8"/>
    <w:rsid w:val="047920D3"/>
    <w:rsid w:val="04AC5B58"/>
    <w:rsid w:val="061E35DE"/>
    <w:rsid w:val="066E0107"/>
    <w:rsid w:val="06A411DD"/>
    <w:rsid w:val="074B3407"/>
    <w:rsid w:val="07996F6E"/>
    <w:rsid w:val="07DFD8BA"/>
    <w:rsid w:val="08031F33"/>
    <w:rsid w:val="08DB07E4"/>
    <w:rsid w:val="095C5D9F"/>
    <w:rsid w:val="09867E8F"/>
    <w:rsid w:val="09A6701A"/>
    <w:rsid w:val="09FA4D9B"/>
    <w:rsid w:val="0A126DFF"/>
    <w:rsid w:val="0A2032A3"/>
    <w:rsid w:val="0A7402A4"/>
    <w:rsid w:val="0B1F0E32"/>
    <w:rsid w:val="0BFC1173"/>
    <w:rsid w:val="0C6C4794"/>
    <w:rsid w:val="0CA8290A"/>
    <w:rsid w:val="0D10137A"/>
    <w:rsid w:val="0D132C19"/>
    <w:rsid w:val="0D35B1ED"/>
    <w:rsid w:val="0D955AAF"/>
    <w:rsid w:val="0DA970D9"/>
    <w:rsid w:val="0DD80623"/>
    <w:rsid w:val="0DE07E2B"/>
    <w:rsid w:val="0E33456A"/>
    <w:rsid w:val="0EA55AF2"/>
    <w:rsid w:val="0F1D7D7F"/>
    <w:rsid w:val="0F5041A3"/>
    <w:rsid w:val="0F98263C"/>
    <w:rsid w:val="0FD77F2D"/>
    <w:rsid w:val="10014FAA"/>
    <w:rsid w:val="101860EC"/>
    <w:rsid w:val="10213565"/>
    <w:rsid w:val="10C055FF"/>
    <w:rsid w:val="11671785"/>
    <w:rsid w:val="11772AA4"/>
    <w:rsid w:val="118107EC"/>
    <w:rsid w:val="11BB6C8F"/>
    <w:rsid w:val="11D31DA9"/>
    <w:rsid w:val="11D81D3B"/>
    <w:rsid w:val="125B2962"/>
    <w:rsid w:val="129E2F84"/>
    <w:rsid w:val="12BD638D"/>
    <w:rsid w:val="12EF558E"/>
    <w:rsid w:val="13C62793"/>
    <w:rsid w:val="13D50BC4"/>
    <w:rsid w:val="13FA243C"/>
    <w:rsid w:val="14022904"/>
    <w:rsid w:val="14515DD5"/>
    <w:rsid w:val="147B72A9"/>
    <w:rsid w:val="152F2A07"/>
    <w:rsid w:val="15F02D77"/>
    <w:rsid w:val="161F618A"/>
    <w:rsid w:val="165E0673"/>
    <w:rsid w:val="16881F81"/>
    <w:rsid w:val="168B3820"/>
    <w:rsid w:val="16BB723D"/>
    <w:rsid w:val="16D43419"/>
    <w:rsid w:val="16E82A20"/>
    <w:rsid w:val="17971FF4"/>
    <w:rsid w:val="17BE7C25"/>
    <w:rsid w:val="17DE3E23"/>
    <w:rsid w:val="17EE050A"/>
    <w:rsid w:val="18297794"/>
    <w:rsid w:val="18512847"/>
    <w:rsid w:val="185F6D12"/>
    <w:rsid w:val="186504BB"/>
    <w:rsid w:val="19033B41"/>
    <w:rsid w:val="192F2B88"/>
    <w:rsid w:val="1938089F"/>
    <w:rsid w:val="19A445FC"/>
    <w:rsid w:val="19C15306"/>
    <w:rsid w:val="19D41982"/>
    <w:rsid w:val="19EC2827"/>
    <w:rsid w:val="1A4268EB"/>
    <w:rsid w:val="1B0B673D"/>
    <w:rsid w:val="1B2E6E70"/>
    <w:rsid w:val="1B495A57"/>
    <w:rsid w:val="1B4D5548"/>
    <w:rsid w:val="1B7D550C"/>
    <w:rsid w:val="1B9A289D"/>
    <w:rsid w:val="1BAC6712"/>
    <w:rsid w:val="1BE8440E"/>
    <w:rsid w:val="1C99656B"/>
    <w:rsid w:val="1CB3587E"/>
    <w:rsid w:val="1CC161ED"/>
    <w:rsid w:val="1D0977D1"/>
    <w:rsid w:val="1D155CEE"/>
    <w:rsid w:val="1D337D33"/>
    <w:rsid w:val="1DF64EF3"/>
    <w:rsid w:val="1E0068A1"/>
    <w:rsid w:val="1E4E1D03"/>
    <w:rsid w:val="1E740ACF"/>
    <w:rsid w:val="1F9C047B"/>
    <w:rsid w:val="1FF35744"/>
    <w:rsid w:val="1FF6BC77"/>
    <w:rsid w:val="20E9477C"/>
    <w:rsid w:val="21705738"/>
    <w:rsid w:val="218E68BA"/>
    <w:rsid w:val="21962A9E"/>
    <w:rsid w:val="21AE7C77"/>
    <w:rsid w:val="220821C8"/>
    <w:rsid w:val="227930C6"/>
    <w:rsid w:val="227D2BB6"/>
    <w:rsid w:val="22BC3C41"/>
    <w:rsid w:val="22F10EAE"/>
    <w:rsid w:val="23290648"/>
    <w:rsid w:val="23860B96"/>
    <w:rsid w:val="23897339"/>
    <w:rsid w:val="23FC5D5D"/>
    <w:rsid w:val="240371BF"/>
    <w:rsid w:val="241E5CD3"/>
    <w:rsid w:val="242B18E6"/>
    <w:rsid w:val="248875F1"/>
    <w:rsid w:val="24DB0068"/>
    <w:rsid w:val="254C061E"/>
    <w:rsid w:val="25983863"/>
    <w:rsid w:val="25B61F3B"/>
    <w:rsid w:val="260F557C"/>
    <w:rsid w:val="265D1C24"/>
    <w:rsid w:val="26F267F8"/>
    <w:rsid w:val="276E51C4"/>
    <w:rsid w:val="27871DE1"/>
    <w:rsid w:val="27BC5F2F"/>
    <w:rsid w:val="281408E2"/>
    <w:rsid w:val="282B6C11"/>
    <w:rsid w:val="282E4770"/>
    <w:rsid w:val="289C7B0E"/>
    <w:rsid w:val="28D76D98"/>
    <w:rsid w:val="28EB63A0"/>
    <w:rsid w:val="28F72F97"/>
    <w:rsid w:val="290B259E"/>
    <w:rsid w:val="29FD04D3"/>
    <w:rsid w:val="2A1A518F"/>
    <w:rsid w:val="2A4E4E38"/>
    <w:rsid w:val="2A6660C1"/>
    <w:rsid w:val="2A9C2048"/>
    <w:rsid w:val="2AAD6003"/>
    <w:rsid w:val="2B485D2C"/>
    <w:rsid w:val="2B592D66"/>
    <w:rsid w:val="2B6C37C8"/>
    <w:rsid w:val="2B8E1990"/>
    <w:rsid w:val="2B942D1F"/>
    <w:rsid w:val="2BB30548"/>
    <w:rsid w:val="2BFF7BC6"/>
    <w:rsid w:val="2C8A61B5"/>
    <w:rsid w:val="2C9254B0"/>
    <w:rsid w:val="2CB573F1"/>
    <w:rsid w:val="2CCE400E"/>
    <w:rsid w:val="2D2E01CF"/>
    <w:rsid w:val="2D542766"/>
    <w:rsid w:val="2D9B2143"/>
    <w:rsid w:val="2DB85DC1"/>
    <w:rsid w:val="2DBF0527"/>
    <w:rsid w:val="2DF04E50"/>
    <w:rsid w:val="2E9545B0"/>
    <w:rsid w:val="2F040D46"/>
    <w:rsid w:val="2F06713D"/>
    <w:rsid w:val="2F57478F"/>
    <w:rsid w:val="2FA73A0A"/>
    <w:rsid w:val="2FAE5751"/>
    <w:rsid w:val="2FB1A395"/>
    <w:rsid w:val="2FD9A7D8"/>
    <w:rsid w:val="30274161"/>
    <w:rsid w:val="30B31E99"/>
    <w:rsid w:val="312E32CE"/>
    <w:rsid w:val="319F7F4E"/>
    <w:rsid w:val="321B2544"/>
    <w:rsid w:val="32A7158A"/>
    <w:rsid w:val="32FB4A31"/>
    <w:rsid w:val="3304709D"/>
    <w:rsid w:val="340B6F6C"/>
    <w:rsid w:val="34281836"/>
    <w:rsid w:val="349D6851"/>
    <w:rsid w:val="34FF745B"/>
    <w:rsid w:val="35AF0E81"/>
    <w:rsid w:val="35BA6CAF"/>
    <w:rsid w:val="364D14C1"/>
    <w:rsid w:val="36AA5135"/>
    <w:rsid w:val="36B349A1"/>
    <w:rsid w:val="36B83D65"/>
    <w:rsid w:val="36BE0DA7"/>
    <w:rsid w:val="36C02C1A"/>
    <w:rsid w:val="36DD557A"/>
    <w:rsid w:val="36E76A51"/>
    <w:rsid w:val="37195C13"/>
    <w:rsid w:val="376B6AA6"/>
    <w:rsid w:val="376D39B2"/>
    <w:rsid w:val="37B85D27"/>
    <w:rsid w:val="37D72911"/>
    <w:rsid w:val="37E16F03"/>
    <w:rsid w:val="37F53A3B"/>
    <w:rsid w:val="389B6C89"/>
    <w:rsid w:val="38D469F0"/>
    <w:rsid w:val="39585DA4"/>
    <w:rsid w:val="39627CCD"/>
    <w:rsid w:val="397BAF1F"/>
    <w:rsid w:val="3AB79AF3"/>
    <w:rsid w:val="3ACF167E"/>
    <w:rsid w:val="3AE80991"/>
    <w:rsid w:val="3B7EF35A"/>
    <w:rsid w:val="3B9FDB6C"/>
    <w:rsid w:val="3BBA0580"/>
    <w:rsid w:val="3BD218D5"/>
    <w:rsid w:val="3BF5BC2F"/>
    <w:rsid w:val="3C157564"/>
    <w:rsid w:val="3C9621E6"/>
    <w:rsid w:val="3CEBA265"/>
    <w:rsid w:val="3D2C1009"/>
    <w:rsid w:val="3D424389"/>
    <w:rsid w:val="3D7A780D"/>
    <w:rsid w:val="3D840E45"/>
    <w:rsid w:val="3D98207C"/>
    <w:rsid w:val="3D9B0D99"/>
    <w:rsid w:val="3DEE7CF3"/>
    <w:rsid w:val="3DF02244"/>
    <w:rsid w:val="3E044582"/>
    <w:rsid w:val="3E46434D"/>
    <w:rsid w:val="3E6D7B2B"/>
    <w:rsid w:val="3E720C9E"/>
    <w:rsid w:val="3E78745D"/>
    <w:rsid w:val="3E815385"/>
    <w:rsid w:val="3EBA43F3"/>
    <w:rsid w:val="3EC6288C"/>
    <w:rsid w:val="3EEB0A50"/>
    <w:rsid w:val="3F715648"/>
    <w:rsid w:val="3F8522CD"/>
    <w:rsid w:val="3FF4CAE0"/>
    <w:rsid w:val="3FF7B227"/>
    <w:rsid w:val="40322DDA"/>
    <w:rsid w:val="40E54C45"/>
    <w:rsid w:val="40E67721"/>
    <w:rsid w:val="41047653"/>
    <w:rsid w:val="414C7ECC"/>
    <w:rsid w:val="41B17D2F"/>
    <w:rsid w:val="426B6130"/>
    <w:rsid w:val="42E163F2"/>
    <w:rsid w:val="4344504E"/>
    <w:rsid w:val="43465A4C"/>
    <w:rsid w:val="43A22696"/>
    <w:rsid w:val="43A407DF"/>
    <w:rsid w:val="43D441A9"/>
    <w:rsid w:val="43FD08B4"/>
    <w:rsid w:val="44224699"/>
    <w:rsid w:val="444A6219"/>
    <w:rsid w:val="44515BEA"/>
    <w:rsid w:val="44E268DA"/>
    <w:rsid w:val="44E65F41"/>
    <w:rsid w:val="453F7E5B"/>
    <w:rsid w:val="455273CF"/>
    <w:rsid w:val="45735F41"/>
    <w:rsid w:val="45A656D1"/>
    <w:rsid w:val="45B20519"/>
    <w:rsid w:val="45F4468E"/>
    <w:rsid w:val="460F14C8"/>
    <w:rsid w:val="463D4287"/>
    <w:rsid w:val="463F38AF"/>
    <w:rsid w:val="468772B0"/>
    <w:rsid w:val="46C423E7"/>
    <w:rsid w:val="473538AE"/>
    <w:rsid w:val="47C562E2"/>
    <w:rsid w:val="47C666DA"/>
    <w:rsid w:val="486A6C7A"/>
    <w:rsid w:val="488C32A4"/>
    <w:rsid w:val="490B5F77"/>
    <w:rsid w:val="49176D9B"/>
    <w:rsid w:val="495F2766"/>
    <w:rsid w:val="4A376EA8"/>
    <w:rsid w:val="4A3F28F2"/>
    <w:rsid w:val="4A627F82"/>
    <w:rsid w:val="4AC5484B"/>
    <w:rsid w:val="4B0E749A"/>
    <w:rsid w:val="4B4F25DA"/>
    <w:rsid w:val="4B8678A9"/>
    <w:rsid w:val="4BB52B12"/>
    <w:rsid w:val="4BDA0CFB"/>
    <w:rsid w:val="4BE068DB"/>
    <w:rsid w:val="4D3C0CCC"/>
    <w:rsid w:val="4D4E0B28"/>
    <w:rsid w:val="4D577224"/>
    <w:rsid w:val="4DBF1CEB"/>
    <w:rsid w:val="4DCE2B1A"/>
    <w:rsid w:val="4DE17BEE"/>
    <w:rsid w:val="4DF96CE5"/>
    <w:rsid w:val="4E744D1E"/>
    <w:rsid w:val="4EAB630A"/>
    <w:rsid w:val="4ECE2238"/>
    <w:rsid w:val="4F133DD7"/>
    <w:rsid w:val="4F833267"/>
    <w:rsid w:val="4FE9BD67"/>
    <w:rsid w:val="4FFB052F"/>
    <w:rsid w:val="50D91050"/>
    <w:rsid w:val="50EB4BD8"/>
    <w:rsid w:val="518A52F5"/>
    <w:rsid w:val="52F932E4"/>
    <w:rsid w:val="53000B16"/>
    <w:rsid w:val="53083A92"/>
    <w:rsid w:val="53177C0E"/>
    <w:rsid w:val="537E6D0A"/>
    <w:rsid w:val="539D0113"/>
    <w:rsid w:val="53AF27A2"/>
    <w:rsid w:val="53CA5514"/>
    <w:rsid w:val="53F74C96"/>
    <w:rsid w:val="54690487"/>
    <w:rsid w:val="55075B48"/>
    <w:rsid w:val="55142657"/>
    <w:rsid w:val="562763BA"/>
    <w:rsid w:val="567D422C"/>
    <w:rsid w:val="56D55E16"/>
    <w:rsid w:val="56E47B74"/>
    <w:rsid w:val="575C13EA"/>
    <w:rsid w:val="57BD3DD4"/>
    <w:rsid w:val="57C2283E"/>
    <w:rsid w:val="57FD440F"/>
    <w:rsid w:val="583628E4"/>
    <w:rsid w:val="585711D8"/>
    <w:rsid w:val="58BA59CD"/>
    <w:rsid w:val="597638E0"/>
    <w:rsid w:val="5A50198E"/>
    <w:rsid w:val="5A6E2809"/>
    <w:rsid w:val="5AF92295"/>
    <w:rsid w:val="5B041B67"/>
    <w:rsid w:val="5B3752F1"/>
    <w:rsid w:val="5B70506F"/>
    <w:rsid w:val="5B7420A1"/>
    <w:rsid w:val="5B791466"/>
    <w:rsid w:val="5BDD79E6"/>
    <w:rsid w:val="5BF561CA"/>
    <w:rsid w:val="5BFF5DFC"/>
    <w:rsid w:val="5C4952DC"/>
    <w:rsid w:val="5C8C6F77"/>
    <w:rsid w:val="5CD71FC4"/>
    <w:rsid w:val="5CF07506"/>
    <w:rsid w:val="5D1F11B5"/>
    <w:rsid w:val="5DAE1B18"/>
    <w:rsid w:val="5DE54B90"/>
    <w:rsid w:val="5DE7D9E5"/>
    <w:rsid w:val="5DEF259B"/>
    <w:rsid w:val="5E0C65C1"/>
    <w:rsid w:val="5E20206C"/>
    <w:rsid w:val="5E54196E"/>
    <w:rsid w:val="5EB629D1"/>
    <w:rsid w:val="5ECEC941"/>
    <w:rsid w:val="5F493CB7"/>
    <w:rsid w:val="5F9E76ED"/>
    <w:rsid w:val="5FBF9FF3"/>
    <w:rsid w:val="5FCD4E2C"/>
    <w:rsid w:val="5FD15F49"/>
    <w:rsid w:val="5FE60A2A"/>
    <w:rsid w:val="5FEF394A"/>
    <w:rsid w:val="5FF67715"/>
    <w:rsid w:val="60BD3BA3"/>
    <w:rsid w:val="60F375C4"/>
    <w:rsid w:val="61920923"/>
    <w:rsid w:val="621C6FEF"/>
    <w:rsid w:val="623600B0"/>
    <w:rsid w:val="62A576D3"/>
    <w:rsid w:val="62BF3928"/>
    <w:rsid w:val="633345F0"/>
    <w:rsid w:val="64173512"/>
    <w:rsid w:val="6449399F"/>
    <w:rsid w:val="647F5392"/>
    <w:rsid w:val="65AD4482"/>
    <w:rsid w:val="65E63B9C"/>
    <w:rsid w:val="664B1D71"/>
    <w:rsid w:val="6712234E"/>
    <w:rsid w:val="672B3A26"/>
    <w:rsid w:val="674A1F08"/>
    <w:rsid w:val="677FDD1E"/>
    <w:rsid w:val="67AA3209"/>
    <w:rsid w:val="681C4F0D"/>
    <w:rsid w:val="684D7F02"/>
    <w:rsid w:val="686F7E78"/>
    <w:rsid w:val="69046D0F"/>
    <w:rsid w:val="69236EB5"/>
    <w:rsid w:val="698D0931"/>
    <w:rsid w:val="6A5C2B4A"/>
    <w:rsid w:val="6A91248F"/>
    <w:rsid w:val="6A993CED"/>
    <w:rsid w:val="6A9C0CCD"/>
    <w:rsid w:val="6B053271"/>
    <w:rsid w:val="6B7E4876"/>
    <w:rsid w:val="6BC26511"/>
    <w:rsid w:val="6BCE6674"/>
    <w:rsid w:val="6C00528B"/>
    <w:rsid w:val="6C4A05C8"/>
    <w:rsid w:val="6C8742B8"/>
    <w:rsid w:val="6C8A170F"/>
    <w:rsid w:val="6CB54609"/>
    <w:rsid w:val="6D076E35"/>
    <w:rsid w:val="6D28698A"/>
    <w:rsid w:val="6D94212F"/>
    <w:rsid w:val="6D9739CD"/>
    <w:rsid w:val="6DBF5E93"/>
    <w:rsid w:val="6DFF077E"/>
    <w:rsid w:val="6E7E3605"/>
    <w:rsid w:val="6E7FDCC7"/>
    <w:rsid w:val="6ED6A62E"/>
    <w:rsid w:val="6EDC188F"/>
    <w:rsid w:val="6EE00B15"/>
    <w:rsid w:val="6F544B20"/>
    <w:rsid w:val="6F6FB3EB"/>
    <w:rsid w:val="6F784160"/>
    <w:rsid w:val="6F8731EA"/>
    <w:rsid w:val="6FBF496D"/>
    <w:rsid w:val="6FCE6052"/>
    <w:rsid w:val="6FD57C00"/>
    <w:rsid w:val="6FEFFFD8"/>
    <w:rsid w:val="6FF5CC65"/>
    <w:rsid w:val="6FFB47EC"/>
    <w:rsid w:val="6FFF034A"/>
    <w:rsid w:val="7027728A"/>
    <w:rsid w:val="70496804"/>
    <w:rsid w:val="70B54896"/>
    <w:rsid w:val="70E80020"/>
    <w:rsid w:val="7128150C"/>
    <w:rsid w:val="712A28F1"/>
    <w:rsid w:val="7143224B"/>
    <w:rsid w:val="715C0E4B"/>
    <w:rsid w:val="71B132B0"/>
    <w:rsid w:val="721750DD"/>
    <w:rsid w:val="72233669"/>
    <w:rsid w:val="724063EB"/>
    <w:rsid w:val="725105EF"/>
    <w:rsid w:val="72734D90"/>
    <w:rsid w:val="72BB4EF7"/>
    <w:rsid w:val="7332FE48"/>
    <w:rsid w:val="739C7F8F"/>
    <w:rsid w:val="73AB61DA"/>
    <w:rsid w:val="73AD73D5"/>
    <w:rsid w:val="73B6EB34"/>
    <w:rsid w:val="73ED4347"/>
    <w:rsid w:val="73EE60D5"/>
    <w:rsid w:val="73F95484"/>
    <w:rsid w:val="73FA497D"/>
    <w:rsid w:val="744731E5"/>
    <w:rsid w:val="74527205"/>
    <w:rsid w:val="74612CA8"/>
    <w:rsid w:val="74BBD01D"/>
    <w:rsid w:val="74E25E76"/>
    <w:rsid w:val="74E53270"/>
    <w:rsid w:val="74ED5379"/>
    <w:rsid w:val="74FC2395"/>
    <w:rsid w:val="75742F72"/>
    <w:rsid w:val="757944D2"/>
    <w:rsid w:val="75C77611"/>
    <w:rsid w:val="75DEEEC2"/>
    <w:rsid w:val="76432944"/>
    <w:rsid w:val="765260AE"/>
    <w:rsid w:val="76E3355F"/>
    <w:rsid w:val="76FF5125"/>
    <w:rsid w:val="776F6FFA"/>
    <w:rsid w:val="778769C8"/>
    <w:rsid w:val="77B00DA2"/>
    <w:rsid w:val="77DC22F5"/>
    <w:rsid w:val="77DE46D3"/>
    <w:rsid w:val="78FF6FF6"/>
    <w:rsid w:val="79086DAD"/>
    <w:rsid w:val="790F6B0E"/>
    <w:rsid w:val="7936053E"/>
    <w:rsid w:val="79974F09"/>
    <w:rsid w:val="79B17BC5"/>
    <w:rsid w:val="79D7FD79"/>
    <w:rsid w:val="79D83854"/>
    <w:rsid w:val="79EE5BA4"/>
    <w:rsid w:val="7A28432B"/>
    <w:rsid w:val="7A894339"/>
    <w:rsid w:val="7AFA6697"/>
    <w:rsid w:val="7AFF7572"/>
    <w:rsid w:val="7B6B692F"/>
    <w:rsid w:val="7B6C7DFB"/>
    <w:rsid w:val="7BA619AB"/>
    <w:rsid w:val="7BBFBED0"/>
    <w:rsid w:val="7BC3E394"/>
    <w:rsid w:val="7BFA3AA5"/>
    <w:rsid w:val="7C0E57A2"/>
    <w:rsid w:val="7C1F3737"/>
    <w:rsid w:val="7C6102C6"/>
    <w:rsid w:val="7C857813"/>
    <w:rsid w:val="7CA13F21"/>
    <w:rsid w:val="7CBFC87B"/>
    <w:rsid w:val="7CFE0F48"/>
    <w:rsid w:val="7D6B2EAC"/>
    <w:rsid w:val="7D7EC23E"/>
    <w:rsid w:val="7D811884"/>
    <w:rsid w:val="7D916348"/>
    <w:rsid w:val="7D9A72EE"/>
    <w:rsid w:val="7DFF0FE9"/>
    <w:rsid w:val="7E0230E5"/>
    <w:rsid w:val="7E156974"/>
    <w:rsid w:val="7E6E2528"/>
    <w:rsid w:val="7E8ADEBF"/>
    <w:rsid w:val="7E90249F"/>
    <w:rsid w:val="7EEE7C12"/>
    <w:rsid w:val="7EEF11D3"/>
    <w:rsid w:val="7F0971A6"/>
    <w:rsid w:val="7F3F679B"/>
    <w:rsid w:val="7F4FC4EF"/>
    <w:rsid w:val="7F517E80"/>
    <w:rsid w:val="7F5E4D54"/>
    <w:rsid w:val="7F6E0135"/>
    <w:rsid w:val="7FA30C79"/>
    <w:rsid w:val="7FA45820"/>
    <w:rsid w:val="7FAF8ABF"/>
    <w:rsid w:val="7FB7269E"/>
    <w:rsid w:val="7FC96657"/>
    <w:rsid w:val="7FD7406F"/>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DE5AE"/>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index 5"/>
    <w:basedOn w:val="1"/>
    <w:next w:val="1"/>
    <w:qFormat/>
    <w:uiPriority w:val="0"/>
    <w:pPr>
      <w:ind w:left="1680"/>
    </w:pPr>
  </w:style>
  <w:style w:type="paragraph" w:styleId="7">
    <w:name w:val="Body Text"/>
    <w:basedOn w:val="1"/>
    <w:next w:val="8"/>
    <w:link w:val="29"/>
    <w:qFormat/>
    <w:uiPriority w:val="99"/>
    <w:pPr>
      <w:spacing w:beforeLines="30"/>
    </w:pPr>
    <w:rPr>
      <w:rFonts w:ascii="仿宋_GB2312" w:eastAsia="仿宋_GB2312"/>
      <w:kern w:val="0"/>
      <w:sz w:val="30"/>
    </w:rPr>
  </w:style>
  <w:style w:type="paragraph" w:styleId="8">
    <w:name w:val="Body Text First Indent"/>
    <w:basedOn w:val="7"/>
    <w:qFormat/>
    <w:uiPriority w:val="0"/>
    <w:pPr>
      <w:ind w:firstLine="420" w:firstLineChars="100"/>
    </w:pPr>
    <w:rPr>
      <w:kern w:val="0"/>
      <w:sz w:val="20"/>
      <w:szCs w:val="2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next w:val="1"/>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basedOn w:val="1"/>
    <w:next w:val="1"/>
    <w:qFormat/>
    <w:uiPriority w:val="0"/>
    <w:pPr>
      <w:ind w:left="200" w:leftChars="200" w:hanging="200" w:hangingChars="200"/>
    </w:pPr>
  </w:style>
  <w:style w:type="paragraph" w:styleId="18">
    <w:name w:val="toc 2"/>
    <w:basedOn w:val="1"/>
    <w:next w:val="1"/>
    <w:unhideWhenUsed/>
    <w:qFormat/>
    <w:uiPriority w:val="39"/>
    <w:pPr>
      <w:tabs>
        <w:tab w:val="right" w:leader="dot" w:pos="8296"/>
      </w:tabs>
      <w:ind w:left="420" w:leftChars="200"/>
    </w:pPr>
  </w:style>
  <w:style w:type="paragraph" w:styleId="19">
    <w:name w:val="Title"/>
    <w:qFormat/>
    <w:uiPriority w:val="0"/>
    <w:pPr>
      <w:spacing w:before="480" w:after="480" w:line="288" w:lineRule="auto"/>
      <w:ind w:left="0"/>
    </w:pPr>
    <w:rPr>
      <w:rFonts w:ascii="Arial" w:hAnsi="Arial" w:eastAsia="等线" w:cs="Arial"/>
      <w:b/>
      <w:bCs/>
      <w:sz w:val="52"/>
      <w:szCs w:val="52"/>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Header Char"/>
    <w:basedOn w:val="21"/>
    <w:semiHidden/>
    <w:qFormat/>
    <w:uiPriority w:val="99"/>
    <w:rPr>
      <w:rFonts w:ascii="Times New Roman" w:hAnsi="Times New Roman"/>
      <w:sz w:val="18"/>
      <w:szCs w:val="18"/>
    </w:rPr>
  </w:style>
  <w:style w:type="character" w:customStyle="1" w:styleId="25">
    <w:name w:val="页眉 Char"/>
    <w:link w:val="14"/>
    <w:semiHidden/>
    <w:qFormat/>
    <w:locked/>
    <w:uiPriority w:val="99"/>
    <w:rPr>
      <w:sz w:val="18"/>
    </w:rPr>
  </w:style>
  <w:style w:type="character" w:customStyle="1" w:styleId="26">
    <w:name w:val="Footer Char"/>
    <w:basedOn w:val="21"/>
    <w:semiHidden/>
    <w:qFormat/>
    <w:uiPriority w:val="99"/>
    <w:rPr>
      <w:rFonts w:ascii="Times New Roman" w:hAnsi="Times New Roman"/>
      <w:sz w:val="18"/>
      <w:szCs w:val="18"/>
    </w:rPr>
  </w:style>
  <w:style w:type="character" w:customStyle="1" w:styleId="27">
    <w:name w:val="页脚 Char"/>
    <w:link w:val="13"/>
    <w:qFormat/>
    <w:locked/>
    <w:uiPriority w:val="99"/>
    <w:rPr>
      <w:sz w:val="18"/>
    </w:rPr>
  </w:style>
  <w:style w:type="character" w:customStyle="1" w:styleId="28">
    <w:name w:val="Body Text Char"/>
    <w:basedOn w:val="21"/>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1"/>
    <w:link w:val="3"/>
    <w:qFormat/>
    <w:uiPriority w:val="9"/>
    <w:rPr>
      <w:rFonts w:ascii="Times New Roman" w:hAnsi="Times New Roman"/>
      <w:b/>
      <w:bCs/>
      <w:kern w:val="44"/>
      <w:sz w:val="44"/>
      <w:szCs w:val="44"/>
    </w:rPr>
  </w:style>
  <w:style w:type="character" w:customStyle="1" w:styleId="33">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1"/>
    <w:link w:val="12"/>
    <w:semiHidden/>
    <w:qFormat/>
    <w:uiPriority w:val="99"/>
    <w:rPr>
      <w:rFonts w:ascii="Times New Roman" w:hAnsi="Times New Roman"/>
      <w:kern w:val="2"/>
      <w:sz w:val="18"/>
      <w:szCs w:val="18"/>
    </w:rPr>
  </w:style>
  <w:style w:type="character" w:customStyle="1" w:styleId="36">
    <w:name w:val="标题 3 Char"/>
    <w:basedOn w:val="21"/>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4494;&#20449;\&#24494;&#20449;\xwechat_files\wxid_p3ltf72van2822_9da0\msg\file\2026-09\&#22270;&#2663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rPr>
              <a:t>收、支决算总计变动情况图（万元）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'[图标(1).xls]Sheet1'!$B$4:$B$5</c:f>
              <c:strCache>
                <c:ptCount val="2"/>
                <c:pt idx="0">
                  <c:v>2024年</c:v>
                </c:pt>
                <c:pt idx="1">
                  <c:v>2025年</c:v>
                </c:pt>
              </c:strCache>
            </c:strRef>
          </c:cat>
          <c:val>
            <c:numRef>
              <c:f>'[图标(1).xls]Sheet1'!$C$4:$C$5</c:f>
              <c:numCache>
                <c:formatCode>General</c:formatCode>
                <c:ptCount val="2"/>
                <c:pt idx="0">
                  <c:v>137.87</c:v>
                </c:pt>
                <c:pt idx="1">
                  <c:v>265.03</c:v>
                </c:pt>
              </c:numCache>
            </c:numRef>
          </c:val>
        </c:ser>
        <c:dLbls>
          <c:showLegendKey val="0"/>
          <c:showVal val="0"/>
          <c:showCatName val="0"/>
          <c:showSerName val="0"/>
          <c:showPercent val="0"/>
          <c:showBubbleSize val="0"/>
        </c:dLbls>
        <c:gapWidth val="246"/>
        <c:overlap val="-28"/>
        <c:axId val="372123690"/>
        <c:axId val="525650634"/>
      </c:barChart>
      <c:catAx>
        <c:axId val="372123690"/>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25650634"/>
        <c:crosses val="autoZero"/>
        <c:auto val="1"/>
        <c:lblAlgn val="ctr"/>
        <c:lblOffset val="100"/>
        <c:noMultiLvlLbl val="0"/>
      </c:catAx>
      <c:valAx>
        <c:axId val="525650634"/>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72123690"/>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收入决算结构图（万元）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rgbClr val="4F81BD"/>
              </a:solidFill>
              <a:ln>
                <a:solidFill>
                  <a:srgbClr val="FFFFFF"/>
                </a:solidFill>
              </a:ln>
              <a:effectLst/>
            </c:spPr>
          </c:dPt>
          <c:dPt>
            <c:idx val="1"/>
            <c:bubble3D val="0"/>
            <c:explosion val="0"/>
            <c:spPr>
              <a:solidFill>
                <a:srgbClr val="C0504D"/>
              </a:solidFill>
              <a:ln>
                <a:solidFill>
                  <a:srgbClr val="FFFFFF"/>
                </a:solidFill>
              </a:ln>
              <a:effectLst/>
            </c:spPr>
          </c:dPt>
          <c:dPt>
            <c:idx val="2"/>
            <c:bubble3D val="0"/>
            <c:explosion val="0"/>
            <c:spPr>
              <a:solidFill>
                <a:srgbClr val="9BBB59"/>
              </a:solidFill>
              <a:ln>
                <a:solidFill>
                  <a:srgbClr val="FFFFFF"/>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'[图标(1).xls]Sheet2'!$B$7:$B$9</c:f>
              <c:strCache>
                <c:ptCount val="3"/>
                <c:pt idx="0">
                  <c:v>一般公共预算财政拨款收入</c:v>
                </c:pt>
                <c:pt idx="1">
                  <c:v>政府性基金预算财政拨款收入</c:v>
                </c:pt>
              </c:strCache>
            </c:strRef>
          </c:cat>
          <c:val>
            <c:numRef>
              <c:f>'[图标(1).xls]Sheet2'!$C$7:$C$9</c:f>
              <c:numCache>
                <c:formatCode>General</c:formatCode>
                <c:ptCount val="3"/>
                <c:pt idx="0">
                  <c:v>90.51</c:v>
                </c:pt>
                <c:pt idx="1">
                  <c:v>174.52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0748862897985705"/>
          <c:y val="0.18892694063926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支出决算结构图（万元）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rgbClr val="4F81BD"/>
              </a:solidFill>
              <a:ln>
                <a:solidFill>
                  <a:srgbClr val="FFFFFF"/>
                </a:solidFill>
              </a:ln>
              <a:effectLst/>
            </c:spPr>
          </c:dPt>
          <c:dPt>
            <c:idx val="1"/>
            <c:bubble3D val="0"/>
            <c:explosion val="0"/>
            <c:spPr>
              <a:solidFill>
                <a:srgbClr val="C0504D"/>
              </a:solidFill>
              <a:ln>
                <a:solidFill>
                  <a:srgbClr val="FFFFFF"/>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'[图标(1).xls]Sheet3'!$A$6:$A$7</c:f>
              <c:strCache>
                <c:ptCount val="2"/>
                <c:pt idx="0">
                  <c:v>基本支出</c:v>
                </c:pt>
                <c:pt idx="1">
                  <c:v>项目支出</c:v>
                </c:pt>
              </c:strCache>
            </c:strRef>
          </c:cat>
          <c:val>
            <c:numRef>
              <c:f>'[图标(1).xls]Sheet3'!$B$6:$B$7</c:f>
              <c:numCache>
                <c:formatCode>General</c:formatCode>
                <c:ptCount val="2"/>
                <c:pt idx="0">
                  <c:v>90.51</c:v>
                </c:pt>
                <c:pt idx="1">
                  <c:v>174.52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财政拨款收、支决算总计变动情况（万元）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'[图标(1).xls]Sheet1'!$B$10:$B$11</c:f>
              <c:strCache>
                <c:ptCount val="2"/>
                <c:pt idx="0">
                  <c:v>2024年</c:v>
                </c:pt>
                <c:pt idx="1">
                  <c:v>2025年</c:v>
                </c:pt>
              </c:strCache>
            </c:strRef>
          </c:cat>
          <c:val>
            <c:numRef>
              <c:f>'[图标(1).xls]Sheet1'!$C$10:$C$11</c:f>
              <c:numCache>
                <c:formatCode>General</c:formatCode>
                <c:ptCount val="2"/>
                <c:pt idx="0">
                  <c:v>137.87</c:v>
                </c:pt>
                <c:pt idx="1">
                  <c:v>265.03</c:v>
                </c:pt>
              </c:numCache>
            </c:numRef>
          </c:val>
        </c:ser>
        <c:dLbls>
          <c:showLegendKey val="0"/>
          <c:showVal val="0"/>
          <c:showCatName val="0"/>
          <c:showSerName val="0"/>
          <c:showPercent val="0"/>
          <c:showBubbleSize val="0"/>
        </c:dLbls>
        <c:gapWidth val="246"/>
        <c:overlap val="-28"/>
        <c:axId val="104858212"/>
        <c:axId val="165379682"/>
      </c:barChart>
      <c:catAx>
        <c:axId val="10485821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65379682"/>
        <c:crosses val="autoZero"/>
        <c:auto val="1"/>
        <c:lblAlgn val="ctr"/>
        <c:lblOffset val="100"/>
        <c:noMultiLvlLbl val="0"/>
      </c:catAx>
      <c:valAx>
        <c:axId val="165379682"/>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4858212"/>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一般公共预算财政拨款支出决算变动情况（万元）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888157894736842"/>
          <c:y val="0.03125"/>
        </c:manualLayout>
      </c:layout>
      <c:overlay val="0"/>
      <c:spPr>
        <a:noFill/>
        <a:ln>
          <a:noFill/>
        </a:ln>
        <a:effectLst/>
      </c:spPr>
    </c:title>
    <c:autoTitleDeleted val="0"/>
    <c:plotArea>
      <c:layout>
        <c:manualLayout>
          <c:layoutTarget val="inner"/>
          <c:xMode val="edge"/>
          <c:yMode val="edge"/>
          <c:x val="0.0838548964658259"/>
          <c:y val="0.243603133159269"/>
          <c:w val="0.881893196325704"/>
          <c:h val="0.587049608355091"/>
        </c:manualLayout>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'[图标(1).xls]Sheet1'!$J$7:$J$8</c:f>
              <c:strCache>
                <c:ptCount val="2"/>
                <c:pt idx="0">
                  <c:v>2024年</c:v>
                </c:pt>
                <c:pt idx="1">
                  <c:v>2025年</c:v>
                </c:pt>
              </c:strCache>
            </c:strRef>
          </c:cat>
          <c:val>
            <c:numRef>
              <c:f>'[图标(1).xls]Sheet1'!$K$7:$K$8</c:f>
              <c:numCache>
                <c:formatCode>General</c:formatCode>
                <c:ptCount val="2"/>
                <c:pt idx="0">
                  <c:v>137.87</c:v>
                </c:pt>
                <c:pt idx="1">
                  <c:v>90.51</c:v>
                </c:pt>
              </c:numCache>
            </c:numRef>
          </c:val>
        </c:ser>
        <c:dLbls>
          <c:showLegendKey val="0"/>
          <c:showVal val="0"/>
          <c:showCatName val="0"/>
          <c:showSerName val="0"/>
          <c:showPercent val="0"/>
          <c:showBubbleSize val="0"/>
        </c:dLbls>
        <c:gapWidth val="246"/>
        <c:overlap val="-28"/>
        <c:axId val="844037714"/>
        <c:axId val="506596998"/>
      </c:barChart>
      <c:catAx>
        <c:axId val="844037714"/>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06596998"/>
        <c:crosses val="autoZero"/>
        <c:auto val="1"/>
        <c:lblAlgn val="ctr"/>
        <c:lblOffset val="100"/>
        <c:noMultiLvlLbl val="0"/>
      </c:catAx>
      <c:valAx>
        <c:axId val="506596998"/>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84403771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一般公共预算财政拨款支出决算结构图（万元）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rgbClr val="4F81BD"/>
              </a:solidFill>
              <a:ln>
                <a:solidFill>
                  <a:srgbClr val="FFFFFF"/>
                </a:solidFill>
              </a:ln>
              <a:effectLst/>
            </c:spPr>
          </c:dPt>
          <c:dPt>
            <c:idx val="1"/>
            <c:bubble3D val="0"/>
            <c:explosion val="0"/>
            <c:spPr>
              <a:solidFill>
                <a:srgbClr val="C0504D"/>
              </a:solidFill>
              <a:ln>
                <a:solidFill>
                  <a:srgbClr val="FFFFFF"/>
                </a:solidFill>
              </a:ln>
              <a:effectLst/>
            </c:spPr>
          </c:dPt>
          <c:dPt>
            <c:idx val="2"/>
            <c:bubble3D val="0"/>
            <c:explosion val="0"/>
            <c:spPr>
              <a:solidFill>
                <a:srgbClr val="9BBB59"/>
              </a:solidFill>
              <a:ln>
                <a:solidFill>
                  <a:srgbClr val="FFFFFF"/>
                </a:solidFill>
              </a:ln>
              <a:effectLst/>
            </c:spPr>
          </c:dPt>
          <c:dPt>
            <c:idx val="3"/>
            <c:bubble3D val="0"/>
            <c:explosion val="0"/>
            <c:spPr>
              <a:solidFill>
                <a:srgbClr val="8064A2"/>
              </a:solidFill>
              <a:ln>
                <a:solidFill>
                  <a:srgbClr val="FFFFFF"/>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'[图标(1).xls]Sheet5'!$D$3:$D$6</c:f>
              <c:strCache>
                <c:ptCount val="4"/>
                <c:pt idx="0">
                  <c:v>社会保障和就业支出</c:v>
                </c:pt>
                <c:pt idx="1">
                  <c:v>卫生健康支出</c:v>
                </c:pt>
                <c:pt idx="2">
                  <c:v>交通运输支出</c:v>
                </c:pt>
                <c:pt idx="3">
                  <c:v>住房保障支出</c:v>
                </c:pt>
              </c:strCache>
            </c:strRef>
          </c:cat>
          <c:val>
            <c:numRef>
              <c:f>'[图标(1).xls]Sheet5'!$E$3:$E$6</c:f>
              <c:numCache>
                <c:formatCode>General</c:formatCode>
                <c:ptCount val="4"/>
                <c:pt idx="0">
                  <c:v>11.08</c:v>
                </c:pt>
                <c:pt idx="1">
                  <c:v>4.56</c:v>
                </c:pt>
                <c:pt idx="2">
                  <c:v>68.64</c:v>
                </c:pt>
                <c:pt idx="3">
                  <c:v>6.23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“三公”经费财政拨款支出结构（万元）</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3176808816483"/>
          <c:y val="0.0252596126859388"/>
        </c:manualLayout>
      </c:layout>
      <c:overlay val="0"/>
      <c:spPr>
        <a:noFill/>
        <a:ln>
          <a:noFill/>
        </a:ln>
        <a:effectLst/>
      </c:spPr>
    </c:title>
    <c:autoTitleDeleted val="0"/>
    <c:plotArea>
      <c:layout/>
      <c:pieChart>
        <c:varyColors val="1"/>
        <c:ser>
          <c:idx val="0"/>
          <c:order val="0"/>
          <c:explosion val="0"/>
          <c:dPt>
            <c:idx val="0"/>
            <c:bubble3D val="0"/>
            <c:explosion val="0"/>
            <c:spPr>
              <a:solidFill>
                <a:srgbClr val="4F81BD"/>
              </a:solidFill>
              <a:ln>
                <a:solidFill>
                  <a:srgbClr val="FFFFFF"/>
                </a:solidFill>
              </a:ln>
              <a:effectLst/>
            </c:spPr>
          </c:dPt>
          <c:dPt>
            <c:idx val="1"/>
            <c:bubble3D val="0"/>
            <c:explosion val="0"/>
            <c:spPr>
              <a:solidFill>
                <a:srgbClr val="C0504D"/>
              </a:solidFill>
              <a:ln>
                <a:solidFill>
                  <a:srgbClr val="FFFFFF"/>
                </a:solidFill>
              </a:ln>
              <a:effectLst/>
            </c:spPr>
          </c:dPt>
          <c:dPt>
            <c:idx val="2"/>
            <c:bubble3D val="0"/>
            <c:explosion val="0"/>
            <c:spPr>
              <a:solidFill>
                <a:srgbClr val="9BBB59"/>
              </a:solidFill>
              <a:ln>
                <a:solidFill>
                  <a:srgbClr val="FFFFFF"/>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'[图标(1).xls]Sheet6'!$B$14:$B$16</c:f>
              <c:strCache>
                <c:ptCount val="3"/>
                <c:pt idx="0">
                  <c:v>因公出国（境）费支出</c:v>
                </c:pt>
                <c:pt idx="1">
                  <c:v>公务用车购置及运行维护费支出</c:v>
                </c:pt>
                <c:pt idx="2">
                  <c:v>公务接待费支出</c:v>
                </c:pt>
              </c:strCache>
            </c:strRef>
          </c:cat>
          <c:val>
            <c:numRef>
              <c:f>'[图标(1).xls]Sheet6'!$C$14:$C$16</c:f>
              <c:numCache>
                <c:formatCode>General</c:formatCode>
                <c:ptCount val="3"/>
                <c:pt idx="1">
                  <c:v>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8478</Words>
  <Characters>9334</Characters>
  <Lines>61</Lines>
  <Paragraphs>17</Paragraphs>
  <TotalTime>1</TotalTime>
  <ScaleCrop>false</ScaleCrop>
  <LinksUpToDate>false</LinksUpToDate>
  <CharactersWithSpaces>9396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2026-09-11T09:52:18Z</cp:lastPrinted>
  <dcterms:modified xsi:type="dcterms:W3CDTF">2026-09-11T09:52:44Z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3BF536824C220DA3E40E8B68BA118B1C_42</vt:lpwstr>
  </property>
  <property fmtid="{D5CDD505-2E9C-101B-9397-08002B2CF9AE}" pid="4" name="KSOTemplateDocerSaveRecord">
    <vt:lpwstr>eyJoZGlkIjoiMjMzYjE2ODUyNmI5NmZlZDY4NmZhZjBkYzExMmZmNzYiLCJ1c2VySWQiOiI3OTkzMjg5MDQifQ==</vt:lpwstr>
  </property>
</Properties>
</file>