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outlineLvl w:val="0"/>
        <w:rPr>
          <w:rFonts w:ascii="方正小标宋简体" w:hAnsi="宋体" w:eastAsia="方正小标宋简体"/>
          <w:color w:val="000000"/>
          <w:sz w:val="72"/>
          <w:szCs w:val="72"/>
        </w:rPr>
      </w:pPr>
      <w:bookmarkStart w:id="0" w:name="_Toc15306267"/>
    </w:p>
    <w:p>
      <w:pPr>
        <w:spacing w:line="576" w:lineRule="exact"/>
        <w:jc w:val="center"/>
        <w:outlineLvl w:val="0"/>
        <w:rPr>
          <w:rFonts w:ascii="方正小标宋简体" w:hAnsi="宋体" w:eastAsia="方正小标宋简体"/>
          <w:color w:val="000000"/>
          <w:sz w:val="72"/>
          <w:szCs w:val="72"/>
        </w:rPr>
      </w:pPr>
    </w:p>
    <w:p>
      <w:pPr>
        <w:spacing w:line="576" w:lineRule="exact"/>
        <w:jc w:val="center"/>
        <w:outlineLvl w:val="0"/>
        <w:rPr>
          <w:rFonts w:ascii="方正小标宋简体" w:hAnsi="宋体" w:eastAsia="方正小标宋简体"/>
          <w:color w:val="000000"/>
          <w:sz w:val="72"/>
          <w:szCs w:val="72"/>
        </w:rPr>
      </w:pPr>
    </w:p>
    <w:p>
      <w:pPr>
        <w:spacing w:line="576"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color w:val="000000"/>
          <w:sz w:val="44"/>
          <w:szCs w:val="44"/>
        </w:rPr>
      </w:pPr>
      <w:bookmarkStart w:id="1" w:name="_Toc15396475"/>
      <w:bookmarkStart w:id="2" w:name="_Toc15377425"/>
      <w:bookmarkStart w:id="3" w:name="_Toc15396597"/>
      <w:bookmarkStart w:id="4" w:name="_Toc15378441"/>
      <w:bookmarkStart w:id="5" w:name="_Toc15377193"/>
      <w:r>
        <w:rPr>
          <w:rFonts w:ascii="黑体" w:hAnsi="黑体" w:eastAsia="黑体"/>
          <w:color w:val="000000"/>
          <w:sz w:val="44"/>
          <w:szCs w:val="44"/>
        </w:rPr>
        <w:t>201</w:t>
      </w:r>
      <w:r>
        <w:rPr>
          <w:rFonts w:hint="eastAsia" w:ascii="黑体" w:hAnsi="黑体" w:eastAsia="黑体"/>
          <w:color w:val="000000"/>
          <w:sz w:val="44"/>
          <w:szCs w:val="44"/>
        </w:rPr>
        <w:t>9</w:t>
      </w:r>
      <w:r>
        <w:rPr>
          <w:rFonts w:hint="eastAsia" w:ascii="方正小标宋简体" w:hAnsi="宋体" w:eastAsia="方正小标宋简体"/>
          <w:color w:val="000000"/>
          <w:sz w:val="44"/>
          <w:szCs w:val="44"/>
        </w:rPr>
        <w:t>年度</w:t>
      </w:r>
      <w:bookmarkEnd w:id="1"/>
      <w:bookmarkEnd w:id="2"/>
      <w:bookmarkEnd w:id="3"/>
      <w:bookmarkEnd w:id="4"/>
      <w:bookmarkEnd w:id="5"/>
    </w:p>
    <w:p>
      <w:pPr>
        <w:adjustRightInd w:val="0"/>
        <w:snapToGrid w:val="0"/>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598"/>
      <w:bookmarkStart w:id="9" w:name="_Toc15377194"/>
      <w:bookmarkStart w:id="10" w:name="_Toc15396476"/>
      <w:r>
        <w:rPr>
          <w:rFonts w:hint="eastAsia" w:ascii="方正小标宋简体" w:hAnsi="宋体" w:eastAsia="方正小标宋简体"/>
          <w:color w:val="000000"/>
          <w:sz w:val="44"/>
          <w:szCs w:val="44"/>
        </w:rPr>
        <w:t>四川省阿坝州</w:t>
      </w:r>
      <w:bookmarkEnd w:id="0"/>
      <w:bookmarkStart w:id="11" w:name="_Toc15306268"/>
      <w:r>
        <w:rPr>
          <w:rFonts w:hint="eastAsia" w:ascii="方正小标宋简体" w:hAnsi="宋体" w:eastAsia="方正小标宋简体"/>
          <w:color w:val="000000"/>
          <w:sz w:val="44"/>
          <w:szCs w:val="44"/>
        </w:rPr>
        <w:t>茂县公务服务中心决算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autoSpaceDE w:val="0"/>
        <w:autoSpaceDN w:val="0"/>
        <w:adjustRightInd w:val="0"/>
        <w:spacing w:line="576" w:lineRule="exact"/>
        <w:ind w:firstLine="1276"/>
        <w:jc w:val="left"/>
        <w:rPr>
          <w:rFonts w:eastAsia="仿宋_GB2312"/>
          <w:sz w:val="32"/>
          <w:szCs w:val="32"/>
        </w:rPr>
      </w:pPr>
      <w:r>
        <w:rPr>
          <w:rFonts w:hint="eastAsia" w:ascii="仿宋_GB2312" w:hAnsi="Calibri" w:eastAsia="仿宋_GB2312" w:cs="仿宋_GB2312"/>
          <w:sz w:val="32"/>
          <w:szCs w:val="32"/>
        </w:rPr>
        <w:t>保密审查情况：</w:t>
      </w:r>
    </w:p>
    <w:p>
      <w:pPr>
        <w:autoSpaceDE w:val="0"/>
        <w:autoSpaceDN w:val="0"/>
        <w:adjustRightInd w:val="0"/>
        <w:spacing w:line="576" w:lineRule="exact"/>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spacing w:line="576" w:lineRule="exact"/>
        <w:jc w:val="center"/>
        <w:rPr>
          <w:rFonts w:ascii="方正小标宋简体" w:hAnsi="宋体" w:eastAsia="方正小标宋简体"/>
          <w:sz w:val="36"/>
          <w:szCs w:val="36"/>
        </w:rPr>
      </w:pPr>
    </w:p>
    <w:p>
      <w:pPr>
        <w:widowControl/>
        <w:spacing w:line="576" w:lineRule="exact"/>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spacing w:line="576" w:lineRule="exact"/>
        <w:jc w:val="center"/>
        <w:rPr>
          <w:rFonts w:ascii="黑体" w:hAnsi="黑体" w:eastAsia="黑体" w:cstheme="minorBidi"/>
          <w:sz w:val="28"/>
          <w:szCs w:val="28"/>
        </w:rPr>
      </w:pPr>
    </w:p>
    <w:sdt>
      <w:sdtPr>
        <w:rPr>
          <w:rFonts w:ascii="宋体" w:hAnsi="宋体" w:eastAsia="宋体"/>
          <w:sz w:val="21"/>
          <w:szCs w:val="24"/>
        </w:rPr>
        <w:id w:val="147472521"/>
        <w:docPartObj>
          <w:docPartGallery w:val="Table of Contents"/>
          <w:docPartUnique/>
        </w:docPartObj>
      </w:sdtPr>
      <w:sdtEndPr>
        <w:rPr>
          <w:rFonts w:ascii="黑体" w:hAnsi="黑体" w:eastAsia="黑体"/>
          <w:b/>
          <w:bCs/>
          <w:kern w:val="44"/>
          <w:sz w:val="44"/>
          <w:szCs w:val="44"/>
        </w:rPr>
      </w:sdtEndPr>
      <w:sdtContent>
        <w:p>
          <w:pPr>
            <w:pStyle w:val="10"/>
            <w:rPr>
              <w:rFonts w:ascii="仿宋_GB2312" w:hAnsi="仿宋_GB2312" w:eastAsia="仿宋_GB2312" w:cs="仿宋_GB2312"/>
              <w:sz w:val="32"/>
              <w:szCs w:val="32"/>
            </w:rPr>
          </w:pPr>
          <w:bookmarkStart w:id="12" w:name="_Toc15377196"/>
          <w:bookmarkStart w:id="13" w:name="_Toc15396599"/>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p>
        <w:p>
          <w:pPr>
            <w:pStyle w:val="10"/>
            <w:tabs>
              <w:tab w:val="right" w:leader="dot" w:pos="8306"/>
              <w:tab w:val="clear" w:pos="8296"/>
            </w:tabs>
            <w:rPr>
              <w:rFonts w:ascii="仿宋_GB2312" w:hAnsi="仿宋_GB2312" w:eastAsia="仿宋_GB2312" w:cs="仿宋_GB2312"/>
              <w:sz w:val="32"/>
              <w:szCs w:val="32"/>
            </w:rPr>
          </w:pPr>
          <w:r>
            <w:fldChar w:fldCharType="begin"/>
          </w:r>
          <w:r>
            <w:instrText xml:space="preserve"> HYPERLINK \l "_Toc8348" </w:instrText>
          </w:r>
          <w:r>
            <w:fldChar w:fldCharType="separate"/>
          </w:r>
          <w:r>
            <w:rPr>
              <w:rFonts w:hint="eastAsia" w:ascii="仿宋_GB2312" w:hAnsi="仿宋_GB2312" w:eastAsia="仿宋_GB2312" w:cs="仿宋_GB2312"/>
              <w:sz w:val="32"/>
              <w:szCs w:val="32"/>
            </w:rPr>
            <w:t>第一部分 部门概况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"_Toc29811" </w:instrText>
          </w:r>
          <w:r>
            <w:fldChar w:fldCharType="separate"/>
          </w:r>
          <w:r>
            <w:rPr>
              <w:rFonts w:hint="eastAsia" w:ascii="仿宋_GB2312" w:hAnsi="仿宋_GB2312" w:eastAsia="仿宋_GB2312" w:cs="仿宋_GB2312"/>
              <w:sz w:val="32"/>
              <w:szCs w:val="32"/>
            </w:rPr>
            <w:t>一、基本职能及主要工作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"_Toc18166" </w:instrText>
          </w:r>
          <w:r>
            <w:fldChar w:fldCharType="separate"/>
          </w:r>
          <w:r>
            <w:rPr>
              <w:rFonts w:hint="eastAsia" w:ascii="仿宋_GB2312" w:hAnsi="仿宋_GB2312" w:eastAsia="仿宋_GB2312" w:cs="仿宋_GB2312"/>
              <w:sz w:val="32"/>
              <w:szCs w:val="32"/>
            </w:rPr>
            <w:t>二、机构设置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10"/>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"_Toc12041" </w:instrText>
          </w:r>
          <w:r>
            <w:fldChar w:fldCharType="separate"/>
          </w:r>
          <w:r>
            <w:rPr>
              <w:rFonts w:hint="eastAsia" w:ascii="仿宋_GB2312" w:hAnsi="仿宋_GB2312" w:eastAsia="仿宋_GB2312" w:cs="仿宋_GB2312"/>
              <w:sz w:val="32"/>
              <w:szCs w:val="32"/>
            </w:rPr>
            <w:t>第二部分 2019年度部门决算情况说明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"_Toc15083" </w:instrText>
          </w:r>
          <w:r>
            <w:fldChar w:fldCharType="separate"/>
          </w:r>
          <w:r>
            <w:rPr>
              <w:rFonts w:hint="eastAsia" w:ascii="仿宋_GB2312" w:hAnsi="仿宋_GB2312" w:eastAsia="仿宋_GB2312" w:cs="仿宋_GB2312"/>
              <w:sz w:val="32"/>
              <w:szCs w:val="32"/>
            </w:rPr>
            <w:t>一、 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"_Toc25121" </w:instrText>
          </w:r>
          <w:r>
            <w:fldChar w:fldCharType="separate"/>
          </w:r>
          <w:r>
            <w:rPr>
              <w:rFonts w:hint="eastAsia" w:ascii="仿宋_GB2312" w:hAnsi="仿宋_GB2312" w:eastAsia="仿宋_GB2312" w:cs="仿宋_GB2312"/>
              <w:sz w:val="32"/>
              <w:szCs w:val="32"/>
            </w:rPr>
            <w:t>二、 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"_Toc1627" </w:instrText>
          </w:r>
          <w:r>
            <w:fldChar w:fldCharType="separate"/>
          </w:r>
          <w:r>
            <w:rPr>
              <w:rFonts w:hint="eastAsia" w:ascii="仿宋_GB2312" w:hAnsi="仿宋_GB2312" w:eastAsia="仿宋_GB2312" w:cs="仿宋_GB2312"/>
              <w:sz w:val="32"/>
              <w:szCs w:val="32"/>
            </w:rPr>
            <w:t>三、 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"_Toc7368" </w:instrText>
          </w:r>
          <w:r>
            <w:fldChar w:fldCharType="separate"/>
          </w: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"_Toc7715" </w:instrText>
          </w:r>
          <w:r>
            <w:fldChar w:fldCharType="separate"/>
          </w: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"_Toc8802" </w:instrText>
          </w:r>
          <w:r>
            <w:fldChar w:fldCharType="separate"/>
          </w: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12</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"_Toc14883" </w:instrText>
          </w:r>
          <w:r>
            <w:fldChar w:fldCharType="separate"/>
          </w: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14</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"_Toc3348" </w:instrText>
          </w:r>
          <w:r>
            <w:fldChar w:fldCharType="separate"/>
          </w: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"_Toc28306" </w:instrText>
          </w:r>
          <w:r>
            <w:fldChar w:fldCharType="separate"/>
          </w:r>
          <w:r>
            <w:rPr>
              <w:rFonts w:hint="eastAsia" w:ascii="仿宋_GB2312" w:hAnsi="仿宋_GB2312" w:eastAsia="仿宋_GB2312" w:cs="仿宋_GB2312"/>
              <w:sz w:val="32"/>
              <w:szCs w:val="32"/>
            </w:rPr>
            <w:t>九、国有资本经营预算支出决算情况说明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15</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"_Toc88" </w:instrText>
          </w:r>
          <w:r>
            <w:fldChar w:fldCharType="separate"/>
          </w:r>
          <w:r>
            <w:rPr>
              <w:rFonts w:hint="eastAsia" w:ascii="仿宋_GB2312" w:hAnsi="仿宋_GB2312" w:eastAsia="仿宋_GB2312" w:cs="仿宋_GB2312"/>
              <w:sz w:val="32"/>
              <w:szCs w:val="32"/>
            </w:rPr>
            <w:t>我单位2019年不涉及国有资本经营预算拨款支出。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16</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"_Toc6323" </w:instrText>
          </w:r>
          <w:r>
            <w:fldChar w:fldCharType="separate"/>
          </w:r>
          <w:r>
            <w:rPr>
              <w:rFonts w:hint="eastAsia" w:ascii="仿宋_GB2312" w:hAnsi="仿宋_GB2312" w:eastAsia="仿宋_GB2312" w:cs="仿宋_GB2312"/>
              <w:sz w:val="32"/>
              <w:szCs w:val="32"/>
            </w:rPr>
            <w:t>十、其他重要事项的情况说明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16</w:t>
          </w:r>
        </w:p>
        <w:p>
          <w:pPr>
            <w:pStyle w:val="10"/>
            <w:tabs>
              <w:tab w:val="right" w:leader="dot" w:pos="8306"/>
              <w:tab w:val="clear" w:pos="8296"/>
            </w:tabs>
            <w:rPr>
              <w:rFonts w:ascii="仿宋_GB2312" w:hAnsi="仿宋_GB2312" w:eastAsia="仿宋_GB2312" w:cs="仿宋_GB2312"/>
              <w:sz w:val="32"/>
              <w:szCs w:val="32"/>
            </w:rPr>
          </w:pPr>
          <w:r>
            <w:fldChar w:fldCharType="begin"/>
          </w:r>
          <w:r>
            <w:instrText xml:space="preserve"> HYPERLINK \l "_Toc613" </w:instrText>
          </w:r>
          <w:r>
            <w:fldChar w:fldCharType="separate"/>
          </w:r>
          <w:r>
            <w:rPr>
              <w:rFonts w:hint="eastAsia" w:ascii="仿宋_GB2312" w:hAnsi="仿宋_GB2312" w:eastAsia="仿宋_GB2312" w:cs="仿宋_GB2312"/>
              <w:sz w:val="32"/>
              <w:szCs w:val="32"/>
            </w:rPr>
            <w:t>第三部分 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p>
        <w:p>
          <w:pPr>
            <w:pStyle w:val="10"/>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"_Toc13968" </w:instrText>
          </w:r>
          <w:r>
            <w:fldChar w:fldCharType="separate"/>
          </w:r>
          <w:r>
            <w:rPr>
              <w:rFonts w:hint="eastAsia" w:ascii="仿宋_GB2312" w:hAnsi="仿宋_GB2312" w:eastAsia="仿宋_GB2312" w:cs="仿宋_GB2312"/>
              <w:sz w:val="32"/>
              <w:szCs w:val="32"/>
            </w:rPr>
            <w:t>第四部分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rPr>
            <w:t>20</w:t>
          </w:r>
        </w:p>
        <w:p>
          <w:pPr>
            <w:pStyle w:val="11"/>
            <w:tabs>
              <w:tab w:val="right" w:leader="dot" w:pos="8306"/>
              <w:tab w:val="clear" w:pos="8296"/>
            </w:tabs>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茂县公务服务中心 </w:t>
          </w:r>
          <w:r>
            <w:fldChar w:fldCharType="begin"/>
          </w:r>
          <w:r>
            <w:instrText xml:space="preserve"> HYPERLINK \l "_Toc3973" </w:instrText>
          </w:r>
          <w:r>
            <w:fldChar w:fldCharType="separate"/>
          </w:r>
          <w:r>
            <w:rPr>
              <w:rFonts w:hint="eastAsia" w:ascii="仿宋_GB2312" w:hAnsi="仿宋_GB2312" w:eastAsia="仿宋_GB2312" w:cs="仿宋_GB2312"/>
              <w:bCs/>
              <w:sz w:val="32"/>
              <w:szCs w:val="32"/>
            </w:rPr>
            <w:t>2019年部门整体支出绩效报告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21</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"_Toc23241" </w:instrText>
          </w:r>
          <w:r>
            <w:fldChar w:fldCharType="separate"/>
          </w:r>
          <w:r>
            <w:rPr>
              <w:rFonts w:hint="eastAsia" w:ascii="仿宋_GB2312" w:hAnsi="仿宋_GB2312" w:eastAsia="仿宋_GB2312" w:cs="仿宋_GB2312"/>
              <w:kern w:val="0"/>
              <w:sz w:val="32"/>
              <w:szCs w:val="32"/>
              <w:shd w:val="clear" w:color="auto" w:fill="FFFFFF"/>
            </w:rPr>
            <w:t>一、</w:t>
          </w:r>
          <w:r>
            <w:rPr>
              <w:rFonts w:hint="eastAsia" w:ascii="仿宋_GB2312" w:hAnsi="仿宋_GB2312" w:eastAsia="仿宋_GB2312" w:cs="仿宋_GB2312"/>
              <w:kern w:val="0"/>
              <w:sz w:val="32"/>
              <w:szCs w:val="32"/>
              <w:shd w:val="clear" w:color="auto" w:fill="FFFFFF"/>
              <w:lang w:val="zh-CN"/>
            </w:rPr>
            <w:t>部门（单位）概况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22</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"_Toc5010" </w:instrText>
          </w:r>
          <w:r>
            <w:fldChar w:fldCharType="separate"/>
          </w:r>
          <w:r>
            <w:rPr>
              <w:rFonts w:hint="eastAsia" w:ascii="仿宋_GB2312" w:hAnsi="仿宋_GB2312" w:eastAsia="仿宋_GB2312" w:cs="仿宋_GB2312"/>
              <w:kern w:val="0"/>
              <w:sz w:val="32"/>
              <w:szCs w:val="32"/>
              <w:shd w:val="clear" w:color="auto" w:fill="FFFFFF"/>
            </w:rPr>
            <w:t>二、部门财政资金收支情况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22</w:t>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"_Toc16355" </w:instrText>
          </w:r>
          <w:r>
            <w:fldChar w:fldCharType="separate"/>
          </w:r>
          <w:r>
            <w:rPr>
              <w:rFonts w:hint="eastAsia" w:ascii="仿宋_GB2312" w:hAnsi="仿宋_GB2312" w:eastAsia="仿宋_GB2312" w:cs="仿宋_GB2312"/>
              <w:kern w:val="0"/>
              <w:sz w:val="32"/>
              <w:szCs w:val="32"/>
              <w:shd w:val="clear" w:color="auto" w:fill="FFFFFF"/>
            </w:rPr>
            <w:t>三、部门整体预算绩效管理情况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"_Toc927" </w:instrText>
          </w:r>
          <w:r>
            <w:fldChar w:fldCharType="separate"/>
          </w:r>
          <w:r>
            <w:rPr>
              <w:rFonts w:hint="eastAsia" w:ascii="仿宋_GB2312" w:hAnsi="仿宋_GB2312" w:eastAsia="仿宋_GB2312" w:cs="仿宋_GB2312"/>
              <w:kern w:val="0"/>
              <w:sz w:val="32"/>
              <w:szCs w:val="32"/>
              <w:shd w:val="clear" w:color="auto" w:fill="FFFFFF"/>
            </w:rPr>
            <w:t>四、评价结论及建议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p>
        <w:p>
          <w:pPr>
            <w:pStyle w:val="10"/>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"_Toc14417" </w:instrText>
          </w:r>
          <w:r>
            <w:fldChar w:fldCharType="separate"/>
          </w:r>
          <w:r>
            <w:rPr>
              <w:rFonts w:hint="eastAsia" w:ascii="仿宋_GB2312" w:hAnsi="仿宋_GB2312" w:eastAsia="仿宋_GB2312" w:cs="仿宋_GB2312"/>
              <w:sz w:val="32"/>
              <w:szCs w:val="32"/>
            </w:rPr>
            <w:t>第五部分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"_Toc19639" </w:instrText>
          </w:r>
          <w:r>
            <w:fldChar w:fldCharType="separate"/>
          </w:r>
          <w:r>
            <w:rPr>
              <w:rFonts w:hint="eastAsia" w:ascii="仿宋_GB2312" w:hAnsi="仿宋_GB2312" w:eastAsia="仿宋_GB2312" w:cs="仿宋_GB2312"/>
              <w:sz w:val="32"/>
              <w:szCs w:val="32"/>
            </w:rPr>
            <w:t>一、收入支出决算总表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"_Toc8578" </w:instrText>
          </w:r>
          <w:r>
            <w:fldChar w:fldCharType="separate"/>
          </w:r>
          <w:r>
            <w:rPr>
              <w:rFonts w:hint="eastAsia" w:ascii="仿宋_GB2312" w:hAnsi="仿宋_GB2312" w:eastAsia="仿宋_GB2312" w:cs="仿宋_GB2312"/>
              <w:sz w:val="32"/>
              <w:szCs w:val="32"/>
            </w:rPr>
            <w:t>二、收入决算表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"_Toc12506" </w:instrText>
          </w:r>
          <w:r>
            <w:fldChar w:fldCharType="separate"/>
          </w:r>
          <w:r>
            <w:rPr>
              <w:rFonts w:hint="eastAsia" w:ascii="仿宋_GB2312" w:hAnsi="仿宋_GB2312" w:eastAsia="仿宋_GB2312" w:cs="仿宋_GB2312"/>
              <w:sz w:val="32"/>
              <w:szCs w:val="32"/>
            </w:rPr>
            <w:t>三、支出决算表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"_Toc20120" </w:instrText>
          </w:r>
          <w:r>
            <w:fldChar w:fldCharType="separate"/>
          </w:r>
          <w:r>
            <w:rPr>
              <w:rFonts w:hint="eastAsia" w:ascii="仿宋_GB2312" w:hAnsi="仿宋_GB2312" w:eastAsia="仿宋_GB2312" w:cs="仿宋_GB2312"/>
              <w:sz w:val="32"/>
              <w:szCs w:val="32"/>
            </w:rPr>
            <w:t>四、财政拨款收入支出决算总表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"_Toc29499" </w:instrText>
          </w:r>
          <w:r>
            <w:fldChar w:fldCharType="separate"/>
          </w:r>
          <w:r>
            <w:rPr>
              <w:rFonts w:hint="eastAsia" w:ascii="仿宋_GB2312" w:hAnsi="仿宋_GB2312" w:eastAsia="仿宋_GB2312" w:cs="仿宋_GB2312"/>
              <w:sz w:val="32"/>
              <w:szCs w:val="32"/>
            </w:rPr>
            <w:t>五、财政拨款支出决算明细表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"_Toc10284" </w:instrText>
          </w:r>
          <w:r>
            <w:fldChar w:fldCharType="separate"/>
          </w:r>
          <w:r>
            <w:rPr>
              <w:rFonts w:hint="eastAsia" w:ascii="仿宋_GB2312" w:hAnsi="仿宋_GB2312" w:eastAsia="仿宋_GB2312" w:cs="仿宋_GB2312"/>
              <w:sz w:val="32"/>
              <w:szCs w:val="32"/>
            </w:rPr>
            <w:t>六、一般公共预算财政拨款支出决算表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"_Toc2936" </w:instrText>
          </w:r>
          <w:r>
            <w:fldChar w:fldCharType="separate"/>
          </w:r>
          <w:r>
            <w:rPr>
              <w:rFonts w:hint="eastAsia" w:ascii="仿宋_GB2312" w:hAnsi="仿宋_GB2312" w:eastAsia="仿宋_GB2312" w:cs="仿宋_GB2312"/>
              <w:sz w:val="32"/>
              <w:szCs w:val="32"/>
            </w:rPr>
            <w:t>七、一般公共预算财政拨款支出决算明细表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"_Toc23335" </w:instrText>
          </w:r>
          <w:r>
            <w:fldChar w:fldCharType="separate"/>
          </w:r>
          <w:r>
            <w:rPr>
              <w:rFonts w:hint="eastAsia" w:ascii="仿宋_GB2312" w:hAnsi="仿宋_GB2312" w:eastAsia="仿宋_GB2312" w:cs="仿宋_GB2312"/>
              <w:sz w:val="32"/>
              <w:szCs w:val="32"/>
            </w:rPr>
            <w:t>八、一般公共预算财政拨款基本支出决算表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"_Toc16275" </w:instrText>
          </w:r>
          <w:r>
            <w:fldChar w:fldCharType="separate"/>
          </w:r>
          <w:r>
            <w:rPr>
              <w:rFonts w:hint="eastAsia" w:ascii="仿宋_GB2312" w:hAnsi="仿宋_GB2312" w:eastAsia="仿宋_GB2312" w:cs="仿宋_GB2312"/>
              <w:sz w:val="32"/>
              <w:szCs w:val="32"/>
            </w:rPr>
            <w:t>九、一般公共预算财政拨款项目支出决算表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"_Toc5971" </w:instrText>
          </w:r>
          <w:r>
            <w:fldChar w:fldCharType="separate"/>
          </w:r>
          <w:r>
            <w:rPr>
              <w:rFonts w:hint="eastAsia" w:ascii="仿宋_GB2312" w:hAnsi="仿宋_GB2312" w:eastAsia="仿宋_GB2312" w:cs="仿宋_GB2312"/>
              <w:sz w:val="32"/>
              <w:szCs w:val="32"/>
            </w:rPr>
            <w:t>十、一般公共预算财政拨款“三公”经费支出决算表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"_Toc17078" </w:instrText>
          </w:r>
          <w:r>
            <w:fldChar w:fldCharType="separate"/>
          </w:r>
          <w:r>
            <w:rPr>
              <w:rFonts w:hint="eastAsia" w:ascii="仿宋_GB2312" w:hAnsi="仿宋_GB2312" w:eastAsia="仿宋_GB2312" w:cs="仿宋_GB2312"/>
              <w:sz w:val="32"/>
              <w:szCs w:val="32"/>
            </w:rPr>
            <w:t>十一、政府性基金预算财政拨款收入支出决算表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"_Toc9113" </w:instrText>
          </w:r>
          <w:r>
            <w:fldChar w:fldCharType="separate"/>
          </w:r>
          <w:r>
            <w:rPr>
              <w:rFonts w:hint="eastAsia" w:ascii="仿宋_GB2312" w:hAnsi="仿宋_GB2312" w:eastAsia="仿宋_GB2312" w:cs="仿宋_GB2312"/>
              <w:sz w:val="32"/>
              <w:szCs w:val="32"/>
            </w:rPr>
            <w:t>十二、政府性基金预算财政拨款“三公”经费支出决算表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仿宋_GB2312" w:hAnsi="仿宋_GB2312" w:eastAsia="仿宋_GB2312" w:cs="仿宋_GB2312"/>
              <w:sz w:val="32"/>
              <w:szCs w:val="32"/>
            </w:rPr>
          </w:pPr>
          <w:r>
            <w:fldChar w:fldCharType="begin"/>
          </w:r>
          <w:r>
            <w:instrText xml:space="preserve"> HYPERLINK \l "_Toc9985" </w:instrText>
          </w:r>
          <w:r>
            <w:fldChar w:fldCharType="separate"/>
          </w:r>
          <w:r>
            <w:rPr>
              <w:rFonts w:hint="eastAsia" w:ascii="仿宋_GB2312" w:hAnsi="仿宋_GB2312" w:eastAsia="仿宋_GB2312" w:cs="仿宋_GB2312"/>
              <w:sz w:val="32"/>
              <w:szCs w:val="32"/>
            </w:rPr>
            <w:t>十三、国有资本经营预算支出决算表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ascii="黑体" w:hAnsi="黑体" w:eastAsia="黑体"/>
              <w:b/>
              <w:bCs/>
              <w:kern w:val="44"/>
              <w:sz w:val="44"/>
              <w:szCs w:val="44"/>
            </w:rPr>
          </w:pPr>
          <w:r>
            <w:rPr>
              <w:rFonts w:hint="eastAsia" w:ascii="仿宋_GB2312" w:hAnsi="仿宋_GB2312" w:eastAsia="仿宋_GB2312" w:cs="仿宋_GB2312"/>
              <w:sz w:val="32"/>
              <w:szCs w:val="32"/>
            </w:rPr>
            <w:fldChar w:fldCharType="end"/>
          </w:r>
        </w:p>
      </w:sdtContent>
    </w:sdt>
    <w:p/>
    <w:p>
      <w:pPr>
        <w:pStyle w:val="2"/>
        <w:spacing w:line="576" w:lineRule="exact"/>
        <w:jc w:val="center"/>
        <w:rPr>
          <w:rFonts w:ascii="黑体" w:hAnsi="黑体" w:eastAsia="黑体"/>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spacing w:line="576" w:lineRule="exact"/>
        <w:ind w:firstLine="640" w:firstLineChars="200"/>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576" w:lineRule="exact"/>
        <w:ind w:firstLine="675" w:firstLineChars="210"/>
        <w:outlineLvl w:val="2"/>
        <w:rPr>
          <w:rFonts w:hint="eastAsia" w:ascii="楷体" w:hAnsi="楷体" w:eastAsia="楷体" w:cs="楷体"/>
          <w:b/>
          <w:bCs w:val="0"/>
          <w:color w:val="000000"/>
          <w:sz w:val="32"/>
          <w:szCs w:val="32"/>
        </w:rPr>
      </w:pPr>
      <w:bookmarkStart w:id="16" w:name="_Toc15378445"/>
      <w:bookmarkStart w:id="17" w:name="_Toc15377198"/>
      <w:r>
        <w:rPr>
          <w:rFonts w:hint="eastAsia" w:ascii="楷体" w:hAnsi="楷体" w:eastAsia="楷体" w:cs="楷体"/>
          <w:b/>
          <w:bCs w:val="0"/>
          <w:color w:val="000000"/>
          <w:sz w:val="32"/>
          <w:szCs w:val="32"/>
        </w:rPr>
        <w:t>（一）主要职能</w:t>
      </w:r>
      <w:bookmarkEnd w:id="16"/>
      <w:bookmarkEnd w:id="17"/>
      <w:bookmarkStart w:id="18" w:name="_Toc15377199"/>
      <w:bookmarkStart w:id="19" w:name="_Toc15378446"/>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茂县公务服务中心负责县委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p>
    <w:p>
      <w:pPr>
        <w:pStyle w:val="5"/>
        <w:adjustRightInd w:val="0"/>
        <w:snapToGrid w:val="0"/>
        <w:spacing w:before="93" w:line="576" w:lineRule="exact"/>
        <w:ind w:firstLine="675" w:firstLineChars="210"/>
        <w:outlineLvl w:val="2"/>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（二）2019年重点工作完成情况</w:t>
      </w:r>
      <w:bookmarkEnd w:id="18"/>
      <w:bookmarkEnd w:id="19"/>
    </w:p>
    <w:p>
      <w:pPr>
        <w:widowControl/>
        <w:shd w:val="clear" w:color="auto" w:fill="FFFFFF"/>
        <w:adjustRightInd w:val="0"/>
        <w:snapToGrid w:val="0"/>
        <w:spacing w:line="576" w:lineRule="exact"/>
        <w:ind w:firstLine="643" w:firstLineChars="200"/>
        <w:rPr>
          <w:rFonts w:hint="eastAsia" w:hAnsi="黑体" w:eastAsia="仿宋_GB2312"/>
          <w:b/>
          <w:color w:val="191919"/>
          <w:sz w:val="32"/>
          <w:szCs w:val="32"/>
          <w:lang w:val="en-US" w:eastAsia="zh-CN"/>
        </w:rPr>
      </w:pPr>
      <w:r>
        <w:rPr>
          <w:rFonts w:hint="eastAsia" w:ascii="仿宋_GB2312" w:hAnsi="仿宋_GB2312" w:eastAsia="仿宋_GB2312" w:cs="仿宋_GB2312"/>
          <w:b/>
          <w:color w:val="191919"/>
          <w:sz w:val="32"/>
          <w:szCs w:val="32"/>
          <w:lang w:val="en-US" w:eastAsia="zh-CN"/>
        </w:rPr>
        <w:t>1.</w:t>
      </w:r>
      <w:r>
        <w:rPr>
          <w:rFonts w:hint="eastAsia" w:ascii="仿宋_GB2312" w:hAnsi="仿宋_GB2312" w:eastAsia="仿宋_GB2312" w:cs="仿宋_GB2312"/>
          <w:b/>
          <w:color w:val="191919"/>
          <w:sz w:val="32"/>
          <w:szCs w:val="32"/>
        </w:rPr>
        <w:t>狠抓思想建设、队伍建设、廉政建设，努力提升管理工作水平和质量</w:t>
      </w:r>
      <w:r>
        <w:rPr>
          <w:rFonts w:hint="eastAsia" w:ascii="仿宋_GB2312" w:hAnsi="仿宋_GB2312" w:eastAsia="仿宋_GB2312" w:cs="仿宋_GB2312"/>
          <w:b/>
          <w:color w:val="191919"/>
          <w:sz w:val="32"/>
          <w:szCs w:val="32"/>
          <w:lang w:eastAsia="zh-CN"/>
        </w:rPr>
        <w:t>。</w:t>
      </w:r>
    </w:p>
    <w:p>
      <w:pPr>
        <w:spacing w:line="576" w:lineRule="exact"/>
        <w:ind w:firstLine="630"/>
        <w:rPr>
          <w:rFonts w:ascii="仿宋_GB2312" w:hAnsi="Tahoma" w:eastAsia="仿宋_GB2312"/>
          <w:sz w:val="32"/>
          <w:szCs w:val="32"/>
        </w:rPr>
      </w:pPr>
      <w:r>
        <w:rPr>
          <w:rFonts w:hint="eastAsia" w:ascii="仿宋_GB2312" w:eastAsia="仿宋_GB2312"/>
          <w:sz w:val="32"/>
          <w:szCs w:val="32"/>
        </w:rPr>
        <w:t>抓住思想建设、队伍建设两个关键，全力以赴强本领、提效能，全面加强思想建设、组织建设、作风建设、制度建设、反腐倡廉建设，不断提高中心班子和干部职工的履职能力和业务水平。</w:t>
      </w:r>
      <w:r>
        <w:rPr>
          <w:rFonts w:hint="eastAsia" w:ascii="楷体_GB2312" w:eastAsia="楷体_GB2312"/>
          <w:b/>
          <w:sz w:val="32"/>
          <w:szCs w:val="32"/>
        </w:rPr>
        <w:t>一是狠抓思想建设。</w:t>
      </w:r>
      <w:r>
        <w:rPr>
          <w:rFonts w:hint="eastAsia" w:ascii="仿宋_GB2312" w:eastAsia="仿宋_GB2312"/>
          <w:sz w:val="32"/>
          <w:szCs w:val="32"/>
        </w:rPr>
        <w:t>有计划地组织干部职工深入学习贯彻党的十九大和习近平总书记系列讲话精神，以州委十一届七次全会、县委十二届七次全会精神为指导，认真组织学习《党政机关厉行节约反对浪费条例》、《党政机关办公用房建设标准》、《四川省党政机关国内公务接待管理办法》等。坚持用习近平新时代中国特色社会主义思想武装头脑，结合“联户联情”工作，在学习的基础上进行小结，及时沟通情况，查找问题，协调进度，发现问题及时解决，做到心中有数。全年共组织全中心干部职工参加县委办“不忘初心、牢记使命”主题教育活动10次，会前集中学习22次，各股室讨论学习8次，中心班子成员到联系村宣讲8次。</w:t>
      </w:r>
      <w:r>
        <w:rPr>
          <w:rFonts w:hint="eastAsia" w:ascii="楷体_GB2312" w:eastAsia="楷体_GB2312"/>
          <w:b/>
          <w:sz w:val="32"/>
          <w:szCs w:val="32"/>
        </w:rPr>
        <w:t>二是注重能力提升。</w:t>
      </w:r>
      <w:r>
        <w:rPr>
          <w:rFonts w:hint="eastAsia" w:ascii="仿宋_GB2312" w:eastAsia="仿宋_GB2312"/>
          <w:sz w:val="32"/>
          <w:szCs w:val="32"/>
        </w:rPr>
        <w:t>积极为干部职工谋求交流学习平台，组织干部职工参加各种岗位知识培训和专业学习，丰富知识、拓展见识，着实提高业务技能，从根本上提升管理和服务水平，</w:t>
      </w:r>
      <w:r>
        <w:rPr>
          <w:rFonts w:hint="eastAsia" w:ascii="仿宋_GB2312" w:hAnsi="宋体" w:eastAsia="仿宋_GB2312" w:cs="宋体"/>
          <w:sz w:val="32"/>
          <w:szCs w:val="32"/>
        </w:rPr>
        <w:t>切实打牢工作基础，着力为公务服务工作科学发展提供强劲的动力和可靠的保证，2019年，我中心共组织干部职工赴浙江、德阳、马尔康等地培训学习6次。</w:t>
      </w:r>
      <w:r>
        <w:rPr>
          <w:rFonts w:hint="eastAsia" w:ascii="楷体_GB2312" w:eastAsia="楷体_GB2312"/>
          <w:b/>
          <w:sz w:val="32"/>
          <w:szCs w:val="32"/>
        </w:rPr>
        <w:t>三是注重廉政建设。</w:t>
      </w:r>
      <w:r>
        <w:rPr>
          <w:rFonts w:hint="eastAsia" w:ascii="仿宋_GB2312" w:hAnsi="宋体" w:eastAsia="仿宋_GB2312" w:cs="宋体"/>
          <w:sz w:val="32"/>
          <w:szCs w:val="32"/>
        </w:rPr>
        <w:t>始终把廉政教育作为干部经常性教育的主要内容，通过典型案例教育、组织集中学习、逗硬执行制度等有效措施，严明政治纪律、组织纪律、财经纪律，细化明确“两个责任”，明确各类经济活动的业务流程和业务环节，保证单位经济活动合法合规、资产安全和使用有效、财务信息完整</w:t>
      </w:r>
      <w:r>
        <w:rPr>
          <w:rFonts w:hint="eastAsia" w:ascii="仿宋_GB2312" w:eastAsia="仿宋_GB2312"/>
          <w:sz w:val="32"/>
          <w:szCs w:val="32"/>
        </w:rPr>
        <w:t>。认真开展作风建设专项监督，全面贯彻落实中央“八项规定”及省委省政府“十项规定”，重点加强后勤维修、公务接待相关纪律要求，班子成员必须“重品行、重实干、重公认 ，要做到履职尽责、讲政治、讲规矩、守纪律</w:t>
      </w:r>
      <w:r>
        <w:rPr>
          <w:rFonts w:hint="eastAsia" w:ascii="仿宋_GB2312" w:hAnsi="宋体" w:eastAsia="仿宋_GB2312" w:cs="宋体"/>
          <w:sz w:val="32"/>
          <w:szCs w:val="32"/>
        </w:rPr>
        <w:t>；</w:t>
      </w:r>
      <w:r>
        <w:rPr>
          <w:rFonts w:hint="eastAsia" w:ascii="仿宋_GB2312" w:eastAsia="仿宋_GB2312"/>
          <w:sz w:val="32"/>
          <w:szCs w:val="32"/>
        </w:rPr>
        <w:t>持续深入开展“两联一进”工作，与茂县凤仪镇茶山村、勒都村开展联户联情工作， 2019年，干部职工定期到两村实地开展工作10次。</w:t>
      </w:r>
    </w:p>
    <w:p>
      <w:pPr>
        <w:shd w:val="clear" w:color="auto" w:fill="FFFFFF"/>
        <w:spacing w:line="576" w:lineRule="exact"/>
        <w:ind w:firstLine="643" w:firstLineChars="200"/>
        <w:rPr>
          <w:rFonts w:hint="eastAsia" w:eastAsia="仿宋_GB2312"/>
          <w:b/>
          <w:sz w:val="32"/>
          <w:szCs w:val="32"/>
          <w:lang w:eastAsia="zh-CN"/>
        </w:rPr>
      </w:pPr>
      <w:r>
        <w:rPr>
          <w:rFonts w:hint="eastAsia" w:ascii="仿宋_GB2312" w:hAnsi="仿宋_GB2312" w:eastAsia="仿宋_GB2312" w:cs="仿宋_GB2312"/>
          <w:b/>
          <w:color w:val="191919"/>
          <w:sz w:val="32"/>
          <w:szCs w:val="32"/>
          <w:lang w:val="en-US" w:eastAsia="zh-CN"/>
        </w:rPr>
        <w:t>2.</w:t>
      </w:r>
      <w:r>
        <w:rPr>
          <w:rFonts w:hint="eastAsia" w:ascii="仿宋_GB2312" w:hAnsi="仿宋_GB2312" w:eastAsia="仿宋_GB2312" w:cs="仿宋_GB2312"/>
          <w:b/>
          <w:color w:val="191919"/>
          <w:sz w:val="32"/>
          <w:szCs w:val="32"/>
        </w:rPr>
        <w:t>不断适应新要求，做好机构改革工作交接</w:t>
      </w:r>
      <w:r>
        <w:rPr>
          <w:rFonts w:hint="eastAsia" w:ascii="仿宋_GB2312" w:hAnsi="仿宋_GB2312" w:eastAsia="仿宋_GB2312" w:cs="仿宋_GB2312"/>
          <w:b/>
          <w:color w:val="191919"/>
          <w:sz w:val="32"/>
          <w:szCs w:val="32"/>
          <w:lang w:eastAsia="zh-CN"/>
        </w:rPr>
        <w:t>。</w:t>
      </w:r>
    </w:p>
    <w:p>
      <w:pPr>
        <w:pStyle w:val="12"/>
        <w:spacing w:before="0" w:after="0" w:line="576" w:lineRule="exact"/>
        <w:ind w:firstLine="716" w:firstLineChars="224"/>
        <w:jc w:val="both"/>
        <w:rPr>
          <w:rFonts w:ascii="仿宋_GB2312" w:eastAsia="仿宋_GB2312"/>
          <w:sz w:val="32"/>
          <w:szCs w:val="32"/>
        </w:rPr>
      </w:pPr>
      <w:r>
        <w:rPr>
          <w:rFonts w:hint="eastAsia" w:ascii="仿宋_GB2312" w:eastAsia="仿宋_GB2312"/>
          <w:sz w:val="32"/>
          <w:szCs w:val="32"/>
        </w:rPr>
        <w:t>深化党和国家机构改革是推进国家治理体系和治理能力现代化的一场深刻变革，是关系党和国家事业全局的重大政治任务，我中心围绕贯彻落实州委十一届五次、六次全会及县委十二届五次全会精神，深化转职能、转方式、转作风，提高效率效能，全面推进体制机制创新，根据《中共茂县县委 茂县人民政府关于印发&lt;关于茂县机构改革方案&gt;的通知》（茂委</w:t>
      </w:r>
      <w:r>
        <w:rPr>
          <w:rFonts w:hint="eastAsia" w:ascii="仿宋_GB2312" w:hAnsi="仿宋_GB2312" w:eastAsia="仿宋_GB2312" w:cs="仿宋_GB2312"/>
          <w:sz w:val="32"/>
          <w:szCs w:val="32"/>
        </w:rPr>
        <w:t>〔</w:t>
      </w:r>
      <w:r>
        <w:rPr>
          <w:rFonts w:hint="eastAsia" w:ascii="仿宋_GB2312" w:eastAsia="仿宋_GB2312"/>
          <w:sz w:val="32"/>
          <w:szCs w:val="32"/>
        </w:rPr>
        <w:t>2019</w:t>
      </w:r>
      <w:r>
        <w:rPr>
          <w:rFonts w:hint="eastAsia" w:ascii="仿宋_GB2312" w:hAnsi="仿宋_GB2312" w:eastAsia="仿宋_GB2312" w:cs="仿宋_GB2312"/>
          <w:sz w:val="32"/>
          <w:szCs w:val="32"/>
        </w:rPr>
        <w:t>〕</w:t>
      </w:r>
      <w:r>
        <w:rPr>
          <w:rFonts w:hint="eastAsia" w:ascii="仿宋_GB2312" w:eastAsia="仿宋_GB2312"/>
          <w:sz w:val="32"/>
          <w:szCs w:val="32"/>
        </w:rPr>
        <w:t xml:space="preserve">10号）文件精神，将茂县机关事务管理局的行政职责划入县政府办公室，茂县机关事务管理局更名为茂县公务服务中心（简称县公务服务中心），为县委直属正科级公益一类事业单位，立足实际，发挥积极性，配合相关部门做好机构改革相关工作。 </w:t>
      </w:r>
    </w:p>
    <w:p>
      <w:pPr>
        <w:spacing w:line="576" w:lineRule="exact"/>
        <w:ind w:firstLine="643" w:firstLineChars="200"/>
        <w:rPr>
          <w:rFonts w:eastAsia="仿宋_GB2312"/>
          <w:color w:val="000000" w:themeColor="text1"/>
          <w:sz w:val="32"/>
          <w:szCs w:val="32"/>
        </w:rPr>
      </w:pPr>
      <w:r>
        <w:rPr>
          <w:rFonts w:hint="eastAsia" w:ascii="楷体_GB2312" w:eastAsia="楷体_GB2312"/>
          <w:b/>
          <w:sz w:val="32"/>
          <w:szCs w:val="32"/>
        </w:rPr>
        <w:t>一是强化组织保障。</w:t>
      </w:r>
      <w:r>
        <w:rPr>
          <w:rFonts w:hint="eastAsia" w:ascii="仿宋_GB2312" w:eastAsia="仿宋_GB2312"/>
          <w:sz w:val="32"/>
          <w:szCs w:val="32"/>
        </w:rPr>
        <w:t>成立了以主任刘勇为组长，副主任曾凡秋为副组长的工作协调小组，确保上下贯通、执行有力，按照相关要求做好全县30余家涉改部门和内设机构的挂牌、吊牌制作，为抓实、抓细、抓好机构改革工作提供了强有力的组织保障和后勤保障。</w:t>
      </w:r>
      <w:r>
        <w:rPr>
          <w:rFonts w:hint="eastAsia" w:ascii="楷体_GB2312" w:eastAsia="楷体_GB2312"/>
          <w:b/>
          <w:sz w:val="32"/>
          <w:szCs w:val="32"/>
        </w:rPr>
        <w:t>二是深化转职能、转方式、转作风。</w:t>
      </w:r>
      <w:r>
        <w:rPr>
          <w:rFonts w:hint="eastAsia" w:ascii="仿宋_GB2312" w:hAnsi="黑体" w:eastAsia="仿宋_GB2312"/>
          <w:sz w:val="32"/>
          <w:szCs w:val="32"/>
        </w:rPr>
        <w:t>加强对集中办公区的水、电管理，</w:t>
      </w:r>
      <w:r>
        <w:rPr>
          <w:rFonts w:hint="eastAsia" w:ascii="仿宋_GB2312" w:eastAsia="仿宋_GB2312"/>
          <w:sz w:val="32"/>
          <w:szCs w:val="32"/>
        </w:rPr>
        <w:t>利用雨水回收进行集中办公区部分绿化灌溉；充分利用自然采光，使用高效节能照明灯具，采用高效节能设备和技术</w:t>
      </w:r>
      <w:r>
        <w:rPr>
          <w:rFonts w:hint="eastAsia" w:ascii="仿宋_GB2312" w:hAnsi="黑体" w:eastAsia="仿宋_GB2312"/>
          <w:sz w:val="32"/>
          <w:szCs w:val="32"/>
        </w:rPr>
        <w:t>；</w:t>
      </w:r>
      <w:r>
        <w:rPr>
          <w:rFonts w:hint="eastAsia" w:ascii="仿宋_GB2312" w:eastAsia="仿宋_GB2312"/>
          <w:sz w:val="32"/>
          <w:szCs w:val="32"/>
        </w:rPr>
        <w:t>加强办公大楼的巡视，杜绝长明灯和长流水现象，规范办公楼道照明，坚持节约每一滴水、每一度电，杜绝一切跑、冒、滴、漏；</w:t>
      </w:r>
      <w:r>
        <w:rPr>
          <w:rFonts w:hint="eastAsia" w:ascii="仿宋_GB2312" w:hAnsi="黑体" w:eastAsia="仿宋_GB2312"/>
          <w:sz w:val="32"/>
          <w:szCs w:val="32"/>
        </w:rPr>
        <w:t>大力推行“绿色消费”，严格执行国家强制或有限采购节能环保产品的有关规定，合理采用LED灯具和人工智能控制措施，全年共更换LED灯具100余盏</w:t>
      </w:r>
      <w:r>
        <w:rPr>
          <w:rFonts w:hint="eastAsia" w:ascii="仿宋_GB2312" w:eastAsia="仿宋_GB2312"/>
          <w:sz w:val="32"/>
          <w:szCs w:val="32"/>
        </w:rPr>
        <w:t>；严格公务用车的日常管理，在修理和用油方面严格指标管理。</w:t>
      </w:r>
      <w:r>
        <w:rPr>
          <w:rFonts w:hint="eastAsia" w:ascii="楷体_GB2312" w:eastAsia="楷体_GB2312"/>
          <w:b/>
          <w:sz w:val="32"/>
          <w:szCs w:val="32"/>
        </w:rPr>
        <w:t>三是注重办公用房</w:t>
      </w:r>
      <w:r>
        <w:rPr>
          <w:rFonts w:hint="eastAsia" w:ascii="楷体_GB2312" w:hAnsi="宋体" w:eastAsia="楷体_GB2312" w:cs="宋体"/>
          <w:b/>
          <w:color w:val="000000"/>
          <w:sz w:val="32"/>
          <w:szCs w:val="32"/>
        </w:rPr>
        <w:t>资源的公平配置和集约使用</w:t>
      </w:r>
      <w:r>
        <w:rPr>
          <w:rFonts w:hint="eastAsia" w:ascii="楷体_GB2312" w:eastAsia="楷体_GB2312"/>
          <w:b/>
          <w:sz w:val="32"/>
          <w:szCs w:val="32"/>
        </w:rPr>
        <w:t>。</w:t>
      </w:r>
      <w:r>
        <w:rPr>
          <w:rFonts w:hint="eastAsia" w:eastAsia="仿宋_GB2312"/>
          <w:color w:val="000000" w:themeColor="text1"/>
          <w:sz w:val="32"/>
          <w:szCs w:val="32"/>
        </w:rPr>
        <w:t>坚持科学统计，完成全县办公用房信息填报。</w:t>
      </w:r>
      <w:r>
        <w:rPr>
          <w:rFonts w:hint="eastAsia" w:eastAsia="仿宋_GB2312" w:cs="宋体"/>
          <w:sz w:val="32"/>
          <w:szCs w:val="32"/>
        </w:rPr>
        <w:t>进一步深入贯彻落实中央八项规定、省委省政府十项规定、州委州政府十项规定精神以及厉行节约有关要求，通过务实、高效、便捷的办公用房管理手段，全面掌握全县行政事业单位办公用房管理信息，提升办公用房管理精细化、规范化水平</w:t>
      </w:r>
      <w:r>
        <w:rPr>
          <w:rFonts w:hint="eastAsia" w:eastAsia="仿宋_GB2312"/>
          <w:color w:val="000000" w:themeColor="text1"/>
          <w:sz w:val="32"/>
          <w:szCs w:val="32"/>
        </w:rPr>
        <w:t>，配合上级部门完成对全县</w:t>
      </w:r>
      <w:r>
        <w:rPr>
          <w:rFonts w:eastAsia="仿宋_GB2312"/>
          <w:color w:val="000000" w:themeColor="text1"/>
          <w:sz w:val="32"/>
          <w:szCs w:val="32"/>
        </w:rPr>
        <w:t>107</w:t>
      </w:r>
      <w:r>
        <w:rPr>
          <w:rFonts w:hint="eastAsia" w:eastAsia="仿宋_GB2312"/>
          <w:color w:val="000000" w:themeColor="text1"/>
          <w:sz w:val="32"/>
          <w:szCs w:val="32"/>
        </w:rPr>
        <w:t>家县级部门及二级单位、</w:t>
      </w:r>
      <w:r>
        <w:rPr>
          <w:rFonts w:eastAsia="仿宋_GB2312"/>
          <w:color w:val="000000" w:themeColor="text1"/>
          <w:sz w:val="32"/>
          <w:szCs w:val="32"/>
        </w:rPr>
        <w:t>21</w:t>
      </w:r>
      <w:r>
        <w:rPr>
          <w:rFonts w:hint="eastAsia" w:eastAsia="仿宋_GB2312"/>
          <w:color w:val="000000" w:themeColor="text1"/>
          <w:sz w:val="32"/>
          <w:szCs w:val="32"/>
        </w:rPr>
        <w:t>个乡镇的办公用房数据统计、报送工作；坚持有效利用、统筹调剂余缺标准，执行《党政机关办公用房建设标准》（发改投资〔</w:t>
      </w:r>
      <w:r>
        <w:rPr>
          <w:rFonts w:eastAsia="仿宋_GB2312"/>
          <w:color w:val="000000" w:themeColor="text1"/>
          <w:sz w:val="32"/>
          <w:szCs w:val="32"/>
        </w:rPr>
        <w:t>2014</w:t>
      </w:r>
      <w:r>
        <w:rPr>
          <w:rFonts w:hint="eastAsia" w:eastAsia="仿宋_GB2312"/>
          <w:color w:val="000000" w:themeColor="text1"/>
          <w:sz w:val="32"/>
          <w:szCs w:val="32"/>
        </w:rPr>
        <w:t>〕</w:t>
      </w:r>
      <w:r>
        <w:rPr>
          <w:rFonts w:eastAsia="仿宋_GB2312"/>
          <w:color w:val="000000" w:themeColor="text1"/>
          <w:sz w:val="32"/>
          <w:szCs w:val="32"/>
        </w:rPr>
        <w:t>2674</w:t>
      </w:r>
      <w:r>
        <w:rPr>
          <w:rFonts w:hint="eastAsia" w:eastAsia="仿宋_GB2312"/>
          <w:color w:val="000000" w:themeColor="text1"/>
          <w:sz w:val="32"/>
          <w:szCs w:val="32"/>
        </w:rPr>
        <w:t>号）有关规定，完成茂县两个集中办公区</w:t>
      </w:r>
      <w:r>
        <w:rPr>
          <w:rFonts w:eastAsia="仿宋_GB2312"/>
          <w:color w:val="000000" w:themeColor="text1"/>
          <w:sz w:val="32"/>
          <w:szCs w:val="32"/>
        </w:rPr>
        <w:t>12</w:t>
      </w:r>
      <w:r>
        <w:rPr>
          <w:rFonts w:hint="eastAsia" w:eastAsia="仿宋_GB2312"/>
          <w:color w:val="000000" w:themeColor="text1"/>
          <w:sz w:val="32"/>
          <w:szCs w:val="32"/>
        </w:rPr>
        <w:t>家单位的办公用房调剂工作。</w:t>
      </w:r>
    </w:p>
    <w:p>
      <w:pPr>
        <w:shd w:val="clear" w:color="auto" w:fill="FFFFFF"/>
        <w:spacing w:line="576" w:lineRule="exact"/>
        <w:ind w:firstLine="643" w:firstLineChars="200"/>
        <w:rPr>
          <w:rFonts w:ascii="黑体" w:hAnsi="Tahoma" w:eastAsia="黑体"/>
          <w:b/>
          <w:sz w:val="32"/>
          <w:szCs w:val="32"/>
        </w:rPr>
      </w:pP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rPr>
        <w:t>突出“优质服务”这一核心关键，全力推进重点工作目标任务的完成</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 xml:space="preserve"> </w:t>
      </w:r>
      <w:r>
        <w:rPr>
          <w:rFonts w:hint="eastAsia" w:ascii="黑体" w:hAnsi="黑体" w:eastAsia="黑体"/>
          <w:b/>
          <w:sz w:val="32"/>
          <w:szCs w:val="32"/>
        </w:rPr>
        <w:t xml:space="preserve">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始终坚持围绕中心、精细服务、整体联动、从严要求，不断健全相关制度，优化接待流程，规范公务用车管理，后勤服务高质量、高效率运转。</w:t>
      </w:r>
      <w:r>
        <w:rPr>
          <w:rFonts w:hint="eastAsia" w:ascii="楷体_GB2312" w:eastAsia="楷体_GB2312"/>
          <w:b/>
          <w:sz w:val="32"/>
          <w:szCs w:val="32"/>
        </w:rPr>
        <w:t>一是坚持标准化接待。</w:t>
      </w:r>
      <w:r>
        <w:rPr>
          <w:rFonts w:hint="eastAsia" w:ascii="仿宋_GB2312" w:eastAsia="仿宋_GB2312"/>
          <w:sz w:val="32"/>
          <w:szCs w:val="32"/>
        </w:rPr>
        <w:t>认真贯彻落实中央八项规定、省委省政府十项意见、《四川省党政机关国内公务接待管理办法》、《四川省贯彻&lt;党政机关厉行节约反对浪费条例&gt;》，规范公务接待标准，围绕“六个严格”要求，严格执行接待审批、接待公函、接待清单制度。抓好重大活动保障，树立大中心意识和服务意识，进一步规范工作流程和服务标准，坚持节俭务实、安全高效做好重大会议和重大活动的服务工作。改进和提高个接待点和现场点接待工作水平，对重要接待、重大活动提前讨论、提前参与、提前协调，充分考虑接待工作细节以及不确定因素，精细检查接待环节，做到超前谋、心中有数。2019年，我中心圆满完成了全国民族团结进步示范县验收、阿坝州扶贫活动主题日暨扶贫推进会等大型接待10余次，省厅级以上接待 200余次，外事接待 3次，全年预计完成接待任务270批次，共6500人次。</w:t>
      </w:r>
      <w:r>
        <w:rPr>
          <w:rFonts w:hint="eastAsia" w:ascii="楷体_GB2312" w:eastAsia="楷体_GB2312"/>
          <w:b/>
          <w:sz w:val="32"/>
          <w:szCs w:val="32"/>
        </w:rPr>
        <w:t>二是坚持规范化管理。</w:t>
      </w:r>
      <w:r>
        <w:rPr>
          <w:rFonts w:hint="eastAsia" w:ascii="仿宋_GB2312" w:eastAsia="仿宋_GB2312"/>
          <w:sz w:val="32"/>
          <w:szCs w:val="32"/>
        </w:rPr>
        <w:t>强化安全保卫，严格按照集中办公区门卫管理制度，做好外来出入人员的登记、确认工作，积极配合相关部门做好集中办公区信访人员的引导，确保集中办公区正常工作轶序。加强对集中办公区内部消防、电梯、供电等重点设施设备和重点部位的日常巡查管理及维护保养，进一步规范了各类警示标语和温馨提示牌，按期完成集中办公区14部电梯的年检工作和零部件维修更换；严格按照定人定岗定区域的要求，做好集中办公区公共区域卫生保洁工作，确保办公区及周边洁净；为进一步规范行政集中办公区地下停车场和老政府停车场停车秩序，对两个停车场停车系统进行了升级，并安装高清摄像头，保障停车场正常秩序，通过设置停车系统车位总数，有效控制外来车辆的进出数量，确保了两个停车场车辆的有序停放，全年保障了集中办公区和老政府停车场15000余辆车的有序停放。</w:t>
      </w:r>
      <w:r>
        <w:rPr>
          <w:rFonts w:hint="eastAsia" w:ascii="楷体_GB2312" w:eastAsia="楷体_GB2312"/>
          <w:b/>
          <w:sz w:val="32"/>
          <w:szCs w:val="32"/>
        </w:rPr>
        <w:t>三是坚持优质化服务。</w:t>
      </w:r>
      <w:r>
        <w:rPr>
          <w:rFonts w:hint="eastAsia" w:ascii="仿宋_GB2312" w:eastAsia="仿宋_GB2312"/>
          <w:sz w:val="32"/>
          <w:szCs w:val="32"/>
        </w:rPr>
        <w:t>全力以赴精心做好全县综合性会议和日常工作会议的会务服务工作，进一步完善会场服务、保洁、设备维护管理制度，严格按照服务人性化、标准化和规范化要求，精简会议活动，简化并规范会议服务项目、流程和标准，提升会务服务水平，全年预计完成全县大小会务服务540次，其中视频会议 70次。</w:t>
      </w:r>
    </w:p>
    <w:p>
      <w:pPr>
        <w:pStyle w:val="3"/>
        <w:spacing w:line="576" w:lineRule="exact"/>
        <w:rPr>
          <w:rStyle w:val="26"/>
          <w:b w:val="0"/>
          <w:bCs w:val="0"/>
        </w:rPr>
      </w:pPr>
      <w:bookmarkStart w:id="20" w:name="_Toc15377200"/>
      <w:bookmarkStart w:id="21" w:name="_Toc15396601"/>
      <w:r>
        <w:rPr>
          <w:rFonts w:hint="eastAsia" w:ascii="黑体" w:eastAsia="黑体"/>
          <w:b w:val="0"/>
          <w:color w:val="000000"/>
        </w:rPr>
        <w:t xml:space="preserve">    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spacing w:line="576" w:lineRule="exact"/>
        <w:rPr>
          <w:rFonts w:ascii="仿宋" w:hAnsi="仿宋" w:eastAsia="仿宋"/>
          <w:sz w:val="32"/>
          <w:szCs w:val="32"/>
        </w:rPr>
      </w:pPr>
      <w:r>
        <w:rPr>
          <w:rFonts w:hint="eastAsia" w:ascii="仿宋" w:hAnsi="仿宋" w:eastAsia="仿宋"/>
          <w:sz w:val="32"/>
          <w:szCs w:val="32"/>
        </w:rPr>
        <w:t xml:space="preserve">   茂县公务服务中心无下属二级单位。</w:t>
      </w:r>
    </w:p>
    <w:p>
      <w:pPr>
        <w:pStyle w:val="2"/>
        <w:spacing w:line="576" w:lineRule="exact"/>
        <w:ind w:right="440"/>
        <w:jc w:val="right"/>
        <w:rPr>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Pr>
        <w:pStyle w:val="24"/>
        <w:numPr>
          <w:ilvl w:val="0"/>
          <w:numId w:val="1"/>
        </w:numPr>
        <w:spacing w:line="576"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1202690</wp:posOffset>
            </wp:positionV>
            <wp:extent cx="5038725" cy="2457450"/>
            <wp:effectExtent l="19050" t="0" r="9525"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2019年度收、支总计584.88万元。与2018年相比，收、支总计各增加395.51万元，增长67.62</w:t>
      </w:r>
      <w:r>
        <w:rPr>
          <w:rFonts w:ascii="仿宋" w:hAnsi="仿宋" w:eastAsia="仿宋"/>
          <w:color w:val="000000"/>
          <w:sz w:val="32"/>
          <w:szCs w:val="32"/>
        </w:rPr>
        <w:t>%</w:t>
      </w:r>
      <w:r>
        <w:rPr>
          <w:rFonts w:hint="eastAsia" w:ascii="仿宋" w:hAnsi="仿宋" w:eastAsia="仿宋"/>
          <w:color w:val="000000"/>
          <w:sz w:val="32"/>
          <w:szCs w:val="32"/>
        </w:rPr>
        <w:t>。主要变动原因是项目增加、工作经费增加。</w:t>
      </w:r>
    </w:p>
    <w:p>
      <w:pPr>
        <w:spacing w:line="576" w:lineRule="exact"/>
        <w:ind w:firstLine="640" w:firstLineChars="200"/>
        <w:rPr>
          <w:rFonts w:ascii="仿宋" w:hAnsi="仿宋" w:eastAsia="仿宋"/>
          <w:color w:val="000000"/>
          <w:sz w:val="32"/>
          <w:szCs w:val="32"/>
        </w:rPr>
      </w:pPr>
    </w:p>
    <w:p>
      <w:pPr>
        <w:spacing w:line="576"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576" w:lineRule="exact"/>
        <w:ind w:firstLine="640" w:firstLineChars="200"/>
        <w:jc w:val="left"/>
        <w:rPr>
          <w:rFonts w:ascii="仿宋_GB2312" w:eastAsia="仿宋_GB2312"/>
          <w:color w:val="000000"/>
          <w:sz w:val="32"/>
          <w:szCs w:val="32"/>
        </w:rPr>
      </w:pPr>
    </w:p>
    <w:p>
      <w:pPr>
        <w:pStyle w:val="24"/>
        <w:numPr>
          <w:ilvl w:val="0"/>
          <w:numId w:val="1"/>
        </w:numPr>
        <w:spacing w:line="576"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576"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9年本年收入合计584.88万元，其中：一般公共预算财政拨款收入584.88万元，占100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76"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201295</wp:posOffset>
            </wp:positionV>
            <wp:extent cx="5219700" cy="1924050"/>
            <wp:effectExtent l="19050" t="0" r="1905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6" w:lineRule="exact"/>
        <w:ind w:firstLine="1600" w:firstLineChars="5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576" w:lineRule="exact"/>
        <w:ind w:firstLine="640" w:firstLineChars="200"/>
        <w:rPr>
          <w:rFonts w:ascii="仿宋_GB2312" w:eastAsia="仿宋_GB2312"/>
          <w:color w:val="FF0000"/>
          <w:sz w:val="32"/>
          <w:szCs w:val="32"/>
        </w:rPr>
      </w:pPr>
    </w:p>
    <w:p>
      <w:pPr>
        <w:pStyle w:val="24"/>
        <w:numPr>
          <w:ilvl w:val="0"/>
          <w:numId w:val="1"/>
        </w:numPr>
        <w:spacing w:line="576"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576"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-38100</wp:posOffset>
            </wp:positionH>
            <wp:positionV relativeFrom="paragraph">
              <wp:posOffset>1648460</wp:posOffset>
            </wp:positionV>
            <wp:extent cx="5274310" cy="2305050"/>
            <wp:effectExtent l="19050" t="0" r="21590" b="0"/>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9年本年支出合计525.73万元，其中：基本支出508.84万元，占91</w:t>
      </w:r>
      <w:r>
        <w:rPr>
          <w:rFonts w:ascii="仿宋" w:hAnsi="仿宋" w:eastAsia="仿宋"/>
          <w:color w:val="000000"/>
          <w:sz w:val="32"/>
          <w:szCs w:val="32"/>
        </w:rPr>
        <w:t>%</w:t>
      </w:r>
      <w:r>
        <w:rPr>
          <w:rFonts w:hint="eastAsia" w:ascii="仿宋" w:hAnsi="仿宋" w:eastAsia="仿宋"/>
          <w:color w:val="000000"/>
          <w:sz w:val="32"/>
          <w:szCs w:val="32"/>
        </w:rPr>
        <w:t>；项目支出16.90万元，占9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76"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（图3：支出决算结构图）</w:t>
      </w:r>
    </w:p>
    <w:p>
      <w:pPr>
        <w:spacing w:line="576"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576"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200025</wp:posOffset>
            </wp:positionH>
            <wp:positionV relativeFrom="paragraph">
              <wp:posOffset>1211580</wp:posOffset>
            </wp:positionV>
            <wp:extent cx="5029200" cy="2447925"/>
            <wp:effectExtent l="19050" t="0" r="1905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9年财政拨款收、支总计584.88万元。与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8年相比，财政拨款收、支总计各增加395.51万元，增长67.62</w:t>
      </w:r>
      <w:r>
        <w:rPr>
          <w:rFonts w:ascii="仿宋" w:hAnsi="仿宋" w:eastAsia="仿宋"/>
          <w:color w:val="000000"/>
          <w:sz w:val="32"/>
          <w:szCs w:val="32"/>
        </w:rPr>
        <w:t>%</w:t>
      </w:r>
      <w:r>
        <w:rPr>
          <w:rFonts w:hint="eastAsia" w:ascii="仿宋" w:hAnsi="仿宋" w:eastAsia="仿宋"/>
          <w:color w:val="000000"/>
          <w:sz w:val="32"/>
          <w:szCs w:val="32"/>
        </w:rPr>
        <w:t>。主要变动原因是项目增加、工作经费增加。</w:t>
      </w:r>
    </w:p>
    <w:p>
      <w:pPr>
        <w:spacing w:line="576" w:lineRule="exact"/>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pPr>
        <w:spacing w:line="576"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576" w:lineRule="exact"/>
        <w:ind w:firstLine="643" w:firstLineChars="200"/>
        <w:outlineLvl w:val="2"/>
        <w:rPr>
          <w:rFonts w:hint="eastAsia" w:ascii="楷体" w:hAnsi="楷体" w:eastAsia="楷体" w:cs="楷体"/>
          <w:b/>
          <w:color w:val="000000"/>
          <w:sz w:val="32"/>
          <w:szCs w:val="32"/>
        </w:rPr>
      </w:pPr>
      <w:bookmarkStart w:id="34" w:name="_Toc15377210"/>
      <w:r>
        <w:rPr>
          <w:rFonts w:hint="eastAsia" w:ascii="楷体" w:hAnsi="楷体" w:eastAsia="楷体" w:cs="楷体"/>
          <w:b/>
          <w:color w:val="000000"/>
          <w:sz w:val="32"/>
          <w:szCs w:val="32"/>
        </w:rPr>
        <w:t>（一）一般公共预算财政拨款支出决算总体情况</w:t>
      </w:r>
      <w:bookmarkEnd w:id="34"/>
    </w:p>
    <w:p>
      <w:pPr>
        <w:spacing w:line="576"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323850</wp:posOffset>
            </wp:positionH>
            <wp:positionV relativeFrom="paragraph">
              <wp:posOffset>1626870</wp:posOffset>
            </wp:positionV>
            <wp:extent cx="4781550" cy="1962150"/>
            <wp:effectExtent l="19050" t="0" r="19050"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9年一般公共预算财政拨款支出525.73万元，占本年支出合计的100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8年相比，一般公共预算财政拨款增加336.5万元，增长67.62</w:t>
      </w:r>
      <w:r>
        <w:rPr>
          <w:rFonts w:ascii="仿宋" w:hAnsi="仿宋" w:eastAsia="仿宋"/>
          <w:color w:val="000000"/>
          <w:sz w:val="32"/>
          <w:szCs w:val="32"/>
        </w:rPr>
        <w:t>%</w:t>
      </w:r>
      <w:r>
        <w:rPr>
          <w:rFonts w:hint="eastAsia" w:ascii="仿宋" w:hAnsi="仿宋" w:eastAsia="仿宋"/>
          <w:color w:val="000000"/>
          <w:sz w:val="32"/>
          <w:szCs w:val="32"/>
        </w:rPr>
        <w:t>。主要变动原因是项目增加、工作经费增加。</w:t>
      </w:r>
    </w:p>
    <w:p>
      <w:pPr>
        <w:spacing w:line="576"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576" w:lineRule="exact"/>
        <w:ind w:firstLine="643" w:firstLineChars="200"/>
        <w:outlineLvl w:val="2"/>
        <w:rPr>
          <w:rFonts w:hint="eastAsia" w:ascii="楷体" w:hAnsi="楷体" w:eastAsia="楷体" w:cs="楷体"/>
          <w:b/>
          <w:color w:val="000000"/>
          <w:sz w:val="32"/>
          <w:szCs w:val="32"/>
        </w:rPr>
      </w:pPr>
      <w:bookmarkStart w:id="35" w:name="_Toc15377211"/>
      <w:r>
        <w:rPr>
          <w:rFonts w:hint="eastAsia" w:ascii="楷体" w:hAnsi="楷体" w:eastAsia="楷体" w:cs="楷体"/>
          <w:b/>
          <w:color w:val="000000"/>
          <w:sz w:val="32"/>
          <w:szCs w:val="32"/>
        </w:rPr>
        <w:t>（二）一般公共预算财政拨款支出决算结构情况</w:t>
      </w:r>
      <w:bookmarkEnd w:id="35"/>
    </w:p>
    <w:p>
      <w:pPr>
        <w:spacing w:line="576" w:lineRule="exact"/>
        <w:ind w:firstLine="640"/>
        <w:rPr>
          <w:rFonts w:ascii="仿宋" w:hAnsi="仿宋" w:eastAsia="仿宋"/>
          <w:color w:val="000000" w:themeColor="text1"/>
          <w:sz w:val="32"/>
          <w:szCs w:val="32"/>
        </w:rPr>
      </w:pP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57150</wp:posOffset>
            </wp:positionH>
            <wp:positionV relativeFrom="paragraph">
              <wp:posOffset>1945005</wp:posOffset>
            </wp:positionV>
            <wp:extent cx="5274310" cy="2486025"/>
            <wp:effectExtent l="19050" t="0" r="21590" b="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政拨款支出525.73万元，主要用于以下方面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支出489.94万元，占93.19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支出17.27万元，占3.28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7.67万元，占1.45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住房保障支出（类）</w:t>
      </w:r>
      <w:r>
        <w:rPr>
          <w:rFonts w:hint="eastAsia" w:ascii="仿宋" w:hAnsi="仿宋" w:eastAsia="仿宋"/>
          <w:color w:val="000000" w:themeColor="text1"/>
          <w:sz w:val="32"/>
          <w:szCs w:val="32"/>
        </w:rPr>
        <w:t>10.85万元，占2.08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576" w:lineRule="exact"/>
        <w:ind w:firstLine="640"/>
        <w:rPr>
          <w:rFonts w:ascii="仿宋" w:hAnsi="仿宋" w:eastAsia="仿宋"/>
          <w:color w:val="000000" w:themeColor="text1"/>
          <w:sz w:val="32"/>
          <w:szCs w:val="32"/>
        </w:rPr>
      </w:pPr>
    </w:p>
    <w:p>
      <w:pPr>
        <w:spacing w:line="576"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576" w:lineRule="exact"/>
        <w:ind w:firstLine="643" w:firstLineChars="200"/>
        <w:outlineLvl w:val="2"/>
        <w:rPr>
          <w:rFonts w:hint="eastAsia" w:ascii="楷体" w:hAnsi="楷体" w:eastAsia="楷体" w:cs="楷体"/>
          <w:b/>
          <w:color w:val="000000"/>
          <w:sz w:val="32"/>
          <w:szCs w:val="32"/>
        </w:rPr>
      </w:pPr>
      <w:bookmarkStart w:id="36" w:name="_Toc15377212"/>
      <w:r>
        <w:rPr>
          <w:rFonts w:hint="eastAsia" w:ascii="楷体" w:hAnsi="楷体" w:eastAsia="楷体" w:cs="楷体"/>
          <w:b/>
          <w:color w:val="000000"/>
          <w:sz w:val="32"/>
          <w:szCs w:val="32"/>
        </w:rPr>
        <w:t>（三）一般公共预算财政拨款支出决算具体情况</w:t>
      </w:r>
      <w:bookmarkEnd w:id="36"/>
    </w:p>
    <w:p>
      <w:pPr>
        <w:spacing w:line="576"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2019年般公共预算支出决算数为525.73</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576"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一般公共服务（类）政府办公厅（室）及相关机构事务（款）其他政府办公厅（室）及相关机构事务支出（项）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支出决算为16.90万元，完成预算100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6" w:lineRule="exact"/>
        <w:ind w:firstLine="643" w:firstLineChars="200"/>
        <w:rPr>
          <w:rFonts w:ascii="仿宋" w:hAnsi="仿宋" w:eastAsia="仿宋"/>
          <w:bCs/>
          <w:color w:val="000000"/>
          <w:sz w:val="32"/>
          <w:szCs w:val="32"/>
        </w:rPr>
      </w:pPr>
      <w:r>
        <w:rPr>
          <w:rStyle w:val="15"/>
          <w:rFonts w:hint="eastAsia" w:ascii="仿宋" w:hAnsi="仿宋" w:eastAsia="仿宋"/>
          <w:bCs/>
          <w:color w:val="000000"/>
          <w:sz w:val="32"/>
          <w:szCs w:val="32"/>
        </w:rPr>
        <w:t>2. 一般公共服务（类）政府办公厅（室）及相关机构事务（款）事业运行（项）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支出决算为532.19万元，完成预算100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6"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Fonts w:hint="eastAsia" w:ascii="仿宋_GB2312" w:hAnsi="仿宋" w:eastAsia="仿宋_GB2312" w:cs="仿宋"/>
          <w:sz w:val="32"/>
          <w:szCs w:val="32"/>
        </w:rPr>
        <w:t xml:space="preserve"> </w:t>
      </w:r>
      <w:r>
        <w:rPr>
          <w:rStyle w:val="15"/>
          <w:rFonts w:hint="eastAsia" w:ascii="仿宋" w:hAnsi="仿宋" w:eastAsia="仿宋"/>
          <w:bCs/>
          <w:color w:val="000000"/>
          <w:sz w:val="32"/>
          <w:szCs w:val="32"/>
        </w:rPr>
        <w:t>社会保障和就业支出（类）行政事业单位养老支出（款）机关事业单位基本养老保险缴费支出（项）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支出决算为11.67万元，完成预算100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6" w:lineRule="exact"/>
        <w:ind w:firstLine="643" w:firstLineChars="200"/>
        <w:rPr>
          <w:rFonts w:ascii="仿宋" w:hAnsi="仿宋" w:eastAsia="仿宋"/>
          <w:bCs/>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Fonts w:hint="eastAsia" w:ascii="仿宋_GB2312" w:hAnsi="仿宋" w:eastAsia="仿宋_GB2312" w:cs="仿宋"/>
          <w:sz w:val="32"/>
          <w:szCs w:val="32"/>
        </w:rPr>
        <w:t xml:space="preserve"> </w:t>
      </w:r>
      <w:r>
        <w:rPr>
          <w:rStyle w:val="15"/>
          <w:rFonts w:hint="eastAsia" w:ascii="仿宋" w:hAnsi="仿宋" w:eastAsia="仿宋"/>
          <w:bCs/>
          <w:color w:val="000000"/>
          <w:sz w:val="32"/>
          <w:szCs w:val="32"/>
        </w:rPr>
        <w:t>社会保障和就业支出（类）行政事业单位养老支出（款）机关事业单位职业年金缴费支出（项）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支出决算为5.61万元，完成预算100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6"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5.</w:t>
      </w:r>
      <w:r>
        <w:rPr>
          <w:rFonts w:hint="eastAsia" w:ascii="仿宋" w:hAnsi="仿宋" w:eastAsia="仿宋"/>
          <w:bCs/>
          <w:color w:val="000000" w:themeColor="text1"/>
          <w:sz w:val="32"/>
          <w:szCs w:val="32"/>
        </w:rPr>
        <w:t xml:space="preserve"> </w:t>
      </w:r>
      <w:r>
        <w:rPr>
          <w:rFonts w:hint="eastAsia" w:ascii="仿宋" w:hAnsi="仿宋" w:eastAsia="仿宋"/>
          <w:b/>
          <w:bCs/>
          <w:color w:val="000000" w:themeColor="text1"/>
          <w:sz w:val="32"/>
          <w:szCs w:val="32"/>
        </w:rPr>
        <w:t>卫生健康</w:t>
      </w:r>
      <w:r>
        <w:rPr>
          <w:rStyle w:val="15"/>
          <w:rFonts w:hint="eastAsia" w:ascii="仿宋" w:hAnsi="仿宋" w:eastAsia="仿宋"/>
          <w:bCs/>
          <w:color w:val="000000"/>
          <w:sz w:val="32"/>
          <w:szCs w:val="32"/>
        </w:rPr>
        <w:t>（类）行政事业单位医疗（款）事业单位医疗（项）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 xml:space="preserve"> 支出决算为7.67万元，完成预算100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576" w:lineRule="exact"/>
        <w:ind w:firstLine="643" w:firstLineChars="200"/>
        <w:rPr>
          <w:rStyle w:val="15"/>
          <w:rFonts w:ascii="仿宋" w:hAnsi="仿宋" w:eastAsia="仿宋"/>
          <w:b w:val="0"/>
          <w:bCs/>
          <w:color w:val="000000"/>
          <w:sz w:val="32"/>
          <w:szCs w:val="32"/>
        </w:rPr>
      </w:pPr>
      <w:r>
        <w:rPr>
          <w:rFonts w:hint="eastAsia" w:ascii="仿宋" w:hAnsi="仿宋" w:eastAsia="仿宋"/>
          <w:b/>
          <w:color w:val="000000"/>
          <w:sz w:val="32"/>
          <w:szCs w:val="32"/>
        </w:rPr>
        <w:t>6.</w:t>
      </w:r>
      <w:r>
        <w:rPr>
          <w:rFonts w:hint="eastAsia"/>
        </w:rPr>
        <w:t xml:space="preserve"> </w:t>
      </w:r>
      <w:r>
        <w:rPr>
          <w:rFonts w:hint="eastAsia" w:ascii="仿宋" w:hAnsi="仿宋" w:eastAsia="仿宋"/>
          <w:b/>
          <w:color w:val="000000"/>
          <w:sz w:val="32"/>
          <w:szCs w:val="32"/>
        </w:rPr>
        <w:t>住房保障支出(</w:t>
      </w:r>
      <w:r>
        <w:rPr>
          <w:rStyle w:val="15"/>
          <w:rFonts w:hint="eastAsia" w:ascii="仿宋" w:hAnsi="仿宋" w:eastAsia="仿宋"/>
          <w:bCs/>
          <w:color w:val="000000"/>
          <w:sz w:val="32"/>
          <w:szCs w:val="32"/>
        </w:rPr>
        <w:t>类</w:t>
      </w:r>
      <w:r>
        <w:rPr>
          <w:rFonts w:hint="eastAsia" w:ascii="仿宋" w:hAnsi="仿宋" w:eastAsia="仿宋"/>
          <w:b/>
          <w:color w:val="000000"/>
          <w:sz w:val="32"/>
          <w:szCs w:val="32"/>
        </w:rPr>
        <w:t>)</w:t>
      </w:r>
      <w:r>
        <w:rPr>
          <w:rFonts w:hint="eastAsia"/>
        </w:rPr>
        <w:t xml:space="preserve"> </w:t>
      </w:r>
      <w:r>
        <w:rPr>
          <w:rFonts w:hint="eastAsia" w:ascii="仿宋" w:hAnsi="仿宋" w:eastAsia="仿宋"/>
          <w:b/>
          <w:color w:val="000000"/>
          <w:sz w:val="32"/>
          <w:szCs w:val="32"/>
        </w:rPr>
        <w:t>住房改革支出(</w:t>
      </w:r>
      <w:r>
        <w:rPr>
          <w:rStyle w:val="15"/>
          <w:rFonts w:hint="eastAsia" w:ascii="仿宋" w:hAnsi="仿宋" w:eastAsia="仿宋"/>
          <w:bCs/>
          <w:color w:val="000000"/>
          <w:sz w:val="32"/>
          <w:szCs w:val="32"/>
        </w:rPr>
        <w:t>款</w:t>
      </w:r>
      <w:r>
        <w:rPr>
          <w:rFonts w:hint="eastAsia" w:ascii="仿宋" w:hAnsi="仿宋" w:eastAsia="仿宋"/>
          <w:b/>
          <w:color w:val="000000"/>
          <w:sz w:val="32"/>
          <w:szCs w:val="32"/>
        </w:rPr>
        <w:t>)</w:t>
      </w:r>
      <w:r>
        <w:rPr>
          <w:rFonts w:hint="eastAsia"/>
        </w:rPr>
        <w:t xml:space="preserve"> </w:t>
      </w:r>
      <w:r>
        <w:rPr>
          <w:rFonts w:hint="eastAsia" w:ascii="仿宋" w:hAnsi="仿宋" w:eastAsia="仿宋"/>
          <w:b/>
          <w:color w:val="000000"/>
          <w:sz w:val="32"/>
          <w:szCs w:val="32"/>
        </w:rPr>
        <w:t>住房公积金(</w:t>
      </w:r>
      <w:r>
        <w:rPr>
          <w:rStyle w:val="15"/>
          <w:rFonts w:hint="eastAsia" w:ascii="仿宋" w:hAnsi="仿宋" w:eastAsia="仿宋"/>
          <w:bCs/>
          <w:color w:val="000000"/>
          <w:sz w:val="32"/>
          <w:szCs w:val="32"/>
        </w:rPr>
        <w:t>项</w:t>
      </w:r>
      <w:r>
        <w:rPr>
          <w:rFonts w:hint="eastAsia" w:ascii="仿宋" w:hAnsi="仿宋" w:eastAsia="仿宋"/>
          <w:b/>
          <w:color w:val="000000"/>
          <w:sz w:val="32"/>
          <w:szCs w:val="32"/>
        </w:rPr>
        <w:t>):</w:t>
      </w:r>
      <w:r>
        <w:rPr>
          <w:rStyle w:val="15"/>
          <w:rFonts w:hint="eastAsia" w:ascii="仿宋" w:hAnsi="仿宋" w:eastAsia="仿宋"/>
          <w:b w:val="0"/>
          <w:bCs/>
          <w:color w:val="000000"/>
          <w:sz w:val="32"/>
          <w:szCs w:val="32"/>
        </w:rPr>
        <w:t xml:space="preserve"> 支出决算为10.85万元，完成预算100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576"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576"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9年一般公共预算财政拨款基本支出508.84万元，其中：</w:t>
      </w:r>
    </w:p>
    <w:p>
      <w:pPr>
        <w:spacing w:line="576" w:lineRule="exact"/>
        <w:ind w:firstLine="645"/>
        <w:rPr>
          <w:rFonts w:ascii="仿宋" w:hAnsi="仿宋" w:eastAsia="仿宋"/>
          <w:color w:val="000000"/>
          <w:sz w:val="32"/>
          <w:szCs w:val="32"/>
        </w:rPr>
      </w:pPr>
      <w:r>
        <w:rPr>
          <w:rFonts w:hint="eastAsia" w:ascii="仿宋" w:hAnsi="仿宋" w:eastAsia="仿宋"/>
          <w:color w:val="000000"/>
          <w:sz w:val="32"/>
          <w:szCs w:val="32"/>
        </w:rPr>
        <w:t>人员经费128.74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380.10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76"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576" w:lineRule="exact"/>
        <w:ind w:firstLine="643" w:firstLineChars="200"/>
        <w:outlineLvl w:val="2"/>
        <w:rPr>
          <w:rFonts w:hint="eastAsia" w:ascii="楷体" w:hAnsi="楷体" w:eastAsia="楷体" w:cs="楷体"/>
          <w:b/>
          <w:color w:val="000000"/>
          <w:sz w:val="32"/>
          <w:szCs w:val="32"/>
        </w:rPr>
      </w:pPr>
      <w:bookmarkStart w:id="44" w:name="_Toc15377216"/>
      <w:r>
        <w:rPr>
          <w:rFonts w:hint="eastAsia" w:ascii="楷体" w:hAnsi="楷体" w:eastAsia="楷体" w:cs="楷体"/>
          <w:b/>
          <w:color w:val="000000"/>
          <w:sz w:val="32"/>
          <w:szCs w:val="32"/>
        </w:rPr>
        <w:t>（一）“三公”经费财政拨款支出决算总体情况说明</w:t>
      </w:r>
      <w:bookmarkEnd w:id="44"/>
    </w:p>
    <w:p>
      <w:pPr>
        <w:spacing w:line="576"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9年“三公”经费财政拨款支出决算为78.50万元，完成预算100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576" w:lineRule="exact"/>
        <w:ind w:firstLine="643" w:firstLineChars="200"/>
        <w:outlineLvl w:val="2"/>
        <w:rPr>
          <w:rFonts w:hint="eastAsia" w:ascii="楷体" w:hAnsi="楷体" w:eastAsia="楷体" w:cs="楷体"/>
          <w:b/>
          <w:color w:val="000000"/>
          <w:sz w:val="32"/>
          <w:szCs w:val="32"/>
        </w:rPr>
      </w:pPr>
      <w:bookmarkStart w:id="45" w:name="_Toc15377217"/>
      <w:r>
        <w:rPr>
          <w:rFonts w:hint="eastAsia" w:ascii="楷体" w:hAnsi="楷体" w:eastAsia="楷体" w:cs="楷体"/>
          <w:b/>
          <w:color w:val="000000"/>
          <w:sz w:val="32"/>
          <w:szCs w:val="32"/>
        </w:rPr>
        <w:t>（二）“三公”经费财政拨款支出决算具体情况说明</w:t>
      </w:r>
      <w:bookmarkEnd w:id="45"/>
    </w:p>
    <w:p>
      <w:pPr>
        <w:spacing w:line="576"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238125</wp:posOffset>
            </wp:positionH>
            <wp:positionV relativeFrom="paragraph">
              <wp:posOffset>1217295</wp:posOffset>
            </wp:positionV>
            <wp:extent cx="4807585" cy="2057400"/>
            <wp:effectExtent l="19050" t="0" r="12065"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9年“三公”经费财政拨款支出决算中，因公出国（境）费支出决算0万元；公务用车购置及运行维护费支出决算0万元；公务接待费支出决算78.50万元。具体情况如下：</w:t>
      </w:r>
    </w:p>
    <w:p>
      <w:pPr>
        <w:spacing w:line="576" w:lineRule="exact"/>
        <w:ind w:firstLine="640"/>
        <w:rPr>
          <w:rFonts w:ascii="仿宋" w:hAnsi="仿宋" w:eastAsia="仿宋"/>
          <w:color w:val="000000"/>
          <w:sz w:val="32"/>
          <w:szCs w:val="32"/>
        </w:rPr>
      </w:pPr>
    </w:p>
    <w:p>
      <w:pPr>
        <w:spacing w:line="576"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w:t>
      </w:r>
    </w:p>
    <w:p>
      <w:pPr>
        <w:spacing w:line="576"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8年增加0万元。</w:t>
      </w:r>
    </w:p>
    <w:p>
      <w:pPr>
        <w:spacing w:line="576"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8年增加0万元。</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w:t>
      </w:r>
    </w:p>
    <w:p>
      <w:pPr>
        <w:spacing w:line="576"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576"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78.50万元，</w:t>
      </w:r>
      <w:r>
        <w:rPr>
          <w:rFonts w:hint="eastAsia" w:ascii="仿宋_GB2312" w:eastAsia="仿宋_GB2312"/>
          <w:color w:val="000000"/>
          <w:sz w:val="32"/>
          <w:szCs w:val="32"/>
          <w:lang w:eastAsia="zh-CN"/>
        </w:rPr>
        <w:t>其中接待</w:t>
      </w:r>
      <w:r>
        <w:rPr>
          <w:rFonts w:hint="eastAsia" w:ascii="仿宋_GB2312" w:eastAsia="仿宋_GB2312"/>
          <w:color w:val="000000"/>
          <w:sz w:val="32"/>
          <w:szCs w:val="32"/>
          <w:lang w:val="en-US" w:eastAsia="zh-CN"/>
        </w:rPr>
        <w:t>274批次，5573人，</w:t>
      </w:r>
      <w:bookmarkStart w:id="75" w:name="_GoBack"/>
      <w:bookmarkEnd w:id="75"/>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8年减少113.1万元，下降59%，部分接待费未报账。</w:t>
      </w:r>
    </w:p>
    <w:p>
      <w:pPr>
        <w:spacing w:line="576"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78.50</w:t>
      </w:r>
      <w:r>
        <w:rPr>
          <w:rFonts w:hint="eastAsia" w:ascii="仿宋_GB2312" w:eastAsia="仿宋_GB2312"/>
          <w:color w:val="000000"/>
          <w:sz w:val="32"/>
          <w:szCs w:val="32"/>
        </w:rPr>
        <w:t>万元。</w:t>
      </w:r>
    </w:p>
    <w:p>
      <w:pPr>
        <w:spacing w:line="576"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w:t>
      </w:r>
      <w:bookmarkStart w:id="46" w:name="_Toc15377218"/>
      <w:bookmarkStart w:id="47" w:name="_Toc15396610"/>
    </w:p>
    <w:p>
      <w:pPr>
        <w:spacing w:line="576"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576"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576"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76"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576" w:lineRule="exact"/>
        <w:ind w:firstLine="643" w:firstLineChars="200"/>
        <w:outlineLvl w:val="2"/>
        <w:rPr>
          <w:rFonts w:hint="eastAsia" w:ascii="楷体" w:hAnsi="楷体" w:eastAsia="楷体" w:cs="楷体"/>
          <w:b/>
          <w:color w:val="000000"/>
          <w:sz w:val="32"/>
          <w:szCs w:val="32"/>
        </w:rPr>
      </w:pPr>
      <w:bookmarkStart w:id="52" w:name="_Toc15377222"/>
      <w:r>
        <w:rPr>
          <w:rFonts w:hint="eastAsia" w:ascii="楷体" w:hAnsi="楷体" w:eastAsia="楷体" w:cs="楷体"/>
          <w:b/>
          <w:color w:val="000000"/>
          <w:sz w:val="32"/>
          <w:szCs w:val="32"/>
        </w:rPr>
        <w:t>（一）机关运行经费支出情况</w:t>
      </w:r>
      <w:bookmarkEnd w:id="52"/>
    </w:p>
    <w:p>
      <w:pPr>
        <w:spacing w:line="576"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9年，茂县公务服务中心机关运行经费支出0万元，与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p>
    <w:p>
      <w:pPr>
        <w:spacing w:line="576" w:lineRule="exact"/>
        <w:ind w:firstLine="643" w:firstLineChars="200"/>
        <w:outlineLvl w:val="2"/>
        <w:rPr>
          <w:rFonts w:hint="eastAsia" w:ascii="楷体" w:hAnsi="楷体" w:eastAsia="楷体" w:cs="楷体"/>
          <w:b/>
          <w:color w:val="000000"/>
          <w:sz w:val="32"/>
          <w:szCs w:val="32"/>
        </w:rPr>
      </w:pPr>
      <w:bookmarkStart w:id="53" w:name="_Toc15377223"/>
      <w:r>
        <w:rPr>
          <w:rFonts w:hint="eastAsia" w:ascii="楷体" w:hAnsi="楷体" w:eastAsia="楷体" w:cs="楷体"/>
          <w:b/>
          <w:color w:val="000000"/>
          <w:sz w:val="32"/>
          <w:szCs w:val="32"/>
        </w:rPr>
        <w:t>（二）政府采购支出情况</w:t>
      </w:r>
      <w:bookmarkEnd w:id="53"/>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9年，茂县公务服务中心政府采购支出总额0万元。</w:t>
      </w:r>
    </w:p>
    <w:p>
      <w:pPr>
        <w:spacing w:line="576" w:lineRule="exact"/>
        <w:ind w:firstLine="643" w:firstLineChars="200"/>
        <w:outlineLvl w:val="2"/>
        <w:rPr>
          <w:rFonts w:hint="eastAsia" w:ascii="楷体" w:hAnsi="楷体" w:eastAsia="楷体" w:cs="楷体"/>
          <w:b/>
          <w:color w:val="000000"/>
          <w:sz w:val="32"/>
          <w:szCs w:val="32"/>
        </w:rPr>
      </w:pPr>
      <w:bookmarkStart w:id="54" w:name="_Toc15377224"/>
      <w:r>
        <w:rPr>
          <w:rFonts w:hint="eastAsia" w:ascii="楷体" w:hAnsi="楷体" w:eastAsia="楷体" w:cs="楷体"/>
          <w:b/>
          <w:color w:val="000000"/>
          <w:sz w:val="32"/>
          <w:szCs w:val="32"/>
        </w:rPr>
        <w:t>（三）国有资产占有使用情况</w:t>
      </w:r>
      <w:bookmarkEnd w:id="54"/>
    </w:p>
    <w:p>
      <w:pPr>
        <w:autoSpaceDE w:val="0"/>
        <w:autoSpaceDN w:val="0"/>
        <w:adjustRightInd w:val="0"/>
        <w:spacing w:line="576"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日，茂县公务服务中心共有车辆0辆。</w:t>
      </w:r>
    </w:p>
    <w:p>
      <w:pPr>
        <w:spacing w:line="576" w:lineRule="exact"/>
        <w:ind w:firstLine="643" w:firstLineChars="200"/>
        <w:outlineLvl w:val="2"/>
        <w:rPr>
          <w:rFonts w:hint="eastAsia" w:ascii="楷体" w:hAnsi="楷体" w:eastAsia="楷体" w:cs="楷体"/>
          <w:b/>
          <w:color w:val="000000"/>
          <w:sz w:val="32"/>
          <w:szCs w:val="32"/>
        </w:rPr>
      </w:pPr>
      <w:r>
        <w:rPr>
          <w:rFonts w:hint="eastAsia" w:ascii="楷体" w:hAnsi="楷体" w:eastAsia="楷体" w:cs="楷体"/>
          <w:b/>
          <w:color w:val="000000"/>
          <w:sz w:val="32"/>
          <w:szCs w:val="32"/>
        </w:rPr>
        <w:t>（四）预算绩效管理情况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本部门按要求对2019年部门整体支出开展绩效自评，从评价情况来看我单位严格按照各项法律法规，财经纪律，完成好各项工作内容，达到年初预期目标。</w:t>
      </w:r>
    </w:p>
    <w:p>
      <w:pPr>
        <w:spacing w:line="576"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1.部门绩效评价结果。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本部门按要求对2019年部门整体支出绩效评价情况开展自评，《茂县公务服务中心2019年部门整体支出绩效评价报告》见附件（附件1）。</w:t>
      </w:r>
    </w:p>
    <w:p>
      <w:pPr>
        <w:widowControl/>
        <w:spacing w:line="576" w:lineRule="exact"/>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576"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576" w:lineRule="exact"/>
        <w:jc w:val="left"/>
        <w:rPr>
          <w:rFonts w:ascii="宋体"/>
          <w:b/>
          <w:color w:val="000000"/>
          <w:sz w:val="44"/>
          <w:szCs w:val="44"/>
        </w:rPr>
      </w:pPr>
    </w:p>
    <w:p>
      <w:pPr>
        <w:pStyle w:val="23"/>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76" w:lineRule="exact"/>
        <w:ind w:firstLine="640" w:firstLineChars="200"/>
        <w:rPr>
          <w:rStyle w:val="15"/>
          <w:rFonts w:ascii="仿宋" w:hAnsi="仿宋" w:eastAsia="仿宋"/>
          <w:b w:val="0"/>
          <w:bCs/>
          <w:color w:val="000000"/>
          <w:sz w:val="32"/>
          <w:szCs w:val="32"/>
        </w:rPr>
      </w:pPr>
      <w:r>
        <w:rPr>
          <w:rFonts w:ascii="仿宋_GB2312" w:eastAsia="仿宋_GB2312"/>
          <w:color w:val="000000"/>
          <w:sz w:val="32"/>
          <w:szCs w:val="32"/>
        </w:rPr>
        <w:t>9.</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一般公共服务（类）政府办公厅（室）及相关机构事务（款）其他政府办公厅（室）及相关机构事务支出（项）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用于本单位物业管理、会议费等。</w:t>
      </w:r>
    </w:p>
    <w:p>
      <w:pPr>
        <w:spacing w:line="576" w:lineRule="exact"/>
        <w:ind w:firstLine="640" w:firstLineChars="200"/>
        <w:rPr>
          <w:rFonts w:ascii="仿宋" w:hAnsi="仿宋" w:eastAsia="仿宋"/>
          <w:bCs/>
          <w:color w:val="000000"/>
          <w:sz w:val="32"/>
          <w:szCs w:val="32"/>
        </w:rPr>
      </w:pPr>
      <w:r>
        <w:rPr>
          <w:rStyle w:val="15"/>
          <w:rFonts w:hint="eastAsia" w:ascii="仿宋" w:hAnsi="仿宋" w:eastAsia="仿宋"/>
          <w:b w:val="0"/>
          <w:bCs/>
          <w:color w:val="000000"/>
          <w:sz w:val="32"/>
          <w:szCs w:val="32"/>
        </w:rPr>
        <w:t>10. 一般公共服务（类）政府办公厅（室）及相关机构事务（款）事业运行（项）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我单位人员工资、办公经费等日常工作经费支出。</w:t>
      </w:r>
    </w:p>
    <w:p>
      <w:pPr>
        <w:spacing w:line="576"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11</w:t>
      </w:r>
      <w:r>
        <w:rPr>
          <w:rStyle w:val="15"/>
          <w:rFonts w:ascii="仿宋" w:hAnsi="仿宋" w:eastAsia="仿宋"/>
          <w:b w:val="0"/>
          <w:bCs/>
          <w:color w:val="000000"/>
          <w:sz w:val="32"/>
          <w:szCs w:val="32"/>
        </w:rPr>
        <w:t>.</w:t>
      </w:r>
      <w:r>
        <w:rPr>
          <w:rFonts w:hint="eastAsia" w:ascii="仿宋_GB2312" w:hAnsi="仿宋" w:eastAsia="仿宋_GB2312" w:cs="仿宋"/>
          <w:sz w:val="32"/>
          <w:szCs w:val="32"/>
        </w:rPr>
        <w:t xml:space="preserve"> </w:t>
      </w:r>
      <w:r>
        <w:rPr>
          <w:rStyle w:val="15"/>
          <w:rFonts w:hint="eastAsia" w:ascii="仿宋" w:hAnsi="仿宋" w:eastAsia="仿宋"/>
          <w:b w:val="0"/>
          <w:bCs/>
          <w:color w:val="000000"/>
          <w:sz w:val="32"/>
          <w:szCs w:val="32"/>
        </w:rPr>
        <w:t>社会保障和就业支出（类）行政事业单位养老支出（款）机关事业单位基本养老保险缴费支出（项）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我单位职工、临聘人员等养老保险支出。</w:t>
      </w:r>
    </w:p>
    <w:p>
      <w:pPr>
        <w:spacing w:line="576"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12</w:t>
      </w:r>
      <w:r>
        <w:rPr>
          <w:rStyle w:val="15"/>
          <w:rFonts w:ascii="仿宋" w:hAnsi="仿宋" w:eastAsia="仿宋"/>
          <w:b w:val="0"/>
          <w:bCs/>
          <w:color w:val="000000"/>
          <w:sz w:val="32"/>
          <w:szCs w:val="32"/>
        </w:rPr>
        <w:t>.</w:t>
      </w:r>
      <w:r>
        <w:rPr>
          <w:rFonts w:hint="eastAsia" w:ascii="仿宋_GB2312" w:hAnsi="仿宋" w:eastAsia="仿宋_GB2312" w:cs="仿宋"/>
          <w:sz w:val="32"/>
          <w:szCs w:val="32"/>
        </w:rPr>
        <w:t xml:space="preserve"> </w:t>
      </w:r>
      <w:r>
        <w:rPr>
          <w:rStyle w:val="15"/>
          <w:rFonts w:hint="eastAsia" w:ascii="仿宋" w:hAnsi="仿宋" w:eastAsia="仿宋"/>
          <w:b w:val="0"/>
          <w:bCs/>
          <w:color w:val="000000"/>
          <w:sz w:val="32"/>
          <w:szCs w:val="32"/>
        </w:rPr>
        <w:t>社会保障和就业支出（类）行政事业单位养老支出（款）机关事业单位职业年金缴费支出（项）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我单位职工职业年金支出。</w:t>
      </w:r>
    </w:p>
    <w:p>
      <w:pPr>
        <w:spacing w:line="576"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13.</w:t>
      </w:r>
      <w:r>
        <w:rPr>
          <w:rFonts w:hint="eastAsia" w:ascii="仿宋" w:hAnsi="仿宋" w:eastAsia="仿宋"/>
          <w:bCs/>
          <w:color w:val="000000" w:themeColor="text1"/>
          <w:sz w:val="32"/>
          <w:szCs w:val="32"/>
        </w:rPr>
        <w:t xml:space="preserve"> 卫生健康</w:t>
      </w:r>
      <w:r>
        <w:rPr>
          <w:rStyle w:val="15"/>
          <w:rFonts w:hint="eastAsia" w:ascii="仿宋" w:hAnsi="仿宋" w:eastAsia="仿宋"/>
          <w:b w:val="0"/>
          <w:bCs/>
          <w:color w:val="000000"/>
          <w:sz w:val="32"/>
          <w:szCs w:val="32"/>
        </w:rPr>
        <w:t>（类）行政事业单位医疗（款）事业单位医疗（项）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我单位职工、临聘人员等医疗保险支出。</w:t>
      </w:r>
    </w:p>
    <w:p>
      <w:pPr>
        <w:spacing w:line="576" w:lineRule="exact"/>
        <w:ind w:firstLine="640" w:firstLineChars="200"/>
        <w:rPr>
          <w:rStyle w:val="15"/>
          <w:rFonts w:ascii="仿宋" w:hAnsi="仿宋" w:eastAsia="仿宋"/>
          <w:b w:val="0"/>
          <w:bCs/>
          <w:color w:val="000000"/>
          <w:sz w:val="32"/>
          <w:szCs w:val="32"/>
        </w:rPr>
      </w:pPr>
      <w:r>
        <w:rPr>
          <w:rFonts w:hint="eastAsia" w:ascii="仿宋" w:hAnsi="仿宋" w:eastAsia="仿宋"/>
          <w:color w:val="000000"/>
          <w:sz w:val="32"/>
          <w:szCs w:val="32"/>
        </w:rPr>
        <w:t>14.</w:t>
      </w:r>
      <w:r>
        <w:rPr>
          <w:rFonts w:hint="eastAsia"/>
        </w:rPr>
        <w:t xml:space="preserve"> </w:t>
      </w:r>
      <w:r>
        <w:rPr>
          <w:rFonts w:hint="eastAsia" w:ascii="仿宋" w:hAnsi="仿宋" w:eastAsia="仿宋"/>
          <w:color w:val="000000"/>
          <w:sz w:val="32"/>
          <w:szCs w:val="32"/>
        </w:rPr>
        <w:t>住房保障支出(</w:t>
      </w:r>
      <w:r>
        <w:rPr>
          <w:rStyle w:val="15"/>
          <w:rFonts w:hint="eastAsia" w:ascii="仿宋" w:hAnsi="仿宋" w:eastAsia="仿宋"/>
          <w:b w:val="0"/>
          <w:bCs/>
          <w:color w:val="000000"/>
          <w:sz w:val="32"/>
          <w:szCs w:val="32"/>
        </w:rPr>
        <w:t>类</w:t>
      </w:r>
      <w:r>
        <w:rPr>
          <w:rFonts w:hint="eastAsia" w:ascii="仿宋" w:hAnsi="仿宋" w:eastAsia="仿宋"/>
          <w:color w:val="000000"/>
          <w:sz w:val="32"/>
          <w:szCs w:val="32"/>
        </w:rPr>
        <w:t>)</w:t>
      </w:r>
      <w:r>
        <w:rPr>
          <w:rFonts w:hint="eastAsia"/>
        </w:rPr>
        <w:t xml:space="preserve"> </w:t>
      </w:r>
      <w:r>
        <w:rPr>
          <w:rFonts w:hint="eastAsia" w:ascii="仿宋" w:hAnsi="仿宋" w:eastAsia="仿宋"/>
          <w:color w:val="000000"/>
          <w:sz w:val="32"/>
          <w:szCs w:val="32"/>
        </w:rPr>
        <w:t>住房改革支出(</w:t>
      </w:r>
      <w:r>
        <w:rPr>
          <w:rStyle w:val="15"/>
          <w:rFonts w:hint="eastAsia" w:ascii="仿宋" w:hAnsi="仿宋" w:eastAsia="仿宋"/>
          <w:b w:val="0"/>
          <w:bCs/>
          <w:color w:val="000000"/>
          <w:sz w:val="32"/>
          <w:szCs w:val="32"/>
        </w:rPr>
        <w:t>款</w:t>
      </w:r>
      <w:r>
        <w:rPr>
          <w:rFonts w:hint="eastAsia" w:ascii="仿宋" w:hAnsi="仿宋" w:eastAsia="仿宋"/>
          <w:color w:val="000000"/>
          <w:sz w:val="32"/>
          <w:szCs w:val="32"/>
        </w:rPr>
        <w:t>)</w:t>
      </w:r>
      <w:r>
        <w:rPr>
          <w:rFonts w:hint="eastAsia"/>
        </w:rPr>
        <w:t xml:space="preserve"> </w:t>
      </w:r>
      <w:r>
        <w:rPr>
          <w:rFonts w:hint="eastAsia" w:ascii="仿宋" w:hAnsi="仿宋" w:eastAsia="仿宋"/>
          <w:color w:val="000000"/>
          <w:sz w:val="32"/>
          <w:szCs w:val="32"/>
        </w:rPr>
        <w:t>住房公积金(</w:t>
      </w:r>
      <w:r>
        <w:rPr>
          <w:rStyle w:val="15"/>
          <w:rFonts w:hint="eastAsia" w:ascii="仿宋" w:hAnsi="仿宋" w:eastAsia="仿宋"/>
          <w:b w:val="0"/>
          <w:bCs/>
          <w:color w:val="000000"/>
          <w:sz w:val="32"/>
          <w:szCs w:val="32"/>
        </w:rPr>
        <w:t>项</w:t>
      </w:r>
      <w:r>
        <w:rPr>
          <w:rFonts w:hint="eastAsia" w:ascii="仿宋" w:hAnsi="仿宋" w:eastAsia="仿宋"/>
          <w:color w:val="000000"/>
          <w:sz w:val="32"/>
          <w:szCs w:val="32"/>
        </w:rPr>
        <w:t>):</w:t>
      </w:r>
      <w:r>
        <w:rPr>
          <w:rStyle w:val="15"/>
          <w:rFonts w:hint="eastAsia" w:ascii="仿宋" w:hAnsi="仿宋" w:eastAsia="仿宋"/>
          <w:b w:val="0"/>
          <w:bCs/>
          <w:color w:val="000000"/>
          <w:sz w:val="32"/>
          <w:szCs w:val="32"/>
        </w:rPr>
        <w:t xml:space="preserve"> 我单位职工住房公积金支出。</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76"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76" w:lineRule="exact"/>
        <w:ind w:firstLine="640" w:firstLineChars="200"/>
        <w:rPr>
          <w:rFonts w:ascii="仿宋_GB2312" w:eastAsia="仿宋_GB2312" w:cs="黑体"/>
          <w:sz w:val="32"/>
          <w:szCs w:val="32"/>
        </w:rPr>
      </w:pPr>
    </w:p>
    <w:p>
      <w:pPr>
        <w:spacing w:line="576" w:lineRule="exact"/>
        <w:jc w:val="center"/>
        <w:outlineLvl w:val="0"/>
        <w:rPr>
          <w:rFonts w:ascii="仿宋" w:hAnsi="仿宋" w:eastAsia="仿宋"/>
          <w:b/>
          <w:color w:val="000000"/>
          <w:sz w:val="32"/>
          <w:szCs w:val="32"/>
        </w:rPr>
      </w:pPr>
      <w:bookmarkStart w:id="57" w:name="_Toc15396614"/>
      <w:bookmarkStart w:id="58" w:name="_Toc15377226"/>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Fonts w:ascii="仿宋" w:hAnsi="仿宋" w:eastAsia="仿宋"/>
          <w:b/>
          <w:color w:val="000000"/>
          <w:sz w:val="32"/>
          <w:szCs w:val="32"/>
        </w:rPr>
      </w:pPr>
    </w:p>
    <w:p>
      <w:pPr>
        <w:spacing w:line="576"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茂县公务服务中心</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76"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76"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（一）机构组成</w:t>
      </w:r>
    </w:p>
    <w:p>
      <w:pPr>
        <w:widowControl/>
        <w:adjustRightInd w:val="0"/>
        <w:snapToGrid w:val="0"/>
        <w:spacing w:line="576"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茂县公务服务中心为一级预算单位。</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（二）机构职能</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茂县公务服务中心负责县委</w:t>
      </w:r>
      <w:r>
        <w:rPr>
          <w:rFonts w:hint="eastAsia" w:ascii="仿宋" w:hAnsi="仿宋" w:eastAsia="仿宋"/>
          <w:sz w:val="32"/>
          <w:szCs w:val="32"/>
          <w:lang w:eastAsia="zh-CN"/>
        </w:rPr>
        <w:t>、</w:t>
      </w:r>
      <w:r>
        <w:rPr>
          <w:rFonts w:hint="eastAsia" w:ascii="仿宋" w:hAnsi="仿宋" w:eastAsia="仿宋"/>
          <w:sz w:val="32"/>
          <w:szCs w:val="32"/>
        </w:rPr>
        <w:t>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（三）人员概况</w:t>
      </w:r>
    </w:p>
    <w:p>
      <w:pPr>
        <w:widowControl/>
        <w:adjustRightInd w:val="0"/>
        <w:snapToGrid w:val="0"/>
        <w:spacing w:line="576"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截止2019年12月31日，我单位事业编制10人，在职职工10人。</w:t>
      </w:r>
    </w:p>
    <w:p>
      <w:pPr>
        <w:widowControl/>
        <w:adjustRightInd w:val="0"/>
        <w:snapToGrid w:val="0"/>
        <w:spacing w:line="576"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（一）部门财政资金收入情况</w:t>
      </w:r>
    </w:p>
    <w:p>
      <w:pPr>
        <w:widowControl/>
        <w:adjustRightInd w:val="0"/>
        <w:snapToGrid w:val="0"/>
        <w:spacing w:line="576"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2019年财政资金收入584.88万元，全部为财政拨款收入。</w:t>
      </w:r>
    </w:p>
    <w:p>
      <w:pPr>
        <w:widowControl/>
        <w:adjustRightInd w:val="0"/>
        <w:snapToGrid w:val="0"/>
        <w:spacing w:line="576" w:lineRule="exact"/>
        <w:ind w:firstLine="643"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（二）部门财政资金支出情况</w:t>
      </w:r>
    </w:p>
    <w:p>
      <w:pPr>
        <w:spacing w:line="576"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政拨款支出525.74万元，主要用于以下方面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支出489.94万元，占93.19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支出17.27万元，占3.28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7.67万元，占1.45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住房保障支出（类）</w:t>
      </w:r>
      <w:r>
        <w:rPr>
          <w:rFonts w:hint="eastAsia" w:ascii="仿宋" w:hAnsi="仿宋" w:eastAsia="仿宋"/>
          <w:color w:val="000000" w:themeColor="text1"/>
          <w:sz w:val="32"/>
          <w:szCs w:val="32"/>
        </w:rPr>
        <w:t>10.85万元，占2.08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59" w:name="_Toc16355"/>
      <w:r>
        <w:rPr>
          <w:rFonts w:hint="eastAsia" w:ascii="黑体" w:hAnsi="宋体" w:eastAsia="黑体" w:cs="宋体"/>
          <w:color w:val="000000"/>
          <w:kern w:val="0"/>
          <w:sz w:val="32"/>
          <w:szCs w:val="32"/>
          <w:shd w:val="clear" w:color="auto" w:fill="FFFFFF"/>
        </w:rPr>
        <w:t>三、部门整体预算绩效管理情况</w:t>
      </w:r>
      <w:bookmarkEnd w:id="59"/>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（一）部门预算管理</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单位严格按照县级部门预算编制通知和有关要求，按时完成基础库、项目库报送工作，按时完成2019年预算编制工作，并按时提交部门预算草案。按规定编制政府采购预算，预算编制全面、科学。2019年部门决算、绩效目标填报及年末结余结转都是严格按照县财政局的要求认真完成。 </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我单位按照县财政的要求，及时分月、分季度上报相应计划，待财政审核通过后，严格按计划执行，各季度执行情况良好。</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基本支出2019年按月或季度进行申报，其中人员工资按月申报并直接支付，日常公用经费按季度进行申报并支付， 12月执行进度100%。</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（二）结果应用情况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公务服务中心财政拨款支出主要用于保障我单位机构正常运转、完成日常工作任务以及承担本单位事业发展相关工作。 基本支出，是用于保障事业单位等机构正常运转的日常支出，包括基本工资、津贴补贴等人员经费以及办公费、印刷费、水电费、办公设备购置等日常公用经费。</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按支出功能分类主要用于以下方面：一般公共服务，文化体育与传媒，社会保障和就业，医疗卫生与计划生育支出、住房保障等支出。</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单位认真执行中央八项规定，严格控制三公经费支出。2019年因决算口径，为发生三公经费费用支出。我单位严格执行《茂县县级财政专项资金绩效分配管理暂行办法》进行绩效分配制度。严格按照用款计划，分月、季度执行，按照项目资金管理办法实行专款专用。</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60" w:name="_Toc927"/>
      <w:r>
        <w:rPr>
          <w:rFonts w:hint="eastAsia" w:ascii="黑体" w:hAnsi="宋体" w:eastAsia="黑体" w:cs="宋体"/>
          <w:color w:val="000000"/>
          <w:kern w:val="0"/>
          <w:sz w:val="32"/>
          <w:szCs w:val="32"/>
          <w:shd w:val="clear" w:color="auto" w:fill="FFFFFF"/>
        </w:rPr>
        <w:t>四、评价结论及建议</w:t>
      </w:r>
      <w:bookmarkEnd w:id="60"/>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（一）评价结论</w:t>
      </w:r>
    </w:p>
    <w:p>
      <w:pPr>
        <w:widowControl/>
        <w:adjustRightInd w:val="0"/>
        <w:snapToGrid w:val="0"/>
        <w:spacing w:line="540" w:lineRule="exact"/>
        <w:ind w:firstLine="720"/>
        <w:jc w:val="left"/>
        <w:rPr>
          <w:rFonts w:ascii="仿宋" w:hAnsi="仿宋" w:eastAsia="仿宋" w:cs="宋体"/>
          <w:color w:val="000000"/>
          <w:kern w:val="0"/>
          <w:sz w:val="32"/>
          <w:szCs w:val="32"/>
          <w:shd w:val="clear" w:color="auto" w:fill="FFFFFF"/>
          <w:lang w:val="zh-CN"/>
        </w:rPr>
      </w:pPr>
      <w:r>
        <w:rPr>
          <w:rFonts w:hint="eastAsia" w:ascii="仿宋_GB2312" w:hAnsi="Calibri" w:eastAsia="仿宋_GB2312" w:cs="仿宋"/>
          <w:color w:val="000000"/>
          <w:kern w:val="0"/>
          <w:sz w:val="32"/>
          <w:szCs w:val="32"/>
        </w:rPr>
        <w:t>我单位按照预算法按时完成预决算编制。在执行过程中有计划进行资金申报使用，完善资金管理及内部控制制度，确保资金安全，做到账款、账账、账实相符。为全镇经济和社会事业发展提供资金保障。</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（二）存在问题</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由于人员配备不够，工作量大，对单位资金安排、使用、核算上存在不很合理现象，导致预算经费科目与支出科目存在差异。</w:t>
      </w:r>
    </w:p>
    <w:p>
      <w:pPr>
        <w:widowControl/>
        <w:adjustRightInd w:val="0"/>
        <w:snapToGrid w:val="0"/>
        <w:spacing w:line="576"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（三）改进建议</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在今后工作中，进一步提高工作效率，在合法、合规的前提下，合理安排和使用本单位资金，保障资金安全，更好地完成本职工作。</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p>
    <w:p>
      <w:pPr>
        <w:widowControl/>
        <w:adjustRightInd w:val="0"/>
        <w:snapToGrid w:val="0"/>
        <w:spacing w:line="540" w:lineRule="exact"/>
        <w:jc w:val="left"/>
        <w:rPr>
          <w:rFonts w:ascii="仿宋_GB2312" w:hAnsi="Calibri" w:eastAsia="仿宋_GB2312" w:cs="仿宋"/>
          <w:color w:val="000000"/>
          <w:kern w:val="0"/>
          <w:sz w:val="32"/>
          <w:szCs w:val="32"/>
        </w:rPr>
      </w:pPr>
    </w:p>
    <w:p>
      <w:pPr>
        <w:spacing w:line="576" w:lineRule="exact"/>
        <w:jc w:val="center"/>
        <w:outlineLvl w:val="0"/>
        <w:rPr>
          <w:rStyle w:val="25"/>
          <w:rFonts w:ascii="黑体" w:hAnsi="黑体" w:eastAsia="黑体"/>
          <w:b w:val="0"/>
        </w:rPr>
      </w:pPr>
    </w:p>
    <w:p>
      <w:pPr>
        <w:spacing w:line="576" w:lineRule="exact"/>
        <w:jc w:val="center"/>
        <w:outlineLvl w:val="0"/>
        <w:rPr>
          <w:rStyle w:val="25"/>
          <w:rFonts w:ascii="黑体" w:hAnsi="黑体" w:eastAsia="黑体"/>
          <w:b w:val="0"/>
        </w:rPr>
      </w:pPr>
      <w:bookmarkStart w:id="6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61"/>
    </w:p>
    <w:p>
      <w:pPr>
        <w:spacing w:line="576" w:lineRule="exact"/>
        <w:jc w:val="center"/>
        <w:outlineLvl w:val="0"/>
        <w:rPr>
          <w:rFonts w:ascii="仿宋" w:hAnsi="仿宋" w:eastAsia="仿宋"/>
          <w:b/>
          <w:color w:val="000000"/>
          <w:sz w:val="44"/>
          <w:szCs w:val="44"/>
        </w:rPr>
      </w:pPr>
    </w:p>
    <w:p>
      <w:pPr>
        <w:pStyle w:val="3"/>
        <w:spacing w:line="576" w:lineRule="exact"/>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spacing w:line="576" w:lineRule="exact"/>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3"/>
    </w:p>
    <w:p>
      <w:pPr>
        <w:pStyle w:val="3"/>
        <w:spacing w:line="576" w:lineRule="exact"/>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4"/>
    </w:p>
    <w:p>
      <w:pPr>
        <w:pStyle w:val="3"/>
        <w:spacing w:line="576" w:lineRule="exact"/>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spacing w:line="576" w:lineRule="exact"/>
        <w:rPr>
          <w:rStyle w:val="26"/>
          <w:rFonts w:ascii="仿宋" w:hAnsi="仿宋" w:eastAsia="仿宋"/>
          <w:b w:val="0"/>
          <w:bCs w:val="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6"/>
      <w:bookmarkStart w:id="67" w:name="_Toc15396624"/>
    </w:p>
    <w:p>
      <w:pPr>
        <w:pStyle w:val="3"/>
        <w:spacing w:line="576" w:lineRule="exact"/>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spacing w:line="576" w:lineRule="exact"/>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spacing w:line="576" w:lineRule="exact"/>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spacing w:line="576" w:lineRule="exact"/>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spacing w:line="576" w:lineRule="exact"/>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spacing w:line="576" w:lineRule="exact"/>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spacing w:line="576" w:lineRule="exact"/>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spacing w:line="576" w:lineRule="exact"/>
        <w:rPr>
          <w:rFonts w:ascii="仿宋" w:hAnsi="仿宋" w:eastAsia="仿宋"/>
          <w:color w:val="000000" w:themeColor="text1"/>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9441"/>
      <w:docPartObj>
        <w:docPartGallery w:val="autotext"/>
      </w:docPartObj>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80B"/>
    <w:rsid w:val="000222C6"/>
    <w:rsid w:val="0002549F"/>
    <w:rsid w:val="000468DB"/>
    <w:rsid w:val="00056A01"/>
    <w:rsid w:val="00062C96"/>
    <w:rsid w:val="0006487A"/>
    <w:rsid w:val="00065F8F"/>
    <w:rsid w:val="00070A43"/>
    <w:rsid w:val="000768F2"/>
    <w:rsid w:val="0009184B"/>
    <w:rsid w:val="00094236"/>
    <w:rsid w:val="0009593C"/>
    <w:rsid w:val="00097322"/>
    <w:rsid w:val="000A08CB"/>
    <w:rsid w:val="000A6592"/>
    <w:rsid w:val="000A6A92"/>
    <w:rsid w:val="000B047F"/>
    <w:rsid w:val="000B3CE6"/>
    <w:rsid w:val="000B583C"/>
    <w:rsid w:val="000B5923"/>
    <w:rsid w:val="000B5A48"/>
    <w:rsid w:val="000B6FF3"/>
    <w:rsid w:val="000C1BAF"/>
    <w:rsid w:val="000C3467"/>
    <w:rsid w:val="000C3CA6"/>
    <w:rsid w:val="000D1267"/>
    <w:rsid w:val="000D1D50"/>
    <w:rsid w:val="000D5782"/>
    <w:rsid w:val="000E6613"/>
    <w:rsid w:val="000E7119"/>
    <w:rsid w:val="000E7266"/>
    <w:rsid w:val="001137E0"/>
    <w:rsid w:val="00114602"/>
    <w:rsid w:val="00114E9B"/>
    <w:rsid w:val="00116153"/>
    <w:rsid w:val="00116AD1"/>
    <w:rsid w:val="00142216"/>
    <w:rsid w:val="00144D6A"/>
    <w:rsid w:val="001468A4"/>
    <w:rsid w:val="0014729F"/>
    <w:rsid w:val="00156495"/>
    <w:rsid w:val="00157BAB"/>
    <w:rsid w:val="001654D1"/>
    <w:rsid w:val="001719B1"/>
    <w:rsid w:val="00174518"/>
    <w:rsid w:val="0018106D"/>
    <w:rsid w:val="001837FC"/>
    <w:rsid w:val="001877A7"/>
    <w:rsid w:val="00191536"/>
    <w:rsid w:val="00196687"/>
    <w:rsid w:val="001A666E"/>
    <w:rsid w:val="001B6A86"/>
    <w:rsid w:val="001C0962"/>
    <w:rsid w:val="001C4E99"/>
    <w:rsid w:val="001D7531"/>
    <w:rsid w:val="001E3704"/>
    <w:rsid w:val="001E737D"/>
    <w:rsid w:val="001F0592"/>
    <w:rsid w:val="001F5A9F"/>
    <w:rsid w:val="001F7506"/>
    <w:rsid w:val="002006CD"/>
    <w:rsid w:val="00202B36"/>
    <w:rsid w:val="00204B7A"/>
    <w:rsid w:val="00204CDE"/>
    <w:rsid w:val="0021101A"/>
    <w:rsid w:val="002128B6"/>
    <w:rsid w:val="00220536"/>
    <w:rsid w:val="00222EDE"/>
    <w:rsid w:val="0022348D"/>
    <w:rsid w:val="002306F3"/>
    <w:rsid w:val="00235629"/>
    <w:rsid w:val="002413F2"/>
    <w:rsid w:val="00243E40"/>
    <w:rsid w:val="00260C38"/>
    <w:rsid w:val="002616C0"/>
    <w:rsid w:val="00265372"/>
    <w:rsid w:val="002662AA"/>
    <w:rsid w:val="00280496"/>
    <w:rsid w:val="00286725"/>
    <w:rsid w:val="00292FBB"/>
    <w:rsid w:val="00294DC9"/>
    <w:rsid w:val="00295495"/>
    <w:rsid w:val="002A31DE"/>
    <w:rsid w:val="002A4378"/>
    <w:rsid w:val="002B1DD5"/>
    <w:rsid w:val="002B2613"/>
    <w:rsid w:val="002D0DF4"/>
    <w:rsid w:val="002D19B0"/>
    <w:rsid w:val="002D5C66"/>
    <w:rsid w:val="002D6D05"/>
    <w:rsid w:val="002E1368"/>
    <w:rsid w:val="002E1654"/>
    <w:rsid w:val="002F08B7"/>
    <w:rsid w:val="002F1818"/>
    <w:rsid w:val="002F2FB2"/>
    <w:rsid w:val="002F567B"/>
    <w:rsid w:val="003045C0"/>
    <w:rsid w:val="003154BF"/>
    <w:rsid w:val="00315AE9"/>
    <w:rsid w:val="003216A9"/>
    <w:rsid w:val="00327F2E"/>
    <w:rsid w:val="0033329C"/>
    <w:rsid w:val="00335A74"/>
    <w:rsid w:val="00352F1A"/>
    <w:rsid w:val="0036561B"/>
    <w:rsid w:val="0037013F"/>
    <w:rsid w:val="003758CF"/>
    <w:rsid w:val="00380C92"/>
    <w:rsid w:val="00385E79"/>
    <w:rsid w:val="003A3047"/>
    <w:rsid w:val="003A484F"/>
    <w:rsid w:val="003A4883"/>
    <w:rsid w:val="003B0BE0"/>
    <w:rsid w:val="003B0C1B"/>
    <w:rsid w:val="003B688C"/>
    <w:rsid w:val="003B6C74"/>
    <w:rsid w:val="003C0291"/>
    <w:rsid w:val="003C39AE"/>
    <w:rsid w:val="003C7B60"/>
    <w:rsid w:val="003D0C0F"/>
    <w:rsid w:val="003D1FB2"/>
    <w:rsid w:val="003D66DA"/>
    <w:rsid w:val="003E0B96"/>
    <w:rsid w:val="003E1310"/>
    <w:rsid w:val="003E6F55"/>
    <w:rsid w:val="003F6619"/>
    <w:rsid w:val="003F6E99"/>
    <w:rsid w:val="00406254"/>
    <w:rsid w:val="00416CD4"/>
    <w:rsid w:val="0041749F"/>
    <w:rsid w:val="00420421"/>
    <w:rsid w:val="004223DE"/>
    <w:rsid w:val="00434489"/>
    <w:rsid w:val="00437085"/>
    <w:rsid w:val="00443880"/>
    <w:rsid w:val="004464F4"/>
    <w:rsid w:val="00460308"/>
    <w:rsid w:val="00471401"/>
    <w:rsid w:val="00473F31"/>
    <w:rsid w:val="00480522"/>
    <w:rsid w:val="0048263A"/>
    <w:rsid w:val="00487E5D"/>
    <w:rsid w:val="00497183"/>
    <w:rsid w:val="004A711F"/>
    <w:rsid w:val="004B199D"/>
    <w:rsid w:val="004B4690"/>
    <w:rsid w:val="004B74F9"/>
    <w:rsid w:val="004C4E90"/>
    <w:rsid w:val="004E0A2D"/>
    <w:rsid w:val="004E206B"/>
    <w:rsid w:val="004E6DF7"/>
    <w:rsid w:val="004F0FBD"/>
    <w:rsid w:val="004F212D"/>
    <w:rsid w:val="004F403E"/>
    <w:rsid w:val="00505A47"/>
    <w:rsid w:val="00512FDA"/>
    <w:rsid w:val="0051609D"/>
    <w:rsid w:val="00520DA0"/>
    <w:rsid w:val="00563CDA"/>
    <w:rsid w:val="005664BB"/>
    <w:rsid w:val="00566FFA"/>
    <w:rsid w:val="0056711B"/>
    <w:rsid w:val="0057481D"/>
    <w:rsid w:val="00575F0B"/>
    <w:rsid w:val="0058486E"/>
    <w:rsid w:val="00585B33"/>
    <w:rsid w:val="0059014D"/>
    <w:rsid w:val="005932AC"/>
    <w:rsid w:val="005A0D18"/>
    <w:rsid w:val="005A7D45"/>
    <w:rsid w:val="005B5C64"/>
    <w:rsid w:val="005C1F43"/>
    <w:rsid w:val="005C6222"/>
    <w:rsid w:val="005C6BD0"/>
    <w:rsid w:val="005C6C4C"/>
    <w:rsid w:val="005D1519"/>
    <w:rsid w:val="005D1C8B"/>
    <w:rsid w:val="005D468D"/>
    <w:rsid w:val="005D5CED"/>
    <w:rsid w:val="005E56A8"/>
    <w:rsid w:val="005F1A4C"/>
    <w:rsid w:val="00602BD7"/>
    <w:rsid w:val="00605688"/>
    <w:rsid w:val="006070AF"/>
    <w:rsid w:val="0060741B"/>
    <w:rsid w:val="00607E6C"/>
    <w:rsid w:val="006101B1"/>
    <w:rsid w:val="00614E44"/>
    <w:rsid w:val="0061727F"/>
    <w:rsid w:val="0062270A"/>
    <w:rsid w:val="00622830"/>
    <w:rsid w:val="00623DA0"/>
    <w:rsid w:val="00630AEF"/>
    <w:rsid w:val="006325F8"/>
    <w:rsid w:val="00633463"/>
    <w:rsid w:val="00634C9A"/>
    <w:rsid w:val="00640F74"/>
    <w:rsid w:val="006440E4"/>
    <w:rsid w:val="006566B7"/>
    <w:rsid w:val="0066343B"/>
    <w:rsid w:val="00664777"/>
    <w:rsid w:val="006748A4"/>
    <w:rsid w:val="00676261"/>
    <w:rsid w:val="00681A31"/>
    <w:rsid w:val="00683E73"/>
    <w:rsid w:val="006973C2"/>
    <w:rsid w:val="006A1D66"/>
    <w:rsid w:val="006A3141"/>
    <w:rsid w:val="006A5E34"/>
    <w:rsid w:val="006B2422"/>
    <w:rsid w:val="006B2B9A"/>
    <w:rsid w:val="006C1937"/>
    <w:rsid w:val="006C2CB2"/>
    <w:rsid w:val="006D2F08"/>
    <w:rsid w:val="006E5A81"/>
    <w:rsid w:val="006F020C"/>
    <w:rsid w:val="007127B7"/>
    <w:rsid w:val="0071798E"/>
    <w:rsid w:val="00724278"/>
    <w:rsid w:val="007252C9"/>
    <w:rsid w:val="00727533"/>
    <w:rsid w:val="007416B6"/>
    <w:rsid w:val="00744CEB"/>
    <w:rsid w:val="00746F48"/>
    <w:rsid w:val="0075404D"/>
    <w:rsid w:val="0076182A"/>
    <w:rsid w:val="00767B7E"/>
    <w:rsid w:val="00772154"/>
    <w:rsid w:val="007770C3"/>
    <w:rsid w:val="00784D24"/>
    <w:rsid w:val="00785FBA"/>
    <w:rsid w:val="00786E4A"/>
    <w:rsid w:val="007875EB"/>
    <w:rsid w:val="0079426B"/>
    <w:rsid w:val="007B2E52"/>
    <w:rsid w:val="007D1682"/>
    <w:rsid w:val="007D2E3F"/>
    <w:rsid w:val="007D312A"/>
    <w:rsid w:val="007D3360"/>
    <w:rsid w:val="007D3F19"/>
    <w:rsid w:val="007E23B0"/>
    <w:rsid w:val="007F1991"/>
    <w:rsid w:val="007F2C2F"/>
    <w:rsid w:val="007F55FC"/>
    <w:rsid w:val="007F5665"/>
    <w:rsid w:val="007F7008"/>
    <w:rsid w:val="00800112"/>
    <w:rsid w:val="00811DE0"/>
    <w:rsid w:val="00813348"/>
    <w:rsid w:val="00813DA0"/>
    <w:rsid w:val="00816164"/>
    <w:rsid w:val="008253BB"/>
    <w:rsid w:val="00833962"/>
    <w:rsid w:val="0083706E"/>
    <w:rsid w:val="008408F6"/>
    <w:rsid w:val="008423A5"/>
    <w:rsid w:val="00850625"/>
    <w:rsid w:val="00853718"/>
    <w:rsid w:val="00855221"/>
    <w:rsid w:val="00860645"/>
    <w:rsid w:val="0086447B"/>
    <w:rsid w:val="00871F71"/>
    <w:rsid w:val="00872FD8"/>
    <w:rsid w:val="00885AF4"/>
    <w:rsid w:val="0088674F"/>
    <w:rsid w:val="008939CD"/>
    <w:rsid w:val="008B6278"/>
    <w:rsid w:val="008B768C"/>
    <w:rsid w:val="008C4DB1"/>
    <w:rsid w:val="008C4EAF"/>
    <w:rsid w:val="008C5176"/>
    <w:rsid w:val="008C7FD0"/>
    <w:rsid w:val="008D53DA"/>
    <w:rsid w:val="008E1DE7"/>
    <w:rsid w:val="008E707C"/>
    <w:rsid w:val="008E7158"/>
    <w:rsid w:val="00900B08"/>
    <w:rsid w:val="00902155"/>
    <w:rsid w:val="00902FA3"/>
    <w:rsid w:val="00906515"/>
    <w:rsid w:val="0090688B"/>
    <w:rsid w:val="00911C78"/>
    <w:rsid w:val="00923564"/>
    <w:rsid w:val="0092392E"/>
    <w:rsid w:val="0093125E"/>
    <w:rsid w:val="009315E9"/>
    <w:rsid w:val="009315F9"/>
    <w:rsid w:val="00933499"/>
    <w:rsid w:val="00935C98"/>
    <w:rsid w:val="00942147"/>
    <w:rsid w:val="00946945"/>
    <w:rsid w:val="00946FCE"/>
    <w:rsid w:val="00951248"/>
    <w:rsid w:val="0095152F"/>
    <w:rsid w:val="00954C49"/>
    <w:rsid w:val="00955E37"/>
    <w:rsid w:val="00963577"/>
    <w:rsid w:val="0097099F"/>
    <w:rsid w:val="00970F69"/>
    <w:rsid w:val="00971997"/>
    <w:rsid w:val="00971FFC"/>
    <w:rsid w:val="0098660A"/>
    <w:rsid w:val="009931C3"/>
    <w:rsid w:val="00994091"/>
    <w:rsid w:val="009B2C43"/>
    <w:rsid w:val="009B4EAE"/>
    <w:rsid w:val="009B7182"/>
    <w:rsid w:val="009B7573"/>
    <w:rsid w:val="009C0D84"/>
    <w:rsid w:val="009C22F4"/>
    <w:rsid w:val="009C2E98"/>
    <w:rsid w:val="009C37FB"/>
    <w:rsid w:val="009D3447"/>
    <w:rsid w:val="009D4711"/>
    <w:rsid w:val="009F1185"/>
    <w:rsid w:val="009F18CD"/>
    <w:rsid w:val="009F2A13"/>
    <w:rsid w:val="009F550F"/>
    <w:rsid w:val="009F7527"/>
    <w:rsid w:val="00A039ED"/>
    <w:rsid w:val="00A04EB0"/>
    <w:rsid w:val="00A13CC1"/>
    <w:rsid w:val="00A16847"/>
    <w:rsid w:val="00A237D8"/>
    <w:rsid w:val="00A268C4"/>
    <w:rsid w:val="00A307CD"/>
    <w:rsid w:val="00A30945"/>
    <w:rsid w:val="00A331C8"/>
    <w:rsid w:val="00A35117"/>
    <w:rsid w:val="00A40A00"/>
    <w:rsid w:val="00A4142F"/>
    <w:rsid w:val="00A422EB"/>
    <w:rsid w:val="00A45BB7"/>
    <w:rsid w:val="00A56DF2"/>
    <w:rsid w:val="00A56E6E"/>
    <w:rsid w:val="00A57C26"/>
    <w:rsid w:val="00A67AB5"/>
    <w:rsid w:val="00A733B2"/>
    <w:rsid w:val="00A741C2"/>
    <w:rsid w:val="00A91760"/>
    <w:rsid w:val="00A93B00"/>
    <w:rsid w:val="00A93C21"/>
    <w:rsid w:val="00AA5DD3"/>
    <w:rsid w:val="00AB4AF2"/>
    <w:rsid w:val="00AB64C9"/>
    <w:rsid w:val="00AC3C6A"/>
    <w:rsid w:val="00AC7214"/>
    <w:rsid w:val="00AD0F83"/>
    <w:rsid w:val="00AD5620"/>
    <w:rsid w:val="00AD656B"/>
    <w:rsid w:val="00AD7C1B"/>
    <w:rsid w:val="00AE16BA"/>
    <w:rsid w:val="00AE1EBE"/>
    <w:rsid w:val="00AE4926"/>
    <w:rsid w:val="00AE753B"/>
    <w:rsid w:val="00AF34CB"/>
    <w:rsid w:val="00AF37A0"/>
    <w:rsid w:val="00B03C9D"/>
    <w:rsid w:val="00B060AE"/>
    <w:rsid w:val="00B10517"/>
    <w:rsid w:val="00B14E76"/>
    <w:rsid w:val="00B161B8"/>
    <w:rsid w:val="00B2048C"/>
    <w:rsid w:val="00B2772B"/>
    <w:rsid w:val="00B310B9"/>
    <w:rsid w:val="00B35F3F"/>
    <w:rsid w:val="00B36CBB"/>
    <w:rsid w:val="00B425E0"/>
    <w:rsid w:val="00B440AA"/>
    <w:rsid w:val="00B44B70"/>
    <w:rsid w:val="00B53C56"/>
    <w:rsid w:val="00B57DAF"/>
    <w:rsid w:val="00B77EA6"/>
    <w:rsid w:val="00B81598"/>
    <w:rsid w:val="00B841F1"/>
    <w:rsid w:val="00B91075"/>
    <w:rsid w:val="00B91BF8"/>
    <w:rsid w:val="00B944D6"/>
    <w:rsid w:val="00BA56E4"/>
    <w:rsid w:val="00BB4DF0"/>
    <w:rsid w:val="00BC289F"/>
    <w:rsid w:val="00BC2D50"/>
    <w:rsid w:val="00BC5361"/>
    <w:rsid w:val="00BC5460"/>
    <w:rsid w:val="00BC6B50"/>
    <w:rsid w:val="00BD0E25"/>
    <w:rsid w:val="00BD7A82"/>
    <w:rsid w:val="00BF5BD6"/>
    <w:rsid w:val="00C03E31"/>
    <w:rsid w:val="00C248AE"/>
    <w:rsid w:val="00C30E69"/>
    <w:rsid w:val="00C326E8"/>
    <w:rsid w:val="00C33E72"/>
    <w:rsid w:val="00C354B2"/>
    <w:rsid w:val="00C35554"/>
    <w:rsid w:val="00C42709"/>
    <w:rsid w:val="00C533CC"/>
    <w:rsid w:val="00C5751C"/>
    <w:rsid w:val="00C61BFC"/>
    <w:rsid w:val="00C62B85"/>
    <w:rsid w:val="00C65438"/>
    <w:rsid w:val="00C91CBB"/>
    <w:rsid w:val="00CA64DC"/>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44F97"/>
    <w:rsid w:val="00D51276"/>
    <w:rsid w:val="00D63CD4"/>
    <w:rsid w:val="00D7035F"/>
    <w:rsid w:val="00D73363"/>
    <w:rsid w:val="00D75910"/>
    <w:rsid w:val="00D94A8E"/>
    <w:rsid w:val="00D96743"/>
    <w:rsid w:val="00DA634F"/>
    <w:rsid w:val="00DA65AC"/>
    <w:rsid w:val="00DB1913"/>
    <w:rsid w:val="00DC33AF"/>
    <w:rsid w:val="00DC410D"/>
    <w:rsid w:val="00DC5A81"/>
    <w:rsid w:val="00DC68CA"/>
    <w:rsid w:val="00DC7CBA"/>
    <w:rsid w:val="00DD65B0"/>
    <w:rsid w:val="00DD73B7"/>
    <w:rsid w:val="00DF28BC"/>
    <w:rsid w:val="00DF34B9"/>
    <w:rsid w:val="00DF7548"/>
    <w:rsid w:val="00E01053"/>
    <w:rsid w:val="00E07ACF"/>
    <w:rsid w:val="00E12F84"/>
    <w:rsid w:val="00E14E2D"/>
    <w:rsid w:val="00E27A54"/>
    <w:rsid w:val="00E331A1"/>
    <w:rsid w:val="00E33202"/>
    <w:rsid w:val="00E336A9"/>
    <w:rsid w:val="00E371E0"/>
    <w:rsid w:val="00E472B1"/>
    <w:rsid w:val="00E50624"/>
    <w:rsid w:val="00E55D01"/>
    <w:rsid w:val="00E568DF"/>
    <w:rsid w:val="00E64269"/>
    <w:rsid w:val="00E66797"/>
    <w:rsid w:val="00E75699"/>
    <w:rsid w:val="00E82267"/>
    <w:rsid w:val="00E853CE"/>
    <w:rsid w:val="00E867B6"/>
    <w:rsid w:val="00E868B7"/>
    <w:rsid w:val="00E8706C"/>
    <w:rsid w:val="00E87F08"/>
    <w:rsid w:val="00EA010F"/>
    <w:rsid w:val="00EB5015"/>
    <w:rsid w:val="00EC36EC"/>
    <w:rsid w:val="00ED1B63"/>
    <w:rsid w:val="00ED3C1F"/>
    <w:rsid w:val="00ED4085"/>
    <w:rsid w:val="00ED420E"/>
    <w:rsid w:val="00ED6FBE"/>
    <w:rsid w:val="00EE2F57"/>
    <w:rsid w:val="00EF4C34"/>
    <w:rsid w:val="00EF4CD3"/>
    <w:rsid w:val="00EF6920"/>
    <w:rsid w:val="00EF72DF"/>
    <w:rsid w:val="00EF77C6"/>
    <w:rsid w:val="00F04111"/>
    <w:rsid w:val="00F05438"/>
    <w:rsid w:val="00F1361C"/>
    <w:rsid w:val="00F156F0"/>
    <w:rsid w:val="00F160C7"/>
    <w:rsid w:val="00F16FB5"/>
    <w:rsid w:val="00F2010F"/>
    <w:rsid w:val="00F2408F"/>
    <w:rsid w:val="00F240E9"/>
    <w:rsid w:val="00F36D8F"/>
    <w:rsid w:val="00F417B1"/>
    <w:rsid w:val="00F45853"/>
    <w:rsid w:val="00F46B92"/>
    <w:rsid w:val="00F602DF"/>
    <w:rsid w:val="00F754A1"/>
    <w:rsid w:val="00F81FD9"/>
    <w:rsid w:val="00F841AA"/>
    <w:rsid w:val="00F84A94"/>
    <w:rsid w:val="00F87E96"/>
    <w:rsid w:val="00FA23E8"/>
    <w:rsid w:val="00FD3CC1"/>
    <w:rsid w:val="00FE4700"/>
    <w:rsid w:val="00FF1E02"/>
    <w:rsid w:val="00FF30B4"/>
    <w:rsid w:val="098B4CA5"/>
    <w:rsid w:val="10C055FF"/>
    <w:rsid w:val="16BB723D"/>
    <w:rsid w:val="240371BF"/>
    <w:rsid w:val="26C841F2"/>
    <w:rsid w:val="29FD04D3"/>
    <w:rsid w:val="319F7F4E"/>
    <w:rsid w:val="3F2F15A1"/>
    <w:rsid w:val="4ECE223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pPr>
      <w:widowControl/>
      <w:spacing w:before="150" w:after="150" w:line="480" w:lineRule="auto"/>
      <w:jc w:val="left"/>
    </w:pPr>
    <w:rPr>
      <w:rFonts w:ascii="宋体" w:hAnsi="宋体" w:cs="宋体"/>
      <w:color w:val="000000"/>
      <w:kern w:val="0"/>
      <w:szCs w:val="21"/>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38738906131797"/>
          <c:y val="0.0664706694944866"/>
          <c:w val="0.794725945194727"/>
          <c:h val="0.847475195631507"/>
        </c:manualLayout>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1"/>
                <c:pt idx="0">
                  <c:v>收、支总计</c:v>
                </c:pt>
              </c:strCache>
            </c:strRef>
          </c:cat>
          <c:val>
            <c:numRef>
              <c:f>Sheet1!$B$2:$B$5</c:f>
              <c:numCache>
                <c:formatCode>General</c:formatCode>
                <c:ptCount val="4"/>
                <c:pt idx="0">
                  <c:v>189.37</c:v>
                </c:pt>
              </c:numCache>
            </c:numRef>
          </c:val>
        </c:ser>
        <c:ser>
          <c:idx val="1"/>
          <c:order val="1"/>
          <c:tx>
            <c:strRef>
              <c:f>Sheet1!$C$1</c:f>
              <c:strCache>
                <c:ptCount val="1"/>
                <c:pt idx="0">
                  <c:v>2019</c:v>
                </c:pt>
              </c:strCache>
            </c:strRef>
          </c:tx>
          <c:invertIfNegative val="0"/>
          <c:dLbls>
            <c:delete val="1"/>
          </c:dLbls>
          <c:cat>
            <c:strRef>
              <c:f>Sheet1!$A$2:$A$5</c:f>
              <c:strCache>
                <c:ptCount val="1"/>
                <c:pt idx="0">
                  <c:v>收、支总计</c:v>
                </c:pt>
              </c:strCache>
            </c:strRef>
          </c:cat>
          <c:val>
            <c:numRef>
              <c:f>Sheet1!$C$2:$C$5</c:f>
              <c:numCache>
                <c:formatCode>General</c:formatCode>
                <c:ptCount val="4"/>
                <c:pt idx="0">
                  <c:v>584.88</c:v>
                </c:pt>
              </c:numCache>
            </c:numRef>
          </c:val>
        </c:ser>
        <c:ser>
          <c:idx val="2"/>
          <c:order val="2"/>
          <c:tx>
            <c:strRef>
              <c:f>Sheet1!$D$1</c:f>
              <c:strCache>
                <c:ptCount val="1"/>
                <c:pt idx="0">
                  <c:v>列1</c:v>
                </c:pt>
              </c:strCache>
            </c:strRef>
          </c:tx>
          <c:invertIfNegative val="0"/>
          <c:dLbls>
            <c:delete val="1"/>
          </c:dLbls>
          <c:cat>
            <c:strRef>
              <c:f>Sheet1!$A$2:$A$5</c:f>
              <c:strCache>
                <c:ptCount val="1"/>
                <c:pt idx="0">
                  <c:v>收、支总计</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26268160"/>
        <c:axId val="126269696"/>
      </c:barChart>
      <c:catAx>
        <c:axId val="1262681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269696"/>
        <c:crosses val="autoZero"/>
        <c:auto val="1"/>
        <c:lblAlgn val="ctr"/>
        <c:lblOffset val="100"/>
        <c:noMultiLvlLbl val="0"/>
      </c:catAx>
      <c:valAx>
        <c:axId val="1262696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2681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23"/>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187.05</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支出明细</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169.56</c:v>
                </c:pt>
                <c:pt idx="1">
                  <c:v>17.5</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5536989672583"/>
          <c:y val="0.132171536409188"/>
          <c:w val="0.257607724991515"/>
          <c:h val="0.49815188390707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1"/>
                <c:pt idx="0">
                  <c:v>财政拨款收、支总计</c:v>
                </c:pt>
              </c:strCache>
            </c:strRef>
          </c:cat>
          <c:val>
            <c:numRef>
              <c:f>Sheet1!$B$2:$B$5</c:f>
              <c:numCache>
                <c:formatCode>General</c:formatCode>
                <c:ptCount val="4"/>
                <c:pt idx="0">
                  <c:v>189.37</c:v>
                </c:pt>
              </c:numCache>
            </c:numRef>
          </c:val>
        </c:ser>
        <c:ser>
          <c:idx val="1"/>
          <c:order val="1"/>
          <c:tx>
            <c:strRef>
              <c:f>Sheet1!$C$1</c:f>
              <c:strCache>
                <c:ptCount val="1"/>
                <c:pt idx="0">
                  <c:v>2019</c:v>
                </c:pt>
              </c:strCache>
            </c:strRef>
          </c:tx>
          <c:invertIfNegative val="0"/>
          <c:dLbls>
            <c:delete val="1"/>
          </c:dLbls>
          <c:cat>
            <c:strRef>
              <c:f>Sheet1!$A$2:$A$5</c:f>
              <c:strCache>
                <c:ptCount val="1"/>
                <c:pt idx="0">
                  <c:v>财政拨款收、支总计</c:v>
                </c:pt>
              </c:strCache>
            </c:strRef>
          </c:cat>
          <c:val>
            <c:numRef>
              <c:f>Sheet1!$C$2:$C$5</c:f>
              <c:numCache>
                <c:formatCode>General</c:formatCode>
                <c:ptCount val="4"/>
                <c:pt idx="0">
                  <c:v>584.88</c:v>
                </c:pt>
              </c:numCache>
            </c:numRef>
          </c:val>
        </c:ser>
        <c:dLbls>
          <c:showLegendKey val="0"/>
          <c:showVal val="0"/>
          <c:showCatName val="0"/>
          <c:showSerName val="0"/>
          <c:showPercent val="0"/>
          <c:showBubbleSize val="0"/>
        </c:dLbls>
        <c:gapWidth val="150"/>
        <c:axId val="132132224"/>
        <c:axId val="132154496"/>
      </c:barChart>
      <c:catAx>
        <c:axId val="1321322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154496"/>
        <c:crosses val="autoZero"/>
        <c:auto val="1"/>
        <c:lblAlgn val="ctr"/>
        <c:lblOffset val="100"/>
        <c:noMultiLvlLbl val="0"/>
      </c:catAx>
      <c:valAx>
        <c:axId val="132154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1322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2003220712949"/>
          <c:y val="0.123592650918635"/>
          <c:w val="0.743875312398702"/>
          <c:h val="0.483834120734909"/>
        </c:manualLayout>
      </c:layout>
      <c:barChart>
        <c:barDir val="col"/>
        <c:grouping val="clustered"/>
        <c:varyColors val="0"/>
        <c:ser>
          <c:idx val="0"/>
          <c:order val="0"/>
          <c:tx>
            <c:strRef>
              <c:f>Sheet1!$B$1</c:f>
              <c:strCache>
                <c:ptCount val="1"/>
                <c:pt idx="0">
                  <c:v>2018</c:v>
                </c:pt>
              </c:strCache>
            </c:strRef>
          </c:tx>
          <c:invertIfNegative val="0"/>
          <c:dLbls>
            <c:delete val="1"/>
          </c:dLbls>
          <c:cat>
            <c:strRef>
              <c:f>Sheet1!$A$2:$A$5</c:f>
              <c:strCache>
                <c:ptCount val="1"/>
                <c:pt idx="0">
                  <c:v>一般公共预算财政拨款支出</c:v>
                </c:pt>
              </c:strCache>
            </c:strRef>
          </c:cat>
          <c:val>
            <c:numRef>
              <c:f>Sheet1!$B$2:$B$5</c:f>
              <c:numCache>
                <c:formatCode>General</c:formatCode>
                <c:ptCount val="4"/>
                <c:pt idx="0">
                  <c:v>189.37</c:v>
                </c:pt>
              </c:numCache>
            </c:numRef>
          </c:val>
        </c:ser>
        <c:ser>
          <c:idx val="1"/>
          <c:order val="1"/>
          <c:tx>
            <c:strRef>
              <c:f>Sheet1!$C$1</c:f>
              <c:strCache>
                <c:ptCount val="1"/>
                <c:pt idx="0">
                  <c:v>2019</c:v>
                </c:pt>
              </c:strCache>
            </c:strRef>
          </c:tx>
          <c:invertIfNegative val="0"/>
          <c:dLbls>
            <c:delete val="1"/>
          </c:dLbls>
          <c:cat>
            <c:strRef>
              <c:f>Sheet1!$A$2:$A$5</c:f>
              <c:strCache>
                <c:ptCount val="1"/>
                <c:pt idx="0">
                  <c:v>一般公共预算财政拨款支出</c:v>
                </c:pt>
              </c:strCache>
            </c:strRef>
          </c:cat>
          <c:val>
            <c:numRef>
              <c:f>Sheet1!$C$2:$C$5</c:f>
              <c:numCache>
                <c:formatCode>General</c:formatCode>
                <c:ptCount val="4"/>
                <c:pt idx="0">
                  <c:v>525.73</c:v>
                </c:pt>
              </c:numCache>
            </c:numRef>
          </c:val>
        </c:ser>
        <c:ser>
          <c:idx val="2"/>
          <c:order val="2"/>
          <c:tx>
            <c:strRef>
              <c:f>Sheet1!$D$1</c:f>
              <c:strCache>
                <c:ptCount val="1"/>
                <c:pt idx="0">
                  <c:v/>
                </c:pt>
              </c:strCache>
            </c:strRef>
          </c:tx>
          <c:invertIfNegative val="0"/>
          <c:dLbls>
            <c:delete val="1"/>
          </c:dLbls>
          <c:cat>
            <c:strRef>
              <c:f>Sheet1!$A$2:$A$5</c:f>
              <c:strCache>
                <c:ptCount val="1"/>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2343680"/>
        <c:axId val="132345216"/>
      </c:barChart>
      <c:catAx>
        <c:axId val="1323436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345216"/>
        <c:crosses val="autoZero"/>
        <c:auto val="1"/>
        <c:lblAlgn val="ctr"/>
        <c:lblOffset val="100"/>
        <c:noMultiLvlLbl val="0"/>
      </c:catAx>
      <c:valAx>
        <c:axId val="132345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3436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489.94</c:v>
                </c:pt>
                <c:pt idx="1">
                  <c:v>17.27</c:v>
                </c:pt>
                <c:pt idx="2">
                  <c:v>7.67</c:v>
                </c:pt>
                <c:pt idx="3">
                  <c:v>10.85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Pt>
            <c:idx val="3"/>
            <c:bubble3D val="0"/>
          </c:dPt>
          <c:dLbls>
            <c:delete val="1"/>
          </c:dLbls>
          <c:cat>
            <c:strRef>
              <c:f>Sheet1!$A$2:$A$5</c:f>
              <c:strCache>
                <c:ptCount val="3"/>
                <c:pt idx="0">
                  <c:v>因公出国（境）费</c:v>
                </c:pt>
                <c:pt idx="1">
                  <c:v>公务用车购置费及运行维护费</c:v>
                </c:pt>
                <c:pt idx="2">
                  <c:v>公务接待费</c:v>
                </c:pt>
              </c:strCache>
            </c:strRef>
          </c:cat>
          <c:val>
            <c:numRef>
              <c:f>Sheet1!$B$2:$B$5</c:f>
              <c:numCache>
                <c:formatCode>General</c:formatCode>
                <c:ptCount val="4"/>
                <c:pt idx="0">
                  <c:v>0</c:v>
                </c:pt>
                <c:pt idx="1">
                  <c:v>0</c:v>
                </c:pt>
                <c:pt idx="2">
                  <c:v>78.5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27360-609C-4E36-9CE0-E3C7A2C2AE7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1520</Words>
  <Characters>8668</Characters>
  <Lines>72</Lines>
  <Paragraphs>20</Paragraphs>
  <TotalTime>2084</TotalTime>
  <ScaleCrop>false</ScaleCrop>
  <LinksUpToDate>false</LinksUpToDate>
  <CharactersWithSpaces>10168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2021-06-03T01:29:29Z</dcterms:modified>
  <dc:title>四川省***</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5FDAA80932A74D49AAEF38B0580931E5</vt:lpwstr>
  </property>
</Properties>
</file>