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7193"/>
      <w:bookmarkStart w:id="1" w:name="_Toc15396597"/>
      <w:bookmarkStart w:id="2" w:name="_Toc15396475"/>
      <w:bookmarkStart w:id="3" w:name="_Toc15378441"/>
      <w:bookmarkStart w:id="4" w:name="_Toc15377425"/>
      <w:bookmarkStart w:id="5" w:name="_Toc15306267"/>
    </w:p>
    <w:bookmarkEnd w:id="0"/>
    <w:bookmarkEnd w:id="1"/>
    <w:bookmarkEnd w:id="2"/>
    <w:bookmarkEnd w:id="3"/>
    <w:bookmarkEnd w:id="4"/>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77194"/>
      <w:bookmarkStart w:id="8" w:name="_Toc15378442"/>
      <w:bookmarkStart w:id="9" w:name="_Toc15396598"/>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阿坝州茂县公务服务中心</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pPr>
        <w:widowControl/>
        <w:spacing w:line="440" w:lineRule="exact"/>
        <w:ind w:firstLine="420" w:firstLineChars="200"/>
        <w:jc w:val="left"/>
        <w:rPr>
          <w:rFonts w:ascii="仿宋" w:hAnsi="仿宋" w:eastAsia="仿宋"/>
          <w:bCs/>
          <w:color w:val="auto"/>
          <w:kern w:val="44"/>
          <w:highlight w:val="none"/>
        </w:rPr>
      </w:pPr>
    </w:p>
    <w:p>
      <w:pPr>
        <w:widowControl/>
        <w:spacing w:line="440" w:lineRule="exact"/>
        <w:ind w:firstLine="420" w:firstLineChars="200"/>
        <w:jc w:val="left"/>
        <w:rPr>
          <w:rFonts w:ascii="仿宋" w:hAnsi="仿宋" w:eastAsia="仿宋"/>
          <w:bCs/>
          <w:color w:val="auto"/>
          <w:kern w:val="44"/>
          <w:highlight w:val="none"/>
        </w:rPr>
      </w:pPr>
      <w:bookmarkStart w:id="12" w:name="_Toc29347"/>
      <w:bookmarkStart w:id="13" w:name="_Toc29198"/>
      <w:bookmarkStart w:id="14" w:name="_Toc23272"/>
    </w:p>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TOC \o "1-2" \h \u </w:instrText>
      </w:r>
      <w:r>
        <w:fldChar w:fldCharType="separate"/>
      </w:r>
      <w:r>
        <w:fldChar w:fldCharType="begin"/>
      </w:r>
      <w:r>
        <w:instrText xml:space="preserve"> HYPERLINK \l _Toc2510 </w:instrText>
      </w:r>
      <w:r>
        <w:fldChar w:fldCharType="separate"/>
      </w:r>
      <w:r>
        <w:rPr>
          <w:rFonts w:hint="eastAsia" w:ascii="黑体" w:hAnsi="黑体" w:eastAsia="黑体"/>
          <w:highlight w:val="none"/>
        </w:rPr>
        <w:t xml:space="preserve">第一部分 </w:t>
      </w:r>
      <w:r>
        <w:rPr>
          <w:rFonts w:hint="eastAsia" w:ascii="黑体" w:hAnsi="黑体" w:eastAsia="黑体"/>
          <w:highlight w:val="none"/>
          <w:lang w:eastAsia="zh-CN"/>
        </w:rPr>
        <w:t>单位</w:t>
      </w:r>
      <w:r>
        <w:rPr>
          <w:rFonts w:hint="eastAsia" w:ascii="黑体" w:hAnsi="黑体" w:eastAsia="黑体"/>
          <w:bCs w:val="0"/>
          <w:highlight w:val="none"/>
        </w:rPr>
        <w:t>概况</w:t>
      </w:r>
      <w:r>
        <w:tab/>
      </w:r>
      <w:r>
        <w:rPr>
          <w:rFonts w:hint="eastAsia"/>
          <w:lang w:val="en-US" w:eastAsia="zh-CN"/>
        </w:rPr>
        <w:t>3</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_Toc60 </w:instrText>
      </w:r>
      <w:r>
        <w:fldChar w:fldCharType="separate"/>
      </w:r>
      <w:r>
        <w:rPr>
          <w:rFonts w:hint="eastAsia" w:ascii="黑体" w:hAnsi="黑体" w:eastAsia="黑体"/>
          <w:bCs w:val="0"/>
          <w:lang w:eastAsia="zh-CN"/>
        </w:rPr>
        <w:t xml:space="preserve">一、 </w:t>
      </w:r>
      <w:r>
        <w:rPr>
          <w:rFonts w:hint="eastAsia" w:ascii="黑体" w:hAnsi="黑体" w:eastAsia="黑体"/>
          <w:bCs w:val="0"/>
          <w:highlight w:val="none"/>
          <w:lang w:eastAsia="zh-CN"/>
        </w:rPr>
        <w:t>主要职责</w:t>
      </w:r>
      <w:r>
        <w:tab/>
      </w:r>
      <w:r>
        <w:rPr>
          <w:rFonts w:hint="eastAsia"/>
          <w:lang w:val="en-US" w:eastAsia="zh-CN"/>
        </w:rPr>
        <w:t>3</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_Toc18464 </w:instrText>
      </w:r>
      <w:r>
        <w:fldChar w:fldCharType="separate"/>
      </w:r>
      <w:r>
        <w:rPr>
          <w:rFonts w:hint="eastAsia" w:ascii="黑体" w:hAnsi="黑体" w:eastAsia="黑体"/>
          <w:highlight w:val="none"/>
          <w:lang w:val="en-US" w:eastAsia="zh-CN"/>
        </w:rPr>
        <w:t>二、机构设置</w:t>
      </w:r>
      <w:r>
        <w:tab/>
      </w:r>
      <w:r>
        <w:rPr>
          <w:rFonts w:hint="eastAsia"/>
          <w:lang w:val="en-US" w:eastAsia="zh-CN"/>
        </w:rPr>
        <w:t>3</w:t>
      </w:r>
      <w:r>
        <w:fldChar w:fldCharType="end"/>
      </w:r>
    </w:p>
    <w:p>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_Toc19994 </w:instrText>
      </w:r>
      <w:r>
        <w:fldChar w:fldCharType="separate"/>
      </w:r>
      <w:r>
        <w:rPr>
          <w:rFonts w:hint="eastAsia" w:ascii="黑体" w:hAnsi="黑体" w:eastAsia="黑体"/>
          <w:bCs/>
          <w:highlight w:val="none"/>
        </w:rPr>
        <w:t xml:space="preserve">第二部分 </w:t>
      </w:r>
      <w:r>
        <w:rPr>
          <w:rFonts w:hint="eastAsia" w:ascii="黑体" w:hAnsi="黑体" w:eastAsia="黑体"/>
          <w:bCs/>
          <w:highlight w:val="none"/>
          <w:lang w:val="en-US" w:eastAsia="zh-CN"/>
        </w:rPr>
        <w:t>2025年度</w:t>
      </w:r>
      <w:r>
        <w:rPr>
          <w:rFonts w:hint="eastAsia" w:ascii="黑体" w:hAnsi="黑体" w:eastAsia="黑体"/>
          <w:bCs/>
          <w:highlight w:val="none"/>
          <w:lang w:eastAsia="zh-CN"/>
        </w:rPr>
        <w:t>单位</w:t>
      </w:r>
      <w:r>
        <w:rPr>
          <w:rFonts w:hint="eastAsia" w:ascii="黑体" w:hAnsi="黑体" w:eastAsia="黑体"/>
          <w:bCs/>
          <w:highlight w:val="none"/>
        </w:rPr>
        <w:t>决算情况说明</w:t>
      </w:r>
      <w:r>
        <w:tab/>
      </w:r>
      <w:r>
        <w:rPr>
          <w:rFonts w:hint="eastAsia"/>
          <w:lang w:val="en-US" w:eastAsia="zh-CN"/>
        </w:rPr>
        <w:t>4</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_Toc17835 </w:instrText>
      </w:r>
      <w:r>
        <w:fldChar w:fldCharType="separate"/>
      </w:r>
      <w:r>
        <w:rPr>
          <w:rFonts w:hint="eastAsia" w:ascii="黑体" w:hAnsi="黑体" w:eastAsia="黑体"/>
          <w:szCs w:val="32"/>
          <w:highlight w:val="none"/>
          <w:lang w:eastAsia="zh-CN"/>
        </w:rPr>
        <w:t>一、</w:t>
      </w:r>
      <w:r>
        <w:rPr>
          <w:rFonts w:hint="eastAsia" w:ascii="黑体" w:hAnsi="黑体" w:eastAsia="黑体"/>
          <w:szCs w:val="32"/>
          <w:highlight w:val="none"/>
        </w:rPr>
        <w:t>收</w:t>
      </w:r>
      <w:r>
        <w:rPr>
          <w:rFonts w:hint="eastAsia" w:ascii="黑体" w:hAnsi="黑体" w:eastAsia="黑体"/>
          <w:highlight w:val="none"/>
        </w:rPr>
        <w:t>入支出决算总体情况说明</w:t>
      </w:r>
      <w:r>
        <w:tab/>
      </w:r>
      <w:r>
        <w:rPr>
          <w:rFonts w:hint="eastAsia"/>
          <w:lang w:val="en-US" w:eastAsia="zh-CN"/>
        </w:rPr>
        <w:t>4</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_Toc6955 </w:instrText>
      </w:r>
      <w:r>
        <w:fldChar w:fldCharType="separate"/>
      </w:r>
      <w:r>
        <w:rPr>
          <w:rFonts w:hint="eastAsia" w:ascii="黑体" w:hAnsi="黑体" w:eastAsia="黑体"/>
          <w:szCs w:val="32"/>
          <w:highlight w:val="none"/>
          <w:lang w:eastAsia="zh-CN"/>
        </w:rPr>
        <w:t>二、</w:t>
      </w:r>
      <w:r>
        <w:rPr>
          <w:rFonts w:hint="eastAsia" w:ascii="黑体" w:hAnsi="黑体" w:eastAsia="黑体"/>
          <w:szCs w:val="32"/>
          <w:highlight w:val="none"/>
        </w:rPr>
        <w:t>收</w:t>
      </w:r>
      <w:r>
        <w:rPr>
          <w:rFonts w:hint="eastAsia" w:ascii="黑体" w:hAnsi="黑体" w:eastAsia="黑体"/>
          <w:highlight w:val="none"/>
        </w:rPr>
        <w:t>入决算情况说明</w:t>
      </w:r>
      <w:r>
        <w:tab/>
      </w:r>
      <w:r>
        <w:rPr>
          <w:rFonts w:hint="eastAsia"/>
          <w:lang w:val="en-US" w:eastAsia="zh-CN"/>
        </w:rPr>
        <w:t>4</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_Toc825 </w:instrText>
      </w:r>
      <w:r>
        <w:fldChar w:fldCharType="separate"/>
      </w:r>
      <w:r>
        <w:rPr>
          <w:rFonts w:hint="eastAsia" w:ascii="黑体" w:hAnsi="黑体" w:eastAsia="黑体"/>
          <w:szCs w:val="32"/>
          <w:highlight w:val="none"/>
          <w:lang w:eastAsia="zh-CN"/>
        </w:rPr>
        <w:t>三、</w:t>
      </w:r>
      <w:r>
        <w:rPr>
          <w:rFonts w:hint="eastAsia" w:ascii="黑体" w:hAnsi="黑体" w:eastAsia="黑体"/>
          <w:szCs w:val="32"/>
          <w:highlight w:val="none"/>
        </w:rPr>
        <w:t>支</w:t>
      </w:r>
      <w:r>
        <w:rPr>
          <w:rFonts w:hint="eastAsia" w:ascii="黑体" w:hAnsi="黑体" w:eastAsia="黑体"/>
          <w:highlight w:val="none"/>
        </w:rPr>
        <w:t>出决算情况说明</w:t>
      </w:r>
      <w:r>
        <w:tab/>
      </w:r>
      <w:r>
        <w:rPr>
          <w:rFonts w:hint="eastAsia"/>
          <w:lang w:val="en-US" w:eastAsia="zh-CN"/>
        </w:rPr>
        <w:t>5</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_Toc30672 </w:instrText>
      </w:r>
      <w:r>
        <w:fldChar w:fldCharType="separate"/>
      </w:r>
      <w:r>
        <w:rPr>
          <w:rFonts w:hint="eastAsia" w:ascii="黑体" w:hAnsi="黑体" w:eastAsia="黑体"/>
          <w:szCs w:val="32"/>
          <w:highlight w:val="none"/>
        </w:rPr>
        <w:t>四、财</w:t>
      </w:r>
      <w:r>
        <w:rPr>
          <w:rFonts w:hint="eastAsia" w:ascii="黑体" w:hAnsi="黑体" w:eastAsia="黑体"/>
          <w:highlight w:val="none"/>
        </w:rPr>
        <w:t>政拨款收入支出决算总体情况说明</w:t>
      </w:r>
      <w:r>
        <w:tab/>
      </w:r>
      <w:r>
        <w:rPr>
          <w:rFonts w:hint="eastAsia"/>
          <w:lang w:val="en-US" w:eastAsia="zh-CN"/>
        </w:rPr>
        <w:t>5</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_Toc12902 </w:instrText>
      </w:r>
      <w:r>
        <w:fldChar w:fldCharType="separate"/>
      </w:r>
      <w:r>
        <w:rPr>
          <w:rFonts w:hint="eastAsia" w:ascii="黑体" w:hAnsi="黑体" w:eastAsia="黑体"/>
          <w:szCs w:val="32"/>
          <w:highlight w:val="none"/>
        </w:rPr>
        <w:t>五、一</w:t>
      </w:r>
      <w:r>
        <w:rPr>
          <w:rFonts w:hint="eastAsia" w:ascii="黑体" w:hAnsi="黑体" w:eastAsia="黑体"/>
          <w:highlight w:val="none"/>
        </w:rPr>
        <w:t>般公共预算财政拨款支出决算情况说明</w:t>
      </w:r>
      <w:r>
        <w:tab/>
      </w:r>
      <w:r>
        <w:rPr>
          <w:rFonts w:hint="eastAsia"/>
          <w:lang w:val="en-US" w:eastAsia="zh-CN"/>
        </w:rPr>
        <w:t>6</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_Toc5938 </w:instrText>
      </w:r>
      <w:r>
        <w:fldChar w:fldCharType="separate"/>
      </w:r>
      <w:r>
        <w:rPr>
          <w:rFonts w:hint="eastAsia" w:ascii="黑体" w:eastAsia="黑体"/>
          <w:szCs w:val="32"/>
          <w:highlight w:val="none"/>
        </w:rPr>
        <w:t>六、</w:t>
      </w:r>
      <w:r>
        <w:rPr>
          <w:rFonts w:hint="eastAsia" w:ascii="黑体" w:hAnsi="黑体" w:eastAsia="黑体"/>
          <w:szCs w:val="32"/>
          <w:highlight w:val="none"/>
        </w:rPr>
        <w:t>一</w:t>
      </w:r>
      <w:r>
        <w:rPr>
          <w:rFonts w:hint="eastAsia" w:ascii="黑体" w:hAnsi="黑体" w:eastAsia="黑体"/>
          <w:highlight w:val="none"/>
        </w:rPr>
        <w:t>般公共预算财政拨款基本支出决算情况说明</w:t>
      </w:r>
      <w:r>
        <w:tab/>
      </w:r>
      <w:r>
        <w:rPr>
          <w:rFonts w:hint="eastAsia"/>
          <w:lang w:val="en-US" w:eastAsia="zh-CN"/>
        </w:rPr>
        <w:t>8</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pPr>
      <w:r>
        <w:fldChar w:fldCharType="begin"/>
      </w:r>
      <w:r>
        <w:instrText xml:space="preserve"> HYPERLINK \l _Toc8661 </w:instrText>
      </w:r>
      <w:r>
        <w:fldChar w:fldCharType="separate"/>
      </w:r>
      <w:r>
        <w:rPr>
          <w:rFonts w:hint="eastAsia" w:ascii="黑体" w:eastAsia="黑体"/>
          <w:szCs w:val="32"/>
          <w:highlight w:val="none"/>
        </w:rPr>
        <w:t>七、</w:t>
      </w:r>
      <w:r>
        <w:rPr>
          <w:rFonts w:hint="eastAsia" w:ascii="黑体" w:hAnsi="黑体" w:eastAsia="黑体"/>
          <w:highlight w:val="none"/>
        </w:rPr>
        <w:t>财政拨款“三公”经费支出决算情况说明</w:t>
      </w:r>
      <w:r>
        <w:tab/>
      </w:r>
      <w:r>
        <w:rPr>
          <w:rFonts w:hint="eastAsia"/>
          <w:lang w:val="en-US" w:eastAsia="zh-CN"/>
        </w:rPr>
        <w:t>8</w:t>
      </w:r>
      <w:r>
        <w:fldChar w:fldCharType="end"/>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_Toc6533 </w:instrText>
      </w:r>
      <w:r>
        <w:fldChar w:fldCharType="separate"/>
      </w:r>
      <w:r>
        <w:rPr>
          <w:rFonts w:hint="eastAsia" w:ascii="黑体" w:eastAsia="黑体"/>
          <w:szCs w:val="32"/>
          <w:highlight w:val="none"/>
        </w:rPr>
        <w:t>八、</w:t>
      </w:r>
      <w:r>
        <w:rPr>
          <w:rFonts w:hint="eastAsia" w:ascii="黑体" w:hAnsi="黑体" w:eastAsia="黑体"/>
          <w:highlight w:val="none"/>
        </w:rPr>
        <w:t>政府性基金预算支出决算情况说明</w:t>
      </w:r>
      <w:r>
        <w:tab/>
      </w:r>
      <w:r>
        <w:rPr>
          <w:rFonts w:hint="eastAsia"/>
          <w:lang w:val="en-US" w:eastAsia="zh-CN"/>
        </w:rPr>
        <w:t>1</w:t>
      </w:r>
      <w:r>
        <w:fldChar w:fldCharType="end"/>
      </w:r>
      <w:r>
        <w:rPr>
          <w:rFonts w:hint="eastAsia"/>
          <w:lang w:val="en-US" w:eastAsia="zh-CN"/>
        </w:rPr>
        <w:t>0</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_Toc21496 </w:instrText>
      </w:r>
      <w:r>
        <w:fldChar w:fldCharType="separate"/>
      </w:r>
      <w:r>
        <w:rPr>
          <w:rFonts w:hint="eastAsia" w:ascii="黑体" w:hAnsi="黑体" w:eastAsia="黑体"/>
          <w:highlight w:val="none"/>
          <w:lang w:eastAsia="zh-CN"/>
        </w:rPr>
        <w:t>九、</w:t>
      </w:r>
      <w:r>
        <w:rPr>
          <w:rFonts w:hint="eastAsia" w:ascii="黑体" w:hAnsi="黑体" w:eastAsia="黑体"/>
          <w:highlight w:val="none"/>
        </w:rPr>
        <w:t>国有资本经营预算支出决算情况说明</w:t>
      </w:r>
      <w:r>
        <w:tab/>
      </w:r>
      <w:r>
        <w:rPr>
          <w:rFonts w:hint="eastAsia"/>
          <w:lang w:val="en-US" w:eastAsia="zh-CN"/>
        </w:rPr>
        <w:t>1</w:t>
      </w:r>
      <w:r>
        <w:fldChar w:fldCharType="end"/>
      </w:r>
      <w:r>
        <w:rPr>
          <w:rFonts w:hint="eastAsia"/>
          <w:lang w:val="en-US" w:eastAsia="zh-CN"/>
        </w:rPr>
        <w:t>0</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_Toc26201 </w:instrText>
      </w:r>
      <w:r>
        <w:fldChar w:fldCharType="separate"/>
      </w:r>
      <w:r>
        <w:rPr>
          <w:rFonts w:hint="eastAsia" w:ascii="黑体" w:hAnsi="黑体" w:eastAsia="黑体"/>
          <w:highlight w:val="none"/>
          <w:lang w:eastAsia="zh-CN"/>
        </w:rPr>
        <w:t>十、</w:t>
      </w:r>
      <w:r>
        <w:rPr>
          <w:rFonts w:hint="eastAsia" w:ascii="黑体" w:hAnsi="黑体" w:eastAsia="黑体"/>
          <w:highlight w:val="none"/>
        </w:rPr>
        <w:t>其他重要事项的情况说明</w:t>
      </w:r>
      <w:r>
        <w:tab/>
      </w:r>
      <w:r>
        <w:rPr>
          <w:rFonts w:hint="eastAsia"/>
          <w:lang w:val="en-US" w:eastAsia="zh-CN"/>
        </w:rPr>
        <w:t>1</w:t>
      </w:r>
      <w:r>
        <w:fldChar w:fldCharType="end"/>
      </w:r>
      <w:r>
        <w:rPr>
          <w:rFonts w:hint="eastAsia"/>
          <w:lang w:val="en-US" w:eastAsia="zh-CN"/>
        </w:rPr>
        <w:t>0</w:t>
      </w:r>
    </w:p>
    <w:p>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仿宋"/>
          <w:lang w:val="en-US" w:eastAsia="zh-CN"/>
        </w:rPr>
      </w:pPr>
      <w:r>
        <w:fldChar w:fldCharType="begin"/>
      </w:r>
      <w:r>
        <w:instrText xml:space="preserve"> HYPERLINK \l _Toc252 </w:instrText>
      </w:r>
      <w:r>
        <w:fldChar w:fldCharType="separate"/>
      </w:r>
      <w:r>
        <w:rPr>
          <w:rFonts w:hint="eastAsia" w:ascii="黑体" w:hAnsi="黑体" w:eastAsia="黑体"/>
          <w:szCs w:val="44"/>
          <w:highlight w:val="none"/>
          <w:lang w:eastAsia="zh-CN"/>
        </w:rPr>
        <w:t>第三部分</w:t>
      </w:r>
      <w:r>
        <w:rPr>
          <w:rFonts w:hint="eastAsia" w:ascii="黑体" w:hAnsi="黑体" w:eastAsia="黑体"/>
          <w:szCs w:val="44"/>
          <w:highlight w:val="none"/>
          <w:lang w:val="en-US" w:eastAsia="zh-CN"/>
        </w:rPr>
        <w:t xml:space="preserve">  </w:t>
      </w:r>
      <w:r>
        <w:rPr>
          <w:rFonts w:hint="eastAsia" w:ascii="黑体" w:hAnsi="黑体" w:eastAsia="黑体"/>
          <w:szCs w:val="44"/>
          <w:highlight w:val="none"/>
        </w:rPr>
        <w:t>名</w:t>
      </w:r>
      <w:r>
        <w:rPr>
          <w:rFonts w:hint="eastAsia" w:ascii="黑体" w:hAnsi="黑体" w:eastAsia="黑体"/>
          <w:highlight w:val="none"/>
        </w:rPr>
        <w:t>词解释</w:t>
      </w:r>
      <w:r>
        <w:tab/>
      </w:r>
      <w:r>
        <w:rPr>
          <w:rFonts w:hint="eastAsia"/>
          <w:lang w:val="en-US" w:eastAsia="zh-CN"/>
        </w:rPr>
        <w:t>1</w:t>
      </w:r>
      <w:r>
        <w:fldChar w:fldCharType="end"/>
      </w:r>
      <w:r>
        <w:rPr>
          <w:rFonts w:hint="eastAsia"/>
          <w:lang w:val="en-US" w:eastAsia="zh-CN"/>
        </w:rPr>
        <w:t>2</w:t>
      </w:r>
    </w:p>
    <w:p>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仿宋"/>
          <w:lang w:val="en-US" w:eastAsia="zh-CN"/>
        </w:rPr>
      </w:pPr>
      <w:r>
        <w:fldChar w:fldCharType="begin"/>
      </w:r>
      <w:r>
        <w:instrText xml:space="preserve"> HYPERLINK \l _Toc14068 </w:instrText>
      </w:r>
      <w:r>
        <w:fldChar w:fldCharType="separate"/>
      </w:r>
      <w:r>
        <w:rPr>
          <w:rFonts w:hint="eastAsia" w:ascii="黑体" w:hAnsi="黑体" w:eastAsia="黑体"/>
          <w:szCs w:val="44"/>
          <w:highlight w:val="none"/>
        </w:rPr>
        <w:t>第</w:t>
      </w:r>
      <w:r>
        <w:rPr>
          <w:rFonts w:hint="eastAsia" w:ascii="黑体" w:hAnsi="黑体" w:eastAsia="黑体"/>
          <w:highlight w:val="none"/>
        </w:rPr>
        <w:t>四部分 附件</w:t>
      </w:r>
      <w:r>
        <w:tab/>
      </w:r>
      <w:r>
        <w:rPr>
          <w:rFonts w:hint="eastAsia"/>
          <w:lang w:val="en-US" w:eastAsia="zh-CN"/>
        </w:rPr>
        <w:t>1</w:t>
      </w:r>
      <w:r>
        <w:fldChar w:fldCharType="end"/>
      </w:r>
      <w:r>
        <w:rPr>
          <w:rFonts w:hint="eastAsia"/>
          <w:lang w:val="en-US" w:eastAsia="zh-CN"/>
        </w:rPr>
        <w:t>3</w:t>
      </w:r>
    </w:p>
    <w:p>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jc w:val="both"/>
        <w:textAlignment w:val="auto"/>
        <w:rPr>
          <w:rFonts w:hint="eastAsia" w:eastAsia="仿宋"/>
          <w:lang w:val="en-US" w:eastAsia="zh-CN"/>
        </w:rPr>
      </w:pPr>
      <w:r>
        <w:fldChar w:fldCharType="begin"/>
      </w:r>
      <w:r>
        <w:instrText xml:space="preserve"> HYPERLINK \l _Toc8049 </w:instrText>
      </w:r>
      <w:r>
        <w:fldChar w:fldCharType="separate"/>
      </w:r>
      <w:r>
        <w:rPr>
          <w:rFonts w:hint="eastAsia" w:ascii="黑体" w:hAnsi="黑体" w:eastAsia="黑体"/>
          <w:szCs w:val="44"/>
          <w:highlight w:val="none"/>
        </w:rPr>
        <w:t>第</w:t>
      </w:r>
      <w:r>
        <w:rPr>
          <w:rFonts w:hint="eastAsia" w:ascii="黑体" w:hAnsi="黑体" w:eastAsia="黑体"/>
          <w:highlight w:val="none"/>
        </w:rPr>
        <w:t>五部分 附表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_Toc7617 </w:instrText>
      </w:r>
      <w:r>
        <w:fldChar w:fldCharType="separate"/>
      </w:r>
      <w:r>
        <w:rPr>
          <w:rFonts w:hint="eastAsia" w:ascii="仿宋" w:hAnsi="仿宋" w:eastAsia="仿宋"/>
          <w:highlight w:val="none"/>
        </w:rPr>
        <w:t>一、收</w:t>
      </w:r>
      <w:r>
        <w:rPr>
          <w:rFonts w:hint="eastAsia" w:ascii="仿宋" w:hAnsi="仿宋" w:eastAsia="仿宋"/>
          <w:bCs w:val="0"/>
          <w:highlight w:val="none"/>
        </w:rPr>
        <w:t>入支出决算总表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_Toc26552 </w:instrText>
      </w:r>
      <w:r>
        <w:fldChar w:fldCharType="separate"/>
      </w:r>
      <w:r>
        <w:rPr>
          <w:rFonts w:hint="eastAsia" w:ascii="仿宋" w:hAnsi="仿宋" w:eastAsia="仿宋"/>
          <w:highlight w:val="none"/>
        </w:rPr>
        <w:t>二、收</w:t>
      </w:r>
      <w:r>
        <w:rPr>
          <w:rFonts w:hint="eastAsia" w:ascii="仿宋" w:hAnsi="仿宋" w:eastAsia="仿宋"/>
          <w:bCs w:val="0"/>
          <w:highlight w:val="none"/>
        </w:rPr>
        <w:t>入决算表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_Toc3217 </w:instrText>
      </w:r>
      <w:r>
        <w:fldChar w:fldCharType="separate"/>
      </w:r>
      <w:r>
        <w:rPr>
          <w:rFonts w:hint="eastAsia" w:ascii="仿宋" w:hAnsi="仿宋" w:eastAsia="仿宋"/>
          <w:bCs w:val="0"/>
          <w:highlight w:val="none"/>
        </w:rPr>
        <w:t>三、</w:t>
      </w:r>
      <w:r>
        <w:rPr>
          <w:rFonts w:hint="eastAsia" w:ascii="仿宋" w:hAnsi="仿宋" w:eastAsia="仿宋"/>
          <w:highlight w:val="none"/>
        </w:rPr>
        <w:t>支</w:t>
      </w:r>
      <w:r>
        <w:rPr>
          <w:rFonts w:hint="eastAsia" w:ascii="仿宋" w:hAnsi="仿宋" w:eastAsia="仿宋"/>
          <w:bCs w:val="0"/>
          <w:highlight w:val="none"/>
        </w:rPr>
        <w:t>出决算表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_Toc24953 </w:instrText>
      </w:r>
      <w:r>
        <w:fldChar w:fldCharType="separate"/>
      </w:r>
      <w:r>
        <w:rPr>
          <w:rFonts w:hint="eastAsia" w:ascii="仿宋" w:hAnsi="仿宋" w:eastAsia="仿宋"/>
          <w:bCs w:val="0"/>
          <w:highlight w:val="none"/>
        </w:rPr>
        <w:t>四、</w:t>
      </w:r>
      <w:r>
        <w:rPr>
          <w:rFonts w:hint="eastAsia" w:ascii="仿宋" w:hAnsi="仿宋" w:eastAsia="仿宋"/>
          <w:highlight w:val="none"/>
        </w:rPr>
        <w:t>财</w:t>
      </w:r>
      <w:r>
        <w:rPr>
          <w:rFonts w:hint="eastAsia" w:ascii="仿宋" w:hAnsi="仿宋" w:eastAsia="仿宋"/>
          <w:bCs w:val="0"/>
          <w:highlight w:val="none"/>
        </w:rPr>
        <w:t>政拨款收入支出决算总表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_Toc30042 </w:instrText>
      </w:r>
      <w:r>
        <w:fldChar w:fldCharType="separate"/>
      </w:r>
      <w:r>
        <w:rPr>
          <w:rFonts w:hint="eastAsia" w:ascii="仿宋" w:hAnsi="仿宋" w:eastAsia="仿宋"/>
          <w:bCs w:val="0"/>
          <w:highlight w:val="none"/>
        </w:rPr>
        <w:t>五、</w:t>
      </w:r>
      <w:r>
        <w:rPr>
          <w:rFonts w:hint="eastAsia" w:ascii="仿宋" w:hAnsi="仿宋" w:eastAsia="仿宋"/>
          <w:highlight w:val="none"/>
        </w:rPr>
        <w:t>财</w:t>
      </w:r>
      <w:r>
        <w:rPr>
          <w:rFonts w:hint="eastAsia" w:ascii="仿宋" w:hAnsi="仿宋" w:eastAsia="仿宋"/>
          <w:bCs w:val="0"/>
          <w:highlight w:val="none"/>
        </w:rPr>
        <w:t>政拨款支出决算明细表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_Toc11037 </w:instrText>
      </w:r>
      <w:r>
        <w:fldChar w:fldCharType="separate"/>
      </w:r>
      <w:r>
        <w:rPr>
          <w:rFonts w:hint="eastAsia" w:ascii="仿宋" w:hAnsi="仿宋" w:eastAsia="仿宋"/>
          <w:bCs w:val="0"/>
          <w:highlight w:val="none"/>
        </w:rPr>
        <w:t>六、</w:t>
      </w:r>
      <w:r>
        <w:rPr>
          <w:rFonts w:hint="eastAsia" w:ascii="仿宋" w:hAnsi="仿宋" w:eastAsia="仿宋"/>
          <w:highlight w:val="none"/>
        </w:rPr>
        <w:t>一</w:t>
      </w:r>
      <w:r>
        <w:rPr>
          <w:rFonts w:hint="eastAsia" w:ascii="仿宋" w:hAnsi="仿宋" w:eastAsia="仿宋"/>
          <w:bCs w:val="0"/>
          <w:highlight w:val="none"/>
        </w:rPr>
        <w:t>般公共预算财政拨款支出决算表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_Toc31248 </w:instrText>
      </w:r>
      <w:r>
        <w:fldChar w:fldCharType="separate"/>
      </w:r>
      <w:r>
        <w:rPr>
          <w:rFonts w:hint="eastAsia" w:ascii="仿宋" w:hAnsi="仿宋" w:eastAsia="仿宋"/>
          <w:bCs w:val="0"/>
          <w:highlight w:val="none"/>
        </w:rPr>
        <w:t>七、</w:t>
      </w:r>
      <w:r>
        <w:rPr>
          <w:rFonts w:hint="eastAsia" w:ascii="仿宋" w:hAnsi="仿宋" w:eastAsia="仿宋"/>
          <w:highlight w:val="none"/>
        </w:rPr>
        <w:t>一</w:t>
      </w:r>
      <w:r>
        <w:rPr>
          <w:rFonts w:hint="eastAsia" w:ascii="仿宋" w:hAnsi="仿宋" w:eastAsia="仿宋"/>
          <w:bCs w:val="0"/>
          <w:highlight w:val="none"/>
        </w:rPr>
        <w:t>般公共预算财政拨款支出决算明细表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_Toc12080 </w:instrText>
      </w:r>
      <w:r>
        <w:fldChar w:fldCharType="separate"/>
      </w:r>
      <w:r>
        <w:rPr>
          <w:rFonts w:hint="eastAsia" w:ascii="仿宋" w:hAnsi="仿宋" w:eastAsia="仿宋"/>
          <w:bCs w:val="0"/>
          <w:highlight w:val="none"/>
        </w:rPr>
        <w:t>八、</w:t>
      </w:r>
      <w:r>
        <w:rPr>
          <w:rFonts w:hint="eastAsia" w:ascii="仿宋" w:hAnsi="仿宋" w:eastAsia="仿宋"/>
          <w:highlight w:val="none"/>
        </w:rPr>
        <w:t>一</w:t>
      </w:r>
      <w:r>
        <w:rPr>
          <w:rFonts w:hint="eastAsia" w:ascii="仿宋" w:hAnsi="仿宋" w:eastAsia="仿宋"/>
          <w:bCs w:val="0"/>
          <w:highlight w:val="none"/>
        </w:rPr>
        <w:t>般公共预算财政拨款基本支出决算表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_Toc4566 </w:instrText>
      </w:r>
      <w:r>
        <w:fldChar w:fldCharType="separate"/>
      </w:r>
      <w:r>
        <w:rPr>
          <w:rFonts w:hint="eastAsia" w:ascii="仿宋" w:hAnsi="仿宋" w:eastAsia="仿宋"/>
          <w:bCs w:val="0"/>
          <w:highlight w:val="none"/>
        </w:rPr>
        <w:t>九、</w:t>
      </w:r>
      <w:r>
        <w:rPr>
          <w:rFonts w:hint="eastAsia" w:ascii="仿宋" w:hAnsi="仿宋" w:eastAsia="仿宋"/>
          <w:highlight w:val="none"/>
        </w:rPr>
        <w:t>一</w:t>
      </w:r>
      <w:r>
        <w:rPr>
          <w:rFonts w:hint="eastAsia" w:ascii="仿宋" w:hAnsi="仿宋" w:eastAsia="仿宋"/>
          <w:bCs w:val="0"/>
          <w:highlight w:val="none"/>
        </w:rPr>
        <w:t>般公共预算财政拨款项目支出决算表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_Toc27654 </w:instrText>
      </w:r>
      <w:r>
        <w:fldChar w:fldCharType="separate"/>
      </w:r>
      <w:r>
        <w:rPr>
          <w:rFonts w:hint="eastAsia" w:ascii="仿宋" w:hAnsi="仿宋" w:eastAsia="仿宋"/>
          <w:bCs w:val="0"/>
          <w:highlight w:val="none"/>
        </w:rPr>
        <w:t>十、</w:t>
      </w:r>
      <w:r>
        <w:rPr>
          <w:rFonts w:hint="eastAsia" w:ascii="仿宋" w:hAnsi="仿宋" w:eastAsia="仿宋"/>
          <w:highlight w:val="none"/>
        </w:rPr>
        <w:t>政</w:t>
      </w:r>
      <w:r>
        <w:rPr>
          <w:rFonts w:hint="eastAsia" w:ascii="仿宋" w:hAnsi="仿宋" w:eastAsia="仿宋"/>
          <w:bCs w:val="0"/>
          <w:highlight w:val="none"/>
        </w:rPr>
        <w:t>府性基金预算财政拨款收入支出决算表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_Toc32382 </w:instrText>
      </w:r>
      <w:r>
        <w:fldChar w:fldCharType="separate"/>
      </w:r>
      <w:r>
        <w:rPr>
          <w:rFonts w:hint="eastAsia" w:ascii="仿宋" w:hAnsi="仿宋" w:eastAsia="仿宋"/>
          <w:bCs w:val="0"/>
          <w:highlight w:val="none"/>
        </w:rPr>
        <w:t>十一、</w:t>
      </w:r>
      <w:r>
        <w:rPr>
          <w:rFonts w:hint="eastAsia" w:ascii="仿宋" w:hAnsi="仿宋" w:eastAsia="仿宋"/>
          <w:highlight w:val="none"/>
        </w:rPr>
        <w:t>国</w:t>
      </w:r>
      <w:r>
        <w:rPr>
          <w:rFonts w:hint="eastAsia" w:ascii="仿宋" w:hAnsi="仿宋" w:eastAsia="仿宋"/>
          <w:bCs w:val="0"/>
          <w:highlight w:val="none"/>
        </w:rPr>
        <w:t>有资本经营预算</w:t>
      </w:r>
      <w:r>
        <w:rPr>
          <w:rFonts w:hint="eastAsia" w:ascii="仿宋" w:hAnsi="仿宋" w:eastAsia="仿宋"/>
          <w:bCs w:val="0"/>
          <w:highlight w:val="none"/>
          <w:lang w:eastAsia="zh-CN"/>
        </w:rPr>
        <w:t>财政拨款收入</w:t>
      </w:r>
      <w:r>
        <w:rPr>
          <w:rFonts w:hint="eastAsia" w:ascii="仿宋" w:hAnsi="仿宋" w:eastAsia="仿宋"/>
          <w:bCs w:val="0"/>
          <w:highlight w:val="none"/>
        </w:rPr>
        <w:t>支出决算表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_Toc11696 </w:instrText>
      </w:r>
      <w:r>
        <w:fldChar w:fldCharType="separate"/>
      </w:r>
      <w:r>
        <w:rPr>
          <w:rFonts w:hint="eastAsia" w:ascii="仿宋" w:hAnsi="仿宋" w:eastAsia="仿宋"/>
          <w:bCs w:val="0"/>
          <w:highlight w:val="none"/>
        </w:rPr>
        <w:t>十二、</w:t>
      </w:r>
      <w:r>
        <w:rPr>
          <w:rFonts w:hint="eastAsia" w:ascii="仿宋" w:hAnsi="仿宋" w:eastAsia="仿宋"/>
          <w:bCs w:val="0"/>
          <w:highlight w:val="none"/>
          <w:lang w:eastAsia="zh-CN"/>
        </w:rPr>
        <w:t>国有资本经营预算财政拨款支出决算表</w:t>
      </w:r>
      <w:r>
        <w:tab/>
      </w:r>
      <w:r>
        <w:rPr>
          <w:rFonts w:hint="eastAsia"/>
          <w:lang w:val="en-US" w:eastAsia="zh-CN"/>
        </w:rPr>
        <w:t>1</w:t>
      </w:r>
      <w:r>
        <w:fldChar w:fldCharType="end"/>
      </w:r>
      <w:r>
        <w:rPr>
          <w:rFonts w:hint="eastAsia"/>
          <w:lang w:val="en-US" w:eastAsia="zh-CN"/>
        </w:rPr>
        <w:t>7</w:t>
      </w:r>
    </w:p>
    <w:p>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20" w:lineRule="exact"/>
        <w:textAlignment w:val="auto"/>
        <w:rPr>
          <w:rFonts w:hint="eastAsia" w:eastAsia="宋体"/>
          <w:lang w:val="en-US" w:eastAsia="zh-CN"/>
        </w:rPr>
      </w:pPr>
      <w:r>
        <w:fldChar w:fldCharType="begin"/>
      </w:r>
      <w:r>
        <w:instrText xml:space="preserve"> HYPERLINK \l _Toc20278 </w:instrText>
      </w:r>
      <w:r>
        <w:fldChar w:fldCharType="separate"/>
      </w:r>
      <w:r>
        <w:rPr>
          <w:rFonts w:hint="eastAsia" w:ascii="仿宋" w:hAnsi="仿宋" w:eastAsia="仿宋"/>
          <w:bCs w:val="0"/>
          <w:highlight w:val="none"/>
        </w:rPr>
        <w:t>十三、</w:t>
      </w:r>
      <w:r>
        <w:rPr>
          <w:rFonts w:hint="eastAsia" w:ascii="仿宋" w:hAnsi="仿宋" w:eastAsia="仿宋"/>
          <w:bCs w:val="0"/>
          <w:highlight w:val="none"/>
          <w:lang w:eastAsia="zh-CN"/>
        </w:rPr>
        <w:t>财政拨款“三公”经费支出决算表</w:t>
      </w:r>
      <w:r>
        <w:tab/>
      </w:r>
      <w:r>
        <w:rPr>
          <w:rFonts w:hint="eastAsia"/>
          <w:lang w:val="en-US" w:eastAsia="zh-CN"/>
        </w:rPr>
        <w:t>1</w:t>
      </w:r>
      <w:r>
        <w:fldChar w:fldCharType="end"/>
      </w:r>
      <w:r>
        <w:rPr>
          <w:rFonts w:hint="eastAsia"/>
          <w:lang w:val="en-US" w:eastAsia="zh-CN"/>
        </w:rPr>
        <w:t>7</w:t>
      </w:r>
    </w:p>
    <w:p>
      <w:pPr>
        <w:pStyle w:val="2"/>
        <w:jc w:val="both"/>
        <w:rPr>
          <w:rFonts w:hint="eastAsia" w:ascii="Times New Roman" w:hAnsi="Times New Roman" w:eastAsia="方正小标宋简体" w:cs="方正小标宋简体"/>
          <w:b w:val="0"/>
          <w:color w:val="auto"/>
          <w:highlight w:val="none"/>
        </w:rPr>
      </w:pPr>
      <w:r>
        <w:fldChar w:fldCharType="end"/>
      </w:r>
    </w:p>
    <w:p>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bookmarkEnd w:id="14"/>
    </w:p>
    <w:p>
      <w:pPr>
        <w:suppressAutoHyphens/>
        <w:bidi w:val="0"/>
        <w:adjustRightInd w:val="0"/>
        <w:snapToGrid w:val="0"/>
        <w:spacing w:line="560"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一、部门职责</w:t>
      </w:r>
    </w:p>
    <w:p>
      <w:pPr>
        <w:suppressAutoHyphens/>
        <w:bidi w:val="0"/>
        <w:adjustRightInd w:val="0"/>
        <w:snapToGrid w:val="0"/>
        <w:spacing w:line="560" w:lineRule="exact"/>
        <w:ind w:firstLine="640" w:firstLineChars="200"/>
        <w:rPr>
          <w:rFonts w:hint="eastAsia"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val="en-US" w:eastAsia="zh-CN"/>
        </w:rPr>
        <w:t>贯彻执行国家有关公务服务工作的方针政策，拟订全县公务服务工作的规划、规章制度并组织实施，负责公务服务工作的管理、保障和服务工作。</w:t>
      </w:r>
    </w:p>
    <w:p>
      <w:pPr>
        <w:suppressAutoHyphens/>
        <w:bidi w:val="0"/>
        <w:adjustRightInd w:val="0"/>
        <w:snapToGrid w:val="0"/>
        <w:spacing w:line="560" w:lineRule="exact"/>
        <w:ind w:firstLine="640" w:firstLineChars="200"/>
        <w:rPr>
          <w:rFonts w:hint="eastAsia" w:ascii="黑体" w:hAnsi="黑体" w:eastAsia="黑体" w:cs="黑体"/>
          <w:color w:val="auto"/>
          <w:sz w:val="32"/>
          <w:szCs w:val="32"/>
          <w:lang w:eastAsia="zh-CN"/>
        </w:rPr>
      </w:pPr>
      <w:r>
        <w:rPr>
          <w:rFonts w:hint="eastAsia" w:ascii="方正仿宋_GB2312" w:hAnsi="方正仿宋_GB2312" w:eastAsia="方正仿宋_GB2312" w:cs="方正仿宋_GB2312"/>
          <w:color w:val="auto"/>
          <w:sz w:val="32"/>
          <w:szCs w:val="32"/>
          <w:lang w:eastAsia="zh-CN"/>
        </w:rPr>
        <w:t>业务范围：全县党政机关公务接待的管理和指导，县级领导周转房的日常管理，集中办公区及第二办公区的物业管理与服务，集中办公区及第二办公区办公用房的使用、调配、维修、维护等日常管理工作，全县综合性会议的服务保障工作。</w:t>
      </w:r>
    </w:p>
    <w:p>
      <w:pPr>
        <w:suppressAutoHyphens/>
        <w:bidi w:val="0"/>
        <w:adjustRightInd w:val="0"/>
        <w:snapToGrid w:val="0"/>
        <w:spacing w:line="560" w:lineRule="exact"/>
        <w:rPr>
          <w:rFonts w:hint="eastAsia" w:ascii="黑体" w:hAnsi="黑体" w:eastAsia="黑体" w:cs="黑体"/>
          <w:color w:val="auto"/>
          <w:sz w:val="32"/>
          <w:szCs w:val="32"/>
          <w:lang w:eastAsia="zh-CN"/>
        </w:rPr>
      </w:pPr>
      <w:bookmarkStart w:id="15" w:name="_Toc15377200"/>
      <w:bookmarkStart w:id="16" w:name="_Toc15396601"/>
      <w:r>
        <w:rPr>
          <w:rFonts w:hint="eastAsia" w:ascii="黑体" w:hAnsi="黑体" w:eastAsia="黑体" w:cs="黑体"/>
          <w:color w:val="auto"/>
          <w:sz w:val="32"/>
          <w:szCs w:val="32"/>
          <w:lang w:eastAsia="zh-CN"/>
        </w:rPr>
        <w:t>二、机构设置</w:t>
      </w:r>
      <w:bookmarkEnd w:id="15"/>
      <w:bookmarkEnd w:id="16"/>
    </w:p>
    <w:p>
      <w:pPr>
        <w:suppressAutoHyphens/>
        <w:bidi w:val="0"/>
        <w:adjustRightInd w:val="0"/>
        <w:snapToGrid w:val="0"/>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茂县公务服务中心下属二级预算单位</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个，其中行政单位</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个，参照公务员法管理的事业单位</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个，其他事业单位</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个。</w:t>
      </w:r>
    </w:p>
    <w:p>
      <w:pPr>
        <w:suppressAutoHyphens/>
        <w:bidi w:val="0"/>
        <w:adjustRightInd w:val="0"/>
        <w:snapToGrid w:val="0"/>
        <w:spacing w:line="560" w:lineRule="exact"/>
        <w:rPr>
          <w:rFonts w:hint="eastAsia" w:ascii="黑体" w:hAnsi="黑体" w:eastAsia="黑体" w:cs="黑体"/>
          <w:color w:val="auto"/>
          <w:sz w:val="32"/>
          <w:szCs w:val="32"/>
          <w:lang w:eastAsia="zh-CN"/>
        </w:rPr>
      </w:pPr>
    </w:p>
    <w:p>
      <w:pPr>
        <w:pStyle w:val="15"/>
        <w:rPr>
          <w:rFonts w:hint="eastAsia"/>
        </w:rPr>
      </w:pPr>
    </w:p>
    <w:p>
      <w:pPr>
        <w:pStyle w:val="2"/>
        <w:ind w:right="440"/>
        <w:jc w:val="both"/>
        <w:rPr>
          <w:rFonts w:hint="eastAsia" w:ascii="黑体" w:hAnsi="黑体" w:eastAsia="黑体"/>
          <w:b w:val="0"/>
          <w:bCs/>
          <w:color w:val="auto"/>
          <w:highlight w:val="none"/>
        </w:rPr>
      </w:pPr>
    </w:p>
    <w:p>
      <w:pPr>
        <w:rPr>
          <w:rFonts w:hint="eastAsia" w:ascii="黑体" w:hAnsi="黑体" w:eastAsia="黑体"/>
          <w:b w:val="0"/>
          <w:bCs/>
          <w:color w:val="auto"/>
          <w:highlight w:val="none"/>
        </w:rPr>
      </w:pPr>
    </w:p>
    <w:p>
      <w:pPr>
        <w:rPr>
          <w:rFonts w:hint="eastAsia" w:ascii="黑体" w:hAnsi="黑体" w:eastAsia="黑体"/>
          <w:b w:val="0"/>
          <w:bCs/>
          <w:color w:val="auto"/>
          <w:highlight w:val="none"/>
        </w:rPr>
      </w:pPr>
    </w:p>
    <w:p>
      <w:pPr>
        <w:rPr>
          <w:rFonts w:hint="eastAsia" w:ascii="黑体" w:hAnsi="黑体" w:eastAsia="黑体"/>
          <w:b w:val="0"/>
          <w:bCs/>
          <w:color w:val="auto"/>
          <w:highlight w:val="none"/>
        </w:rPr>
      </w:pPr>
    </w:p>
    <w:p>
      <w:pPr>
        <w:pStyle w:val="2"/>
        <w:ind w:right="440" w:firstLine="440" w:firstLineChars="100"/>
        <w:jc w:val="center"/>
        <w:rPr>
          <w:rStyle w:val="29"/>
          <w:rFonts w:ascii="黑体" w:hAnsi="黑体" w:eastAsia="黑体"/>
          <w:b w:val="0"/>
          <w:bCs/>
          <w:color w:val="auto"/>
          <w:highlight w:val="none"/>
        </w:rPr>
      </w:pPr>
      <w:bookmarkStart w:id="17" w:name="_Toc19215"/>
      <w:bookmarkStart w:id="18" w:name="_Toc20822"/>
      <w:bookmarkStart w:id="19" w:name="_Toc7243"/>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29"/>
          <w:rFonts w:hint="eastAsia" w:ascii="黑体" w:hAnsi="黑体" w:eastAsia="黑体"/>
          <w:b w:val="0"/>
          <w:bCs/>
          <w:color w:val="auto"/>
          <w:highlight w:val="none"/>
          <w:lang w:eastAsia="zh-CN"/>
        </w:rPr>
        <w:t>单位</w:t>
      </w:r>
      <w:r>
        <w:rPr>
          <w:rStyle w:val="29"/>
          <w:rFonts w:hint="eastAsia" w:ascii="黑体" w:hAnsi="黑体" w:eastAsia="黑体"/>
          <w:b w:val="0"/>
          <w:bCs/>
          <w:color w:val="auto"/>
          <w:highlight w:val="none"/>
        </w:rPr>
        <w:t>决算情况说明</w:t>
      </w:r>
      <w:bookmarkEnd w:id="17"/>
      <w:bookmarkEnd w:id="18"/>
      <w:bookmarkEnd w:id="19"/>
    </w:p>
    <w:p>
      <w:pPr>
        <w:rPr>
          <w:color w:val="auto"/>
          <w:highlight w:val="none"/>
        </w:rPr>
      </w:pPr>
    </w:p>
    <w:p>
      <w:pPr>
        <w:pStyle w:val="28"/>
        <w:numPr>
          <w:ilvl w:val="0"/>
          <w:numId w:val="0"/>
        </w:numPr>
        <w:spacing w:line="600" w:lineRule="exact"/>
        <w:ind w:left="640" w:leftChars="0"/>
        <w:outlineLvl w:val="1"/>
        <w:rPr>
          <w:rStyle w:val="30"/>
          <w:rFonts w:ascii="黑体" w:hAnsi="黑体" w:eastAsia="黑体"/>
          <w:b w:val="0"/>
          <w:color w:val="auto"/>
          <w:highlight w:val="none"/>
        </w:rPr>
      </w:pPr>
      <w:bookmarkStart w:id="20" w:name="_Toc6744"/>
      <w:bookmarkStart w:id="21" w:name="_Toc2002"/>
      <w:bookmarkStart w:id="22" w:name="_Toc23152"/>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收</w:t>
      </w:r>
      <w:r>
        <w:rPr>
          <w:rStyle w:val="30"/>
          <w:rFonts w:hint="eastAsia" w:ascii="黑体" w:hAnsi="黑体" w:eastAsia="黑体"/>
          <w:b w:val="0"/>
          <w:color w:val="auto"/>
          <w:highlight w:val="none"/>
        </w:rPr>
        <w:t>入支出决算总体情况说明</w:t>
      </w:r>
      <w:bookmarkEnd w:id="20"/>
      <w:bookmarkEnd w:id="21"/>
      <w:bookmarkEnd w:id="22"/>
    </w:p>
    <w:p>
      <w:pPr>
        <w:spacing w:line="600" w:lineRule="exact"/>
        <w:ind w:firstLine="640" w:firstLineChars="200"/>
        <w:rPr>
          <w:rFonts w:hint="eastAsia" w:ascii="黑体" w:hAnsi="黑体" w:eastAsia="黑体"/>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w:t>
      </w:r>
      <w:r>
        <w:rPr>
          <w:rFonts w:hint="eastAsia" w:ascii="仿宋" w:hAnsi="仿宋" w:eastAsia="仿宋"/>
          <w:color w:val="auto"/>
          <w:sz w:val="32"/>
          <w:szCs w:val="32"/>
          <w:highlight w:val="none"/>
        </w:rPr>
        <w:t>度收、支总计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887.91</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相比，收、支总计各减少</w:t>
      </w:r>
      <w:r>
        <w:rPr>
          <w:rFonts w:hint="eastAsia" w:ascii="仿宋" w:hAnsi="仿宋" w:eastAsia="仿宋"/>
          <w:color w:val="auto"/>
          <w:sz w:val="32"/>
          <w:szCs w:val="32"/>
          <w:highlight w:val="none"/>
          <w:lang w:val="en-US" w:eastAsia="zh-CN"/>
        </w:rPr>
        <w:t>17.79</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1.96</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default" w:ascii="仿宋" w:hAnsi="仿宋" w:eastAsia="仿宋"/>
          <w:color w:val="auto"/>
          <w:sz w:val="32"/>
          <w:szCs w:val="32"/>
          <w:highlight w:val="none"/>
        </w:rPr>
        <w:t>：</w:t>
      </w:r>
      <w:r>
        <w:rPr>
          <w:rFonts w:hint="eastAsia" w:ascii="仿宋" w:hAnsi="仿宋" w:eastAsia="仿宋"/>
          <w:color w:val="auto"/>
          <w:sz w:val="32"/>
          <w:szCs w:val="32"/>
          <w:highlight w:val="none"/>
          <w:lang w:eastAsia="zh-CN"/>
        </w:rPr>
        <w:t>厉行节约，严格按照中央、省、州和县相关政策法规做好我单位各项工作。</w:t>
      </w:r>
    </w:p>
    <w:p>
      <w:pPr>
        <w:pStyle w:val="28"/>
        <w:numPr>
          <w:ilvl w:val="0"/>
          <w:numId w:val="0"/>
        </w:numPr>
        <w:spacing w:line="600" w:lineRule="exact"/>
        <w:ind w:left="640" w:leftChars="0"/>
        <w:outlineLvl w:val="1"/>
        <w:rPr>
          <w:rFonts w:hint="eastAsia" w:ascii="黑体" w:hAnsi="黑体" w:eastAsia="黑体"/>
          <w:color w:val="auto"/>
          <w:sz w:val="32"/>
          <w:szCs w:val="32"/>
          <w:highlight w:val="none"/>
          <w:lang w:eastAsia="zh-CN"/>
        </w:rPr>
      </w:pPr>
      <w:r>
        <w:rPr>
          <w:rFonts w:hint="eastAsia" w:ascii="仿宋" w:hAnsi="仿宋" w:eastAsia="仿宋"/>
          <w:color w:val="auto"/>
          <w:sz w:val="32"/>
          <w:szCs w:val="32"/>
          <w:highlight w:val="none"/>
        </w:rPr>
        <w:pict>
          <v:shape id="_x0000_s1026" o:spid="_x0000_s1026" o:spt="75" type="#_x0000_t75" style="position:absolute;left:0pt;margin-left:36.3pt;margin-top:8.3pt;height:182pt;width:340.9pt;mso-wrap-distance-bottom:0pt;mso-wrap-distance-left:9pt;mso-wrap-distance-right:9pt;mso-wrap-distance-top:0pt;z-index:251659264;mso-width-relative:page;mso-height-relative:page;" o:ole="t" filled="f" o:preferrelative="t" stroked="f" coordsize="21600,21600">
            <v:path/>
            <v:fill on="f" focussize="0,0"/>
            <v:stroke on="f"/>
            <v:imagedata r:id="rId10" o:title=""/>
            <o:lock v:ext="edit" aspectratio="t"/>
            <w10:wrap type="square"/>
          </v:shape>
          <o:OLEObject Type="Embed" ProgID="Excel.Chart.8" ShapeID="_x0000_s1026" DrawAspect="Content" ObjectID="_1468075725" r:id="rId9">
            <o:LockedField>false</o:LockedField>
          </o:OLEObject>
        </w:pict>
      </w:r>
    </w:p>
    <w:p>
      <w:pPr>
        <w:pStyle w:val="28"/>
        <w:numPr>
          <w:ilvl w:val="0"/>
          <w:numId w:val="0"/>
        </w:numPr>
        <w:spacing w:line="600" w:lineRule="exact"/>
        <w:outlineLvl w:val="1"/>
        <w:rPr>
          <w:rFonts w:hint="eastAsia" w:ascii="黑体" w:hAnsi="黑体" w:eastAsia="黑体"/>
          <w:color w:val="auto"/>
          <w:sz w:val="32"/>
          <w:szCs w:val="32"/>
          <w:highlight w:val="none"/>
          <w:lang w:eastAsia="zh-CN"/>
        </w:rPr>
      </w:pPr>
    </w:p>
    <w:p>
      <w:pPr>
        <w:pStyle w:val="28"/>
        <w:numPr>
          <w:ilvl w:val="0"/>
          <w:numId w:val="0"/>
        </w:numPr>
        <w:spacing w:line="600" w:lineRule="exact"/>
        <w:ind w:left="640" w:leftChars="0"/>
        <w:outlineLvl w:val="1"/>
        <w:rPr>
          <w:rFonts w:hint="eastAsia" w:ascii="黑体" w:hAnsi="黑体" w:eastAsia="黑体"/>
          <w:color w:val="auto"/>
          <w:sz w:val="32"/>
          <w:szCs w:val="32"/>
          <w:highlight w:val="none"/>
          <w:lang w:eastAsia="zh-CN"/>
        </w:rPr>
      </w:pPr>
    </w:p>
    <w:p>
      <w:pPr>
        <w:pStyle w:val="28"/>
        <w:numPr>
          <w:ilvl w:val="0"/>
          <w:numId w:val="0"/>
        </w:numPr>
        <w:spacing w:line="600" w:lineRule="exact"/>
        <w:ind w:left="640" w:leftChars="0"/>
        <w:outlineLvl w:val="1"/>
        <w:rPr>
          <w:rFonts w:hint="eastAsia" w:ascii="黑体" w:hAnsi="黑体" w:eastAsia="黑体"/>
          <w:color w:val="auto"/>
          <w:sz w:val="32"/>
          <w:szCs w:val="32"/>
          <w:highlight w:val="none"/>
          <w:lang w:eastAsia="zh-CN"/>
        </w:rPr>
      </w:pPr>
    </w:p>
    <w:p>
      <w:pPr>
        <w:pStyle w:val="28"/>
        <w:numPr>
          <w:ilvl w:val="0"/>
          <w:numId w:val="0"/>
        </w:numPr>
        <w:spacing w:line="600" w:lineRule="exact"/>
        <w:ind w:left="640" w:leftChars="0"/>
        <w:outlineLvl w:val="1"/>
        <w:rPr>
          <w:rFonts w:hint="eastAsia" w:ascii="黑体" w:hAnsi="黑体" w:eastAsia="黑体"/>
          <w:color w:val="auto"/>
          <w:sz w:val="32"/>
          <w:szCs w:val="32"/>
          <w:highlight w:val="none"/>
          <w:lang w:eastAsia="zh-CN"/>
        </w:rPr>
      </w:pPr>
    </w:p>
    <w:p>
      <w:pPr>
        <w:pStyle w:val="28"/>
        <w:numPr>
          <w:ilvl w:val="0"/>
          <w:numId w:val="0"/>
        </w:numPr>
        <w:spacing w:line="600" w:lineRule="exact"/>
        <w:ind w:left="640" w:leftChars="0"/>
        <w:outlineLvl w:val="1"/>
        <w:rPr>
          <w:rFonts w:hint="eastAsia" w:ascii="黑体" w:hAnsi="黑体" w:eastAsia="黑体"/>
          <w:color w:val="auto"/>
          <w:sz w:val="32"/>
          <w:szCs w:val="32"/>
          <w:highlight w:val="none"/>
          <w:lang w:eastAsia="zh-CN"/>
        </w:rPr>
      </w:pPr>
    </w:p>
    <w:p>
      <w:pPr>
        <w:pStyle w:val="28"/>
        <w:numPr>
          <w:ilvl w:val="0"/>
          <w:numId w:val="0"/>
        </w:numPr>
        <w:spacing w:line="600" w:lineRule="exact"/>
        <w:ind w:left="640" w:leftChars="0"/>
        <w:outlineLvl w:val="1"/>
        <w:rPr>
          <w:rFonts w:hint="eastAsia" w:ascii="黑体" w:hAnsi="黑体" w:eastAsia="黑体"/>
          <w:color w:val="auto"/>
          <w:sz w:val="32"/>
          <w:szCs w:val="32"/>
          <w:highlight w:val="none"/>
          <w:lang w:eastAsia="zh-CN"/>
        </w:rPr>
      </w:pPr>
    </w:p>
    <w:p>
      <w:pPr>
        <w:pStyle w:val="28"/>
        <w:numPr>
          <w:ilvl w:val="0"/>
          <w:numId w:val="0"/>
        </w:numPr>
        <w:spacing w:line="600" w:lineRule="exact"/>
        <w:ind w:left="640" w:leftChars="0"/>
        <w:outlineLvl w:val="1"/>
        <w:rPr>
          <w:rStyle w:val="30"/>
          <w:rFonts w:ascii="黑体" w:hAnsi="黑体" w:eastAsia="黑体"/>
          <w:b w:val="0"/>
          <w:color w:val="auto"/>
          <w:highlight w:val="none"/>
        </w:rPr>
      </w:pPr>
      <w:bookmarkStart w:id="23" w:name="_Toc16601"/>
      <w:bookmarkStart w:id="24" w:name="_Toc6157"/>
      <w:bookmarkStart w:id="25" w:name="_Toc19052"/>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30"/>
          <w:rFonts w:hint="eastAsia" w:ascii="黑体" w:hAnsi="黑体" w:eastAsia="黑体"/>
          <w:b w:val="0"/>
          <w:color w:val="auto"/>
          <w:highlight w:val="none"/>
        </w:rPr>
        <w:t>入决算情况说明</w:t>
      </w:r>
      <w:bookmarkEnd w:id="23"/>
      <w:bookmarkEnd w:id="24"/>
      <w:bookmarkEnd w:id="25"/>
    </w:p>
    <w:p>
      <w:pPr>
        <w:spacing w:line="600" w:lineRule="exact"/>
        <w:ind w:firstLine="640" w:firstLineChars="200"/>
        <w:outlineLvl w:val="1"/>
        <w:rPr>
          <w:rFonts w:ascii="仿宋" w:hAnsi="仿宋" w:eastAsia="仿宋"/>
          <w:color w:val="auto"/>
          <w:sz w:val="32"/>
          <w:szCs w:val="32"/>
          <w:highlight w:val="none"/>
        </w:rPr>
      </w:pPr>
      <w:bookmarkStart w:id="26" w:name="_Toc21429"/>
      <w:bookmarkStart w:id="27" w:name="_Toc15420"/>
      <w:bookmarkStart w:id="28" w:name="_Toc15487"/>
      <w:bookmarkStart w:id="29" w:name="_Toc17801"/>
      <w:r>
        <w:rPr>
          <w:rFonts w:hint="eastAsia" w:ascii="仿宋" w:hAnsi="仿宋" w:eastAsia="仿宋"/>
          <w:color w:val="auto"/>
          <w:sz w:val="32"/>
          <w:szCs w:val="32"/>
          <w:highlight w:val="none"/>
          <w:lang w:eastAsia="zh-CN"/>
        </w:rPr>
        <w:pict>
          <v:shape id="_x0000_s1027" o:spid="_x0000_s1027" o:spt="75" type="#_x0000_t75" style="position:absolute;left:0pt;margin-left:8.8pt;margin-top:70.9pt;height:222.75pt;width:398.4pt;mso-wrap-distance-bottom:0pt;mso-wrap-distance-left:9pt;mso-wrap-distance-right:9pt;mso-wrap-distance-top:0pt;z-index:251660288;mso-width-relative:page;mso-height-relative:page;" o:ole="t" filled="f" o:preferrelative="t" stroked="f" coordsize="21600,21600">
            <v:path/>
            <v:fill on="f" focussize="0,0"/>
            <v:stroke on="f"/>
            <v:imagedata r:id="rId12" o:title=""/>
            <o:lock v:ext="edit" aspectratio="t"/>
            <w10:wrap type="square"/>
          </v:shape>
          <o:OLEObject Type="Embed" ProgID="Excel.Chart.8" ShapeID="_x0000_s1027" DrawAspect="Content" ObjectID="_1468075726" r:id="rId11">
            <o:LockedField>false</o:LockedField>
          </o:OLEObject>
        </w:pic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887.91</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887.91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26"/>
      <w:bookmarkEnd w:id="27"/>
      <w:bookmarkEnd w:id="28"/>
      <w:bookmarkEnd w:id="29"/>
    </w:p>
    <w:p>
      <w:pPr>
        <w:spacing w:line="600" w:lineRule="exact"/>
        <w:ind w:firstLine="640" w:firstLineChars="200"/>
        <w:outlineLvl w:val="1"/>
        <w:rPr>
          <w:rFonts w:ascii="仿宋_GB2312" w:eastAsia="仿宋_GB2312"/>
          <w:color w:val="auto"/>
          <w:sz w:val="32"/>
          <w:szCs w:val="32"/>
          <w:highlight w:val="none"/>
        </w:rPr>
      </w:pPr>
    </w:p>
    <w:p>
      <w:pPr>
        <w:pStyle w:val="28"/>
        <w:numPr>
          <w:ilvl w:val="0"/>
          <w:numId w:val="0"/>
        </w:numPr>
        <w:spacing w:line="600" w:lineRule="exact"/>
        <w:ind w:left="640" w:leftChars="0"/>
        <w:outlineLvl w:val="1"/>
        <w:rPr>
          <w:rStyle w:val="30"/>
          <w:rFonts w:ascii="黑体" w:hAnsi="黑体" w:eastAsia="黑体"/>
          <w:b w:val="0"/>
          <w:color w:val="auto"/>
          <w:highlight w:val="none"/>
        </w:rPr>
      </w:pPr>
      <w:bookmarkStart w:id="30" w:name="_Toc25375"/>
      <w:bookmarkStart w:id="31" w:name="_Toc25120"/>
      <w:bookmarkStart w:id="32" w:name="_Toc31130"/>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30"/>
          <w:rFonts w:hint="eastAsia" w:ascii="黑体" w:hAnsi="黑体" w:eastAsia="黑体"/>
          <w:b w:val="0"/>
          <w:color w:val="auto"/>
          <w:highlight w:val="none"/>
        </w:rPr>
        <w:t>出决算情况说明</w:t>
      </w:r>
      <w:bookmarkEnd w:id="30"/>
      <w:bookmarkEnd w:id="31"/>
      <w:bookmarkEnd w:id="32"/>
    </w:p>
    <w:p>
      <w:pPr>
        <w:spacing w:line="600" w:lineRule="exact"/>
        <w:ind w:firstLine="640" w:firstLineChars="200"/>
        <w:outlineLvl w:val="1"/>
        <w:rPr>
          <w:rFonts w:ascii="仿宋" w:hAnsi="仿宋" w:eastAsia="仿宋"/>
          <w:color w:val="auto"/>
          <w:sz w:val="32"/>
          <w:szCs w:val="32"/>
          <w:highlight w:val="none"/>
        </w:rPr>
      </w:pPr>
      <w:bookmarkStart w:id="33" w:name="_Toc28049"/>
      <w:bookmarkStart w:id="34" w:name="_Toc24903"/>
      <w:bookmarkStart w:id="35" w:name="_Toc9152"/>
      <w:bookmarkStart w:id="36" w:name="_Toc24968"/>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887.91</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545.91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61.48</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342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38.52</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3"/>
      <w:bookmarkEnd w:id="34"/>
      <w:bookmarkEnd w:id="35"/>
      <w:bookmarkEnd w:id="36"/>
    </w:p>
    <w:p>
      <w:pPr>
        <w:spacing w:line="600" w:lineRule="exact"/>
        <w:ind w:firstLine="640"/>
        <w:rPr>
          <w:rFonts w:ascii="仿宋_GB2312" w:eastAsia="仿宋_GB2312"/>
          <w:color w:val="auto"/>
          <w:sz w:val="32"/>
          <w:szCs w:val="32"/>
          <w:highlight w:val="none"/>
        </w:rPr>
      </w:pPr>
      <w:r>
        <w:rPr>
          <w:rFonts w:hint="eastAsia" w:ascii="仿宋" w:hAnsi="仿宋" w:eastAsia="仿宋"/>
          <w:color w:val="auto"/>
          <w:sz w:val="32"/>
          <w:szCs w:val="32"/>
          <w:highlight w:val="none"/>
          <w:shd w:val="pct10" w:color="auto" w:fill="FFFFFF"/>
          <w:lang w:eastAsia="zh-CN"/>
        </w:rPr>
        <w:pict>
          <v:shape id="_x0000_s1028" o:spid="_x0000_s1028" o:spt="75" type="#_x0000_t75" style="position:absolute;left:0pt;margin-left:18.6pt;margin-top:13.05pt;height:222.75pt;width:382.45pt;mso-wrap-distance-bottom:0pt;mso-wrap-distance-left:9pt;mso-wrap-distance-right:9pt;mso-wrap-distance-top:0pt;z-index:251661312;mso-width-relative:page;mso-height-relative:page;" o:ole="t" filled="f" o:preferrelative="t" stroked="f" coordsize="21600,21600">
            <v:path/>
            <v:fill on="f" focussize="0,0"/>
            <v:stroke on="f"/>
            <v:imagedata r:id="rId14" o:title=""/>
            <o:lock v:ext="edit" aspectratio="t"/>
            <w10:wrap type="square"/>
          </v:shape>
          <o:OLEObject Type="Embed" ProgID="Excel.Chart.8" ShapeID="_x0000_s1028" DrawAspect="Content" ObjectID="_1468075727" r:id="rId13">
            <o:LockedField>false</o:LockedField>
          </o:OLEObject>
        </w:pict>
      </w:r>
    </w:p>
    <w:p>
      <w:pPr>
        <w:spacing w:line="600" w:lineRule="exact"/>
        <w:ind w:firstLine="640" w:firstLineChars="200"/>
        <w:outlineLvl w:val="1"/>
        <w:rPr>
          <w:rStyle w:val="30"/>
          <w:rFonts w:ascii="黑体" w:hAnsi="黑体" w:eastAsia="黑体"/>
          <w:b w:val="0"/>
          <w:color w:val="auto"/>
          <w:highlight w:val="none"/>
        </w:rPr>
      </w:pPr>
      <w:bookmarkStart w:id="37" w:name="_Toc2660"/>
      <w:bookmarkStart w:id="38" w:name="_Toc17059"/>
      <w:bookmarkStart w:id="39" w:name="_Toc5598"/>
      <w:r>
        <w:rPr>
          <w:rFonts w:hint="eastAsia" w:ascii="黑体" w:hAnsi="黑体" w:eastAsia="黑体"/>
          <w:color w:val="auto"/>
          <w:sz w:val="32"/>
          <w:szCs w:val="32"/>
          <w:highlight w:val="none"/>
        </w:rPr>
        <w:t>四、财</w:t>
      </w:r>
      <w:r>
        <w:rPr>
          <w:rStyle w:val="30"/>
          <w:rFonts w:hint="eastAsia" w:ascii="黑体" w:hAnsi="黑体" w:eastAsia="黑体"/>
          <w:b w:val="0"/>
          <w:color w:val="auto"/>
          <w:highlight w:val="none"/>
        </w:rPr>
        <w:t>政拨款收入支出决算总体情况说明</w:t>
      </w:r>
      <w:bookmarkEnd w:id="37"/>
      <w:bookmarkEnd w:id="38"/>
      <w:bookmarkEnd w:id="39"/>
    </w:p>
    <w:p>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pict>
          <v:shape id="_x0000_s1029" o:spid="_x0000_s1029" o:spt="75" type="#_x0000_t75" style="position:absolute;left:0pt;margin-left:13.45pt;margin-top:126.8pt;height:162.5pt;width:406.95pt;mso-wrap-distance-bottom:0pt;mso-wrap-distance-left:9pt;mso-wrap-distance-right:9pt;mso-wrap-distance-top:0pt;z-index:251662336;mso-width-relative:page;mso-height-relative:page;" o:ole="t" filled="f" o:preferrelative="t" stroked="f" coordsize="21600,21600">
            <v:path/>
            <v:fill on="f" focussize="0,0"/>
            <v:stroke on="f"/>
            <v:imagedata r:id="rId16" o:title=""/>
            <o:lock v:ext="edit" aspectratio="t"/>
            <w10:wrap type="square"/>
          </v:shape>
          <o:OLEObject Type="Embed" ProgID="Excel.Chart.8" ShapeID="_x0000_s1029" DrawAspect="Content" ObjectID="_1468075728" r:id="rId15">
            <o:LockedField>false</o:LockedField>
          </o:OLEObject>
        </w:pic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w:t>
      </w:r>
      <w:r>
        <w:rPr>
          <w:rFonts w:hint="eastAsia" w:ascii="仿宋" w:hAnsi="仿宋" w:eastAsia="仿宋"/>
          <w:color w:val="auto"/>
          <w:sz w:val="32"/>
          <w:szCs w:val="32"/>
          <w:highlight w:val="none"/>
        </w:rPr>
        <w:t>度收、支总计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887.91</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相比，收、支总计各减少</w:t>
      </w:r>
      <w:r>
        <w:rPr>
          <w:rFonts w:hint="eastAsia" w:ascii="仿宋" w:hAnsi="仿宋" w:eastAsia="仿宋"/>
          <w:color w:val="auto"/>
          <w:sz w:val="32"/>
          <w:szCs w:val="32"/>
          <w:highlight w:val="none"/>
          <w:lang w:val="en-US" w:eastAsia="zh-CN"/>
        </w:rPr>
        <w:t>17.79</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1.96</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。主要变原因是</w:t>
      </w:r>
      <w:r>
        <w:rPr>
          <w:rFonts w:hint="default" w:ascii="仿宋" w:hAnsi="仿宋" w:eastAsia="仿宋"/>
          <w:color w:val="auto"/>
          <w:sz w:val="32"/>
          <w:szCs w:val="32"/>
          <w:highlight w:val="none"/>
        </w:rPr>
        <w:t>：</w:t>
      </w:r>
      <w:r>
        <w:rPr>
          <w:rFonts w:hint="eastAsia" w:ascii="仿宋" w:hAnsi="仿宋" w:eastAsia="仿宋"/>
          <w:color w:val="auto"/>
          <w:sz w:val="32"/>
          <w:szCs w:val="32"/>
          <w:highlight w:val="none"/>
          <w:lang w:eastAsia="zh-CN"/>
        </w:rPr>
        <w:t>厉行节约，严格按照中央、省、州和县相关政策法规做好我单位各项工作。</w:t>
      </w:r>
    </w:p>
    <w:p>
      <w:pPr>
        <w:spacing w:line="600" w:lineRule="exact"/>
        <w:rPr>
          <w:rFonts w:ascii="仿宋" w:hAnsi="仿宋" w:eastAsia="仿宋"/>
          <w:b/>
          <w:color w:val="auto"/>
          <w:sz w:val="32"/>
          <w:szCs w:val="32"/>
          <w:highlight w:val="none"/>
        </w:rPr>
      </w:pPr>
    </w:p>
    <w:p>
      <w:pPr>
        <w:spacing w:line="600" w:lineRule="exact"/>
        <w:ind w:firstLine="640" w:firstLineChars="200"/>
        <w:outlineLvl w:val="1"/>
        <w:rPr>
          <w:rStyle w:val="30"/>
          <w:rFonts w:ascii="黑体" w:hAnsi="黑体" w:eastAsia="黑体"/>
          <w:b w:val="0"/>
          <w:color w:val="auto"/>
          <w:highlight w:val="none"/>
        </w:rPr>
      </w:pPr>
      <w:bookmarkStart w:id="40" w:name="_Toc9960"/>
      <w:bookmarkStart w:id="41" w:name="_Toc13066"/>
      <w:bookmarkStart w:id="42" w:name="_Toc25556"/>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0"/>
          <w:rFonts w:hint="eastAsia" w:ascii="黑体" w:hAnsi="黑体" w:eastAsia="黑体"/>
          <w:b w:val="0"/>
          <w:color w:val="auto"/>
          <w:highlight w:val="none"/>
        </w:rPr>
        <w:t>般公共预算财政拨款支出决算情况说明</w:t>
      </w:r>
      <w:bookmarkEnd w:id="40"/>
      <w:bookmarkEnd w:id="41"/>
      <w:bookmarkEnd w:id="42"/>
    </w:p>
    <w:p>
      <w:pPr>
        <w:spacing w:line="600" w:lineRule="exact"/>
        <w:ind w:firstLine="642" w:firstLineChars="200"/>
        <w:outlineLvl w:val="2"/>
        <w:rPr>
          <w:rFonts w:ascii="仿宋" w:hAnsi="仿宋" w:eastAsia="仿宋"/>
          <w:b/>
          <w:color w:val="auto"/>
          <w:sz w:val="32"/>
          <w:szCs w:val="32"/>
          <w:highlight w:val="none"/>
        </w:rPr>
      </w:pPr>
      <w:bookmarkStart w:id="43" w:name="_Toc3067"/>
      <w:bookmarkStart w:id="44" w:name="_Toc12950"/>
      <w:bookmarkStart w:id="45" w:name="_Toc16339"/>
      <w:r>
        <w:rPr>
          <w:rFonts w:hint="eastAsia" w:ascii="仿宋" w:hAnsi="仿宋" w:eastAsia="仿宋"/>
          <w:b/>
          <w:color w:val="auto"/>
          <w:sz w:val="32"/>
          <w:szCs w:val="32"/>
          <w:highlight w:val="none"/>
        </w:rPr>
        <w:t>（一）一般公共预算财政拨款支出决算总体情况</w:t>
      </w:r>
      <w:bookmarkEnd w:id="43"/>
      <w:bookmarkEnd w:id="44"/>
      <w:bookmarkEnd w:id="45"/>
    </w:p>
    <w:p>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pict>
          <v:shape id="_x0000_s1030" o:spid="_x0000_s1030" o:spt="75" type="#_x0000_t75" style="position:absolute;left:0pt;margin-left:15.85pt;margin-top:151.15pt;height:200.85pt;width:406.95pt;mso-wrap-distance-bottom:0pt;mso-wrap-distance-left:9pt;mso-wrap-distance-right:9pt;mso-wrap-distance-top:0pt;z-index:251663360;mso-width-relative:page;mso-height-relative:page;" o:ole="t" filled="f" o:preferrelative="t" stroked="f" coordsize="21600,21600">
            <v:path/>
            <v:fill on="f" focussize="0,0"/>
            <v:stroke on="f"/>
            <v:imagedata r:id="rId18" o:title=""/>
            <o:lock v:ext="edit" aspectratio="t"/>
            <w10:wrap type="square"/>
          </v:shape>
          <o:OLEObject Type="Embed" ProgID="Excel.Chart.8" ShapeID="_x0000_s1030" DrawAspect="Content" ObjectID="_1468075729" r:id="rId17">
            <o:LockedField>false</o:LockedField>
          </o:OLEObject>
        </w:pic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887.91</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减少</w:t>
      </w:r>
      <w:r>
        <w:rPr>
          <w:rFonts w:hint="eastAsia" w:ascii="仿宋" w:hAnsi="仿宋" w:eastAsia="仿宋"/>
          <w:color w:val="auto"/>
          <w:sz w:val="32"/>
          <w:szCs w:val="32"/>
          <w:highlight w:val="none"/>
          <w:lang w:val="en-US" w:eastAsia="zh-CN"/>
        </w:rPr>
        <w:t>17.79</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1.96</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default" w:ascii="仿宋" w:hAnsi="仿宋" w:eastAsia="仿宋"/>
          <w:color w:val="auto"/>
          <w:sz w:val="32"/>
          <w:szCs w:val="32"/>
          <w:highlight w:val="none"/>
        </w:rPr>
        <w:t>：</w:t>
      </w:r>
      <w:r>
        <w:rPr>
          <w:rFonts w:hint="eastAsia" w:ascii="仿宋" w:hAnsi="仿宋" w:eastAsia="仿宋"/>
          <w:color w:val="auto"/>
          <w:sz w:val="32"/>
          <w:szCs w:val="32"/>
          <w:highlight w:val="none"/>
          <w:lang w:eastAsia="zh-CN"/>
        </w:rPr>
        <w:t>厉行节约，严格按照中央、省、州和县相关政策法规做好我单位各项工作。</w:t>
      </w:r>
    </w:p>
    <w:p>
      <w:pPr>
        <w:spacing w:line="600" w:lineRule="exact"/>
        <w:rPr>
          <w:rFonts w:ascii="仿宋" w:hAnsi="仿宋" w:eastAsia="仿宋"/>
          <w:color w:val="auto"/>
          <w:sz w:val="32"/>
          <w:szCs w:val="32"/>
          <w:highlight w:val="none"/>
        </w:rPr>
      </w:pPr>
    </w:p>
    <w:p>
      <w:pPr>
        <w:spacing w:line="600" w:lineRule="exact"/>
        <w:ind w:firstLine="642" w:firstLineChars="200"/>
        <w:outlineLvl w:val="2"/>
        <w:rPr>
          <w:rFonts w:ascii="仿宋" w:hAnsi="仿宋" w:eastAsia="仿宋"/>
          <w:b/>
          <w:color w:val="auto"/>
          <w:sz w:val="32"/>
          <w:szCs w:val="32"/>
          <w:highlight w:val="none"/>
        </w:rPr>
      </w:pPr>
      <w:bookmarkStart w:id="46" w:name="_Toc9376"/>
      <w:bookmarkStart w:id="47" w:name="_Toc32074"/>
      <w:bookmarkStart w:id="48" w:name="_Toc27965"/>
      <w:r>
        <w:rPr>
          <w:rFonts w:hint="eastAsia" w:ascii="仿宋" w:hAnsi="仿宋" w:eastAsia="仿宋"/>
          <w:b/>
          <w:color w:val="auto"/>
          <w:sz w:val="32"/>
          <w:szCs w:val="32"/>
          <w:highlight w:val="none"/>
        </w:rPr>
        <w:t>（二）一般公共预算财政拨款支出决算结构情况</w:t>
      </w:r>
      <w:bookmarkEnd w:id="46"/>
      <w:bookmarkEnd w:id="47"/>
      <w:bookmarkEnd w:id="48"/>
    </w:p>
    <w:p>
      <w:pPr>
        <w:spacing w:line="600" w:lineRule="exact"/>
        <w:ind w:firstLine="640"/>
        <w:rPr>
          <w:rFonts w:hint="eastAsia" w:ascii="仿宋" w:hAnsi="仿宋" w:eastAsia="仿宋"/>
          <w:b/>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887.91</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825.97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93.01</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34.21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3.85</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11.58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1.30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16.14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1.84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pict>
          <v:shape id="_x0000_s1031" o:spid="_x0000_s1031" o:spt="75" type="#_x0000_t75" style="position:absolute;left:0pt;margin-left:5.2pt;margin-top:1.9pt;height:211.85pt;width:408.75pt;mso-wrap-distance-bottom:0pt;mso-wrap-distance-left:9pt;mso-wrap-distance-right:9pt;mso-wrap-distance-top:0pt;z-index:251664384;mso-width-relative:page;mso-height-relative:page;" o:ole="t" filled="f" o:preferrelative="t" stroked="f" coordsize="21600,21600">
            <v:path/>
            <v:fill on="f" focussize="0,0"/>
            <v:stroke on="f"/>
            <v:imagedata r:id="rId20" o:title=""/>
            <o:lock v:ext="edit" aspectratio="t"/>
            <w10:wrap type="square"/>
          </v:shape>
          <o:OLEObject Type="Embed" ProgID="Excel.Chart.8" ShapeID="_x0000_s1031" DrawAspect="Content" ObjectID="_1468075730" r:id="rId19">
            <o:LockedField>false</o:LockedField>
          </o:OLEObject>
        </w:pict>
      </w:r>
    </w:p>
    <w:p>
      <w:pPr>
        <w:spacing w:line="600" w:lineRule="exact"/>
        <w:ind w:firstLine="642" w:firstLineChars="200"/>
        <w:outlineLvl w:val="2"/>
        <w:rPr>
          <w:rFonts w:ascii="仿宋" w:hAnsi="仿宋" w:eastAsia="仿宋"/>
          <w:b/>
          <w:color w:val="auto"/>
          <w:sz w:val="32"/>
          <w:szCs w:val="32"/>
          <w:highlight w:val="none"/>
        </w:rPr>
      </w:pPr>
      <w:bookmarkStart w:id="49" w:name="_Toc29153"/>
      <w:bookmarkStart w:id="50" w:name="_Toc20073"/>
      <w:bookmarkStart w:id="51" w:name="_Toc4569"/>
      <w:r>
        <w:rPr>
          <w:rFonts w:hint="eastAsia" w:ascii="仿宋" w:hAnsi="仿宋" w:eastAsia="仿宋"/>
          <w:b/>
          <w:color w:val="auto"/>
          <w:sz w:val="32"/>
          <w:szCs w:val="32"/>
          <w:highlight w:val="none"/>
        </w:rPr>
        <w:t>（三）一般公共预算财政拨款支出决算具体情况</w:t>
      </w:r>
      <w:bookmarkEnd w:id="49"/>
      <w:bookmarkEnd w:id="50"/>
      <w:bookmarkEnd w:id="51"/>
    </w:p>
    <w:p>
      <w:pPr>
        <w:spacing w:line="600" w:lineRule="exact"/>
        <w:ind w:firstLine="642" w:firstLineChars="200"/>
        <w:outlineLvl w:val="2"/>
        <w:rPr>
          <w:rFonts w:ascii="仿宋" w:hAnsi="仿宋" w:eastAsia="仿宋"/>
          <w:color w:val="auto"/>
          <w:sz w:val="32"/>
          <w:szCs w:val="32"/>
          <w:highlight w:val="none"/>
        </w:rPr>
      </w:pPr>
      <w:bookmarkStart w:id="52" w:name="_Toc9571"/>
      <w:bookmarkStart w:id="53" w:name="_Toc6150"/>
      <w:bookmarkStart w:id="54" w:name="_Toc25787"/>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lang w:eastAsia="zh-CN"/>
        </w:rPr>
        <w:t>年度一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887.91</w:t>
      </w:r>
      <w:r>
        <w:rPr>
          <w:rFonts w:hint="default" w:ascii="仿宋" w:hAnsi="仿宋" w:eastAsia="仿宋"/>
          <w:b/>
          <w:color w:val="auto"/>
          <w:sz w:val="32"/>
          <w:szCs w:val="32"/>
          <w:highlight w:val="none"/>
          <w:lang w:eastAsia="zh-CN"/>
        </w:rPr>
        <w:t>万元</w:t>
      </w:r>
      <w:r>
        <w:rPr>
          <w:rFonts w:hint="eastAsia" w:ascii="仿宋" w:hAnsi="仿宋" w:eastAsia="仿宋"/>
          <w:color w:val="auto"/>
          <w:sz w:val="32"/>
          <w:szCs w:val="32"/>
          <w:highlight w:val="none"/>
        </w:rPr>
        <w:t>，</w:t>
      </w:r>
      <w:r>
        <w:rPr>
          <w:rStyle w:val="18"/>
          <w:rFonts w:hint="eastAsia" w:ascii="仿宋" w:hAnsi="仿宋" w:eastAsia="仿宋"/>
          <w:bCs/>
          <w:color w:val="auto"/>
          <w:sz w:val="32"/>
          <w:szCs w:val="32"/>
          <w:highlight w:val="none"/>
        </w:rPr>
        <w:t>完成预算</w:t>
      </w:r>
      <w:r>
        <w:rPr>
          <w:rStyle w:val="18"/>
          <w:rFonts w:hint="eastAsia" w:ascii="仿宋" w:hAnsi="仿宋" w:eastAsia="仿宋"/>
          <w:bCs/>
          <w:color w:val="auto"/>
          <w:sz w:val="32"/>
          <w:szCs w:val="32"/>
          <w:highlight w:val="none"/>
          <w:lang w:val="en-US" w:eastAsia="zh-CN"/>
        </w:rPr>
        <w:t>100</w:t>
      </w:r>
      <w:r>
        <w:rPr>
          <w:rStyle w:val="18"/>
          <w:rFonts w:ascii="仿宋" w:hAnsi="仿宋" w:eastAsia="仿宋"/>
          <w:bCs/>
          <w:color w:val="auto"/>
          <w:sz w:val="32"/>
          <w:szCs w:val="32"/>
          <w:highlight w:val="none"/>
        </w:rPr>
        <w:t>%</w:t>
      </w:r>
      <w:r>
        <w:rPr>
          <w:rStyle w:val="18"/>
          <w:rFonts w:hint="eastAsia" w:ascii="仿宋" w:hAnsi="仿宋" w:eastAsia="仿宋"/>
          <w:bCs/>
          <w:color w:val="auto"/>
          <w:sz w:val="32"/>
          <w:szCs w:val="32"/>
          <w:highlight w:val="none"/>
        </w:rPr>
        <w:t>。其中：</w:t>
      </w:r>
      <w:bookmarkEnd w:id="52"/>
      <w:bookmarkEnd w:id="53"/>
      <w:bookmarkEnd w:id="54"/>
    </w:p>
    <w:p>
      <w:pPr>
        <w:spacing w:line="576" w:lineRule="exact"/>
        <w:ind w:firstLine="640" w:firstLineChars="200"/>
        <w:rPr>
          <w:rFonts w:hint="default" w:ascii="仿宋" w:eastAsia="仿宋"/>
          <w:b w:val="0"/>
          <w:bCs/>
          <w:color w:val="000000"/>
          <w:sz w:val="32"/>
          <w:szCs w:val="32"/>
        </w:rPr>
      </w:pPr>
      <w:r>
        <w:rPr>
          <w:rStyle w:val="18"/>
          <w:rFonts w:hint="eastAsia" w:ascii="仿宋" w:eastAsia="仿宋"/>
          <w:b w:val="0"/>
          <w:bCs/>
          <w:color w:val="000000"/>
          <w:sz w:val="32"/>
          <w:szCs w:val="32"/>
          <w:lang w:val="en-US" w:eastAsia="zh-CN"/>
        </w:rPr>
        <w:t>1</w:t>
      </w:r>
      <w:r>
        <w:rPr>
          <w:rStyle w:val="18"/>
          <w:rFonts w:hint="eastAsia" w:ascii="仿宋" w:eastAsia="仿宋"/>
          <w:b w:val="0"/>
          <w:bCs/>
          <w:color w:val="000000"/>
          <w:sz w:val="32"/>
          <w:szCs w:val="32"/>
        </w:rPr>
        <w:t>. 一般公共服务（类）政府办公厅（室）及相关机构事务（款）事业运行（项）</w:t>
      </w:r>
      <w:r>
        <w:rPr>
          <w:rStyle w:val="18"/>
          <w:rFonts w:ascii="仿宋" w:eastAsia="仿宋"/>
          <w:b w:val="0"/>
          <w:bCs/>
          <w:color w:val="000000"/>
          <w:sz w:val="32"/>
          <w:szCs w:val="32"/>
        </w:rPr>
        <w:t xml:space="preserve">: </w:t>
      </w:r>
      <w:r>
        <w:rPr>
          <w:rStyle w:val="18"/>
          <w:rFonts w:hint="eastAsia" w:ascii="仿宋" w:eastAsia="仿宋"/>
          <w:b w:val="0"/>
          <w:bCs/>
          <w:color w:val="000000"/>
          <w:sz w:val="32"/>
          <w:szCs w:val="32"/>
        </w:rPr>
        <w:t>支出决算为</w:t>
      </w:r>
      <w:r>
        <w:rPr>
          <w:rStyle w:val="18"/>
          <w:rFonts w:hint="eastAsia" w:ascii="仿宋" w:eastAsia="仿宋"/>
          <w:b w:val="0"/>
          <w:bCs/>
          <w:color w:val="000000"/>
          <w:sz w:val="32"/>
          <w:szCs w:val="32"/>
          <w:lang w:val="en-US" w:eastAsia="zh-CN"/>
        </w:rPr>
        <w:t>825.97</w:t>
      </w:r>
      <w:r>
        <w:rPr>
          <w:rStyle w:val="18"/>
          <w:rFonts w:hint="eastAsia" w:ascii="仿宋" w:eastAsia="仿宋"/>
          <w:b w:val="0"/>
          <w:bCs/>
          <w:color w:val="000000"/>
          <w:sz w:val="32"/>
          <w:szCs w:val="32"/>
        </w:rPr>
        <w:t>万元，完成预算100</w:t>
      </w:r>
      <w:r>
        <w:rPr>
          <w:rStyle w:val="18"/>
          <w:rFonts w:ascii="仿宋" w:eastAsia="仿宋"/>
          <w:b w:val="0"/>
          <w:bCs/>
          <w:color w:val="000000"/>
          <w:sz w:val="32"/>
          <w:szCs w:val="32"/>
        </w:rPr>
        <w:t>%</w:t>
      </w:r>
      <w:r>
        <w:rPr>
          <w:rStyle w:val="18"/>
          <w:rFonts w:hint="eastAsia" w:ascii="仿宋" w:eastAsia="仿宋"/>
          <w:b w:val="0"/>
          <w:bCs/>
          <w:color w:val="000000"/>
          <w:sz w:val="32"/>
          <w:szCs w:val="32"/>
        </w:rPr>
        <w:t>。</w:t>
      </w:r>
      <w:r>
        <w:rPr>
          <w:rStyle w:val="18"/>
          <w:rFonts w:hint="default" w:ascii="仿宋" w:eastAsia="仿宋"/>
          <w:b w:val="0"/>
          <w:bCs/>
          <w:color w:val="000000"/>
          <w:sz w:val="32"/>
          <w:szCs w:val="32"/>
        </w:rPr>
        <w:t>决算数与预算数持平。</w:t>
      </w:r>
    </w:p>
    <w:p>
      <w:pPr>
        <w:spacing w:line="576" w:lineRule="exact"/>
        <w:ind w:firstLine="640" w:firstLineChars="200"/>
        <w:rPr>
          <w:rStyle w:val="18"/>
          <w:rFonts w:ascii="仿宋" w:eastAsia="仿宋"/>
          <w:b w:val="0"/>
          <w:bCs/>
          <w:color w:val="000000"/>
          <w:sz w:val="32"/>
          <w:szCs w:val="32"/>
        </w:rPr>
      </w:pPr>
      <w:r>
        <w:rPr>
          <w:rStyle w:val="18"/>
          <w:rFonts w:hint="eastAsia" w:ascii="仿宋" w:eastAsia="仿宋"/>
          <w:b w:val="0"/>
          <w:bCs/>
          <w:color w:val="000000"/>
          <w:sz w:val="32"/>
          <w:szCs w:val="32"/>
          <w:lang w:val="en-US" w:eastAsia="zh-CN"/>
        </w:rPr>
        <w:t>2</w:t>
      </w:r>
      <w:r>
        <w:rPr>
          <w:rStyle w:val="18"/>
          <w:rFonts w:hint="eastAsia" w:ascii="仿宋" w:eastAsia="仿宋"/>
          <w:b w:val="0"/>
          <w:bCs/>
          <w:color w:val="000000"/>
          <w:sz w:val="32"/>
          <w:szCs w:val="32"/>
        </w:rPr>
        <w:t>.</w:t>
      </w:r>
      <w:r>
        <w:rPr>
          <w:rStyle w:val="18"/>
          <w:rFonts w:ascii="仿宋" w:eastAsia="仿宋"/>
          <w:b w:val="0"/>
          <w:bCs/>
          <w:color w:val="000000"/>
          <w:sz w:val="32"/>
          <w:szCs w:val="32"/>
        </w:rPr>
        <w:t>.</w:t>
      </w:r>
      <w:r>
        <w:rPr>
          <w:rFonts w:hint="eastAsia" w:ascii="仿宋_GB2312" w:eastAsia="仿宋_GB2312" w:cs="仿宋"/>
          <w:b w:val="0"/>
          <w:bCs/>
          <w:sz w:val="32"/>
          <w:szCs w:val="32"/>
        </w:rPr>
        <w:t xml:space="preserve"> </w:t>
      </w:r>
      <w:r>
        <w:rPr>
          <w:rStyle w:val="18"/>
          <w:rFonts w:hint="eastAsia" w:ascii="仿宋" w:eastAsia="仿宋"/>
          <w:b w:val="0"/>
          <w:bCs/>
          <w:color w:val="000000"/>
          <w:sz w:val="32"/>
          <w:szCs w:val="32"/>
        </w:rPr>
        <w:t>社会保障和就业支出（类）行政事业单位养老支出（款）机关事业单位基本养老保险缴费支出（项）</w:t>
      </w:r>
      <w:r>
        <w:rPr>
          <w:rStyle w:val="18"/>
          <w:rFonts w:ascii="仿宋" w:eastAsia="仿宋"/>
          <w:b w:val="0"/>
          <w:bCs/>
          <w:color w:val="000000"/>
          <w:sz w:val="32"/>
          <w:szCs w:val="32"/>
        </w:rPr>
        <w:t xml:space="preserve">: </w:t>
      </w:r>
      <w:r>
        <w:rPr>
          <w:rStyle w:val="18"/>
          <w:rFonts w:hint="eastAsia" w:ascii="仿宋" w:eastAsia="仿宋"/>
          <w:b w:val="0"/>
          <w:bCs/>
          <w:color w:val="000000"/>
          <w:sz w:val="32"/>
          <w:szCs w:val="32"/>
        </w:rPr>
        <w:t>支出决算为</w:t>
      </w:r>
      <w:r>
        <w:rPr>
          <w:rStyle w:val="18"/>
          <w:rFonts w:hint="eastAsia" w:ascii="仿宋" w:eastAsia="仿宋"/>
          <w:b w:val="0"/>
          <w:bCs/>
          <w:color w:val="000000"/>
          <w:sz w:val="32"/>
          <w:szCs w:val="32"/>
          <w:lang w:val="en-US" w:eastAsia="zh-CN"/>
        </w:rPr>
        <w:t>22.05</w:t>
      </w:r>
      <w:r>
        <w:rPr>
          <w:rStyle w:val="18"/>
          <w:rFonts w:hint="eastAsia" w:ascii="仿宋" w:eastAsia="仿宋"/>
          <w:b w:val="0"/>
          <w:bCs/>
          <w:color w:val="000000"/>
          <w:sz w:val="32"/>
          <w:szCs w:val="32"/>
        </w:rPr>
        <w:t>万元，完成预算100</w:t>
      </w:r>
      <w:r>
        <w:rPr>
          <w:rStyle w:val="18"/>
          <w:rFonts w:ascii="仿宋" w:eastAsia="仿宋"/>
          <w:b w:val="0"/>
          <w:bCs/>
          <w:color w:val="000000"/>
          <w:sz w:val="32"/>
          <w:szCs w:val="32"/>
        </w:rPr>
        <w:t>%</w:t>
      </w:r>
      <w:r>
        <w:rPr>
          <w:rStyle w:val="18"/>
          <w:rFonts w:hint="eastAsia" w:ascii="仿宋" w:eastAsia="仿宋"/>
          <w:b w:val="0"/>
          <w:bCs/>
          <w:color w:val="000000"/>
          <w:sz w:val="32"/>
          <w:szCs w:val="32"/>
        </w:rPr>
        <w:t>。</w:t>
      </w:r>
      <w:r>
        <w:rPr>
          <w:rStyle w:val="18"/>
          <w:rFonts w:hint="default" w:ascii="仿宋" w:eastAsia="仿宋"/>
          <w:b w:val="0"/>
          <w:bCs/>
          <w:color w:val="000000"/>
          <w:sz w:val="32"/>
          <w:szCs w:val="32"/>
        </w:rPr>
        <w:t>决算数与预算数持平。</w:t>
      </w:r>
    </w:p>
    <w:p>
      <w:pPr>
        <w:spacing w:line="576" w:lineRule="exact"/>
        <w:ind w:firstLine="640" w:firstLineChars="200"/>
        <w:rPr>
          <w:rFonts w:ascii="仿宋" w:eastAsia="仿宋"/>
          <w:b w:val="0"/>
          <w:bCs/>
          <w:color w:val="000000"/>
          <w:sz w:val="32"/>
          <w:szCs w:val="32"/>
        </w:rPr>
      </w:pPr>
      <w:r>
        <w:rPr>
          <w:rStyle w:val="18"/>
          <w:rFonts w:hint="eastAsia" w:ascii="仿宋" w:eastAsia="仿宋"/>
          <w:b w:val="0"/>
          <w:bCs/>
          <w:color w:val="000000"/>
          <w:sz w:val="32"/>
          <w:szCs w:val="32"/>
          <w:lang w:val="en-US" w:eastAsia="zh-CN"/>
        </w:rPr>
        <w:t>3</w:t>
      </w:r>
      <w:r>
        <w:rPr>
          <w:rStyle w:val="18"/>
          <w:rFonts w:ascii="仿宋" w:eastAsia="仿宋"/>
          <w:b w:val="0"/>
          <w:bCs/>
          <w:color w:val="000000"/>
          <w:sz w:val="32"/>
          <w:szCs w:val="32"/>
        </w:rPr>
        <w:t>.</w:t>
      </w:r>
      <w:r>
        <w:rPr>
          <w:rFonts w:hint="eastAsia" w:ascii="仿宋_GB2312" w:eastAsia="仿宋_GB2312" w:cs="仿宋"/>
          <w:b w:val="0"/>
          <w:bCs/>
          <w:sz w:val="32"/>
          <w:szCs w:val="32"/>
        </w:rPr>
        <w:t xml:space="preserve"> </w:t>
      </w:r>
      <w:r>
        <w:rPr>
          <w:rStyle w:val="18"/>
          <w:rFonts w:hint="eastAsia" w:ascii="仿宋" w:eastAsia="仿宋"/>
          <w:b w:val="0"/>
          <w:bCs/>
          <w:color w:val="000000"/>
          <w:sz w:val="32"/>
          <w:szCs w:val="32"/>
        </w:rPr>
        <w:t>社会保障和就业支出（类）行政事业单位养老支出（款）机关事业单位职业年金缴费支出（项）</w:t>
      </w:r>
      <w:r>
        <w:rPr>
          <w:rStyle w:val="18"/>
          <w:rFonts w:ascii="仿宋" w:eastAsia="仿宋"/>
          <w:b w:val="0"/>
          <w:bCs/>
          <w:color w:val="000000"/>
          <w:sz w:val="32"/>
          <w:szCs w:val="32"/>
        </w:rPr>
        <w:t xml:space="preserve">: </w:t>
      </w:r>
      <w:r>
        <w:rPr>
          <w:rStyle w:val="18"/>
          <w:rFonts w:hint="eastAsia" w:ascii="仿宋" w:eastAsia="仿宋"/>
          <w:b w:val="0"/>
          <w:bCs/>
          <w:color w:val="000000"/>
          <w:sz w:val="32"/>
          <w:szCs w:val="32"/>
        </w:rPr>
        <w:t>支出决算为</w:t>
      </w:r>
      <w:r>
        <w:rPr>
          <w:rStyle w:val="18"/>
          <w:rFonts w:hint="eastAsia" w:ascii="仿宋" w:eastAsia="仿宋"/>
          <w:b w:val="0"/>
          <w:bCs/>
          <w:color w:val="000000"/>
          <w:sz w:val="32"/>
          <w:szCs w:val="32"/>
          <w:lang w:val="en-US" w:eastAsia="zh-CN"/>
        </w:rPr>
        <w:t>12.16</w:t>
      </w:r>
      <w:r>
        <w:rPr>
          <w:rStyle w:val="18"/>
          <w:rFonts w:hint="eastAsia" w:ascii="仿宋" w:eastAsia="仿宋"/>
          <w:b w:val="0"/>
          <w:bCs/>
          <w:color w:val="000000"/>
          <w:sz w:val="32"/>
          <w:szCs w:val="32"/>
        </w:rPr>
        <w:t>万元，完成预算100</w:t>
      </w:r>
      <w:r>
        <w:rPr>
          <w:rStyle w:val="18"/>
          <w:rFonts w:ascii="仿宋" w:eastAsia="仿宋"/>
          <w:b w:val="0"/>
          <w:bCs/>
          <w:color w:val="000000"/>
          <w:sz w:val="32"/>
          <w:szCs w:val="32"/>
        </w:rPr>
        <w:t>%</w:t>
      </w:r>
      <w:r>
        <w:rPr>
          <w:rStyle w:val="18"/>
          <w:rFonts w:hint="eastAsia" w:ascii="仿宋" w:eastAsia="仿宋"/>
          <w:b w:val="0"/>
          <w:bCs/>
          <w:color w:val="000000"/>
          <w:sz w:val="32"/>
          <w:szCs w:val="32"/>
        </w:rPr>
        <w:t>。</w:t>
      </w:r>
      <w:r>
        <w:rPr>
          <w:rStyle w:val="18"/>
          <w:rFonts w:hint="default" w:ascii="仿宋" w:eastAsia="仿宋"/>
          <w:b w:val="0"/>
          <w:bCs/>
          <w:color w:val="000000"/>
          <w:sz w:val="32"/>
          <w:szCs w:val="32"/>
        </w:rPr>
        <w:t>决算数与预算数持平。</w:t>
      </w:r>
    </w:p>
    <w:p>
      <w:pPr>
        <w:spacing w:line="576" w:lineRule="exact"/>
        <w:ind w:firstLine="640" w:firstLineChars="200"/>
        <w:rPr>
          <w:rStyle w:val="18"/>
          <w:rFonts w:ascii="仿宋" w:eastAsia="仿宋"/>
          <w:b w:val="0"/>
          <w:bCs/>
          <w:color w:val="000000"/>
          <w:sz w:val="32"/>
          <w:szCs w:val="32"/>
        </w:rPr>
      </w:pPr>
      <w:r>
        <w:rPr>
          <w:rStyle w:val="18"/>
          <w:rFonts w:hint="eastAsia" w:ascii="仿宋" w:eastAsia="仿宋"/>
          <w:b w:val="0"/>
          <w:bCs/>
          <w:color w:val="000000"/>
          <w:sz w:val="32"/>
          <w:szCs w:val="32"/>
          <w:lang w:val="en-US" w:eastAsia="zh-CN"/>
        </w:rPr>
        <w:t>4</w:t>
      </w:r>
      <w:r>
        <w:rPr>
          <w:rStyle w:val="18"/>
          <w:rFonts w:hint="eastAsia" w:ascii="仿宋" w:eastAsia="仿宋"/>
          <w:b w:val="0"/>
          <w:bCs/>
          <w:color w:val="000000"/>
          <w:sz w:val="32"/>
          <w:szCs w:val="32"/>
        </w:rPr>
        <w:t>.</w:t>
      </w:r>
      <w:r>
        <w:rPr>
          <w:rFonts w:hint="eastAsia" w:ascii="仿宋" w:eastAsia="仿宋"/>
          <w:b w:val="0"/>
          <w:bCs/>
          <w:color w:val="000000"/>
          <w:sz w:val="32"/>
          <w:szCs w:val="32"/>
        </w:rPr>
        <w:t xml:space="preserve"> 卫生健康</w:t>
      </w:r>
      <w:r>
        <w:rPr>
          <w:rStyle w:val="18"/>
          <w:rFonts w:hint="eastAsia" w:ascii="仿宋" w:eastAsia="仿宋"/>
          <w:b w:val="0"/>
          <w:bCs/>
          <w:color w:val="000000"/>
          <w:sz w:val="32"/>
          <w:szCs w:val="32"/>
        </w:rPr>
        <w:t>（类）行政事业单位医疗（款）事业单位医疗（项）</w:t>
      </w:r>
      <w:r>
        <w:rPr>
          <w:rStyle w:val="18"/>
          <w:rFonts w:ascii="仿宋" w:eastAsia="仿宋"/>
          <w:b w:val="0"/>
          <w:bCs/>
          <w:color w:val="000000"/>
          <w:sz w:val="32"/>
          <w:szCs w:val="32"/>
        </w:rPr>
        <w:t>:</w:t>
      </w:r>
      <w:r>
        <w:rPr>
          <w:rStyle w:val="18"/>
          <w:rFonts w:hint="eastAsia" w:ascii="仿宋" w:eastAsia="仿宋"/>
          <w:b w:val="0"/>
          <w:bCs/>
          <w:color w:val="000000"/>
          <w:sz w:val="32"/>
          <w:szCs w:val="32"/>
        </w:rPr>
        <w:t xml:space="preserve"> 支出决算为</w:t>
      </w:r>
      <w:r>
        <w:rPr>
          <w:rStyle w:val="18"/>
          <w:rFonts w:hint="eastAsia" w:ascii="仿宋" w:eastAsia="仿宋"/>
          <w:b w:val="0"/>
          <w:bCs/>
          <w:color w:val="000000"/>
          <w:sz w:val="32"/>
          <w:szCs w:val="32"/>
          <w:lang w:val="en-US" w:eastAsia="zh-CN"/>
        </w:rPr>
        <w:t>11.58</w:t>
      </w:r>
      <w:r>
        <w:rPr>
          <w:rStyle w:val="18"/>
          <w:rFonts w:hint="eastAsia" w:ascii="仿宋" w:eastAsia="仿宋"/>
          <w:b w:val="0"/>
          <w:bCs/>
          <w:color w:val="000000"/>
          <w:sz w:val="32"/>
          <w:szCs w:val="32"/>
        </w:rPr>
        <w:t>万元，完成预算100</w:t>
      </w:r>
      <w:r>
        <w:rPr>
          <w:rStyle w:val="18"/>
          <w:rFonts w:ascii="仿宋" w:eastAsia="仿宋"/>
          <w:b w:val="0"/>
          <w:bCs/>
          <w:color w:val="000000"/>
          <w:sz w:val="32"/>
          <w:szCs w:val="32"/>
        </w:rPr>
        <w:t>%</w:t>
      </w:r>
      <w:r>
        <w:rPr>
          <w:rStyle w:val="18"/>
          <w:rFonts w:hint="eastAsia" w:ascii="仿宋" w:eastAsia="仿宋"/>
          <w:b w:val="0"/>
          <w:bCs/>
          <w:color w:val="000000"/>
          <w:sz w:val="32"/>
          <w:szCs w:val="32"/>
        </w:rPr>
        <w:t>。</w:t>
      </w:r>
      <w:r>
        <w:rPr>
          <w:rStyle w:val="18"/>
          <w:rFonts w:hint="default" w:ascii="仿宋" w:eastAsia="仿宋"/>
          <w:b w:val="0"/>
          <w:bCs/>
          <w:color w:val="000000"/>
          <w:sz w:val="32"/>
          <w:szCs w:val="32"/>
        </w:rPr>
        <w:t>决算数与预算数持平。</w:t>
      </w:r>
    </w:p>
    <w:p>
      <w:pPr>
        <w:spacing w:line="576" w:lineRule="exact"/>
        <w:ind w:firstLine="640" w:firstLineChars="200"/>
        <w:rPr>
          <w:rFonts w:ascii="仿宋" w:hAnsi="仿宋" w:eastAsia="仿宋"/>
          <w:b/>
          <w:color w:val="auto"/>
          <w:sz w:val="32"/>
          <w:szCs w:val="32"/>
          <w:highlight w:val="none"/>
        </w:rPr>
      </w:pPr>
      <w:r>
        <w:rPr>
          <w:rFonts w:hint="eastAsia" w:ascii="仿宋" w:eastAsia="仿宋"/>
          <w:b w:val="0"/>
          <w:bCs/>
          <w:color w:val="000000"/>
          <w:sz w:val="32"/>
          <w:szCs w:val="32"/>
          <w:lang w:val="en-US" w:eastAsia="zh-CN"/>
        </w:rPr>
        <w:t>5</w:t>
      </w:r>
      <w:r>
        <w:rPr>
          <w:rFonts w:hint="eastAsia" w:ascii="仿宋" w:eastAsia="仿宋"/>
          <w:b w:val="0"/>
          <w:bCs/>
          <w:color w:val="000000"/>
          <w:sz w:val="32"/>
          <w:szCs w:val="32"/>
        </w:rPr>
        <w:t>.</w:t>
      </w:r>
      <w:r>
        <w:rPr>
          <w:rFonts w:hint="eastAsia"/>
          <w:b w:val="0"/>
          <w:bCs/>
        </w:rPr>
        <w:t xml:space="preserve"> </w:t>
      </w:r>
      <w:r>
        <w:rPr>
          <w:rFonts w:hint="eastAsia" w:ascii="仿宋" w:eastAsia="仿宋"/>
          <w:b w:val="0"/>
          <w:bCs/>
          <w:color w:val="000000"/>
          <w:sz w:val="32"/>
          <w:szCs w:val="32"/>
        </w:rPr>
        <w:t>住房保障支出(</w:t>
      </w:r>
      <w:r>
        <w:rPr>
          <w:rStyle w:val="18"/>
          <w:rFonts w:hint="eastAsia" w:ascii="仿宋" w:eastAsia="仿宋"/>
          <w:b w:val="0"/>
          <w:bCs/>
          <w:color w:val="000000"/>
          <w:sz w:val="32"/>
          <w:szCs w:val="32"/>
        </w:rPr>
        <w:t>类</w:t>
      </w:r>
      <w:r>
        <w:rPr>
          <w:rFonts w:hint="eastAsia" w:ascii="仿宋" w:eastAsia="仿宋"/>
          <w:b w:val="0"/>
          <w:bCs/>
          <w:color w:val="000000"/>
          <w:sz w:val="32"/>
          <w:szCs w:val="32"/>
        </w:rPr>
        <w:t>)</w:t>
      </w:r>
      <w:r>
        <w:rPr>
          <w:rFonts w:hint="eastAsia"/>
          <w:b w:val="0"/>
          <w:bCs/>
        </w:rPr>
        <w:t xml:space="preserve"> </w:t>
      </w:r>
      <w:r>
        <w:rPr>
          <w:rFonts w:hint="eastAsia" w:ascii="仿宋" w:eastAsia="仿宋"/>
          <w:b w:val="0"/>
          <w:bCs/>
          <w:color w:val="000000"/>
          <w:sz w:val="32"/>
          <w:szCs w:val="32"/>
        </w:rPr>
        <w:t>住房改革支出(</w:t>
      </w:r>
      <w:r>
        <w:rPr>
          <w:rStyle w:val="18"/>
          <w:rFonts w:hint="eastAsia" w:ascii="仿宋" w:eastAsia="仿宋"/>
          <w:b w:val="0"/>
          <w:bCs/>
          <w:color w:val="000000"/>
          <w:sz w:val="32"/>
          <w:szCs w:val="32"/>
        </w:rPr>
        <w:t>款</w:t>
      </w:r>
      <w:r>
        <w:rPr>
          <w:rFonts w:hint="eastAsia" w:ascii="仿宋" w:eastAsia="仿宋"/>
          <w:b w:val="0"/>
          <w:bCs/>
          <w:color w:val="000000"/>
          <w:sz w:val="32"/>
          <w:szCs w:val="32"/>
        </w:rPr>
        <w:t>)</w:t>
      </w:r>
      <w:r>
        <w:rPr>
          <w:rFonts w:hint="eastAsia"/>
          <w:b w:val="0"/>
          <w:bCs/>
        </w:rPr>
        <w:t xml:space="preserve"> </w:t>
      </w:r>
      <w:r>
        <w:rPr>
          <w:rFonts w:hint="eastAsia" w:ascii="仿宋" w:eastAsia="仿宋"/>
          <w:b w:val="0"/>
          <w:bCs/>
          <w:color w:val="000000"/>
          <w:sz w:val="32"/>
          <w:szCs w:val="32"/>
        </w:rPr>
        <w:t>住房公积金(</w:t>
      </w:r>
      <w:r>
        <w:rPr>
          <w:rStyle w:val="18"/>
          <w:rFonts w:hint="eastAsia" w:ascii="仿宋" w:eastAsia="仿宋"/>
          <w:b w:val="0"/>
          <w:bCs/>
          <w:color w:val="000000"/>
          <w:sz w:val="32"/>
          <w:szCs w:val="32"/>
        </w:rPr>
        <w:t>项</w:t>
      </w:r>
      <w:r>
        <w:rPr>
          <w:rFonts w:hint="eastAsia" w:ascii="仿宋" w:eastAsia="仿宋"/>
          <w:b w:val="0"/>
          <w:bCs/>
          <w:color w:val="000000"/>
          <w:sz w:val="32"/>
          <w:szCs w:val="32"/>
        </w:rPr>
        <w:t>):</w:t>
      </w:r>
      <w:r>
        <w:rPr>
          <w:rStyle w:val="18"/>
          <w:rFonts w:hint="eastAsia" w:ascii="仿宋" w:eastAsia="仿宋"/>
          <w:b w:val="0"/>
          <w:bCs/>
          <w:color w:val="000000"/>
          <w:sz w:val="32"/>
          <w:szCs w:val="32"/>
        </w:rPr>
        <w:t xml:space="preserve"> 支出决算为</w:t>
      </w:r>
      <w:r>
        <w:rPr>
          <w:rStyle w:val="18"/>
          <w:rFonts w:hint="eastAsia" w:ascii="仿宋" w:eastAsia="仿宋"/>
          <w:b w:val="0"/>
          <w:bCs/>
          <w:color w:val="000000"/>
          <w:sz w:val="32"/>
          <w:szCs w:val="32"/>
          <w:lang w:val="en-US" w:eastAsia="zh-CN"/>
        </w:rPr>
        <w:t>16.14</w:t>
      </w:r>
      <w:r>
        <w:rPr>
          <w:rStyle w:val="18"/>
          <w:rFonts w:hint="eastAsia" w:ascii="仿宋" w:eastAsia="仿宋"/>
          <w:b w:val="0"/>
          <w:bCs/>
          <w:color w:val="000000"/>
          <w:sz w:val="32"/>
          <w:szCs w:val="32"/>
        </w:rPr>
        <w:t>万元，完成预算100</w:t>
      </w:r>
      <w:r>
        <w:rPr>
          <w:rStyle w:val="18"/>
          <w:rFonts w:ascii="仿宋" w:eastAsia="仿宋"/>
          <w:b w:val="0"/>
          <w:bCs/>
          <w:color w:val="000000"/>
          <w:sz w:val="32"/>
          <w:szCs w:val="32"/>
        </w:rPr>
        <w:t>%</w:t>
      </w:r>
      <w:r>
        <w:rPr>
          <w:rStyle w:val="18"/>
          <w:rFonts w:hint="eastAsia" w:ascii="仿宋" w:eastAsia="仿宋"/>
          <w:b w:val="0"/>
          <w:bCs/>
          <w:color w:val="000000"/>
          <w:sz w:val="32"/>
          <w:szCs w:val="32"/>
        </w:rPr>
        <w:t>。</w:t>
      </w:r>
      <w:r>
        <w:rPr>
          <w:rStyle w:val="18"/>
          <w:rFonts w:hint="default" w:ascii="仿宋" w:eastAsia="仿宋"/>
          <w:b w:val="0"/>
          <w:bCs/>
          <w:color w:val="000000"/>
          <w:sz w:val="32"/>
          <w:szCs w:val="32"/>
        </w:rPr>
        <w:t>决算数与预算数持平。</w:t>
      </w:r>
    </w:p>
    <w:p>
      <w:pPr>
        <w:tabs>
          <w:tab w:val="right" w:pos="8306"/>
        </w:tabs>
        <w:spacing w:line="600" w:lineRule="exact"/>
        <w:ind w:firstLine="640"/>
        <w:outlineLvl w:val="1"/>
        <w:rPr>
          <w:rStyle w:val="30"/>
          <w:color w:val="auto"/>
          <w:highlight w:val="none"/>
        </w:rPr>
      </w:pPr>
      <w:bookmarkStart w:id="55" w:name="_Toc5905"/>
      <w:bookmarkStart w:id="56" w:name="_Toc21386"/>
      <w:bookmarkStart w:id="57" w:name="_Toc21038"/>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0"/>
          <w:rFonts w:hint="eastAsia" w:ascii="黑体" w:hAnsi="黑体" w:eastAsia="黑体"/>
          <w:b w:val="0"/>
          <w:color w:val="auto"/>
          <w:highlight w:val="none"/>
        </w:rPr>
        <w:t>般公共预算财政拨款基本支出决算情况说明</w:t>
      </w:r>
      <w:bookmarkEnd w:id="55"/>
      <w:bookmarkEnd w:id="56"/>
      <w:bookmarkEnd w:id="57"/>
      <w:r>
        <w:rPr>
          <w:rStyle w:val="30"/>
          <w:rFonts w:ascii="黑体" w:hAnsi="黑体" w:eastAsia="黑体"/>
          <w:b w:val="0"/>
          <w:color w:val="auto"/>
          <w:highlight w:val="none"/>
        </w:rPr>
        <w:tab/>
      </w:r>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545.91</w:t>
      </w:r>
      <w:r>
        <w:rPr>
          <w:rFonts w:hint="eastAsia" w:ascii="仿宋" w:hAnsi="仿宋" w:eastAsia="仿宋"/>
          <w:color w:val="auto"/>
          <w:sz w:val="32"/>
          <w:szCs w:val="32"/>
          <w:highlight w:val="none"/>
        </w:rPr>
        <w:t>万元，其中：</w:t>
      </w:r>
    </w:p>
    <w:p>
      <w:pPr>
        <w:spacing w:line="600" w:lineRule="exact"/>
        <w:ind w:firstLine="645"/>
        <w:rPr>
          <w:rFonts w:ascii="仿宋" w:hAnsi="仿宋" w:eastAsia="仿宋"/>
          <w:b/>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209.21</w:t>
      </w:r>
      <w:r>
        <w:rPr>
          <w:rFonts w:hint="eastAsia" w:ascii="仿宋" w:hAnsi="仿宋" w:eastAsia="仿宋"/>
          <w:color w:val="auto"/>
          <w:sz w:val="32"/>
          <w:szCs w:val="32"/>
          <w:highlight w:val="none"/>
        </w:rPr>
        <w:t>万元，主要包括：基本工资、津贴补贴、绩效工资、机关事业单位基本养老保险缴费、职业年金缴费、其他社会保障缴费、住房公积金等。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336.70</w:t>
      </w:r>
      <w:r>
        <w:rPr>
          <w:rFonts w:hint="eastAsia" w:ascii="仿宋" w:hAnsi="仿宋" w:eastAsia="仿宋"/>
          <w:color w:val="auto"/>
          <w:sz w:val="32"/>
          <w:szCs w:val="32"/>
          <w:highlight w:val="none"/>
        </w:rPr>
        <w:t>万元，主要包括：办公费、印刷费、水费、电费、邮电费、物业管理费、差旅费、维修（护）费、租赁费、会议费、培训费、公务接待费、劳务费、其他交通费、专用设备购置。</w:t>
      </w:r>
    </w:p>
    <w:p>
      <w:pPr>
        <w:spacing w:line="600" w:lineRule="exact"/>
        <w:ind w:firstLine="640"/>
        <w:outlineLvl w:val="1"/>
        <w:rPr>
          <w:rStyle w:val="30"/>
          <w:rFonts w:ascii="黑体" w:hAnsi="黑体" w:eastAsia="黑体"/>
          <w:b w:val="0"/>
          <w:color w:val="auto"/>
          <w:highlight w:val="none"/>
        </w:rPr>
      </w:pPr>
      <w:bookmarkStart w:id="58" w:name="_Toc13543"/>
      <w:bookmarkStart w:id="59" w:name="_Toc17237"/>
      <w:bookmarkStart w:id="60" w:name="_Toc5114"/>
      <w:r>
        <w:rPr>
          <w:rFonts w:hint="eastAsia" w:ascii="黑体" w:eastAsia="黑体"/>
          <w:color w:val="auto"/>
          <w:sz w:val="32"/>
          <w:szCs w:val="32"/>
          <w:highlight w:val="none"/>
        </w:rPr>
        <w:t>七、</w:t>
      </w:r>
      <w:r>
        <w:rPr>
          <w:rStyle w:val="30"/>
          <w:rFonts w:hint="eastAsia" w:ascii="黑体" w:hAnsi="黑体" w:eastAsia="黑体"/>
          <w:b w:val="0"/>
          <w:color w:val="auto"/>
          <w:highlight w:val="none"/>
        </w:rPr>
        <w:t>财政拨款</w:t>
      </w:r>
      <w:r>
        <w:rPr>
          <w:rStyle w:val="30"/>
          <w:rFonts w:hint="eastAsia" w:ascii="黑体" w:hAnsi="黑体" w:eastAsia="黑体"/>
          <w:color w:val="auto"/>
          <w:highlight w:val="none"/>
        </w:rPr>
        <w:t>“</w:t>
      </w:r>
      <w:r>
        <w:rPr>
          <w:rStyle w:val="30"/>
          <w:rFonts w:hint="eastAsia" w:ascii="黑体" w:hAnsi="黑体" w:eastAsia="黑体"/>
          <w:b w:val="0"/>
          <w:color w:val="auto"/>
          <w:highlight w:val="none"/>
        </w:rPr>
        <w:t>三公”经费支出决算情况说明</w:t>
      </w:r>
      <w:bookmarkEnd w:id="58"/>
      <w:bookmarkEnd w:id="59"/>
      <w:bookmarkEnd w:id="60"/>
    </w:p>
    <w:p>
      <w:pPr>
        <w:spacing w:line="600" w:lineRule="exact"/>
        <w:ind w:firstLine="640"/>
        <w:outlineLvl w:val="2"/>
        <w:rPr>
          <w:rFonts w:ascii="仿宋" w:hAnsi="仿宋" w:eastAsia="仿宋"/>
          <w:b/>
          <w:color w:val="auto"/>
          <w:sz w:val="32"/>
          <w:szCs w:val="32"/>
          <w:highlight w:val="none"/>
        </w:rPr>
      </w:pPr>
      <w:bookmarkStart w:id="61" w:name="_Toc5787"/>
      <w:bookmarkStart w:id="62" w:name="_Toc26642"/>
      <w:bookmarkStart w:id="63" w:name="_Toc17221"/>
      <w:r>
        <w:rPr>
          <w:rFonts w:hint="eastAsia" w:ascii="仿宋" w:hAnsi="仿宋" w:eastAsia="仿宋"/>
          <w:b/>
          <w:color w:val="auto"/>
          <w:sz w:val="32"/>
          <w:szCs w:val="32"/>
          <w:highlight w:val="none"/>
        </w:rPr>
        <w:t>（一）“三公”经费财政拨款支出决算总体情况说明</w:t>
      </w:r>
      <w:bookmarkEnd w:id="61"/>
      <w:bookmarkEnd w:id="62"/>
      <w:bookmarkEnd w:id="63"/>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33.97</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default" w:ascii="仿宋" w:hAnsi="仿宋" w:eastAsia="仿宋"/>
          <w:color w:val="auto"/>
          <w:sz w:val="32"/>
          <w:szCs w:val="32"/>
          <w:highlight w:val="none"/>
          <w:lang w:eastAsia="zh-CN"/>
        </w:rPr>
        <w:t>与</w:t>
      </w:r>
      <w:r>
        <w:rPr>
          <w:rFonts w:hint="eastAsia" w:ascii="仿宋" w:hAnsi="仿宋" w:eastAsia="仿宋"/>
          <w:color w:val="auto"/>
          <w:sz w:val="32"/>
          <w:szCs w:val="32"/>
          <w:highlight w:val="none"/>
          <w:lang w:eastAsia="zh-CN"/>
        </w:rPr>
        <w:t>上年度</w:t>
      </w:r>
      <w:r>
        <w:rPr>
          <w:rFonts w:hint="default" w:ascii="仿宋" w:hAnsi="仿宋" w:eastAsia="仿宋"/>
          <w:color w:val="auto"/>
          <w:sz w:val="32"/>
          <w:szCs w:val="32"/>
          <w:highlight w:val="none"/>
          <w:lang w:eastAsia="zh-CN"/>
        </w:rPr>
        <w:t>相比</w:t>
      </w:r>
      <w:r>
        <w:rPr>
          <w:rFonts w:hint="eastAsia" w:ascii="仿宋" w:hAnsi="仿宋" w:eastAsia="仿宋"/>
          <w:color w:val="auto"/>
          <w:sz w:val="32"/>
          <w:szCs w:val="32"/>
          <w:highlight w:val="none"/>
          <w:lang w:val="en-US" w:eastAsia="zh-CN"/>
        </w:rPr>
        <w:t>减少104.45万元，下降74.45%。</w:t>
      </w:r>
      <w:r>
        <w:rPr>
          <w:rFonts w:hint="eastAsia" w:ascii="仿宋" w:hAnsi="仿宋" w:eastAsia="仿宋"/>
          <w:color w:val="auto"/>
          <w:sz w:val="32"/>
          <w:szCs w:val="32"/>
          <w:highlight w:val="none"/>
        </w:rPr>
        <w:t>主要原因是</w:t>
      </w:r>
      <w:r>
        <w:rPr>
          <w:rFonts w:hint="default" w:ascii="仿宋" w:hAnsi="仿宋" w:eastAsia="仿宋"/>
          <w:color w:val="auto"/>
          <w:sz w:val="32"/>
          <w:szCs w:val="32"/>
          <w:highlight w:val="none"/>
        </w:rPr>
        <w:t>：</w:t>
      </w:r>
      <w:r>
        <w:rPr>
          <w:rFonts w:hint="eastAsia" w:ascii="仿宋" w:hAnsi="仿宋" w:eastAsia="仿宋"/>
          <w:color w:val="auto"/>
          <w:sz w:val="32"/>
          <w:szCs w:val="32"/>
          <w:highlight w:val="none"/>
          <w:lang w:eastAsia="zh-CN"/>
        </w:rPr>
        <w:t>严格执行中央、省、州等相关政策法规，做到厉行节约</w:t>
      </w:r>
      <w:r>
        <w:rPr>
          <w:rFonts w:hint="eastAsia" w:ascii="仿宋" w:hAnsi="仿宋" w:eastAsia="仿宋"/>
          <w:color w:val="auto"/>
          <w:sz w:val="32"/>
          <w:szCs w:val="32"/>
          <w:highlight w:val="none"/>
        </w:rPr>
        <w:t>。</w:t>
      </w:r>
    </w:p>
    <w:p>
      <w:pPr>
        <w:spacing w:line="600" w:lineRule="exact"/>
        <w:ind w:firstLine="640"/>
        <w:outlineLvl w:val="2"/>
        <w:rPr>
          <w:rFonts w:ascii="仿宋" w:hAnsi="仿宋" w:eastAsia="仿宋"/>
          <w:b/>
          <w:color w:val="auto"/>
          <w:sz w:val="32"/>
          <w:szCs w:val="32"/>
          <w:highlight w:val="none"/>
        </w:rPr>
      </w:pPr>
      <w:bookmarkStart w:id="64" w:name="_Toc13550"/>
      <w:bookmarkStart w:id="65" w:name="_Toc24065"/>
      <w:bookmarkStart w:id="66" w:name="_Toc23444"/>
      <w:r>
        <w:rPr>
          <w:rFonts w:hint="eastAsia" w:ascii="仿宋" w:hAnsi="仿宋" w:eastAsia="仿宋"/>
          <w:b/>
          <w:color w:val="auto"/>
          <w:sz w:val="32"/>
          <w:szCs w:val="32"/>
          <w:highlight w:val="none"/>
        </w:rPr>
        <w:t>（二）“三公”经费财政拨款支出决算具体情况说明</w:t>
      </w:r>
      <w:bookmarkEnd w:id="64"/>
      <w:bookmarkEnd w:id="65"/>
      <w:bookmarkEnd w:id="66"/>
    </w:p>
    <w:p>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33.97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pStyle w:val="15"/>
        <w:rPr>
          <w:rFonts w:hint="eastAsia" w:eastAsia="仿宋"/>
          <w:lang w:eastAsia="zh-CN"/>
        </w:rPr>
      </w:pPr>
      <w:bookmarkStart w:id="67" w:name="_Toc25767"/>
      <w:bookmarkStart w:id="68" w:name="_Toc2351"/>
      <w:bookmarkStart w:id="69" w:name="_Toc13844"/>
      <w:bookmarkStart w:id="70" w:name="_Toc30553"/>
      <w:r>
        <w:rPr>
          <w:rFonts w:hint="eastAsia" w:eastAsia="仿宋"/>
          <w:lang w:eastAsia="zh-CN"/>
        </w:rPr>
        <w:object>
          <v:shape id="_x0000_i1025" o:spt="75" type="#_x0000_t75" style="height:222.75pt;width:366.75pt;" o:ole="t" filled="f" o:preferrelative="t" stroked="f" coordsize="21600,21600">
            <v:path/>
            <v:fill on="f" focussize="0,0"/>
            <v:stroke on="f"/>
            <v:imagedata r:id="rId22" o:title=""/>
            <o:lock v:ext="edit" aspectratio="t"/>
            <w10:wrap type="none"/>
            <w10:anchorlock/>
          </v:shape>
          <o:OLEObject Type="Embed" ProgID="Excel.Chart.8" ShapeID="_x0000_i1025" DrawAspect="Content" ObjectID="_1468075731" r:id="rId21">
            <o:LockedField>false</o:LockedField>
          </o:OLEObject>
        </w:object>
      </w:r>
      <w:bookmarkEnd w:id="67"/>
      <w:bookmarkEnd w:id="68"/>
      <w:bookmarkEnd w:id="69"/>
      <w:bookmarkEnd w:id="70"/>
    </w:p>
    <w:p>
      <w:pPr>
        <w:spacing w:line="600" w:lineRule="exact"/>
        <w:ind w:firstLine="640"/>
        <w:rPr>
          <w:rFonts w:ascii="仿宋_GB2312" w:eastAsia="仿宋_GB2312"/>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8"/>
          <w:rFonts w:hint="eastAsia" w:ascii="仿宋" w:hAnsi="仿宋" w:eastAsia="仿宋"/>
          <w:b w:val="0"/>
          <w:bCs/>
          <w:color w:val="auto"/>
          <w:sz w:val="32"/>
          <w:szCs w:val="32"/>
          <w:highlight w:val="none"/>
        </w:rPr>
        <w:t>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年度持平</w:t>
      </w:r>
      <w:r>
        <w:rPr>
          <w:rFonts w:hint="eastAsia" w:ascii="仿宋_GB2312" w:eastAsia="仿宋_GB2312"/>
          <w:color w:val="auto"/>
          <w:sz w:val="32"/>
          <w:szCs w:val="32"/>
          <w:highlight w:val="none"/>
        </w:rPr>
        <w:t>。</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8"/>
          <w:rFonts w:hint="eastAsia" w:ascii="仿宋" w:hAnsi="仿宋" w:eastAsia="仿宋"/>
          <w:b w:val="0"/>
          <w:bCs/>
          <w:color w:val="auto"/>
          <w:sz w:val="32"/>
          <w:szCs w:val="32"/>
          <w:highlight w:val="none"/>
        </w:rPr>
        <w:t>完成预算</w:t>
      </w:r>
      <w:r>
        <w:rPr>
          <w:rStyle w:val="18"/>
          <w:rFonts w:hint="default" w:ascii="仿宋" w:hAnsi="仿宋" w:eastAsia="仿宋"/>
          <w:b w:val="0"/>
          <w:bCs/>
          <w:color w:val="auto"/>
          <w:sz w:val="32"/>
          <w:szCs w:val="32"/>
          <w:highlight w:val="none"/>
        </w:rPr>
        <w:t>10</w:t>
      </w:r>
      <w:r>
        <w:rPr>
          <w:rStyle w:val="18"/>
          <w:rFonts w:hint="eastAsia" w:ascii="仿宋" w:hAnsi="仿宋" w:eastAsia="仿宋"/>
          <w:b w:val="0"/>
          <w:bCs/>
          <w:color w:val="auto"/>
          <w:sz w:val="32"/>
          <w:szCs w:val="32"/>
          <w:highlight w:val="none"/>
          <w:lang w:val="en-US" w:eastAsia="zh-CN"/>
        </w:rPr>
        <w:t>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年度持平</w:t>
      </w:r>
      <w:r>
        <w:rPr>
          <w:rFonts w:hint="eastAsia" w:ascii="仿宋_GB2312" w:eastAsia="仿宋_GB2312"/>
          <w:color w:val="auto"/>
          <w:sz w:val="32"/>
          <w:szCs w:val="32"/>
          <w:highlight w:val="none"/>
        </w:rPr>
        <w:t>。</w:t>
      </w:r>
    </w:p>
    <w:p>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p>
    <w:p>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spacing w:line="600" w:lineRule="exact"/>
        <w:ind w:firstLine="640"/>
        <w:rPr>
          <w:rFonts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33.97</w:t>
      </w:r>
      <w:r>
        <w:rPr>
          <w:rFonts w:hint="eastAsia" w:ascii="仿宋_GB2312" w:eastAsia="仿宋_GB2312"/>
          <w:color w:val="auto"/>
          <w:sz w:val="32"/>
          <w:szCs w:val="32"/>
          <w:highlight w:val="none"/>
        </w:rPr>
        <w:t>万元，</w:t>
      </w:r>
      <w:r>
        <w:rPr>
          <w:rStyle w:val="18"/>
          <w:rFonts w:hint="eastAsia" w:ascii="仿宋" w:hAnsi="仿宋" w:eastAsia="仿宋"/>
          <w:b w:val="0"/>
          <w:bCs/>
          <w:color w:val="auto"/>
          <w:sz w:val="32"/>
          <w:szCs w:val="32"/>
          <w:highlight w:val="none"/>
        </w:rPr>
        <w:t>完成预算</w:t>
      </w:r>
      <w:r>
        <w:rPr>
          <w:rStyle w:val="18"/>
          <w:rFonts w:hint="eastAsia" w:ascii="仿宋" w:hAnsi="仿宋" w:eastAsia="仿宋"/>
          <w:b w:val="0"/>
          <w:bCs/>
          <w:color w:val="auto"/>
          <w:sz w:val="32"/>
          <w:szCs w:val="32"/>
          <w:highlight w:val="none"/>
          <w:lang w:val="en-US" w:eastAsia="zh-CN"/>
        </w:rPr>
        <w:t>100</w:t>
      </w:r>
      <w:r>
        <w:rPr>
          <w:rStyle w:val="18"/>
          <w:rFonts w:ascii="仿宋" w:hAnsi="仿宋" w:eastAsia="仿宋"/>
          <w:b w:val="0"/>
          <w:bCs/>
          <w:color w:val="auto"/>
          <w:sz w:val="32"/>
          <w:szCs w:val="32"/>
          <w:highlight w:val="none"/>
        </w:rPr>
        <w:t>%</w:t>
      </w:r>
      <w:r>
        <w:rPr>
          <w:rStyle w:val="18"/>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年度</w:t>
      </w:r>
      <w:r>
        <w:rPr>
          <w:rFonts w:hint="default" w:ascii="仿宋_GB2312" w:eastAsia="仿宋_GB2312"/>
          <w:color w:val="auto"/>
          <w:sz w:val="32"/>
          <w:szCs w:val="32"/>
          <w:highlight w:val="none"/>
          <w:lang w:eastAsia="zh-CN"/>
        </w:rPr>
        <w:t>减少</w:t>
      </w:r>
      <w:r>
        <w:rPr>
          <w:rFonts w:hint="eastAsia" w:ascii="仿宋" w:hAnsi="仿宋" w:eastAsia="仿宋"/>
          <w:color w:val="auto"/>
          <w:sz w:val="32"/>
          <w:szCs w:val="32"/>
          <w:highlight w:val="none"/>
          <w:lang w:val="en-US" w:eastAsia="zh-CN"/>
        </w:rPr>
        <w:t>104.45万元，下降74.45%</w:t>
      </w:r>
      <w:r>
        <w:rPr>
          <w:rFonts w:hint="eastAsia" w:ascii="仿宋_GB2312" w:eastAsia="仿宋_GB2312"/>
          <w:color w:val="auto"/>
          <w:sz w:val="32"/>
          <w:szCs w:val="32"/>
          <w:highlight w:val="none"/>
        </w:rPr>
        <w:t>。主要原因是</w:t>
      </w:r>
      <w:r>
        <w:rPr>
          <w:rFonts w:hint="default" w:ascii="仿宋_GB2312" w:eastAsia="仿宋_GB2312"/>
          <w:color w:val="auto"/>
          <w:sz w:val="32"/>
          <w:szCs w:val="32"/>
          <w:highlight w:val="none"/>
        </w:rPr>
        <w:t>：</w:t>
      </w:r>
      <w:r>
        <w:rPr>
          <w:rFonts w:hint="eastAsia" w:ascii="仿宋" w:hAnsi="仿宋" w:eastAsia="仿宋"/>
          <w:color w:val="auto"/>
          <w:sz w:val="32"/>
          <w:szCs w:val="32"/>
          <w:highlight w:val="none"/>
          <w:lang w:eastAsia="zh-CN"/>
        </w:rPr>
        <w:t>严格执行中央、省、州等相关政策法规，做到厉行节约</w:t>
      </w:r>
      <w:r>
        <w:rPr>
          <w:rFonts w:hint="eastAsia" w:ascii="仿宋_GB2312" w:eastAsia="仿宋_GB2312"/>
          <w:color w:val="auto"/>
          <w:sz w:val="32"/>
          <w:szCs w:val="32"/>
          <w:highlight w:val="none"/>
        </w:rPr>
        <w:t>。其中：</w:t>
      </w:r>
    </w:p>
    <w:p>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33.97</w:t>
      </w:r>
      <w:r>
        <w:rPr>
          <w:rFonts w:hint="eastAsia" w:ascii="仿宋_GB2312" w:eastAsia="仿宋_GB2312"/>
          <w:color w:val="auto"/>
          <w:sz w:val="32"/>
          <w:szCs w:val="32"/>
          <w:highlight w:val="none"/>
        </w:rPr>
        <w:t>万元，主要用于</w:t>
      </w:r>
      <w:r>
        <w:rPr>
          <w:rFonts w:hint="eastAsia" w:ascii="仿宋_GB2312" w:eastAsia="仿宋_GB2312"/>
          <w:color w:val="auto"/>
          <w:sz w:val="32"/>
          <w:szCs w:val="32"/>
          <w:highlight w:val="none"/>
          <w:lang w:eastAsia="zh-CN"/>
        </w:rPr>
        <w:t>全县</w:t>
      </w:r>
      <w:r>
        <w:rPr>
          <w:rFonts w:hint="eastAsia" w:ascii="仿宋_GB2312" w:eastAsia="仿宋_GB2312"/>
          <w:color w:val="auto"/>
          <w:sz w:val="32"/>
          <w:szCs w:val="32"/>
          <w:highlight w:val="none"/>
        </w:rPr>
        <w:t>执行公务、开展业务活动开支的用餐费。国内公务接待</w:t>
      </w:r>
      <w:r>
        <w:rPr>
          <w:rFonts w:hint="eastAsia" w:ascii="仿宋_GB2312" w:eastAsia="仿宋_GB2312"/>
          <w:color w:val="auto"/>
          <w:sz w:val="32"/>
          <w:szCs w:val="32"/>
          <w:highlight w:val="none"/>
          <w:lang w:val="en-US" w:eastAsia="zh-CN"/>
        </w:rPr>
        <w:t>170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22967</w:t>
      </w:r>
      <w:r>
        <w:rPr>
          <w:rFonts w:hint="eastAsia" w:ascii="仿宋_GB2312" w:eastAsia="仿宋_GB2312"/>
          <w:color w:val="auto"/>
          <w:sz w:val="32"/>
          <w:szCs w:val="32"/>
          <w:highlight w:val="none"/>
        </w:rPr>
        <w:t>人次，共计支出</w:t>
      </w:r>
      <w:r>
        <w:rPr>
          <w:rFonts w:hint="eastAsia" w:ascii="仿宋_GB2312" w:eastAsia="仿宋_GB2312"/>
          <w:color w:val="auto"/>
          <w:sz w:val="32"/>
          <w:szCs w:val="32"/>
          <w:highlight w:val="none"/>
          <w:lang w:val="en-US" w:eastAsia="zh-CN"/>
        </w:rPr>
        <w:t>33.97</w:t>
      </w:r>
      <w:r>
        <w:rPr>
          <w:rFonts w:hint="eastAsia" w:ascii="仿宋_GB2312" w:eastAsia="仿宋_GB2312"/>
          <w:color w:val="auto"/>
          <w:sz w:val="32"/>
          <w:szCs w:val="32"/>
          <w:highlight w:val="none"/>
        </w:rPr>
        <w:t>万元，具体内容包括：</w:t>
      </w:r>
      <w:r>
        <w:rPr>
          <w:rFonts w:hint="eastAsia" w:ascii="仿宋_GB2312" w:eastAsia="仿宋_GB2312"/>
          <w:color w:val="auto"/>
          <w:sz w:val="32"/>
          <w:szCs w:val="32"/>
          <w:highlight w:val="none"/>
          <w:lang w:eastAsia="zh-CN"/>
        </w:rPr>
        <w:t>中央、省、州领导赴我县检查、指导工作；其他县（市）赴我县交流学习等</w:t>
      </w:r>
      <w:r>
        <w:rPr>
          <w:rFonts w:hint="eastAsia" w:ascii="仿宋_GB2312" w:eastAsia="仿宋_GB2312"/>
          <w:color w:val="auto"/>
          <w:sz w:val="32"/>
          <w:szCs w:val="32"/>
          <w:highlight w:val="none"/>
        </w:rPr>
        <w:t>。</w:t>
      </w:r>
    </w:p>
    <w:p>
      <w:pPr>
        <w:spacing w:line="600" w:lineRule="exact"/>
        <w:ind w:firstLine="642"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p>
    <w:p>
      <w:pPr>
        <w:spacing w:line="600" w:lineRule="exact"/>
        <w:ind w:firstLine="640"/>
        <w:outlineLvl w:val="1"/>
        <w:rPr>
          <w:rStyle w:val="30"/>
          <w:rFonts w:ascii="黑体" w:hAnsi="黑体" w:eastAsia="黑体"/>
          <w:color w:val="auto"/>
          <w:highlight w:val="none"/>
        </w:rPr>
      </w:pPr>
      <w:bookmarkStart w:id="71" w:name="_Toc28833"/>
      <w:bookmarkStart w:id="72" w:name="_Toc10540"/>
      <w:bookmarkStart w:id="73" w:name="_Toc6676"/>
      <w:r>
        <w:rPr>
          <w:rFonts w:hint="eastAsia" w:ascii="黑体" w:eastAsia="黑体"/>
          <w:color w:val="auto"/>
          <w:sz w:val="32"/>
          <w:szCs w:val="32"/>
          <w:highlight w:val="none"/>
        </w:rPr>
        <w:t>八、</w:t>
      </w:r>
      <w:r>
        <w:rPr>
          <w:rStyle w:val="30"/>
          <w:rFonts w:hint="eastAsia" w:ascii="黑体" w:hAnsi="黑体" w:eastAsia="黑体"/>
          <w:b w:val="0"/>
          <w:color w:val="auto"/>
          <w:highlight w:val="none"/>
        </w:rPr>
        <w:t>政府性基金预算支出决算情况说明</w:t>
      </w:r>
      <w:bookmarkEnd w:id="71"/>
      <w:bookmarkEnd w:id="72"/>
      <w:bookmarkEnd w:id="73"/>
    </w:p>
    <w:p>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ascii="黑体" w:hAnsi="黑体" w:eastAsia="黑体"/>
          <w:b w:val="0"/>
          <w:color w:val="auto"/>
          <w:highlight w:val="none"/>
        </w:rPr>
      </w:pPr>
      <w:bookmarkStart w:id="74" w:name="_Toc26480"/>
      <w:bookmarkStart w:id="75" w:name="_Toc29887"/>
      <w:bookmarkStart w:id="76" w:name="_Toc29662"/>
      <w:r>
        <w:rPr>
          <w:rStyle w:val="30"/>
          <w:rFonts w:hint="eastAsia" w:ascii="黑体" w:hAnsi="黑体" w:eastAsia="黑体"/>
          <w:b w:val="0"/>
          <w:color w:val="auto"/>
          <w:highlight w:val="none"/>
          <w:lang w:eastAsia="zh-CN"/>
        </w:rPr>
        <w:t>九、</w:t>
      </w:r>
      <w:r>
        <w:rPr>
          <w:rStyle w:val="30"/>
          <w:rFonts w:hint="eastAsia" w:ascii="黑体" w:hAnsi="黑体" w:eastAsia="黑体"/>
          <w:b w:val="0"/>
          <w:color w:val="auto"/>
          <w:highlight w:val="none"/>
        </w:rPr>
        <w:t>国有资本经营预算支出决算情况说明</w:t>
      </w:r>
      <w:bookmarkEnd w:id="74"/>
      <w:bookmarkEnd w:id="75"/>
      <w:bookmarkEnd w:id="76"/>
    </w:p>
    <w:p>
      <w:pPr>
        <w:spacing w:line="600" w:lineRule="exact"/>
        <w:ind w:firstLine="640"/>
        <w:rPr>
          <w:rFonts w:ascii="方正小标宋简体" w:hAnsi="方正小标宋简体" w:eastAsia="方正小标宋简体" w:cs="方正小标宋简体"/>
          <w:color w:val="auto"/>
          <w:sz w:val="44"/>
          <w:szCs w:val="44"/>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黑体" w:hAnsi="黑体" w:eastAsia="黑体"/>
          <w:b w:val="0"/>
          <w:color w:val="auto"/>
          <w:highlight w:val="none"/>
        </w:rPr>
      </w:pPr>
      <w:bookmarkStart w:id="77" w:name="_Toc23955"/>
      <w:bookmarkStart w:id="78" w:name="_Toc13757"/>
      <w:bookmarkStart w:id="79" w:name="_Toc11851"/>
      <w:r>
        <w:rPr>
          <w:rStyle w:val="30"/>
          <w:rFonts w:hint="eastAsia" w:ascii="黑体" w:hAnsi="黑体" w:eastAsia="黑体"/>
          <w:b w:val="0"/>
          <w:color w:val="auto"/>
          <w:highlight w:val="none"/>
          <w:lang w:eastAsia="zh-CN"/>
        </w:rPr>
        <w:t>十、</w:t>
      </w:r>
      <w:r>
        <w:rPr>
          <w:rStyle w:val="30"/>
          <w:rFonts w:hint="eastAsia" w:ascii="黑体" w:hAnsi="黑体" w:eastAsia="黑体"/>
          <w:b w:val="0"/>
          <w:color w:val="auto"/>
          <w:highlight w:val="none"/>
        </w:rPr>
        <w:t>其他重要事项的情况说明</w:t>
      </w:r>
      <w:bookmarkEnd w:id="77"/>
      <w:bookmarkEnd w:id="78"/>
      <w:bookmarkEnd w:id="79"/>
    </w:p>
    <w:p>
      <w:pPr>
        <w:spacing w:line="600" w:lineRule="exact"/>
        <w:ind w:firstLine="642" w:firstLineChars="200"/>
        <w:outlineLvl w:val="2"/>
        <w:rPr>
          <w:rFonts w:ascii="仿宋" w:hAnsi="仿宋" w:eastAsia="仿宋"/>
          <w:color w:val="auto"/>
          <w:sz w:val="32"/>
          <w:szCs w:val="32"/>
          <w:highlight w:val="none"/>
        </w:rPr>
      </w:pPr>
      <w:bookmarkStart w:id="80" w:name="_Toc15315"/>
      <w:bookmarkStart w:id="81" w:name="_Toc13409"/>
      <w:bookmarkStart w:id="82" w:name="_Toc2583"/>
      <w:r>
        <w:rPr>
          <w:rFonts w:hint="eastAsia" w:ascii="仿宋" w:hAnsi="仿宋" w:eastAsia="仿宋"/>
          <w:b/>
          <w:color w:val="auto"/>
          <w:sz w:val="32"/>
          <w:szCs w:val="32"/>
          <w:highlight w:val="none"/>
        </w:rPr>
        <w:t>（一）机关运行经费支出情况</w:t>
      </w:r>
      <w:bookmarkEnd w:id="80"/>
      <w:bookmarkEnd w:id="81"/>
      <w:bookmarkEnd w:id="82"/>
    </w:p>
    <w:p>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茂县公务服务中心</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万元，与</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决算数持平。</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bookmarkStart w:id="83" w:name="_Toc26650"/>
      <w:bookmarkStart w:id="84" w:name="_Toc291"/>
      <w:bookmarkStart w:id="85" w:name="_Toc24645"/>
      <w:r>
        <w:rPr>
          <w:rFonts w:hint="eastAsia" w:ascii="仿宋" w:hAnsi="仿宋" w:eastAsia="仿宋"/>
          <w:b/>
          <w:color w:val="auto"/>
          <w:sz w:val="32"/>
          <w:szCs w:val="32"/>
          <w:highlight w:val="none"/>
        </w:rPr>
        <w:t>（二）政府采购支出情况</w:t>
      </w:r>
      <w:bookmarkEnd w:id="83"/>
      <w:bookmarkEnd w:id="84"/>
      <w:bookmarkEnd w:id="85"/>
    </w:p>
    <w:p>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茂县公务服务中心</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233.58</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233.58</w:t>
      </w:r>
      <w:r>
        <w:rPr>
          <w:rFonts w:hint="eastAsia" w:ascii="仿宋_GB2312" w:eastAsia="仿宋_GB2312"/>
          <w:color w:val="auto"/>
          <w:sz w:val="32"/>
          <w:szCs w:val="32"/>
          <w:highlight w:val="none"/>
        </w:rPr>
        <w:t>万元。主要用于</w:t>
      </w:r>
      <w:r>
        <w:rPr>
          <w:rFonts w:hint="eastAsia" w:ascii="仿宋_GB2312" w:eastAsia="仿宋_GB2312"/>
          <w:color w:val="auto"/>
          <w:sz w:val="32"/>
          <w:szCs w:val="32"/>
          <w:highlight w:val="none"/>
          <w:lang w:eastAsia="zh-CN"/>
        </w:rPr>
        <w:t>集中办公区物业服务、机关食堂人员劳务服务等</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233.58</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bookmarkStart w:id="86" w:name="_Toc530"/>
      <w:bookmarkStart w:id="87" w:name="_Toc24351"/>
      <w:bookmarkStart w:id="88" w:name="_Toc27366"/>
      <w:r>
        <w:rPr>
          <w:rFonts w:hint="eastAsia" w:ascii="仿宋" w:hAnsi="仿宋" w:eastAsia="仿宋"/>
          <w:b/>
          <w:color w:val="auto"/>
          <w:sz w:val="32"/>
          <w:szCs w:val="32"/>
          <w:highlight w:val="none"/>
        </w:rPr>
        <w:t>（三）国有资产占有使用情况</w:t>
      </w:r>
      <w:bookmarkEnd w:id="86"/>
      <w:bookmarkEnd w:id="87"/>
      <w:bookmarkEnd w:id="88"/>
    </w:p>
    <w:p>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茂县公务服务中心</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olor w:val="auto"/>
          <w:sz w:val="32"/>
          <w:szCs w:val="32"/>
          <w:highlight w:val="none"/>
          <w:lang w:eastAsia="zh-CN"/>
        </w:rPr>
        <w:t>全县后勤保障。</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eastAsia="zh-CN"/>
        </w:rPr>
        <w:t>（不含车辆）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pPr>
        <w:spacing w:line="600" w:lineRule="exact"/>
        <w:jc w:val="left"/>
        <w:rPr>
          <w:rFonts w:ascii="Times New Roman" w:hAnsi="Times New Roman"/>
          <w:b/>
          <w:color w:val="auto"/>
          <w:sz w:val="44"/>
          <w:szCs w:val="44"/>
          <w:highlight w:val="none"/>
        </w:rPr>
      </w:pPr>
    </w:p>
    <w:p>
      <w:pPr>
        <w:numPr>
          <w:ilvl w:val="0"/>
          <w:numId w:val="0"/>
        </w:numPr>
        <w:spacing w:line="600" w:lineRule="exact"/>
        <w:jc w:val="center"/>
        <w:outlineLvl w:val="0"/>
        <w:rPr>
          <w:rFonts w:hint="eastAsia" w:ascii="黑体" w:hAnsi="黑体" w:eastAsia="黑体"/>
          <w:color w:val="auto"/>
          <w:sz w:val="44"/>
          <w:szCs w:val="44"/>
          <w:highlight w:val="none"/>
          <w:lang w:eastAsia="zh-CN"/>
        </w:rPr>
      </w:pPr>
      <w:bookmarkStart w:id="89" w:name="_Toc15377226"/>
    </w:p>
    <w:p>
      <w:pPr>
        <w:numPr>
          <w:ilvl w:val="0"/>
          <w:numId w:val="0"/>
        </w:numPr>
        <w:spacing w:line="600" w:lineRule="exact"/>
        <w:jc w:val="center"/>
        <w:outlineLvl w:val="0"/>
        <w:rPr>
          <w:rFonts w:hint="eastAsia" w:ascii="黑体" w:hAnsi="黑体" w:eastAsia="黑体"/>
          <w:color w:val="auto"/>
          <w:sz w:val="44"/>
          <w:szCs w:val="44"/>
          <w:highlight w:val="none"/>
          <w:lang w:eastAsia="zh-CN"/>
        </w:rPr>
      </w:pPr>
    </w:p>
    <w:p>
      <w:pPr>
        <w:numPr>
          <w:ilvl w:val="0"/>
          <w:numId w:val="0"/>
        </w:numPr>
        <w:spacing w:line="600" w:lineRule="exact"/>
        <w:jc w:val="center"/>
        <w:outlineLvl w:val="0"/>
        <w:rPr>
          <w:rFonts w:hint="eastAsia" w:ascii="黑体" w:hAnsi="黑体" w:eastAsia="黑体"/>
          <w:color w:val="auto"/>
          <w:sz w:val="44"/>
          <w:szCs w:val="44"/>
          <w:highlight w:val="none"/>
          <w:lang w:eastAsia="zh-CN"/>
        </w:rPr>
      </w:pPr>
    </w:p>
    <w:p>
      <w:pPr>
        <w:numPr>
          <w:ilvl w:val="0"/>
          <w:numId w:val="0"/>
        </w:numPr>
        <w:spacing w:line="600" w:lineRule="exact"/>
        <w:jc w:val="center"/>
        <w:outlineLvl w:val="0"/>
        <w:rPr>
          <w:rFonts w:hint="eastAsia" w:ascii="黑体" w:hAnsi="黑体" w:eastAsia="黑体"/>
          <w:color w:val="auto"/>
          <w:sz w:val="44"/>
          <w:szCs w:val="44"/>
          <w:highlight w:val="none"/>
          <w:lang w:eastAsia="zh-CN"/>
        </w:rPr>
      </w:pPr>
    </w:p>
    <w:p>
      <w:pPr>
        <w:numPr>
          <w:ilvl w:val="0"/>
          <w:numId w:val="0"/>
        </w:numPr>
        <w:spacing w:line="600" w:lineRule="exact"/>
        <w:jc w:val="center"/>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both"/>
        <w:outlineLvl w:val="0"/>
        <w:rPr>
          <w:rFonts w:hint="eastAsia" w:ascii="黑体" w:hAnsi="黑体" w:eastAsia="黑体"/>
          <w:color w:val="auto"/>
          <w:sz w:val="44"/>
          <w:szCs w:val="44"/>
          <w:highlight w:val="none"/>
          <w:lang w:eastAsia="zh-CN"/>
        </w:rPr>
      </w:pPr>
    </w:p>
    <w:p>
      <w:pPr>
        <w:numPr>
          <w:ilvl w:val="0"/>
          <w:numId w:val="0"/>
        </w:numPr>
        <w:spacing w:line="600" w:lineRule="exact"/>
        <w:jc w:val="center"/>
        <w:outlineLvl w:val="0"/>
        <w:rPr>
          <w:rFonts w:hint="eastAsia" w:ascii="黑体" w:hAnsi="黑体" w:eastAsia="黑体"/>
          <w:color w:val="auto"/>
          <w:sz w:val="44"/>
          <w:szCs w:val="44"/>
          <w:highlight w:val="none"/>
          <w:lang w:eastAsia="zh-CN"/>
        </w:rPr>
      </w:pPr>
    </w:p>
    <w:p>
      <w:pPr>
        <w:numPr>
          <w:ilvl w:val="0"/>
          <w:numId w:val="0"/>
        </w:numPr>
        <w:spacing w:line="600" w:lineRule="exact"/>
        <w:jc w:val="center"/>
        <w:outlineLvl w:val="0"/>
        <w:rPr>
          <w:rFonts w:hint="eastAsia" w:ascii="黑体" w:hAnsi="黑体" w:eastAsia="黑体"/>
          <w:color w:val="auto"/>
          <w:sz w:val="44"/>
          <w:szCs w:val="44"/>
          <w:highlight w:val="none"/>
          <w:lang w:eastAsia="zh-CN"/>
        </w:rPr>
      </w:pPr>
    </w:p>
    <w:p>
      <w:pPr>
        <w:numPr>
          <w:ilvl w:val="0"/>
          <w:numId w:val="0"/>
        </w:numPr>
        <w:spacing w:line="600" w:lineRule="exact"/>
        <w:jc w:val="center"/>
        <w:outlineLvl w:val="0"/>
        <w:rPr>
          <w:rStyle w:val="29"/>
          <w:rFonts w:ascii="黑体" w:hAnsi="黑体" w:eastAsia="黑体"/>
          <w:b w:val="0"/>
          <w:color w:val="auto"/>
          <w:highlight w:val="none"/>
        </w:rPr>
      </w:pPr>
      <w:bookmarkStart w:id="90" w:name="_Toc13880"/>
      <w:bookmarkStart w:id="91" w:name="_Toc24751"/>
      <w:bookmarkStart w:id="92" w:name="_Toc2197"/>
      <w:r>
        <w:rPr>
          <w:rFonts w:hint="eastAsia" w:ascii="黑体" w:hAnsi="黑体" w:eastAsia="黑体"/>
          <w:color w:val="auto"/>
          <w:sz w:val="44"/>
          <w:szCs w:val="44"/>
          <w:highlight w:val="none"/>
          <w:lang w:eastAsia="zh-CN"/>
        </w:rPr>
        <w:t>第三部分</w:t>
      </w:r>
      <w:r>
        <w:rPr>
          <w:rFonts w:hint="eastAsia" w:ascii="黑体" w:hAnsi="黑体" w:eastAsia="黑体"/>
          <w:color w:val="auto"/>
          <w:sz w:val="44"/>
          <w:szCs w:val="44"/>
          <w:highlight w:val="none"/>
          <w:lang w:val="en-US" w:eastAsia="zh-CN"/>
        </w:rPr>
        <w:t xml:space="preserve">  </w:t>
      </w:r>
      <w:r>
        <w:rPr>
          <w:rFonts w:hint="eastAsia" w:ascii="黑体" w:hAnsi="黑体" w:eastAsia="黑体"/>
          <w:color w:val="auto"/>
          <w:sz w:val="44"/>
          <w:szCs w:val="44"/>
          <w:highlight w:val="none"/>
        </w:rPr>
        <w:t>名</w:t>
      </w:r>
      <w:r>
        <w:rPr>
          <w:rStyle w:val="29"/>
          <w:rFonts w:hint="eastAsia" w:ascii="黑体" w:hAnsi="黑体" w:eastAsia="黑体"/>
          <w:b w:val="0"/>
          <w:color w:val="auto"/>
          <w:highlight w:val="none"/>
        </w:rPr>
        <w:t>词解释</w:t>
      </w:r>
      <w:bookmarkEnd w:id="90"/>
      <w:bookmarkEnd w:id="91"/>
      <w:bookmarkEnd w:id="92"/>
    </w:p>
    <w:p>
      <w:pPr>
        <w:spacing w:line="600" w:lineRule="exact"/>
        <w:jc w:val="left"/>
        <w:rPr>
          <w:rFonts w:ascii="宋体"/>
          <w:b/>
          <w:color w:val="auto"/>
          <w:sz w:val="44"/>
          <w:szCs w:val="44"/>
          <w:highlight w:val="none"/>
        </w:rPr>
      </w:pPr>
    </w:p>
    <w:p>
      <w:pPr>
        <w:pStyle w:val="27"/>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pPr>
        <w:pStyle w:val="27"/>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一般公共服务（类）…（款）…（项）：指……。</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社会保障和就业（类）…（款）…（项）：指……。</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（类）…（款）…（项）：指……。</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住房保障（类）…（款）…（项）：指……。</w:t>
      </w:r>
    </w:p>
    <w:p>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基本支出：指为保障机构正常运转、完成日常工作任务而发生的人员支出和公用支出。</w:t>
      </w:r>
    </w:p>
    <w:p>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pPr>
        <w:pStyle w:val="27"/>
        <w:spacing w:line="560" w:lineRule="exact"/>
        <w:ind w:firstLine="640" w:firstLineChars="20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val="en-US" w:eastAsia="zh-CN"/>
        </w:rPr>
        <w:t>9</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r>
        <w:rPr>
          <w:rFonts w:hint="eastAsia" w:ascii="Times New Roman" w:hAnsi="Times New Roman" w:eastAsia="仿宋_GB2312" w:cs="仿宋_GB2312"/>
          <w:color w:val="auto"/>
          <w:kern w:val="2"/>
          <w:sz w:val="32"/>
          <w:szCs w:val="32"/>
          <w:highlight w:val="none"/>
          <w:lang w:val="en-US" w:eastAsia="zh-CN" w:bidi="ar-SA"/>
        </w:rPr>
        <w:br w:type="page"/>
      </w:r>
      <w:bookmarkStart w:id="93" w:name="_Toc15396614"/>
    </w:p>
    <w:p>
      <w:pPr>
        <w:pStyle w:val="27"/>
        <w:spacing w:line="560" w:lineRule="exact"/>
        <w:ind w:firstLine="640" w:firstLineChars="200"/>
        <w:jc w:val="both"/>
        <w:rPr>
          <w:rFonts w:hint="eastAsia" w:ascii="Times New Roman" w:hAnsi="Times New Roman" w:eastAsia="仿宋_GB2312" w:cs="仿宋_GB2312"/>
          <w:color w:val="auto"/>
          <w:kern w:val="2"/>
          <w:sz w:val="32"/>
          <w:szCs w:val="32"/>
          <w:highlight w:val="none"/>
          <w:lang w:val="en-US" w:eastAsia="zh-CN" w:bidi="ar-SA"/>
        </w:rPr>
      </w:pPr>
    </w:p>
    <w:p>
      <w:pPr>
        <w:pStyle w:val="27"/>
        <w:spacing w:line="560" w:lineRule="exact"/>
        <w:ind w:firstLine="2640" w:firstLineChars="600"/>
        <w:jc w:val="both"/>
        <w:rPr>
          <w:rStyle w:val="29"/>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93"/>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94" w:name="_Toc4244"/>
      <w:bookmarkStart w:id="95" w:name="_Toc26233"/>
      <w:bookmarkStart w:id="96" w:name="_Toc22882"/>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94"/>
      <w:bookmarkEnd w:id="95"/>
      <w:bookmarkEnd w:id="96"/>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widowControl/>
        <w:adjustRightInd w:val="0"/>
        <w:snapToGrid w:val="0"/>
        <w:spacing w:line="580" w:lineRule="exact"/>
        <w:ind w:firstLine="642" w:firstLineChars="200"/>
        <w:contextualSpacing/>
        <w:jc w:val="left"/>
        <w:rPr>
          <w:rFonts w:hint="eastAsia" w:ascii="仿宋_GB2312" w:hAnsi="楷体_GB2312" w:eastAsia="仿宋_GB2312" w:cs="楷体_GB2312"/>
          <w:kern w:val="2"/>
          <w:sz w:val="32"/>
          <w:szCs w:val="32"/>
          <w:lang w:val="zh-CN" w:eastAsia="zh-CN" w:bidi="ar-SA"/>
        </w:rPr>
      </w:pPr>
      <w:r>
        <w:rPr>
          <w:rFonts w:hint="eastAsia" w:ascii="Times New Roman" w:hAnsi="Times New Roman" w:eastAsia="楷体_GB2312" w:cs="Times New Roman"/>
          <w:b/>
          <w:bCs/>
          <w:color w:val="000000"/>
          <w:kern w:val="0"/>
          <w:sz w:val="32"/>
          <w:szCs w:val="32"/>
          <w:shd w:val="clear" w:color="auto" w:fill="FFFFFF"/>
          <w:lang w:val="zh-CN"/>
        </w:rPr>
        <w:t>（一）机构组成。</w:t>
      </w:r>
      <w:r>
        <w:rPr>
          <w:rFonts w:hint="eastAsia" w:ascii="仿宋_GB2312" w:hAnsi="楷体_GB2312" w:eastAsia="仿宋_GB2312" w:cs="楷体_GB2312"/>
          <w:kern w:val="2"/>
          <w:sz w:val="32"/>
          <w:szCs w:val="32"/>
          <w:lang w:val="en-US" w:eastAsia="zh-CN" w:bidi="ar-SA"/>
        </w:rPr>
        <w:t>本单位属一级预算单位，无下属二级预算单位，其中：事业单位1个，内设机构3个（行政办公室、接待股、事务股）。</w:t>
      </w:r>
    </w:p>
    <w:p>
      <w:pPr>
        <w:widowControl/>
        <w:adjustRightInd w:val="0"/>
        <w:snapToGrid w:val="0"/>
        <w:spacing w:line="580" w:lineRule="exact"/>
        <w:ind w:firstLine="642" w:firstLineChars="200"/>
        <w:contextualSpacing/>
        <w:jc w:val="left"/>
        <w:rPr>
          <w:rFonts w:eastAsia="楷体_GB2312"/>
          <w:b/>
          <w:bCs/>
          <w:color w:val="000000"/>
          <w:kern w:val="0"/>
          <w:szCs w:val="32"/>
          <w:shd w:val="clear" w:color="auto" w:fill="FFFFFF"/>
          <w:lang w:val="zh-CN"/>
        </w:rPr>
      </w:pPr>
      <w:r>
        <w:rPr>
          <w:rFonts w:hint="eastAsia" w:ascii="Times New Roman" w:hAnsi="Times New Roman" w:eastAsia="楷体_GB2312" w:cs="Times New Roman"/>
          <w:b/>
          <w:bCs/>
          <w:color w:val="000000"/>
          <w:kern w:val="0"/>
          <w:sz w:val="32"/>
          <w:szCs w:val="32"/>
          <w:shd w:val="clear" w:color="auto" w:fill="FFFFFF"/>
          <w:lang w:val="zh-CN"/>
        </w:rPr>
        <w:t>（二）机构职能。</w:t>
      </w:r>
      <w:r>
        <w:rPr>
          <w:rFonts w:hint="eastAsia" w:ascii="仿宋_GB2312" w:hAnsi="楷体_GB2312" w:eastAsia="仿宋_GB2312" w:cs="楷体_GB2312"/>
          <w:kern w:val="2"/>
          <w:sz w:val="32"/>
          <w:szCs w:val="32"/>
          <w:lang w:val="en-US" w:eastAsia="zh-CN" w:bidi="ar-SA"/>
        </w:rPr>
        <w:t>茂县公务服务中心负责县委</w:t>
      </w:r>
      <w:r>
        <w:rPr>
          <w:rFonts w:hint="default" w:ascii="仿宋_GB2312" w:hAnsi="楷体_GB2312" w:eastAsia="仿宋_GB2312" w:cs="楷体_GB2312"/>
          <w:kern w:val="2"/>
          <w:sz w:val="32"/>
          <w:szCs w:val="32"/>
          <w:lang w:eastAsia="zh-CN" w:bidi="ar-SA"/>
        </w:rPr>
        <w:t>、</w:t>
      </w:r>
      <w:r>
        <w:rPr>
          <w:rFonts w:hint="eastAsia" w:ascii="仿宋_GB2312" w:hAnsi="楷体_GB2312" w:eastAsia="仿宋_GB2312" w:cs="楷体_GB2312"/>
          <w:kern w:val="2"/>
          <w:sz w:val="32"/>
          <w:szCs w:val="32"/>
          <w:lang w:val="en-US" w:eastAsia="zh-CN" w:bidi="ar-SA"/>
        </w:rPr>
        <w:t>县政府日常接待和行政集中办公区后勤服务管理工作。完成县委、县政府各级各类接待工作；负责集中办公区公共区域的绿化、卫生、水电等物业管理，公用设备、设施的正常运转和维护、维修工作，行政集中办公区的安全保卫和消防工作，县级干部周转房（含县级干部食堂）的日常管理，行政集中办公区公共会议室管理和全县综合型会议的会务服务工作，行政集中办公区车辆和停车场的日常管理。</w:t>
      </w:r>
    </w:p>
    <w:p>
      <w:pPr>
        <w:spacing w:line="600" w:lineRule="exact"/>
        <w:ind w:firstLine="642" w:firstLineChars="200"/>
        <w:rPr>
          <w:szCs w:val="32"/>
        </w:rPr>
      </w:pPr>
      <w:r>
        <w:rPr>
          <w:rFonts w:hint="eastAsia" w:ascii="Times New Roman" w:hAnsi="Times New Roman" w:eastAsia="楷体_GB2312" w:cs="Times New Roman"/>
          <w:b/>
          <w:bCs/>
          <w:color w:val="000000"/>
          <w:kern w:val="0"/>
          <w:sz w:val="32"/>
          <w:szCs w:val="32"/>
          <w:shd w:val="clear" w:color="auto" w:fill="FFFFFF"/>
          <w:lang w:val="zh-CN"/>
        </w:rPr>
        <w:t>（三）人员概况。</w:t>
      </w:r>
      <w:r>
        <w:rPr>
          <w:rFonts w:hint="eastAsia" w:ascii="仿宋_GB2312" w:hAnsi="楷体_GB2312" w:eastAsia="仿宋_GB2312" w:cs="楷体_GB2312"/>
          <w:kern w:val="2"/>
          <w:sz w:val="32"/>
          <w:szCs w:val="32"/>
          <w:lang w:val="en-US" w:eastAsia="zh-CN" w:bidi="ar-SA"/>
        </w:rPr>
        <w:t>截至2025年末，茂县公务服务中心总编制</w:t>
      </w:r>
      <w:r>
        <w:rPr>
          <w:rFonts w:hint="eastAsia" w:ascii="仿宋_GB2312" w:hAnsi="楷体_GB2312" w:cs="楷体_GB2312"/>
          <w:kern w:val="2"/>
          <w:sz w:val="32"/>
          <w:szCs w:val="32"/>
          <w:lang w:val="en-US" w:eastAsia="zh-CN" w:bidi="ar-SA"/>
        </w:rPr>
        <w:t>12</w:t>
      </w:r>
      <w:r>
        <w:rPr>
          <w:rFonts w:hint="eastAsia" w:ascii="仿宋_GB2312" w:hAnsi="楷体_GB2312" w:eastAsia="仿宋_GB2312" w:cs="楷体_GB2312"/>
          <w:kern w:val="2"/>
          <w:sz w:val="32"/>
          <w:szCs w:val="32"/>
          <w:lang w:val="en-US" w:eastAsia="zh-CN" w:bidi="ar-SA"/>
        </w:rPr>
        <w:t>名,其中:事业编制</w:t>
      </w:r>
      <w:r>
        <w:rPr>
          <w:rFonts w:hint="eastAsia" w:ascii="仿宋_GB2312" w:hAnsi="楷体_GB2312" w:cs="楷体_GB2312"/>
          <w:kern w:val="2"/>
          <w:sz w:val="32"/>
          <w:szCs w:val="32"/>
          <w:lang w:val="en-US" w:eastAsia="zh-CN" w:bidi="ar-SA"/>
        </w:rPr>
        <w:t>12</w:t>
      </w:r>
      <w:r>
        <w:rPr>
          <w:rFonts w:hint="eastAsia" w:ascii="仿宋_GB2312" w:hAnsi="楷体_GB2312" w:eastAsia="仿宋_GB2312" w:cs="楷体_GB2312"/>
          <w:kern w:val="2"/>
          <w:sz w:val="32"/>
          <w:szCs w:val="32"/>
          <w:lang w:val="en-US" w:eastAsia="zh-CN" w:bidi="ar-SA"/>
        </w:rPr>
        <w:t>名。在职人员总数</w:t>
      </w:r>
      <w:r>
        <w:rPr>
          <w:rFonts w:hint="eastAsia" w:ascii="仿宋_GB2312" w:hAnsi="楷体_GB2312" w:cs="楷体_GB2312"/>
          <w:kern w:val="2"/>
          <w:sz w:val="32"/>
          <w:szCs w:val="32"/>
          <w:lang w:val="en-US" w:eastAsia="zh-CN" w:bidi="ar-SA"/>
        </w:rPr>
        <w:t>11</w:t>
      </w:r>
      <w:r>
        <w:rPr>
          <w:rFonts w:hint="eastAsia" w:ascii="仿宋_GB2312" w:hAnsi="楷体_GB2312" w:eastAsia="仿宋_GB2312" w:cs="楷体_GB2312"/>
          <w:kern w:val="2"/>
          <w:sz w:val="32"/>
          <w:szCs w:val="32"/>
          <w:lang w:val="en-US" w:eastAsia="zh-CN" w:bidi="ar-SA"/>
        </w:rPr>
        <w:t>名，其中：事业人员</w:t>
      </w:r>
      <w:r>
        <w:rPr>
          <w:rFonts w:hint="eastAsia" w:ascii="仿宋_GB2312" w:hAnsi="楷体_GB2312" w:cs="楷体_GB2312"/>
          <w:kern w:val="2"/>
          <w:sz w:val="32"/>
          <w:szCs w:val="32"/>
          <w:lang w:val="en-US" w:eastAsia="zh-CN" w:bidi="ar-SA"/>
        </w:rPr>
        <w:t>11</w:t>
      </w:r>
      <w:r>
        <w:rPr>
          <w:rFonts w:hint="eastAsia" w:ascii="仿宋_GB2312" w:hAnsi="楷体_GB2312" w:eastAsia="仿宋_GB2312" w:cs="楷体_GB2312"/>
          <w:kern w:val="2"/>
          <w:sz w:val="32"/>
          <w:szCs w:val="32"/>
          <w:lang w:val="en-US" w:eastAsia="zh-CN" w:bidi="ar-SA"/>
        </w:rPr>
        <w:t>名。</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eastAsia="仿宋_GB2312" w:cs="仿宋_GB2312"/>
          <w:color w:val="auto"/>
          <w:kern w:val="2"/>
          <w:sz w:val="32"/>
          <w:szCs w:val="32"/>
          <w:highlight w:val="none"/>
          <w:lang w:val="en-US" w:eastAsia="zh-CN" w:bidi="ar-SA"/>
        </w:rPr>
        <w:t>茂县公务服务中心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年年初预算收入情况、决算报表收入</w:t>
      </w:r>
      <w:r>
        <w:rPr>
          <w:rFonts w:hint="eastAsia" w:eastAsia="仿宋_GB2312" w:cs="Times New Roman"/>
          <w:sz w:val="32"/>
          <w:szCs w:val="32"/>
          <w:lang w:val="en-US" w:eastAsia="zh-CN"/>
        </w:rPr>
        <w:t>887.91万元</w:t>
      </w:r>
      <w:r>
        <w:rPr>
          <w:rFonts w:hint="eastAsia"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lang w:val="zh-CN" w:eastAsia="zh-CN"/>
        </w:rPr>
      </w:pPr>
      <w:r>
        <w:rPr>
          <w:rFonts w:hint="eastAsia" w:eastAsia="仿宋_GB2312" w:cs="仿宋_GB2312"/>
          <w:color w:val="auto"/>
          <w:kern w:val="2"/>
          <w:sz w:val="32"/>
          <w:szCs w:val="32"/>
          <w:highlight w:val="none"/>
          <w:lang w:val="en-US" w:eastAsia="zh-CN" w:bidi="ar-SA"/>
        </w:rPr>
        <w:t>茂县公务服务中心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年年初预算支出情况、决算报表支出</w:t>
      </w:r>
      <w:r>
        <w:rPr>
          <w:rFonts w:hint="eastAsia" w:eastAsia="仿宋_GB2312" w:cs="Times New Roman"/>
          <w:sz w:val="32"/>
          <w:szCs w:val="32"/>
          <w:lang w:val="en-US" w:eastAsia="zh-CN"/>
        </w:rPr>
        <w:t>887.91万元</w:t>
      </w:r>
      <w:r>
        <w:rPr>
          <w:rFonts w:hint="eastAsia" w:ascii="Times New Roman" w:hAnsi="Times New Roman" w:eastAsia="仿宋_GB2312" w:cs="Times New Roman"/>
          <w:sz w:val="32"/>
          <w:szCs w:val="32"/>
          <w:lang w:val="en-US" w:eastAsia="zh-CN"/>
        </w:rPr>
        <w:t>。</w:t>
      </w:r>
    </w:p>
    <w:p>
      <w:pPr>
        <w:widowControl/>
        <w:adjustRightInd w:val="0"/>
        <w:snapToGrid w:val="0"/>
        <w:spacing w:line="578" w:lineRule="exact"/>
        <w:ind w:firstLine="642" w:firstLineChars="200"/>
        <w:contextualSpacing/>
        <w:jc w:val="left"/>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pPr>
        <w:widowControl/>
        <w:adjustRightInd w:val="0"/>
        <w:snapToGrid w:val="0"/>
        <w:spacing w:line="578" w:lineRule="exact"/>
        <w:ind w:firstLine="640" w:firstLineChars="200"/>
        <w:contextualSpacing/>
        <w:jc w:val="left"/>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eastAsia="仿宋_GB2312" w:cs="仿宋_GB2312"/>
          <w:color w:val="auto"/>
          <w:kern w:val="2"/>
          <w:sz w:val="32"/>
          <w:szCs w:val="32"/>
          <w:highlight w:val="none"/>
          <w:lang w:val="en-US" w:eastAsia="zh-CN" w:bidi="ar-SA"/>
        </w:rPr>
        <w:t>茂县公务服务中心</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ascii="Times New Roman" w:hAnsi="Times New Roman" w:eastAsia="仿宋_GB2312" w:cs="仿宋_GB2312"/>
          <w:color w:val="auto"/>
          <w:kern w:val="2"/>
          <w:sz w:val="32"/>
          <w:szCs w:val="32"/>
          <w:highlight w:val="none"/>
          <w:lang w:val="en-US" w:eastAsia="zh-CN" w:bidi="ar-SA"/>
        </w:rPr>
        <w:t>无结转结余情况。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adjustRightInd w:val="0"/>
        <w:snapToGrid w:val="0"/>
        <w:spacing w:line="578" w:lineRule="exact"/>
        <w:ind w:firstLine="642" w:firstLineChars="200"/>
        <w:contextualSpacing/>
        <w:jc w:val="left"/>
        <w:rPr>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1.履职效能。</w:t>
      </w:r>
      <w:bookmarkStart w:id="112" w:name="_GoBack"/>
      <w:bookmarkEnd w:id="112"/>
      <w:r>
        <w:rPr>
          <w:rFonts w:hint="eastAsia" w:ascii="Times New Roman" w:hAnsi="Times New Roman" w:eastAsia="仿宋_GB2312" w:cs="仿宋_GB2312"/>
          <w:color w:val="auto"/>
          <w:kern w:val="2"/>
          <w:sz w:val="32"/>
          <w:szCs w:val="32"/>
          <w:highlight w:val="none"/>
          <w:lang w:val="zh-CN" w:eastAsia="zh-CN" w:bidi="ar-SA"/>
        </w:rPr>
        <w:t>根据县委、县政府工作安排，我中心主要负责后勤保障工作，就我中心主要负责的公务接待、会务服务、机关后勤保障确定在时间范围内保质保量完成各项工作任务，体现茂县后勤保障工作，展现茂县特色。我中心</w:t>
      </w:r>
      <w:r>
        <w:rPr>
          <w:rFonts w:hint="eastAsia" w:ascii="Times New Roman" w:hAnsi="Times New Roman" w:eastAsia="仿宋_GB2312" w:cs="仿宋_GB2312"/>
          <w:color w:val="auto"/>
          <w:kern w:val="2"/>
          <w:sz w:val="32"/>
          <w:szCs w:val="32"/>
          <w:highlight w:val="none"/>
          <w:lang w:val="en-US" w:eastAsia="zh-CN" w:bidi="ar-SA"/>
        </w:rPr>
        <w:t>2025年完成了各项工作任务。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。我中心严格按照中央八项规定，落实好厉行节约的各项政策，在编制预算的时候严格控制好预算编制质量，单位收支做到收支两条线管理，无年终结余。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。制定财务管理制度、财务岗位管理制度，设置财务岗位（会计、出纳），资金使用严格按照法律、法规规范资金使用。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。做到资产登记管理，使用管理，对于资产登记进行专人负责，做到不闲置资产。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。我中心机关食堂通过</w:t>
      </w:r>
      <w:r>
        <w:rPr>
          <w:rFonts w:hint="eastAsia" w:ascii="Times New Roman" w:hAnsi="Times New Roman" w:eastAsia="仿宋_GB2312" w:cs="仿宋_GB2312"/>
          <w:color w:val="auto"/>
          <w:kern w:val="2"/>
          <w:sz w:val="32"/>
          <w:szCs w:val="32"/>
          <w:highlight w:val="none"/>
          <w:lang w:val="en-US" w:eastAsia="zh-CN" w:bidi="ar-SA"/>
        </w:rPr>
        <w:t>832平台采购食材，支持扶贫工作，在有采购项目和需求时优先考虑中小企业。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常年项目绩效分析。该类项目总数</w:t>
      </w: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356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12月预算执行总体进度为</w:t>
      </w:r>
      <w:r>
        <w:rPr>
          <w:rFonts w:hint="eastAsia" w:ascii="Times New Roman" w:hAnsi="Times New Roman" w:eastAsia="仿宋_GB2312" w:cs="仿宋_GB2312"/>
          <w:color w:val="auto"/>
          <w:kern w:val="2"/>
          <w:sz w:val="32"/>
          <w:szCs w:val="32"/>
          <w:highlight w:val="none"/>
          <w:lang w:val="en-US" w:eastAsia="zh-CN" w:bidi="ar-SA"/>
        </w:rPr>
        <w:t>98</w:t>
      </w:r>
      <w:r>
        <w:rPr>
          <w:rFonts w:hint="default" w:ascii="Times New Roman" w:hAnsi="Times New Roman" w:eastAsia="仿宋_GB2312" w:cs="仿宋_GB2312"/>
          <w:color w:val="auto"/>
          <w:kern w:val="2"/>
          <w:sz w:val="32"/>
          <w:szCs w:val="32"/>
          <w:highlight w:val="none"/>
          <w:lang w:val="zh-CN" w:eastAsia="zh-CN" w:bidi="ar-SA"/>
        </w:rPr>
        <w:t>%，其中：预算结余率大于10%的项目共计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阶段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一次性</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项目绩效分析。该类项目总数</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12月预算执行总体进度为</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%，其中：预算结余率大于10%的项目共计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1.项目决策。项目按照工作要求，设置基本目标，做到项目申请的各项程序，登记、入库，对项目进行监测、绩效评价等。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2.项目执行。围绕资金执行同向、项目调整、执行结果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。严格按照项目要求对资金执行情况进行分析及绩效评价，了解资金的支付情况，结合实际和资金支付情况对项目进行调整，目前项目执行情况良好。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3.目标实现。围绕我中心年初工作计划，年中及年末的目标完成情况进行了分析，我中心基本工资完成良好，完成年初设定的目标。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zh-CN"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）重点领域绩效分析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我中心不涉及。</w:t>
      </w:r>
    </w:p>
    <w:p>
      <w:pPr>
        <w:keepNext w:val="0"/>
        <w:keepLines w:val="0"/>
        <w:pageBreakBefore w:val="0"/>
        <w:widowControl w:val="0"/>
        <w:numPr>
          <w:ilvl w:val="0"/>
          <w:numId w:val="1"/>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对我中心项目及整体工作开展进行绩效评价之后，整体工作开展良好，对于事前、事中、事后的项目开展有了基本了解、控制，并将结果运用到全部项目和基本工作开展中。</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黑体" w:hAnsi="黑体" w:eastAsia="黑体" w:cs="黑体"/>
          <w:color w:val="auto"/>
          <w:kern w:val="2"/>
          <w:sz w:val="32"/>
          <w:szCs w:val="32"/>
          <w:highlight w:val="none"/>
          <w:lang w:val="zh-CN" w:eastAsia="zh-CN" w:bidi="ar-SA"/>
        </w:rPr>
      </w:pPr>
      <w:r>
        <w:rPr>
          <w:rFonts w:hint="eastAsia" w:ascii="黑体" w:hAnsi="黑体" w:eastAsia="黑体" w:cs="黑体"/>
          <w:color w:val="auto"/>
          <w:kern w:val="2"/>
          <w:sz w:val="32"/>
          <w:szCs w:val="32"/>
          <w:highlight w:val="none"/>
          <w:lang w:val="zh-CN" w:eastAsia="zh-CN" w:bidi="ar-SA"/>
        </w:rPr>
        <w:t>四、评价结论及建议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（一）评价结论。</w:t>
      </w:r>
      <w:r>
        <w:rPr>
          <w:rFonts w:hint="eastAsia" w:ascii="Times New Roman" w:hAnsi="Times New Roman" w:eastAsia="仿宋_GB2312" w:cs="仿宋_GB2312"/>
          <w:color w:val="auto"/>
          <w:kern w:val="2"/>
          <w:sz w:val="32"/>
          <w:szCs w:val="32"/>
          <w:highlight w:val="none"/>
          <w:lang w:val="zh-CN" w:eastAsia="zh-CN" w:bidi="ar-SA"/>
        </w:rPr>
        <w:t>我单位202</w:t>
      </w:r>
      <w:r>
        <w:rPr>
          <w:rFonts w:hint="eastAsia" w:ascii="Times New Roman" w:hAnsi="Times New Roman"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zh-CN" w:eastAsia="zh-CN" w:bidi="ar-SA"/>
        </w:rPr>
        <w:t>年部门完成情况良好，各项工作有序开展，自评得分</w:t>
      </w:r>
      <w:r>
        <w:rPr>
          <w:rFonts w:hint="eastAsia" w:ascii="Times New Roman" w:hAnsi="Times New Roman" w:eastAsia="仿宋_GB2312" w:cs="仿宋_GB2312"/>
          <w:color w:val="auto"/>
          <w:kern w:val="2"/>
          <w:sz w:val="32"/>
          <w:szCs w:val="32"/>
          <w:highlight w:val="none"/>
          <w:lang w:val="en-US" w:eastAsia="zh-CN" w:bidi="ar-SA"/>
        </w:rPr>
        <w:t>95分。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（二）存在问题。</w:t>
      </w:r>
      <w:r>
        <w:rPr>
          <w:rFonts w:hint="eastAsia" w:ascii="Times New Roman" w:hAnsi="Times New Roman" w:eastAsia="仿宋_GB2312" w:cs="仿宋_GB2312"/>
          <w:color w:val="auto"/>
          <w:kern w:val="2"/>
          <w:sz w:val="32"/>
          <w:szCs w:val="32"/>
          <w:highlight w:val="none"/>
          <w:lang w:val="zh-CN" w:eastAsia="zh-CN" w:bidi="ar-SA"/>
        </w:rPr>
        <w:t>因工作突发及临时性比较多，报账资料比较复杂，报账进度慢。</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97" w:name="_Hlk110546638"/>
      <w:r>
        <w:rPr>
          <w:rFonts w:hint="eastAsia" w:ascii="Times New Roman" w:hAnsi="Times New Roman" w:eastAsia="仿宋_GB2312" w:cs="仿宋_GB2312"/>
          <w:color w:val="auto"/>
          <w:kern w:val="2"/>
          <w:sz w:val="32"/>
          <w:szCs w:val="32"/>
          <w:highlight w:val="none"/>
          <w:lang w:val="zh-CN" w:eastAsia="zh-CN" w:bidi="ar-SA"/>
        </w:rPr>
        <w:t>加强内控管理，积极学习，提供财务工作绩效管理的能力，保证单位资金使用合法合规。</w:t>
      </w:r>
    </w:p>
    <w:bookmarkEnd w:id="97"/>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5"/>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widowControl/>
        <w:jc w:val="center"/>
        <w:rPr>
          <w:rFonts w:hint="eastAsia" w:ascii="Times New Roman" w:hAnsi="Times New Roman" w:eastAsia="仿宋"/>
          <w:b w:val="0"/>
          <w:color w:val="auto"/>
          <w:highlight w:val="none"/>
        </w:rPr>
      </w:pPr>
      <w:bookmarkStart w:id="98" w:name="_Toc15396618"/>
      <w:r>
        <w:rPr>
          <w:rFonts w:hint="eastAsia" w:ascii="Times New Roman" w:hAnsi="Times New Roman" w:eastAsia="黑体"/>
          <w:color w:val="auto"/>
          <w:sz w:val="44"/>
          <w:szCs w:val="44"/>
          <w:highlight w:val="none"/>
        </w:rPr>
        <w:t>第</w:t>
      </w:r>
      <w:r>
        <w:rPr>
          <w:rStyle w:val="29"/>
          <w:rFonts w:hint="eastAsia" w:eastAsia="黑体"/>
          <w:b w:val="0"/>
          <w:color w:val="auto"/>
          <w:highlight w:val="none"/>
          <w:lang w:eastAsia="zh-CN"/>
        </w:rPr>
        <w:t>五</w:t>
      </w:r>
      <w:r>
        <w:rPr>
          <w:rStyle w:val="29"/>
          <w:rFonts w:hint="eastAsia" w:ascii="Times New Roman" w:hAnsi="Times New Roman" w:eastAsia="黑体"/>
          <w:b w:val="0"/>
          <w:color w:val="auto"/>
          <w:highlight w:val="none"/>
        </w:rPr>
        <w:t>部分 附表</w:t>
      </w:r>
      <w:bookmarkEnd w:id="89"/>
      <w:bookmarkEnd w:id="98"/>
      <w:bookmarkStart w:id="99"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0"/>
      <w:r>
        <w:rPr>
          <w:rFonts w:hint="eastAsia" w:ascii="Times New Roman" w:hAnsi="Times New Roman" w:eastAsia="仿宋_GB2312" w:cs="仿宋_GB2312"/>
          <w:color w:val="auto"/>
          <w:sz w:val="32"/>
          <w:szCs w:val="32"/>
          <w:highlight w:val="none"/>
        </w:rPr>
        <w:t>二、收入决算表</w:t>
      </w:r>
      <w:bookmarkEnd w:id="10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1"/>
      <w:r>
        <w:rPr>
          <w:rFonts w:hint="eastAsia" w:ascii="Times New Roman" w:hAnsi="Times New Roman" w:eastAsia="仿宋_GB2312" w:cs="仿宋_GB2312"/>
          <w:color w:val="auto"/>
          <w:sz w:val="32"/>
          <w:szCs w:val="32"/>
          <w:highlight w:val="none"/>
        </w:rPr>
        <w:t>三、支出决算表</w:t>
      </w:r>
      <w:bookmarkEnd w:id="10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22"/>
      <w:r>
        <w:rPr>
          <w:rFonts w:hint="eastAsia" w:ascii="Times New Roman" w:hAnsi="Times New Roman" w:eastAsia="仿宋_GB2312" w:cs="仿宋_GB2312"/>
          <w:color w:val="auto"/>
          <w:sz w:val="32"/>
          <w:szCs w:val="32"/>
          <w:highlight w:val="none"/>
        </w:rPr>
        <w:t>四、财政拨款收入支出决算总表</w:t>
      </w:r>
      <w:bookmarkEnd w:id="10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3"/>
      <w:r>
        <w:rPr>
          <w:rFonts w:hint="eastAsia" w:ascii="Times New Roman" w:hAnsi="Times New Roman" w:eastAsia="仿宋_GB2312" w:cs="仿宋_GB2312"/>
          <w:color w:val="auto"/>
          <w:sz w:val="32"/>
          <w:szCs w:val="32"/>
          <w:highlight w:val="none"/>
        </w:rPr>
        <w:t>五、财政拨款支出决算明细表</w:t>
      </w:r>
      <w:bookmarkEnd w:id="103"/>
      <w:bookmarkStart w:id="104"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0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15396625"/>
      <w:r>
        <w:rPr>
          <w:rFonts w:hint="eastAsia" w:ascii="Times New Roman" w:hAnsi="Times New Roman" w:eastAsia="仿宋_GB2312" w:cs="仿宋_GB2312"/>
          <w:color w:val="auto"/>
          <w:sz w:val="32"/>
          <w:szCs w:val="32"/>
          <w:highlight w:val="none"/>
        </w:rPr>
        <w:t>七、一般公共预算财政拨款支出决算明细表</w:t>
      </w:r>
      <w:bookmarkEnd w:id="10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6" w:name="_Toc15396626"/>
      <w:r>
        <w:rPr>
          <w:rFonts w:hint="eastAsia" w:ascii="Times New Roman" w:hAnsi="Times New Roman" w:eastAsia="仿宋_GB2312" w:cs="仿宋_GB2312"/>
          <w:color w:val="auto"/>
          <w:sz w:val="32"/>
          <w:szCs w:val="32"/>
          <w:highlight w:val="none"/>
        </w:rPr>
        <w:t>八、一般公共预算财政拨款基本支出决算表</w:t>
      </w:r>
      <w:bookmarkEnd w:id="10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15396627"/>
      <w:r>
        <w:rPr>
          <w:rFonts w:hint="eastAsia" w:ascii="Times New Roman" w:hAnsi="Times New Roman" w:eastAsia="仿宋_GB2312" w:cs="仿宋_GB2312"/>
          <w:color w:val="auto"/>
          <w:sz w:val="32"/>
          <w:szCs w:val="32"/>
          <w:highlight w:val="none"/>
        </w:rPr>
        <w:t>九、一般公共预算财政拨款项目支出决算表</w:t>
      </w:r>
      <w:bookmarkEnd w:id="10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8" w:name="_Toc15396628"/>
      <w:r>
        <w:rPr>
          <w:rFonts w:hint="eastAsia" w:ascii="Times New Roman" w:hAnsi="Times New Roman" w:eastAsia="仿宋_GB2312" w:cs="仿宋_GB2312"/>
          <w:color w:val="auto"/>
          <w:sz w:val="32"/>
          <w:szCs w:val="32"/>
          <w:highlight w:val="none"/>
        </w:rPr>
        <w:t>十、</w:t>
      </w:r>
      <w:bookmarkEnd w:id="108"/>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9" w:name="_Toc15396629"/>
      <w:r>
        <w:rPr>
          <w:rFonts w:hint="eastAsia" w:ascii="Times New Roman" w:hAnsi="Times New Roman" w:eastAsia="仿宋_GB2312" w:cs="仿宋_GB2312"/>
          <w:color w:val="auto"/>
          <w:sz w:val="32"/>
          <w:szCs w:val="32"/>
          <w:highlight w:val="none"/>
        </w:rPr>
        <w:t>十一、</w:t>
      </w:r>
      <w:bookmarkEnd w:id="10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0" w:name="_Toc15396630"/>
      <w:r>
        <w:rPr>
          <w:rFonts w:hint="eastAsia" w:ascii="Times New Roman" w:hAnsi="Times New Roman" w:eastAsia="仿宋_GB2312" w:cs="仿宋_GB2312"/>
          <w:color w:val="auto"/>
          <w:sz w:val="32"/>
          <w:szCs w:val="32"/>
          <w:highlight w:val="none"/>
        </w:rPr>
        <w:t>十二、</w:t>
      </w:r>
      <w:bookmarkEnd w:id="110"/>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11" w:name="_Toc15396631"/>
      <w:r>
        <w:rPr>
          <w:rFonts w:hint="eastAsia" w:ascii="Times New Roman" w:hAnsi="Times New Roman" w:eastAsia="仿宋_GB2312" w:cs="仿宋_GB2312"/>
          <w:color w:val="auto"/>
          <w:sz w:val="32"/>
          <w:szCs w:val="32"/>
          <w:highlight w:val="none"/>
        </w:rPr>
        <w:t>十三、</w:t>
      </w:r>
      <w:bookmarkEnd w:id="111"/>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FA926"/>
    <w:multiLevelType w:val="singleLevel"/>
    <w:tmpl w:val="D7FFA92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AF7331"/>
    <w:rsid w:val="02FEBE30"/>
    <w:rsid w:val="061E35DE"/>
    <w:rsid w:val="066E0107"/>
    <w:rsid w:val="07996F6E"/>
    <w:rsid w:val="07DFD8BA"/>
    <w:rsid w:val="08DB07E4"/>
    <w:rsid w:val="09867E8F"/>
    <w:rsid w:val="0A2032A3"/>
    <w:rsid w:val="0C0C0F17"/>
    <w:rsid w:val="0C6C4794"/>
    <w:rsid w:val="0CA8290A"/>
    <w:rsid w:val="0D35B1ED"/>
    <w:rsid w:val="0D9A030D"/>
    <w:rsid w:val="0DE07E2B"/>
    <w:rsid w:val="0F98263C"/>
    <w:rsid w:val="101860EC"/>
    <w:rsid w:val="10797237"/>
    <w:rsid w:val="10C055FF"/>
    <w:rsid w:val="11772AA4"/>
    <w:rsid w:val="118107EC"/>
    <w:rsid w:val="13D50BC4"/>
    <w:rsid w:val="14022904"/>
    <w:rsid w:val="152F2A07"/>
    <w:rsid w:val="165E0673"/>
    <w:rsid w:val="16824D24"/>
    <w:rsid w:val="16BB723D"/>
    <w:rsid w:val="186504BB"/>
    <w:rsid w:val="1938089F"/>
    <w:rsid w:val="19A445FC"/>
    <w:rsid w:val="1B7D550C"/>
    <w:rsid w:val="1BE8440E"/>
    <w:rsid w:val="1CA31E9D"/>
    <w:rsid w:val="1D155CEE"/>
    <w:rsid w:val="1E740ACF"/>
    <w:rsid w:val="1FF35744"/>
    <w:rsid w:val="1FF6BC77"/>
    <w:rsid w:val="21962A9E"/>
    <w:rsid w:val="21AE7C77"/>
    <w:rsid w:val="22BC3C41"/>
    <w:rsid w:val="23860B96"/>
    <w:rsid w:val="240371BF"/>
    <w:rsid w:val="24C96244"/>
    <w:rsid w:val="24DD5F8F"/>
    <w:rsid w:val="260F557C"/>
    <w:rsid w:val="281408E2"/>
    <w:rsid w:val="29C56BF1"/>
    <w:rsid w:val="29FD04D3"/>
    <w:rsid w:val="2BFF7BC6"/>
    <w:rsid w:val="2C8A61B5"/>
    <w:rsid w:val="2D2E01CF"/>
    <w:rsid w:val="2DF04E50"/>
    <w:rsid w:val="2E9545B0"/>
    <w:rsid w:val="2F040D46"/>
    <w:rsid w:val="2F394C9E"/>
    <w:rsid w:val="2FAE5751"/>
    <w:rsid w:val="2FB1A395"/>
    <w:rsid w:val="2FD9A7D8"/>
    <w:rsid w:val="319F7F4E"/>
    <w:rsid w:val="321B2544"/>
    <w:rsid w:val="3304709D"/>
    <w:rsid w:val="34281836"/>
    <w:rsid w:val="349D6851"/>
    <w:rsid w:val="34D44803"/>
    <w:rsid w:val="35BA6CAF"/>
    <w:rsid w:val="364D14C1"/>
    <w:rsid w:val="36AA5135"/>
    <w:rsid w:val="36BE0DA7"/>
    <w:rsid w:val="376B6AA6"/>
    <w:rsid w:val="376D39B2"/>
    <w:rsid w:val="37E16F03"/>
    <w:rsid w:val="37F53A3B"/>
    <w:rsid w:val="389B6C89"/>
    <w:rsid w:val="38D469F0"/>
    <w:rsid w:val="39627CCD"/>
    <w:rsid w:val="397BAF1F"/>
    <w:rsid w:val="3AB79AF3"/>
    <w:rsid w:val="3AEA6C93"/>
    <w:rsid w:val="3AFF635B"/>
    <w:rsid w:val="3B7EF35A"/>
    <w:rsid w:val="3B9FDB6C"/>
    <w:rsid w:val="3BF5BC2F"/>
    <w:rsid w:val="3CCD78C1"/>
    <w:rsid w:val="3CEBA265"/>
    <w:rsid w:val="3D98207C"/>
    <w:rsid w:val="3D9B0D99"/>
    <w:rsid w:val="3DEE7CF3"/>
    <w:rsid w:val="3DF02244"/>
    <w:rsid w:val="3E78745D"/>
    <w:rsid w:val="3F5D679C"/>
    <w:rsid w:val="3FF4CAE0"/>
    <w:rsid w:val="3FF7B227"/>
    <w:rsid w:val="40E54C45"/>
    <w:rsid w:val="43A407DF"/>
    <w:rsid w:val="44515BEA"/>
    <w:rsid w:val="44DF0FA7"/>
    <w:rsid w:val="44E268DA"/>
    <w:rsid w:val="453F7E5B"/>
    <w:rsid w:val="46B12B90"/>
    <w:rsid w:val="486A6C7A"/>
    <w:rsid w:val="49176D9B"/>
    <w:rsid w:val="4A627F82"/>
    <w:rsid w:val="4B0E749A"/>
    <w:rsid w:val="4B4F25DA"/>
    <w:rsid w:val="4BDA0CFB"/>
    <w:rsid w:val="4BE068DB"/>
    <w:rsid w:val="4D3C0CCC"/>
    <w:rsid w:val="4D577224"/>
    <w:rsid w:val="4DBF1CEB"/>
    <w:rsid w:val="4E351776"/>
    <w:rsid w:val="4EAB630A"/>
    <w:rsid w:val="4ECE2238"/>
    <w:rsid w:val="4F833267"/>
    <w:rsid w:val="4FE9BD67"/>
    <w:rsid w:val="4FFB052F"/>
    <w:rsid w:val="5101065B"/>
    <w:rsid w:val="51490002"/>
    <w:rsid w:val="53083A92"/>
    <w:rsid w:val="537E6D0A"/>
    <w:rsid w:val="53AF27A2"/>
    <w:rsid w:val="53F74C96"/>
    <w:rsid w:val="56CA197E"/>
    <w:rsid w:val="56E47B74"/>
    <w:rsid w:val="57BD3DD4"/>
    <w:rsid w:val="58E660B8"/>
    <w:rsid w:val="5AF92295"/>
    <w:rsid w:val="5BDD79E6"/>
    <w:rsid w:val="5BF561CA"/>
    <w:rsid w:val="5BFF5DFC"/>
    <w:rsid w:val="5CD71FC4"/>
    <w:rsid w:val="5D1F11B5"/>
    <w:rsid w:val="5DAE1B18"/>
    <w:rsid w:val="5DE7D9E5"/>
    <w:rsid w:val="5E243DAE"/>
    <w:rsid w:val="5ECEC941"/>
    <w:rsid w:val="5F493CB7"/>
    <w:rsid w:val="5FBF9FF3"/>
    <w:rsid w:val="5FCD4E2C"/>
    <w:rsid w:val="5FD15F49"/>
    <w:rsid w:val="5FEF394A"/>
    <w:rsid w:val="5FF67715"/>
    <w:rsid w:val="62BF3928"/>
    <w:rsid w:val="64244E7C"/>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6935BC"/>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6E713D"/>
    <w:rsid w:val="74BBD01D"/>
    <w:rsid w:val="74ED5379"/>
    <w:rsid w:val="74FC2395"/>
    <w:rsid w:val="75DEEEC2"/>
    <w:rsid w:val="76685F07"/>
    <w:rsid w:val="76E3355F"/>
    <w:rsid w:val="76FF5125"/>
    <w:rsid w:val="776F6FFA"/>
    <w:rsid w:val="778769C8"/>
    <w:rsid w:val="77DC22F5"/>
    <w:rsid w:val="79086DAD"/>
    <w:rsid w:val="79974F09"/>
    <w:rsid w:val="79D7FD79"/>
    <w:rsid w:val="79EE5BA4"/>
    <w:rsid w:val="7A894339"/>
    <w:rsid w:val="7AC3298E"/>
    <w:rsid w:val="7AFF7572"/>
    <w:rsid w:val="7B6C7DFB"/>
    <w:rsid w:val="7BBFBED0"/>
    <w:rsid w:val="7BC3E394"/>
    <w:rsid w:val="7C1F3737"/>
    <w:rsid w:val="7CBFC87B"/>
    <w:rsid w:val="7CFE0F48"/>
    <w:rsid w:val="7D7EC23E"/>
    <w:rsid w:val="7D916348"/>
    <w:rsid w:val="7E581214"/>
    <w:rsid w:val="7E8ADEBF"/>
    <w:rsid w:val="7EEF11D3"/>
    <w:rsid w:val="7EF66136"/>
    <w:rsid w:val="7F0971A6"/>
    <w:rsid w:val="7F314A7F"/>
    <w:rsid w:val="7F3F679B"/>
    <w:rsid w:val="7F4FC4EF"/>
    <w:rsid w:val="7F5E4D54"/>
    <w:rsid w:val="7F6E0135"/>
    <w:rsid w:val="7F7E4119"/>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5DD8F6"/>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Title"/>
    <w:basedOn w:val="1"/>
    <w:qFormat/>
    <w:uiPriority w:val="0"/>
    <w:pPr>
      <w:spacing w:before="240" w:after="60"/>
      <w:jc w:val="center"/>
      <w:outlineLvl w:val="0"/>
    </w:pPr>
    <w:rPr>
      <w:rFonts w:ascii="Arial" w:hAnsi="Arial" w:cs="Arial"/>
      <w:b/>
      <w:bCs/>
      <w:sz w:val="32"/>
      <w:szCs w:val="32"/>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4891</Words>
  <Characters>5392</Characters>
  <Lines>61</Lines>
  <Paragraphs>17</Paragraphs>
  <TotalTime>3</TotalTime>
  <ScaleCrop>false</ScaleCrop>
  <LinksUpToDate>false</LinksUpToDate>
  <CharactersWithSpaces>5455</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2026-08-28T12:00:20Z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97D2D4603F7447F29B244463A6844587_13</vt:lpwstr>
  </property>
  <property fmtid="{D5CDD505-2E9C-101B-9397-08002B2CF9AE}" pid="4" name="KSOTemplateDocerSaveRecord">
    <vt:lpwstr>eyJoZGlkIjoiODFkOGRmNmI4MzllYjhkY2ZlMjliYTJhZDU5NDEwODciLCJ1c2VySWQiOiI0MTAyMTQ1MzQifQ==</vt:lpwstr>
  </property>
</Properties>
</file>