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200774">
      <w:pPr>
        <w:pStyle w:val="5"/>
        <w:jc w:val="both"/>
        <w:rPr>
          <w:rFonts w:hint="eastAsia" w:ascii="方正小标宋简体" w:hAnsi="宋体" w:eastAsia="方正小标宋简体" w:cs="Times New Roman"/>
          <w:color w:val="auto"/>
          <w:kern w:val="2"/>
          <w:sz w:val="44"/>
          <w:szCs w:val="44"/>
          <w:highlight w:val="none"/>
          <w:lang w:val="en-US" w:eastAsia="zh-CN" w:bidi="ar-SA"/>
        </w:rPr>
      </w:pPr>
    </w:p>
    <w:p w14:paraId="4EB25356">
      <w:pPr>
        <w:pStyle w:val="5"/>
        <w:jc w:val="both"/>
        <w:rPr>
          <w:rFonts w:hint="eastAsia" w:ascii="方正小标宋简体" w:hAnsi="宋体" w:eastAsia="方正小标宋简体" w:cs="Times New Roman"/>
          <w:color w:val="auto"/>
          <w:kern w:val="2"/>
          <w:sz w:val="44"/>
          <w:szCs w:val="44"/>
          <w:highlight w:val="none"/>
          <w:lang w:val="en-US" w:eastAsia="zh-CN" w:bidi="ar-SA"/>
        </w:rPr>
      </w:pPr>
    </w:p>
    <w:p w14:paraId="15226D2A">
      <w:pPr>
        <w:keepNext w:val="0"/>
        <w:keepLines w:val="0"/>
        <w:pageBreakBefore w:val="0"/>
        <w:widowControl w:val="0"/>
        <w:suppressAutoHyphens/>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2025年度</w:t>
      </w:r>
    </w:p>
    <w:p w14:paraId="42EBB762">
      <w:pPr>
        <w:keepNext w:val="0"/>
        <w:keepLines w:val="0"/>
        <w:pageBreakBefore w:val="0"/>
        <w:widowControl w:val="0"/>
        <w:suppressAutoHyphens/>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pPr>
      <w:r>
        <w:rPr>
          <w:rFonts w:hint="eastAsia" w:ascii="方正小标宋简体" w:hAnsi="宋体" w:eastAsia="方正小标宋简体" w:cs="Times New Roman"/>
          <w:color w:val="auto"/>
          <w:kern w:val="2"/>
          <w:sz w:val="44"/>
          <w:szCs w:val="44"/>
          <w:highlight w:val="none"/>
          <w:lang w:val="en-US" w:eastAsia="zh-CN" w:bidi="ar-SA"/>
        </w:rPr>
        <w:t>四川省阿坝州</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茂县凤仪镇便民服务中心</w:t>
      </w:r>
    </w:p>
    <w:p w14:paraId="6D8F013E">
      <w:pPr>
        <w:keepNext w:val="0"/>
        <w:keepLines w:val="0"/>
        <w:pageBreakBefore w:val="0"/>
        <w:widowControl w:val="0"/>
        <w:suppressAutoHyphens/>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（事业）单位决算</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object>
          <v:shape id="_x0000_i1025" o:spt="75" type="#_x0000_t75" style="height:0.05pt;width:0.05pt;" o:ole="t" filled="f" stroked="f" coordsize="21600,21600">
            <v:path/>
            <v:fill on="f" focussize="0,0"/>
            <v:stroke on="f"/>
            <v:imagedata o:title=""/>
            <o:lock v:ext="edit" aspectratio="t"/>
            <w10:wrap type="none"/>
            <w10:anchorlock/>
          </v:shape>
          <o:OLEObject Type="Embed" ProgID="Excel.Chart.8" ShapeID="_x0000_i1025" DrawAspect="Content" ObjectID="_1468075725" r:id="rId5">
            <o:LockedField>false</o:LockedField>
          </o:OLEObject>
        </w:object>
      </w:r>
    </w:p>
    <w:p w14:paraId="5C1F60A4">
      <w:pPr>
        <w:widowControl/>
        <w:jc w:val="center"/>
        <w:rPr>
          <w:rFonts w:ascii="黑体" w:hAnsi="黑体" w:eastAsia="黑体" w:cs="Times New Roman"/>
          <w:color w:val="auto"/>
          <w:sz w:val="28"/>
          <w:szCs w:val="2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14:paraId="4C25D24D">
      <w:pPr>
        <w:pStyle w:val="10"/>
        <w:rPr>
          <w:color w:val="auto"/>
          <w:highlight w:val="none"/>
        </w:rPr>
      </w:pPr>
      <w:r>
        <w:rPr>
          <w:rFonts w:hint="eastAsia"/>
          <w:color w:val="auto"/>
          <w:highlight w:val="none"/>
        </w:rPr>
        <w:t>公开时间：</w:t>
      </w:r>
      <w:r>
        <w:rPr>
          <w:rFonts w:hint="eastAsia"/>
          <w:color w:val="auto"/>
          <w:highlight w:val="none"/>
          <w:lang w:eastAsia="zh-CN"/>
        </w:rPr>
        <w:t>202</w:t>
      </w:r>
      <w:r>
        <w:rPr>
          <w:rFonts w:hint="eastAsia"/>
          <w:color w:val="auto"/>
          <w:highlight w:val="none"/>
          <w:lang w:val="en-US" w:eastAsia="zh-CN"/>
        </w:rPr>
        <w:t>6</w:t>
      </w:r>
      <w:r>
        <w:rPr>
          <w:rFonts w:hint="eastAsia"/>
          <w:color w:val="auto"/>
          <w:highlight w:val="none"/>
          <w:lang w:eastAsia="zh-CN"/>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4</w:t>
      </w:r>
      <w:r>
        <w:rPr>
          <w:rFonts w:hint="eastAsia"/>
          <w:color w:val="auto"/>
          <w:highlight w:val="none"/>
        </w:rPr>
        <w:t>日</w:t>
      </w:r>
    </w:p>
    <w:p w14:paraId="7CF8BDDD">
      <w:pPr>
        <w:pStyle w:val="10"/>
        <w:tabs>
          <w:tab w:val="right" w:leader="dot" w:pos="8306"/>
          <w:tab w:val="clear" w:pos="8296"/>
        </w:tabs>
        <w:rPr>
          <w:rFonts w:hint="eastAsia" w:ascii="仿宋_GB2312" w:hAnsi="仿宋_GB2312" w:eastAsia="仿宋_GB2312" w:cs="仿宋_GB2312"/>
          <w:sz w:val="32"/>
          <w:szCs w:val="32"/>
        </w:rPr>
      </w:pPr>
      <w:r>
        <w:fldChar w:fldCharType="begin"/>
      </w:r>
      <w:r>
        <w:instrText xml:space="preserve">TOC \o "1-2" \h \u </w:instrText>
      </w:r>
      <w: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_Toc24435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 xml:space="preserve">第一部分 </w:t>
      </w:r>
      <w:r>
        <w:rPr>
          <w:rFonts w:hint="eastAsia" w:ascii="仿宋_GB2312" w:hAnsi="仿宋_GB2312" w:eastAsia="仿宋_GB2312" w:cs="仿宋_GB2312"/>
          <w:sz w:val="32"/>
          <w:szCs w:val="32"/>
          <w:highlight w:val="none"/>
          <w:lang w:eastAsia="zh-CN"/>
        </w:rPr>
        <w:t>单位</w:t>
      </w:r>
      <w:r>
        <w:rPr>
          <w:rFonts w:hint="eastAsia" w:ascii="仿宋_GB2312" w:hAnsi="仿宋_GB2312" w:eastAsia="仿宋_GB2312" w:cs="仿宋_GB2312"/>
          <w:bCs w:val="0"/>
          <w:sz w:val="32"/>
          <w:szCs w:val="32"/>
          <w:highlight w:val="none"/>
        </w:rPr>
        <w:t>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_Toc24435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ECE6719">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_Toc3768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val="0"/>
          <w:sz w:val="32"/>
          <w:szCs w:val="32"/>
          <w:lang w:eastAsia="zh-CN"/>
        </w:rPr>
        <w:t>一、</w:t>
      </w:r>
      <w:r>
        <w:rPr>
          <w:rFonts w:hint="eastAsia" w:ascii="仿宋_GB2312" w:hAnsi="仿宋_GB2312" w:eastAsia="仿宋_GB2312" w:cs="仿宋_GB2312"/>
          <w:bCs w:val="0"/>
          <w:sz w:val="32"/>
          <w:szCs w:val="32"/>
          <w:highlight w:val="none"/>
          <w:lang w:eastAsia="zh-CN"/>
        </w:rPr>
        <w:t>主要职责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40433214">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_Toc17802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val="en-US" w:eastAsia="zh-CN"/>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fldChar w:fldCharType="end"/>
      </w:r>
    </w:p>
    <w:p w14:paraId="233DE786">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_Toc21985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bCs/>
          <w:sz w:val="32"/>
          <w:szCs w:val="32"/>
          <w:highlight w:val="none"/>
        </w:rPr>
        <w:t xml:space="preserve">第二部分 </w:t>
      </w:r>
      <w:r>
        <w:rPr>
          <w:rFonts w:hint="eastAsia" w:ascii="仿宋_GB2312" w:hAnsi="仿宋_GB2312" w:eastAsia="仿宋_GB2312" w:cs="仿宋_GB2312"/>
          <w:bCs/>
          <w:sz w:val="32"/>
          <w:szCs w:val="32"/>
          <w:highlight w:val="none"/>
          <w:lang w:val="en-US" w:eastAsia="zh-CN"/>
        </w:rPr>
        <w:t>2025年度</w:t>
      </w:r>
      <w:r>
        <w:rPr>
          <w:rFonts w:hint="eastAsia" w:ascii="仿宋_GB2312" w:hAnsi="仿宋_GB2312" w:eastAsia="仿宋_GB2312" w:cs="仿宋_GB2312"/>
          <w:bCs/>
          <w:sz w:val="32"/>
          <w:szCs w:val="32"/>
          <w:highlight w:val="none"/>
          <w:lang w:eastAsia="zh-CN"/>
        </w:rPr>
        <w:t>单位</w:t>
      </w:r>
      <w:r>
        <w:rPr>
          <w:rFonts w:hint="eastAsia" w:ascii="仿宋_GB2312" w:hAnsi="仿宋_GB2312" w:eastAsia="仿宋_GB2312" w:cs="仿宋_GB2312"/>
          <w:bCs/>
          <w:sz w:val="32"/>
          <w:szCs w:val="32"/>
          <w:highlight w:val="none"/>
        </w:rPr>
        <w:t>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_Toc21985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202CDE6">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_Toc15972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_Toc15972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67CE43A">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_Toc20596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二、</w:t>
      </w:r>
      <w:r>
        <w:rPr>
          <w:rFonts w:hint="eastAsia" w:ascii="仿宋_GB2312" w:hAnsi="仿宋_GB2312" w:eastAsia="仿宋_GB2312" w:cs="仿宋_GB2312"/>
          <w:sz w:val="32"/>
          <w:szCs w:val="32"/>
          <w:highlight w:val="none"/>
        </w:rPr>
        <w:t>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_Toc20596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54D40BB">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_Toc3664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三、</w:t>
      </w:r>
      <w:r>
        <w:rPr>
          <w:rFonts w:hint="eastAsia" w:ascii="仿宋_GB2312" w:hAnsi="仿宋_GB2312" w:eastAsia="仿宋_GB2312" w:cs="仿宋_GB2312"/>
          <w:sz w:val="32"/>
          <w:szCs w:val="32"/>
          <w:highlight w:val="none"/>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_Toc3664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D5631FB">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_Toc21356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_Toc21356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A6C911F">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_Toc28664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_Toc28664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DB0623">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_Toc6041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_Toc6041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841E452">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_Toc13913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10</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CBEB7EC">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_Toc12515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_Toc12515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35337A2">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_Toc13784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九、</w:t>
      </w:r>
      <w:r>
        <w:rPr>
          <w:rFonts w:hint="eastAsia" w:ascii="仿宋_GB2312" w:hAnsi="仿宋_GB2312" w:eastAsia="仿宋_GB2312" w:cs="仿宋_GB2312"/>
          <w:sz w:val="32"/>
          <w:szCs w:val="32"/>
          <w:highlight w:val="none"/>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_Toc13784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CEED7CE">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_Toc7790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十、</w:t>
      </w:r>
      <w:r>
        <w:rPr>
          <w:rFonts w:hint="eastAsia" w:ascii="仿宋_GB2312" w:hAnsi="仿宋_GB2312" w:eastAsia="仿宋_GB2312" w:cs="仿宋_GB2312"/>
          <w:sz w:val="32"/>
          <w:szCs w:val="32"/>
          <w:highlight w:val="none"/>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_Toc7790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4F8CFC4">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_Toc16061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lang w:eastAsia="zh-CN"/>
        </w:rPr>
        <w:t>第三部分</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_Toc16061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1E14C3C">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_Toc20047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第四部分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_Toc20047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40C8692">
      <w:pPr>
        <w:pStyle w:val="10"/>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_Toc25537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_Toc25537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6175202">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_Toc31582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_Toc31582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719741D">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_Toc9177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_Toc9177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94CC6E0">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_Toc23392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_Toc23392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2B6B594">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_Toc25879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_Toc25879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BD43517">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_Toc11648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_Toc11648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F64EAA8">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7A1CF15">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_Toc11743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_Toc11743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5EFCC45">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_Toc30084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八、一般公共预算财政拨款基本支出决算表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_Toc30084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DAD209A">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_Toc9909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_Toc9909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6E8AC03">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_Toc20079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_Toc20079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147DAB4D">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_Toc27213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十一、国有资本经营预算</w:t>
      </w:r>
      <w:r>
        <w:rPr>
          <w:rFonts w:hint="eastAsia" w:ascii="仿宋_GB2312" w:hAnsi="仿宋_GB2312" w:eastAsia="仿宋_GB2312" w:cs="仿宋_GB2312"/>
          <w:sz w:val="32"/>
          <w:szCs w:val="32"/>
          <w:lang w:eastAsia="zh-CN"/>
        </w:rPr>
        <w:t>财政拨款收入</w:t>
      </w:r>
      <w:r>
        <w:rPr>
          <w:rFonts w:hint="eastAsia" w:ascii="仿宋_GB2312" w:hAnsi="仿宋_GB2312" w:eastAsia="仿宋_GB2312" w:cs="仿宋_GB2312"/>
          <w:sz w:val="32"/>
          <w:szCs w:val="32"/>
        </w:rPr>
        <w:t>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_Toc27213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48620F">
      <w:pPr>
        <w:pStyle w:val="11"/>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_Toc20162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十二、</w:t>
      </w:r>
      <w:r>
        <w:rPr>
          <w:rFonts w:hint="eastAsia" w:ascii="仿宋_GB2312" w:hAnsi="仿宋_GB2312" w:eastAsia="仿宋_GB2312" w:cs="仿宋_GB2312"/>
          <w:sz w:val="32"/>
          <w:szCs w:val="32"/>
          <w:lang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_Toc20162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376ED6D">
      <w:pPr>
        <w:pStyle w:val="11"/>
        <w:tabs>
          <w:tab w:val="right" w:leader="dot" w:pos="8306"/>
          <w:tab w:val="clear" w:pos="8296"/>
        </w:tabs>
        <w:rPr>
          <w:rFonts w:eastAsia="宋体" w:cs="Times New Roma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_Toc26020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十三、</w:t>
      </w:r>
      <w:r>
        <w:rPr>
          <w:rFonts w:hint="eastAsia" w:ascii="仿宋_GB2312" w:hAnsi="仿宋_GB2312" w:eastAsia="仿宋_GB2312" w:cs="仿宋_GB2312"/>
          <w:sz w:val="32"/>
          <w:szCs w:val="32"/>
          <w:lang w:eastAsia="zh-CN"/>
        </w:rPr>
        <w:t>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_Toc26020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5F0B25B">
      <w:r>
        <w:fldChar w:fldCharType="end"/>
      </w:r>
    </w:p>
    <w:p w14:paraId="2E74B238"/>
    <w:p w14:paraId="7385872D">
      <w:pPr>
        <w:widowControl/>
        <w:spacing w:line="440" w:lineRule="exact"/>
        <w:jc w:val="left"/>
        <w:rPr>
          <w:rFonts w:ascii="仿宋" w:hAnsi="仿宋" w:eastAsia="仿宋"/>
          <w:bCs/>
          <w:color w:val="auto"/>
          <w:kern w:val="44"/>
          <w:sz w:val="24"/>
          <w:highlight w:val="none"/>
        </w:rPr>
      </w:pPr>
    </w:p>
    <w:p w14:paraId="50532155">
      <w:pPr>
        <w:pStyle w:val="3"/>
        <w:jc w:val="both"/>
        <w:rPr>
          <w:rFonts w:hint="eastAsia" w:ascii="黑体" w:hAnsi="黑体" w:eastAsia="黑体"/>
          <w:b w:val="0"/>
          <w:color w:val="auto"/>
          <w:highlight w:val="none"/>
        </w:rPr>
      </w:pPr>
      <w:bookmarkStart w:id="0" w:name="_Toc24435"/>
    </w:p>
    <w:p w14:paraId="394289BD">
      <w:pPr>
        <w:pStyle w:val="3"/>
        <w:jc w:val="both"/>
        <w:rPr>
          <w:rFonts w:hint="eastAsia" w:ascii="黑体" w:hAnsi="黑体" w:eastAsia="黑体"/>
          <w:b w:val="0"/>
          <w:color w:val="auto"/>
          <w:highlight w:val="none"/>
        </w:rPr>
      </w:pPr>
    </w:p>
    <w:p w14:paraId="565C0BC5">
      <w:pPr>
        <w:pStyle w:val="2"/>
        <w:rPr>
          <w:rFonts w:hint="eastAsia"/>
        </w:rPr>
      </w:pPr>
    </w:p>
    <w:p w14:paraId="5B0E2ACD">
      <w:pPr>
        <w:pStyle w:val="2"/>
        <w:rPr>
          <w:rFonts w:hint="eastAsia"/>
        </w:rPr>
      </w:pPr>
    </w:p>
    <w:p w14:paraId="18782324">
      <w:pPr>
        <w:rPr>
          <w:rFonts w:hint="eastAsia"/>
        </w:rPr>
      </w:pPr>
    </w:p>
    <w:p w14:paraId="7804B999">
      <w:pPr>
        <w:pStyle w:val="3"/>
        <w:jc w:val="center"/>
        <w:rPr>
          <w:rStyle w:val="16"/>
          <w:rFonts w:ascii="黑体" w:hAnsi="黑体" w:eastAsia="黑体"/>
          <w:b/>
          <w:bCs w:val="0"/>
          <w:color w:val="auto"/>
          <w:highlight w:val="none"/>
        </w:rPr>
      </w:pPr>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16"/>
          <w:rFonts w:hint="eastAsia" w:ascii="黑体" w:hAnsi="黑体" w:eastAsia="黑体"/>
          <w:b w:val="0"/>
          <w:bCs w:val="0"/>
          <w:color w:val="auto"/>
          <w:highlight w:val="none"/>
        </w:rPr>
        <w:t>概况</w:t>
      </w:r>
      <w:bookmarkEnd w:id="0"/>
    </w:p>
    <w:p w14:paraId="54BC4B6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黑体" w:hAnsi="黑体" w:eastAsia="黑体" w:cs="黑体"/>
          <w:sz w:val="32"/>
          <w:szCs w:val="32"/>
          <w:highlight w:val="none"/>
          <w:lang w:val="en-US" w:eastAsia="zh-CN"/>
        </w:rPr>
      </w:pPr>
      <w:bookmarkStart w:id="1" w:name="_Toc15377197"/>
      <w:bookmarkStart w:id="2" w:name="_Toc15396600"/>
      <w:bookmarkStart w:id="3" w:name="_Toc9418"/>
      <w:bookmarkStart w:id="4" w:name="_Toc18018"/>
      <w:bookmarkStart w:id="5" w:name="_Toc3029"/>
      <w:r>
        <w:rPr>
          <w:rFonts w:hint="eastAsia" w:ascii="黑体" w:hAnsi="黑体" w:eastAsia="黑体" w:cs="黑体"/>
          <w:sz w:val="32"/>
          <w:szCs w:val="32"/>
          <w:highlight w:val="none"/>
        </w:rPr>
        <w:t>一、</w:t>
      </w:r>
      <w:bookmarkEnd w:id="1"/>
      <w:bookmarkEnd w:id="2"/>
      <w:bookmarkEnd w:id="3"/>
      <w:bookmarkEnd w:id="4"/>
      <w:bookmarkEnd w:id="5"/>
      <w:bookmarkStart w:id="6" w:name="_Toc15378445"/>
      <w:bookmarkStart w:id="7" w:name="_Toc15377198"/>
      <w:r>
        <w:rPr>
          <w:rFonts w:hint="eastAsia" w:ascii="黑体" w:hAnsi="黑体" w:eastAsia="黑体" w:cs="黑体"/>
          <w:sz w:val="32"/>
          <w:szCs w:val="32"/>
          <w:highlight w:val="none"/>
          <w:lang w:val="en-US" w:eastAsia="zh-CN"/>
        </w:rPr>
        <w:t>主要职责</w:t>
      </w:r>
      <w:bookmarkEnd w:id="6"/>
      <w:bookmarkEnd w:id="7"/>
    </w:p>
    <w:p w14:paraId="1296C45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w:t>
      </w:r>
      <w:r>
        <w:rPr>
          <w:rFonts w:hint="eastAsia" w:ascii="仿宋" w:hAnsi="仿宋" w:eastAsia="仿宋" w:cs="仿宋"/>
          <w:sz w:val="32"/>
          <w:szCs w:val="32"/>
          <w:highlight w:val="none"/>
        </w:rPr>
        <w:t>贯彻执行党和国家的路线方针政策和上级党委、政府各项决策部署，以及本级党员代表大会（党员大会）、人民代表大会的决议决定。</w:t>
      </w:r>
    </w:p>
    <w:p w14:paraId="3D0AE4D6">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讨论和决定本镇经济建设、政治建设、文化建设、社会建设、生态文明建设和党的建设以及乡村振兴中的重大问题。需由镇政权机关或者集体经济组织决定的重要事项，经镇</w:t>
      </w:r>
      <w:r>
        <w:rPr>
          <w:rFonts w:hint="eastAsia" w:ascii="仿宋" w:hAnsi="仿宋" w:eastAsia="仿宋" w:cs="仿宋"/>
          <w:sz w:val="32"/>
          <w:szCs w:val="32"/>
          <w:highlight w:val="none"/>
          <w:lang w:val="en-US" w:eastAsia="zh-CN"/>
        </w:rPr>
        <w:t>党委研究讨论后，由镇政权机关或者集体经济组织依照法律和</w:t>
      </w:r>
      <w:r>
        <w:rPr>
          <w:rFonts w:hint="eastAsia" w:ascii="仿宋" w:hAnsi="仿宋" w:eastAsia="仿宋" w:cs="仿宋"/>
          <w:sz w:val="32"/>
          <w:szCs w:val="32"/>
          <w:highlight w:val="none"/>
        </w:rPr>
        <w:t>有关规定作出决定。</w:t>
      </w:r>
    </w:p>
    <w:p w14:paraId="00404C0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领导镇政权机关、群团组织和其他各类组织，加强指导和规范，支持和保证这些机关和组织依照国家法律法规以及各自章程履行职责。</w:t>
      </w:r>
    </w:p>
    <w:p w14:paraId="3A34AF7E">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加强党的建设。坚持全面从严治党，落实管党治党主体责任，全面加强党的政治建设、思想建设、组织建设、作风建设、纪律建设、制度建设等工作。不断强化自身建设和村（社区）党组织建设，以及其他隶属凤仪镇党委的党组织建设，抓好发展党员工作，加强党员队伍建设。维护和执行党的纪律，监督党员干部和其他工作人员严格遵守国家法律法规。</w:t>
      </w:r>
    </w:p>
    <w:p w14:paraId="57C280C5">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rPr>
        <w:t>按照干部管理权限，负责对干部的教育、培训、选拔、考核和监督工作。协助管理上级有关部门驻镇单位的干部。做好人才服务和引进工作。</w:t>
      </w:r>
    </w:p>
    <w:p w14:paraId="55D0E9D1">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4641ED8B">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强化基层治理。负责本辖区社会治理，加强社会主义民主法治建设和精神文明建设，加快推进基层社会治理体系</w:t>
      </w:r>
      <w:r>
        <w:rPr>
          <w:rFonts w:hint="eastAsia" w:ascii="仿宋" w:hAnsi="仿宋" w:eastAsia="仿宋" w:cs="仿宋"/>
          <w:sz w:val="32"/>
          <w:szCs w:val="32"/>
          <w:highlight w:val="none"/>
          <w:lang w:val="en-US" w:eastAsia="zh-CN"/>
        </w:rPr>
        <w:t>和治理能力现代化；指导村（社区）委会建设，健全自治平</w:t>
      </w:r>
      <w:r>
        <w:rPr>
          <w:rFonts w:hint="eastAsia" w:ascii="仿宋" w:hAnsi="仿宋" w:eastAsia="仿宋" w:cs="仿宋"/>
          <w:sz w:val="32"/>
          <w:szCs w:val="32"/>
          <w:highlight w:val="none"/>
        </w:rPr>
        <w:t>台，组织群众和单位参与村（社区）委会建设和管理。</w:t>
      </w:r>
    </w:p>
    <w:p w14:paraId="52AEE74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优化公共服务。推进服务型政府建设，组织实施并优化教育、卫生健康、文化、民政、社会保障、退役军人事务等各项公共服务。</w:t>
      </w:r>
    </w:p>
    <w:p w14:paraId="1BA16ED4">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9.</w:t>
      </w:r>
      <w:r>
        <w:rPr>
          <w:rFonts w:hint="eastAsia" w:ascii="仿宋" w:hAnsi="仿宋" w:eastAsia="仿宋" w:cs="仿宋"/>
          <w:sz w:val="32"/>
          <w:szCs w:val="32"/>
          <w:highlight w:val="none"/>
        </w:rPr>
        <w:t>负责辖区范围内的应急管理、社会稳定、安全生产、生态环境保护、社会信用体系建设和审批服务便民化等工作。</w:t>
      </w:r>
    </w:p>
    <w:p w14:paraId="7B9990D3">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10.</w:t>
      </w:r>
      <w:r>
        <w:rPr>
          <w:rFonts w:hint="eastAsia" w:ascii="仿宋" w:hAnsi="仿宋" w:eastAsia="仿宋" w:cs="仿宋"/>
          <w:sz w:val="32"/>
          <w:szCs w:val="32"/>
          <w:highlight w:val="none"/>
        </w:rPr>
        <w:t>负责辖区内农村经营管理体系建设工作。</w:t>
      </w:r>
    </w:p>
    <w:p w14:paraId="015F67CC">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11.</w:t>
      </w:r>
      <w:r>
        <w:rPr>
          <w:rFonts w:hint="eastAsia" w:ascii="仿宋" w:hAnsi="仿宋" w:eastAsia="仿宋" w:cs="仿宋"/>
          <w:sz w:val="32"/>
          <w:szCs w:val="32"/>
          <w:highlight w:val="none"/>
        </w:rPr>
        <w:t>完成县委、县政府交办的其他任务。</w:t>
      </w:r>
      <w:bookmarkStart w:id="8" w:name="_Toc6117"/>
      <w:bookmarkStart w:id="9" w:name="_Toc15377200"/>
      <w:bookmarkStart w:id="10" w:name="_Toc21816"/>
      <w:bookmarkStart w:id="11" w:name="_Toc30390"/>
      <w:bookmarkStart w:id="12" w:name="_Toc15396601"/>
    </w:p>
    <w:p w14:paraId="0722A558">
      <w:pPr>
        <w:pStyle w:val="1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二、机构设置</w:t>
      </w:r>
      <w:bookmarkEnd w:id="8"/>
      <w:bookmarkEnd w:id="9"/>
      <w:bookmarkEnd w:id="10"/>
      <w:bookmarkEnd w:id="11"/>
      <w:bookmarkEnd w:id="12"/>
    </w:p>
    <w:p w14:paraId="782CDE1E">
      <w:pPr>
        <w:pStyle w:val="1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74" w:lineRule="exact"/>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茂县凤仪镇便民服务中心</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事业</w:t>
      </w:r>
      <w:r>
        <w:rPr>
          <w:rFonts w:hint="eastAsia" w:ascii="仿宋" w:hAnsi="仿宋" w:eastAsia="仿宋" w:cs="仿宋"/>
          <w:sz w:val="32"/>
          <w:szCs w:val="32"/>
          <w:highlight w:val="none"/>
          <w:lang w:eastAsia="zh-CN"/>
        </w:rPr>
        <w:t>）是茂县凤仪镇人民政府</w:t>
      </w:r>
      <w:r>
        <w:rPr>
          <w:rFonts w:hint="eastAsia" w:ascii="仿宋" w:hAnsi="仿宋" w:eastAsia="仿宋" w:cs="仿宋"/>
          <w:sz w:val="32"/>
          <w:szCs w:val="32"/>
          <w:highlight w:val="none"/>
        </w:rPr>
        <w:t>下属二级预算单位，茂县凤仪镇便民服务中心（事业）无下设机构。</w:t>
      </w:r>
    </w:p>
    <w:p w14:paraId="2DDD8D0D">
      <w:pPr>
        <w:widowControl/>
        <w:jc w:val="left"/>
        <w:rPr>
          <w:rFonts w:ascii="仿宋" w:hAnsi="仿宋" w:eastAsia="仿宋"/>
          <w:color w:val="auto"/>
          <w:kern w:val="0"/>
          <w:sz w:val="32"/>
          <w:szCs w:val="32"/>
          <w:highlight w:val="none"/>
        </w:rPr>
      </w:pPr>
    </w:p>
    <w:p w14:paraId="6393AFD7">
      <w:pPr>
        <w:pStyle w:val="3"/>
        <w:ind w:right="440"/>
        <w:jc w:val="center"/>
        <w:rPr>
          <w:color w:val="auto"/>
          <w:highlight w:val="none"/>
        </w:rPr>
      </w:pPr>
      <w:bookmarkStart w:id="13" w:name="_Toc21985"/>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2025年度</w:t>
      </w:r>
      <w:r>
        <w:rPr>
          <w:rStyle w:val="16"/>
          <w:rFonts w:hint="eastAsia" w:ascii="黑体" w:hAnsi="黑体" w:eastAsia="黑体"/>
          <w:b w:val="0"/>
          <w:bCs/>
          <w:color w:val="auto"/>
          <w:highlight w:val="none"/>
          <w:lang w:eastAsia="zh-CN"/>
        </w:rPr>
        <w:t>单位</w:t>
      </w:r>
      <w:r>
        <w:rPr>
          <w:rStyle w:val="16"/>
          <w:rFonts w:hint="eastAsia" w:ascii="黑体" w:hAnsi="黑体" w:eastAsia="黑体"/>
          <w:b w:val="0"/>
          <w:bCs/>
          <w:color w:val="auto"/>
          <w:highlight w:val="none"/>
        </w:rPr>
        <w:t>决算情况说明</w:t>
      </w:r>
      <w:bookmarkEnd w:id="13"/>
    </w:p>
    <w:p w14:paraId="716A5BC8">
      <w:pPr>
        <w:pStyle w:val="17"/>
        <w:numPr>
          <w:ilvl w:val="0"/>
          <w:numId w:val="0"/>
        </w:numPr>
        <w:spacing w:line="600" w:lineRule="exact"/>
        <w:ind w:left="640" w:leftChars="0"/>
        <w:outlineLvl w:val="1"/>
        <w:rPr>
          <w:rStyle w:val="18"/>
          <w:rFonts w:ascii="黑体" w:hAnsi="黑体" w:eastAsia="黑体"/>
          <w:b w:val="0"/>
          <w:color w:val="auto"/>
          <w:highlight w:val="none"/>
        </w:rPr>
      </w:pPr>
      <w:bookmarkStart w:id="14" w:name="_Toc15972"/>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rPr>
        <w:t>收</w:t>
      </w:r>
      <w:r>
        <w:rPr>
          <w:rStyle w:val="18"/>
          <w:rFonts w:hint="eastAsia" w:ascii="黑体" w:hAnsi="黑体" w:eastAsia="黑体"/>
          <w:b w:val="0"/>
          <w:color w:val="auto"/>
          <w:highlight w:val="none"/>
        </w:rPr>
        <w:t>入支出决算总体情况说明</w:t>
      </w:r>
      <w:bookmarkEnd w:id="14"/>
    </w:p>
    <w:p w14:paraId="6AA905E0">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w:t>
      </w:r>
      <w:r>
        <w:rPr>
          <w:rFonts w:hint="eastAsia" w:ascii="仿宋" w:hAnsi="仿宋" w:eastAsia="仿宋"/>
          <w:color w:val="auto"/>
          <w:sz w:val="32"/>
          <w:szCs w:val="32"/>
          <w:highlight w:val="none"/>
        </w:rPr>
        <w:t>度收、支总计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w:t>
      </w: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相比，收、支总计各增加</w:t>
      </w:r>
      <w:r>
        <w:rPr>
          <w:rFonts w:hint="eastAsia" w:ascii="仿宋" w:hAnsi="仿宋" w:eastAsia="仿宋"/>
          <w:color w:val="auto"/>
          <w:sz w:val="32"/>
          <w:szCs w:val="32"/>
          <w:highlight w:val="none"/>
          <w:lang w:val="en-US" w:eastAsia="zh-CN"/>
        </w:rPr>
        <w:t>136.21</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13.28</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2025年人员增资，收入增加</w:t>
      </w:r>
      <w:r>
        <w:rPr>
          <w:rFonts w:hint="eastAsia" w:ascii="仿宋" w:hAnsi="仿宋" w:eastAsia="仿宋"/>
          <w:color w:val="auto"/>
          <w:sz w:val="32"/>
          <w:szCs w:val="32"/>
          <w:highlight w:val="none"/>
          <w:lang w:eastAsia="zh-CN"/>
        </w:rPr>
        <w:t>。</w:t>
      </w:r>
    </w:p>
    <w:p w14:paraId="6277ABF3">
      <w:pPr>
        <w:pStyle w:val="2"/>
        <w:rPr>
          <w:rFonts w:hint="eastAsia"/>
          <w:lang w:eastAsia="zh-CN"/>
        </w:rPr>
      </w:pPr>
      <w:r>
        <w:rPr>
          <w:rFonts w:hint="eastAsia" w:ascii="仿宋" w:hAnsi="仿宋" w:eastAsia="仿宋"/>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458470</wp:posOffset>
            </wp:positionH>
            <wp:positionV relativeFrom="paragraph">
              <wp:posOffset>41910</wp:posOffset>
            </wp:positionV>
            <wp:extent cx="4569460" cy="2432050"/>
            <wp:effectExtent l="4445" t="4445" r="17145" b="2095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14:paraId="5141D0CF">
      <w:pPr>
        <w:spacing w:line="600" w:lineRule="exact"/>
        <w:jc w:val="left"/>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object>
          <v:shape id="_x0000_i1026" o:spt="75" type="#_x0000_t75" style="height:0.05pt;width:0.05pt;" o:ole="t" filled="f" stroked="f" coordsize="21600,21600">
            <v:path/>
            <v:fill on="f" focussize="0,0"/>
            <v:stroke on="f"/>
            <v:imagedata o:title=""/>
            <o:lock v:ext="edit" aspectratio="t"/>
            <w10:wrap type="none"/>
            <w10:anchorlock/>
          </v:shape>
          <o:OLEObject Type="Embed" ProgID="Excel.Chart.8" ShapeID="_x0000_i1026" DrawAspect="Content" ObjectID="_1468075726" r:id="rId7">
            <o:LockedField>false</o:LockedField>
          </o:OLEObject>
        </w:object>
      </w:r>
      <w:r>
        <w:rPr>
          <w:rFonts w:hint="eastAsia" w:ascii="仿宋" w:hAnsi="仿宋" w:eastAsia="仿宋"/>
          <w:color w:val="auto"/>
          <w:sz w:val="32"/>
          <w:szCs w:val="32"/>
          <w:highlight w:val="none"/>
          <w:lang w:eastAsia="zh-CN"/>
        </w:rPr>
        <w:object>
          <v:shape id="_x0000_i1027" o:spt="75" type="#_x0000_t75" style="height:0.05pt;width:0.05pt;" o:ole="t" filled="f" stroked="f" coordsize="21600,21600">
            <v:path/>
            <v:fill on="f" focussize="0,0"/>
            <v:stroke on="f"/>
            <v:imagedata o:title=""/>
            <o:lock v:ext="edit" aspectratio="t"/>
            <w10:wrap type="none"/>
            <w10:anchorlock/>
          </v:shape>
          <o:OLEObject Type="Embed" ProgID="Excel.Chart.8" ShapeID="_x0000_i1027" DrawAspect="Content" ObjectID="_1468075727" r:id="rId8">
            <o:LockedField>false</o:LockedField>
          </o:OLEObject>
        </w:object>
      </w:r>
      <w:r>
        <w:rPr>
          <w:rFonts w:hint="eastAsia" w:ascii="仿宋" w:hAnsi="仿宋" w:eastAsia="仿宋"/>
          <w:color w:val="auto"/>
          <w:sz w:val="32"/>
          <w:szCs w:val="32"/>
          <w:highlight w:val="none"/>
          <w:lang w:eastAsia="zh-CN"/>
        </w:rPr>
        <w:object>
          <v:shape id="_x0000_i1028" o:spt="75" type="#_x0000_t75" style="height:0.05pt;width:0.05pt;" o:ole="t" filled="f" stroked="f" coordsize="21600,21600">
            <v:path/>
            <v:fill on="f" focussize="0,0"/>
            <v:stroke on="f"/>
            <v:imagedata o:title=""/>
            <o:lock v:ext="edit" aspectratio="t"/>
            <w10:wrap type="none"/>
            <w10:anchorlock/>
          </v:shape>
          <o:OLEObject Type="Embed" ProgID="Excel.Chart.8" ShapeID="_x0000_i1028" DrawAspect="Content" ObjectID="_1468075728" r:id="rId9">
            <o:LockedField>false</o:LockedField>
          </o:OLEObject>
        </w:object>
      </w:r>
    </w:p>
    <w:p w14:paraId="2A81765D">
      <w:pPr>
        <w:spacing w:line="600" w:lineRule="exact"/>
        <w:jc w:val="center"/>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object>
          <v:shape id="_x0000_i1029" o:spt="75" type="#_x0000_t75" style="height:0.05pt;width:0.05pt;" o:ole="t" filled="f" stroked="f" coordsize="21600,21600">
            <v:path/>
            <v:fill on="f" focussize="0,0"/>
            <v:stroke on="f"/>
            <v:imagedata o:title=""/>
            <o:lock v:ext="edit" aspectratio="t"/>
            <w10:wrap type="none"/>
            <w10:anchorlock/>
          </v:shape>
          <o:OLEObject Type="Embed" ProgID="Excel.Chart.8" ShapeID="_x0000_i1029" DrawAspect="Content" ObjectID="_1468075729" r:id="rId10">
            <o:LockedField>false</o:LockedField>
          </o:OLEObject>
        </w:object>
      </w:r>
      <w:r>
        <w:rPr>
          <w:rFonts w:hint="eastAsia" w:ascii="仿宋" w:hAnsi="仿宋" w:eastAsia="仿宋"/>
          <w:color w:val="auto"/>
          <w:sz w:val="32"/>
          <w:szCs w:val="32"/>
          <w:highlight w:val="none"/>
          <w:lang w:eastAsia="zh-CN"/>
        </w:rPr>
        <w:object>
          <v:shape id="_x0000_i1030" o:spt="75" type="#_x0000_t75" style="height:0.05pt;width:0.05pt;" o:ole="t" filled="f" stroked="f" coordsize="21600,21600">
            <v:path/>
            <v:fill on="f" focussize="0,0"/>
            <v:stroke on="f"/>
            <v:imagedata o:title=""/>
            <o:lock v:ext="edit" aspectratio="t"/>
            <w10:wrap type="none"/>
            <w10:anchorlock/>
          </v:shape>
          <o:OLEObject Type="Embed" ProgID="Excel.Chart.8" ShapeID="_x0000_i1030" DrawAspect="Content" ObjectID="_1468075730" r:id="rId11">
            <o:LockedField>false</o:LockedField>
          </o:OLEObject>
        </w:object>
      </w:r>
      <w:r>
        <w:rPr>
          <w:rFonts w:hint="eastAsia" w:ascii="仿宋" w:hAnsi="仿宋" w:eastAsia="仿宋"/>
          <w:color w:val="auto"/>
          <w:sz w:val="32"/>
          <w:szCs w:val="32"/>
          <w:highlight w:val="none"/>
          <w:lang w:eastAsia="zh-CN"/>
        </w:rPr>
        <w:object>
          <v:shape id="_x0000_i1031" o:spt="75" type="#_x0000_t75" style="height:0.05pt;width:0.05pt;" o:ole="t" filled="f" stroked="f" coordsize="21600,21600">
            <v:path/>
            <v:fill on="f" focussize="0,0"/>
            <v:stroke on="f"/>
            <v:imagedata o:title=""/>
            <o:lock v:ext="edit" aspectratio="t"/>
            <w10:wrap type="none"/>
            <w10:anchorlock/>
          </v:shape>
          <o:OLEObject Type="Embed" ProgID="Excel.Chart.8" ShapeID="_x0000_i1031" DrawAspect="Content" ObjectID="_1468075731" r:id="rId12">
            <o:LockedField>false</o:LockedField>
          </o:OLEObject>
        </w:object>
      </w:r>
      <w:r>
        <w:rPr>
          <w:rFonts w:hint="eastAsia" w:ascii="仿宋" w:hAnsi="仿宋" w:eastAsia="仿宋"/>
          <w:color w:val="auto"/>
          <w:sz w:val="32"/>
          <w:szCs w:val="32"/>
          <w:highlight w:val="none"/>
          <w:lang w:eastAsia="zh-CN"/>
        </w:rPr>
        <w:object>
          <v:shape id="_x0000_i1032" o:spt="75" type="#_x0000_t75" style="height:0.05pt;width:0.05pt;" o:ole="t" filled="f" stroked="f" coordsize="21600,21600">
            <v:path/>
            <v:fill on="f" focussize="0,0"/>
            <v:stroke on="f"/>
            <v:imagedata o:title=""/>
            <o:lock v:ext="edit" aspectratio="t"/>
            <w10:wrap type="none"/>
            <w10:anchorlock/>
          </v:shape>
          <o:OLEObject Type="Embed" ProgID="Excel.Chart.8" ShapeID="_x0000_i1032" DrawAspect="Content" ObjectID="_1468075732" r:id="rId13">
            <o:LockedField>false</o:LockedField>
          </o:OLEObject>
        </w:object>
      </w:r>
    </w:p>
    <w:p w14:paraId="27E04B93">
      <w:pPr>
        <w:spacing w:line="600" w:lineRule="exact"/>
        <w:jc w:val="center"/>
        <w:rPr>
          <w:rFonts w:hint="eastAsia" w:ascii="仿宋" w:hAnsi="仿宋" w:eastAsia="仿宋"/>
          <w:color w:val="auto"/>
          <w:sz w:val="32"/>
          <w:szCs w:val="32"/>
          <w:highlight w:val="none"/>
        </w:rPr>
      </w:pPr>
    </w:p>
    <w:p w14:paraId="23249BDB">
      <w:pPr>
        <w:spacing w:line="600" w:lineRule="exact"/>
        <w:jc w:val="center"/>
        <w:rPr>
          <w:rFonts w:hint="eastAsia" w:ascii="仿宋" w:hAnsi="仿宋" w:eastAsia="仿宋"/>
          <w:color w:val="auto"/>
          <w:sz w:val="32"/>
          <w:szCs w:val="32"/>
          <w:highlight w:val="none"/>
        </w:rPr>
      </w:pPr>
    </w:p>
    <w:p w14:paraId="592EBD34">
      <w:pPr>
        <w:spacing w:line="600" w:lineRule="exact"/>
        <w:jc w:val="center"/>
        <w:rPr>
          <w:rFonts w:hint="eastAsia" w:ascii="仿宋" w:hAnsi="仿宋" w:eastAsia="仿宋"/>
          <w:color w:val="auto"/>
          <w:sz w:val="32"/>
          <w:szCs w:val="32"/>
          <w:highlight w:val="none"/>
        </w:rPr>
      </w:pPr>
      <w:r>
        <w:rPr>
          <w:sz w:val="32"/>
        </w:rPr>
        <mc:AlternateContent>
          <mc:Choice Requires="wps">
            <w:drawing>
              <wp:anchor distT="0" distB="0" distL="114300" distR="114300" simplePos="0" relativeHeight="251661312" behindDoc="0" locked="0" layoutInCell="1" allowOverlap="1">
                <wp:simplePos x="0" y="0"/>
                <wp:positionH relativeFrom="column">
                  <wp:posOffset>3469005</wp:posOffset>
                </wp:positionH>
                <wp:positionV relativeFrom="paragraph">
                  <wp:posOffset>37465</wp:posOffset>
                </wp:positionV>
                <wp:extent cx="1040765" cy="344170"/>
                <wp:effectExtent l="0" t="0" r="0" b="0"/>
                <wp:wrapNone/>
                <wp:docPr id="4" name="文本框 4"/>
                <wp:cNvGraphicFramePr/>
                <a:graphic xmlns:a="http://schemas.openxmlformats.org/drawingml/2006/main">
                  <a:graphicData uri="http://schemas.microsoft.com/office/word/2010/wordprocessingShape">
                    <wps:wsp>
                      <wps:cNvSpPr txBox="1"/>
                      <wps:spPr>
                        <a:xfrm>
                          <a:off x="4655820" y="6131560"/>
                          <a:ext cx="1040765" cy="344170"/>
                        </a:xfrm>
                        <a:prstGeom prst="rect">
                          <a:avLst/>
                        </a:prstGeom>
                        <a:ln w="1270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38F3A4C8">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15pt;margin-top:2.95pt;height:27.1pt;width:81.95pt;z-index:251661312;mso-width-relative:page;mso-height-relative:page;" filled="f" stroked="f" coordsize="21600,21600" o:gfxdata="UEsDBAoAAAAAAIdO4kAAAAAAAAAAAAAAAAAEAAAAZHJzL1BLAwQUAAAACACHTuJAQZDLXNcAAAAI&#10;AQAADwAAAGRycy9kb3ducmV2LnhtbE2PwU7DMBBE70j8g7VI3KidAmkb4lQoggNCHGj5ADfeJhH2&#10;OsRuE/6e5QS3Wc1o5m25nb0TZxxjH0hDtlAgkJpge2o1fOyfb9YgYjJkjQuEGr4xwra6vChNYcNE&#10;73jepVZwCcXCaOhSGgopY9OhN3ERBiT2jmH0JvE5ttKOZuJy7+RSqVx60xMvdGbAusPmc3fyGt7c&#10;Co/to9z7+mmm+vUln1z/pfX1VaYeQCSc018YfvEZHSpmOoQT2Sichvu7/JajLDYg2F9lagnioCFX&#10;GciqlP8fqH4AUEsDBBQAAAAIAIdO4kBf1p14dgIAAMMEAAAOAAAAZHJzL2Uyb0RvYy54bWytVEtu&#10;2zAQ3RfoHQjuG0mObKdG5MCNkaJA0ARIi65pirIE8FeStpQeoL1BVt1033PlHH2UlMRIu8iiXlAj&#10;zvjNzJs3Oj3rlCR74XxjdEGzo5QSobkpG70t6OdPF29OKPGB6ZJJo0VBb4WnZ8vXr05buxATUxtZ&#10;CkcAov2itQWtQ7CLJPG8For5I2OFhrMyTrGAV7dNSsdaoCuZTNJ0lrTGldYZLrzH7Xpw0hHRvQTQ&#10;VFXDxdrwnRI6DKhOSBbQkq8b6+myr7aqBA9XVeVFILKg6DT0J5LA3sQzWZ6yxdYxWzd8LIG9pIRn&#10;PSnWaCR9hFqzwMjONX9BqYY7400VjrhRydBIzwi6yNJn3NzUzIq+F1Dt7SPp/v/B8o/7a0easqA5&#10;JZopDPz+7sf9z9/3v76TPNLTWr9A1I1FXOjemQ6iebj3uIxdd5VT8Yl+CPz5bDo9mYDi24LOsuNs&#10;OhuJFl0gPAKkeTqfTSnhiDjO82zeByRPSNb58F4YRaJRUIdB9vyy/aUPqAqhDyExsTYXjZT9MKUm&#10;LTJM5ikK4AwKraAMmMqiS6+3lDC5hfR5cD3kwX8j5Jr5muwZ9FLCGgSimgDNy0YV9CSNv3iNEqTG&#10;IxI0EBGt0G26kbWNKW9BmjOD6rzlFw0SXDIfrpmDzFAgFjFc4aikQdVmtCipjfv2r/sYj+nDS0kL&#10;2aKjrzvmBCXyg4Yu3mZ5DtjQv+TTeZyCO/RsDj16p84NOs2w8pb3ZowP8sGsnFFfsK+rmBUupjly&#10;FxR8DuZ5GJYJ+87FatUHQdmWhUt9Y3mEHuaz2gVTNf3oIk0DNyN70HZP57iHcXkO3/uop2/P8g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BkMtc1wAAAAgBAAAPAAAAAAAAAAEAIAAAACIAAABkcnMv&#10;ZG93bnJldi54bWxQSwECFAAUAAAACACHTuJAX9adeHYCAADDBAAADgAAAAAAAAABACAAAAAmAQAA&#10;ZHJzL2Uyb0RvYy54bWxQSwUGAAAAAAYABgBZAQAADgYAAAAA&#10;">
                <v:fill on="f" focussize="0,0"/>
                <v:stroke on="f" weight="1pt" miterlimit="8" joinstyle="miter" dashstyle="dash"/>
                <v:imagedata o:title=""/>
                <o:lock v:ext="edit" aspectratio="f"/>
                <v:textbox>
                  <w:txbxContent>
                    <w:p w14:paraId="38F3A4C8">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v:textbox>
              </v:shape>
            </w:pict>
          </mc:Fallback>
        </mc:AlternateContent>
      </w:r>
    </w:p>
    <w:p w14:paraId="445A332F">
      <w:pPr>
        <w:pStyle w:val="17"/>
        <w:numPr>
          <w:ilvl w:val="0"/>
          <w:numId w:val="0"/>
        </w:numPr>
        <w:spacing w:line="600" w:lineRule="exact"/>
        <w:ind w:left="640" w:leftChars="0"/>
        <w:outlineLvl w:val="1"/>
        <w:rPr>
          <w:rStyle w:val="18"/>
          <w:rFonts w:ascii="黑体" w:hAnsi="黑体" w:eastAsia="黑体"/>
          <w:b w:val="0"/>
          <w:color w:val="auto"/>
          <w:highlight w:val="none"/>
        </w:rPr>
      </w:pPr>
      <w:bookmarkStart w:id="15" w:name="_Toc20596"/>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rPr>
        <w:t>收</w:t>
      </w:r>
      <w:r>
        <w:rPr>
          <w:rStyle w:val="18"/>
          <w:rFonts w:hint="eastAsia" w:ascii="黑体" w:hAnsi="黑体" w:eastAsia="黑体"/>
          <w:b w:val="0"/>
          <w:color w:val="auto"/>
          <w:highlight w:val="none"/>
        </w:rPr>
        <w:t>入决算情况说明</w:t>
      </w:r>
      <w:bookmarkEnd w:id="15"/>
    </w:p>
    <w:p w14:paraId="33C7C8A0">
      <w:pPr>
        <w:spacing w:line="600" w:lineRule="exact"/>
        <w:ind w:firstLine="640" w:firstLineChars="200"/>
        <w:outlineLvl w:val="1"/>
        <w:rPr>
          <w:rFonts w:ascii="仿宋" w:hAnsi="仿宋" w:eastAsia="仿宋"/>
          <w:color w:val="auto"/>
          <w:sz w:val="32"/>
          <w:szCs w:val="32"/>
          <w:highlight w:val="none"/>
        </w:rPr>
      </w:pPr>
      <w:bookmarkStart w:id="16" w:name="_Toc12015"/>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本年收入合计</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16"/>
    </w:p>
    <w:p w14:paraId="3AC436BF">
      <w:pPr>
        <w:spacing w:line="600" w:lineRule="exact"/>
        <w:jc w:val="center"/>
        <w:rPr>
          <w:rFonts w:hint="eastAsia" w:ascii="仿宋" w:hAnsi="仿宋" w:eastAsia="仿宋"/>
          <w:color w:val="auto"/>
          <w:sz w:val="32"/>
          <w:szCs w:val="32"/>
          <w:highlight w:val="none"/>
          <w:lang w:eastAsia="zh-CN"/>
        </w:rPr>
      </w:pPr>
      <w:r>
        <w:rPr>
          <w:rFonts w:hint="eastAsia" w:ascii="思源黑体 CN Normal" w:hAnsi="思源黑体 CN Normal" w:eastAsia="思源黑体 CN Normal" w:cs="思源黑体 CN Normal"/>
          <w:color w:val="FF0000"/>
          <w:sz w:val="32"/>
          <w:szCs w:val="32"/>
        </w:rPr>
        <w:drawing>
          <wp:anchor distT="0" distB="0" distL="114300" distR="114300" simplePos="0" relativeHeight="251663360" behindDoc="0" locked="0" layoutInCell="1" allowOverlap="1">
            <wp:simplePos x="0" y="0"/>
            <wp:positionH relativeFrom="column">
              <wp:posOffset>729615</wp:posOffset>
            </wp:positionH>
            <wp:positionV relativeFrom="paragraph">
              <wp:posOffset>109855</wp:posOffset>
            </wp:positionV>
            <wp:extent cx="4182110" cy="2712085"/>
            <wp:effectExtent l="4445" t="5080" r="23495" b="6985"/>
            <wp:wrapNone/>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2FEA1C8E">
      <w:pPr>
        <w:pStyle w:val="2"/>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 xml:space="preserve">      </w:t>
      </w:r>
    </w:p>
    <w:p w14:paraId="21D07BD8">
      <w:pPr>
        <w:rPr>
          <w:rFonts w:hint="eastAsia" w:ascii="仿宋" w:hAnsi="仿宋" w:eastAsia="仿宋"/>
          <w:color w:val="auto"/>
          <w:sz w:val="32"/>
          <w:szCs w:val="32"/>
          <w:highlight w:val="none"/>
        </w:rPr>
      </w:pPr>
    </w:p>
    <w:p w14:paraId="07E14645">
      <w:pPr>
        <w:pStyle w:val="2"/>
        <w:rPr>
          <w:rFonts w:hint="eastAsia"/>
        </w:rPr>
      </w:pPr>
    </w:p>
    <w:p w14:paraId="0CD2CE9B">
      <w:pPr>
        <w:pStyle w:val="2"/>
      </w:pPr>
    </w:p>
    <w:p w14:paraId="175CF8F0"/>
    <w:p w14:paraId="3F630A73">
      <w:pPr>
        <w:pStyle w:val="17"/>
        <w:numPr>
          <w:ilvl w:val="0"/>
          <w:numId w:val="0"/>
        </w:numPr>
        <w:spacing w:line="600" w:lineRule="exact"/>
        <w:ind w:left="640" w:leftChars="0"/>
        <w:outlineLvl w:val="1"/>
        <w:rPr>
          <w:rStyle w:val="18"/>
          <w:rFonts w:ascii="黑体" w:hAnsi="黑体" w:eastAsia="黑体"/>
          <w:b w:val="0"/>
          <w:color w:val="auto"/>
          <w:highlight w:val="none"/>
        </w:rPr>
      </w:pPr>
      <w:bookmarkStart w:id="17" w:name="_Toc3664"/>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rPr>
        <w:t>支</w:t>
      </w:r>
      <w:r>
        <w:rPr>
          <w:rStyle w:val="18"/>
          <w:rFonts w:hint="eastAsia" w:ascii="黑体" w:hAnsi="黑体" w:eastAsia="黑体"/>
          <w:b w:val="0"/>
          <w:color w:val="auto"/>
          <w:highlight w:val="none"/>
        </w:rPr>
        <w:t>出决算情况说明</w:t>
      </w:r>
      <w:bookmarkEnd w:id="17"/>
    </w:p>
    <w:p w14:paraId="4E3A85D0">
      <w:pPr>
        <w:spacing w:line="600" w:lineRule="exact"/>
        <w:ind w:firstLine="640" w:firstLineChars="200"/>
        <w:outlineLvl w:val="1"/>
        <w:rPr>
          <w:rFonts w:hint="eastAsia" w:ascii="仿宋" w:hAnsi="仿宋" w:eastAsia="仿宋"/>
          <w:b/>
          <w:color w:val="auto"/>
          <w:sz w:val="32"/>
          <w:szCs w:val="32"/>
          <w:highlight w:val="none"/>
          <w:lang w:eastAsia="zh-CN"/>
        </w:rPr>
      </w:pPr>
      <w:bookmarkStart w:id="18" w:name="_Toc30843"/>
      <w:r>
        <w:rPr>
          <w:rFonts w:hint="eastAsia" w:ascii="思源黑体 CN Normal" w:hAnsi="思源黑体 CN Normal" w:eastAsia="思源黑体 CN Normal" w:cs="思源黑体 CN Normal"/>
          <w:color w:val="FF0000"/>
          <w:sz w:val="32"/>
          <w:szCs w:val="32"/>
        </w:rPr>
        <w:drawing>
          <wp:anchor distT="0" distB="0" distL="114300" distR="114300" simplePos="0" relativeHeight="251662336" behindDoc="0" locked="0" layoutInCell="1" allowOverlap="1">
            <wp:simplePos x="0" y="0"/>
            <wp:positionH relativeFrom="column">
              <wp:posOffset>578485</wp:posOffset>
            </wp:positionH>
            <wp:positionV relativeFrom="paragraph">
              <wp:posOffset>741680</wp:posOffset>
            </wp:positionV>
            <wp:extent cx="4234180" cy="2541270"/>
            <wp:effectExtent l="4445" t="4445" r="9525" b="698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本年支出合计</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bookmarkEnd w:id="18"/>
      <w:r>
        <w:rPr>
          <w:rFonts w:hint="eastAsia" w:ascii="仿宋" w:hAnsi="仿宋" w:eastAsia="仿宋"/>
          <w:color w:val="auto"/>
          <w:sz w:val="32"/>
          <w:szCs w:val="32"/>
          <w:highlight w:val="none"/>
          <w:lang w:eastAsia="zh-CN"/>
        </w:rPr>
        <w:t>。</w:t>
      </w:r>
    </w:p>
    <w:p w14:paraId="7B535623">
      <w:pPr>
        <w:spacing w:line="600" w:lineRule="exact"/>
        <w:rPr>
          <w:rFonts w:ascii="仿宋" w:hAnsi="仿宋" w:eastAsia="仿宋"/>
          <w:color w:val="auto"/>
          <w:sz w:val="32"/>
          <w:szCs w:val="32"/>
          <w:highlight w:val="none"/>
          <w:shd w:val="pct10" w:color="auto" w:fill="FFFFFF"/>
        </w:rPr>
      </w:pPr>
    </w:p>
    <w:p w14:paraId="69E1C49D">
      <w:pPr>
        <w:pStyle w:val="2"/>
        <w:rPr>
          <w:rFonts w:ascii="仿宋" w:hAnsi="仿宋" w:eastAsia="仿宋"/>
          <w:color w:val="auto"/>
          <w:sz w:val="32"/>
          <w:szCs w:val="32"/>
          <w:highlight w:val="none"/>
          <w:shd w:val="pct10" w:color="auto" w:fill="FFFFFF"/>
        </w:rPr>
      </w:pPr>
    </w:p>
    <w:p w14:paraId="534A0262">
      <w:pPr>
        <w:rPr>
          <w:rFonts w:ascii="仿宋" w:hAnsi="仿宋" w:eastAsia="仿宋"/>
          <w:color w:val="auto"/>
          <w:sz w:val="32"/>
          <w:szCs w:val="32"/>
          <w:highlight w:val="none"/>
          <w:shd w:val="pct10" w:color="auto" w:fill="FFFFFF"/>
        </w:rPr>
      </w:pPr>
    </w:p>
    <w:p w14:paraId="5E4D4C9F">
      <w:pPr>
        <w:pStyle w:val="2"/>
        <w:rPr>
          <w:rFonts w:ascii="仿宋" w:hAnsi="仿宋" w:eastAsia="仿宋"/>
          <w:color w:val="auto"/>
          <w:sz w:val="32"/>
          <w:szCs w:val="32"/>
          <w:highlight w:val="none"/>
          <w:shd w:val="pct10" w:color="auto" w:fill="FFFFFF"/>
        </w:rPr>
      </w:pPr>
    </w:p>
    <w:p w14:paraId="6124146E">
      <w:pPr>
        <w:spacing w:line="600" w:lineRule="exact"/>
        <w:jc w:val="both"/>
        <w:rPr>
          <w:rFonts w:hint="eastAsia" w:ascii="仿宋" w:hAnsi="仿宋" w:eastAsia="仿宋"/>
          <w:color w:val="auto"/>
          <w:sz w:val="32"/>
          <w:szCs w:val="32"/>
          <w:highlight w:val="none"/>
        </w:rPr>
      </w:pPr>
    </w:p>
    <w:p w14:paraId="2D3AB1DC">
      <w:pPr>
        <w:spacing w:line="600" w:lineRule="exact"/>
        <w:ind w:firstLine="640" w:firstLineChars="200"/>
        <w:outlineLvl w:val="1"/>
        <w:rPr>
          <w:rStyle w:val="18"/>
          <w:rFonts w:ascii="黑体" w:hAnsi="黑体" w:eastAsia="黑体"/>
          <w:b w:val="0"/>
          <w:color w:val="auto"/>
          <w:highlight w:val="none"/>
        </w:rPr>
      </w:pPr>
      <w:bookmarkStart w:id="19" w:name="_Toc21356"/>
      <w:r>
        <w:rPr>
          <w:rFonts w:hint="eastAsia" w:ascii="黑体" w:hAnsi="黑体" w:eastAsia="黑体"/>
          <w:color w:val="auto"/>
          <w:sz w:val="32"/>
          <w:szCs w:val="32"/>
          <w:highlight w:val="none"/>
        </w:rPr>
        <w:t>四、财</w:t>
      </w:r>
      <w:r>
        <w:rPr>
          <w:rStyle w:val="18"/>
          <w:rFonts w:hint="eastAsia" w:ascii="黑体" w:hAnsi="黑体" w:eastAsia="黑体"/>
          <w:b w:val="0"/>
          <w:color w:val="auto"/>
          <w:highlight w:val="none"/>
        </w:rPr>
        <w:t>政拨款收入支出决算总体情况说明</w:t>
      </w:r>
      <w:bookmarkEnd w:id="19"/>
    </w:p>
    <w:p w14:paraId="0750900E">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财政拨款收、支总计</w:t>
      </w:r>
      <w:r>
        <w:rPr>
          <w:rFonts w:hint="eastAsia" w:ascii="仿宋" w:hAnsi="仿宋" w:eastAsia="仿宋"/>
          <w:color w:val="auto"/>
          <w:sz w:val="32"/>
          <w:szCs w:val="32"/>
          <w:highlight w:val="none"/>
          <w:lang w:eastAsia="zh-CN"/>
        </w:rPr>
        <w:t>均为</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万元。与</w:t>
      </w: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4</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相比，财政拨款收、支总计各增加</w:t>
      </w:r>
      <w:r>
        <w:rPr>
          <w:rFonts w:hint="eastAsia" w:ascii="仿宋" w:hAnsi="仿宋" w:eastAsia="仿宋"/>
          <w:color w:val="auto"/>
          <w:sz w:val="32"/>
          <w:szCs w:val="32"/>
          <w:highlight w:val="none"/>
          <w:lang w:val="en-US" w:eastAsia="zh-CN"/>
        </w:rPr>
        <w:t>136.21</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13.28</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2025年人员增资，收入增加</w:t>
      </w:r>
      <w:r>
        <w:rPr>
          <w:rFonts w:hint="eastAsia" w:ascii="仿宋" w:hAnsi="仿宋" w:eastAsia="仿宋"/>
          <w:color w:val="auto"/>
          <w:sz w:val="32"/>
          <w:szCs w:val="32"/>
          <w:highlight w:val="none"/>
          <w:lang w:eastAsia="zh-CN"/>
        </w:rPr>
        <w:t>。</w:t>
      </w:r>
    </w:p>
    <w:p w14:paraId="30FD49D6">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364490</wp:posOffset>
            </wp:positionH>
            <wp:positionV relativeFrom="paragraph">
              <wp:posOffset>123825</wp:posOffset>
            </wp:positionV>
            <wp:extent cx="4569460" cy="2794635"/>
            <wp:effectExtent l="4445" t="4445" r="17145" b="20320"/>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3C49B537">
      <w:pPr>
        <w:pStyle w:val="2"/>
        <w:rPr>
          <w:rFonts w:ascii="仿宋" w:hAnsi="仿宋" w:eastAsia="仿宋"/>
          <w:color w:val="auto"/>
          <w:sz w:val="32"/>
          <w:szCs w:val="32"/>
          <w:highlight w:val="none"/>
        </w:rPr>
      </w:pPr>
    </w:p>
    <w:p w14:paraId="5CF4C110">
      <w:pPr>
        <w:rPr>
          <w:rFonts w:ascii="仿宋" w:hAnsi="仿宋" w:eastAsia="仿宋"/>
          <w:color w:val="auto"/>
          <w:sz w:val="32"/>
          <w:szCs w:val="32"/>
          <w:highlight w:val="none"/>
        </w:rPr>
      </w:pPr>
    </w:p>
    <w:p w14:paraId="03BB8246">
      <w:pPr>
        <w:pStyle w:val="2"/>
        <w:rPr>
          <w:rFonts w:ascii="仿宋" w:hAnsi="仿宋" w:eastAsia="仿宋"/>
          <w:color w:val="auto"/>
          <w:sz w:val="32"/>
          <w:szCs w:val="32"/>
          <w:highlight w:val="none"/>
        </w:rPr>
      </w:pPr>
    </w:p>
    <w:p w14:paraId="2CBA61F7"/>
    <w:p w14:paraId="5B1CE98E">
      <w:pPr>
        <w:spacing w:line="600" w:lineRule="exact"/>
        <w:ind w:firstLine="640" w:firstLineChars="200"/>
        <w:outlineLvl w:val="1"/>
        <w:rPr>
          <w:rFonts w:hint="eastAsia" w:ascii="黑体" w:hAnsi="黑体" w:eastAsia="黑体"/>
          <w:color w:val="auto"/>
          <w:sz w:val="32"/>
          <w:szCs w:val="32"/>
          <w:highlight w:val="none"/>
        </w:rPr>
      </w:pPr>
      <w:bookmarkStart w:id="42" w:name="_GoBack"/>
      <w:bookmarkEnd w:id="42"/>
      <w:bookmarkStart w:id="20" w:name="_Toc28664"/>
      <w:r>
        <w:rPr>
          <w:sz w:val="32"/>
        </w:rPr>
        <mc:AlternateContent>
          <mc:Choice Requires="wps">
            <w:drawing>
              <wp:anchor distT="0" distB="0" distL="114300" distR="114300" simplePos="0" relativeHeight="251665408" behindDoc="0" locked="0" layoutInCell="1" allowOverlap="1">
                <wp:simplePos x="0" y="0"/>
                <wp:positionH relativeFrom="column">
                  <wp:posOffset>3737610</wp:posOffset>
                </wp:positionH>
                <wp:positionV relativeFrom="paragraph">
                  <wp:posOffset>194310</wp:posOffset>
                </wp:positionV>
                <wp:extent cx="1040765" cy="34417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040765" cy="344170"/>
                        </a:xfrm>
                        <a:prstGeom prst="rect">
                          <a:avLst/>
                        </a:prstGeom>
                        <a:ln w="1270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1BC56013">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4.3pt;margin-top:15.3pt;height:27.1pt;width:81.95pt;z-index:251665408;mso-width-relative:page;mso-height-relative:page;" filled="f" stroked="f" coordsize="21600,21600" o:gfxdata="UEsDBAoAAAAAAIdO4kAAAAAAAAAAAAAAAAAEAAAAZHJzL1BLAwQUAAAACACHTuJADMU9yNcAAAAJ&#10;AQAADwAAAGRycy9kb3ducmV2LnhtbE2PQU7DMBBF90i9gzWV2FE7oKRRiFOhCBYIsaDtAdxkmkTY&#10;4xC7Tbg9wwqWo/n6/71ytzgrrjiFwZOGZKNAIDW+HajTcDy83OUgQjTUGusJNXxjgF21uilN0fqZ&#10;PvC6j53gEgqF0dDHOBZShqZHZ8LGj0j8O/vJmcjn1Ml2MjOXOyvvlcqkMwPxQm9GrHtsPvcXp+Hd&#10;bvHcPcmDq58Xqt9es9kOX1rfrhP1CCLiEv/C8IvP6FAx08lfqA3CakjzLOGohgfFChzYporlThry&#10;VIGsSvnfoPoBUEsDBBQAAAAIAIdO4kDtBrDcaQIAALkEAAAOAAAAZHJzL2Uyb0RvYy54bWytVM1u&#10;EzEQviPxDpbvdDchbUrUTRUaFSFVtFJBnB2vN2vJf9hOdssDwBtw4sKd5+pz8NmbplHh0AM5eMcz&#10;4/n55pucnfdaka3wQVpT0dFRSYkw3NbSrCv66ePlq1NKQmSmZsoaUdE7Eej5/OWLs87NxNi2VtXC&#10;EwQxYda5irYxullRBN4KzcKRdcLA2FivWcTVr4vasw7RtSrGZXlSdNbXzlsuQoB2ORjpLqJ/TkDb&#10;NJKLpeUbLUwconqhWERLoZUu0HmutmkEj9dNE0QkqqLoNOYTSSCv0lnMz9hs7ZlrJd+VwJ5TwpOe&#10;NJMGSfehliwysvHyr1Bacm+DbeIRt7oYGsmIoItR+QSb25Y5kXsB1MHtQQ//Lyz/sL3xRNZgwogS&#10;wzQmfv/j+/3P3/e/vhHoAFDnwgx+tw6esX9rezg/6AOUqe++8Tp90RGBHfDe7eEVfSQ8PSon5fTk&#10;mBIO2+vJZDTN+BePr50P8Z2wmiShoh7jy6iy7VWIqASuDy4pmbGXUqk8QmVIhwzjaYnUnIGXDfgA&#10;UTv0FsyaEqbWIDyPPoc8eJtCLlloyZaBJTWkgRZaRjBdSV3R0zL9kholKINPAmVoPkmxX/U7pFa2&#10;vgNQ3g5cC45fSiS4YiHeMA9yoUCsX7zG0SiLqu1OoqS1/uu/9MkfM4eVkg5kRUdfNswLStR7Aza8&#10;GU0mCBvzZXI8HePiDy2rQ4vZ6AuLTjFwVJfF5B/Vg9h4qz9jSxcpK0zMcOSuKPAcxIs4rBC2nIvF&#10;IjuBz47FK3PreAo9zGexibaReXQJpgGbHXpgdIZzt31pZQ7v2evxH2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AzFPcjXAAAACQEAAA8AAAAAAAAAAQAgAAAAIgAAAGRycy9kb3ducmV2LnhtbFBL&#10;AQIUABQAAAAIAIdO4kDtBrDcaQIAALkEAAAOAAAAAAAAAAEAIAAAACYBAABkcnMvZTJvRG9jLnht&#10;bFBLBQYAAAAABgAGAFkBAAABBgAAAAA=&#10;">
                <v:fill on="f" focussize="0,0"/>
                <v:stroke on="f" weight="1pt" miterlimit="8" joinstyle="miter" dashstyle="dash"/>
                <v:imagedata o:title=""/>
                <o:lock v:ext="edit" aspectratio="f"/>
                <v:textbox>
                  <w:txbxContent>
                    <w:p w14:paraId="1BC56013">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v:textbox>
              </v:shape>
            </w:pict>
          </mc:Fallback>
        </mc:AlternateContent>
      </w:r>
    </w:p>
    <w:p w14:paraId="65FE3103">
      <w:pPr>
        <w:spacing w:line="600" w:lineRule="exact"/>
        <w:ind w:firstLine="640" w:firstLineChars="200"/>
        <w:outlineLvl w:val="1"/>
        <w:rPr>
          <w:rFonts w:hint="eastAsia" w:ascii="黑体" w:hAnsi="黑体" w:eastAsia="黑体"/>
          <w:color w:val="auto"/>
          <w:sz w:val="32"/>
          <w:szCs w:val="32"/>
          <w:highlight w:val="none"/>
        </w:rPr>
      </w:pPr>
    </w:p>
    <w:p w14:paraId="0668C379">
      <w:pPr>
        <w:spacing w:line="600" w:lineRule="exact"/>
        <w:ind w:firstLine="640" w:firstLineChars="200"/>
        <w:outlineLvl w:val="1"/>
        <w:rPr>
          <w:rStyle w:val="18"/>
          <w:rFonts w:ascii="黑体" w:hAnsi="黑体" w:eastAsia="黑体"/>
          <w:b w:val="0"/>
          <w:color w:val="auto"/>
          <w:highlight w:val="none"/>
        </w:rPr>
      </w:pPr>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18"/>
          <w:rFonts w:hint="eastAsia" w:ascii="黑体" w:hAnsi="黑体" w:eastAsia="黑体"/>
          <w:b w:val="0"/>
          <w:color w:val="auto"/>
          <w:highlight w:val="none"/>
        </w:rPr>
        <w:t>般公共预算财政拨款支出决算情况说明</w:t>
      </w:r>
      <w:bookmarkEnd w:id="20"/>
    </w:p>
    <w:p w14:paraId="1DD7A773">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p>
    <w:p w14:paraId="333F791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default" w:ascii="仿宋" w:hAnsi="仿宋" w:eastAsia="仿宋"/>
          <w:color w:val="auto"/>
          <w:sz w:val="32"/>
          <w:szCs w:val="32"/>
          <w:highlight w:val="none"/>
          <w:lang w:val="en-US" w:eastAsia="zh-CN"/>
        </w:rPr>
        <w:t>一般公共预算财政拨款支出</w:t>
      </w:r>
      <w:r>
        <w:rPr>
          <w:rFonts w:hint="eastAsia" w:ascii="仿宋" w:hAnsi="仿宋" w:eastAsia="仿宋"/>
          <w:color w:val="auto"/>
          <w:sz w:val="32"/>
          <w:szCs w:val="32"/>
          <w:highlight w:val="none"/>
          <w:lang w:val="en-US" w:eastAsia="zh-CN"/>
        </w:rPr>
        <w:t>1162.21万元</w:t>
      </w:r>
      <w:r>
        <w:rPr>
          <w:rFonts w:hint="default" w:ascii="仿宋" w:hAnsi="仿宋" w:eastAsia="仿宋"/>
          <w:color w:val="auto"/>
          <w:sz w:val="32"/>
          <w:szCs w:val="32"/>
          <w:highlight w:val="none"/>
          <w:lang w:val="en-US" w:eastAsia="zh-CN"/>
        </w:rPr>
        <w:t>，占本年支出合计的100%。与2024年度相比，</w:t>
      </w:r>
      <w:r>
        <w:rPr>
          <w:rFonts w:hint="eastAsia" w:ascii="仿宋" w:hAnsi="仿宋" w:eastAsia="仿宋"/>
          <w:color w:val="auto"/>
          <w:sz w:val="32"/>
          <w:szCs w:val="32"/>
          <w:highlight w:val="none"/>
          <w:lang w:val="en-US" w:eastAsia="zh-CN"/>
        </w:rPr>
        <w:t>一</w:t>
      </w:r>
      <w:r>
        <w:rPr>
          <w:rFonts w:hint="default" w:ascii="仿宋" w:hAnsi="仿宋" w:eastAsia="仿宋"/>
          <w:color w:val="auto"/>
          <w:sz w:val="32"/>
          <w:szCs w:val="32"/>
          <w:highlight w:val="none"/>
          <w:lang w:val="en-US" w:eastAsia="zh-CN"/>
        </w:rPr>
        <w:t>般公共预算财政拨款增加136.21万元，增长13.</w:t>
      </w:r>
      <w:r>
        <w:rPr>
          <w:rFonts w:hint="eastAsia" w:ascii="仿宋" w:hAnsi="仿宋" w:eastAsia="仿宋"/>
          <w:color w:val="auto"/>
          <w:sz w:val="32"/>
          <w:szCs w:val="32"/>
          <w:highlight w:val="none"/>
          <w:lang w:val="en-US" w:eastAsia="zh-CN"/>
        </w:rPr>
        <w:t>28</w:t>
      </w:r>
      <w:r>
        <w:rPr>
          <w:rFonts w:hint="default" w:ascii="仿宋" w:hAnsi="仿宋" w:eastAsia="仿宋"/>
          <w:color w:val="auto"/>
          <w:sz w:val="32"/>
          <w:szCs w:val="32"/>
          <w:highlight w:val="none"/>
          <w:lang w:val="en-US" w:eastAsia="zh-CN"/>
        </w:rPr>
        <w:t>%。主要变动原因是</w:t>
      </w:r>
      <w:r>
        <w:rPr>
          <w:rFonts w:hint="eastAsia" w:ascii="仿宋" w:hAnsi="仿宋" w:eastAsia="仿宋"/>
          <w:color w:val="auto"/>
          <w:sz w:val="32"/>
          <w:szCs w:val="32"/>
          <w:highlight w:val="none"/>
          <w:lang w:val="en-US" w:eastAsia="zh-CN"/>
        </w:rPr>
        <w:t>：</w:t>
      </w:r>
      <w:r>
        <w:rPr>
          <w:rFonts w:hint="default" w:ascii="仿宋" w:hAnsi="仿宋" w:eastAsia="仿宋"/>
          <w:color w:val="auto"/>
          <w:sz w:val="32"/>
          <w:szCs w:val="32"/>
          <w:highlight w:val="none"/>
          <w:lang w:val="en-US" w:eastAsia="zh-CN"/>
        </w:rPr>
        <w:t>2025年人员增资，收入增加。</w:t>
      </w:r>
    </w:p>
    <w:p w14:paraId="2C9A3820">
      <w:pPr>
        <w:spacing w:line="600" w:lineRule="exact"/>
        <w:ind w:firstLine="640" w:firstLineChars="20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一般公共预算财政拨款支出决算变动情况</w:t>
      </w:r>
      <w:r>
        <w:rPr>
          <w:rFonts w:hint="eastAsia" w:ascii="仿宋" w:hAnsi="仿宋" w:eastAsia="仿宋"/>
          <w:color w:val="auto"/>
          <w:sz w:val="32"/>
          <w:szCs w:val="32"/>
          <w:highlight w:val="none"/>
          <w:lang w:eastAsia="zh-CN"/>
        </w:rPr>
        <w:drawing>
          <wp:anchor distT="0" distB="0" distL="114300" distR="114300" simplePos="0" relativeHeight="251666432" behindDoc="0" locked="0" layoutInCell="1" allowOverlap="1">
            <wp:simplePos x="0" y="0"/>
            <wp:positionH relativeFrom="column">
              <wp:posOffset>184785</wp:posOffset>
            </wp:positionH>
            <wp:positionV relativeFrom="paragraph">
              <wp:posOffset>83820</wp:posOffset>
            </wp:positionV>
            <wp:extent cx="5256530" cy="2988310"/>
            <wp:effectExtent l="5080" t="4445" r="15240" b="17145"/>
            <wp:wrapNone/>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14:paraId="61C86761">
      <w:pPr>
        <w:spacing w:line="600" w:lineRule="exact"/>
        <w:ind w:firstLine="640" w:firstLineChars="200"/>
        <w:rPr>
          <w:rFonts w:hint="eastAsia" w:ascii="仿宋" w:hAnsi="仿宋" w:eastAsia="仿宋"/>
          <w:color w:val="auto"/>
          <w:sz w:val="32"/>
          <w:szCs w:val="32"/>
          <w:highlight w:val="none"/>
        </w:rPr>
      </w:pPr>
    </w:p>
    <w:p w14:paraId="6201A1BC">
      <w:pPr>
        <w:spacing w:line="600" w:lineRule="exact"/>
        <w:ind w:firstLine="640" w:firstLineChars="200"/>
        <w:rPr>
          <w:rFonts w:hint="eastAsia" w:ascii="仿宋" w:hAnsi="仿宋" w:eastAsia="仿宋"/>
          <w:color w:val="auto"/>
          <w:sz w:val="32"/>
          <w:szCs w:val="32"/>
          <w:highlight w:val="none"/>
        </w:rPr>
      </w:pPr>
    </w:p>
    <w:p w14:paraId="2B6196F3">
      <w:pPr>
        <w:spacing w:line="600" w:lineRule="exact"/>
        <w:ind w:firstLine="640" w:firstLineChars="200"/>
        <w:rPr>
          <w:rFonts w:hint="eastAsia" w:ascii="仿宋" w:hAnsi="仿宋" w:eastAsia="仿宋"/>
          <w:color w:val="auto"/>
          <w:sz w:val="32"/>
          <w:szCs w:val="32"/>
          <w:highlight w:val="none"/>
        </w:rPr>
      </w:pPr>
    </w:p>
    <w:p w14:paraId="7E681384">
      <w:pPr>
        <w:spacing w:line="600" w:lineRule="exact"/>
        <w:ind w:firstLine="640" w:firstLineChars="200"/>
        <w:rPr>
          <w:rFonts w:hint="eastAsia" w:ascii="仿宋" w:hAnsi="仿宋" w:eastAsia="仿宋"/>
          <w:color w:val="auto"/>
          <w:sz w:val="32"/>
          <w:szCs w:val="32"/>
          <w:highlight w:val="none"/>
        </w:rPr>
      </w:pPr>
    </w:p>
    <w:p w14:paraId="347868A5">
      <w:pPr>
        <w:spacing w:line="600" w:lineRule="exact"/>
        <w:ind w:firstLine="640" w:firstLineChars="200"/>
        <w:rPr>
          <w:rFonts w:hint="eastAsia" w:ascii="仿宋" w:hAnsi="仿宋" w:eastAsia="仿宋"/>
          <w:color w:val="auto"/>
          <w:sz w:val="32"/>
          <w:szCs w:val="32"/>
          <w:highlight w:val="none"/>
        </w:rPr>
      </w:pPr>
    </w:p>
    <w:p w14:paraId="55FCA576">
      <w:pPr>
        <w:spacing w:line="600" w:lineRule="exact"/>
        <w:ind w:firstLine="640" w:firstLineChars="200"/>
        <w:rPr>
          <w:rFonts w:hint="eastAsia" w:ascii="仿宋" w:hAnsi="仿宋" w:eastAsia="仿宋"/>
          <w:color w:val="auto"/>
          <w:sz w:val="32"/>
          <w:szCs w:val="32"/>
          <w:highlight w:val="none"/>
        </w:rPr>
      </w:pPr>
    </w:p>
    <w:p w14:paraId="6A03E983">
      <w:pPr>
        <w:spacing w:line="600" w:lineRule="exact"/>
        <w:rPr>
          <w:rFonts w:hint="eastAsia" w:ascii="仿宋" w:hAnsi="仿宋" w:eastAsia="仿宋"/>
          <w:color w:val="auto"/>
          <w:sz w:val="32"/>
          <w:szCs w:val="32"/>
          <w:highlight w:val="none"/>
        </w:rPr>
      </w:pPr>
      <w:r>
        <w:rPr>
          <w:sz w:val="32"/>
        </w:rPr>
        <mc:AlternateContent>
          <mc:Choice Requires="wps">
            <w:drawing>
              <wp:anchor distT="0" distB="0" distL="114300" distR="114300" simplePos="0" relativeHeight="251667456" behindDoc="0" locked="0" layoutInCell="1" allowOverlap="1">
                <wp:simplePos x="0" y="0"/>
                <wp:positionH relativeFrom="column">
                  <wp:posOffset>4062095</wp:posOffset>
                </wp:positionH>
                <wp:positionV relativeFrom="paragraph">
                  <wp:posOffset>37465</wp:posOffset>
                </wp:positionV>
                <wp:extent cx="1040765" cy="34417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040765" cy="344170"/>
                        </a:xfrm>
                        <a:prstGeom prst="rect">
                          <a:avLst/>
                        </a:prstGeom>
                        <a:ln w="12700" cap="flat" cmpd="sng" algn="ctr">
                          <a:noFill/>
                          <a:prstDash val="dash"/>
                          <a:miter lim="800000"/>
                        </a:ln>
                      </wps:spPr>
                      <wps:style>
                        <a:lnRef idx="0">
                          <a:schemeClr val="accent1"/>
                        </a:lnRef>
                        <a:fillRef idx="0">
                          <a:srgbClr val="FFFFFF"/>
                        </a:fillRef>
                        <a:effectRef idx="0">
                          <a:srgbClr val="FFFFFF"/>
                        </a:effectRef>
                        <a:fontRef idx="minor">
                          <a:schemeClr val="tx1"/>
                        </a:fontRef>
                      </wps:style>
                      <wps:txbx>
                        <w:txbxContent>
                          <w:p w14:paraId="2B28C331">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9.85pt;margin-top:2.95pt;height:27.1pt;width:81.95pt;z-index:251667456;mso-width-relative:page;mso-height-relative:page;" filled="f" stroked="f" coordsize="21600,21600" o:gfxdata="UEsDBAoAAAAAAIdO4kAAAAAAAAAAAAAAAAAEAAAAZHJzL1BLAwQUAAAACACHTuJAP1qLFtYAAAAI&#10;AQAADwAAAGRycy9kb3ducmV2LnhtbE2PQU7DMBBF90jcwRokdtQOFWkb4lQoggVCLGg5gBtPkwh7&#10;HGK3CbdnWNHl6H39/6bczt6JM46xD6QhWygQSE2wPbUaPvcvd2sQMRmyxgVCDT8YYVtdX5WmsGGi&#10;DzzvUiu4hGJhNHQpDYWUsenQm7gIAxKzYxi9SXyOrbSjmbjcO3mvVC696YkXOjNg3WHztTt5De9u&#10;hcf2Se59/TxT/faaT67/1vr2JlOPIBLO6T8Mf/qsDhU7HcKJbBROQ77crDiq4WEDgvlaLXMQBwYq&#10;A1mV8vKB6hdQSwMEFAAAAAgAh07iQCF3vT5qAgAAuQQAAA4AAABkcnMvZTJvRG9jLnhtbK1UzW4T&#10;MRC+I/EOlu90N2nalKibKjQqQqpopYI4O15v1pL/sJ3slgeAN+iJC3eeq8/BZ2/aRoVDD+TgHc+M&#10;5+ebb3J61mtFtsIHaU1FRwclJcJwW0uzrujnTxdvTigJkZmaKWtERW9FoGfz169OOzcTY9taVQtP&#10;EMSEWecq2sboZkUReCs0CwfWCQNjY71mEVe/LmrPOkTXqhiX5XHRWV87b7kIAdrlYKS7iP4lAW3T&#10;SC6Wlm+0MHGI6oViES2FVrpA57naphE8XjVNEJGoiqLTmE8kgbxKZzE/ZbO1Z66VfFcCe0kJz3rS&#10;TBokfQy1ZJGRjZd/hdKSextsEw+41cXQSEYEXYzKZ9jctMyJ3AugDu4R9PD/wvKP22tPZA0mHFJi&#10;mMbE7+9+3P/8ff/rO4EOAHUuzOB34+AZ+3e2h/ODPkCZ+u4br9MXHRHYAe/tI7yij4SnR+WknB4f&#10;UcJhO5xMRtOMf/H02vkQ3wurSRIq6jG+jCrbXoaISuD64JKSGXshlcojVIZ0yDCelkjNGXjZgA8Q&#10;tUNvwawpYWoNwvPoc8i9tynkkoWWbBlYUkMaaKFlBNOV1BU9KdMvqVGCMvgkUIbmkxT7Vb9DamXr&#10;WwDl7cC14PiFRIJLFuI18yAXCsT6xSscjbKo2u4kSlrrv/1Ln/wxc1gp6UBWdPR1w7ygRH0wYMPb&#10;0WSCsDFfJkfTMS5+37Lat5iNPrfodIRFdzyLyT+qB7HxVn/Bli5SVpiY4chdUeA5iOdxWCFsOReL&#10;RXYCnx2Ll+bG8RR6mM9iE20j8+gSTAM2O/TA6AznbvvSyuzfs9fTP878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D9aixbWAAAACAEAAA8AAAAAAAAAAQAgAAAAIgAAAGRycy9kb3ducmV2LnhtbFBL&#10;AQIUABQAAAAIAIdO4kAhd70+agIAALkEAAAOAAAAAAAAAAEAIAAAACUBAABkcnMvZTJvRG9jLnht&#10;bFBLBQYAAAAABgAGAFkBAAABBgAAAAA=&#10;">
                <v:fill on="f" focussize="0,0"/>
                <v:stroke on="f" weight="1pt" miterlimit="8" joinstyle="miter" dashstyle="dash"/>
                <v:imagedata o:title=""/>
                <o:lock v:ext="edit" aspectratio="f"/>
                <v:textbox>
                  <w:txbxContent>
                    <w:p w14:paraId="2B28C331">
                      <w:pPr>
                        <w:pBdr>
                          <w:top w:val="none" w:color="auto" w:sz="0" w:space="0"/>
                          <w:left w:val="none" w:color="auto" w:sz="0" w:space="0"/>
                          <w:bottom w:val="none" w:color="auto" w:sz="0" w:space="0"/>
                          <w:right w:val="none" w:color="auto" w:sz="0" w:space="0"/>
                          <w:between w:val="none" w:color="auto" w:sz="0" w:space="0"/>
                        </w:pBdr>
                        <w:rPr>
                          <w:rFonts w:hint="eastAsia" w:eastAsia="宋体"/>
                          <w:lang w:eastAsia="zh-CN"/>
                        </w:rPr>
                      </w:pPr>
                      <w:r>
                        <w:rPr>
                          <w:rFonts w:hint="eastAsia"/>
                          <w:lang w:eastAsia="zh-CN"/>
                        </w:rPr>
                        <w:t>单位：万元</w:t>
                      </w:r>
                    </w:p>
                  </w:txbxContent>
                </v:textbox>
              </v:shape>
            </w:pict>
          </mc:Fallback>
        </mc:AlternateContent>
      </w:r>
    </w:p>
    <w:p w14:paraId="0BEA6CA1">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（二）一般公共预算财政拨款支出决算结构情况</w:t>
      </w:r>
    </w:p>
    <w:p w14:paraId="7F0FDFF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default" w:ascii="仿宋" w:hAnsi="仿宋" w:eastAsia="仿宋"/>
          <w:color w:val="auto"/>
          <w:sz w:val="32"/>
          <w:szCs w:val="32"/>
          <w:highlight w:val="none"/>
          <w:lang w:val="en-US" w:eastAsia="zh-CN"/>
        </w:rPr>
        <w:t>一般公共预算财政拨款支出</w:t>
      </w:r>
      <w:r>
        <w:rPr>
          <w:rFonts w:hint="eastAsia" w:ascii="仿宋" w:hAnsi="仿宋" w:eastAsia="仿宋"/>
          <w:color w:val="auto"/>
          <w:sz w:val="32"/>
          <w:szCs w:val="32"/>
          <w:highlight w:val="none"/>
          <w:lang w:val="en-US" w:eastAsia="zh-CN"/>
        </w:rPr>
        <w:t>1162.21万元</w:t>
      </w:r>
      <w:r>
        <w:rPr>
          <w:rFonts w:hint="default" w:ascii="仿宋" w:hAnsi="仿宋" w:eastAsia="仿宋"/>
          <w:color w:val="auto"/>
          <w:sz w:val="32"/>
          <w:szCs w:val="32"/>
          <w:highlight w:val="none"/>
          <w:lang w:val="en-US" w:eastAsia="zh-CN"/>
        </w:rPr>
        <w:t>，主要用于以下方面：</w:t>
      </w:r>
      <w:r>
        <w:rPr>
          <w:rFonts w:hint="default" w:ascii="仿宋" w:hAnsi="仿宋" w:eastAsia="仿宋"/>
          <w:color w:val="auto"/>
          <w:sz w:val="32"/>
          <w:szCs w:val="32"/>
          <w:highlight w:val="none"/>
          <w:lang w:eastAsia="zh-CN"/>
        </w:rPr>
        <w:t>社会保障和就业支出</w:t>
      </w:r>
      <w:r>
        <w:rPr>
          <w:rFonts w:hint="eastAsia" w:ascii="仿宋" w:hAnsi="仿宋" w:eastAsia="仿宋"/>
          <w:color w:val="auto"/>
          <w:sz w:val="32"/>
          <w:szCs w:val="32"/>
          <w:highlight w:val="none"/>
          <w:lang w:val="en-US" w:eastAsia="zh-CN"/>
        </w:rPr>
        <w:t>149.7</w:t>
      </w:r>
      <w:r>
        <w:rPr>
          <w:rFonts w:hint="default" w:ascii="仿宋" w:hAnsi="仿宋" w:eastAsia="仿宋"/>
          <w:color w:val="auto"/>
          <w:sz w:val="32"/>
          <w:szCs w:val="32"/>
          <w:highlight w:val="none"/>
          <w:lang w:eastAsia="zh-CN"/>
        </w:rPr>
        <w:t>万元，占</w:t>
      </w:r>
      <w:r>
        <w:rPr>
          <w:rFonts w:hint="eastAsia" w:ascii="仿宋" w:hAnsi="仿宋" w:eastAsia="仿宋"/>
          <w:color w:val="auto"/>
          <w:sz w:val="32"/>
          <w:szCs w:val="32"/>
          <w:highlight w:val="none"/>
          <w:lang w:val="en-US" w:eastAsia="zh-CN"/>
        </w:rPr>
        <w:t>12.88</w:t>
      </w:r>
      <w:r>
        <w:rPr>
          <w:rFonts w:hint="default" w:ascii="仿宋" w:hAnsi="仿宋" w:eastAsia="仿宋"/>
          <w:color w:val="auto"/>
          <w:sz w:val="32"/>
          <w:szCs w:val="32"/>
          <w:highlight w:val="none"/>
          <w:lang w:eastAsia="zh-CN"/>
        </w:rPr>
        <w:t>%；卫生健康支出</w:t>
      </w:r>
      <w:r>
        <w:rPr>
          <w:rFonts w:hint="eastAsia" w:ascii="仿宋" w:hAnsi="仿宋" w:eastAsia="仿宋"/>
          <w:color w:val="auto"/>
          <w:sz w:val="32"/>
          <w:szCs w:val="32"/>
          <w:highlight w:val="none"/>
          <w:lang w:val="en-US" w:eastAsia="zh-CN"/>
        </w:rPr>
        <w:t>62.56</w:t>
      </w:r>
      <w:r>
        <w:rPr>
          <w:rFonts w:hint="default" w:ascii="仿宋" w:hAnsi="仿宋" w:eastAsia="仿宋"/>
          <w:color w:val="auto"/>
          <w:sz w:val="32"/>
          <w:szCs w:val="32"/>
          <w:highlight w:val="none"/>
          <w:lang w:eastAsia="zh-CN"/>
        </w:rPr>
        <w:t>万，占</w:t>
      </w:r>
      <w:r>
        <w:rPr>
          <w:rFonts w:hint="default"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val="en-US" w:eastAsia="zh-CN"/>
        </w:rPr>
        <w:t>4</w:t>
      </w:r>
      <w:r>
        <w:rPr>
          <w:rFonts w:hint="default" w:ascii="仿宋" w:hAnsi="仿宋" w:eastAsia="仿宋"/>
          <w:color w:val="auto"/>
          <w:sz w:val="32"/>
          <w:szCs w:val="32"/>
          <w:highlight w:val="none"/>
          <w:lang w:eastAsia="zh-CN"/>
        </w:rPr>
        <w:t>%；农林水支出</w:t>
      </w:r>
      <w:r>
        <w:rPr>
          <w:rFonts w:hint="eastAsia" w:ascii="仿宋" w:hAnsi="仿宋" w:eastAsia="仿宋"/>
          <w:color w:val="auto"/>
          <w:sz w:val="32"/>
          <w:szCs w:val="32"/>
          <w:highlight w:val="none"/>
          <w:lang w:val="en-US" w:eastAsia="zh-CN"/>
        </w:rPr>
        <w:t>861.24</w:t>
      </w:r>
      <w:r>
        <w:rPr>
          <w:rFonts w:hint="default" w:ascii="仿宋" w:hAnsi="仿宋" w:eastAsia="仿宋"/>
          <w:color w:val="auto"/>
          <w:sz w:val="32"/>
          <w:szCs w:val="32"/>
          <w:highlight w:val="none"/>
          <w:lang w:eastAsia="zh-CN"/>
        </w:rPr>
        <w:t>万元，占</w:t>
      </w:r>
      <w:r>
        <w:rPr>
          <w:rFonts w:hint="eastAsia" w:ascii="仿宋" w:hAnsi="仿宋" w:eastAsia="仿宋"/>
          <w:color w:val="auto"/>
          <w:sz w:val="32"/>
          <w:szCs w:val="32"/>
          <w:highlight w:val="none"/>
          <w:lang w:val="en-US" w:eastAsia="zh-CN"/>
        </w:rPr>
        <w:t>74.1</w:t>
      </w:r>
      <w:r>
        <w:rPr>
          <w:rFonts w:hint="default" w:ascii="仿宋" w:hAnsi="仿宋" w:eastAsia="仿宋"/>
          <w:color w:val="auto"/>
          <w:sz w:val="32"/>
          <w:szCs w:val="32"/>
          <w:highlight w:val="none"/>
          <w:lang w:eastAsia="zh-CN"/>
        </w:rPr>
        <w:t>%；住房保障支出</w:t>
      </w:r>
      <w:r>
        <w:rPr>
          <w:rFonts w:hint="eastAsia" w:ascii="仿宋" w:hAnsi="仿宋" w:eastAsia="仿宋"/>
          <w:color w:val="auto"/>
          <w:sz w:val="32"/>
          <w:szCs w:val="32"/>
          <w:highlight w:val="none"/>
          <w:lang w:val="en-US" w:eastAsia="zh-CN"/>
        </w:rPr>
        <w:t>88.71</w:t>
      </w:r>
      <w:r>
        <w:rPr>
          <w:rFonts w:hint="default" w:ascii="仿宋" w:hAnsi="仿宋" w:eastAsia="仿宋"/>
          <w:color w:val="auto"/>
          <w:sz w:val="32"/>
          <w:szCs w:val="32"/>
          <w:highlight w:val="none"/>
          <w:lang w:eastAsia="zh-CN"/>
        </w:rPr>
        <w:t>万元，占</w:t>
      </w:r>
      <w:r>
        <w:rPr>
          <w:rFonts w:hint="default" w:ascii="仿宋" w:hAnsi="仿宋" w:eastAsia="仿宋"/>
          <w:color w:val="auto"/>
          <w:sz w:val="32"/>
          <w:szCs w:val="32"/>
          <w:highlight w:val="none"/>
          <w:lang w:val="en-US" w:eastAsia="zh-CN"/>
        </w:rPr>
        <w:t>7.</w:t>
      </w:r>
      <w:r>
        <w:rPr>
          <w:rFonts w:hint="eastAsia" w:ascii="仿宋" w:hAnsi="仿宋" w:eastAsia="仿宋"/>
          <w:color w:val="auto"/>
          <w:sz w:val="32"/>
          <w:szCs w:val="32"/>
          <w:highlight w:val="none"/>
          <w:lang w:val="en-US" w:eastAsia="zh-CN"/>
        </w:rPr>
        <w:t>62</w:t>
      </w:r>
      <w:r>
        <w:rPr>
          <w:rFonts w:hint="default" w:ascii="仿宋" w:hAnsi="仿宋" w:eastAsia="仿宋"/>
          <w:color w:val="auto"/>
          <w:sz w:val="32"/>
          <w:szCs w:val="32"/>
          <w:highlight w:val="none"/>
          <w:lang w:val="en-US" w:eastAsia="zh-CN"/>
        </w:rPr>
        <w:t>%</w:t>
      </w:r>
      <w:r>
        <w:rPr>
          <w:rFonts w:hint="default" w:ascii="仿宋" w:hAnsi="仿宋" w:eastAsia="仿宋"/>
          <w:color w:val="auto"/>
          <w:sz w:val="32"/>
          <w:szCs w:val="32"/>
          <w:highlight w:val="none"/>
          <w:lang w:eastAsia="zh-CN"/>
        </w:rPr>
        <w:t>。</w:t>
      </w:r>
    </w:p>
    <w:p w14:paraId="77BB34F7">
      <w:pPr>
        <w:spacing w:line="600" w:lineRule="exact"/>
        <w:ind w:firstLine="640"/>
        <w:rPr>
          <w:rFonts w:ascii="仿宋" w:hAnsi="仿宋" w:eastAsia="仿宋"/>
          <w:color w:val="auto"/>
          <w:sz w:val="32"/>
          <w:szCs w:val="32"/>
          <w:highlight w:val="none"/>
        </w:rPr>
      </w:pPr>
    </w:p>
    <w:p w14:paraId="2499CCA2">
      <w:pPr>
        <w:spacing w:line="600" w:lineRule="exact"/>
        <w:ind w:firstLine="640" w:firstLineChars="200"/>
        <w:rPr>
          <w:rFonts w:hint="eastAsia" w:ascii="仿宋" w:hAnsi="仿宋" w:eastAsia="仿宋"/>
          <w:color w:val="auto"/>
          <w:sz w:val="32"/>
          <w:szCs w:val="32"/>
          <w:highlight w:val="none"/>
        </w:rPr>
      </w:pPr>
    </w:p>
    <w:p w14:paraId="0600D136">
      <w:pPr>
        <w:pStyle w:val="2"/>
        <w:rPr>
          <w:rFonts w:hint="eastAsia"/>
        </w:rPr>
      </w:pPr>
      <w:r>
        <w:rPr>
          <w:rFonts w:hint="eastAsia" w:ascii="仿宋" w:hAnsi="仿宋" w:eastAsia="仿宋"/>
          <w:color w:val="auto"/>
          <w:sz w:val="32"/>
          <w:szCs w:val="32"/>
          <w:highlight w:val="none"/>
          <w:lang w:eastAsia="zh-CN"/>
        </w:rPr>
        <w:drawing>
          <wp:anchor distT="0" distB="0" distL="114300" distR="114300" simplePos="0" relativeHeight="251668480" behindDoc="0" locked="0" layoutInCell="1" allowOverlap="1">
            <wp:simplePos x="0" y="0"/>
            <wp:positionH relativeFrom="column">
              <wp:posOffset>147955</wp:posOffset>
            </wp:positionH>
            <wp:positionV relativeFrom="paragraph">
              <wp:posOffset>108585</wp:posOffset>
            </wp:positionV>
            <wp:extent cx="5021580" cy="2988310"/>
            <wp:effectExtent l="5080" t="4445" r="21590" b="17145"/>
            <wp:wrapNone/>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31983EC7">
      <w:pPr>
        <w:pStyle w:val="2"/>
        <w:rPr>
          <w:rFonts w:hint="eastAsia"/>
        </w:rPr>
      </w:pPr>
    </w:p>
    <w:p w14:paraId="1444AB9E">
      <w:pPr>
        <w:spacing w:line="600" w:lineRule="exact"/>
        <w:ind w:firstLine="640" w:firstLineChars="200"/>
        <w:rPr>
          <w:rFonts w:hint="eastAsia" w:ascii="仿宋" w:hAnsi="仿宋" w:eastAsia="仿宋"/>
          <w:color w:val="auto"/>
          <w:sz w:val="32"/>
          <w:szCs w:val="32"/>
          <w:highlight w:val="none"/>
        </w:rPr>
      </w:pPr>
    </w:p>
    <w:p w14:paraId="20F50DFD">
      <w:pPr>
        <w:spacing w:line="600" w:lineRule="exact"/>
        <w:ind w:firstLine="640" w:firstLineChars="200"/>
        <w:rPr>
          <w:rFonts w:hint="eastAsia" w:ascii="仿宋" w:hAnsi="仿宋" w:eastAsia="仿宋"/>
          <w:color w:val="auto"/>
          <w:sz w:val="32"/>
          <w:szCs w:val="32"/>
          <w:highlight w:val="none"/>
        </w:rPr>
      </w:pPr>
    </w:p>
    <w:p w14:paraId="2DA0FBF8">
      <w:pPr>
        <w:spacing w:line="600" w:lineRule="exact"/>
        <w:ind w:firstLine="640" w:firstLineChars="200"/>
        <w:rPr>
          <w:rFonts w:hint="eastAsia" w:ascii="仿宋" w:hAnsi="仿宋" w:eastAsia="仿宋"/>
          <w:color w:val="auto"/>
          <w:sz w:val="32"/>
          <w:szCs w:val="32"/>
          <w:highlight w:val="none"/>
        </w:rPr>
      </w:pPr>
    </w:p>
    <w:p w14:paraId="2290FC31">
      <w:pPr>
        <w:spacing w:line="600" w:lineRule="exact"/>
        <w:ind w:firstLine="640" w:firstLineChars="200"/>
        <w:rPr>
          <w:rFonts w:hint="eastAsia" w:ascii="仿宋" w:hAnsi="仿宋" w:eastAsia="仿宋"/>
          <w:color w:val="auto"/>
          <w:sz w:val="32"/>
          <w:szCs w:val="32"/>
          <w:highlight w:val="none"/>
        </w:rPr>
      </w:pPr>
    </w:p>
    <w:p w14:paraId="0CC7AE9E">
      <w:pPr>
        <w:spacing w:line="600" w:lineRule="exact"/>
        <w:ind w:firstLine="640" w:firstLineChars="200"/>
        <w:rPr>
          <w:rFonts w:hint="eastAsia" w:ascii="仿宋" w:hAnsi="仿宋" w:eastAsia="仿宋"/>
          <w:color w:val="auto"/>
          <w:sz w:val="32"/>
          <w:szCs w:val="32"/>
          <w:highlight w:val="none"/>
        </w:rPr>
      </w:pPr>
    </w:p>
    <w:p w14:paraId="22D94AA3">
      <w:pPr>
        <w:spacing w:line="600" w:lineRule="exact"/>
        <w:ind w:firstLine="640" w:firstLineChars="200"/>
        <w:rPr>
          <w:rFonts w:hint="eastAsia" w:ascii="仿宋" w:hAnsi="仿宋" w:eastAsia="仿宋"/>
          <w:color w:val="auto"/>
          <w:sz w:val="32"/>
          <w:szCs w:val="32"/>
          <w:highlight w:val="none"/>
        </w:rPr>
      </w:pPr>
    </w:p>
    <w:p w14:paraId="1C7F47FA">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（三）一般公共预算财政拨款支出决算具体情况</w:t>
      </w:r>
    </w:p>
    <w:p w14:paraId="1BD64FE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olor w:val="auto"/>
          <w:sz w:val="32"/>
          <w:szCs w:val="32"/>
          <w:highlight w:val="none"/>
          <w:lang w:val="en-US" w:eastAsia="zh-CN"/>
        </w:rPr>
      </w:pPr>
      <w:r>
        <w:rPr>
          <w:rFonts w:hint="eastAsia" w:ascii="仿宋" w:hAnsi="仿宋" w:eastAsia="仿宋"/>
          <w:color w:val="auto"/>
          <w:sz w:val="32"/>
          <w:szCs w:val="32"/>
          <w:highlight w:val="none"/>
          <w:lang w:val="en-US" w:eastAsia="zh-CN"/>
        </w:rPr>
        <w:t>2025年度一般公共预算支出决算数为1162.21万元，完成预算100</w:t>
      </w:r>
      <w:r>
        <w:rPr>
          <w:rFonts w:hint="default" w:ascii="仿宋" w:hAnsi="仿宋" w:eastAsia="仿宋"/>
          <w:color w:val="auto"/>
          <w:sz w:val="32"/>
          <w:szCs w:val="32"/>
          <w:highlight w:val="none"/>
          <w:lang w:val="en-US" w:eastAsia="zh-CN"/>
        </w:rPr>
        <w:t>%</w:t>
      </w:r>
      <w:r>
        <w:rPr>
          <w:rFonts w:hint="eastAsia" w:ascii="仿宋" w:hAnsi="仿宋" w:eastAsia="仿宋"/>
          <w:color w:val="auto"/>
          <w:sz w:val="32"/>
          <w:szCs w:val="32"/>
          <w:highlight w:val="none"/>
          <w:lang w:val="en-US" w:eastAsia="zh-CN"/>
        </w:rPr>
        <w:t>。其中：</w:t>
      </w:r>
    </w:p>
    <w:p w14:paraId="09F56F7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olor w:val="auto"/>
          <w:sz w:val="32"/>
          <w:szCs w:val="32"/>
          <w:highlight w:val="none"/>
          <w:lang w:eastAsia="zh-CN"/>
        </w:rPr>
      </w:pPr>
      <w:r>
        <w:rPr>
          <w:rFonts w:hint="default" w:ascii="仿宋" w:hAnsi="仿宋" w:eastAsia="仿宋"/>
          <w:color w:val="auto"/>
          <w:sz w:val="32"/>
          <w:szCs w:val="32"/>
          <w:highlight w:val="none"/>
          <w:lang w:val="en-US" w:eastAsia="zh-CN"/>
        </w:rPr>
        <w:t>1. 社会保障和就业支出（</w:t>
      </w:r>
      <w:r>
        <w:rPr>
          <w:rFonts w:hint="eastAsia" w:ascii="仿宋" w:hAnsi="仿宋" w:eastAsia="仿宋"/>
          <w:color w:val="auto"/>
          <w:sz w:val="32"/>
          <w:szCs w:val="32"/>
          <w:highlight w:val="none"/>
          <w:lang w:val="en-US" w:eastAsia="zh-CN"/>
        </w:rPr>
        <w:t>类</w:t>
      </w:r>
      <w:r>
        <w:rPr>
          <w:rFonts w:hint="default" w:ascii="仿宋" w:hAnsi="仿宋" w:eastAsia="仿宋"/>
          <w:color w:val="auto"/>
          <w:sz w:val="32"/>
          <w:szCs w:val="32"/>
          <w:highlight w:val="none"/>
          <w:lang w:val="en-US" w:eastAsia="zh-CN"/>
        </w:rPr>
        <w:t>）行政事业单位养老支出（</w:t>
      </w:r>
      <w:r>
        <w:rPr>
          <w:rFonts w:hint="eastAsia" w:ascii="仿宋" w:hAnsi="仿宋" w:eastAsia="仿宋"/>
          <w:color w:val="auto"/>
          <w:sz w:val="32"/>
          <w:szCs w:val="32"/>
          <w:highlight w:val="none"/>
          <w:lang w:val="en-US" w:eastAsia="zh-CN"/>
        </w:rPr>
        <w:t>款</w:t>
      </w:r>
      <w:r>
        <w:rPr>
          <w:rFonts w:hint="default" w:ascii="仿宋" w:hAnsi="仿宋" w:eastAsia="仿宋"/>
          <w:color w:val="auto"/>
          <w:sz w:val="32"/>
          <w:szCs w:val="32"/>
          <w:highlight w:val="none"/>
          <w:lang w:val="en-US" w:eastAsia="zh-CN"/>
        </w:rPr>
        <w:t>）机关事业单位基本养老保险缴费支出（</w:t>
      </w:r>
      <w:r>
        <w:rPr>
          <w:rFonts w:hint="eastAsia" w:ascii="仿宋" w:hAnsi="仿宋" w:eastAsia="仿宋"/>
          <w:color w:val="auto"/>
          <w:sz w:val="32"/>
          <w:szCs w:val="32"/>
          <w:highlight w:val="none"/>
          <w:lang w:val="en-US" w:eastAsia="zh-CN"/>
        </w:rPr>
        <w:t>项</w:t>
      </w:r>
      <w:r>
        <w:rPr>
          <w:rFonts w:hint="default" w:ascii="仿宋" w:hAnsi="仿宋" w:eastAsia="仿宋"/>
          <w:color w:val="auto"/>
          <w:sz w:val="32"/>
          <w:szCs w:val="32"/>
          <w:highlight w:val="none"/>
          <w:lang w:val="en-US" w:eastAsia="zh-CN"/>
        </w:rPr>
        <w:t>）：支出决算</w:t>
      </w:r>
      <w:r>
        <w:rPr>
          <w:rFonts w:hint="eastAsia" w:ascii="仿宋" w:hAnsi="仿宋" w:eastAsia="仿宋"/>
          <w:color w:val="auto"/>
          <w:sz w:val="32"/>
          <w:szCs w:val="32"/>
          <w:highlight w:val="none"/>
          <w:lang w:val="en-US" w:eastAsia="zh-CN"/>
        </w:rPr>
        <w:t>99.8</w:t>
      </w:r>
      <w:r>
        <w:rPr>
          <w:rFonts w:hint="default" w:ascii="仿宋" w:hAnsi="仿宋" w:eastAsia="仿宋"/>
          <w:color w:val="auto"/>
          <w:sz w:val="32"/>
          <w:szCs w:val="32"/>
          <w:highlight w:val="none"/>
          <w:lang w:val="en-US" w:eastAsia="zh-CN"/>
        </w:rPr>
        <w:t>万元，完成预算100%</w:t>
      </w:r>
      <w:r>
        <w:rPr>
          <w:rFonts w:hint="eastAsia" w:ascii="仿宋" w:hAnsi="仿宋" w:eastAsia="仿宋"/>
          <w:color w:val="auto"/>
          <w:sz w:val="32"/>
          <w:szCs w:val="32"/>
          <w:highlight w:val="none"/>
          <w:lang w:eastAsia="zh-CN"/>
        </w:rPr>
        <w:t>，决算数与预算数持平。</w:t>
      </w:r>
    </w:p>
    <w:p w14:paraId="1E20F9D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olor w:val="auto"/>
          <w:sz w:val="32"/>
          <w:szCs w:val="32"/>
          <w:highlight w:val="none"/>
          <w:lang w:eastAsia="zh-CN"/>
        </w:rPr>
      </w:pPr>
      <w:r>
        <w:rPr>
          <w:rFonts w:hint="default" w:ascii="仿宋" w:hAnsi="仿宋" w:eastAsia="仿宋"/>
          <w:color w:val="auto"/>
          <w:sz w:val="32"/>
          <w:szCs w:val="32"/>
          <w:highlight w:val="none"/>
          <w:lang w:val="en-US" w:eastAsia="zh-CN"/>
        </w:rPr>
        <w:t>2. 社会保障和就业支出（</w:t>
      </w:r>
      <w:r>
        <w:rPr>
          <w:rFonts w:hint="eastAsia" w:ascii="仿宋" w:hAnsi="仿宋" w:eastAsia="仿宋"/>
          <w:color w:val="auto"/>
          <w:sz w:val="32"/>
          <w:szCs w:val="32"/>
          <w:highlight w:val="none"/>
          <w:lang w:val="en-US" w:eastAsia="zh-CN"/>
        </w:rPr>
        <w:t>类</w:t>
      </w:r>
      <w:r>
        <w:rPr>
          <w:rFonts w:hint="default" w:ascii="仿宋" w:hAnsi="仿宋" w:eastAsia="仿宋"/>
          <w:color w:val="auto"/>
          <w:sz w:val="32"/>
          <w:szCs w:val="32"/>
          <w:highlight w:val="none"/>
          <w:lang w:val="en-US" w:eastAsia="zh-CN"/>
        </w:rPr>
        <w:t>）行政事业单位养老支出（</w:t>
      </w:r>
      <w:r>
        <w:rPr>
          <w:rFonts w:hint="eastAsia" w:ascii="仿宋" w:hAnsi="仿宋" w:eastAsia="仿宋"/>
          <w:color w:val="auto"/>
          <w:sz w:val="32"/>
          <w:szCs w:val="32"/>
          <w:highlight w:val="none"/>
          <w:lang w:val="en-US" w:eastAsia="zh-CN"/>
        </w:rPr>
        <w:t>款</w:t>
      </w:r>
      <w:r>
        <w:rPr>
          <w:rFonts w:hint="default" w:ascii="仿宋" w:hAnsi="仿宋" w:eastAsia="仿宋"/>
          <w:color w:val="auto"/>
          <w:sz w:val="32"/>
          <w:szCs w:val="32"/>
          <w:highlight w:val="none"/>
          <w:lang w:val="en-US" w:eastAsia="zh-CN"/>
        </w:rPr>
        <w:t>）机关事业单位职业年金缴费支出（</w:t>
      </w:r>
      <w:r>
        <w:rPr>
          <w:rFonts w:hint="eastAsia" w:ascii="仿宋" w:hAnsi="仿宋" w:eastAsia="仿宋"/>
          <w:color w:val="auto"/>
          <w:sz w:val="32"/>
          <w:szCs w:val="32"/>
          <w:highlight w:val="none"/>
          <w:lang w:val="en-US" w:eastAsia="zh-CN"/>
        </w:rPr>
        <w:t>项</w:t>
      </w:r>
      <w:r>
        <w:rPr>
          <w:rFonts w:hint="default" w:ascii="仿宋" w:hAnsi="仿宋" w:eastAsia="仿宋"/>
          <w:color w:val="auto"/>
          <w:sz w:val="32"/>
          <w:szCs w:val="32"/>
          <w:highlight w:val="none"/>
          <w:lang w:val="en-US" w:eastAsia="zh-CN"/>
        </w:rPr>
        <w:t>）：支出决算</w:t>
      </w:r>
      <w:r>
        <w:rPr>
          <w:rFonts w:hint="eastAsia" w:ascii="仿宋" w:hAnsi="仿宋" w:eastAsia="仿宋"/>
          <w:color w:val="auto"/>
          <w:sz w:val="32"/>
          <w:szCs w:val="32"/>
          <w:highlight w:val="none"/>
          <w:lang w:val="en-US" w:eastAsia="zh-CN"/>
        </w:rPr>
        <w:t>49.9</w:t>
      </w:r>
      <w:r>
        <w:rPr>
          <w:rFonts w:hint="default" w:ascii="仿宋" w:hAnsi="仿宋" w:eastAsia="仿宋"/>
          <w:color w:val="auto"/>
          <w:sz w:val="32"/>
          <w:szCs w:val="32"/>
          <w:highlight w:val="none"/>
          <w:lang w:val="en-US" w:eastAsia="zh-CN"/>
        </w:rPr>
        <w:t>万元，完成预算100%</w:t>
      </w:r>
      <w:r>
        <w:rPr>
          <w:rFonts w:hint="eastAsia" w:ascii="仿宋" w:hAnsi="仿宋" w:eastAsia="仿宋"/>
          <w:color w:val="auto"/>
          <w:sz w:val="32"/>
          <w:szCs w:val="32"/>
          <w:highlight w:val="none"/>
          <w:lang w:eastAsia="zh-CN"/>
        </w:rPr>
        <w:t>，决算数与预算数持平。</w:t>
      </w:r>
    </w:p>
    <w:p w14:paraId="3BB9977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olor w:val="auto"/>
          <w:sz w:val="32"/>
          <w:szCs w:val="32"/>
          <w:highlight w:val="none"/>
          <w:lang w:eastAsia="zh-CN"/>
        </w:rPr>
      </w:pPr>
      <w:r>
        <w:rPr>
          <w:rFonts w:hint="default" w:ascii="仿宋" w:hAnsi="仿宋" w:eastAsia="仿宋"/>
          <w:color w:val="auto"/>
          <w:sz w:val="32"/>
          <w:szCs w:val="32"/>
          <w:highlight w:val="none"/>
          <w:lang w:val="en-US" w:eastAsia="zh-CN"/>
        </w:rPr>
        <w:t>3. 卫生健康支出（</w:t>
      </w:r>
      <w:r>
        <w:rPr>
          <w:rFonts w:hint="eastAsia" w:ascii="仿宋" w:hAnsi="仿宋" w:eastAsia="仿宋"/>
          <w:color w:val="auto"/>
          <w:sz w:val="32"/>
          <w:szCs w:val="32"/>
          <w:highlight w:val="none"/>
          <w:lang w:val="en-US" w:eastAsia="zh-CN"/>
        </w:rPr>
        <w:t>类</w:t>
      </w:r>
      <w:r>
        <w:rPr>
          <w:rFonts w:hint="default" w:ascii="仿宋" w:hAnsi="仿宋" w:eastAsia="仿宋"/>
          <w:color w:val="auto"/>
          <w:sz w:val="32"/>
          <w:szCs w:val="32"/>
          <w:highlight w:val="none"/>
          <w:lang w:val="en-US" w:eastAsia="zh-CN"/>
        </w:rPr>
        <w:t>）行政事业单位医疗（</w:t>
      </w:r>
      <w:r>
        <w:rPr>
          <w:rFonts w:hint="eastAsia" w:ascii="仿宋" w:hAnsi="仿宋" w:eastAsia="仿宋"/>
          <w:color w:val="auto"/>
          <w:sz w:val="32"/>
          <w:szCs w:val="32"/>
          <w:highlight w:val="none"/>
          <w:lang w:val="en-US" w:eastAsia="zh-CN"/>
        </w:rPr>
        <w:t>款</w:t>
      </w:r>
      <w:r>
        <w:rPr>
          <w:rFonts w:hint="default" w:ascii="仿宋" w:hAnsi="仿宋" w:eastAsia="仿宋"/>
          <w:color w:val="auto"/>
          <w:sz w:val="32"/>
          <w:szCs w:val="32"/>
          <w:highlight w:val="none"/>
          <w:lang w:val="en-US" w:eastAsia="zh-CN"/>
        </w:rPr>
        <w:t>）事业单位医疗（</w:t>
      </w:r>
      <w:r>
        <w:rPr>
          <w:rFonts w:hint="eastAsia" w:ascii="仿宋" w:hAnsi="仿宋" w:eastAsia="仿宋"/>
          <w:color w:val="auto"/>
          <w:sz w:val="32"/>
          <w:szCs w:val="32"/>
          <w:highlight w:val="none"/>
          <w:lang w:val="en-US" w:eastAsia="zh-CN"/>
        </w:rPr>
        <w:t>项</w:t>
      </w:r>
      <w:r>
        <w:rPr>
          <w:rFonts w:hint="default" w:ascii="仿宋" w:hAnsi="仿宋" w:eastAsia="仿宋"/>
          <w:color w:val="auto"/>
          <w:sz w:val="32"/>
          <w:szCs w:val="32"/>
          <w:highlight w:val="none"/>
          <w:lang w:val="en-US" w:eastAsia="zh-CN"/>
        </w:rPr>
        <w:t>）：支出决算</w:t>
      </w:r>
      <w:r>
        <w:rPr>
          <w:rFonts w:hint="eastAsia" w:ascii="仿宋" w:hAnsi="仿宋" w:eastAsia="仿宋"/>
          <w:color w:val="auto"/>
          <w:sz w:val="32"/>
          <w:szCs w:val="32"/>
          <w:highlight w:val="none"/>
          <w:lang w:val="en-US" w:eastAsia="zh-CN"/>
        </w:rPr>
        <w:t>62.56</w:t>
      </w:r>
      <w:r>
        <w:rPr>
          <w:rFonts w:hint="default" w:ascii="仿宋" w:hAnsi="仿宋" w:eastAsia="仿宋"/>
          <w:color w:val="auto"/>
          <w:sz w:val="32"/>
          <w:szCs w:val="32"/>
          <w:highlight w:val="none"/>
          <w:lang w:val="en-US" w:eastAsia="zh-CN"/>
        </w:rPr>
        <w:t>万元，完成预算100%</w:t>
      </w:r>
      <w:r>
        <w:rPr>
          <w:rFonts w:hint="eastAsia" w:ascii="仿宋" w:hAnsi="仿宋" w:eastAsia="仿宋"/>
          <w:color w:val="auto"/>
          <w:sz w:val="32"/>
          <w:szCs w:val="32"/>
          <w:highlight w:val="none"/>
          <w:lang w:eastAsia="zh-CN"/>
        </w:rPr>
        <w:t>，决算数与预算数持平。</w:t>
      </w:r>
    </w:p>
    <w:p w14:paraId="5DAFD18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4. 农林水支出（</w:t>
      </w:r>
      <w:r>
        <w:rPr>
          <w:rFonts w:hint="eastAsia" w:ascii="仿宋" w:hAnsi="仿宋" w:eastAsia="仿宋"/>
          <w:color w:val="auto"/>
          <w:sz w:val="32"/>
          <w:szCs w:val="32"/>
          <w:highlight w:val="none"/>
          <w:lang w:val="en-US" w:eastAsia="zh-CN"/>
        </w:rPr>
        <w:t>类</w:t>
      </w:r>
      <w:r>
        <w:rPr>
          <w:rFonts w:hint="default" w:ascii="仿宋" w:hAnsi="仿宋" w:eastAsia="仿宋"/>
          <w:color w:val="auto"/>
          <w:sz w:val="32"/>
          <w:szCs w:val="32"/>
          <w:highlight w:val="none"/>
          <w:lang w:val="en-US" w:eastAsia="zh-CN"/>
        </w:rPr>
        <w:t>）农业农村（</w:t>
      </w:r>
      <w:r>
        <w:rPr>
          <w:rFonts w:hint="eastAsia" w:ascii="仿宋" w:hAnsi="仿宋" w:eastAsia="仿宋"/>
          <w:color w:val="auto"/>
          <w:sz w:val="32"/>
          <w:szCs w:val="32"/>
          <w:highlight w:val="none"/>
          <w:lang w:val="en-US" w:eastAsia="zh-CN"/>
        </w:rPr>
        <w:t>款</w:t>
      </w:r>
      <w:r>
        <w:rPr>
          <w:rFonts w:hint="default" w:ascii="仿宋" w:hAnsi="仿宋" w:eastAsia="仿宋"/>
          <w:color w:val="auto"/>
          <w:sz w:val="32"/>
          <w:szCs w:val="32"/>
          <w:highlight w:val="none"/>
          <w:lang w:val="en-US" w:eastAsia="zh-CN"/>
        </w:rPr>
        <w:t>）事业运行（</w:t>
      </w:r>
      <w:r>
        <w:rPr>
          <w:rFonts w:hint="eastAsia" w:ascii="仿宋" w:hAnsi="仿宋" w:eastAsia="仿宋"/>
          <w:color w:val="auto"/>
          <w:sz w:val="32"/>
          <w:szCs w:val="32"/>
          <w:highlight w:val="none"/>
          <w:lang w:val="en-US" w:eastAsia="zh-CN"/>
        </w:rPr>
        <w:t>项</w:t>
      </w:r>
      <w:r>
        <w:rPr>
          <w:rFonts w:hint="default" w:ascii="仿宋" w:hAnsi="仿宋" w:eastAsia="仿宋"/>
          <w:color w:val="auto"/>
          <w:sz w:val="32"/>
          <w:szCs w:val="32"/>
          <w:highlight w:val="none"/>
          <w:lang w:val="en-US" w:eastAsia="zh-CN"/>
        </w:rPr>
        <w:t>）：支出决算</w:t>
      </w:r>
      <w:r>
        <w:rPr>
          <w:rFonts w:hint="eastAsia" w:ascii="仿宋" w:hAnsi="仿宋" w:eastAsia="仿宋"/>
          <w:color w:val="auto"/>
          <w:sz w:val="32"/>
          <w:szCs w:val="32"/>
          <w:highlight w:val="none"/>
          <w:lang w:val="en-US" w:eastAsia="zh-CN"/>
        </w:rPr>
        <w:t>861.24</w:t>
      </w:r>
      <w:r>
        <w:rPr>
          <w:rFonts w:hint="default" w:ascii="仿宋" w:hAnsi="仿宋" w:eastAsia="仿宋"/>
          <w:color w:val="auto"/>
          <w:sz w:val="32"/>
          <w:szCs w:val="32"/>
          <w:highlight w:val="none"/>
          <w:lang w:val="en-US" w:eastAsia="zh-CN"/>
        </w:rPr>
        <w:t>万元，完成预算100%</w:t>
      </w:r>
      <w:r>
        <w:rPr>
          <w:rFonts w:hint="eastAsia" w:ascii="仿宋" w:hAnsi="仿宋" w:eastAsia="仿宋"/>
          <w:color w:val="auto"/>
          <w:sz w:val="32"/>
          <w:szCs w:val="32"/>
          <w:highlight w:val="none"/>
          <w:lang w:eastAsia="zh-CN"/>
        </w:rPr>
        <w:t>，决算数与预算数持平。</w:t>
      </w:r>
    </w:p>
    <w:p w14:paraId="75325FD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仿宋" w:hAnsi="仿宋" w:eastAsia="仿宋"/>
          <w:color w:val="auto"/>
          <w:sz w:val="32"/>
          <w:szCs w:val="32"/>
          <w:highlight w:val="none"/>
          <w:lang w:val="en-US" w:eastAsia="zh-CN"/>
        </w:rPr>
      </w:pPr>
      <w:r>
        <w:rPr>
          <w:rFonts w:hint="default" w:ascii="仿宋" w:hAnsi="仿宋" w:eastAsia="仿宋"/>
          <w:color w:val="auto"/>
          <w:sz w:val="32"/>
          <w:szCs w:val="32"/>
          <w:highlight w:val="none"/>
          <w:lang w:val="en-US" w:eastAsia="zh-CN"/>
        </w:rPr>
        <w:t>5. 住房保障支出（</w:t>
      </w:r>
      <w:r>
        <w:rPr>
          <w:rFonts w:hint="eastAsia" w:ascii="仿宋" w:hAnsi="仿宋" w:eastAsia="仿宋"/>
          <w:color w:val="auto"/>
          <w:sz w:val="32"/>
          <w:szCs w:val="32"/>
          <w:highlight w:val="none"/>
          <w:lang w:val="en-US" w:eastAsia="zh-CN"/>
        </w:rPr>
        <w:t>类</w:t>
      </w:r>
      <w:r>
        <w:rPr>
          <w:rFonts w:hint="default" w:ascii="仿宋" w:hAnsi="仿宋" w:eastAsia="仿宋"/>
          <w:color w:val="auto"/>
          <w:sz w:val="32"/>
          <w:szCs w:val="32"/>
          <w:highlight w:val="none"/>
          <w:lang w:val="en-US" w:eastAsia="zh-CN"/>
        </w:rPr>
        <w:t>）住房改革支出（</w:t>
      </w:r>
      <w:r>
        <w:rPr>
          <w:rFonts w:hint="eastAsia" w:ascii="仿宋" w:hAnsi="仿宋" w:eastAsia="仿宋"/>
          <w:color w:val="auto"/>
          <w:sz w:val="32"/>
          <w:szCs w:val="32"/>
          <w:highlight w:val="none"/>
          <w:lang w:val="en-US" w:eastAsia="zh-CN"/>
        </w:rPr>
        <w:t>款</w:t>
      </w:r>
      <w:r>
        <w:rPr>
          <w:rFonts w:hint="default" w:ascii="仿宋" w:hAnsi="仿宋" w:eastAsia="仿宋"/>
          <w:color w:val="auto"/>
          <w:sz w:val="32"/>
          <w:szCs w:val="32"/>
          <w:highlight w:val="none"/>
          <w:lang w:val="en-US" w:eastAsia="zh-CN"/>
        </w:rPr>
        <w:t>）住房公积金（</w:t>
      </w:r>
      <w:r>
        <w:rPr>
          <w:rFonts w:hint="eastAsia" w:ascii="仿宋" w:hAnsi="仿宋" w:eastAsia="仿宋"/>
          <w:color w:val="auto"/>
          <w:sz w:val="32"/>
          <w:szCs w:val="32"/>
          <w:highlight w:val="none"/>
          <w:lang w:val="en-US" w:eastAsia="zh-CN"/>
        </w:rPr>
        <w:t>项</w:t>
      </w:r>
      <w:r>
        <w:rPr>
          <w:rFonts w:hint="default" w:ascii="仿宋" w:hAnsi="仿宋" w:eastAsia="仿宋"/>
          <w:color w:val="auto"/>
          <w:sz w:val="32"/>
          <w:szCs w:val="32"/>
          <w:highlight w:val="none"/>
          <w:lang w:val="en-US" w:eastAsia="zh-CN"/>
        </w:rPr>
        <w:t>）：支出决算</w:t>
      </w:r>
      <w:r>
        <w:rPr>
          <w:rFonts w:hint="eastAsia" w:ascii="仿宋" w:hAnsi="仿宋" w:eastAsia="仿宋"/>
          <w:color w:val="auto"/>
          <w:sz w:val="32"/>
          <w:szCs w:val="32"/>
          <w:highlight w:val="none"/>
          <w:lang w:val="en-US" w:eastAsia="zh-CN"/>
        </w:rPr>
        <w:t>88.71</w:t>
      </w:r>
      <w:r>
        <w:rPr>
          <w:rFonts w:hint="default" w:ascii="仿宋" w:hAnsi="仿宋" w:eastAsia="仿宋"/>
          <w:color w:val="auto"/>
          <w:sz w:val="32"/>
          <w:szCs w:val="32"/>
          <w:highlight w:val="none"/>
          <w:lang w:val="en-US" w:eastAsia="zh-CN"/>
        </w:rPr>
        <w:t>万元，完成预算100%</w:t>
      </w:r>
      <w:r>
        <w:rPr>
          <w:rFonts w:hint="eastAsia" w:ascii="仿宋" w:hAnsi="仿宋" w:eastAsia="仿宋"/>
          <w:color w:val="auto"/>
          <w:sz w:val="32"/>
          <w:szCs w:val="32"/>
          <w:highlight w:val="none"/>
          <w:lang w:eastAsia="zh-CN"/>
        </w:rPr>
        <w:t>，决算数与预算数持平。</w:t>
      </w:r>
    </w:p>
    <w:p w14:paraId="1F9A5F67">
      <w:pPr>
        <w:tabs>
          <w:tab w:val="right" w:pos="8306"/>
        </w:tabs>
        <w:spacing w:line="600" w:lineRule="exact"/>
        <w:ind w:firstLine="640"/>
        <w:jc w:val="left"/>
        <w:outlineLvl w:val="1"/>
        <w:rPr>
          <w:rStyle w:val="18"/>
          <w:color w:val="auto"/>
          <w:highlight w:val="none"/>
        </w:rPr>
      </w:pPr>
      <w:bookmarkStart w:id="21" w:name="_Toc6041"/>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18"/>
          <w:rFonts w:hint="eastAsia" w:ascii="黑体" w:hAnsi="黑体" w:eastAsia="黑体"/>
          <w:b w:val="0"/>
          <w:color w:val="auto"/>
          <w:highlight w:val="none"/>
        </w:rPr>
        <w:t>般公共预算财政拨款基本支出决算情况说明</w:t>
      </w:r>
      <w:bookmarkEnd w:id="21"/>
      <w:r>
        <w:rPr>
          <w:rStyle w:val="18"/>
          <w:rFonts w:ascii="黑体" w:hAnsi="黑体" w:eastAsia="黑体"/>
          <w:b w:val="0"/>
          <w:color w:val="auto"/>
          <w:highlight w:val="none"/>
        </w:rPr>
        <w:tab/>
      </w:r>
    </w:p>
    <w:p w14:paraId="3F79B749">
      <w:pPr>
        <w:spacing w:line="600" w:lineRule="exact"/>
        <w:ind w:firstLine="645"/>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一般公共预算财政拨款基本支出</w:t>
      </w:r>
      <w:r>
        <w:rPr>
          <w:rFonts w:hint="eastAsia" w:ascii="仿宋" w:hAnsi="仿宋" w:eastAsia="仿宋"/>
          <w:color w:val="auto"/>
          <w:sz w:val="32"/>
          <w:szCs w:val="32"/>
          <w:highlight w:val="none"/>
          <w:lang w:val="en-US" w:eastAsia="zh-CN"/>
        </w:rPr>
        <w:t>1162.21</w:t>
      </w:r>
      <w:r>
        <w:rPr>
          <w:rFonts w:hint="eastAsia" w:ascii="仿宋" w:hAnsi="仿宋" w:eastAsia="仿宋"/>
          <w:color w:val="auto"/>
          <w:sz w:val="32"/>
          <w:szCs w:val="32"/>
          <w:highlight w:val="none"/>
        </w:rPr>
        <w:t>万元，其中：</w:t>
      </w:r>
    </w:p>
    <w:p w14:paraId="2758AE86">
      <w:pPr>
        <w:spacing w:line="600" w:lineRule="exact"/>
        <w:ind w:firstLine="640"/>
        <w:outlineLvl w:val="1"/>
        <w:rPr>
          <w:rFonts w:hint="eastAsia" w:ascii="仿宋" w:hAnsi="仿宋" w:eastAsia="仿宋"/>
          <w:color w:val="auto"/>
          <w:sz w:val="32"/>
          <w:szCs w:val="32"/>
          <w:highlight w:val="none"/>
        </w:rPr>
      </w:pPr>
      <w:bookmarkStart w:id="22" w:name="_Toc13913"/>
      <w:r>
        <w:rPr>
          <w:rFonts w:hint="eastAsia" w:ascii="仿宋" w:hAnsi="仿宋" w:eastAsia="仿宋"/>
          <w:color w:val="auto"/>
          <w:sz w:val="32"/>
          <w:szCs w:val="32"/>
          <w:highlight w:val="none"/>
        </w:rPr>
        <w:t>人员经费1,108.61万元，主要包括：基本工资、津贴补贴、绩效工资、机关事业单位基本养老保险缴费、职业年金缴费、职工基本医疗保险缴费、其他社会保障缴费、住房公积金、医疗费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生活补助、奖励金。</w:t>
      </w:r>
    </w:p>
    <w:p w14:paraId="230BD078">
      <w:pPr>
        <w:spacing w:line="600" w:lineRule="exact"/>
        <w:ind w:firstLine="640"/>
        <w:outlineLvl w:val="1"/>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公用经费53.6万元，主要包括：办公费、差旅费、维修（护）费、其他商品和服务支出</w:t>
      </w:r>
      <w:r>
        <w:rPr>
          <w:rFonts w:hint="eastAsia" w:ascii="仿宋" w:hAnsi="仿宋" w:eastAsia="仿宋"/>
          <w:color w:val="auto"/>
          <w:sz w:val="32"/>
          <w:szCs w:val="32"/>
          <w:highlight w:val="none"/>
          <w:lang w:eastAsia="zh-CN"/>
        </w:rPr>
        <w:t>。</w:t>
      </w:r>
    </w:p>
    <w:p w14:paraId="006C60C6">
      <w:pPr>
        <w:spacing w:line="600" w:lineRule="exact"/>
        <w:ind w:firstLine="640"/>
        <w:outlineLvl w:val="1"/>
        <w:rPr>
          <w:rStyle w:val="18"/>
          <w:rFonts w:ascii="黑体" w:hAnsi="黑体" w:eastAsia="黑体"/>
          <w:b w:val="0"/>
          <w:color w:val="auto"/>
          <w:highlight w:val="none"/>
        </w:rPr>
      </w:pPr>
      <w:r>
        <w:rPr>
          <w:rFonts w:hint="eastAsia" w:ascii="黑体" w:eastAsia="黑体"/>
          <w:color w:val="auto"/>
          <w:sz w:val="32"/>
          <w:szCs w:val="32"/>
          <w:highlight w:val="none"/>
        </w:rPr>
        <w:t>七、</w:t>
      </w:r>
      <w:r>
        <w:rPr>
          <w:rStyle w:val="18"/>
          <w:rFonts w:hint="eastAsia" w:ascii="黑体" w:hAnsi="黑体" w:eastAsia="黑体"/>
          <w:b w:val="0"/>
          <w:color w:val="auto"/>
          <w:highlight w:val="none"/>
        </w:rPr>
        <w:t>财政拨款</w:t>
      </w:r>
      <w:r>
        <w:rPr>
          <w:rStyle w:val="18"/>
          <w:rFonts w:hint="eastAsia" w:ascii="黑体" w:hAnsi="黑体" w:eastAsia="黑体"/>
          <w:color w:val="auto"/>
          <w:highlight w:val="none"/>
        </w:rPr>
        <w:t>“</w:t>
      </w:r>
      <w:r>
        <w:rPr>
          <w:rStyle w:val="18"/>
          <w:rFonts w:hint="eastAsia" w:ascii="黑体" w:hAnsi="黑体" w:eastAsia="黑体"/>
          <w:b w:val="0"/>
          <w:color w:val="auto"/>
          <w:highlight w:val="none"/>
        </w:rPr>
        <w:t>三公”经费支出决算情况说明</w:t>
      </w:r>
      <w:bookmarkEnd w:id="22"/>
    </w:p>
    <w:p w14:paraId="5BCE4A8A">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（一）“三公”经费财政拨款支出决算总体情况说明</w:t>
      </w:r>
    </w:p>
    <w:p w14:paraId="3E54892E">
      <w:pPr>
        <w:spacing w:line="600" w:lineRule="exact"/>
        <w:ind w:firstLine="64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000000"/>
          <w:sz w:val="32"/>
          <w:szCs w:val="32"/>
          <w:lang w:val="en-US" w:eastAsia="zh-CN"/>
        </w:rPr>
        <w:t>年度</w:t>
      </w:r>
      <w:r>
        <w:rPr>
          <w:rFonts w:hint="eastAsia" w:ascii="仿宋" w:hAnsi="仿宋" w:eastAsia="仿宋" w:cs="仿宋"/>
          <w:color w:val="000000"/>
          <w:sz w:val="32"/>
          <w:szCs w:val="32"/>
        </w:rPr>
        <w:t>“三公”经费财政拨款支出决算为</w:t>
      </w:r>
      <w:r>
        <w:rPr>
          <w:rFonts w:hint="eastAsia" w:ascii="仿宋" w:hAnsi="仿宋" w:eastAsia="仿宋" w:cs="仿宋"/>
          <w:color w:val="000000"/>
          <w:sz w:val="32"/>
          <w:szCs w:val="32"/>
          <w:lang w:eastAsia="zh-CN"/>
        </w:rPr>
        <w:t>0万元。</w:t>
      </w:r>
    </w:p>
    <w:p w14:paraId="5EF4EC98">
      <w:pPr>
        <w:spacing w:line="600" w:lineRule="exact"/>
        <w:ind w:firstLine="64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（二）“三公”经费财政拨款支出决算具体情况说明</w:t>
      </w:r>
    </w:p>
    <w:p w14:paraId="41645128">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rPr>
      </w:pPr>
      <w:r>
        <w:rPr>
          <w:rFonts w:hint="eastAsia" w:ascii="仿宋" w:hAnsi="仿宋" w:eastAsia="仿宋"/>
          <w:color w:val="auto"/>
          <w:sz w:val="32"/>
          <w:szCs w:val="32"/>
          <w:highlight w:val="none"/>
          <w:lang w:eastAsia="zh-CN"/>
        </w:rPr>
        <w:t>2</w:t>
      </w:r>
      <w:r>
        <w:rPr>
          <w:rFonts w:hint="eastAsia" w:ascii="仿宋" w:hAnsi="仿宋" w:eastAsia="仿宋" w:cs="仿宋"/>
          <w:color w:val="auto"/>
          <w:sz w:val="32"/>
          <w:szCs w:val="32"/>
          <w:highlight w:val="none"/>
          <w:lang w:eastAsia="zh-CN"/>
        </w:rPr>
        <w:t>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w:t>
      </w:r>
      <w:r>
        <w:rPr>
          <w:rFonts w:hint="eastAsia" w:ascii="仿宋" w:hAnsi="仿宋" w:eastAsia="仿宋" w:cs="仿宋"/>
          <w:color w:val="000000"/>
          <w:sz w:val="32"/>
          <w:szCs w:val="32"/>
        </w:rPr>
        <w:t>“三公”经费财政拨款支出</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；因公出国（境）费支出决算</w:t>
      </w:r>
      <w:r>
        <w:rPr>
          <w:rFonts w:hint="eastAsia" w:ascii="仿宋" w:hAnsi="仿宋" w:eastAsia="仿宋" w:cs="仿宋"/>
          <w:sz w:val="32"/>
          <w:szCs w:val="32"/>
          <w:lang w:val="en-US" w:eastAsia="zh-CN"/>
        </w:rPr>
        <w:t>0</w:t>
      </w:r>
      <w:r>
        <w:rPr>
          <w:rFonts w:hint="eastAsia" w:ascii="仿宋" w:hAnsi="仿宋" w:eastAsia="仿宋" w:cs="仿宋"/>
          <w:color w:val="000000"/>
          <w:sz w:val="32"/>
          <w:szCs w:val="32"/>
        </w:rPr>
        <w:t>万元；公务用车购置及运行维护费支出决算</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；公务接待费支出决算</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。具体情况如下：</w:t>
      </w:r>
    </w:p>
    <w:p w14:paraId="1281F8F5">
      <w:pPr>
        <w:pageBreakBefore w:val="0"/>
        <w:kinsoku/>
        <w:wordWrap/>
        <w:overflowPunct/>
        <w:topLinePunct w:val="0"/>
        <w:bidi w:val="0"/>
        <w:spacing w:line="576" w:lineRule="exact"/>
        <w:ind w:firstLine="640"/>
        <w:textAlignment w:val="auto"/>
        <w:rPr>
          <w:rFonts w:hint="default" w:ascii="仿宋" w:hAnsi="仿宋" w:eastAsia="仿宋" w:cs="仿宋"/>
          <w:color w:val="000000"/>
          <w:sz w:val="32"/>
          <w:szCs w:val="32"/>
          <w:lang w:val="en-US" w:eastAsia="zh-CN"/>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default" w:ascii="Times New Roman" w:hAnsi="Times New Roman" w:eastAsia="仿宋_GB2312" w:cs="Times New Roman"/>
          <w:b/>
          <w:bCs/>
          <w:color w:val="auto"/>
          <w:kern w:val="2"/>
          <w:sz w:val="32"/>
          <w:szCs w:val="32"/>
          <w:highlight w:val="none"/>
          <w:lang w:val="en-US" w:eastAsia="zh-CN" w:bidi="ar-SA"/>
        </w:rPr>
        <w:t>0</w:t>
      </w:r>
      <w:r>
        <w:rPr>
          <w:rFonts w:hint="eastAsia" w:ascii="仿宋" w:hAnsi="仿宋" w:eastAsia="仿宋" w:cs="仿宋"/>
          <w:b/>
          <w:bCs/>
          <w:color w:val="auto"/>
          <w:kern w:val="2"/>
          <w:sz w:val="32"/>
          <w:szCs w:val="32"/>
          <w:highlight w:val="none"/>
          <w:lang w:val="en-US" w:eastAsia="zh-CN" w:bidi="ar-SA"/>
        </w:rPr>
        <w:t>万元，完成预算0%。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p>
    <w:p w14:paraId="473ADF68">
      <w:pPr>
        <w:pageBreakBefore w:val="0"/>
        <w:kinsoku/>
        <w:wordWrap/>
        <w:overflowPunct/>
        <w:topLinePunct w:val="0"/>
        <w:bidi w:val="0"/>
        <w:spacing w:line="576"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w:t>
      </w:r>
      <w:r>
        <w:rPr>
          <w:rFonts w:hint="eastAsia" w:ascii="仿宋" w:hAnsi="仿宋" w:eastAsia="仿宋" w:cs="仿宋"/>
          <w:b/>
          <w:color w:val="auto"/>
          <w:sz w:val="32"/>
          <w:szCs w:val="32"/>
          <w:highlight w:val="none"/>
        </w:rPr>
        <w:t>费支</w:t>
      </w:r>
      <w:r>
        <w:rPr>
          <w:rFonts w:hint="eastAsia" w:ascii="仿宋" w:hAnsi="仿宋" w:eastAsia="仿宋" w:cs="仿宋"/>
          <w:b/>
          <w:bCs w:val="0"/>
          <w:color w:val="auto"/>
          <w:sz w:val="32"/>
          <w:szCs w:val="32"/>
          <w:highlight w:val="none"/>
        </w:rPr>
        <w:t>出</w:t>
      </w:r>
      <w:r>
        <w:rPr>
          <w:rFonts w:hint="eastAsia" w:ascii="仿宋" w:hAnsi="仿宋" w:eastAsia="仿宋" w:cs="仿宋"/>
          <w:b/>
          <w:bCs w:val="0"/>
          <w:color w:val="auto"/>
          <w:sz w:val="32"/>
          <w:szCs w:val="32"/>
          <w:highlight w:val="none"/>
          <w:lang w:val="en-US" w:eastAsia="zh-CN"/>
        </w:rPr>
        <w:t>0</w:t>
      </w:r>
      <w:r>
        <w:rPr>
          <w:rFonts w:hint="eastAsia" w:ascii="仿宋" w:hAnsi="仿宋" w:eastAsia="仿宋" w:cs="仿宋"/>
          <w:b/>
          <w:bCs w:val="0"/>
          <w:color w:val="auto"/>
          <w:sz w:val="32"/>
          <w:szCs w:val="32"/>
          <w:highlight w:val="none"/>
        </w:rPr>
        <w:t>万元</w:t>
      </w:r>
      <w:r>
        <w:rPr>
          <w:rFonts w:hint="eastAsia" w:ascii="仿宋" w:hAnsi="仿宋" w:eastAsia="仿宋" w:cs="仿宋"/>
          <w:color w:val="auto"/>
          <w:sz w:val="32"/>
          <w:szCs w:val="32"/>
          <w:highlight w:val="none"/>
        </w:rPr>
        <w:t>,</w:t>
      </w:r>
      <w:r>
        <w:rPr>
          <w:rFonts w:hint="eastAsia" w:ascii="仿宋" w:hAnsi="仿宋" w:eastAsia="仿宋" w:cs="仿宋"/>
          <w:b/>
          <w:bCs/>
          <w:color w:val="auto"/>
          <w:kern w:val="2"/>
          <w:sz w:val="32"/>
          <w:szCs w:val="32"/>
          <w:highlight w:val="none"/>
          <w:lang w:val="en-US" w:eastAsia="zh-CN" w:bidi="ar-SA"/>
        </w:rPr>
        <w:t>完成预算0%,</w:t>
      </w:r>
      <w:r>
        <w:rPr>
          <w:rFonts w:hint="default" w:ascii="Times New Roman" w:hAnsi="Times New Roman" w:eastAsia="仿宋_GB2312" w:cs="Times New Roman"/>
          <w:color w:val="auto"/>
          <w:kern w:val="2"/>
          <w:sz w:val="32"/>
          <w:szCs w:val="32"/>
          <w:highlight w:val="none"/>
          <w:lang w:val="en-US" w:eastAsia="zh-CN" w:bidi="ar-SA"/>
        </w:rPr>
        <w:t>截至2025年12月31日，单位共有公务用车</w:t>
      </w:r>
      <w:r>
        <w:rPr>
          <w:rFonts w:hint="eastAsia" w:ascii="Times New Roman" w:hAnsi="Times New Roman" w:eastAsia="仿宋_GB2312" w:cs="Times New Roman"/>
          <w:color w:val="auto"/>
          <w:kern w:val="2"/>
          <w:sz w:val="32"/>
          <w:szCs w:val="32"/>
          <w:highlight w:val="none"/>
          <w:lang w:val="en-US" w:eastAsia="zh-CN" w:bidi="ar-SA"/>
        </w:rPr>
        <w:t>0</w:t>
      </w:r>
      <w:r>
        <w:rPr>
          <w:rFonts w:hint="default" w:ascii="Times New Roman" w:hAnsi="Times New Roman" w:eastAsia="仿宋_GB2312" w:cs="Times New Roman"/>
          <w:color w:val="auto"/>
          <w:kern w:val="2"/>
          <w:sz w:val="32"/>
          <w:szCs w:val="32"/>
          <w:highlight w:val="none"/>
          <w:lang w:val="en-US" w:eastAsia="zh-CN" w:bidi="ar-SA"/>
        </w:rPr>
        <w:t>辆</w:t>
      </w:r>
      <w:r>
        <w:rPr>
          <w:rFonts w:hint="eastAsia" w:ascii="Times New Roman" w:hAnsi="Times New Roman"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其中：</w:t>
      </w:r>
    </w:p>
    <w:p w14:paraId="172F7ABA">
      <w:pPr>
        <w:pageBreakBefore w:val="0"/>
        <w:kinsoku/>
        <w:wordWrap/>
        <w:overflowPunct/>
        <w:topLinePunct w:val="0"/>
        <w:bidi w:val="0"/>
        <w:spacing w:line="576" w:lineRule="exact"/>
        <w:ind w:firstLine="640"/>
        <w:textAlignment w:val="auto"/>
        <w:rPr>
          <w:rFonts w:hint="eastAsia"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公务用车购置支出0万元。</w:t>
      </w:r>
    </w:p>
    <w:p w14:paraId="7855F05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b/>
          <w:bCs w:val="0"/>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公务用车运行维护费支出0万元。</w:t>
      </w:r>
    </w:p>
    <w:p w14:paraId="060E02C2">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Fonts w:hint="eastAsia" w:ascii="仿宋" w:hAnsi="仿宋" w:eastAsia="仿宋" w:cs="仿宋"/>
          <w:b/>
          <w:color w:val="auto"/>
          <w:sz w:val="32"/>
          <w:szCs w:val="32"/>
          <w:highlight w:val="none"/>
        </w:rPr>
        <w:t>3.公务接待费支出</w:t>
      </w:r>
      <w:r>
        <w:rPr>
          <w:rFonts w:hint="eastAsia" w:ascii="仿宋" w:hAnsi="仿宋" w:eastAsia="仿宋" w:cs="仿宋"/>
          <w:b/>
          <w:bCs/>
          <w:color w:val="auto"/>
          <w:kern w:val="2"/>
          <w:sz w:val="32"/>
          <w:szCs w:val="32"/>
          <w:highlight w:val="none"/>
          <w:lang w:val="en-US" w:eastAsia="zh-CN" w:bidi="ar-SA"/>
        </w:rPr>
        <w:t>0万元，完成预算0%。</w:t>
      </w:r>
      <w:r>
        <w:rPr>
          <w:rFonts w:hint="default" w:ascii="Times New Roman" w:hAnsi="Times New Roman" w:eastAsia="仿宋_GB2312" w:cs="Times New Roman"/>
          <w:color w:val="000000"/>
          <w:sz w:val="32"/>
          <w:szCs w:val="32"/>
        </w:rPr>
        <w:t>其中：</w:t>
      </w:r>
    </w:p>
    <w:p w14:paraId="47122F21">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国内公务接待支出</w:t>
      </w:r>
      <w:r>
        <w:rPr>
          <w:rFonts w:hint="default" w:ascii="Times New Roman" w:hAnsi="Times New Roman" w:eastAsia="仿宋_GB2312" w:cs="Times New Roman"/>
          <w:color w:val="000000"/>
          <w:sz w:val="32"/>
          <w:szCs w:val="32"/>
          <w:lang w:eastAsia="zh-CN"/>
        </w:rPr>
        <w:t>0万元</w:t>
      </w:r>
      <w:r>
        <w:rPr>
          <w:rFonts w:hint="default" w:ascii="Times New Roman" w:hAnsi="Times New Roman" w:eastAsia="仿宋_GB2312" w:cs="Times New Roman"/>
          <w:color w:val="000000"/>
          <w:sz w:val="32"/>
          <w:szCs w:val="32"/>
        </w:rPr>
        <w:t>。</w:t>
      </w:r>
    </w:p>
    <w:p w14:paraId="4EFC903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eastAsia="仿宋_GB2312"/>
          <w:lang w:eastAsia="zh-CN"/>
        </w:rPr>
      </w:pPr>
      <w:r>
        <w:rPr>
          <w:rFonts w:hint="default" w:ascii="Times New Roman" w:hAnsi="Times New Roman" w:eastAsia="仿宋_GB2312" w:cs="Times New Roman"/>
          <w:color w:val="000000"/>
          <w:sz w:val="32"/>
          <w:szCs w:val="32"/>
        </w:rPr>
        <w:t>外事接待支出</w:t>
      </w:r>
      <w:r>
        <w:rPr>
          <w:rFonts w:hint="default" w:ascii="Times New Roman" w:hAnsi="Times New Roman" w:eastAsia="仿宋_GB2312" w:cs="Times New Roman"/>
          <w:color w:val="000000"/>
          <w:sz w:val="32"/>
          <w:szCs w:val="32"/>
          <w:lang w:eastAsia="zh-CN"/>
        </w:rPr>
        <w:t>0万元</w:t>
      </w:r>
      <w:r>
        <w:rPr>
          <w:rFonts w:hint="eastAsia" w:ascii="Times New Roman" w:hAnsi="Times New Roman" w:eastAsia="仿宋_GB2312" w:cs="Times New Roman"/>
          <w:color w:val="000000"/>
          <w:sz w:val="32"/>
          <w:szCs w:val="32"/>
          <w:lang w:eastAsia="zh-CN"/>
        </w:rPr>
        <w:t>。</w:t>
      </w:r>
    </w:p>
    <w:p w14:paraId="5D91C64A">
      <w:pPr>
        <w:spacing w:line="600" w:lineRule="exact"/>
        <w:ind w:firstLine="640"/>
        <w:outlineLvl w:val="1"/>
        <w:rPr>
          <w:rStyle w:val="18"/>
          <w:rFonts w:ascii="黑体" w:hAnsi="黑体" w:eastAsia="黑体"/>
          <w:color w:val="auto"/>
          <w:highlight w:val="none"/>
        </w:rPr>
      </w:pPr>
      <w:bookmarkStart w:id="23" w:name="_Toc12515"/>
      <w:r>
        <w:rPr>
          <w:rFonts w:hint="eastAsia" w:ascii="黑体" w:eastAsia="黑体"/>
          <w:color w:val="auto"/>
          <w:sz w:val="32"/>
          <w:szCs w:val="32"/>
          <w:highlight w:val="none"/>
        </w:rPr>
        <w:t>八、</w:t>
      </w:r>
      <w:r>
        <w:rPr>
          <w:rStyle w:val="18"/>
          <w:rFonts w:hint="eastAsia" w:ascii="黑体" w:hAnsi="黑体" w:eastAsia="黑体"/>
          <w:b w:val="0"/>
          <w:color w:val="auto"/>
          <w:highlight w:val="none"/>
        </w:rPr>
        <w:t>政府性基金预算支出决算情况说明</w:t>
      </w:r>
      <w:bookmarkEnd w:id="23"/>
    </w:p>
    <w:p w14:paraId="7A8FD753">
      <w:pPr>
        <w:spacing w:line="600" w:lineRule="exact"/>
        <w:ind w:firstLine="640"/>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0CFBDEC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8"/>
          <w:rFonts w:ascii="黑体" w:hAnsi="黑体" w:eastAsia="黑体"/>
          <w:b w:val="0"/>
          <w:color w:val="auto"/>
          <w:highlight w:val="none"/>
        </w:rPr>
      </w:pPr>
      <w:bookmarkStart w:id="24" w:name="_Toc13784"/>
      <w:r>
        <w:rPr>
          <w:rStyle w:val="18"/>
          <w:rFonts w:hint="eastAsia" w:ascii="黑体" w:hAnsi="黑体" w:eastAsia="黑体"/>
          <w:b w:val="0"/>
          <w:color w:val="auto"/>
          <w:highlight w:val="none"/>
          <w:lang w:eastAsia="zh-CN"/>
        </w:rPr>
        <w:t>九、</w:t>
      </w:r>
      <w:r>
        <w:rPr>
          <w:rStyle w:val="18"/>
          <w:rFonts w:hint="eastAsia" w:ascii="黑体" w:hAnsi="黑体" w:eastAsia="黑体"/>
          <w:b w:val="0"/>
          <w:color w:val="auto"/>
          <w:highlight w:val="none"/>
        </w:rPr>
        <w:t>国有资本经营预算支出决算情况说明</w:t>
      </w:r>
      <w:bookmarkEnd w:id="24"/>
    </w:p>
    <w:p w14:paraId="16AF166B">
      <w:pPr>
        <w:spacing w:line="600" w:lineRule="exact"/>
        <w:ind w:firstLine="640"/>
        <w:rPr>
          <w:rFonts w:ascii="方正小标宋简体" w:hAnsi="方正小标宋简体" w:eastAsia="方正小标宋简体" w:cs="方正小标宋简体"/>
          <w:color w:val="auto"/>
          <w:sz w:val="44"/>
          <w:szCs w:val="44"/>
          <w:highlight w:val="none"/>
        </w:rPr>
      </w:pP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rPr>
        <w:t>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14:paraId="6C60DAD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18"/>
          <w:rFonts w:hint="eastAsia" w:ascii="黑体" w:hAnsi="黑体" w:eastAsia="黑体"/>
          <w:b w:val="0"/>
          <w:color w:val="auto"/>
          <w:highlight w:val="none"/>
        </w:rPr>
      </w:pPr>
      <w:bookmarkStart w:id="25" w:name="_Toc7790"/>
      <w:r>
        <w:rPr>
          <w:rStyle w:val="18"/>
          <w:rFonts w:hint="eastAsia" w:ascii="黑体" w:hAnsi="黑体" w:eastAsia="黑体"/>
          <w:b w:val="0"/>
          <w:color w:val="auto"/>
          <w:highlight w:val="none"/>
          <w:lang w:eastAsia="zh-CN"/>
        </w:rPr>
        <w:t>十、</w:t>
      </w:r>
      <w:r>
        <w:rPr>
          <w:rStyle w:val="18"/>
          <w:rFonts w:hint="eastAsia" w:ascii="黑体" w:hAnsi="黑体" w:eastAsia="黑体"/>
          <w:b w:val="0"/>
          <w:color w:val="auto"/>
          <w:highlight w:val="none"/>
        </w:rPr>
        <w:t>其他重要事项的情况说明</w:t>
      </w:r>
      <w:bookmarkEnd w:id="25"/>
    </w:p>
    <w:p w14:paraId="5C8777BC">
      <w:pPr>
        <w:spacing w:line="600" w:lineRule="exact"/>
        <w:ind w:firstLine="643" w:firstLineChars="200"/>
        <w:outlineLvl w:val="2"/>
        <w:rPr>
          <w:rFonts w:ascii="仿宋" w:hAnsi="仿宋" w:eastAsia="仿宋"/>
          <w:color w:val="auto"/>
          <w:sz w:val="32"/>
          <w:szCs w:val="32"/>
          <w:highlight w:val="none"/>
        </w:rPr>
      </w:pPr>
      <w:r>
        <w:rPr>
          <w:rFonts w:hint="eastAsia" w:ascii="仿宋" w:hAnsi="仿宋" w:eastAsia="仿宋"/>
          <w:b/>
          <w:color w:val="auto"/>
          <w:sz w:val="32"/>
          <w:szCs w:val="32"/>
          <w:highlight w:val="none"/>
        </w:rPr>
        <w:t>（一）机关运行经费支出情况</w:t>
      </w:r>
    </w:p>
    <w:p w14:paraId="4205B020">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ascii="仿宋_GB2312" w:eastAsia="仿宋_GB2312"/>
          <w:color w:val="auto"/>
          <w:sz w:val="32"/>
          <w:szCs w:val="32"/>
          <w:highlight w:val="none"/>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w:t>
      </w:r>
      <w:r>
        <w:rPr>
          <w:rFonts w:hint="eastAsia" w:ascii="仿宋" w:hAnsi="仿宋" w:eastAsia="仿宋" w:cs="仿宋"/>
          <w:color w:val="auto"/>
          <w:sz w:val="32"/>
          <w:szCs w:val="32"/>
          <w:highlight w:val="none"/>
        </w:rPr>
        <w:t>，</w:t>
      </w:r>
      <w:r>
        <w:rPr>
          <w:rFonts w:hint="eastAsia" w:ascii="仿宋" w:hAnsi="仿宋" w:eastAsia="仿宋" w:cs="仿宋"/>
          <w:sz w:val="32"/>
          <w:szCs w:val="32"/>
          <w:highlight w:val="none"/>
        </w:rPr>
        <w:t>茂县凤仪镇便民服务中心</w:t>
      </w:r>
      <w:r>
        <w:rPr>
          <w:rFonts w:hint="eastAsia" w:ascii="仿宋" w:hAnsi="仿宋" w:eastAsia="仿宋" w:cs="仿宋"/>
          <w:color w:val="000000"/>
          <w:sz w:val="32"/>
          <w:szCs w:val="32"/>
        </w:rPr>
        <w:t>机关运行经费支出</w:t>
      </w:r>
      <w:r>
        <w:rPr>
          <w:rFonts w:hint="eastAsia" w:ascii="仿宋" w:hAnsi="仿宋" w:eastAsia="仿宋" w:cs="仿宋"/>
          <w:color w:val="000000"/>
          <w:sz w:val="32"/>
          <w:u w:color="auto"/>
          <w:lang w:eastAsia="zh-CN"/>
        </w:rPr>
        <w:t>0万元</w:t>
      </w:r>
      <w:r>
        <w:rPr>
          <w:rFonts w:hint="eastAsia" w:ascii="仿宋" w:hAnsi="仿宋" w:eastAsia="仿宋" w:cs="仿宋"/>
          <w:color w:val="000000"/>
          <w:sz w:val="32"/>
          <w:u w:color="auto"/>
        </w:rPr>
        <w:t>，</w:t>
      </w:r>
      <w:r>
        <w:rPr>
          <w:rFonts w:hint="eastAsia" w:ascii="仿宋" w:hAnsi="仿宋" w:eastAsia="仿宋" w:cs="仿宋"/>
          <w:color w:val="000000"/>
          <w:sz w:val="32"/>
          <w:szCs w:val="32"/>
          <w:lang w:eastAsia="zh-CN"/>
        </w:rPr>
        <w:t>与</w:t>
      </w:r>
      <w:r>
        <w:rPr>
          <w:rFonts w:hint="eastAsia" w:ascii="仿宋" w:hAnsi="仿宋" w:eastAsia="仿宋" w:cs="仿宋"/>
          <w:color w:val="000000"/>
          <w:sz w:val="32"/>
          <w:szCs w:val="32"/>
        </w:rPr>
        <w:t>202</w:t>
      </w:r>
      <w:r>
        <w:rPr>
          <w:rFonts w:hint="eastAsia" w:ascii="仿宋" w:hAnsi="仿宋" w:eastAsia="仿宋" w:cs="仿宋"/>
          <w:color w:val="000000"/>
          <w:sz w:val="32"/>
          <w:szCs w:val="32"/>
          <w:lang w:val="en-US" w:eastAsia="zh-CN"/>
        </w:rPr>
        <w:t>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度相比无变化。</w:t>
      </w:r>
    </w:p>
    <w:p w14:paraId="7A38AD98">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（二）政府采购支出情况</w:t>
      </w:r>
    </w:p>
    <w:p w14:paraId="4F4EB332">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年度</w:t>
      </w:r>
      <w:r>
        <w:rPr>
          <w:rFonts w:hint="eastAsia" w:ascii="仿宋" w:hAnsi="仿宋" w:eastAsia="仿宋" w:cs="仿宋"/>
          <w:color w:val="auto"/>
          <w:sz w:val="32"/>
          <w:szCs w:val="32"/>
          <w:highlight w:val="none"/>
        </w:rPr>
        <w:t>，</w:t>
      </w:r>
      <w:r>
        <w:rPr>
          <w:rFonts w:hint="eastAsia" w:ascii="仿宋" w:hAnsi="仿宋" w:eastAsia="仿宋" w:cs="仿宋"/>
          <w:sz w:val="32"/>
          <w:szCs w:val="32"/>
          <w:highlight w:val="none"/>
        </w:rPr>
        <w:t>茂县凤仪镇便民服务中心</w:t>
      </w:r>
      <w:r>
        <w:rPr>
          <w:rFonts w:hint="eastAsia" w:ascii="仿宋" w:hAnsi="仿宋" w:eastAsia="仿宋" w:cs="仿宋"/>
          <w:color w:val="000000"/>
          <w:sz w:val="32"/>
          <w:szCs w:val="32"/>
        </w:rPr>
        <w:t>政府采购支出总额</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，其中：政府采购货物支出</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、政府采购工程支出</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、政府采购服务支出</w:t>
      </w:r>
      <w:r>
        <w:rPr>
          <w:rFonts w:hint="eastAsia" w:ascii="仿宋" w:hAnsi="仿宋" w:eastAsia="仿宋" w:cs="仿宋"/>
          <w:color w:val="000000"/>
          <w:sz w:val="32"/>
          <w:szCs w:val="32"/>
          <w:lang w:eastAsia="zh-CN"/>
        </w:rPr>
        <w:t>0万元</w:t>
      </w:r>
      <w:r>
        <w:rPr>
          <w:rFonts w:hint="eastAsia" w:ascii="仿宋" w:hAnsi="仿宋" w:eastAsia="仿宋" w:cs="仿宋"/>
          <w:color w:val="000000"/>
          <w:sz w:val="32"/>
          <w:szCs w:val="32"/>
        </w:rPr>
        <w:t>。</w:t>
      </w:r>
    </w:p>
    <w:p w14:paraId="280B4FD9">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（三）国有资产占有使用情况</w:t>
      </w:r>
    </w:p>
    <w:p w14:paraId="04871EF8">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仿宋" w:hAnsi="仿宋" w:eastAsia="仿宋" w:cs="仿宋"/>
          <w:color w:val="auto"/>
          <w:sz w:val="32"/>
          <w:szCs w:val="32"/>
          <w:highlight w:val="none"/>
        </w:rPr>
      </w:pPr>
      <w:r>
        <w:rPr>
          <w:rFonts w:hint="default" w:ascii="仿宋" w:hAnsi="仿宋" w:eastAsia="仿宋" w:cs="仿宋"/>
          <w:color w:val="auto"/>
          <w:sz w:val="32"/>
          <w:szCs w:val="32"/>
          <w:highlight w:val="none"/>
        </w:rPr>
        <w:t>截至202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rPr>
        <w:t>年12月31日，共有车辆0辆，其中：主要领导干部用车0辆、机要通信用车0辆、应急保障用车0辆、其他用车0辆。单价100万元以上专用设备</w:t>
      </w:r>
      <w:r>
        <w:rPr>
          <w:rFonts w:hint="default" w:ascii="仿宋" w:hAnsi="仿宋" w:eastAsia="仿宋" w:cs="仿宋"/>
          <w:color w:val="auto"/>
          <w:sz w:val="32"/>
          <w:szCs w:val="32"/>
          <w:highlight w:val="none"/>
          <w:lang w:eastAsia="zh-CN"/>
        </w:rPr>
        <w:t>（</w:t>
      </w:r>
      <w:r>
        <w:rPr>
          <w:rFonts w:hint="default" w:ascii="仿宋" w:hAnsi="仿宋" w:eastAsia="仿宋" w:cs="仿宋"/>
          <w:color w:val="auto"/>
          <w:sz w:val="32"/>
          <w:szCs w:val="32"/>
          <w:highlight w:val="none"/>
          <w:lang w:val="en-US" w:eastAsia="zh-CN"/>
        </w:rPr>
        <w:t>不含车辆</w:t>
      </w:r>
      <w:r>
        <w:rPr>
          <w:rFonts w:hint="default" w:ascii="仿宋" w:hAnsi="仿宋" w:eastAsia="仿宋" w:cs="仿宋"/>
          <w:color w:val="auto"/>
          <w:sz w:val="32"/>
          <w:szCs w:val="32"/>
          <w:highlight w:val="none"/>
          <w:lang w:eastAsia="zh-CN"/>
        </w:rPr>
        <w:t>）</w:t>
      </w:r>
      <w:r>
        <w:rPr>
          <w:rFonts w:hint="default" w:ascii="仿宋" w:hAnsi="仿宋" w:eastAsia="仿宋" w:cs="仿宋"/>
          <w:color w:val="auto"/>
          <w:sz w:val="32"/>
          <w:szCs w:val="32"/>
          <w:highlight w:val="none"/>
        </w:rPr>
        <w:t>0台（套）。</w:t>
      </w:r>
    </w:p>
    <w:p w14:paraId="35C694CD">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11134962">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根据预算绩效管理要求，本</w:t>
      </w:r>
      <w:r>
        <w:rPr>
          <w:rFonts w:hint="default" w:ascii="Times New Roman" w:hAnsi="Times New Roman" w:eastAsia="仿宋_GB2312" w:cs="Times New Roman"/>
          <w:color w:val="000000"/>
          <w:sz w:val="32"/>
          <w:szCs w:val="32"/>
          <w:lang w:eastAsia="zh-CN"/>
        </w:rPr>
        <w:t>单位</w:t>
      </w:r>
      <w:r>
        <w:rPr>
          <w:rFonts w:hint="default" w:ascii="Times New Roman" w:hAnsi="Times New Roman" w:eastAsia="仿宋_GB2312" w:cs="Times New Roman"/>
          <w:color w:val="000000"/>
          <w:sz w:val="32"/>
          <w:szCs w:val="32"/>
        </w:rPr>
        <w:t>在202</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年度预算编制阶段，未编制项目。</w:t>
      </w:r>
    </w:p>
    <w:p w14:paraId="208B5398">
      <w:pPr>
        <w:spacing w:line="600" w:lineRule="exact"/>
        <w:ind w:firstLine="640" w:firstLineChars="200"/>
        <w:rPr>
          <w:rFonts w:hint="eastAsia" w:ascii="仿宋_GB2312" w:hAnsi="Times New Roman" w:eastAsia="仿宋_GB2312" w:cs="Times New Roman"/>
          <w:color w:val="auto"/>
          <w:sz w:val="32"/>
          <w:szCs w:val="32"/>
          <w:highlight w:val="none"/>
          <w:lang w:val="en-US" w:eastAsia="zh-CN"/>
        </w:rPr>
      </w:pPr>
    </w:p>
    <w:p w14:paraId="04819F09">
      <w:pPr>
        <w:spacing w:line="600" w:lineRule="exact"/>
        <w:ind w:firstLine="640" w:firstLineChars="200"/>
        <w:rPr>
          <w:rFonts w:hint="eastAsia" w:ascii="仿宋_GB2312" w:hAnsi="Times New Roman" w:eastAsia="仿宋_GB2312" w:cs="Times New Roman"/>
          <w:color w:val="auto"/>
          <w:sz w:val="32"/>
          <w:szCs w:val="32"/>
          <w:highlight w:val="none"/>
          <w:lang w:eastAsia="zh-CN"/>
        </w:rPr>
      </w:pPr>
      <w:r>
        <w:rPr>
          <w:rFonts w:hint="eastAsia" w:ascii="仿宋_GB2312" w:hAnsi="Times New Roman" w:eastAsia="仿宋_GB2312" w:cs="Times New Roman"/>
          <w:color w:val="auto"/>
          <w:sz w:val="32"/>
          <w:szCs w:val="32"/>
          <w:highlight w:val="none"/>
          <w:lang w:eastAsia="zh-CN"/>
        </w:rPr>
        <w:br w:type="page"/>
      </w:r>
    </w:p>
    <w:p w14:paraId="70E19728">
      <w:pPr>
        <w:numPr>
          <w:ilvl w:val="0"/>
          <w:numId w:val="0"/>
        </w:numPr>
        <w:spacing w:line="600" w:lineRule="exact"/>
        <w:jc w:val="center"/>
        <w:outlineLvl w:val="0"/>
        <w:rPr>
          <w:rStyle w:val="16"/>
          <w:rFonts w:ascii="黑体" w:hAnsi="黑体" w:eastAsia="黑体"/>
          <w:b w:val="0"/>
          <w:color w:val="auto"/>
          <w:highlight w:val="none"/>
        </w:rPr>
      </w:pPr>
      <w:bookmarkStart w:id="26" w:name="_Toc16061"/>
      <w:r>
        <w:rPr>
          <w:rFonts w:hint="eastAsia" w:ascii="黑体" w:hAnsi="黑体" w:eastAsia="黑体"/>
          <w:color w:val="auto"/>
          <w:sz w:val="44"/>
          <w:szCs w:val="44"/>
          <w:highlight w:val="none"/>
          <w:lang w:eastAsia="zh-CN"/>
        </w:rPr>
        <w:t>第三部分</w:t>
      </w:r>
      <w:r>
        <w:rPr>
          <w:rFonts w:hint="eastAsia" w:ascii="黑体" w:hAnsi="黑体" w:eastAsia="黑体"/>
          <w:color w:val="auto"/>
          <w:sz w:val="44"/>
          <w:szCs w:val="44"/>
          <w:highlight w:val="none"/>
          <w:lang w:val="en-US" w:eastAsia="zh-CN"/>
        </w:rPr>
        <w:t xml:space="preserve">  </w:t>
      </w:r>
      <w:r>
        <w:rPr>
          <w:rFonts w:hint="eastAsia" w:ascii="黑体" w:hAnsi="黑体" w:eastAsia="黑体"/>
          <w:color w:val="auto"/>
          <w:sz w:val="44"/>
          <w:szCs w:val="44"/>
          <w:highlight w:val="none"/>
        </w:rPr>
        <w:t>名</w:t>
      </w:r>
      <w:r>
        <w:rPr>
          <w:rStyle w:val="16"/>
          <w:rFonts w:hint="eastAsia" w:ascii="黑体" w:hAnsi="黑体" w:eastAsia="黑体"/>
          <w:b w:val="0"/>
          <w:color w:val="auto"/>
          <w:highlight w:val="none"/>
        </w:rPr>
        <w:t>词解释</w:t>
      </w:r>
      <w:bookmarkEnd w:id="26"/>
    </w:p>
    <w:p w14:paraId="696524FD">
      <w:pPr>
        <w:spacing w:line="600" w:lineRule="exact"/>
        <w:jc w:val="left"/>
        <w:rPr>
          <w:rFonts w:ascii="宋体"/>
          <w:b/>
          <w:color w:val="auto"/>
          <w:sz w:val="44"/>
          <w:szCs w:val="44"/>
          <w:highlight w:val="none"/>
        </w:rPr>
      </w:pPr>
    </w:p>
    <w:p w14:paraId="3E792F52">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bookmarkStart w:id="27" w:name="_Toc20047"/>
      <w:r>
        <w:rPr>
          <w:rFonts w:hint="eastAsia" w:ascii="仿宋" w:hAnsi="仿宋" w:eastAsia="仿宋" w:cs="仿宋"/>
          <w:color w:val="000000"/>
          <w:sz w:val="32"/>
          <w:szCs w:val="32"/>
        </w:rPr>
        <w:t>1.财政拨款收入：指单位从同级财政部门取得的财政预算资金。</w:t>
      </w:r>
    </w:p>
    <w:p w14:paraId="592327AA">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14:paraId="1B58CF35">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14:paraId="663E44A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14:paraId="7F582D6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5.使用非财政拨款结余（含专用结余）：指事业单位使用以前年度积累的非财政拨款结余弥补当年收支差额的金额。</w:t>
      </w:r>
    </w:p>
    <w:p w14:paraId="65658582">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6.年初结转和结余：指以前年度尚未完成、结转到本年按有关规定继续使用的资金。</w:t>
      </w:r>
    </w:p>
    <w:p w14:paraId="3635D3F5">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14:paraId="43BD2A0A">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14:paraId="60C218AF">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9.社会保障和就业支出（类）行政事业单位养老支出（款）机关事业单位基本养老保险缴费支出（项）：反映机关事业单位实施养老保险制度由单位缴纳的基本养老保险费支出。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10.社会保障和就业支出（类）行政事业单位养老支出（款）机关事业单位职业年金缴费支出（项）：反映机关事业单位实施养老保险制度由单位实际缴纳的职业年金支出。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11.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12.农林水支出（类）农业农村（款）事业运行（项）：反映用于农业事业单位基本支出，事业单位设施、系统运行与资产维护等方面的支出。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13.住房保障支出（类）住房改革支出（款）住房公积金（项）：反映行政事业单位按人力资源和社会保障部、财政部规定的基本工资和津贴补贴以及规定比例为职工缴纳的住房公积金。</w:t>
      </w:r>
    </w:p>
    <w:p w14:paraId="3142DE1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14</w:t>
      </w:r>
      <w:r>
        <w:rPr>
          <w:rFonts w:hint="eastAsia" w:ascii="仿宋" w:hAnsi="仿宋" w:eastAsia="仿宋" w:cs="仿宋"/>
          <w:color w:val="000000"/>
          <w:sz w:val="32"/>
          <w:u w:color="auto"/>
        </w:rPr>
        <w:t>.基本支出：指为保障机构正常运转、完成日常工作任务而发生的人员支出和公用支出。</w:t>
      </w:r>
    </w:p>
    <w:p w14:paraId="38241E9F">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15</w:t>
      </w:r>
      <w:r>
        <w:rPr>
          <w:rFonts w:hint="eastAsia" w:ascii="仿宋" w:hAnsi="仿宋" w:eastAsia="仿宋" w:cs="仿宋"/>
          <w:color w:val="000000"/>
          <w:sz w:val="32"/>
          <w:u w:color="auto"/>
        </w:rPr>
        <w:t>.项目支出：指在基本支出之外为完成特定行政任务和事业发展目标所发生的支出。</w:t>
      </w:r>
    </w:p>
    <w:p w14:paraId="7901C74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16</w:t>
      </w:r>
      <w:r>
        <w:rPr>
          <w:rFonts w:hint="eastAsia" w:ascii="仿宋" w:hAnsi="仿宋" w:eastAsia="仿宋" w:cs="仿宋"/>
          <w:color w:val="000000"/>
          <w:sz w:val="32"/>
          <w:u w:color="auto"/>
        </w:rPr>
        <w:t>.经营支出：指事业单位在专业业务活动及其辅助活动之外开展非独立核算经营活动发生的支出。</w:t>
      </w:r>
    </w:p>
    <w:p w14:paraId="1E3729A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17</w:t>
      </w:r>
      <w:r>
        <w:rPr>
          <w:rFonts w:hint="eastAsia"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04A4A5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18</w:t>
      </w:r>
      <w:r>
        <w:rPr>
          <w:rFonts w:hint="eastAsia"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A5F2FD">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 w:hAnsi="仿宋" w:eastAsia="仿宋" w:cs="仿宋"/>
          <w:sz w:val="32"/>
          <w:szCs w:val="32"/>
        </w:rPr>
      </w:pPr>
      <w:r>
        <w:rPr>
          <w:rFonts w:hint="eastAsia" w:ascii="仿宋" w:hAnsi="仿宋" w:eastAsia="仿宋" w:cs="仿宋"/>
          <w:color w:val="000000"/>
          <w:sz w:val="32"/>
          <w:szCs w:val="32"/>
        </w:rPr>
        <w:t>19</w:t>
      </w:r>
      <w:r>
        <w:rPr>
          <w:rFonts w:hint="eastAsia" w:ascii="仿宋" w:hAnsi="仿宋" w:eastAsia="仿宋" w:cs="仿宋"/>
          <w:color w:val="000000"/>
          <w:sz w:val="32"/>
          <w:u w:color="auto"/>
        </w:rPr>
        <w:t>.财政应返还额度：为行政事业单位会计核算科目，用于核算实行国库集中支付的行政事业单位应收财政返还的资金额度。</w:t>
      </w:r>
    </w:p>
    <w:p w14:paraId="473A42D6">
      <w:pPr>
        <w:spacing w:line="600" w:lineRule="exact"/>
        <w:jc w:val="center"/>
        <w:outlineLvl w:val="0"/>
        <w:rPr>
          <w:rFonts w:hint="eastAsia" w:ascii="黑体" w:hAnsi="黑体" w:eastAsia="黑体"/>
          <w:color w:val="auto"/>
          <w:sz w:val="44"/>
          <w:szCs w:val="44"/>
          <w:highlight w:val="none"/>
        </w:rPr>
      </w:pPr>
    </w:p>
    <w:p w14:paraId="1684D94D">
      <w:pPr>
        <w:spacing w:line="600" w:lineRule="exact"/>
        <w:jc w:val="center"/>
        <w:outlineLvl w:val="0"/>
        <w:rPr>
          <w:rFonts w:hint="eastAsia" w:ascii="黑体" w:hAnsi="黑体" w:eastAsia="黑体"/>
          <w:color w:val="auto"/>
          <w:sz w:val="44"/>
          <w:szCs w:val="44"/>
          <w:highlight w:val="none"/>
        </w:rPr>
      </w:pPr>
    </w:p>
    <w:p w14:paraId="04137304">
      <w:pPr>
        <w:spacing w:line="600" w:lineRule="exact"/>
        <w:jc w:val="center"/>
        <w:outlineLvl w:val="0"/>
        <w:rPr>
          <w:rFonts w:hint="eastAsia" w:ascii="黑体" w:hAnsi="黑体" w:eastAsia="黑体"/>
          <w:color w:val="auto"/>
          <w:sz w:val="44"/>
          <w:szCs w:val="44"/>
          <w:highlight w:val="none"/>
        </w:rPr>
      </w:pPr>
    </w:p>
    <w:p w14:paraId="7C9D4AF0">
      <w:pPr>
        <w:spacing w:line="600" w:lineRule="exact"/>
        <w:jc w:val="center"/>
        <w:outlineLvl w:val="0"/>
        <w:rPr>
          <w:rFonts w:hint="eastAsia" w:ascii="黑体" w:hAnsi="黑体" w:eastAsia="黑体"/>
          <w:color w:val="auto"/>
          <w:sz w:val="44"/>
          <w:szCs w:val="44"/>
          <w:highlight w:val="none"/>
        </w:rPr>
      </w:pPr>
    </w:p>
    <w:p w14:paraId="0408193E">
      <w:pPr>
        <w:spacing w:line="600" w:lineRule="exact"/>
        <w:jc w:val="center"/>
        <w:outlineLvl w:val="0"/>
        <w:rPr>
          <w:rFonts w:hint="eastAsia" w:ascii="黑体" w:hAnsi="黑体" w:eastAsia="黑体"/>
          <w:color w:val="auto"/>
          <w:sz w:val="44"/>
          <w:szCs w:val="44"/>
          <w:highlight w:val="none"/>
        </w:rPr>
      </w:pPr>
    </w:p>
    <w:p w14:paraId="44CE1DC6">
      <w:pPr>
        <w:spacing w:line="600" w:lineRule="exact"/>
        <w:jc w:val="center"/>
        <w:outlineLvl w:val="0"/>
        <w:rPr>
          <w:rFonts w:hint="eastAsia" w:ascii="黑体" w:hAnsi="黑体" w:eastAsia="黑体"/>
          <w:color w:val="auto"/>
          <w:sz w:val="44"/>
          <w:szCs w:val="44"/>
          <w:highlight w:val="none"/>
        </w:rPr>
      </w:pPr>
    </w:p>
    <w:p w14:paraId="4670D9F4">
      <w:pPr>
        <w:spacing w:line="600" w:lineRule="exact"/>
        <w:jc w:val="center"/>
        <w:outlineLvl w:val="0"/>
        <w:rPr>
          <w:rFonts w:hint="eastAsia" w:ascii="黑体" w:hAnsi="黑体" w:eastAsia="黑体"/>
          <w:color w:val="auto"/>
          <w:sz w:val="44"/>
          <w:szCs w:val="44"/>
          <w:highlight w:val="none"/>
        </w:rPr>
      </w:pPr>
    </w:p>
    <w:p w14:paraId="38695C90">
      <w:pPr>
        <w:spacing w:line="600" w:lineRule="exact"/>
        <w:jc w:val="center"/>
        <w:outlineLvl w:val="0"/>
        <w:rPr>
          <w:rFonts w:hint="eastAsia" w:ascii="黑体" w:hAnsi="黑体" w:eastAsia="黑体"/>
          <w:color w:val="auto"/>
          <w:sz w:val="44"/>
          <w:szCs w:val="44"/>
          <w:highlight w:val="none"/>
        </w:rPr>
      </w:pPr>
    </w:p>
    <w:p w14:paraId="6F43DD4C">
      <w:pPr>
        <w:spacing w:line="600" w:lineRule="exact"/>
        <w:jc w:val="center"/>
        <w:outlineLvl w:val="0"/>
        <w:rPr>
          <w:rFonts w:hint="eastAsia" w:ascii="黑体" w:hAnsi="黑体" w:eastAsia="黑体"/>
          <w:color w:val="auto"/>
          <w:sz w:val="44"/>
          <w:szCs w:val="44"/>
          <w:highlight w:val="none"/>
        </w:rPr>
      </w:pPr>
    </w:p>
    <w:p w14:paraId="1858BAC6">
      <w:pPr>
        <w:spacing w:line="600" w:lineRule="exact"/>
        <w:jc w:val="center"/>
        <w:outlineLvl w:val="0"/>
        <w:rPr>
          <w:rFonts w:hint="eastAsia" w:ascii="黑体" w:hAnsi="黑体" w:eastAsia="黑体"/>
          <w:color w:val="auto"/>
          <w:sz w:val="44"/>
          <w:szCs w:val="44"/>
          <w:highlight w:val="none"/>
        </w:rPr>
      </w:pPr>
    </w:p>
    <w:p w14:paraId="2D26A5F8">
      <w:pPr>
        <w:spacing w:line="600" w:lineRule="exact"/>
        <w:jc w:val="center"/>
        <w:outlineLvl w:val="0"/>
        <w:rPr>
          <w:rFonts w:hint="eastAsia" w:ascii="黑体" w:hAnsi="黑体" w:eastAsia="黑体"/>
          <w:color w:val="auto"/>
          <w:sz w:val="44"/>
          <w:szCs w:val="44"/>
          <w:highlight w:val="none"/>
        </w:rPr>
      </w:pPr>
    </w:p>
    <w:p w14:paraId="374CA925">
      <w:pPr>
        <w:spacing w:line="600" w:lineRule="exact"/>
        <w:jc w:val="center"/>
        <w:outlineLvl w:val="0"/>
        <w:rPr>
          <w:rFonts w:hint="eastAsia" w:ascii="黑体" w:hAnsi="黑体" w:eastAsia="黑体"/>
          <w:color w:val="auto"/>
          <w:sz w:val="44"/>
          <w:szCs w:val="44"/>
          <w:highlight w:val="none"/>
        </w:rPr>
      </w:pPr>
    </w:p>
    <w:p w14:paraId="5DA45451">
      <w:pPr>
        <w:spacing w:line="600" w:lineRule="exact"/>
        <w:jc w:val="center"/>
        <w:outlineLvl w:val="0"/>
        <w:rPr>
          <w:rFonts w:hint="eastAsia" w:ascii="黑体" w:hAnsi="黑体" w:eastAsia="黑体"/>
          <w:color w:val="auto"/>
          <w:sz w:val="44"/>
          <w:szCs w:val="44"/>
          <w:highlight w:val="none"/>
        </w:rPr>
      </w:pPr>
    </w:p>
    <w:p w14:paraId="1FC13797">
      <w:pPr>
        <w:spacing w:line="600" w:lineRule="exact"/>
        <w:jc w:val="center"/>
        <w:outlineLvl w:val="0"/>
        <w:rPr>
          <w:rFonts w:hint="eastAsia" w:ascii="黑体" w:hAnsi="黑体" w:eastAsia="黑体"/>
          <w:color w:val="auto"/>
          <w:sz w:val="44"/>
          <w:szCs w:val="44"/>
          <w:highlight w:val="none"/>
        </w:rPr>
      </w:pPr>
    </w:p>
    <w:p w14:paraId="02660F3F">
      <w:pPr>
        <w:spacing w:line="600" w:lineRule="exact"/>
        <w:jc w:val="center"/>
        <w:outlineLvl w:val="0"/>
        <w:rPr>
          <w:rStyle w:val="16"/>
          <w:rFonts w:ascii="黑体" w:hAnsi="黑体" w:eastAsia="黑体"/>
          <w:b w:val="0"/>
          <w:color w:val="auto"/>
          <w:highlight w:val="none"/>
        </w:rPr>
      </w:pPr>
      <w:r>
        <w:rPr>
          <w:rFonts w:hint="eastAsia" w:ascii="黑体" w:hAnsi="黑体" w:eastAsia="黑体"/>
          <w:color w:val="auto"/>
          <w:sz w:val="44"/>
          <w:szCs w:val="44"/>
          <w:highlight w:val="none"/>
        </w:rPr>
        <w:t>第</w:t>
      </w:r>
      <w:r>
        <w:rPr>
          <w:rStyle w:val="16"/>
          <w:rFonts w:hint="eastAsia" w:ascii="黑体" w:hAnsi="黑体" w:eastAsia="黑体"/>
          <w:b w:val="0"/>
          <w:color w:val="auto"/>
          <w:highlight w:val="none"/>
        </w:rPr>
        <w:t>四部分 附件</w:t>
      </w:r>
      <w:bookmarkEnd w:id="27"/>
    </w:p>
    <w:p w14:paraId="2D09C386">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2C1D078C">
      <w:pPr>
        <w:pageBreakBefore w:val="0"/>
        <w:kinsoku/>
        <w:wordWrap/>
        <w:overflowPunct/>
        <w:topLinePunct w:val="0"/>
        <w:autoSpaceDE/>
        <w:autoSpaceDN/>
        <w:bidi w:val="0"/>
        <w:spacing w:line="576"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w:t>
      </w:r>
      <w:r>
        <w:rPr>
          <w:rFonts w:hint="default" w:ascii="Times New Roman" w:hAnsi="Times New Roman" w:eastAsia="仿宋_GB2312" w:cs="Times New Roman"/>
          <w:color w:val="000000"/>
          <w:sz w:val="32"/>
          <w:szCs w:val="32"/>
          <w:lang w:eastAsia="zh-CN"/>
        </w:rPr>
        <w:t>单位</w:t>
      </w:r>
      <w:r>
        <w:rPr>
          <w:rFonts w:hint="default" w:ascii="Times New Roman" w:hAnsi="Times New Roman" w:eastAsia="仿宋_GB2312" w:cs="Times New Roman"/>
          <w:color w:val="000000"/>
          <w:sz w:val="32"/>
          <w:szCs w:val="32"/>
        </w:rPr>
        <w:t>在202</w:t>
      </w:r>
      <w:r>
        <w:rPr>
          <w:rFonts w:hint="eastAsia" w:ascii="Times New Roman" w:hAnsi="Times New Roman"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年度</w:t>
      </w:r>
      <w:r>
        <w:rPr>
          <w:rFonts w:hint="default" w:ascii="Times New Roman" w:hAnsi="Times New Roman" w:eastAsia="仿宋_GB2312" w:cs="Times New Roman"/>
          <w:color w:val="000000"/>
          <w:sz w:val="32"/>
          <w:szCs w:val="32"/>
          <w:lang w:val="en-US" w:eastAsia="zh-CN"/>
        </w:rPr>
        <w:t>无</w:t>
      </w:r>
      <w:r>
        <w:rPr>
          <w:rFonts w:hint="default" w:ascii="Times New Roman" w:hAnsi="Times New Roman" w:eastAsia="仿宋_GB2312" w:cs="Times New Roman"/>
          <w:color w:val="000000"/>
          <w:sz w:val="32"/>
          <w:szCs w:val="32"/>
        </w:rPr>
        <w:t>项目。</w:t>
      </w:r>
    </w:p>
    <w:p w14:paraId="4E1462A2">
      <w:pPr>
        <w:pStyle w:val="5"/>
        <w:rPr>
          <w:rFonts w:hint="eastAsia" w:ascii="仿宋_GB2312" w:hAnsi="Calibri" w:eastAsia="仿宋_GB2312" w:cs="仿宋"/>
          <w:color w:val="auto"/>
          <w:kern w:val="0"/>
          <w:sz w:val="32"/>
          <w:szCs w:val="32"/>
          <w:highlight w:val="none"/>
          <w:lang w:val="en-US" w:eastAsia="zh-CN" w:bidi="ar-SA"/>
        </w:rPr>
      </w:pPr>
    </w:p>
    <w:p w14:paraId="1276A8CC">
      <w:pPr>
        <w:pStyle w:val="5"/>
        <w:rPr>
          <w:rFonts w:hint="eastAsia" w:ascii="仿宋_GB2312" w:hAnsi="Calibri" w:eastAsia="仿宋_GB2312" w:cs="仿宋"/>
          <w:color w:val="auto"/>
          <w:kern w:val="0"/>
          <w:sz w:val="32"/>
          <w:szCs w:val="32"/>
          <w:highlight w:val="none"/>
          <w:lang w:val="en-US" w:eastAsia="zh-CN" w:bidi="ar-SA"/>
        </w:rPr>
      </w:pPr>
    </w:p>
    <w:p w14:paraId="2E29BE10">
      <w:pPr>
        <w:pStyle w:val="5"/>
        <w:rPr>
          <w:rFonts w:hint="eastAsia" w:ascii="仿宋_GB2312" w:hAnsi="Calibri" w:eastAsia="仿宋_GB2312" w:cs="仿宋"/>
          <w:color w:val="auto"/>
          <w:kern w:val="0"/>
          <w:sz w:val="32"/>
          <w:szCs w:val="32"/>
          <w:highlight w:val="none"/>
          <w:lang w:val="en-US" w:eastAsia="zh-CN" w:bidi="ar-SA"/>
        </w:rPr>
      </w:pPr>
    </w:p>
    <w:p w14:paraId="73E97ADC">
      <w:pPr>
        <w:pStyle w:val="5"/>
        <w:rPr>
          <w:rFonts w:hint="eastAsia" w:ascii="仿宋_GB2312" w:hAnsi="Calibri" w:eastAsia="仿宋_GB2312" w:cs="仿宋"/>
          <w:color w:val="auto"/>
          <w:kern w:val="0"/>
          <w:sz w:val="32"/>
          <w:szCs w:val="32"/>
          <w:highlight w:val="none"/>
          <w:lang w:val="en-US" w:eastAsia="zh-CN" w:bidi="ar-SA"/>
        </w:rPr>
      </w:pPr>
    </w:p>
    <w:p w14:paraId="367DD872">
      <w:pPr>
        <w:pStyle w:val="5"/>
        <w:rPr>
          <w:rFonts w:hint="eastAsia" w:ascii="仿宋_GB2312" w:hAnsi="Calibri" w:eastAsia="仿宋_GB2312" w:cs="仿宋"/>
          <w:color w:val="auto"/>
          <w:kern w:val="0"/>
          <w:sz w:val="32"/>
          <w:szCs w:val="32"/>
          <w:highlight w:val="none"/>
          <w:lang w:val="en-US" w:eastAsia="zh-CN" w:bidi="ar-SA"/>
        </w:rPr>
      </w:pPr>
    </w:p>
    <w:p w14:paraId="09AD4772">
      <w:pPr>
        <w:pStyle w:val="5"/>
        <w:rPr>
          <w:rFonts w:hint="eastAsia" w:ascii="仿宋_GB2312" w:hAnsi="Calibri" w:eastAsia="仿宋_GB2312" w:cs="仿宋"/>
          <w:color w:val="auto"/>
          <w:kern w:val="0"/>
          <w:sz w:val="32"/>
          <w:szCs w:val="32"/>
          <w:highlight w:val="none"/>
          <w:lang w:val="en-US" w:eastAsia="zh-CN" w:bidi="ar-SA"/>
        </w:rPr>
      </w:pPr>
    </w:p>
    <w:p w14:paraId="67D79F5A">
      <w:pPr>
        <w:pStyle w:val="5"/>
        <w:rPr>
          <w:rFonts w:hint="eastAsia" w:ascii="仿宋_GB2312" w:hAnsi="Calibri" w:eastAsia="仿宋_GB2312" w:cs="仿宋"/>
          <w:color w:val="auto"/>
          <w:kern w:val="0"/>
          <w:sz w:val="32"/>
          <w:szCs w:val="32"/>
          <w:highlight w:val="none"/>
          <w:lang w:val="en-US" w:eastAsia="zh-CN" w:bidi="ar-SA"/>
        </w:rPr>
      </w:pPr>
    </w:p>
    <w:p w14:paraId="26F04F54">
      <w:pPr>
        <w:pStyle w:val="5"/>
        <w:rPr>
          <w:rFonts w:hint="eastAsia" w:ascii="仿宋_GB2312" w:hAnsi="Calibri" w:eastAsia="仿宋_GB2312" w:cs="仿宋"/>
          <w:color w:val="auto"/>
          <w:kern w:val="0"/>
          <w:sz w:val="32"/>
          <w:szCs w:val="32"/>
          <w:highlight w:val="none"/>
          <w:lang w:val="en-US" w:eastAsia="zh-CN" w:bidi="ar-SA"/>
        </w:rPr>
      </w:pPr>
    </w:p>
    <w:p w14:paraId="1496D78B">
      <w:pPr>
        <w:pStyle w:val="5"/>
        <w:rPr>
          <w:rFonts w:hint="eastAsia" w:ascii="仿宋_GB2312" w:hAnsi="Calibri" w:eastAsia="仿宋_GB2312" w:cs="仿宋"/>
          <w:color w:val="auto"/>
          <w:kern w:val="0"/>
          <w:sz w:val="32"/>
          <w:szCs w:val="32"/>
          <w:highlight w:val="none"/>
          <w:lang w:val="en-US" w:eastAsia="zh-CN" w:bidi="ar-SA"/>
        </w:rPr>
      </w:pPr>
    </w:p>
    <w:p w14:paraId="732E89F1">
      <w:pPr>
        <w:pStyle w:val="5"/>
        <w:rPr>
          <w:rFonts w:hint="eastAsia" w:ascii="仿宋_GB2312" w:hAnsi="Calibri" w:eastAsia="仿宋_GB2312" w:cs="仿宋"/>
          <w:color w:val="auto"/>
          <w:kern w:val="0"/>
          <w:sz w:val="32"/>
          <w:szCs w:val="32"/>
          <w:highlight w:val="none"/>
          <w:lang w:val="en-US" w:eastAsia="zh-CN" w:bidi="ar-SA"/>
        </w:rPr>
      </w:pPr>
    </w:p>
    <w:p w14:paraId="6DF78262">
      <w:pPr>
        <w:pStyle w:val="5"/>
        <w:rPr>
          <w:rFonts w:hint="eastAsia" w:ascii="仿宋_GB2312" w:hAnsi="Calibri" w:eastAsia="仿宋_GB2312" w:cs="仿宋"/>
          <w:color w:val="auto"/>
          <w:kern w:val="0"/>
          <w:sz w:val="32"/>
          <w:szCs w:val="32"/>
          <w:highlight w:val="none"/>
          <w:lang w:val="en-US" w:eastAsia="zh-CN" w:bidi="ar-SA"/>
        </w:rPr>
      </w:pPr>
    </w:p>
    <w:p w14:paraId="037F0D75">
      <w:pPr>
        <w:pStyle w:val="5"/>
        <w:rPr>
          <w:rFonts w:hint="eastAsia" w:ascii="仿宋_GB2312" w:hAnsi="Calibri" w:eastAsia="仿宋_GB2312" w:cs="仿宋"/>
          <w:color w:val="auto"/>
          <w:kern w:val="0"/>
          <w:sz w:val="32"/>
          <w:szCs w:val="32"/>
          <w:highlight w:val="none"/>
          <w:lang w:val="en-US" w:eastAsia="zh-CN" w:bidi="ar-SA"/>
        </w:rPr>
      </w:pPr>
    </w:p>
    <w:p w14:paraId="6760AA5E">
      <w:pPr>
        <w:rPr>
          <w:rFonts w:hint="eastAsia" w:ascii="黑体" w:hAnsi="黑体" w:eastAsia="黑体"/>
          <w:color w:val="auto"/>
          <w:sz w:val="44"/>
          <w:szCs w:val="44"/>
          <w:highlight w:val="none"/>
        </w:rPr>
      </w:pPr>
      <w:r>
        <w:rPr>
          <w:rFonts w:hint="eastAsia" w:ascii="黑体" w:hAnsi="黑体" w:eastAsia="黑体"/>
          <w:color w:val="auto"/>
          <w:sz w:val="44"/>
          <w:szCs w:val="44"/>
          <w:highlight w:val="none"/>
        </w:rPr>
        <w:br w:type="page"/>
      </w:r>
    </w:p>
    <w:p w14:paraId="18AE51BB">
      <w:pPr>
        <w:spacing w:line="600" w:lineRule="exact"/>
        <w:jc w:val="center"/>
        <w:outlineLvl w:val="0"/>
        <w:rPr>
          <w:rFonts w:hint="eastAsia" w:ascii="仿宋" w:hAnsi="仿宋" w:eastAsia="仿宋"/>
          <w:b w:val="0"/>
          <w:color w:val="auto"/>
          <w:highlight w:val="none"/>
        </w:rPr>
      </w:pPr>
      <w:bookmarkStart w:id="28" w:name="_Toc25537"/>
      <w:r>
        <w:rPr>
          <w:rFonts w:hint="eastAsia" w:ascii="黑体" w:hAnsi="黑体" w:eastAsia="黑体"/>
          <w:color w:val="auto"/>
          <w:sz w:val="44"/>
          <w:szCs w:val="44"/>
          <w:highlight w:val="none"/>
        </w:rPr>
        <w:t>第</w:t>
      </w:r>
      <w:r>
        <w:rPr>
          <w:rStyle w:val="16"/>
          <w:rFonts w:hint="eastAsia" w:ascii="黑体" w:hAnsi="黑体" w:eastAsia="黑体"/>
          <w:b w:val="0"/>
          <w:color w:val="auto"/>
          <w:highlight w:val="none"/>
        </w:rPr>
        <w:t>五部分 附表</w:t>
      </w:r>
      <w:bookmarkEnd w:id="28"/>
    </w:p>
    <w:p w14:paraId="4217787E">
      <w:pPr>
        <w:pStyle w:val="4"/>
        <w:rPr>
          <w:rFonts w:ascii="仿宋" w:hAnsi="仿宋" w:eastAsia="仿宋"/>
          <w:color w:val="auto"/>
          <w:highlight w:val="none"/>
        </w:rPr>
      </w:pPr>
      <w:bookmarkStart w:id="29" w:name="_Toc31582"/>
      <w:r>
        <w:rPr>
          <w:rFonts w:hint="eastAsia" w:ascii="仿宋" w:hAnsi="仿宋" w:eastAsia="仿宋"/>
          <w:b w:val="0"/>
          <w:color w:val="auto"/>
          <w:highlight w:val="none"/>
        </w:rPr>
        <w:t>一、收</w:t>
      </w:r>
      <w:r>
        <w:rPr>
          <w:rStyle w:val="18"/>
          <w:rFonts w:hint="eastAsia" w:ascii="仿宋" w:hAnsi="仿宋" w:eastAsia="仿宋"/>
          <w:b w:val="0"/>
          <w:bCs w:val="0"/>
          <w:color w:val="auto"/>
          <w:highlight w:val="none"/>
        </w:rPr>
        <w:t>入支出决算总表</w:t>
      </w:r>
      <w:bookmarkEnd w:id="29"/>
    </w:p>
    <w:p w14:paraId="098ECE76">
      <w:pPr>
        <w:pStyle w:val="4"/>
        <w:rPr>
          <w:rFonts w:ascii="仿宋" w:hAnsi="仿宋" w:eastAsia="仿宋"/>
          <w:color w:val="auto"/>
          <w:highlight w:val="none"/>
        </w:rPr>
      </w:pPr>
      <w:bookmarkStart w:id="30" w:name="_Toc9177"/>
      <w:r>
        <w:rPr>
          <w:rFonts w:hint="eastAsia" w:ascii="仿宋" w:hAnsi="仿宋" w:eastAsia="仿宋"/>
          <w:b w:val="0"/>
          <w:color w:val="auto"/>
          <w:highlight w:val="none"/>
        </w:rPr>
        <w:t>二、收</w:t>
      </w:r>
      <w:r>
        <w:rPr>
          <w:rStyle w:val="18"/>
          <w:rFonts w:hint="eastAsia" w:ascii="仿宋" w:hAnsi="仿宋" w:eastAsia="仿宋"/>
          <w:b w:val="0"/>
          <w:bCs w:val="0"/>
          <w:color w:val="auto"/>
          <w:highlight w:val="none"/>
        </w:rPr>
        <w:t>入决算表</w:t>
      </w:r>
      <w:bookmarkEnd w:id="30"/>
    </w:p>
    <w:p w14:paraId="10A1A197">
      <w:pPr>
        <w:pStyle w:val="4"/>
        <w:rPr>
          <w:rFonts w:ascii="仿宋" w:hAnsi="仿宋" w:eastAsia="仿宋"/>
          <w:color w:val="auto"/>
          <w:highlight w:val="none"/>
        </w:rPr>
      </w:pPr>
      <w:bookmarkStart w:id="31" w:name="_Toc23392"/>
      <w:r>
        <w:rPr>
          <w:rStyle w:val="18"/>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18"/>
          <w:rFonts w:hint="eastAsia" w:ascii="仿宋" w:hAnsi="仿宋" w:eastAsia="仿宋"/>
          <w:b w:val="0"/>
          <w:bCs w:val="0"/>
          <w:color w:val="auto"/>
          <w:highlight w:val="none"/>
        </w:rPr>
        <w:t>出决算表</w:t>
      </w:r>
      <w:bookmarkEnd w:id="31"/>
    </w:p>
    <w:p w14:paraId="07A6DF7A">
      <w:pPr>
        <w:pStyle w:val="4"/>
        <w:rPr>
          <w:rFonts w:ascii="仿宋" w:hAnsi="仿宋" w:eastAsia="仿宋"/>
          <w:b w:val="0"/>
          <w:color w:val="auto"/>
          <w:highlight w:val="none"/>
        </w:rPr>
      </w:pPr>
      <w:bookmarkStart w:id="32" w:name="_Toc25879"/>
      <w:r>
        <w:rPr>
          <w:rStyle w:val="18"/>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18"/>
          <w:rFonts w:hint="eastAsia" w:ascii="仿宋" w:hAnsi="仿宋" w:eastAsia="仿宋"/>
          <w:b w:val="0"/>
          <w:bCs w:val="0"/>
          <w:color w:val="auto"/>
          <w:highlight w:val="none"/>
        </w:rPr>
        <w:t>政拨款收入支出决算总表</w:t>
      </w:r>
      <w:bookmarkEnd w:id="32"/>
    </w:p>
    <w:p w14:paraId="1B5A11EE">
      <w:pPr>
        <w:pStyle w:val="4"/>
        <w:rPr>
          <w:rStyle w:val="18"/>
          <w:rFonts w:ascii="仿宋" w:hAnsi="仿宋" w:eastAsia="仿宋"/>
          <w:b w:val="0"/>
          <w:bCs w:val="0"/>
          <w:color w:val="auto"/>
          <w:highlight w:val="none"/>
        </w:rPr>
      </w:pPr>
      <w:bookmarkStart w:id="33" w:name="_Toc11648"/>
      <w:r>
        <w:rPr>
          <w:rStyle w:val="18"/>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18"/>
          <w:rFonts w:hint="eastAsia" w:ascii="仿宋" w:hAnsi="仿宋" w:eastAsia="仿宋"/>
          <w:b w:val="0"/>
          <w:bCs w:val="0"/>
          <w:color w:val="auto"/>
          <w:highlight w:val="none"/>
        </w:rPr>
        <w:t>政拨款支出决算明细表</w:t>
      </w:r>
      <w:bookmarkEnd w:id="33"/>
    </w:p>
    <w:p w14:paraId="363DC390">
      <w:pPr>
        <w:pStyle w:val="4"/>
        <w:rPr>
          <w:rFonts w:ascii="仿宋" w:hAnsi="仿宋" w:eastAsia="仿宋"/>
          <w:color w:val="auto"/>
          <w:highlight w:val="none"/>
        </w:rPr>
      </w:pPr>
      <w:bookmarkStart w:id="34" w:name="_Toc70"/>
      <w:r>
        <w:rPr>
          <w:rStyle w:val="18"/>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18"/>
          <w:rFonts w:hint="eastAsia" w:ascii="仿宋" w:hAnsi="仿宋" w:eastAsia="仿宋"/>
          <w:b w:val="0"/>
          <w:bCs w:val="0"/>
          <w:color w:val="auto"/>
          <w:highlight w:val="none"/>
        </w:rPr>
        <w:t>般公共预算财政拨款支出决算表</w:t>
      </w:r>
      <w:bookmarkEnd w:id="34"/>
    </w:p>
    <w:p w14:paraId="52F6A398">
      <w:pPr>
        <w:pStyle w:val="4"/>
        <w:rPr>
          <w:rFonts w:ascii="仿宋" w:hAnsi="仿宋" w:eastAsia="仿宋"/>
          <w:color w:val="auto"/>
          <w:highlight w:val="none"/>
        </w:rPr>
      </w:pPr>
      <w:bookmarkStart w:id="35" w:name="_Toc11743"/>
      <w:r>
        <w:rPr>
          <w:rStyle w:val="18"/>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18"/>
          <w:rFonts w:hint="eastAsia" w:ascii="仿宋" w:hAnsi="仿宋" w:eastAsia="仿宋"/>
          <w:b w:val="0"/>
          <w:bCs w:val="0"/>
          <w:color w:val="auto"/>
          <w:highlight w:val="none"/>
        </w:rPr>
        <w:t>般公共预算财政拨款支出决算明细表</w:t>
      </w:r>
      <w:bookmarkEnd w:id="35"/>
    </w:p>
    <w:p w14:paraId="6BCED5E0">
      <w:pPr>
        <w:pStyle w:val="4"/>
        <w:rPr>
          <w:rFonts w:ascii="仿宋" w:hAnsi="仿宋" w:eastAsia="仿宋"/>
          <w:color w:val="auto"/>
          <w:highlight w:val="none"/>
        </w:rPr>
      </w:pPr>
      <w:bookmarkStart w:id="36" w:name="_Toc30084"/>
      <w:r>
        <w:rPr>
          <w:rStyle w:val="18"/>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18"/>
          <w:rFonts w:hint="eastAsia" w:ascii="仿宋" w:hAnsi="仿宋" w:eastAsia="仿宋"/>
          <w:b w:val="0"/>
          <w:bCs w:val="0"/>
          <w:color w:val="auto"/>
          <w:highlight w:val="none"/>
        </w:rPr>
        <w:t>般公共预算财政拨款基本支出决算表</w:t>
      </w:r>
      <w:bookmarkEnd w:id="36"/>
    </w:p>
    <w:p w14:paraId="1925CA60">
      <w:pPr>
        <w:pStyle w:val="4"/>
        <w:rPr>
          <w:rFonts w:ascii="仿宋" w:hAnsi="仿宋" w:eastAsia="仿宋"/>
          <w:color w:val="auto"/>
          <w:highlight w:val="none"/>
        </w:rPr>
      </w:pPr>
      <w:bookmarkStart w:id="37" w:name="_Toc9909"/>
      <w:r>
        <w:rPr>
          <w:rStyle w:val="18"/>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18"/>
          <w:rFonts w:hint="eastAsia" w:ascii="仿宋" w:hAnsi="仿宋" w:eastAsia="仿宋"/>
          <w:b w:val="0"/>
          <w:bCs w:val="0"/>
          <w:color w:val="auto"/>
          <w:highlight w:val="none"/>
        </w:rPr>
        <w:t>般公共预算财政拨款项目支出决算表</w:t>
      </w:r>
      <w:bookmarkEnd w:id="37"/>
    </w:p>
    <w:p w14:paraId="6D13BB60">
      <w:pPr>
        <w:pStyle w:val="4"/>
        <w:rPr>
          <w:rFonts w:ascii="仿宋" w:hAnsi="仿宋" w:eastAsia="仿宋"/>
          <w:color w:val="auto"/>
          <w:highlight w:val="none"/>
        </w:rPr>
      </w:pPr>
      <w:bookmarkStart w:id="38" w:name="_Toc20079"/>
      <w:r>
        <w:rPr>
          <w:rStyle w:val="18"/>
          <w:rFonts w:hint="eastAsia" w:ascii="仿宋" w:hAnsi="仿宋" w:eastAsia="仿宋"/>
          <w:b w:val="0"/>
          <w:bCs w:val="0"/>
          <w:color w:val="auto"/>
          <w:highlight w:val="none"/>
        </w:rPr>
        <w:t>十、</w:t>
      </w:r>
      <w:r>
        <w:rPr>
          <w:rFonts w:hint="eastAsia" w:ascii="仿宋" w:hAnsi="仿宋" w:eastAsia="仿宋"/>
          <w:b w:val="0"/>
          <w:color w:val="auto"/>
          <w:highlight w:val="none"/>
        </w:rPr>
        <w:t>政</w:t>
      </w:r>
      <w:r>
        <w:rPr>
          <w:rStyle w:val="18"/>
          <w:rFonts w:hint="eastAsia" w:ascii="仿宋" w:hAnsi="仿宋" w:eastAsia="仿宋"/>
          <w:b w:val="0"/>
          <w:bCs w:val="0"/>
          <w:color w:val="auto"/>
          <w:highlight w:val="none"/>
        </w:rPr>
        <w:t>府性基金预算财政拨款收入支出决算表</w:t>
      </w:r>
      <w:bookmarkEnd w:id="38"/>
    </w:p>
    <w:p w14:paraId="146DFDE5">
      <w:pPr>
        <w:pStyle w:val="4"/>
        <w:rPr>
          <w:rFonts w:ascii="仿宋" w:hAnsi="仿宋" w:eastAsia="仿宋"/>
          <w:color w:val="auto"/>
          <w:highlight w:val="none"/>
        </w:rPr>
      </w:pPr>
      <w:bookmarkStart w:id="39" w:name="_Toc27213"/>
      <w:r>
        <w:rPr>
          <w:rStyle w:val="18"/>
          <w:rFonts w:hint="eastAsia" w:ascii="仿宋" w:hAnsi="仿宋" w:eastAsia="仿宋"/>
          <w:b w:val="0"/>
          <w:bCs w:val="0"/>
          <w:color w:val="auto"/>
          <w:highlight w:val="none"/>
        </w:rPr>
        <w:t>十一、</w:t>
      </w:r>
      <w:r>
        <w:rPr>
          <w:rFonts w:hint="eastAsia" w:ascii="仿宋" w:hAnsi="仿宋" w:eastAsia="仿宋"/>
          <w:b w:val="0"/>
          <w:color w:val="auto"/>
          <w:highlight w:val="none"/>
        </w:rPr>
        <w:t>国</w:t>
      </w:r>
      <w:r>
        <w:rPr>
          <w:rStyle w:val="18"/>
          <w:rFonts w:hint="eastAsia" w:ascii="仿宋" w:hAnsi="仿宋" w:eastAsia="仿宋"/>
          <w:b w:val="0"/>
          <w:bCs w:val="0"/>
          <w:color w:val="auto"/>
          <w:highlight w:val="none"/>
        </w:rPr>
        <w:t>有资本经营预算</w:t>
      </w:r>
      <w:r>
        <w:rPr>
          <w:rStyle w:val="18"/>
          <w:rFonts w:hint="eastAsia" w:ascii="仿宋" w:hAnsi="仿宋" w:eastAsia="仿宋"/>
          <w:b w:val="0"/>
          <w:bCs w:val="0"/>
          <w:color w:val="auto"/>
          <w:highlight w:val="none"/>
          <w:lang w:eastAsia="zh-CN"/>
        </w:rPr>
        <w:t>财政拨款收入</w:t>
      </w:r>
      <w:r>
        <w:rPr>
          <w:rStyle w:val="18"/>
          <w:rFonts w:hint="eastAsia" w:ascii="仿宋" w:hAnsi="仿宋" w:eastAsia="仿宋"/>
          <w:b w:val="0"/>
          <w:bCs w:val="0"/>
          <w:color w:val="auto"/>
          <w:highlight w:val="none"/>
        </w:rPr>
        <w:t>支出决算表</w:t>
      </w:r>
      <w:bookmarkEnd w:id="39"/>
    </w:p>
    <w:p w14:paraId="42214313">
      <w:pPr>
        <w:pStyle w:val="4"/>
        <w:rPr>
          <w:rFonts w:ascii="仿宋" w:hAnsi="仿宋" w:eastAsia="仿宋"/>
          <w:color w:val="auto"/>
          <w:highlight w:val="none"/>
        </w:rPr>
      </w:pPr>
      <w:bookmarkStart w:id="40" w:name="_Toc20162"/>
      <w:r>
        <w:rPr>
          <w:rStyle w:val="18"/>
          <w:rFonts w:hint="eastAsia" w:ascii="仿宋" w:hAnsi="仿宋" w:eastAsia="仿宋"/>
          <w:b w:val="0"/>
          <w:bCs w:val="0"/>
          <w:color w:val="auto"/>
          <w:highlight w:val="none"/>
        </w:rPr>
        <w:t>十二、</w:t>
      </w:r>
      <w:r>
        <w:rPr>
          <w:rStyle w:val="18"/>
          <w:rFonts w:hint="eastAsia" w:ascii="仿宋" w:hAnsi="仿宋" w:eastAsia="仿宋"/>
          <w:b w:val="0"/>
          <w:bCs w:val="0"/>
          <w:color w:val="auto"/>
          <w:highlight w:val="none"/>
          <w:lang w:eastAsia="zh-CN"/>
        </w:rPr>
        <w:t>国有资本经营预算财政拨款支出决算表</w:t>
      </w:r>
      <w:bookmarkEnd w:id="40"/>
    </w:p>
    <w:p w14:paraId="670C8D27">
      <w:pPr>
        <w:pStyle w:val="4"/>
        <w:rPr>
          <w:rFonts w:hint="eastAsia" w:eastAsia="仿宋"/>
          <w:color w:val="auto"/>
          <w:highlight w:val="none"/>
          <w:lang w:eastAsia="zh-CN"/>
        </w:rPr>
      </w:pPr>
      <w:bookmarkStart w:id="41" w:name="_Toc26020"/>
      <w:r>
        <w:rPr>
          <w:rStyle w:val="18"/>
          <w:rFonts w:hint="eastAsia" w:ascii="仿宋" w:hAnsi="仿宋" w:eastAsia="仿宋"/>
          <w:b w:val="0"/>
          <w:bCs w:val="0"/>
          <w:color w:val="auto"/>
          <w:highlight w:val="none"/>
        </w:rPr>
        <w:t>十三、</w:t>
      </w:r>
      <w:r>
        <w:rPr>
          <w:rStyle w:val="18"/>
          <w:rFonts w:hint="eastAsia" w:ascii="仿宋" w:hAnsi="仿宋" w:eastAsia="仿宋"/>
          <w:b w:val="0"/>
          <w:bCs w:val="0"/>
          <w:color w:val="auto"/>
          <w:highlight w:val="none"/>
          <w:lang w:eastAsia="zh-CN"/>
        </w:rPr>
        <w:t>财政拨款“三公”经费支出决算表</w:t>
      </w:r>
      <w:bookmarkEnd w:id="41"/>
    </w:p>
    <w:p w14:paraId="123DE1C1"/>
    <w:p w14:paraId="27523BD7"/>
    <w:sectPr>
      <w:footerReference r:id="rId3" w:type="default"/>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628E5">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CF9B73">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3CF9B73">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406A1E"/>
    <w:rsid w:val="02C007D9"/>
    <w:rsid w:val="05D2339D"/>
    <w:rsid w:val="090B419B"/>
    <w:rsid w:val="09F252B8"/>
    <w:rsid w:val="0A781607"/>
    <w:rsid w:val="0D992BFA"/>
    <w:rsid w:val="0EF6634E"/>
    <w:rsid w:val="12560D57"/>
    <w:rsid w:val="13BD37AB"/>
    <w:rsid w:val="14074B59"/>
    <w:rsid w:val="159144D0"/>
    <w:rsid w:val="19D66FF2"/>
    <w:rsid w:val="1AAC224D"/>
    <w:rsid w:val="1CA078F9"/>
    <w:rsid w:val="1E2F53D8"/>
    <w:rsid w:val="1F7C50E5"/>
    <w:rsid w:val="229121BE"/>
    <w:rsid w:val="23DB1C8A"/>
    <w:rsid w:val="245411E8"/>
    <w:rsid w:val="24D80A66"/>
    <w:rsid w:val="27F0056F"/>
    <w:rsid w:val="28112CC9"/>
    <w:rsid w:val="28A01F9F"/>
    <w:rsid w:val="2A0E5BC0"/>
    <w:rsid w:val="2BBD04C8"/>
    <w:rsid w:val="2CA361BA"/>
    <w:rsid w:val="2D9E1C33"/>
    <w:rsid w:val="315027DD"/>
    <w:rsid w:val="32662C58"/>
    <w:rsid w:val="33B5773B"/>
    <w:rsid w:val="350F04D8"/>
    <w:rsid w:val="366E25F0"/>
    <w:rsid w:val="36A65433"/>
    <w:rsid w:val="37CA4C83"/>
    <w:rsid w:val="384F7D5E"/>
    <w:rsid w:val="38AD71CE"/>
    <w:rsid w:val="3A9643BE"/>
    <w:rsid w:val="3AA50AA5"/>
    <w:rsid w:val="3E4D71E7"/>
    <w:rsid w:val="40923F08"/>
    <w:rsid w:val="44507864"/>
    <w:rsid w:val="45012D7B"/>
    <w:rsid w:val="4A0923DF"/>
    <w:rsid w:val="4B201A81"/>
    <w:rsid w:val="4C0F4D8B"/>
    <w:rsid w:val="4CBF1324"/>
    <w:rsid w:val="4DE54BBF"/>
    <w:rsid w:val="4E697477"/>
    <w:rsid w:val="50093F29"/>
    <w:rsid w:val="53BD6A07"/>
    <w:rsid w:val="54CF7CB7"/>
    <w:rsid w:val="558F441E"/>
    <w:rsid w:val="56974EAF"/>
    <w:rsid w:val="572E7C77"/>
    <w:rsid w:val="5CB34B1B"/>
    <w:rsid w:val="5E03770C"/>
    <w:rsid w:val="5E6E6EFA"/>
    <w:rsid w:val="642E756D"/>
    <w:rsid w:val="6AC648A9"/>
    <w:rsid w:val="6C1E57A4"/>
    <w:rsid w:val="6DB30807"/>
    <w:rsid w:val="6DBA4372"/>
    <w:rsid w:val="6E424E4A"/>
    <w:rsid w:val="6EFD5AB2"/>
    <w:rsid w:val="70451ADA"/>
    <w:rsid w:val="70A22DB5"/>
    <w:rsid w:val="735348B2"/>
    <w:rsid w:val="7376359C"/>
    <w:rsid w:val="74B26A33"/>
    <w:rsid w:val="74DA5652"/>
    <w:rsid w:val="761E68A0"/>
    <w:rsid w:val="766C10A8"/>
    <w:rsid w:val="768371E5"/>
    <w:rsid w:val="787768D5"/>
    <w:rsid w:val="78AF7665"/>
    <w:rsid w:val="7B850FA0"/>
    <w:rsid w:val="7F2F6677"/>
    <w:rsid w:val="7F3C244B"/>
    <w:rsid w:val="EFFB104B"/>
    <w:rsid w:val="EFFF2A62"/>
    <w:rsid w:val="F9D59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3">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18"/>
    <w:unhideWhenUsed/>
    <w:qFormat/>
    <w:uiPriority w:val="9"/>
    <w:pPr>
      <w:keepNext/>
      <w:keepLines/>
      <w:spacing w:before="260" w:after="260" w:line="416" w:lineRule="auto"/>
      <w:outlineLvl w:val="1"/>
    </w:pPr>
    <w:rPr>
      <w:rFonts w:ascii="Cambria" w:hAnsi="Cambria" w:eastAsia="宋体" w:cs="Times New Roman"/>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5">
    <w:name w:val="Body Text"/>
    <w:basedOn w:val="1"/>
    <w:qFormat/>
    <w:uiPriority w:val="0"/>
    <w:pPr>
      <w:spacing w:before="0" w:after="140" w:line="276" w:lineRule="auto"/>
    </w:p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next w:val="1"/>
    <w:qFormat/>
    <w:uiPriority w:val="0"/>
    <w:pPr>
      <w:spacing w:before="100" w:beforeAutospacing="1" w:after="100" w:afterAutospacing="1"/>
      <w:ind w:left="0" w:right="0"/>
      <w:jc w:val="left"/>
    </w:pPr>
    <w:rPr>
      <w:kern w:val="0"/>
      <w:sz w:val="24"/>
      <w:lang w:val="en-US" w:eastAsia="zh-CN" w:bidi="ar"/>
    </w:rPr>
  </w:style>
  <w:style w:type="character" w:styleId="15">
    <w:name w:val="Strong"/>
    <w:basedOn w:val="14"/>
    <w:qFormat/>
    <w:uiPriority w:val="99"/>
    <w:rPr>
      <w:b/>
    </w:rPr>
  </w:style>
  <w:style w:type="character" w:customStyle="1" w:styleId="16">
    <w:name w:val="标题 1 Char"/>
    <w:basedOn w:val="14"/>
    <w:link w:val="3"/>
    <w:qFormat/>
    <w:uiPriority w:val="9"/>
    <w:rPr>
      <w:b/>
      <w:bCs/>
      <w:kern w:val="44"/>
      <w:sz w:val="44"/>
      <w:szCs w:val="44"/>
    </w:rPr>
  </w:style>
  <w:style w:type="paragraph" w:styleId="17">
    <w:name w:val="List Paragraph"/>
    <w:basedOn w:val="1"/>
    <w:qFormat/>
    <w:uiPriority w:val="34"/>
    <w:pPr>
      <w:ind w:firstLine="420" w:firstLineChars="200"/>
    </w:pPr>
  </w:style>
  <w:style w:type="character" w:customStyle="1" w:styleId="18">
    <w:name w:val="标题 2 Char"/>
    <w:basedOn w:val="14"/>
    <w:link w:val="4"/>
    <w:qFormat/>
    <w:uiPriority w:val="9"/>
    <w:rPr>
      <w:rFonts w:ascii="Cambria" w:hAnsi="Cambria" w:eastAsia="宋体" w:cs="Times New Roman"/>
      <w:b/>
      <w:bCs/>
      <w:sz w:val="32"/>
      <w:szCs w:val="32"/>
    </w:rPr>
  </w:style>
  <w:style w:type="paragraph" w:customStyle="1" w:styleId="1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4.bin"/><Relationship Id="rId8" Type="http://schemas.openxmlformats.org/officeDocument/2006/relationships/oleObject" Target="embeddings/oleObject3.bin"/><Relationship Id="rId7" Type="http://schemas.openxmlformats.org/officeDocument/2006/relationships/oleObject" Target="embeddings/oleObject2.bin"/><Relationship Id="rId6" Type="http://schemas.openxmlformats.org/officeDocument/2006/relationships/chart" Target="charts/chart1.xml"/><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6.xml"/><Relationship Id="rId17" Type="http://schemas.openxmlformats.org/officeDocument/2006/relationships/chart" Target="charts/chart5.xml"/><Relationship Id="rId16" Type="http://schemas.openxmlformats.org/officeDocument/2006/relationships/chart" Target="charts/chart4.xml"/><Relationship Id="rId15" Type="http://schemas.openxmlformats.org/officeDocument/2006/relationships/chart" Target="charts/chart3.xml"/><Relationship Id="rId14" Type="http://schemas.openxmlformats.org/officeDocument/2006/relationships/chart" Target="charts/chart2.xml"/><Relationship Id="rId13" Type="http://schemas.openxmlformats.org/officeDocument/2006/relationships/oleObject" Target="embeddings/oleObject8.bin"/><Relationship Id="rId12" Type="http://schemas.openxmlformats.org/officeDocument/2006/relationships/oleObject" Target="embeddings/oleObject7.bin"/><Relationship Id="rId11" Type="http://schemas.openxmlformats.org/officeDocument/2006/relationships/oleObject" Target="embeddings/oleObject6.bin"/><Relationship Id="rId10" Type="http://schemas.openxmlformats.org/officeDocument/2006/relationships/oleObject" Target="embeddings/oleObject5.bin"/><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收、支决算总计变动情况</a:t>
            </a:r>
            <a:endParaRPr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1026</c:v>
                </c:pt>
                <c:pt idx="1">
                  <c:v>1162.21</c:v>
                </c:pt>
              </c:numCache>
            </c:numRef>
          </c:val>
        </c:ser>
        <c:dLbls>
          <c:showLegendKey val="0"/>
          <c:showVal val="1"/>
          <c:showCatName val="0"/>
          <c:showSerName val="0"/>
          <c:showPercent val="0"/>
          <c:showBubbleSize val="0"/>
        </c:dLbls>
        <c:gapWidth val="246"/>
        <c:overlap val="-28"/>
        <c:axId val="812785381"/>
        <c:axId val="550685087"/>
      </c:barChart>
      <c:catAx>
        <c:axId val="812785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0685087"/>
        <c:crosses val="autoZero"/>
        <c:auto val="1"/>
        <c:lblAlgn val="ctr"/>
        <c:lblOffset val="100"/>
        <c:noMultiLvlLbl val="0"/>
      </c:catAx>
      <c:valAx>
        <c:axId val="55068508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2785381"/>
        <c:crosses val="autoZero"/>
        <c:crossBetween val="between"/>
      </c:valAx>
      <c:spPr>
        <a:noFill/>
        <a:ln>
          <a:noFill/>
        </a:ln>
        <a:effectLst/>
      </c:spPr>
    </c:plotArea>
    <c:legend>
      <c:legendPos val="b"/>
      <c:layout>
        <c:manualLayout>
          <c:xMode val="edge"/>
          <c:yMode val="edge"/>
          <c:x val="0.278765981100611"/>
          <c:y val="0.903655352480418"/>
          <c:w val="0.289188438021123"/>
          <c:h val="0.07075718015665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e75750-1450-4de8-a121-3bba48c122b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{968.58}</c:f>
              <c:numCache>
                <c:formatCode>General</c:formatCode>
                <c:ptCount val="1"/>
                <c:pt idx="0">
                  <c:v>968.58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77892499240814"/>
          <c:y val="0.441114493092952"/>
          <c:w val="0.366079562708776"/>
          <c:h val="0.134863029735425"/>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6ff2afa8-e1d2-43e8-9f3f-028090bc2cdb}"/>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支出决算结构图</a:t>
            </a:r>
            <a:endParaRPr lang="en-US" sz="11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c:f>
              <c:strCache>
                <c:ptCount val="1"/>
                <c:pt idx="0">
                  <c:v>基本支出</c:v>
                </c:pt>
              </c:strCache>
            </c:strRef>
          </c:cat>
          <c:val>
            <c:numRef>
              <c:f>{968.58}</c:f>
              <c:numCache>
                <c:formatCode>General</c:formatCode>
                <c:ptCount val="1"/>
                <c:pt idx="0">
                  <c:v>968.58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57168566286743"/>
          <c:y val="0.510744627686157"/>
          <c:w val="0.322585482903419"/>
          <c:h val="0.196901549225387"/>
        </c:manualLayout>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c110346b-92d7-4e65-b4ac-3226dd02b12a}"/>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1" i="0" u="none" strike="noStrike" kern="1200" baseline="0">
                <a:solidFill>
                  <a:sysClr val="windowText" lastClr="000000">
                    <a:lumMod val="75000"/>
                    <a:lumOff val="25000"/>
                  </a:sysClr>
                </a:solidFill>
                <a:latin typeface="+mn-lt"/>
                <a:ea typeface="+mn-ea"/>
                <a:cs typeface="+mn-cs"/>
              </a:defRPr>
            </a:pPr>
            <a:r>
              <a:rPr altLang="en-US"/>
              <a:t>财政拨款收、支决算总计变动情况</a:t>
            </a:r>
            <a:endParaRPr altLang="en-US"/>
          </a:p>
        </c:rich>
      </c:tx>
      <c:layout>
        <c:manualLayout>
          <c:xMode val="edge"/>
          <c:yMode val="edge"/>
          <c:x val="0.25875486381323"/>
          <c:y val="0.0666846652267819"/>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rgbClr val="4874CB"/>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lumMod val="75000"/>
                        <a:lumOff val="25000"/>
                      </a:sys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ysClr val="windowText" lastClr="000000">
                          <a:lumMod val="35000"/>
                          <a:lumOff val="65000"/>
                        </a:sys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1026</c:v>
                </c:pt>
                <c:pt idx="1">
                  <c:v>1162.21</c:v>
                </c:pt>
              </c:numCache>
            </c:numRef>
          </c:val>
        </c:ser>
        <c:dLbls>
          <c:showLegendKey val="0"/>
          <c:showVal val="1"/>
          <c:showCatName val="0"/>
          <c:showSerName val="0"/>
          <c:showPercent val="0"/>
          <c:showBubbleSize val="0"/>
        </c:dLbls>
        <c:gapWidth val="246"/>
        <c:overlap val="-28"/>
        <c:axId val="812785381"/>
        <c:axId val="550685087"/>
      </c:barChart>
      <c:catAx>
        <c:axId val="812785381"/>
        <c:scaling>
          <c:orientation val="minMax"/>
        </c:scaling>
        <c:delete val="0"/>
        <c:axPos val="b"/>
        <c:majorTickMark val="none"/>
        <c:minorTickMark val="none"/>
        <c:tickLblPos val="nextTo"/>
        <c:spPr>
          <a:noFill/>
          <a:ln w="9525" cap="flat" cmpd="sng" algn="ctr">
            <a:solidFill>
              <a:sysClr val="windowText" lastClr="000000">
                <a:lumMod val="15000"/>
                <a:lumOff val="85000"/>
              </a:sysClr>
            </a:solidFill>
            <a:round/>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550685087"/>
        <c:crosses val="autoZero"/>
        <c:auto val="1"/>
        <c:lblAlgn val="ctr"/>
        <c:lblOffset val="100"/>
        <c:noMultiLvlLbl val="0"/>
      </c:catAx>
      <c:valAx>
        <c:axId val="550685087"/>
        <c:scaling>
          <c:orientation val="minMax"/>
        </c:scaling>
        <c:delete val="0"/>
        <c:axPos val="l"/>
        <c:majorGridlines>
          <c:spPr>
            <a:ln w="9525" cap="flat" cmpd="sng" algn="ctr">
              <a:solidFill>
                <a:sysClr val="window" lastClr="FFFFFF">
                  <a:lumMod val="90200"/>
                </a:sys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crossAx val="812785381"/>
        <c:crosses val="autoZero"/>
        <c:crossBetween val="between"/>
      </c:valAx>
      <c:spPr>
        <a:noFill/>
        <a:ln>
          <a:noFill/>
        </a:ln>
        <a:effectLst/>
      </c:spPr>
    </c:plotArea>
    <c:legend>
      <c:legendPos val="b"/>
      <c:layout>
        <c:manualLayout>
          <c:xMode val="edge"/>
          <c:yMode val="edge"/>
          <c:x val="0.319483046136743"/>
          <c:y val="0.784827213822894"/>
          <c:w val="0.278904947192885"/>
          <c:h val="0.1830453563714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lumMod val="65000"/>
                  <a:lumOff val="35000"/>
                </a:sysClr>
              </a:solidFill>
              <a:latin typeface="+mn-lt"/>
              <a:ea typeface="+mn-ea"/>
              <a:cs typeface="+mn-cs"/>
            </a:defRPr>
          </a:pPr>
        </a:p>
      </c:txPr>
    </c:legend>
    <c:plotVisOnly val="1"/>
    <c:dispBlanksAs val="gap"/>
    <c:showDLblsOverMax val="0"/>
    <c:extLst>
      <c:ext uri="{0b15fc19-7d7d-44ad-8c2d-2c3a37ce22c3}">
        <chartProps xmlns="https://web.wps.cn/et/2018/main" chartId="{6262e9b1-ff4e-4f6e-8e9b-da29437bbeee}"/>
      </c:ext>
    </c:extLst>
  </c:chart>
  <c:spPr>
    <a:solidFill>
      <a:sysClr val="window" lastClr="FFFFFF"/>
    </a:solidFill>
    <a:ln w="9525" cap="flat" cmpd="sng" algn="ctr">
      <a:solidFill>
        <a:sysClr val="windowText" lastClr="000000">
          <a:lumMod val="15000"/>
          <a:lumOff val="85000"/>
        </a:sys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Sheet1!$B$2</c:f>
              <c:numCache>
                <c:formatCode>General</c:formatCode>
                <c:ptCount val="1"/>
                <c:pt idx="0">
                  <c:v>1026</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c:f>
              <c:numCache>
                <c:formatCode>General</c:formatCode>
                <c:ptCount val="1"/>
              </c:numCache>
            </c:numRef>
          </c:cat>
          <c:val>
            <c:numRef>
              <c:f>Sheet1!$C$2</c:f>
              <c:numCache>
                <c:formatCode>General</c:formatCode>
                <c:ptCount val="1"/>
                <c:pt idx="0">
                  <c:v>1162.21</c:v>
                </c:pt>
              </c:numCache>
            </c:numRef>
          </c:val>
        </c:ser>
        <c:dLbls>
          <c:showLegendKey val="0"/>
          <c:showVal val="0"/>
          <c:showCatName val="0"/>
          <c:showSerName val="0"/>
          <c:showPercent val="0"/>
          <c:showBubbleSize val="0"/>
        </c:dLbls>
        <c:gapWidth val="246"/>
        <c:overlap val="-28"/>
        <c:axId val="167152860"/>
        <c:axId val="719239804"/>
      </c:barChart>
      <c:catAx>
        <c:axId val="1671528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19239804"/>
        <c:crosses val="autoZero"/>
        <c:auto val="1"/>
        <c:lblAlgn val="ctr"/>
        <c:lblOffset val="100"/>
        <c:noMultiLvlLbl val="0"/>
      </c:catAx>
      <c:valAx>
        <c:axId val="7192398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152860"/>
        <c:crosses val="autoZero"/>
        <c:crossBetween val="between"/>
      </c:valAx>
      <c:spPr>
        <a:noFill/>
        <a:ln>
          <a:noFill/>
        </a:ln>
        <a:effectLst/>
      </c:spPr>
    </c:plotArea>
    <c:legend>
      <c:legendPos val="b"/>
      <c:layout>
        <c:manualLayout>
          <c:xMode val="edge"/>
          <c:yMode val="edge"/>
          <c:x val="0.31976322783281"/>
          <c:y val="0.85932851678708"/>
          <c:w val="0.429451558347427"/>
          <c:h val="0.11517212069698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740c1a8-9900-4473-b90d-d26ec39bb2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12.88</a:t>
                    </a:r>
                    <a:r>
                      <a:t>%</a:t>
                    </a:r>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5.4</a:t>
                    </a:r>
                    <a:r>
                      <a:t>%</a:t>
                    </a:r>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74</a:t>
                    </a:r>
                    <a:r>
                      <a:t>.</a:t>
                    </a:r>
                    <a:r>
                      <a:rPr lang="en-US" altLang="zh-CN"/>
                      <a:t>1</a:t>
                    </a:r>
                    <a:r>
                      <a:t>%</a:t>
                    </a:r>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7.62</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农林水支出</c:v>
                </c:pt>
                <c:pt idx="3">
                  <c:v>住房保障支出</c:v>
                </c:pt>
              </c:strCache>
            </c:strRef>
          </c:cat>
          <c:val>
            <c:numRef>
              <c:f>Sheet1!$B$2:$B$5</c:f>
              <c:numCache>
                <c:formatCode>General</c:formatCode>
                <c:ptCount val="4"/>
                <c:pt idx="0">
                  <c:v>149.7</c:v>
                </c:pt>
                <c:pt idx="1">
                  <c:v>62.56</c:v>
                </c:pt>
                <c:pt idx="2">
                  <c:v>861.24</c:v>
                </c:pt>
                <c:pt idx="3">
                  <c:v>88.71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0843449671219019"/>
          <c:y val="0.108584785380365"/>
          <c:w val="0.836621143146181"/>
          <c:h val="0.1466213344666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6583469-e003-49e3-a50c-e84f2e54588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ysClr val="windowText" lastClr="000000">
        <a:lumMod val="65000"/>
        <a:lumOff val="35000"/>
      </a:sysClr>
    </cs:fontRef>
    <cs:defRPr sz="1000" kern="1200"/>
  </cs:axisTitle>
  <cs:categoryAxis>
    <cs:lnRef idx="0"/>
    <cs:fillRef idx="0"/>
    <cs:effectRef idx="0"/>
    <cs:fontRef idx="minor">
      <a:sysClr val="windowText" lastClr="000000">
        <a:lumMod val="65000"/>
        <a:lumOff val="35000"/>
      </a:sysClr>
    </cs:fontRef>
    <cs:spPr>
      <a:ln w="9525" cap="flat" cmpd="sng" algn="ctr">
        <a:solidFill>
          <a:sysClr val="windowText" lastClr="000000">
            <a:lumMod val="15000"/>
            <a:lumOff val="85000"/>
          </a:sysClr>
        </a:solidFill>
        <a:round/>
      </a:ln>
    </cs:spPr>
    <cs:defRPr sz="900" kern="1200"/>
  </cs:categoryAxis>
  <cs:chartArea mods="allowNoFillOverride allowNoLineOverride">
    <cs:lnRef idx="0"/>
    <cs:fillRef idx="0"/>
    <cs:effectRef idx="0"/>
    <cs:fontRef idx="minor">
      <a:sysClr val="windowText" lastClr="000000"/>
    </cs:fontRef>
    <cs:spPr>
      <a:solidFill>
        <a:sysClr val="window" lastClr="FFFFFF"/>
      </a:solidFill>
      <a:ln w="9525" cap="flat" cmpd="sng" algn="ctr">
        <a:solidFill>
          <a:sysClr val="windowText" lastClr="000000">
            <a:lumMod val="15000"/>
            <a:lumOff val="85000"/>
          </a:sysClr>
        </a:solidFill>
        <a:round/>
      </a:ln>
    </cs:spPr>
    <cs:defRPr sz="1000" kern="1200"/>
  </cs:chartArea>
  <cs:dataLabel>
    <cs:lnRef idx="0"/>
    <cs:fillRef idx="0"/>
    <cs:effectRef idx="0"/>
    <cs:fontRef idx="minor">
      <a:sysClr val="windowText" lastClr="000000">
        <a:lumMod val="75000"/>
        <a:lumOff val="25000"/>
      </a:sysClr>
    </cs:fontRef>
    <cs:defRPr sz="1000" kern="1200"/>
  </cs:dataLabel>
  <cs:dataLabelCallout>
    <cs:lnRef idx="0"/>
    <cs:fillRef idx="0"/>
    <cs:effectRef idx="0"/>
    <cs:fontRef idx="minor">
      <a:sysClr val="windowText" lastClr="000000">
        <a:lumMod val="65000"/>
        <a:lumOff val="35000"/>
      </a:sysClr>
    </cs:fontRef>
    <cs:spPr>
      <a:solidFill>
        <a:sysClr val="window" lastClr="FFFFFF"/>
      </a:solidFill>
      <a:ln>
        <a:solidFill>
          <a:sysClr val="windowText" lastClr="000000">
            <a:lumMod val="25000"/>
            <a:lumOff val="75000"/>
          </a:sys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ysClr val="windowText" lastClr="000000"/>
    </cs:fontRef>
    <cs:spPr>
      <a:ln>
        <a:noFill/>
      </a:ln>
      <a:effectLst/>
    </cs:spPr>
  </cs:dataPoint>
  <cs:dataPoint3D>
    <cs:lnRef idx="0"/>
    <cs:fillRef idx="1">
      <cs:styleClr val="auto"/>
    </cs:fillRef>
    <cs:effectRef idx="0"/>
    <cs:fontRef idx="minor">
      <a:sysClr val="windowText" lastClr="000000"/>
    </cs:fontRef>
  </cs:dataPoint3D>
  <cs:dataPointLine>
    <cs:lnRef idx="0">
      <cs:styleClr val="auto"/>
    </cs:lnRef>
    <cs:fillRef idx="1"/>
    <cs:effectRef idx="0"/>
    <cs:fontRef idx="minor">
      <a:sysClr val="windowText" lastClr="000000"/>
    </cs:fontRef>
    <cs:spPr>
      <a:ln w="28575" cap="rnd">
        <a:solidFill>
          <a:schemeClr val="phClr"/>
        </a:solidFill>
        <a:round/>
      </a:ln>
    </cs:spPr>
  </cs:dataPointLine>
  <cs:dataPointMarker>
    <cs:lnRef idx="0">
      <cs:styleClr val="auto"/>
    </cs:lnRef>
    <cs:fillRef idx="1">
      <cs:styleClr val="auto"/>
    </cs:fillRef>
    <cs:effectRef idx="0"/>
    <cs:fontRef idx="minor">
      <a:sysClr val="windowText" lastClr="000000"/>
    </cs:fontRef>
    <cs:spPr>
      <a:ln w="9525">
        <a:solidFill>
          <a:schemeClr val="phClr"/>
        </a:solidFill>
      </a:ln>
    </cs:spPr>
  </cs:dataPointMarker>
  <cs:dataPointMarkerLayout symbol="circle" size="5"/>
  <cs:dataPointWireframe>
    <cs:lnRef idx="0">
      <cs:styleClr val="auto"/>
    </cs:lnRef>
    <cs:fillRef idx="1"/>
    <cs:effectRef idx="0"/>
    <cs:fontRef idx="minor">
      <a:sysClr val="windowText" lastClr="000000"/>
    </cs:fontRef>
    <cs:spPr>
      <a:ln w="9525" cap="rnd">
        <a:solidFill>
          <a:schemeClr val="phClr"/>
        </a:solidFill>
        <a:round/>
      </a:ln>
    </cs:spPr>
  </cs:dataPointWireframe>
  <cs:dataTable>
    <cs:lnRef idx="0"/>
    <cs:fillRef idx="0"/>
    <cs:effectRef idx="0"/>
    <cs:fontRef idx="minor">
      <a:sysClr val="windowText" lastClr="000000">
        <a:lumMod val="65000"/>
        <a:lumOff val="35000"/>
      </a:sysClr>
    </cs:fontRef>
    <cs:spPr>
      <a:noFill/>
      <a:ln w="9525" cap="flat" cmpd="sng" algn="ctr">
        <a:solidFill>
          <a:sysClr val="windowText" lastClr="000000">
            <a:lumMod val="15000"/>
            <a:lumOff val="85000"/>
          </a:sysClr>
        </a:solidFill>
        <a:round/>
      </a:ln>
    </cs:spPr>
    <cs:defRPr sz="900" kern="1200"/>
  </cs:dataTable>
  <cs:downBar>
    <cs:lnRef idx="0"/>
    <cs:fillRef idx="0"/>
    <cs:effectRef idx="0"/>
    <cs:fontRef idx="minor">
      <a:sysClr val="windowText" lastClr="000000"/>
    </cs:fontRef>
    <cs:spPr>
      <a:solidFill>
        <a:sysClr val="windowText" lastClr="000000">
          <a:lumMod val="65000"/>
          <a:lumOff val="35000"/>
        </a:sysClr>
      </a:solidFill>
      <a:ln w="9525">
        <a:solidFill>
          <a:sysClr val="windowText" lastClr="000000">
            <a:lumMod val="65000"/>
            <a:lumOff val="35000"/>
          </a:sysClr>
        </a:solidFill>
      </a:ln>
    </cs:spPr>
  </cs:downBar>
  <cs:dropLine>
    <cs:lnRef idx="0"/>
    <cs:fillRef idx="0"/>
    <cs:effectRef idx="0"/>
    <cs:fontRef idx="minor">
      <a:sysClr val="windowText" lastClr="000000"/>
    </cs:fontRef>
    <cs:spPr>
      <a:ln w="9525" cap="flat" cmpd="sng" algn="ctr">
        <a:solidFill>
          <a:sysClr val="windowText" lastClr="000000">
            <a:lumMod val="35000"/>
            <a:lumOff val="65000"/>
          </a:sysClr>
        </a:solidFill>
        <a:round/>
      </a:ln>
    </cs:spPr>
  </cs:dropLine>
  <cs:errorBar>
    <cs:lnRef idx="0"/>
    <cs:fillRef idx="0"/>
    <cs:effectRef idx="0"/>
    <cs:fontRef idx="minor">
      <a:sysClr val="windowText" lastClr="000000"/>
    </cs:fontRef>
    <cs:spPr>
      <a:ln w="9525" cap="flat" cmpd="sng" algn="ctr">
        <a:solidFill>
          <a:sysClr val="windowText" lastClr="000000">
            <a:lumMod val="65000"/>
            <a:lumOff val="35000"/>
          </a:sysClr>
        </a:solidFill>
        <a:round/>
      </a:ln>
    </cs:spPr>
  </cs:errorBar>
  <cs:floor>
    <cs:lnRef idx="0"/>
    <cs:fillRef idx="0"/>
    <cs:effectRef idx="0"/>
    <cs:fontRef idx="minor">
      <a:sysClr val="windowText" lastClr="000000"/>
    </cs:fontRef>
    <cs:spPr>
      <a:noFill/>
      <a:ln>
        <a:noFill/>
      </a:ln>
    </cs:spPr>
  </cs:floor>
  <cs:gridlineMajor>
    <cs:lnRef idx="0"/>
    <cs:fillRef idx="0"/>
    <cs:effectRef idx="0"/>
    <cs:fontRef idx="minor">
      <a:sysClr val="windowText" lastClr="000000"/>
    </cs:fontRef>
    <cs:spPr>
      <a:ln w="9525" cap="flat" cmpd="sng" algn="ctr">
        <a:solidFill>
          <a:sysClr val="window" lastClr="FFFFFF">
            <a:lumMod val="90200"/>
          </a:sysClr>
        </a:solidFill>
        <a:round/>
      </a:ln>
    </cs:spPr>
  </cs:gridlineMajor>
  <cs:gridlineMinor>
    <cs:lnRef idx="0"/>
    <cs:fillRef idx="0"/>
    <cs:effectRef idx="0"/>
    <cs:fontRef idx="minor">
      <a:sysClr val="windowText" lastClr="000000"/>
    </cs:fontRef>
    <cs:spPr>
      <a:ln w="9525" cap="flat" cmpd="sng" algn="ctr">
        <a:solidFill>
          <a:sysClr val="windowText" lastClr="000000">
            <a:lumMod val="5000"/>
            <a:lumOff val="95000"/>
          </a:sysClr>
        </a:solidFill>
        <a:round/>
      </a:ln>
    </cs:spPr>
  </cs:gridlineMinor>
  <cs:hiLoLine>
    <cs:lnRef idx="0"/>
    <cs:fillRef idx="0"/>
    <cs:effectRef idx="0"/>
    <cs:fontRef idx="minor">
      <a:sysClr val="windowText" lastClr="000000"/>
    </cs:fontRef>
    <cs:spPr>
      <a:ln w="9525" cap="flat" cmpd="sng" algn="ctr">
        <a:solidFill>
          <a:sysClr val="windowText" lastClr="000000">
            <a:lumMod val="75000"/>
            <a:lumOff val="25000"/>
          </a:sysClr>
        </a:solidFill>
        <a:round/>
      </a:ln>
    </cs:spPr>
  </cs:hiLoLine>
  <cs:leaderLine>
    <cs:lnRef idx="0"/>
    <cs:fillRef idx="0"/>
    <cs:effectRef idx="0"/>
    <cs:fontRef idx="minor">
      <a:sysClr val="windowText" lastClr="000000"/>
    </cs:fontRef>
    <cs:spPr>
      <a:ln w="9525" cap="flat" cmpd="sng" algn="ctr">
        <a:solidFill>
          <a:sysClr val="windowText" lastClr="000000">
            <a:lumMod val="35000"/>
            <a:lumOff val="65000"/>
          </a:sysClr>
        </a:solidFill>
        <a:round/>
      </a:ln>
    </cs:spPr>
  </cs:leaderLine>
  <cs:legend>
    <cs:lnRef idx="0"/>
    <cs:fillRef idx="0"/>
    <cs:effectRef idx="0"/>
    <cs:fontRef idx="minor">
      <a:sysClr val="windowText" lastClr="000000">
        <a:lumMod val="65000"/>
        <a:lumOff val="35000"/>
      </a:sysClr>
    </cs:fontRef>
    <cs:defRPr sz="900" kern="1200"/>
  </cs:legend>
  <cs:plotArea mods="allowNoFillOverride allowNoLineOverride">
    <cs:lnRef idx="0"/>
    <cs:fillRef idx="0"/>
    <cs:effectRef idx="0"/>
    <cs:fontRef idx="minor">
      <a:sysClr val="windowText" lastClr="000000"/>
    </cs:fontRef>
  </cs:plotArea>
  <cs:plotArea3D mods="allowNoFillOverride allowNoLineOverride">
    <cs:lnRef idx="0"/>
    <cs:fillRef idx="0"/>
    <cs:effectRef idx="0"/>
    <cs:fontRef idx="minor">
      <a:sysClr val="windowText" lastClr="000000"/>
    </cs:fontRef>
  </cs:plotArea3D>
  <cs:seriesAxis>
    <cs:lnRef idx="0"/>
    <cs:fillRef idx="0"/>
    <cs:effectRef idx="0"/>
    <cs:fontRef idx="minor">
      <a:sysClr val="windowText" lastClr="000000">
        <a:lumMod val="65000"/>
        <a:lumOff val="35000"/>
      </a:sysClr>
    </cs:fontRef>
    <cs:defRPr sz="900" kern="1200"/>
  </cs:seriesAxis>
  <cs:seriesLine>
    <cs:lnRef idx="0"/>
    <cs:fillRef idx="0"/>
    <cs:effectRef idx="0"/>
    <cs:fontRef idx="minor">
      <a:sysClr val="windowText" lastClr="000000"/>
    </cs:fontRef>
    <cs:spPr>
      <a:ln w="9525" cap="flat" cmpd="sng" algn="ctr">
        <a:solidFill>
          <a:sysClr val="windowText" lastClr="000000">
            <a:lumMod val="35000"/>
            <a:lumOff val="65000"/>
          </a:sysClr>
        </a:solidFill>
        <a:round/>
      </a:ln>
    </cs:spPr>
  </cs:seriesLine>
  <cs:title>
    <cs:lnRef idx="0"/>
    <cs:fillRef idx="0"/>
    <cs:effectRef idx="0"/>
    <cs:fontRef idx="minor">
      <a:sysClr val="windowText" lastClr="000000">
        <a:lumMod val="75000"/>
        <a:lumOff val="25000"/>
      </a:sysClr>
    </cs:fontRef>
    <cs:defRPr sz="1400" b="1" kern="1200" baseline="0"/>
  </cs:title>
  <cs:trendline>
    <cs:lnRef idx="0">
      <cs:styleClr val="auto"/>
    </cs:lnRef>
    <cs:fillRef idx="0"/>
    <cs:effectRef idx="0"/>
    <cs:fontRef idx="minor">
      <a:sysClr val="windowText" lastClr="000000"/>
    </cs:fontRef>
    <cs:spPr>
      <a:ln w="19050" cap="rnd">
        <a:solidFill>
          <a:schemeClr val="phClr"/>
        </a:solidFill>
        <a:prstDash val="sysDot"/>
      </a:ln>
    </cs:spPr>
  </cs:trendline>
  <cs:trendlineLabel>
    <cs:lnRef idx="0"/>
    <cs:fillRef idx="0"/>
    <cs:effectRef idx="0"/>
    <cs:fontRef idx="minor">
      <a:sysClr val="windowText" lastClr="000000">
        <a:lumMod val="65000"/>
        <a:lumOff val="35000"/>
      </a:sysClr>
    </cs:fontRef>
    <cs:defRPr sz="900" kern="1200"/>
  </cs:trendlineLabel>
  <cs:upBar>
    <cs:lnRef idx="0"/>
    <cs:fillRef idx="0"/>
    <cs:effectRef idx="0"/>
    <cs:fontRef idx="minor">
      <a:sysClr val="windowText" lastClr="000000"/>
    </cs:fontRef>
    <cs:spPr>
      <a:solidFill>
        <a:sysClr val="window" lastClr="FFFFFF"/>
      </a:solidFill>
      <a:ln w="9525">
        <a:solidFill>
          <a:sysClr val="windowText" lastClr="000000">
            <a:lumMod val="15000"/>
            <a:lumOff val="85000"/>
          </a:sysClr>
        </a:solidFill>
      </a:ln>
    </cs:spPr>
  </cs:upBar>
  <cs:valueAxis>
    <cs:lnRef idx="0"/>
    <cs:fillRef idx="0"/>
    <cs:effectRef idx="0"/>
    <cs:fontRef idx="minor">
      <a:sysClr val="windowText" lastClr="000000">
        <a:lumMod val="65000"/>
        <a:lumOff val="35000"/>
      </a:sysClr>
    </cs:fontRef>
    <cs:defRPr sz="900" kern="1200"/>
  </cs:valueAxis>
  <cs:wall>
    <cs:lnRef idx="0"/>
    <cs:fillRef idx="0"/>
    <cs:effectRef idx="0"/>
    <cs:fontRef idx="minor">
      <a:sysClr val="windowText" lastClr="000000"/>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4672</Words>
  <Characters>5071</Characters>
  <Lines>0</Lines>
  <Paragraphs>0</Paragraphs>
  <TotalTime>7</TotalTime>
  <ScaleCrop>false</ScaleCrop>
  <LinksUpToDate>false</LinksUpToDate>
  <CharactersWithSpaces>5141</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2026-08-22T08:05:00Z</dcterms:created>
  <dc:creator>Administrator</dc:creator>
  <cp:lastModifiedBy>kylin</cp:lastModifiedBy>
  <cp:lastPrinted>2026-09-02T07:49:00Z</cp:lastPrinted>
  <dcterms:modified xsi:type="dcterms:W3CDTF">2026-09-02T15:45:35Z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eyJoZGlkIjoiODIxZWIxZGQ2YTk0MTg1MDRkMzU5OGU2OGZiZWZlYzciLCJ1c2VySWQiOiI2NzM1MTg2NzMifQ==</vt:lpwstr>
  </property>
  <property fmtid="{D5CDD505-2E9C-101B-9397-08002B2CF9AE}" pid="4" name="ICV">
    <vt:lpwstr>AA8E2104566A4016BBECD21752C370AA_12</vt:lpwstr>
  </property>
</Properties>
</file>