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b/>
          <w:color w:val="000000"/>
          <w:sz w:val="72"/>
          <w:szCs w:val="72"/>
          <w14:textFill>
            <w14:solidFill>
              <w14:srgbClr w14:val="000000"/>
            </w14:solidFill>
          </w14:textFill>
        </w:rPr>
      </w:pPr>
      <w:bookmarkStart w:id="0" w:name="_Toc15377425"/>
      <w:bookmarkStart w:id="1" w:name="_Toc15378441"/>
      <w:bookmarkStart w:id="2" w:name="_Toc15396475"/>
      <w:bookmarkStart w:id="3" w:name="_Toc15377193"/>
      <w:bookmarkStart w:id="4" w:name="_Toc15396597"/>
      <w:bookmarkStart w:id="5" w:name="_Toc15306267"/>
    </w:p>
    <w:p>
      <w:pPr>
        <w:pStyle w:val="16"/>
        <w:pageBreakBefore w:val="0"/>
        <w:widowControl w:val="0"/>
        <w:kinsoku/>
        <w:wordWrap/>
        <w:overflowPunct/>
        <w:topLinePunct w:val="0"/>
        <w:autoSpaceDE/>
        <w:autoSpaceDN/>
        <w:bidi w:val="0"/>
        <w:spacing w:line="576" w:lineRule="exact"/>
        <w:ind w:firstLine="0"/>
        <w:rPr>
          <w:rFonts w:ascii="思源黑体 CN Normal" w:eastAsia="思源黑体 CN Normal" w:cs="思源黑体 CN Normal" w:hint="eastAsia"/>
          <w:color w:val="000000"/>
          <w14:textFill>
            <w14:solidFill>
              <w14:srgbClr w14:val="000000"/>
            </w14:solidFill>
          </w14:textFill>
        </w:rPr>
      </w:pPr>
    </w:p>
    <w:p>
      <w:pPr>
        <w:pageBreakBefore w:val="0"/>
        <w:widowControl w:val="0"/>
        <w:kinsoku/>
        <w:wordWrap/>
        <w:overflowPunct/>
        <w:topLinePunct w:val="0"/>
        <w:autoSpaceDE/>
        <w:autoSpaceDN/>
        <w:bidi w:val="0"/>
        <w:spacing w:line="576" w:lineRule="exact"/>
        <w:jc w:val="center"/>
        <w:rPr>
          <w:rFonts w:ascii="方正小标宋简体" w:eastAsia="方正小标宋简体" w:cs="方正小标宋简体" w:hint="eastAsia"/>
          <w:b w:val="0"/>
          <w:bCs/>
          <w:color w:val="000000"/>
          <w:sz w:val="44"/>
          <w:szCs w:val="44"/>
          <w14:textFill>
            <w14:solidFill>
              <w14:srgbClr w14:val="000000"/>
            </w14:solidFill>
          </w14:textFill>
        </w:rPr>
      </w:pPr>
    </w:p>
    <w:p>
      <w:pPr>
        <w:pageBreakBefore w:val="0"/>
        <w:widowControl w:val="0"/>
        <w:kinsoku/>
        <w:wordWrap/>
        <w:overflowPunct/>
        <w:topLinePunct w:val="0"/>
        <w:autoSpaceDE/>
        <w:autoSpaceDN/>
        <w:bidi w:val="0"/>
        <w:spacing w:line="576" w:lineRule="exact"/>
        <w:jc w:val="center"/>
        <w:rPr>
          <w:rFonts w:ascii="方正小标宋简体" w:eastAsia="方正小标宋简体" w:cs="方正小标宋简体" w:hint="eastAsia"/>
          <w:b w:val="0"/>
          <w:bCs/>
          <w:color w:val="000000"/>
          <w:sz w:val="44"/>
          <w:szCs w:val="44"/>
          <w14:textFill>
            <w14:solidFill>
              <w14:srgbClr w14:val="000000"/>
            </w14:solidFill>
          </w14:textFill>
        </w:rPr>
      </w:pPr>
    </w:p>
    <w:p>
      <w:pPr>
        <w:pageBreakBefore w:val="0"/>
        <w:widowControl w:val="0"/>
        <w:kinsoku/>
        <w:wordWrap/>
        <w:overflowPunct/>
        <w:topLinePunct w:val="0"/>
        <w:autoSpaceDE/>
        <w:autoSpaceDN/>
        <w:bidi w:val="0"/>
        <w:spacing w:line="576" w:lineRule="exact"/>
        <w:jc w:val="both"/>
        <w:rPr>
          <w:rFonts w:ascii="方正小标宋简体" w:eastAsia="方正小标宋简体" w:cs="方正小标宋简体" w:hint="eastAsia"/>
          <w:b w:val="0"/>
          <w:bCs/>
          <w:color w:val="000000"/>
          <w:sz w:val="44"/>
          <w:szCs w:val="44"/>
          <w14:textFill>
            <w14:solidFill>
              <w14:srgbClr w14:val="000000"/>
            </w14:solidFill>
          </w14:textFill>
        </w:rPr>
      </w:pPr>
    </w:p>
    <w:p>
      <w:pPr>
        <w:pStyle w:val="26"/>
        <w:keepNext w:val="0"/>
        <w:keepLines w:val="0"/>
        <w:pageBreakBefore w:val="0"/>
        <w:widowControl w:val="0"/>
        <w:kinsoku/>
        <w:wordWrap/>
        <w:overflowPunct/>
        <w:topLinePunct w:val="0"/>
        <w:autoSpaceDE/>
        <w:autoSpaceDN/>
        <w:bidi w:val="0"/>
        <w:adjustRightInd/>
        <w:snapToGrid/>
        <w:spacing w:after="0" w:line="576" w:lineRule="exact"/>
        <w:ind w:leftChars="0" w:left="0" w:firstLineChars="0" w:firstLine="0"/>
        <w:jc w:val="center"/>
        <w:textAlignment w:val="auto"/>
        <w:rPr>
          <w:rFonts w:ascii="方正小标宋简体" w:eastAsia="方正小标宋简体" w:cs="方正小标宋简体" w:hint="eastAsia"/>
          <w:b w:val="0"/>
          <w:bCs/>
          <w:color w:val="000000"/>
          <w:sz w:val="44"/>
          <w:szCs w:val="44"/>
          <w14:textFill>
            <w14:solidFill>
              <w14:srgbClr w14:val="000000"/>
            </w14:solidFill>
          </w14:textFill>
          <w:lang w:eastAsia="zh-CN"/>
        </w:rPr>
      </w:pPr>
      <w:bookmarkEnd w:id="0"/>
      <w:bookmarkEnd w:id="1"/>
      <w:bookmarkEnd w:id="2"/>
      <w:bookmarkEnd w:id="3"/>
      <w:bookmarkEnd w:id="4"/>
      <w:r>
        <w:rPr>
          <w:rFonts w:ascii="方正小标宋简体" w:eastAsia="方正小标宋简体" w:cs="方正小标宋简体" w:hint="eastAsia"/>
          <w:b w:val="0"/>
          <w:bCs/>
          <w:color w:val="000000"/>
          <w:sz w:val="44"/>
          <w:szCs w:val="44"/>
          <w14:textFill>
            <w14:solidFill>
              <w14:srgbClr w14:val="000000"/>
            </w14:solidFill>
          </w14:textFill>
          <w:lang w:eastAsia="zh-CN"/>
        </w:rPr>
        <w:t>2025年度</w:t>
      </w:r>
    </w:p>
    <w:p>
      <w:pPr>
        <w:pStyle w:val="26"/>
        <w:keepNext w:val="0"/>
        <w:keepLines w:val="0"/>
        <w:pageBreakBefore w:val="0"/>
        <w:widowControl w:val="0"/>
        <w:kinsoku/>
        <w:wordWrap/>
        <w:overflowPunct/>
        <w:topLinePunct w:val="0"/>
        <w:autoSpaceDE/>
        <w:autoSpaceDN/>
        <w:bidi w:val="0"/>
        <w:adjustRightInd/>
        <w:snapToGrid/>
        <w:spacing w:after="0" w:line="576" w:lineRule="exact"/>
        <w:ind w:leftChars="0" w:left="0" w:firstLineChars="0" w:firstLine="0"/>
        <w:jc w:val="center"/>
        <w:textAlignment w:val="auto"/>
        <w:rPr>
          <w:rFonts w:ascii="方正小标宋简体" w:eastAsia="方正小标宋简体" w:cs="方正小标宋简体" w:hint="eastAsia"/>
          <w:b w:val="0"/>
          <w:bCs/>
          <w:color w:val="000000"/>
          <w:sz w:val="44"/>
          <w:szCs w:val="44"/>
          <w14:textFill>
            <w14:solidFill>
              <w14:srgbClr w14:val="000000"/>
            </w14:solidFill>
          </w14:textFill>
          <w:lang w:eastAsia="zh-CN"/>
        </w:rPr>
      </w:pPr>
      <w:bookmarkStart w:id="6" w:name="_Toc15377194"/>
      <w:bookmarkStart w:id="7" w:name="_Toc15378442"/>
      <w:bookmarkStart w:id="8" w:name="_Toc15396476"/>
      <w:bookmarkStart w:id="9" w:name="_Toc15377426"/>
      <w:bookmarkStart w:id="10" w:name="_Toc15306268"/>
      <w:bookmarkStart w:id="11" w:name="_Toc15396598"/>
      <w:bookmarkEnd w:id="5"/>
      <w:r>
        <w:rPr>
          <w:rFonts w:ascii="方正小标宋简体" w:eastAsia="方正小标宋简体" w:cs="方正小标宋简体" w:hint="eastAsia"/>
          <w:b w:val="0"/>
          <w:bCs/>
          <w:color w:val="000000"/>
          <w:sz w:val="44"/>
          <w:szCs w:val="44"/>
          <w14:textFill>
            <w14:solidFill>
              <w14:srgbClr w14:val="000000"/>
            </w14:solidFill>
          </w14:textFill>
          <w:lang w:eastAsia="zh-CN"/>
        </w:rPr>
        <w:t>四川省阿坝州茂县凤仪镇人民政府</w:t>
      </w:r>
    </w:p>
    <w:p>
      <w:pPr>
        <w:pStyle w:val="26"/>
        <w:keepNext w:val="0"/>
        <w:keepLines w:val="0"/>
        <w:pageBreakBefore w:val="0"/>
        <w:widowControl w:val="0"/>
        <w:kinsoku/>
        <w:wordWrap/>
        <w:overflowPunct/>
        <w:topLinePunct w:val="0"/>
        <w:autoSpaceDE/>
        <w:autoSpaceDN/>
        <w:bidi w:val="0"/>
        <w:adjustRightInd/>
        <w:snapToGrid/>
        <w:spacing w:after="0" w:line="576" w:lineRule="exact"/>
        <w:ind w:leftChars="0" w:left="0" w:firstLineChars="0" w:firstLine="0"/>
        <w:jc w:val="center"/>
        <w:textAlignment w:val="auto"/>
        <w:rPr>
          <w:rFonts w:ascii="方正小标宋简体" w:eastAsia="方正小标宋简体" w:cs="方正小标宋简体" w:hint="eastAsia"/>
          <w:b w:val="0"/>
          <w:bCs/>
          <w:color w:val="000000"/>
          <w:sz w:val="44"/>
          <w:szCs w:val="44"/>
          <w14:textFill>
            <w14:solidFill>
              <w14:srgbClr w14:val="000000"/>
            </w14:solidFill>
          </w14:textFill>
          <w:lang w:eastAsia="zh-CN"/>
        </w:rPr>
      </w:pPr>
      <w:r>
        <w:rPr>
          <w:rFonts w:ascii="方正小标宋简体" w:eastAsia="方正小标宋简体" w:cs="方正小标宋简体" w:hint="eastAsia"/>
          <w:b w:val="0"/>
          <w:bCs/>
          <w:color w:val="000000"/>
          <w:sz w:val="44"/>
          <w:szCs w:val="44"/>
          <w14:textFill>
            <w14:solidFill>
              <w14:srgbClr w14:val="000000"/>
            </w14:solidFill>
          </w14:textFill>
          <w:lang w:eastAsia="zh-CN"/>
        </w:rPr>
        <w:t>部门决算</w:t>
      </w:r>
      <w:bookmarkEnd w:id="6"/>
      <w:bookmarkEnd w:id="7"/>
      <w:bookmarkEnd w:id="8"/>
      <w:bookmarkEnd w:id="9"/>
      <w:bookmarkEnd w:id="10"/>
      <w:bookmarkEnd w:id="11"/>
    </w:p>
    <w:p>
      <w:pPr>
        <w:pStyle w:val="16"/>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color w:val="000000"/>
          <w14:textFill>
            <w14:solidFill>
              <w14:srgbClr w14:val="000000"/>
            </w14:solidFill>
          </w14:textFill>
        </w:rPr>
      </w:pPr>
    </w:p>
    <w:p>
      <w:pPr>
        <w:pStyle w:val="16"/>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color w:val="000000"/>
          <w14:textFill>
            <w14:solidFill>
              <w14:srgbClr w14:val="000000"/>
            </w14:solidFill>
          </w14:textFill>
        </w:rPr>
      </w:pPr>
    </w:p>
    <w:p>
      <w:pPr>
        <w:pStyle w:val="16"/>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color w:val="000000"/>
          <w14:textFill>
            <w14:solidFill>
              <w14:srgbClr w14:val="000000"/>
            </w14:solidFill>
          </w14:textFill>
        </w:rPr>
      </w:pPr>
    </w:p>
    <w:p>
      <w:pPr>
        <w:pStyle w:val="16"/>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color w:val="000000"/>
          <w14:textFill>
            <w14:solidFill>
              <w14:srgbClr w14:val="000000"/>
            </w14:solidFill>
          </w14:textFill>
        </w:rPr>
      </w:pPr>
    </w:p>
    <w:p>
      <w:pPr>
        <w:pStyle w:val="16"/>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color w:val="000000"/>
          <w14:textFill>
            <w14:solidFill>
              <w14:srgbClr w14:val="000000"/>
            </w14:solidFill>
          </w14:textFill>
        </w:rPr>
      </w:pPr>
    </w:p>
    <w:p>
      <w:pPr>
        <w:pStyle w:val="16"/>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color w:val="000000"/>
          <w14:textFill>
            <w14:solidFill>
              <w14:srgbClr w14:val="000000"/>
            </w14:solidFill>
          </w14:textFill>
        </w:rPr>
      </w:pPr>
    </w:p>
    <w:p>
      <w:pPr>
        <w:pStyle w:val="16"/>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color w:val="000000"/>
          <w14:textFill>
            <w14:solidFill>
              <w14:srgbClr w14:val="000000"/>
            </w14:solidFill>
          </w14:textFill>
        </w:rPr>
      </w:pPr>
    </w:p>
    <w:p>
      <w:pPr>
        <w:pStyle w:val="16"/>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color w:val="000000"/>
          <w14:textFill>
            <w14:solidFill>
              <w14:srgbClr w14:val="000000"/>
            </w14:solidFill>
          </w14:textFill>
        </w:rPr>
      </w:pPr>
    </w:p>
    <w:p>
      <w:pPr>
        <w:pStyle w:val="16"/>
        <w:pageBreakBefore w:val="0"/>
        <w:widowControl w:val="0"/>
        <w:kinsoku/>
        <w:wordWrap/>
        <w:overflowPunct/>
        <w:topLinePunct w:val="0"/>
        <w:autoSpaceDE/>
        <w:autoSpaceDN/>
        <w:bidi w:val="0"/>
        <w:spacing w:line="576" w:lineRule="exact"/>
        <w:rPr>
          <w:rFonts w:ascii="思源黑体 CN Normal" w:eastAsia="思源黑体 CN Normal" w:cs="思源黑体 CN Normal" w:hint="eastAsia"/>
          <w:color w:val="000000"/>
          <w14:textFill>
            <w14:solidFill>
              <w14:srgbClr w14:val="000000"/>
            </w14:solidFill>
          </w14:textFill>
        </w:rPr>
      </w:pPr>
    </w:p>
    <w:p>
      <w:pPr>
        <w:pStyle w:val="24"/>
        <w:pageBreakBefore w:val="0"/>
        <w:widowControl w:val="0"/>
        <w:tabs>
          <w:tab w:val="right" w:leader="dot" w:pos="8296"/>
        </w:tabs>
        <w:kinsoku/>
        <w:wordWrap/>
        <w:overflowPunct/>
        <w:topLinePunct w:val="0"/>
        <w:autoSpaceDE/>
        <w:autoSpaceDN/>
        <w:bidi w:val="0"/>
        <w:spacing w:before="0" w:line="576" w:lineRule="exact"/>
        <w:jc w:val="both"/>
        <w:rPr>
          <w:rFonts w:ascii="思源黑体 CN Normal" w:eastAsia="思源黑体 CN Normal" w:cs="思源黑体 CN Normal" w:hint="eastAsia"/>
          <w:color w:val="000000"/>
          <w:sz w:val="36"/>
          <w:szCs w:val="36"/>
          <w14:textFill>
            <w14:solidFill>
              <w14:srgbClr w14:val="000000"/>
            </w14:solidFill>
          </w14:textFill>
        </w:rPr>
      </w:pPr>
      <w:r>
        <w:rPr>
          <w:rFonts w:ascii="思源黑体 CN Normal" w:eastAsia="思源黑体 CN Normal" w:cs="思源黑体 CN Normal" w:hint="eastAsia"/>
          <w:color w:val="000000"/>
          <w:sz w:val="36"/>
          <w:szCs w:val="36"/>
          <w14:textFill>
            <w14:solidFill>
              <w14:srgbClr w14:val="000000"/>
            </w14:solidFill>
          </w14:textFill>
        </w:rPr>
        <w:br w:type="page"/>
      </w:r>
    </w:p>
    <w:p>
      <w:pPr>
        <w:pageBreakBefore w:val="0"/>
        <w:widowControl/>
        <w:kinsoku/>
        <w:wordWrap/>
        <w:overflowPunct/>
        <w:topLinePunct w:val="0"/>
        <w:autoSpaceDE/>
        <w:autoSpaceDN/>
        <w:bidi w:val="0"/>
        <w:spacing w:line="576" w:lineRule="exact"/>
        <w:jc w:val="center"/>
        <w:rPr>
          <w:rFonts w:ascii="方正小标宋简体" w:eastAsia="方正小标宋简体" w:cs="方正小标宋简体" w:hint="eastAsia"/>
          <w:b w:val="0"/>
          <w:bCs w:val="0"/>
          <w:color w:val="000000"/>
          <w:sz w:val="44"/>
          <w:szCs w:val="44"/>
          <w14:textFill>
            <w14:solidFill>
              <w14:srgbClr w14:val="000000"/>
            </w14:solidFill>
          </w14:textFill>
        </w:rPr>
      </w:pPr>
      <w:r>
        <w:rPr>
          <w:rFonts w:ascii="方正小标宋简体" w:eastAsia="方正小标宋简体" w:cs="方正小标宋简体" w:hint="eastAsia"/>
          <w:b w:val="0"/>
          <w:bCs w:val="0"/>
          <w:color w:val="000000"/>
          <w:sz w:val="44"/>
          <w:szCs w:val="44"/>
          <w14:textFill>
            <w14:solidFill>
              <w14:srgbClr w14:val="000000"/>
            </w14:solidFill>
          </w14:textFill>
        </w:rPr>
        <w:t>目录</w:t>
      </w:r>
    </w:p>
    <w:p>
      <w:pPr>
        <w:pStyle w:val="24"/>
        <w:pageBreakBefore w:val="0"/>
        <w:widowControl w:val="0"/>
        <w:tabs>
          <w:tab w:val="right" w:leader="dot" w:pos="8296"/>
        </w:tabs>
        <w:kinsoku/>
        <w:wordWrap/>
        <w:overflowPunct/>
        <w:topLinePunct w:val="0"/>
        <w:autoSpaceDE/>
        <w:autoSpaceDN/>
        <w:bidi w:val="0"/>
        <w:spacing w:before="0" w:line="576" w:lineRule="exact"/>
        <w:rPr>
          <w:rFonts w:ascii="Times New Roman" w:eastAsia="仿宋_GB2312" w:cs="Times New Roman" w:hAnsi="Times New Roman"/>
          <w:color w:val="000000"/>
          <w:sz w:val="32"/>
          <w:szCs w:val="32"/>
          <w14:textFill>
            <w14:solidFill>
              <w14:srgbClr w14:val="000000"/>
            </w14:solidFill>
          </w14:textFill>
          <w:highlight w:val="auto"/>
        </w:rPr>
      </w:pPr>
      <w:r>
        <w:rPr>
          <w:rFonts w:ascii="Times New Roman" w:eastAsia="仿宋_GB2312" w:cs="Times New Roman" w:hAnsi="Times New Roman"/>
          <w:color w:val="000000"/>
          <w:sz w:val="32"/>
          <w:szCs w:val="32"/>
          <w14:textFill>
            <w14:solidFill>
              <w14:srgbClr w14:val="000000"/>
            </w14:solidFill>
          </w14:textFill>
          <w:highlight w:val="auto"/>
        </w:rPr>
        <w:t>公开时间：20</w:t>
      </w:r>
      <w:r>
        <w:rPr>
          <w:rFonts w:ascii="Times New Roman" w:eastAsia="仿宋_GB2312" w:cs="Times New Roman" w:hAnsi="Times New Roman"/>
          <w:color w:val="000000"/>
          <w:sz w:val="32"/>
          <w:szCs w:val="32"/>
          <w14:textFill>
            <w14:solidFill>
              <w14:srgbClr w14:val="000000"/>
            </w14:solidFill>
          </w14:textFill>
          <w:lang w:val="en-US" w:eastAsia="zh-CN"/>
          <w:highlight w:val="auto"/>
        </w:rPr>
        <w:t>2</w:t>
      </w:r>
      <w:r>
        <w:rPr>
          <w:rFonts w:ascii="Times New Roman" w:eastAsia="仿宋_GB2312" w:cs="Times New Roman" w:hAnsi="Times New Roman" w:hint="eastAsia"/>
          <w:color w:val="000000"/>
          <w:sz w:val="32"/>
          <w:szCs w:val="32"/>
          <w14:textFill>
            <w14:solidFill>
              <w14:srgbClr w14:val="000000"/>
            </w14:solidFill>
          </w14:textFill>
          <w:lang w:val="en-US" w:eastAsia="zh-CN"/>
          <w:highlight w:val="auto"/>
        </w:rPr>
        <w:t>6</w:t>
      </w:r>
      <w:r>
        <w:rPr>
          <w:rFonts w:ascii="Times New Roman" w:eastAsia="仿宋_GB2312" w:cs="Times New Roman" w:hAnsi="Times New Roman"/>
          <w:color w:val="000000"/>
          <w:sz w:val="32"/>
          <w:szCs w:val="32"/>
          <w14:textFill>
            <w14:solidFill>
              <w14:srgbClr w14:val="000000"/>
            </w14:solidFill>
          </w14:textFill>
          <w:highlight w:val="auto"/>
        </w:rPr>
        <w:t>年</w:t>
      </w:r>
      <w:r>
        <w:rPr>
          <w:rFonts w:ascii="Times New Roman" w:eastAsia="仿宋_GB2312" w:cs="Times New Roman" w:hAnsi="Times New Roman"/>
          <w:color w:val="000000"/>
          <w:sz w:val="32"/>
          <w:szCs w:val="32"/>
          <w14:textFill>
            <w14:solidFill>
              <w14:srgbClr w14:val="000000"/>
            </w14:solidFill>
          </w14:textFill>
          <w:lang w:val="en-US" w:eastAsia="zh-CN"/>
          <w:highlight w:val="auto"/>
        </w:rPr>
        <w:t>9</w:t>
      </w:r>
      <w:r>
        <w:rPr>
          <w:rFonts w:ascii="Times New Roman" w:eastAsia="仿宋_GB2312" w:cs="Times New Roman" w:hAnsi="Times New Roman"/>
          <w:color w:val="000000"/>
          <w:sz w:val="32"/>
          <w:szCs w:val="32"/>
          <w14:textFill>
            <w14:solidFill>
              <w14:srgbClr w14:val="000000"/>
            </w14:solidFill>
          </w14:textFill>
          <w:highlight w:val="auto"/>
        </w:rPr>
        <w:t>月</w:t>
      </w:r>
      <w:r>
        <w:rPr>
          <w:rFonts w:ascii="Times New Roman" w:eastAsia="仿宋_GB2312" w:cs="Times New Roman" w:hAnsi="Times New Roman" w:hint="eastAsia"/>
          <w:color w:val="000000"/>
          <w:sz w:val="32"/>
          <w:szCs w:val="32"/>
          <w14:textFill>
            <w14:solidFill>
              <w14:srgbClr w14:val="000000"/>
            </w14:solidFill>
          </w14:textFill>
          <w:lang w:val="en-US" w:eastAsia="zh-CN"/>
          <w:highlight w:val="auto"/>
        </w:rPr>
        <w:t>4</w:t>
      </w:r>
      <w:r>
        <w:rPr>
          <w:rFonts w:ascii="Times New Roman" w:eastAsia="仿宋_GB2312" w:cs="Times New Roman" w:hAnsi="Times New Roman"/>
          <w:color w:val="000000"/>
          <w:sz w:val="32"/>
          <w:szCs w:val="32"/>
          <w14:textFill>
            <w14:solidFill>
              <w14:srgbClr w14:val="000000"/>
            </w14:solidFill>
          </w14:textFill>
          <w:highlight w:val="auto"/>
        </w:rPr>
        <w:t>日</w:t>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before="0" w:line="576" w:lineRule="exact"/>
        <w:textAlignment w:val="auto"/>
        <w:rPr>
          <w:rFonts w:ascii="仿宋_GB2312" w:eastAsia="仿宋_GB2312" w:cs="仿宋_GB2312" w:hint="eastAsia"/>
          <w:sz w:val="32"/>
          <w:szCs w:val="32"/>
        </w:rPr>
      </w:pPr>
      <w:bookmarkStart w:id="12" w:name="_Toc15377196"/>
      <w:r>
        <w:rPr>
          <w:rFonts w:ascii="方正仿宋_GB2312" w:eastAsia="方正仿宋_GB2312" w:cs="方正仿宋_GB2312" w:hint="eastAsia"/>
          <w:caps w:val="0"/>
          <w:smallCaps/>
          <w:color w:val="000000"/>
          <w:sz w:val="32"/>
          <w:szCs w:val="32"/>
          <w14:textFill>
            <w14:solidFill>
              <w14:srgbClr w14:val="000000"/>
            </w14:solidFill>
          </w14:textFill>
        </w:rPr>
        <w:fldChar w:fldCharType="begin"/>
      </w:r>
      <w:r>
        <w:rPr>
          <w:rFonts w:ascii="方正仿宋_GB2312" w:eastAsia="方正仿宋_GB2312" w:cs="方正仿宋_GB2312" w:hint="eastAsia"/>
          <w:caps w:val="0"/>
          <w:smallCaps/>
          <w:color w:val="000000"/>
          <w:sz w:val="32"/>
          <w:szCs w:val="32"/>
          <w14:textFill>
            <w14:solidFill>
              <w14:srgbClr w14:val="000000"/>
            </w14:solidFill>
          </w14:textFill>
        </w:rPr>
        <w:instrText xml:space="preserve"> TOC \o "1-2" \h \z \u </w:instrText>
      </w:r>
      <w:r>
        <w:rPr>
          <w:rFonts w:ascii="方正仿宋_GB2312" w:eastAsia="方正仿宋_GB2312" w:cs="方正仿宋_GB2312" w:hint="eastAsia"/>
          <w:caps w:val="0"/>
          <w:smallCaps/>
          <w:color w:val="000000"/>
          <w:sz w:val="32"/>
          <w:szCs w:val="32"/>
          <w14:textFill>
            <w14:solidFill>
              <w14:srgbClr w14:val="000000"/>
            </w14:solidFill>
          </w14:textFill>
        </w:rPr>
        <w:fldChar w:fldCharType="separate"/>
      </w: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_Toc30300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val="0"/>
          <w:sz w:val="32"/>
          <w:szCs w:val="32"/>
        </w:rPr>
        <w:t>第一部分 部门概况</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_Toc30300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_Toc23093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二、机构设置</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_Toc23093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5</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before="0"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_Toc2030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val="0"/>
          <w:sz w:val="32"/>
          <w:szCs w:val="32"/>
        </w:rPr>
        <w:t xml:space="preserve">第二部分 </w:t>
      </w:r>
      <w:r>
        <w:rPr>
          <w:rFonts w:ascii="仿宋_GB2312" w:eastAsia="仿宋_GB2312" w:cs="仿宋_GB2312" w:hint="eastAsia"/>
          <w:sz w:val="32"/>
          <w:szCs w:val="32"/>
          <w:lang w:eastAsia="zh-CN"/>
        </w:rPr>
        <w:t>2025年度</w:t>
      </w:r>
      <w:r>
        <w:rPr>
          <w:rFonts w:ascii="仿宋_GB2312" w:eastAsia="仿宋_GB2312" w:cs="仿宋_GB2312" w:hint="eastAsia"/>
          <w:bCs w:val="0"/>
          <w:sz w:val="32"/>
          <w:szCs w:val="32"/>
          <w:lang w:val="en-US" w:eastAsia="zh-CN"/>
        </w:rPr>
        <w:t>部门</w:t>
      </w:r>
      <w:r>
        <w:rPr>
          <w:rFonts w:ascii="仿宋_GB2312" w:eastAsia="仿宋_GB2312" w:cs="仿宋_GB2312" w:hint="eastAsia"/>
          <w:bCs w:val="0"/>
          <w:sz w:val="32"/>
          <w:szCs w:val="32"/>
        </w:rPr>
        <w:t>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_Toc2030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7</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_Toc8104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一、收入支出决算总体情况说明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_Toc8104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7</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_Toc12216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二、收入决算情况说明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_Toc12216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7</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_Toc3068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三、支出决算情况说明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_Toc3068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8</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_Toc23366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lang w:eastAsia="zh-CN"/>
        </w:rPr>
        <w:t>四、</w:t>
      </w:r>
      <w:r>
        <w:rPr>
          <w:rFonts w:ascii="仿宋_GB2312" w:eastAsia="仿宋_GB2312" w:cs="仿宋_GB2312" w:hint="eastAsia"/>
          <w:bCs/>
          <w:sz w:val="32"/>
          <w:szCs w:val="32"/>
        </w:rPr>
        <w:t>财政拨款收入支出决算总体情况说明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_Toc23366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9</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_Toc14014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五、一般公共预算财政拨款支出决算情况说明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_Toc14014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9</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_Toc13923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六、一般公共预算财政拨款基本支出决算情况说明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_Toc13923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13</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_Toc21479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七、“三公”经费财政拨款支出决算情况说明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_Toc21479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14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_Toc6719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八、政府性基金预算支出决算情况说明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_Toc6719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14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_Toc20684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九、国有资本经营预算支出决算情况说明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_Toc20684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15</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_Toc16341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sz w:val="32"/>
          <w:szCs w:val="32"/>
        </w:rPr>
        <w:t>十、其他重要事项的情况说明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_Toc16341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15</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before="0"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_Toc22428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val="0"/>
          <w:sz w:val="32"/>
          <w:szCs w:val="32"/>
        </w:rPr>
        <w:t>第三部分 名词解释</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_Toc22428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18</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before="0"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_Toc4304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bCs w:val="0"/>
          <w:sz w:val="32"/>
          <w:szCs w:val="32"/>
          <w:lang w:eastAsia="zh-CN"/>
        </w:rPr>
        <w:t>第四部分</w:t>
      </w:r>
      <w:r>
        <w:rPr>
          <w:rFonts w:ascii="仿宋_GB2312" w:eastAsia="仿宋_GB2312" w:cs="仿宋_GB2312" w:hint="eastAsia"/>
          <w:bCs w:val="0"/>
          <w:sz w:val="32"/>
          <w:szCs w:val="32"/>
          <w:lang w:val="en-US" w:eastAsia="zh-CN"/>
        </w:rPr>
        <w:t xml:space="preserve"> </w:t>
      </w:r>
      <w:r>
        <w:rPr>
          <w:rFonts w:ascii="仿宋_GB2312" w:eastAsia="仿宋_GB2312" w:cs="仿宋_GB2312" w:hint="eastAsia"/>
          <w:bCs w:val="0"/>
          <w:sz w:val="32"/>
          <w:szCs w:val="32"/>
        </w:rPr>
        <w:t>附件</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_Toc4304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23</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before="0"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_Toc5640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highlight w:val="auto"/>
        </w:rPr>
        <w:t>第五部分 附表</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_Toc5640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23</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_Toc7320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一、收入支出决算总表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_Toc7320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_Toc3119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二、收入决算表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_Toc3119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_Toc8649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三、支出决算表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_Toc8649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_Toc10575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四、财政拨款收入支出决算总表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_Toc10575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_Toc6511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五、财政拨款支出决算明细表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_Toc6511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_Toc21990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六、一般公共预算财政拨款支出决算表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_Toc21990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_Toc22318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七、一般公共预算财政拨款支出决算明细表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_Toc22318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_Toc22456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八、一般公共预算财政拨款基本支出决算表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_Toc22456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_Toc4005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九、一般公共预算财政拨款项目支出决算表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_Toc4005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_Toc10033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十、政府性基金预算财政拨款收入支出决算表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_Toc10033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_Toc7879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十一、国有资本经营预算财政拨款收入支出决算表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_Toc7879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仿宋_GB2312" w:eastAsia="仿宋_GB2312" w:cs="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_Toc18625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十二、国有资本经营预算财政拨款支出决算表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_Toc18625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28"/>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76" w:lineRule="exact"/>
        <w:textAlignment w:val="auto"/>
        <w:rPr>
          <w:rFonts w:ascii="方正仿宋_GB2312" w:eastAsia="方正仿宋_GB2312" w:cs="方正仿宋_GB2312" w:hint="eastAsia"/>
          <w:sz w:val="32"/>
          <w:szCs w:val="32"/>
        </w:rPr>
      </w:pPr>
      <w:r>
        <w:rPr>
          <w:rFonts w:ascii="仿宋_GB2312" w:eastAsia="仿宋_GB2312" w:cs="仿宋_GB2312" w:hint="eastAsia"/>
          <w:caps w:val="0"/>
          <w:smallCaps/>
          <w:sz w:val="32"/>
          <w:szCs w:val="32"/>
        </w:rPr>
        <w:fldChar w:fldCharType="begin"/>
      </w:r>
      <w:r>
        <w:rPr>
          <w:rFonts w:ascii="仿宋_GB2312" w:eastAsia="仿宋_GB2312" w:cs="仿宋_GB2312" w:hint="eastAsia"/>
          <w:caps w:val="0"/>
          <w:smallCaps/>
          <w:sz w:val="32"/>
          <w:szCs w:val="32"/>
        </w:rPr>
        <w:instrText xml:space="preserve"> HYPERLINK \l _Toc30287 </w:instrText>
      </w:r>
      <w:r>
        <w:rPr>
          <w:rFonts w:ascii="仿宋_GB2312" w:eastAsia="仿宋_GB2312" w:cs="仿宋_GB2312" w:hint="eastAsia"/>
          <w:caps w:val="0"/>
          <w:smallCaps/>
          <w:sz w:val="32"/>
          <w:szCs w:val="32"/>
        </w:rPr>
        <w:fldChar w:fldCharType="separate"/>
      </w:r>
      <w:r>
        <w:rPr>
          <w:rFonts w:ascii="仿宋_GB2312" w:eastAsia="仿宋_GB2312" w:cs="仿宋_GB2312" w:hint="eastAsia"/>
          <w:sz w:val="32"/>
          <w:szCs w:val="32"/>
        </w:rPr>
        <w:t>十三、财政拨款“三公”经费支出决算表</w:t>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_Toc30287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34</w:t>
      </w:r>
      <w:r>
        <w:rPr>
          <w:rFonts w:ascii="仿宋_GB2312" w:eastAsia="仿宋_GB2312" w:cs="仿宋_GB2312" w:hint="eastAsia"/>
          <w:sz w:val="32"/>
          <w:szCs w:val="32"/>
        </w:rPr>
        <w:fldChar w:fldCharType="end"/>
      </w:r>
      <w:r>
        <w:rPr>
          <w:rFonts w:ascii="仿宋_GB2312" w:eastAsia="仿宋_GB2312" w:cs="仿宋_GB2312" w:hint="eastAsia"/>
          <w:caps w:val="0"/>
          <w:smallCaps/>
          <w:color w:val="000000"/>
          <w:sz w:val="32"/>
          <w:szCs w:val="32"/>
          <w14:textFill>
            <w14:solidFill>
              <w14:srgbClr w14:val="000000"/>
            </w14:solidFill>
          </w14:textFill>
        </w:rPr>
        <w:fldChar w:fldCharType="end"/>
      </w:r>
    </w:p>
    <w:p>
      <w:pPr>
        <w:pStyle w:val="16"/>
        <w:pageBreakBefore w:val="0"/>
        <w:widowControl w:val="0"/>
        <w:kinsoku/>
        <w:wordWrap/>
        <w:overflowPunct/>
        <w:topLinePunct w:val="0"/>
        <w:autoSpaceDE/>
        <w:autoSpaceDN/>
        <w:bidi w:val="0"/>
        <w:spacing w:line="576" w:lineRule="exact"/>
        <w:rPr>
          <w:rFonts w:ascii="宋体" w:eastAsia="宋体" w:cs="宋体" w:hint="eastAsia"/>
        </w:rPr>
      </w:pPr>
      <w:r>
        <w:rPr>
          <w:rFonts w:ascii="方正仿宋_GB2312" w:eastAsia="方正仿宋_GB2312" w:cs="方正仿宋_GB2312" w:hint="eastAsia"/>
          <w:caps w:val="0"/>
          <w:smallCaps/>
          <w:color w:val="000000"/>
          <w:sz w:val="32"/>
          <w:szCs w:val="32"/>
          <w14:textFill>
            <w14:solidFill>
              <w14:srgbClr w14:val="000000"/>
            </w14:solidFill>
          </w14:textFill>
        </w:rPr>
        <w:fldChar w:fldCharType="end"/>
      </w:r>
    </w:p>
    <w:p>
      <w:pPr>
        <w:pStyle w:val="1"/>
        <w:keepNext/>
        <w:keepLines/>
        <w:pageBreakBefore w:val="0"/>
        <w:widowControl w:val="0"/>
        <w:kinsoku/>
        <w:wordWrap/>
        <w:overflowPunct/>
        <w:topLinePunct w:val="0"/>
        <w:autoSpaceDE/>
        <w:autoSpaceDN/>
        <w:bidi w:val="0"/>
        <w:spacing w:before="0" w:after="0" w:line="576" w:lineRule="exact"/>
        <w:jc w:val="center"/>
        <w:rPr>
          <w:rFonts w:ascii="黑体" w:eastAsia="黑体" w:cs="黑体" w:hint="eastAsia"/>
        </w:rPr>
        <w:sectPr>
          <w:headerReference w:type="default" r:id="rId2"/>
          <w:footerReference w:type="default" r:id="rId3"/>
          <w:footerReference w:type="first" r:id="rId4"/>
          <w:pgSz w:w="11906" w:h="16838"/>
          <w:pgMar w:top="1440" w:right="1800" w:bottom="1440" w:left="1800" w:header="851" w:footer="992" w:gutter="0"/>
          <w:pgNumType w:start="1"/>
          <w:titlePg/>
          <w:docGrid w:type="lines" w:linePitch="312" w:charSpace="0"/>
        </w:sectPr>
      </w:pPr>
      <w:bookmarkStart w:id="13" w:name="_Toc111208495"/>
    </w:p>
    <w:p>
      <w:pPr>
        <w:pStyle w:val="1"/>
        <w:keepNext/>
        <w:keepLines/>
        <w:pageBreakBefore w:val="0"/>
        <w:widowControl w:val="0"/>
        <w:kinsoku/>
        <w:wordWrap/>
        <w:overflowPunct/>
        <w:topLinePunct w:val="0"/>
        <w:autoSpaceDE/>
        <w:autoSpaceDN/>
        <w:bidi w:val="0"/>
        <w:adjustRightInd/>
        <w:snapToGrid/>
        <w:spacing w:beforeLines="100" w:before="435" w:afterLines="100" w:after="435" w:line="576" w:lineRule="exact"/>
        <w:jc w:val="center"/>
        <w:textAlignment w:val="auto"/>
        <w:rPr>
          <w:rFonts w:ascii="方正小标宋简体" w:eastAsia="方正小标宋简体" w:cs="方正小标宋简体" w:hint="eastAsia"/>
          <w:b w:val="0"/>
          <w:bCs w:val="0"/>
        </w:rPr>
      </w:pPr>
      <w:bookmarkStart w:id="14" w:name="_Toc30300"/>
      <w:r>
        <w:rPr>
          <w:rFonts w:ascii="方正小标宋简体" w:eastAsia="方正小标宋简体" w:cs="方正小标宋简体" w:hint="eastAsia"/>
          <w:b w:val="0"/>
          <w:bCs w:val="0"/>
        </w:rPr>
        <w:t xml:space="preserve">第一部分 </w:t>
      </w:r>
      <w:r>
        <w:rPr>
          <w:rStyle w:val="1Char"/>
          <w:rFonts w:ascii="方正小标宋简体" w:eastAsia="方正小标宋简体" w:cs="方正小标宋简体" w:hint="eastAsia"/>
          <w:b w:val="0"/>
          <w:bCs w:val="0"/>
        </w:rPr>
        <w:t>部门</w:t>
      </w:r>
      <w:r>
        <w:rPr>
          <w:rStyle w:val="1Char"/>
          <w:rFonts w:ascii="方正小标宋简体" w:eastAsia="方正小标宋简体" w:cs="方正小标宋简体" w:hint="eastAsia"/>
          <w:b w:val="0"/>
          <w:bCs w:val="0"/>
          <w:u w:color="auto"/>
        </w:rPr>
        <w:t>概况</w:t>
      </w:r>
      <w:bookmarkEnd w:id="12"/>
      <w:bookmarkEnd w:id="13"/>
      <w:bookmarkEnd w:id="14"/>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lang w:val="en-US" w:eastAsia="zh-CN"/>
        </w:rPr>
      </w:pPr>
      <w:bookmarkStart w:id="15" w:name="_Toc111208496"/>
      <w:bookmarkStart w:id="16" w:name="_Toc15377197"/>
      <w:bookmarkStart w:id="17" w:name="_Toc113981010"/>
      <w:bookmarkStart w:id="18" w:name="_Toc15377204"/>
      <w:r>
        <w:rPr>
          <w:rFonts w:ascii="黑体" w:eastAsia="黑体" w:cs="黑体" w:hint="eastAsia"/>
          <w:b w:val="0"/>
          <w:bCs/>
          <w:color w:val="000000"/>
        </w:rPr>
        <w:t>一、</w:t>
      </w:r>
      <w:bookmarkStart w:id="19" w:name="_Toc15378445"/>
      <w:bookmarkStart w:id="20" w:name="_Toc15377198"/>
      <w:bookmarkEnd w:id="15"/>
      <w:bookmarkEnd w:id="16"/>
      <w:bookmarkEnd w:id="17"/>
      <w:r>
        <w:rPr>
          <w:rFonts w:ascii="黑体" w:eastAsia="黑体" w:cs="黑体" w:hint="eastAsia"/>
          <w:b w:val="0"/>
          <w:bCs/>
          <w:color w:val="000000"/>
          <w:lang w:val="en-US" w:eastAsia="zh-CN"/>
        </w:rPr>
        <w:t>部门职责</w:t>
      </w:r>
      <w:bookmarkStart w:id="21" w:name="_Toc113981011"/>
      <w:bookmarkStart w:id="22" w:name="_Toc111208497"/>
      <w:bookmarkStart w:id="23" w:name="_Toc15377200"/>
      <w:bookmarkEnd w:id="19"/>
      <w:bookmarkEnd w:id="20"/>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ascii="Times New Roman" w:eastAsia="仿宋_GB2312" w:cs="Times New Roman" w:hAnsi="Times New Roman" w:hint="eastAsia"/>
          <w:b w:val="0"/>
          <w:bCs w:val="0"/>
          <w:kern w:val="0"/>
          <w:sz w:val="32"/>
          <w:szCs w:val="32"/>
          <w:lang w:val="en-US" w:eastAsia="zh-CN"/>
          <w:highlight w:val="auto"/>
        </w:rPr>
      </w:pPr>
      <w:r>
        <w:rPr>
          <w:rFonts w:ascii="Times New Roman" w:eastAsia="仿宋_GB2312" w:cs="Times New Roman" w:hAnsi="Times New Roman" w:hint="eastAsia"/>
          <w:b w:val="0"/>
          <w:bCs w:val="0"/>
          <w:kern w:val="0"/>
          <w:sz w:val="32"/>
          <w:szCs w:val="32"/>
          <w:lang w:val="en-US" w:eastAsia="zh-CN"/>
          <w:highlight w:val="auto"/>
        </w:rPr>
        <w:t>1.贯彻执行党和国家的路线方针政策和上级党委、政府各项决策部署，以及本级党员代表大会（党员大会）、人民代表大会的决议决定。</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2.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3.领导镇政权机关、群团组织和其他各类组织，加强指导和规范，支持和保证这些机关和组织依照国家法律法规以及各自章程履行职责。</w:t>
      </w:r>
    </w:p>
    <w:p>
      <w:pPr>
        <w:pStyle w:val="3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4.加强党的建设。坚持全面从严治党，落实管党治党主体责任，全面加强党的政治建设、思想建设、组织建设、作风建设、纪律建设、制度建设等工作。不断强化自身建设和村（社区）党组织建设，以及其他隶属凤仪镇党委的党组织建设，抓好发展党员工作，加强党员队伍建设。维护和执行党的纪律，监督党员干部和其他工作人员严格遵守国家法律法规。</w:t>
      </w:r>
    </w:p>
    <w:p>
      <w:pPr>
        <w:pStyle w:val="3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5.按照干部管理权限，负责对干部的教育、培训、选拔、考核和监督工作。协助管理上级有关部门驻镇单位的干部。做好人才服务和引进工作。</w:t>
      </w:r>
    </w:p>
    <w:p>
      <w:pPr>
        <w:pStyle w:val="3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6.统筹区域发展。负责实施创新驱动发展、可持续发展战略目标任务，落实新发展理念，推动经济高质量发展；落实关于辖区发展的重大决策，制定辖区经济和社会发展规划、公共服务设施布局；负责乡村振兴工作，做好民生保障、返贫监测和帮扶、民族宗教等工作，推动辖区经济社会健康、有序、可持续发展；负责指导辖区基层供销合作社工作。</w:t>
      </w:r>
    </w:p>
    <w:p>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7.强化基层治理。负责本辖区社会治理，加强社会主义民主法治建设和精神文明建设，加快推进基层社会治理体系和治理能力现代化；指导村（社区）委会建设，健全自治平台，组织群众和单位参与村（社区）委会建设和管理。</w:t>
      </w:r>
    </w:p>
    <w:p>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8.优化公共服务。推进服务型政府建设，组织实施并优化教育、卫生健康、文化、民政、社会保障、退役军人事务等各项公共服务。</w:t>
      </w:r>
    </w:p>
    <w:p>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9.负责辖区范围内的应急管理、社会稳定、安全生产、生态环境保护、社会信用体系建设和审批服务便民化等工作。</w:t>
      </w:r>
    </w:p>
    <w:p>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10.负责辖区内农村经营管理体系建设工作。</w:t>
      </w:r>
    </w:p>
    <w:p>
      <w:pPr>
        <w:pStyle w:val="3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Times New Roman" w:eastAsia="仿宋_GB2312" w:cs="Times New Roman" w:hAnsi="Times New Roman"/>
          <w:b w:val="0"/>
          <w:bCs w:val="0"/>
          <w:kern w:val="0"/>
          <w:sz w:val="32"/>
          <w:szCs w:val="32"/>
          <w:lang w:val="en-US" w:eastAsia="zh-CN"/>
          <w:highlight w:val="auto"/>
        </w:rPr>
      </w:pPr>
      <w:r>
        <w:rPr>
          <w:rFonts w:ascii="Times New Roman" w:eastAsia="仿宋_GB2312" w:cs="Times New Roman" w:hAnsi="Times New Roman"/>
          <w:b w:val="0"/>
          <w:bCs w:val="0"/>
          <w:kern w:val="0"/>
          <w:sz w:val="32"/>
          <w:szCs w:val="32"/>
          <w:lang w:val="en-US" w:eastAsia="zh-CN"/>
          <w:highlight w:val="auto"/>
        </w:rPr>
        <w:t>11.完成县委、县政府交办的其他任务。</w:t>
      </w:r>
      <w:bookmarkStart w:id="24" w:name="_Toc23093"/>
    </w:p>
    <w:p>
      <w:pPr>
        <w:pStyle w:val="3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firstLineChars="200" w:firstLine="640"/>
        <w:jc w:val="both"/>
        <w:textAlignment w:val="auto"/>
        <w:rPr>
          <w:rFonts w:ascii="黑体" w:eastAsia="黑体" w:cs="黑体" w:hint="eastAsia"/>
          <w:b w:val="0"/>
          <w:bCs/>
          <w:color w:val="000000"/>
          <w:sz w:val="32"/>
          <w:szCs w:val="32"/>
        </w:rPr>
      </w:pPr>
      <w:r>
        <w:rPr>
          <w:rFonts w:ascii="黑体" w:eastAsia="黑体" w:cs="黑体" w:hint="eastAsia"/>
          <w:b w:val="0"/>
          <w:bCs/>
          <w:color w:val="000000"/>
          <w:sz w:val="32"/>
          <w:szCs w:val="32"/>
        </w:rPr>
        <w:t>二、机构设置</w:t>
      </w:r>
      <w:bookmarkEnd w:id="21"/>
      <w:bookmarkEnd w:id="22"/>
      <w:bookmarkEnd w:id="23"/>
      <w:bookmarkEnd w:id="24"/>
    </w:p>
    <w:p>
      <w:pPr>
        <w:pStyle w:val="29"/>
        <w:keepNext w:val="0"/>
        <w:keepLines w:val="0"/>
        <w:pageBreakBefore w:val="0"/>
        <w:widowControl w:val="0"/>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6" w:lineRule="exact"/>
        <w:ind w:firstLineChars="200" w:firstLine="640"/>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茂县</w:t>
      </w:r>
      <w:r>
        <w:rPr>
          <w:rFonts w:ascii="Times New Roman" w:eastAsia="仿宋_GB2312" w:cs="Times New Roman" w:hAnsi="Times New Roman" w:hint="eastAsia"/>
          <w:color w:val="000000"/>
          <w:sz w:val="32"/>
          <w:szCs w:val="32"/>
          <w:lang w:eastAsia="zh-CN"/>
        </w:rPr>
        <w:t>凤仪镇</w:t>
      </w:r>
      <w:r>
        <w:rPr>
          <w:rFonts w:ascii="Times New Roman" w:eastAsia="仿宋_GB2312" w:cs="Times New Roman" w:hAnsi="Times New Roman"/>
          <w:color w:val="000000"/>
          <w:sz w:val="32"/>
          <w:szCs w:val="32"/>
        </w:rPr>
        <w:t>人民政府</w:t>
      </w:r>
      <w:r>
        <w:rPr>
          <w:rFonts w:ascii="Times New Roman" w:eastAsia="仿宋_GB2312" w:cs="Times New Roman" w:hAnsi="Times New Roman" w:hint="eastAsia"/>
          <w:b w:val="0"/>
          <w:bCs w:val="0"/>
          <w:color w:val="000000"/>
          <w:sz w:val="32"/>
          <w:szCs w:val="32"/>
          <w:lang w:eastAsia="zh-CN"/>
        </w:rPr>
        <w:t>，</w:t>
      </w:r>
      <w:r>
        <w:rPr>
          <w:rFonts w:ascii="Times New Roman" w:eastAsia="仿宋_GB2312" w:cs="Times New Roman" w:hAnsi="Times New Roman"/>
          <w:color w:val="000000"/>
          <w:sz w:val="32"/>
          <w:szCs w:val="32"/>
        </w:rPr>
        <w:t>下属二级预算单位2个，其中行政单位1个，参照公务员法管理的事业单位0个，其他事业单位1个。</w:t>
      </w:r>
    </w:p>
    <w:p>
      <w:pPr>
        <w:pStyle w:val="29"/>
        <w:keepNext w:val="0"/>
        <w:keepLines w:val="0"/>
        <w:pageBreakBefore w:val="0"/>
        <w:widowControl w:val="0"/>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6" w:lineRule="exact"/>
        <w:ind w:firstLineChars="200" w:firstLine="640"/>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纳入茂县</w:t>
      </w:r>
      <w:r>
        <w:rPr>
          <w:rFonts w:ascii="Times New Roman" w:eastAsia="仿宋_GB2312" w:cs="Times New Roman" w:hAnsi="Times New Roman" w:hint="eastAsia"/>
          <w:color w:val="000000"/>
          <w:sz w:val="32"/>
          <w:szCs w:val="32"/>
          <w:lang w:eastAsia="zh-CN"/>
        </w:rPr>
        <w:t>凤仪镇</w:t>
      </w:r>
      <w:r>
        <w:rPr>
          <w:rFonts w:ascii="Times New Roman" w:eastAsia="仿宋_GB2312" w:cs="Times New Roman" w:hAnsi="Times New Roman"/>
          <w:color w:val="000000"/>
          <w:sz w:val="32"/>
          <w:szCs w:val="32"/>
        </w:rPr>
        <w:t>人民政府</w:t>
      </w:r>
      <w:r>
        <w:rPr>
          <w:rFonts w:ascii="Times New Roman" w:eastAsia="仿宋_GB2312" w:cs="Times New Roman" w:hAnsi="Times New Roman" w:hint="eastAsia"/>
          <w:color w:val="000000"/>
          <w:sz w:val="32"/>
          <w:szCs w:val="32"/>
          <w:lang w:eastAsia="zh-CN"/>
        </w:rPr>
        <w:t>2025年度</w:t>
      </w:r>
      <w:r>
        <w:rPr>
          <w:rFonts w:ascii="Times New Roman" w:eastAsia="仿宋_GB2312" w:cs="Times New Roman" w:hAnsi="Times New Roman"/>
          <w:color w:val="000000"/>
          <w:sz w:val="32"/>
          <w:szCs w:val="32"/>
        </w:rPr>
        <w:t>部门决算编制范围的二级预算单位包括：</w:t>
      </w:r>
    </w:p>
    <w:p>
      <w:pPr>
        <w:pStyle w:val="29"/>
        <w:keepNext w:val="0"/>
        <w:keepLines w:val="0"/>
        <w:pageBreakBefore w:val="0"/>
        <w:widowControl w:val="0"/>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6" w:lineRule="exact"/>
        <w:ind w:firstLineChars="200" w:firstLine="640"/>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茂县</w:t>
      </w:r>
      <w:r>
        <w:rPr>
          <w:rFonts w:ascii="Times New Roman" w:eastAsia="仿宋_GB2312" w:cs="Times New Roman" w:hAnsi="Times New Roman" w:hint="eastAsia"/>
          <w:color w:val="000000"/>
          <w:sz w:val="32"/>
          <w:szCs w:val="32"/>
          <w:lang w:eastAsia="zh-CN"/>
        </w:rPr>
        <w:t>凤仪镇</w:t>
      </w:r>
      <w:r>
        <w:rPr>
          <w:rFonts w:ascii="Times New Roman" w:eastAsia="仿宋_GB2312" w:cs="Times New Roman" w:hAnsi="Times New Roman"/>
          <w:color w:val="000000"/>
          <w:sz w:val="32"/>
          <w:szCs w:val="32"/>
        </w:rPr>
        <w:t>人民政府（行政）</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ascii="仿宋_GB2312" w:eastAsia="仿宋_GB2312" w:cs="仿宋_GB2312" w:hint="eastAsia"/>
          <w:color w:val="000000"/>
          <w:sz w:val="32"/>
          <w:szCs w:val="32"/>
        </w:rPr>
      </w:pPr>
      <w:r>
        <w:rPr>
          <w:rFonts w:ascii="Times New Roman" w:eastAsia="仿宋_GB2312" w:cs="Times New Roman" w:hAnsi="Times New Roman"/>
          <w:color w:val="000000"/>
          <w:sz w:val="32"/>
          <w:szCs w:val="32"/>
        </w:rPr>
        <w:t>茂县凤仪镇便民服务中心（事业）</w:t>
      </w:r>
    </w:p>
    <w:p>
      <w:pPr>
        <w:pageBreakBefore w:val="0"/>
        <w:widowControl/>
        <w:kinsoku/>
        <w:wordWrap/>
        <w:overflowPunct/>
        <w:topLinePunct w:val="0"/>
        <w:autoSpaceDE/>
        <w:autoSpaceDN/>
        <w:bidi w:val="0"/>
        <w:spacing w:line="576" w:lineRule="exact"/>
        <w:jc w:val="left"/>
        <w:rPr>
          <w:rFonts w:ascii="思源黑体 CN Normal" w:eastAsia="思源黑体 CN Normal" w:cs="思源黑体 CN Normal" w:hint="eastAsia"/>
          <w:b/>
          <w:bCs/>
          <w:color w:val="000000"/>
          <w:kern w:val="44"/>
          <w:sz w:val="44"/>
          <w:szCs w:val="44"/>
        </w:rPr>
      </w:pPr>
      <w:r>
        <w:rPr>
          <w:rFonts w:ascii="思源黑体 CN Normal" w:eastAsia="思源黑体 CN Normal" w:cs="思源黑体 CN Normal" w:hint="eastAsia"/>
          <w:color w:val="000000"/>
        </w:rPr>
        <w:br w:type="page"/>
      </w:r>
    </w:p>
    <w:p>
      <w:pPr>
        <w:pStyle w:val="1"/>
        <w:keepNext/>
        <w:keepLines/>
        <w:pageBreakBefore w:val="0"/>
        <w:widowControl w:val="0"/>
        <w:kinsoku/>
        <w:wordWrap/>
        <w:overflowPunct/>
        <w:topLinePunct w:val="0"/>
        <w:autoSpaceDE/>
        <w:autoSpaceDN/>
        <w:bidi w:val="0"/>
        <w:adjustRightInd/>
        <w:snapToGrid/>
        <w:spacing w:beforeLines="100" w:before="435" w:afterLines="100" w:after="435" w:line="576" w:lineRule="exact"/>
        <w:jc w:val="center"/>
        <w:textAlignment w:val="auto"/>
        <w:rPr>
          <w:rFonts w:ascii="方正小标宋简体" w:eastAsia="方正小标宋简体" w:cs="方正小标宋简体" w:hint="eastAsia"/>
          <w:b w:val="0"/>
          <w:bCs w:val="0"/>
        </w:rPr>
      </w:pPr>
      <w:bookmarkStart w:id="25" w:name="_Toc111208498"/>
      <w:bookmarkStart w:id="26" w:name="_Toc2030"/>
      <w:r>
        <w:rPr>
          <w:rFonts w:ascii="方正小标宋简体" w:eastAsia="方正小标宋简体" w:cs="方正小标宋简体" w:hint="eastAsia"/>
          <w:b w:val="0"/>
          <w:bCs w:val="0"/>
        </w:rPr>
        <w:t xml:space="preserve">第二部分 </w:t>
      </w:r>
      <w:r>
        <w:rPr>
          <w:rFonts w:ascii="方正小标宋简体" w:eastAsia="方正小标宋简体" w:cs="方正小标宋简体" w:hint="eastAsia"/>
          <w:u w:color="auto"/>
          <w:lang w:eastAsia="zh-CN"/>
        </w:rPr>
        <w:t>2025年度</w:t>
      </w:r>
      <w:r>
        <w:rPr>
          <w:rFonts w:ascii="方正小标宋简体" w:eastAsia="方正小标宋简体" w:cs="方正小标宋简体" w:hint="eastAsia"/>
          <w:b w:val="0"/>
          <w:bCs w:val="0"/>
          <w:lang w:val="en-US" w:eastAsia="zh-CN"/>
        </w:rPr>
        <w:t>部门</w:t>
      </w:r>
      <w:r>
        <w:rPr>
          <w:rFonts w:ascii="方正小标宋简体" w:eastAsia="方正小标宋简体" w:cs="方正小标宋简体" w:hint="eastAsia"/>
          <w:b w:val="0"/>
          <w:bCs w:val="0"/>
        </w:rPr>
        <w:t>决算情况说明</w:t>
      </w:r>
      <w:bookmarkEnd w:id="18"/>
      <w:bookmarkEnd w:id="25"/>
      <w:bookmarkEnd w:id="26"/>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bookmarkStart w:id="27" w:name="_Toc15377205"/>
      <w:bookmarkStart w:id="28" w:name="_Toc111208499"/>
      <w:bookmarkStart w:id="29" w:name="_Toc8104"/>
      <w:r>
        <w:rPr>
          <w:rFonts w:ascii="黑体" w:eastAsia="黑体" w:cs="黑体" w:hint="eastAsia"/>
          <w:b w:val="0"/>
          <w:bCs/>
          <w:color w:val="000000"/>
        </w:rPr>
        <w:t>一、收入支出决算总体情况说</w:t>
      </w:r>
      <w:bookmarkEnd w:id="27"/>
      <w:r>
        <w:rPr>
          <w:rFonts w:ascii="黑体" w:eastAsia="黑体" w:cs="黑体" w:hint="eastAsia"/>
          <w:b w:val="0"/>
          <w:bCs/>
          <w:color w:val="000000"/>
        </w:rPr>
        <w:t>明</w:t>
      </w:r>
      <w:bookmarkEnd w:id="28"/>
      <w:bookmarkEnd w:id="29"/>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ascii="Times New Roman" w:eastAsia="仿宋_GB2312" w:cs="Times New Roman" w:hAnsi="Times New Roman"/>
          <w:color w:val="000000"/>
          <w:sz w:val="32"/>
          <w:szCs w:val="32"/>
          <w:lang w:eastAsia="zh-CN"/>
        </w:rPr>
      </w:pPr>
      <w:r>
        <w:rPr>
          <w:rFonts w:eastAsia="仿宋_GB2312" w:cs="Times New Roman" w:hint="eastAsia"/>
          <w:color w:val="000000"/>
          <w:sz w:val="32"/>
          <w:szCs w:val="32"/>
          <w:lang w:eastAsia="zh-CN"/>
        </w:rPr>
        <w:t>2025年度</w:t>
      </w:r>
      <w:r>
        <w:rPr>
          <w:rFonts w:ascii="Times New Roman" w:eastAsia="仿宋_GB2312" w:cs="Times New Roman" w:hAnsi="Times New Roman"/>
          <w:color w:val="000000"/>
          <w:sz w:val="32"/>
          <w:u w:color="auto"/>
        </w:rPr>
        <w:t>收入、支出总计均为</w:t>
      </w:r>
      <w:r>
        <w:rPr>
          <w:rFonts w:eastAsia="仿宋_GB2312" w:cs="Times New Roman" w:hint="eastAsia"/>
          <w:color w:val="000000"/>
          <w:sz w:val="32"/>
          <w:u w:color="auto"/>
          <w:lang w:val="en-US" w:eastAsia="zh-CN"/>
        </w:rPr>
        <w:t>7590.9</w:t>
      </w:r>
      <w:r>
        <w:rPr>
          <w:rFonts w:ascii="Times New Roman" w:eastAsia="仿宋_GB2312" w:cs="Times New Roman" w:hAnsi="Times New Roman"/>
          <w:color w:val="000000"/>
          <w:sz w:val="32"/>
          <w:szCs w:val="32"/>
        </w:rPr>
        <w:t>万元。与</w:t>
      </w:r>
      <w:r>
        <w:rPr>
          <w:rFonts w:eastAsia="仿宋_GB2312" w:cs="Times New Roman" w:hint="eastAsia"/>
          <w:color w:val="000000"/>
          <w:sz w:val="32"/>
          <w:u w:color="auto"/>
          <w:lang w:eastAsia="zh-CN"/>
        </w:rPr>
        <w:t>2024年度</w:t>
      </w:r>
      <w:r>
        <w:rPr>
          <w:rFonts w:ascii="Times New Roman" w:eastAsia="仿宋_GB2312" w:cs="Times New Roman" w:hAnsi="Times New Roman"/>
          <w:color w:val="000000"/>
          <w:sz w:val="32"/>
          <w:szCs w:val="32"/>
        </w:rPr>
        <w:t>相比，收入、支出总计各</w:t>
      </w:r>
      <w:r>
        <w:rPr>
          <w:rFonts w:eastAsia="仿宋_GB2312" w:cs="Times New Roman" w:hint="eastAsia"/>
          <w:color w:val="000000"/>
          <w:sz w:val="32"/>
          <w:u w:color="auto"/>
          <w:lang w:eastAsia="zh-CN"/>
        </w:rPr>
        <w:t>增加</w:t>
      </w:r>
      <w:r>
        <w:rPr>
          <w:rFonts w:eastAsia="仿宋_GB2312" w:cs="Times New Roman" w:hint="eastAsia"/>
          <w:color w:val="000000"/>
          <w:sz w:val="32"/>
          <w:u w:color="auto"/>
          <w:lang w:val="en-US" w:eastAsia="zh-CN"/>
        </w:rPr>
        <w:t>2051.68</w:t>
      </w:r>
      <w:r>
        <w:rPr>
          <w:rFonts w:ascii="Times New Roman" w:eastAsia="仿宋_GB2312" w:cs="Times New Roman" w:hAnsi="Times New Roman"/>
          <w:color w:val="000000"/>
          <w:sz w:val="32"/>
          <w:u w:color="auto"/>
        </w:rPr>
        <w:t>万元，</w:t>
      </w:r>
      <w:r>
        <w:rPr>
          <w:rFonts w:eastAsia="仿宋_GB2312" w:cs="Times New Roman" w:hint="eastAsia"/>
          <w:color w:val="000000"/>
          <w:sz w:val="32"/>
          <w:u w:color="auto"/>
          <w:lang w:eastAsia="zh-CN"/>
        </w:rPr>
        <w:t>增长</w:t>
      </w:r>
      <w:r>
        <w:rPr>
          <w:rFonts w:eastAsia="仿宋_GB2312" w:cs="Times New Roman" w:hint="eastAsia"/>
          <w:color w:val="000000"/>
          <w:sz w:val="32"/>
          <w:u w:color="auto"/>
          <w:lang w:val="en-US" w:eastAsia="zh-CN"/>
        </w:rPr>
        <w:t>37.04</w:t>
      </w:r>
      <w:r>
        <w:rPr>
          <w:rFonts w:ascii="Times New Roman" w:eastAsia="仿宋_GB2312" w:cs="Times New Roman" w:hAnsi="Times New Roman"/>
          <w:color w:val="000000"/>
          <w:sz w:val="32"/>
          <w:u w:color="auto"/>
        </w:rPr>
        <w:t xml:space="preserve">%。 </w:t>
      </w:r>
      <w:r>
        <w:rPr>
          <w:rFonts w:eastAsia="仿宋_GB2312" w:cs="Times New Roman" w:hint="eastAsia"/>
          <w:color w:val="auto"/>
          <w:sz w:val="32"/>
          <w:szCs w:val="32"/>
          <w:lang w:eastAsia="zh-CN"/>
          <w:highlight w:val="auto"/>
        </w:rPr>
        <w:t>主要变动原因是：</w:t>
      </w:r>
      <w:r>
        <w:rPr>
          <w:rFonts w:eastAsia="仿宋_GB2312" w:cs="Times New Roman" w:hint="eastAsia"/>
          <w:color w:val="auto"/>
          <w:sz w:val="32"/>
          <w:szCs w:val="32"/>
          <w:lang w:val="en-US" w:eastAsia="zh-CN"/>
          <w:highlight w:val="auto"/>
        </w:rPr>
        <w:t>2025年项目支出增加。</w:t>
      </w:r>
    </w:p>
    <w:p>
      <w:pPr>
        <w:pStyle w:val="15"/>
        <w:rPr>
          <w:rFonts w:ascii="Times New Roman" w:eastAsia="仿宋_GB2312" w:cs="Times New Roman" w:hAnsi="Times New Roman"/>
          <w:color w:val="000000"/>
          <w:sz w:val="32"/>
          <w:szCs w:val="32"/>
          <w:lang w:eastAsia="zh-CN"/>
        </w:rPr>
      </w:pPr>
      <w:r>
        <w:rPr>
          <w:rFonts w:ascii="Times New Roman" w:eastAsia="仿宋_GB2312" w:cs="Times New Roman" w:hAnsi="Times New Roman"/>
          <w:color w:val="auto"/>
          <w:sz w:val="32"/>
          <w:szCs w:val="32"/>
          <w:lang w:eastAsia="zh-CN"/>
          <w:highlight w:val="auto"/>
        </w:rPr>
        <w:drawing>
          <wp:anchor distT="0" distB="0" distL="114300" distR="114300" simplePos="0" relativeHeight="24" behindDoc="0" locked="0" layoutInCell="1" hidden="0" allowOverlap="1">
            <wp:simplePos x="0" y="0"/>
            <wp:positionH relativeFrom="column">
              <wp:posOffset>400050</wp:posOffset>
            </wp:positionH>
            <wp:positionV relativeFrom="paragraph">
              <wp:posOffset>59055</wp:posOffset>
            </wp:positionV>
            <wp:extent cx="5219066" cy="3671569"/>
            <wp:effectExtent l="0" t="0" r="0" b="0"/>
            <wp:wrapNone/>
            <wp:docPr id="10" name="图表 5"/>
            <wp:cNvGraphicFramePr>
              <a:graphicFrameLocks noChangeAspect="0"/>
            </wp:cNvGraphicFramePr>
            <a:graphic>
              <a:graphicData uri="http://schemas.openxmlformats.org/drawingml/2006/chart">
                <c:chart xmlns:c="http://schemas.openxmlformats.org/drawingml/2006/chart" r:id="rId7"/>
              </a:graphicData>
            </a:graphic>
          </wp:anchor>
        </w:drawing>
      </w:r>
    </w:p>
    <w:p>
      <w:pPr>
        <w:rPr>
          <w:rFonts w:ascii="Times New Roman" w:eastAsia="仿宋_GB2312" w:cs="Times New Roman" w:hAnsi="Times New Roman"/>
          <w:color w:val="000000"/>
          <w:sz w:val="32"/>
          <w:szCs w:val="32"/>
          <w:lang w:eastAsia="zh-CN"/>
        </w:rPr>
      </w:pPr>
    </w:p>
    <w:p>
      <w:pPr>
        <w:pStyle w:val="15"/>
        <w:rPr>
          <w:lang w:eastAsia="zh-CN"/>
        </w:rPr>
      </w:pPr>
    </w:p>
    <w:p>
      <w:pPr>
        <w:pStyle w:val="15"/>
      </w:pPr>
    </w:p>
    <w:p>
      <w:pPr>
        <w:pStyle w:val="16"/>
        <w:pageBreakBefore w:val="0"/>
        <w:widowControl w:val="0"/>
        <w:kinsoku/>
        <w:wordWrap/>
        <w:overflowPunct/>
        <w:topLinePunct w:val="0"/>
        <w:autoSpaceDE/>
        <w:autoSpaceDN/>
        <w:bidi w:val="0"/>
        <w:spacing w:line="576" w:lineRule="exact"/>
        <w:ind w:left="0" w:firstLine="0"/>
        <w:jc w:val="center"/>
        <w:rPr>
          <w:rFonts w:ascii="思源黑体 CN Normal" w:eastAsia="思源黑体 CN Normal" w:cs="思源黑体 CN Normal" w:hint="eastAsia"/>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r>
        <w:rPr>
          <w:sz w:val="32"/>
        </w:rPr>
        <mc:AlternateContent>
          <mc:Choice Requires="wps">
            <w:drawing>
              <wp:anchor distT="0" distB="0" distL="114298" distR="114298" simplePos="0" relativeHeight="30" behindDoc="0" locked="0" layoutInCell="1" hidden="0" allowOverlap="1">
                <wp:simplePos x="0" y="0"/>
                <wp:positionH relativeFrom="column">
                  <wp:posOffset>3900805</wp:posOffset>
                </wp:positionH>
                <wp:positionV relativeFrom="paragraph">
                  <wp:posOffset>205740</wp:posOffset>
                </wp:positionV>
                <wp:extent cx="1238249" cy="361950"/>
                <wp:effectExtent l="0" t="0" r="0" b="0"/>
                <wp:wrapNone/>
                <wp:docPr id="11" name="文本框 11"/>
                <wp:cNvGraphicFramePr>
                  <a:graphicFrameLocks noChangeAspect="0"/>
                </wp:cNvGraphicFramePr>
                <a:graphic>
                  <a:graphicData uri="http://schemas.microsoft.com/office/word/2010/wordprocessingShape">
                    <wps:wsp>
                      <wps:cNvSpPr/>
                      <wps:spPr>
                        <a:xfrm rot="0">
                          <a:off x="0" y="0"/>
                          <a:ext cx="1238249" cy="361950"/>
                        </a:xfrm>
                        <a:prstGeom prst="rect"/>
                        <a:solidFill>
                          <a:srgbClr val="FFFFFF"/>
                        </a:solidFill>
                        <a:ln w="6350" cmpd="sng" cap="flat">
                          <a:noFill/>
                          <a:prstDash val="solid"/>
                          <a:round/>
                        </a:ln>
                      </wps:spPr>
                      <wps:txbx id="12">
                        <w:txbxContent>
                          <w:p>
                            <w:pPr>
                              <w:pBdr>
                                <w:top w:val="none" w:sz="0" w:space="0" w:color="auto"/>
                                <w:left w:val="none" w:sz="0" w:space="0" w:color="auto"/>
                                <w:bottom w:val="none" w:sz="0" w:space="0" w:color="auto"/>
                                <w:right w:val="none" w:sz="0" w:space="0" w:color="auto"/>
                                <w:between w:val="none" w:sz="0" w:space="0" w:color="auto"/>
                              </w:pBdr>
                              <w:rPr>
                                <w:rFonts w:eastAsia="宋体" w:hint="eastAsia"/>
                                <w:lang w:eastAsia="zh-CN"/>
                              </w:rPr>
                            </w:pPr>
                            <w:r>
                              <w:rPr>
                                <w:rFonts w:hint="eastAsia"/>
                                <w:lang w:eastAsia="zh-CN"/>
                              </w:rPr>
                              <w:t>单位：万元</w:t>
                            </w:r>
                          </w:p>
                          <w:p/>
                        </w:txbxContent>
                      </wps:txbx>
                      <wps:bodyPr vert="horz" wrap="square" lIns="91440" tIns="45720" rIns="91440" bIns="45720" anchor="t" anchorCtr="0" upright="0">
                        <a:noAutofit/>
                      </wps:bodyPr>
                    </wps:wsp>
                  </a:graphicData>
                </a:graphic>
              </wp:anchor>
            </w:drawing>
          </mc:Choice>
          <mc:Fallback>
            <w:pict>
              <v:shape type="#_x0000_t202" id="文本框 11 13" o:spid="_x0000_s13" fillcolor="#FFFFFF" stroked="f" strokeweight="0.5pt" style="position:absolute;margin-left:307.15pt;margin-top:16.2pt;width:97.49998pt;height:28.5pt;z-index:30;mso-position-horizontal:absolute;mso-position-vertical:absolute;mso-wrap-distance-left:8.999863pt;mso-wrap-distance-right:8.999863pt;mso-wrap-style:square;">
                <v:stroke color="#000000"/>
                <v:textbox id="849" inset="2.54mm,1.27mm,2.54mm,1.27mm" o:insetmode="custom" style="layout-flow:horizontal;v-text-anchor:top;">
                  <w:txbxContent>
                    <w:p>
                      <w:pPr>
                        <w:pBdr>
                          <w:top w:val="none" w:sz="0" w:space="0" w:color="auto"/>
                          <w:left w:val="none" w:sz="0" w:space="0" w:color="auto"/>
                          <w:bottom w:val="none" w:sz="0" w:space="0" w:color="auto"/>
                          <w:right w:val="none" w:sz="0" w:space="0" w:color="auto"/>
                          <w:between w:val="none" w:sz="0" w:space="0" w:color="auto"/>
                        </w:pBdr>
                        <w:rPr>
                          <w:rFonts w:eastAsia="宋体" w:hint="eastAsia"/>
                          <w:lang w:eastAsia="zh-CN"/>
                        </w:rPr>
                      </w:pPr>
                      <w:r>
                        <w:rPr>
                          <w:rFonts w:hint="eastAsia"/>
                          <w:lang w:eastAsia="zh-CN"/>
                        </w:rPr>
                        <w:t>单位：万元</w:t>
                      </w:r>
                    </w:p>
                    <w:p/>
                  </w:txbxContent>
                </v:textbox>
              </v:shape>
            </w:pict>
          </mc:Fallback>
        </mc:AlternateContent>
      </w:r>
    </w:p>
    <w:p>
      <w:pPr>
        <w:pStyle w:val="38"/>
        <w:keepNext w:val="0"/>
        <w:keepLines w:val="0"/>
        <w:pageBreakBefore w:val="0"/>
        <w:widowControl w:val="0"/>
        <w:kinsoku/>
        <w:wordWrap/>
        <w:overflowPunct/>
        <w:topLinePunct w:val="0"/>
        <w:autoSpaceDE/>
        <w:autoSpaceDN/>
        <w:bidi w:val="0"/>
        <w:adjustRightInd/>
        <w:snapToGrid/>
        <w:spacing w:line="576" w:lineRule="exact"/>
        <w:jc w:val="both"/>
        <w:textAlignment w:val="auto"/>
        <w:outlineLvl w:val="1"/>
        <w:rPr>
          <w:rFonts w:ascii="仿宋_GB2312" w:eastAsia="仿宋_GB2312" w:cs="仿宋_GB2312" w:hint="eastAsia"/>
          <w:color w:val="auto"/>
          <w:sz w:val="32"/>
          <w:szCs w:val="32"/>
          <w:lang w:eastAsia="zh-CN"/>
          <w:highlight w:val="auto"/>
        </w:rPr>
      </w:pPr>
      <w:bookmarkStart w:id="30" w:name="_Toc12216"/>
      <w:bookmarkStart w:id="31" w:name="_Toc15377206"/>
      <w:bookmarkStart w:id="32" w:name="_Toc111208500"/>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Cs w:val="0"/>
          <w:color w:val="000000"/>
        </w:rPr>
      </w:pPr>
      <w:r>
        <w:rPr>
          <w:rFonts w:ascii="黑体" w:eastAsia="黑体" w:cs="黑体" w:hint="eastAsia"/>
          <w:b w:val="0"/>
          <w:bCs/>
          <w:color w:val="000000"/>
        </w:rPr>
        <w:t>二、收入决算情况说明</w:t>
      </w:r>
      <w:bookmarkEnd w:id="30"/>
      <w:bookmarkEnd w:id="31"/>
      <w:bookmarkEnd w:id="32"/>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eastAsia="仿宋_GB2312" w:cs="Times New Roman" w:hint="eastAsia"/>
          <w:color w:val="000000"/>
          <w:sz w:val="32"/>
          <w:szCs w:val="32"/>
          <w:lang w:eastAsia="zh-CN"/>
        </w:rPr>
      </w:pPr>
      <w:r>
        <w:rPr>
          <w:rFonts w:eastAsia="仿宋_GB2312" w:cs="Times New Roman" w:hint="eastAsia"/>
          <w:color w:val="000000"/>
          <w:sz w:val="32"/>
          <w:szCs w:val="32"/>
          <w:lang w:eastAsia="zh-CN"/>
        </w:rPr>
        <w:t>2</w:t>
      </w:r>
      <w:r>
        <w:rPr>
          <w:rFonts w:eastAsia="仿宋_GB2312" w:cs="Times New Roman" w:hint="eastAsia"/>
          <w:color w:val="000000"/>
          <w:sz w:val="32"/>
          <w:szCs w:val="32"/>
          <w:lang w:val="en-US" w:eastAsia="zh-CN"/>
        </w:rPr>
        <w:t>025年度本年收入合计7590.9万元，其中：一般公共预算财政拨款收入6041.03万元，占79.58%；政府性基金预算财政拨款收入1524.07万元，占20.08%；其他收入25.8万元，占0.34%。</w:t>
      </w:r>
    </w:p>
    <w:p>
      <w:pPr>
        <w:pStyle w:val="27"/>
        <w:pageBreakBefore w:val="0"/>
        <w:widowControl w:val="0"/>
        <w:kinsoku/>
        <w:wordWrap/>
        <w:overflowPunct/>
        <w:topLinePunct w:val="0"/>
        <w:autoSpaceDE/>
        <w:autoSpaceDN/>
        <w:bidi w:val="0"/>
        <w:spacing w:line="576" w:lineRule="exact"/>
        <w:ind w:leftChars="0" w:left="0" w:firstLineChars="0" w:firstLine="0"/>
        <w:jc w:val="both"/>
        <w:rPr>
          <w:rFonts w:ascii="思源黑体 CN Normal" w:eastAsia="思源黑体 CN Normal" w:cs="思源黑体 CN Normal" w:hint="eastAsia"/>
          <w:color w:val="FF0000"/>
          <w:sz w:val="32"/>
          <w:szCs w:val="32"/>
        </w:rPr>
      </w:pPr>
    </w:p>
    <w:p>
      <w:pPr>
        <w:pStyle w:val="27"/>
        <w:pageBreakBefore w:val="0"/>
        <w:widowControl w:val="0"/>
        <w:kinsoku/>
        <w:wordWrap/>
        <w:overflowPunct/>
        <w:topLinePunct w:val="0"/>
        <w:autoSpaceDE/>
        <w:autoSpaceDN/>
        <w:bidi w:val="0"/>
        <w:spacing w:line="576" w:lineRule="exact"/>
        <w:ind w:leftChars="0" w:left="0" w:firstLineChars="0" w:firstLine="0"/>
        <w:jc w:val="both"/>
        <w:rPr>
          <w:rFonts w:ascii="思源黑体 CN Normal" w:eastAsia="思源黑体 CN Normal" w:cs="思源黑体 CN Normal" w:hint="eastAsia"/>
          <w:color w:val="FF0000"/>
          <w:sz w:val="32"/>
          <w:szCs w:val="32"/>
        </w:rPr>
      </w:pPr>
    </w:p>
    <w:p>
      <w:pPr>
        <w:pageBreakBefore w:val="0"/>
        <w:widowControl w:val="0"/>
        <w:kinsoku/>
        <w:wordWrap/>
        <w:overflowPunct/>
        <w:topLinePunct w:val="0"/>
        <w:autoSpaceDE/>
        <w:autoSpaceDN/>
        <w:bidi w:val="0"/>
        <w:spacing w:line="576" w:lineRule="exact"/>
        <w:ind w:firstLineChars="200" w:firstLine="420"/>
        <w:jc w:val="center"/>
        <w:rPr>
          <w:rFonts w:ascii="仿宋" w:eastAsia="仿宋" w:cs="仿宋" w:hint="eastAsia"/>
          <w:color w:val="000000"/>
          <w:sz w:val="32"/>
          <w:szCs w:val="32"/>
        </w:rPr>
      </w:pPr>
      <w:r>
        <w:rPr>
          <w:rFonts w:hint="eastAsia"/>
          <w:lang w:eastAsia="zh-CN"/>
        </w:rPr>
        <w:drawing>
          <wp:anchor distT="0" distB="0" distL="114300" distR="114300" simplePos="0" relativeHeight="26" behindDoc="0" locked="0" layoutInCell="1" hidden="0" allowOverlap="1">
            <wp:simplePos x="0" y="0"/>
            <wp:positionH relativeFrom="column">
              <wp:posOffset>156210</wp:posOffset>
            </wp:positionH>
            <wp:positionV relativeFrom="paragraph">
              <wp:posOffset>-203834</wp:posOffset>
            </wp:positionV>
            <wp:extent cx="5421630" cy="3155950"/>
            <wp:effectExtent l="0" t="0" r="0" b="0"/>
            <wp:wrapNone/>
            <wp:docPr id="14" name="图表 9"/>
            <wp:cNvGraphicFramePr>
              <a:graphicFrameLocks noChangeAspect="0"/>
            </wp:cNvGraphicFramePr>
            <a:graphic>
              <a:graphicData uri="http://schemas.openxmlformats.org/drawingml/2006/chart">
                <c:chart xmlns:c="http://schemas.openxmlformats.org/drawingml/2006/chart" r:id="rId8"/>
              </a:graphicData>
            </a:graphic>
          </wp:anchor>
        </w:drawing>
      </w: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黑体" w:eastAsia="黑体" w:cs="黑体" w:hint="eastAsia"/>
          <w:b w:val="0"/>
          <w:bCs/>
          <w:color w:val="000000"/>
        </w:rPr>
      </w:pPr>
      <w:bookmarkStart w:id="33" w:name="_Toc15377207"/>
      <w:bookmarkStart w:id="34" w:name="_Toc3068"/>
      <w:bookmarkStart w:id="35" w:name="_Toc111208501"/>
    </w:p>
    <w:p>
      <w:pPr>
        <w:rPr>
          <w:rFonts w:hint="eastAsia"/>
        </w:rPr>
      </w:pPr>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r>
        <w:rPr>
          <w:rFonts w:ascii="黑体" w:eastAsia="黑体" w:cs="黑体" w:hint="eastAsia"/>
          <w:b w:val="0"/>
          <w:bCs/>
          <w:color w:val="000000"/>
        </w:rPr>
        <w:t>三、支出决算情况说明</w:t>
      </w:r>
      <w:bookmarkEnd w:id="33"/>
      <w:bookmarkEnd w:id="34"/>
      <w:bookmarkEnd w:id="35"/>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eastAsia="仿宋_GB2312" w:cs="Times New Roman" w:hint="eastAsia"/>
          <w:color w:val="00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ascii="Times New Roman" w:eastAsia="仿宋_GB2312" w:cs="Times New Roman" w:hAnsi="Times New Roman"/>
          <w:color w:val="000000"/>
          <w:sz w:val="32"/>
          <w:szCs w:val="32"/>
        </w:rPr>
      </w:pPr>
      <w:r>
        <w:rPr>
          <w:rFonts w:eastAsia="仿宋_GB2312" w:cs="Times New Roman" w:hint="eastAsia"/>
          <w:color w:val="000000"/>
          <w:sz w:val="32"/>
          <w:szCs w:val="32"/>
          <w:lang w:eastAsia="zh-CN"/>
        </w:rPr>
        <w:t>2025年度</w:t>
      </w:r>
      <w:r>
        <w:rPr>
          <w:rFonts w:ascii="Times New Roman" w:eastAsia="仿宋_GB2312" w:cs="Times New Roman" w:hAnsi="Times New Roman"/>
          <w:color w:val="000000"/>
          <w:sz w:val="32"/>
          <w:szCs w:val="32"/>
        </w:rPr>
        <w:t>本年支出合计</w:t>
      </w:r>
      <w:r>
        <w:rPr>
          <w:rFonts w:eastAsia="仿宋_GB2312" w:cs="Times New Roman" w:hint="eastAsia"/>
          <w:color w:val="000000"/>
          <w:sz w:val="32"/>
          <w:szCs w:val="32"/>
          <w:lang w:val="en-US" w:eastAsia="zh-CN"/>
        </w:rPr>
        <w:t>7588.61</w:t>
      </w:r>
      <w:r>
        <w:rPr>
          <w:rFonts w:ascii="Times New Roman" w:eastAsia="仿宋_GB2312" w:cs="Times New Roman" w:hAnsi="Times New Roman"/>
          <w:color w:val="000000"/>
          <w:sz w:val="32"/>
          <w:szCs w:val="32"/>
        </w:rPr>
        <w:t>万元</w:t>
      </w:r>
      <w:r>
        <w:rPr>
          <w:rFonts w:ascii="Times New Roman" w:eastAsia="仿宋_GB2312" w:cs="Times New Roman" w:hAnsi="Times New Roman"/>
          <w:color w:val="000000"/>
          <w:sz w:val="32"/>
          <w:szCs w:val="32"/>
          <w:lang w:val="en-US" w:eastAsia="zh-CN"/>
        </w:rPr>
        <w:t>，其中:基本支出</w:t>
      </w:r>
      <w:r>
        <w:rPr>
          <w:rFonts w:eastAsia="仿宋_GB2312" w:cs="Times New Roman" w:hint="eastAsia"/>
          <w:color w:val="000000"/>
          <w:sz w:val="32"/>
          <w:szCs w:val="32"/>
          <w:lang w:val="en-US" w:eastAsia="zh-CN"/>
        </w:rPr>
        <w:t>3616.58</w:t>
      </w:r>
      <w:r>
        <w:rPr>
          <w:rFonts w:ascii="Times New Roman" w:eastAsia="仿宋_GB2312" w:cs="Times New Roman" w:hAnsi="Times New Roman"/>
          <w:color w:val="000000"/>
          <w:sz w:val="32"/>
          <w:szCs w:val="32"/>
          <w:lang w:val="en-US" w:eastAsia="zh-CN"/>
        </w:rPr>
        <w:t>万元，占</w:t>
      </w:r>
      <w:r>
        <w:rPr>
          <w:rFonts w:eastAsia="仿宋_GB2312" w:cs="Times New Roman" w:hint="eastAsia"/>
          <w:color w:val="000000"/>
          <w:sz w:val="32"/>
          <w:szCs w:val="32"/>
          <w:lang w:val="en-US" w:eastAsia="zh-CN"/>
        </w:rPr>
        <w:t>47.66</w:t>
      </w:r>
      <w:r>
        <w:rPr>
          <w:rFonts w:ascii="Times New Roman" w:eastAsia="仿宋_GB2312" w:cs="Times New Roman" w:hAnsi="Times New Roman"/>
          <w:color w:val="000000"/>
          <w:sz w:val="32"/>
          <w:szCs w:val="32"/>
          <w:lang w:val="en-US" w:eastAsia="zh-CN"/>
        </w:rPr>
        <w:t>%；项目支出</w:t>
      </w:r>
      <w:r>
        <w:rPr>
          <w:rFonts w:eastAsia="仿宋_GB2312" w:cs="Times New Roman" w:hint="eastAsia"/>
          <w:color w:val="000000"/>
          <w:sz w:val="32"/>
          <w:szCs w:val="32"/>
          <w:lang w:val="en-US" w:eastAsia="zh-CN"/>
        </w:rPr>
        <w:t>3972.04万元</w:t>
      </w:r>
      <w:r>
        <w:rPr>
          <w:rFonts w:ascii="Times New Roman" w:eastAsia="仿宋_GB2312" w:cs="Times New Roman" w:hAnsi="Times New Roman"/>
          <w:color w:val="000000"/>
          <w:sz w:val="32"/>
          <w:szCs w:val="32"/>
          <w:lang w:val="en-US" w:eastAsia="zh-CN"/>
        </w:rPr>
        <w:t>，占</w:t>
      </w:r>
      <w:r>
        <w:rPr>
          <w:rFonts w:eastAsia="仿宋_GB2312" w:cs="Times New Roman" w:hint="eastAsia"/>
          <w:color w:val="000000"/>
          <w:sz w:val="32"/>
          <w:szCs w:val="32"/>
          <w:lang w:val="en-US" w:eastAsia="zh-CN"/>
        </w:rPr>
        <w:t>52.34</w:t>
      </w:r>
      <w:r>
        <w:rPr>
          <w:rFonts w:ascii="Times New Roman" w:eastAsia="仿宋_GB2312" w:cs="Times New Roman" w:hAnsi="Times New Roman"/>
          <w:color w:val="000000"/>
          <w:sz w:val="32"/>
          <w:szCs w:val="32"/>
          <w:lang w:val="en-US" w:eastAsia="zh-CN"/>
        </w:rPr>
        <w:t>%</w:t>
      </w:r>
      <w:r>
        <w:rPr>
          <w:rFonts w:ascii="Times New Roman" w:eastAsia="仿宋_GB2312" w:cs="Times New Roman" w:hAnsi="Times New Roman"/>
          <w:color w:val="000000"/>
          <w:sz w:val="32"/>
          <w:szCs w:val="32"/>
        </w:rPr>
        <w:t>。</w:t>
      </w:r>
    </w:p>
    <w:p>
      <w:pPr>
        <w:pageBreakBefore w:val="0"/>
        <w:widowControl w:val="0"/>
        <w:kinsoku/>
        <w:wordWrap/>
        <w:overflowPunct/>
        <w:topLinePunct w:val="0"/>
        <w:autoSpaceDE/>
        <w:autoSpaceDN/>
        <w:bidi w:val="0"/>
        <w:spacing w:line="576" w:lineRule="exact"/>
        <w:jc w:val="center"/>
        <w:rPr>
          <w:rFonts w:ascii="思源黑体 CN Normal" w:eastAsia="思源黑体 CN Normal" w:cs="思源黑体 CN Normal" w:hint="eastAsia"/>
          <w:color w:val="FF0000"/>
          <w:sz w:val="32"/>
          <w:szCs w:val="32"/>
        </w:rPr>
      </w:pPr>
      <w:r>
        <w:rPr>
          <w:rFonts w:ascii="Times New Roman" w:eastAsia="仿宋_GB2312" w:cs="仿宋_GB2312" w:hAnsi="Times New Roman" w:hint="eastAsia"/>
          <w:color w:val="auto"/>
          <w:sz w:val="32"/>
          <w:szCs w:val="32"/>
          <w:lang w:eastAsia="zh-CN"/>
          <w:highlight w:val="auto"/>
        </w:rPr>
        <w:drawing>
          <wp:anchor distT="0" distB="0" distL="114300" distR="114300" simplePos="0" relativeHeight="28" behindDoc="0" locked="0" layoutInCell="1" hidden="0" allowOverlap="1">
            <wp:simplePos x="0" y="0"/>
            <wp:positionH relativeFrom="column">
              <wp:posOffset>151130</wp:posOffset>
            </wp:positionH>
            <wp:positionV relativeFrom="paragraph">
              <wp:posOffset>296545</wp:posOffset>
            </wp:positionV>
            <wp:extent cx="5256530" cy="3140075"/>
            <wp:effectExtent l="0" t="0" r="0" b="0"/>
            <wp:wrapNone/>
            <wp:docPr id="15" name="图表 10"/>
            <wp:cNvGraphicFramePr>
              <a:graphicFrameLocks noChangeAspect="0"/>
            </wp:cNvGraphicFramePr>
            <a:graphic>
              <a:graphicData uri="http://schemas.openxmlformats.org/drawingml/2006/chart">
                <c:chart xmlns:c="http://schemas.openxmlformats.org/drawingml/2006/chart" r:id="rId9"/>
              </a:graphicData>
            </a:graphic>
          </wp:anchor>
        </w:drawing>
      </w: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Style w:val="38"/>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ascii="仿宋_GB2312" w:eastAsia="仿宋_GB2312" w:cs="仿宋_GB2312" w:hint="eastAsia"/>
          <w:color w:val="auto"/>
          <w:sz w:val="32"/>
          <w:szCs w:val="32"/>
          <w:lang w:eastAsia="zh-CN"/>
          <w:highlight w:val="auto"/>
        </w:rPr>
      </w:pPr>
    </w:p>
    <w:p>
      <w:pPr>
        <w:pStyle w:val="2"/>
        <w:keepNext/>
        <w:keepLines/>
        <w:pageBreakBefore w:val="0"/>
        <w:widowControl w:val="0"/>
        <w:kinsoku/>
        <w:wordWrap/>
        <w:overflowPunct/>
        <w:topLinePunct w:val="0"/>
        <w:autoSpaceDE/>
        <w:autoSpaceDN/>
        <w:bidi w:val="0"/>
        <w:adjustRightInd/>
        <w:snapToGrid/>
        <w:spacing w:before="0" w:after="0" w:line="576" w:lineRule="exact"/>
        <w:ind w:left="0" w:firstLineChars="200" w:firstLine="640"/>
        <w:textAlignment w:val="auto"/>
        <w:rPr>
          <w:rFonts w:ascii="黑体" w:eastAsia="黑体" w:cs="黑体" w:hint="eastAsia"/>
          <w:b w:val="0"/>
          <w:bCs/>
          <w:color w:val="000000"/>
          <w:lang w:eastAsia="zh-CN"/>
        </w:rPr>
      </w:pPr>
      <w:bookmarkStart w:id="36" w:name="_Toc15377208"/>
      <w:bookmarkStart w:id="37" w:name="_Toc23366"/>
      <w:bookmarkStart w:id="38" w:name="_Toc111208502"/>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黑体" w:eastAsia="黑体" w:cs="黑体" w:hint="eastAsia"/>
          <w:b w:val="0"/>
          <w:bCs/>
          <w:color w:val="000000"/>
          <w:lang w:eastAsia="zh-CN"/>
        </w:rPr>
      </w:pPr>
    </w:p>
    <w:p>
      <w:pPr>
        <w:rPr>
          <w:rFonts w:hint="eastAsia"/>
          <w:lang w:eastAsia="zh-CN"/>
        </w:rPr>
      </w:pPr>
    </w:p>
    <w:p>
      <w:pPr>
        <w:pStyle w:val="2"/>
        <w:keepNext/>
        <w:keepLines/>
        <w:pageBreakBefore w:val="0"/>
        <w:widowControl w:val="0"/>
        <w:kinsoku/>
        <w:wordWrap/>
        <w:overflowPunct/>
        <w:topLinePunct w:val="0"/>
        <w:autoSpaceDE/>
        <w:autoSpaceDN/>
        <w:bidi w:val="0"/>
        <w:adjustRightInd/>
        <w:snapToGrid/>
        <w:spacing w:before="0" w:after="0" w:line="576" w:lineRule="exact"/>
        <w:ind w:left="0" w:firstLineChars="200" w:firstLine="640"/>
        <w:textAlignment w:val="auto"/>
        <w:rPr>
          <w:rFonts w:ascii="黑体" w:eastAsia="黑体" w:cs="黑体" w:hint="eastAsia"/>
          <w:b w:val="0"/>
          <w:bCs/>
          <w:color w:val="000000"/>
        </w:rPr>
      </w:pPr>
      <w:r>
        <w:rPr>
          <w:rFonts w:ascii="黑体" w:eastAsia="黑体" w:cs="黑体" w:hint="eastAsia"/>
          <w:b w:val="0"/>
          <w:bCs/>
          <w:color w:val="000000"/>
          <w:lang w:eastAsia="zh-CN"/>
        </w:rPr>
        <w:t>四、</w:t>
      </w:r>
      <w:r>
        <w:rPr>
          <w:rFonts w:ascii="黑体" w:eastAsia="黑体" w:cs="黑体" w:hint="eastAsia"/>
          <w:b w:val="0"/>
          <w:bCs/>
          <w:color w:val="000000"/>
        </w:rPr>
        <w:t>财政拨款收入支出决算总体情况说明</w:t>
      </w:r>
      <w:bookmarkEnd w:id="36"/>
      <w:bookmarkEnd w:id="37"/>
      <w:bookmarkEnd w:id="38"/>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ascii="仿宋" w:eastAsia="仿宋" w:cs="仿宋" w:hint="eastAsia"/>
          <w:color w:val="000000"/>
          <w:sz w:val="32"/>
          <w:szCs w:val="32"/>
        </w:rPr>
      </w:pPr>
      <w:r>
        <w:rPr>
          <w:rFonts w:ascii="Times New Roman" w:eastAsia="仿宋_GB2312" w:cs="Times New Roman" w:hAnsi="Times New Roman" w:hint="eastAsia"/>
          <w:b w:val="0"/>
          <w:bCs w:val="0"/>
          <w:color w:val="000000"/>
          <w:sz w:val="32"/>
          <w:szCs w:val="32"/>
          <w:lang w:eastAsia="zh-CN"/>
        </w:rPr>
        <w:t>2025年度财政拨款收入、支出总计均为7565.1万元。与2024年度相比，财政拨款收入、支出总计各增加2025.88万元，增长36.</w:t>
      </w:r>
      <w:r>
        <w:rPr>
          <w:rFonts w:eastAsia="仿宋_GB2312" w:cs="Times New Roman" w:hint="eastAsia"/>
          <w:b w:val="0"/>
          <w:bCs w:val="0"/>
          <w:color w:val="000000"/>
          <w:sz w:val="32"/>
          <w:szCs w:val="32"/>
          <w:lang w:val="en-US" w:eastAsia="zh-CN"/>
        </w:rPr>
        <w:t>57</w:t>
      </w:r>
      <w:r>
        <w:rPr>
          <w:rFonts w:ascii="Times New Roman" w:eastAsia="仿宋_GB2312" w:cs="Times New Roman" w:hAnsi="Times New Roman" w:hint="eastAsia"/>
          <w:b w:val="0"/>
          <w:bCs w:val="0"/>
          <w:color w:val="000000"/>
          <w:sz w:val="32"/>
          <w:szCs w:val="32"/>
          <w:lang w:eastAsia="zh-CN"/>
        </w:rPr>
        <w:t>%</w:t>
      </w:r>
      <w:r>
        <w:rPr>
          <w:rFonts w:eastAsia="仿宋_GB2312" w:cs="Times New Roman" w:hint="eastAsia"/>
          <w:b w:val="0"/>
          <w:bCs w:val="0"/>
          <w:color w:val="000000"/>
          <w:sz w:val="32"/>
          <w:szCs w:val="32"/>
          <w:lang w:eastAsia="zh-CN"/>
        </w:rPr>
        <w:t>。</w:t>
      </w:r>
      <w:r>
        <w:rPr>
          <w:rFonts w:eastAsia="仿宋_GB2312" w:cs="Times New Roman" w:hint="eastAsia"/>
          <w:color w:val="auto"/>
          <w:sz w:val="32"/>
          <w:szCs w:val="32"/>
          <w:lang w:eastAsia="zh-CN"/>
          <w:highlight w:val="auto"/>
        </w:rPr>
        <w:t>主要变动原因是：</w:t>
      </w:r>
      <w:r>
        <w:rPr>
          <w:rFonts w:ascii="Times New Roman" w:eastAsia="仿宋_GB2312" w:cs="Times New Roman" w:hAnsi="Times New Roman"/>
          <w:color w:val="auto"/>
          <w:sz w:val="32"/>
          <w:szCs w:val="32"/>
          <w:lang w:val="en-US" w:eastAsia="zh-CN"/>
          <w:highlight w:val="auto"/>
        </w:rPr>
        <w:t>202</w:t>
      </w:r>
      <w:r>
        <w:rPr>
          <w:rFonts w:eastAsia="仿宋_GB2312" w:cs="Times New Roman" w:hint="eastAsia"/>
          <w:color w:val="auto"/>
          <w:sz w:val="32"/>
          <w:szCs w:val="32"/>
          <w:lang w:val="en-US" w:eastAsia="zh-CN"/>
          <w:highlight w:val="auto"/>
        </w:rPr>
        <w:t>5</w:t>
      </w:r>
      <w:r>
        <w:rPr>
          <w:rFonts w:ascii="Times New Roman" w:eastAsia="仿宋_GB2312" w:cs="Times New Roman" w:hAnsi="Times New Roman"/>
          <w:color w:val="auto"/>
          <w:sz w:val="32"/>
          <w:szCs w:val="32"/>
          <w:lang w:val="en-US" w:eastAsia="zh-CN"/>
          <w:highlight w:val="auto"/>
        </w:rPr>
        <w:t>年</w:t>
      </w:r>
      <w:r>
        <w:rPr>
          <w:rFonts w:ascii="Times New Roman" w:eastAsia="仿宋_GB2312" w:cs="Times New Roman" w:hAnsi="Times New Roman"/>
          <w:color w:val="000000"/>
          <w:sz w:val="32"/>
          <w:szCs w:val="32"/>
        </w:rPr>
        <w:t>项目</w:t>
      </w:r>
      <w:r>
        <w:rPr>
          <w:rFonts w:eastAsia="仿宋_GB2312" w:cs="Times New Roman" w:hint="eastAsia"/>
          <w:color w:val="000000"/>
          <w:sz w:val="32"/>
          <w:szCs w:val="32"/>
          <w:lang w:eastAsia="zh-CN"/>
        </w:rPr>
        <w:t>支出增加</w:t>
      </w:r>
      <w:r>
        <w:rPr>
          <w:rFonts w:ascii="Times New Roman" w:eastAsia="仿宋_GB2312" w:cs="Times New Roman" w:hAnsi="Times New Roman"/>
          <w:color w:val="000000"/>
          <w:sz w:val="32"/>
          <w:szCs w:val="32"/>
          <w:lang w:eastAsia="zh-CN"/>
        </w:rPr>
        <w:t>。</w:t>
      </w: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r>
        <w:rPr>
          <w:rFonts w:ascii="Times New Roman" w:eastAsia="仿宋_GB2312" w:cs="仿宋_GB2312" w:hAnsi="Times New Roman" w:hint="eastAsia"/>
          <w:color w:val="auto"/>
          <w:kern w:val="2"/>
          <w:sz w:val="32"/>
          <w:szCs w:val="32"/>
          <w:lang w:val="en-US" w:eastAsia="zh-CN" w:bidi="ar-SA"/>
          <w:highlight w:val="auto"/>
        </w:rPr>
        <w:drawing>
          <wp:anchor distT="0" distB="0" distL="114300" distR="114300" simplePos="0" relativeHeight="32" behindDoc="0" locked="0" layoutInCell="1" hidden="0" allowOverlap="1">
            <wp:simplePos x="0" y="0"/>
            <wp:positionH relativeFrom="column">
              <wp:posOffset>180975</wp:posOffset>
            </wp:positionH>
            <wp:positionV relativeFrom="paragraph">
              <wp:posOffset>175260</wp:posOffset>
            </wp:positionV>
            <wp:extent cx="5256530" cy="3349625"/>
            <wp:effectExtent l="0" t="0" r="0" b="0"/>
            <wp:wrapNone/>
            <wp:docPr id="16" name="图表 12"/>
            <wp:cNvGraphicFramePr>
              <a:graphicFrameLocks noChangeAspect="0"/>
            </wp:cNvGraphicFramePr>
            <a:graphic>
              <a:graphicData uri="http://schemas.openxmlformats.org/drawingml/2006/chart">
                <c:chart xmlns:c="http://schemas.openxmlformats.org/drawingml/2006/chart" r:id="rId10"/>
              </a:graphicData>
            </a:graphic>
          </wp:anchor>
        </w:drawing>
      </w: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bookmarkStart w:id="39" w:name="_Toc15377209"/>
      <w:bookmarkStart w:id="40" w:name="_Toc111208503"/>
      <w:bookmarkStart w:id="41" w:name="_Toc14014"/>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r>
        <w:rPr>
          <w:sz w:val="32"/>
        </w:rPr>
        <mc:AlternateContent>
          <mc:Choice Requires="wps">
            <w:drawing>
              <wp:anchor distT="0" distB="0" distL="114298" distR="114298" simplePos="0" relativeHeight="34" behindDoc="0" locked="0" layoutInCell="1" hidden="0" allowOverlap="1">
                <wp:simplePos x="0" y="0"/>
                <wp:positionH relativeFrom="column">
                  <wp:posOffset>3910329</wp:posOffset>
                </wp:positionH>
                <wp:positionV relativeFrom="paragraph">
                  <wp:posOffset>197485</wp:posOffset>
                </wp:positionV>
                <wp:extent cx="1238250" cy="361950"/>
                <wp:effectExtent l="0" t="0" r="0" b="0"/>
                <wp:wrapNone/>
                <wp:docPr id="17" name="文本框 14"/>
                <wp:cNvGraphicFramePr>
                  <a:graphicFrameLocks noChangeAspect="0"/>
                </wp:cNvGraphicFramePr>
                <a:graphic>
                  <a:graphicData uri="http://schemas.microsoft.com/office/word/2010/wordprocessingShape">
                    <wps:wsp>
                      <wps:cNvSpPr/>
                      <wps:spPr>
                        <a:xfrm rot="0">
                          <a:off x="0" y="0"/>
                          <a:ext cx="1238250" cy="361950"/>
                        </a:xfrm>
                        <a:prstGeom prst="rect"/>
                        <a:solidFill>
                          <a:srgbClr val="FFFFFF"/>
                        </a:solidFill>
                        <a:ln w="6350" cmpd="sng" cap="flat">
                          <a:noFill/>
                          <a:prstDash val="solid"/>
                          <a:round/>
                        </a:ln>
                      </wps:spPr>
                      <wps:txbx id="18">
                        <w:txbxContent>
                          <w:p>
                            <w:pPr>
                              <w:pBdr>
                                <w:top w:val="none" w:sz="0" w:space="0" w:color="auto"/>
                                <w:left w:val="none" w:sz="0" w:space="0" w:color="auto"/>
                                <w:bottom w:val="none" w:sz="0" w:space="0" w:color="auto"/>
                                <w:right w:val="none" w:sz="0" w:space="0" w:color="auto"/>
                                <w:between w:val="none" w:sz="0" w:space="0" w:color="auto"/>
                              </w:pBdr>
                              <w:rPr>
                                <w:rFonts w:eastAsia="宋体" w:hint="eastAsia"/>
                                <w:lang w:eastAsia="zh-CN"/>
                              </w:rPr>
                            </w:pPr>
                            <w:r>
                              <w:rPr>
                                <w:rFonts w:hint="eastAsia"/>
                                <w:lang w:eastAsia="zh-CN"/>
                              </w:rPr>
                              <w:t>单位：万元</w:t>
                            </w:r>
                          </w:p>
                          <w:p/>
                        </w:txbxContent>
                      </wps:txbx>
                      <wps:bodyPr vert="horz" wrap="square" lIns="91440" tIns="45720" rIns="91440" bIns="45720" anchor="t" anchorCtr="0" upright="0">
                        <a:noAutofit/>
                      </wps:bodyPr>
                    </wps:wsp>
                  </a:graphicData>
                </a:graphic>
              </wp:anchor>
            </w:drawing>
          </mc:Choice>
          <mc:Fallback>
            <w:pict>
              <v:shape type="#_x0000_t202" id="文本框 14 19" o:spid="_x0000_s19" fillcolor="#FFFFFF" stroked="f" strokeweight="0.5pt" style="position:absolute;margin-left:307.9pt;margin-top:15.550001pt;width:97.5pt;height:28.5pt;z-index:34;mso-position-horizontal:absolute;mso-position-vertical:absolute;mso-wrap-distance-left:8.999863pt;mso-wrap-distance-right:8.999863pt;mso-wrap-style:square;">
                <v:stroke color="#000000"/>
                <v:textbox id="853" inset="2.54mm,1.27mm,2.54mm,1.27mm" o:insetmode="custom" style="layout-flow:horizontal;v-text-anchor:top;">
                  <w:txbxContent>
                    <w:p>
                      <w:pPr>
                        <w:pBdr>
                          <w:top w:val="none" w:sz="0" w:space="0" w:color="auto"/>
                          <w:left w:val="none" w:sz="0" w:space="0" w:color="auto"/>
                          <w:bottom w:val="none" w:sz="0" w:space="0" w:color="auto"/>
                          <w:right w:val="none" w:sz="0" w:space="0" w:color="auto"/>
                          <w:between w:val="none" w:sz="0" w:space="0" w:color="auto"/>
                        </w:pBdr>
                        <w:rPr>
                          <w:rFonts w:eastAsia="宋体" w:hint="eastAsia"/>
                          <w:lang w:eastAsia="zh-CN"/>
                        </w:rPr>
                      </w:pPr>
                      <w:r>
                        <w:rPr>
                          <w:rFonts w:hint="eastAsia"/>
                          <w:lang w:eastAsia="zh-CN"/>
                        </w:rPr>
                        <w:t>单位：万元</w:t>
                      </w:r>
                    </w:p>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eastAsia="仿宋_GB2312" w:cs="Times New Roman" w:hint="eastAsia"/>
          <w:color w:val="auto"/>
          <w:sz w:val="32"/>
          <w:szCs w:val="32"/>
          <w:lang w:eastAsia="zh-CN"/>
          <w:highlight w:val="auto"/>
        </w:rPr>
      </w:pPr>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r>
        <w:rPr>
          <w:rFonts w:ascii="黑体" w:eastAsia="黑体" w:cs="黑体" w:hint="eastAsia"/>
          <w:b w:val="0"/>
          <w:bCs/>
          <w:color w:val="000000"/>
        </w:rPr>
        <w:t>五、一般公共预算财政拨款支出决算情况说</w:t>
      </w:r>
      <w:bookmarkEnd w:id="39"/>
      <w:r>
        <w:rPr>
          <w:rFonts w:ascii="黑体" w:eastAsia="黑体" w:cs="黑体" w:hint="eastAsia"/>
          <w:b w:val="0"/>
          <w:bCs/>
          <w:color w:val="000000"/>
        </w:rPr>
        <w:t>明</w:t>
      </w:r>
      <w:bookmarkEnd w:id="40"/>
      <w:bookmarkEnd w:id="41"/>
    </w:p>
    <w:p>
      <w:pPr>
        <w:pageBreakBefore w:val="0"/>
        <w:widowControl w:val="0"/>
        <w:kinsoku/>
        <w:wordWrap/>
        <w:overflowPunct/>
        <w:topLinePunct w:val="0"/>
        <w:autoSpaceDE/>
        <w:autoSpaceDN/>
        <w:bidi w:val="0"/>
        <w:adjustRightInd/>
        <w:snapToGrid/>
        <w:spacing w:line="576" w:lineRule="exact"/>
        <w:ind w:firstLineChars="200" w:firstLine="640"/>
        <w:textAlignment w:val="auto"/>
        <w:outlineLvl w:val="2"/>
        <w:rPr>
          <w:rFonts w:ascii="楷体" w:eastAsia="楷体" w:cs="楷体" w:hint="eastAsia"/>
          <w:b/>
          <w:color w:val="000000"/>
          <w:sz w:val="32"/>
          <w:szCs w:val="32"/>
        </w:rPr>
      </w:pPr>
      <w:bookmarkStart w:id="42" w:name="_Toc15377210"/>
      <w:r>
        <w:rPr>
          <w:rFonts w:ascii="楷体" w:eastAsia="楷体" w:cs="楷体" w:hint="eastAsia"/>
          <w:b/>
          <w:color w:val="000000"/>
          <w:sz w:val="32"/>
          <w:szCs w:val="32"/>
        </w:rPr>
        <w:t>（一）一般公共预算财政拨款支出决算总体情况</w:t>
      </w:r>
      <w:bookmarkEnd w:id="42"/>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eastAsia="仿宋_GB2312" w:cs="Times New Roman" w:hint="eastAsia"/>
          <w:color w:val="auto"/>
          <w:sz w:val="32"/>
          <w:szCs w:val="32"/>
          <w:lang w:val="en-US" w:eastAsia="zh-CN"/>
          <w:highlight w:val="auto"/>
        </w:rPr>
      </w:pPr>
      <w:bookmarkStart w:id="43" w:name="_Toc15377211"/>
      <w:r>
        <w:rPr>
          <w:rFonts w:ascii="Times New Roman" w:eastAsia="仿宋_GB2312" w:cs="Times New Roman" w:hAnsi="Times New Roman" w:hint="eastAsia"/>
          <w:b w:val="0"/>
          <w:bCs w:val="0"/>
          <w:color w:val="000000"/>
          <w:sz w:val="32"/>
          <w:szCs w:val="32"/>
          <w:lang w:eastAsia="zh-CN"/>
        </w:rPr>
        <w:t>2025年度一般公共预算财政拨款支出6041.03万元，占本年支出合计的79.</w:t>
      </w:r>
      <w:r>
        <w:rPr>
          <w:rFonts w:eastAsia="仿宋_GB2312" w:cs="Times New Roman" w:hint="eastAsia"/>
          <w:b w:val="0"/>
          <w:bCs w:val="0"/>
          <w:color w:val="000000"/>
          <w:sz w:val="32"/>
          <w:szCs w:val="32"/>
          <w:lang w:val="en-US" w:eastAsia="zh-CN"/>
        </w:rPr>
        <w:t>58</w:t>
      </w:r>
      <w:r>
        <w:rPr>
          <w:rFonts w:ascii="Times New Roman" w:eastAsia="仿宋_GB2312" w:cs="Times New Roman" w:hAnsi="Times New Roman" w:hint="eastAsia"/>
          <w:b w:val="0"/>
          <w:bCs w:val="0"/>
          <w:color w:val="000000"/>
          <w:sz w:val="32"/>
          <w:szCs w:val="32"/>
          <w:lang w:eastAsia="zh-CN"/>
        </w:rPr>
        <w:t>%。与2024年度相比，一般公共预算财政拨款增加792.67万元，增长15.1%。</w:t>
      </w:r>
      <w:r>
        <w:rPr>
          <w:rFonts w:eastAsia="仿宋_GB2312" w:cs="Times New Roman" w:hint="eastAsia"/>
          <w:color w:val="auto"/>
          <w:sz w:val="32"/>
          <w:szCs w:val="32"/>
          <w:lang w:eastAsia="zh-CN"/>
          <w:highlight w:val="auto"/>
        </w:rPr>
        <w:t>主要变动原因是：</w:t>
      </w:r>
      <w:r>
        <w:rPr>
          <w:rFonts w:eastAsia="仿宋_GB2312" w:cs="Times New Roman" w:hint="eastAsia"/>
          <w:color w:val="auto"/>
          <w:sz w:val="32"/>
          <w:szCs w:val="32"/>
          <w:lang w:val="en-US" w:eastAsia="zh-CN"/>
          <w:highlight w:val="auto"/>
        </w:rPr>
        <w:t>2025年项目支出增加。</w:t>
      </w: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r>
        <w:rPr>
          <w:rFonts w:ascii="Times New Roman" w:eastAsia="仿宋_GB2312" w:cs="仿宋_GB2312" w:hAnsi="Times New Roman" w:hint="eastAsia"/>
          <w:color w:val="auto"/>
          <w:kern w:val="2"/>
          <w:sz w:val="32"/>
          <w:szCs w:val="32"/>
          <w:lang w:val="en-US" w:eastAsia="zh-CN" w:bidi="ar-SA"/>
          <w:highlight w:val="auto"/>
        </w:rPr>
        <w:drawing>
          <wp:anchor distT="0" distB="0" distL="114300" distR="114300" simplePos="0" relativeHeight="36" behindDoc="0" locked="0" layoutInCell="1" hidden="0" allowOverlap="1">
            <wp:simplePos x="0" y="0"/>
            <wp:positionH relativeFrom="column">
              <wp:posOffset>219075</wp:posOffset>
            </wp:positionH>
            <wp:positionV relativeFrom="paragraph">
              <wp:posOffset>180975</wp:posOffset>
            </wp:positionV>
            <wp:extent cx="4921250" cy="3347084"/>
            <wp:effectExtent l="0" t="0" r="0" b="0"/>
            <wp:wrapNone/>
            <wp:docPr id="20" name="图表 15"/>
            <wp:cNvGraphicFramePr>
              <a:graphicFrameLocks noChangeAspect="0"/>
            </wp:cNvGraphicFramePr>
            <a:graphic>
              <a:graphicData uri="http://schemas.openxmlformats.org/drawingml/2006/chart">
                <c:chart xmlns:c="http://schemas.openxmlformats.org/drawingml/2006/chart" r:id="rId11"/>
              </a:graphicData>
            </a:graphic>
          </wp:anchor>
        </w:drawing>
      </w: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outlineLvl w:val="2"/>
        <w:rPr>
          <w:rFonts w:ascii="楷体" w:eastAsia="楷体" w:cs="楷体" w:hint="eastAsia"/>
          <w:b/>
          <w:color w:val="000000"/>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ascii="Times New Roman" w:eastAsia="仿宋_GB2312" w:cs="Times New Roman" w:hAnsi="Times New Roman" w:hint="eastAsia"/>
          <w:color w:val="auto"/>
          <w:kern w:val="2"/>
          <w:sz w:val="32"/>
          <w:szCs w:val="32"/>
          <w:lang w:val="en-US" w:eastAsia="zh-CN" w:bidi="ar-SA"/>
          <w:highlight w:val="auto"/>
        </w:rPr>
      </w:pPr>
    </w:p>
    <w:p>
      <w:pPr>
        <w:pageBreakBefore w:val="0"/>
        <w:widowControl w:val="0"/>
        <w:kinsoku/>
        <w:wordWrap/>
        <w:overflowPunct/>
        <w:topLinePunct w:val="0"/>
        <w:autoSpaceDE/>
        <w:autoSpaceDN/>
        <w:bidi w:val="0"/>
        <w:spacing w:line="576" w:lineRule="exact"/>
        <w:ind w:firstLineChars="200" w:firstLine="640"/>
        <w:outlineLvl w:val="2"/>
        <w:rPr>
          <w:rFonts w:ascii="楷体" w:eastAsia="楷体" w:cs="楷体" w:hint="eastAsia"/>
          <w:b/>
          <w:color w:val="000000"/>
          <w:sz w:val="32"/>
          <w:szCs w:val="32"/>
        </w:rPr>
      </w:pPr>
      <w:r>
        <w:rPr>
          <w:rFonts w:ascii="楷体" w:eastAsia="楷体" w:cs="楷体" w:hint="eastAsia"/>
          <w:b/>
          <w:color w:val="000000"/>
          <w:sz w:val="32"/>
          <w:szCs w:val="32"/>
        </w:rPr>
        <w:t>（二）一般公共预算财政拨款支出决算结构情况</w:t>
      </w:r>
      <w:bookmarkEnd w:id="43"/>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ascii="Times New Roman" w:eastAsia="仿宋_GB2312" w:cs="Times New Roman" w:hAnsi="Times New Roman" w:hint="eastAsia"/>
          <w:b w:val="0"/>
          <w:bCs w:val="0"/>
          <w:color w:val="000000"/>
          <w:sz w:val="32"/>
          <w:szCs w:val="32"/>
          <w:lang w:eastAsia="zh-CN"/>
        </w:rPr>
      </w:pPr>
      <w:r>
        <w:rPr>
          <w:rFonts w:ascii="Times New Roman" w:eastAsia="仿宋_GB2312" w:cs="Times New Roman" w:hAnsi="Times New Roman" w:hint="eastAsia"/>
          <w:b w:val="0"/>
          <w:bCs w:val="0"/>
          <w:color w:val="000000"/>
          <w:sz w:val="32"/>
          <w:szCs w:val="32"/>
          <w:lang w:eastAsia="zh-CN"/>
        </w:rPr>
        <w:t>2025年度一般公共预算财政拨款支出6041.03万元，主要用于以下方面：一般公共服务支出2292.4</w:t>
      </w:r>
      <w:r>
        <w:rPr>
          <w:rFonts w:eastAsia="仿宋_GB2312" w:cs="Times New Roman" w:hint="eastAsia"/>
          <w:b w:val="0"/>
          <w:bCs w:val="0"/>
          <w:color w:val="000000"/>
          <w:sz w:val="32"/>
          <w:szCs w:val="32"/>
          <w:lang w:val="en-US" w:eastAsia="zh-CN"/>
        </w:rPr>
        <w:t>4</w:t>
      </w:r>
      <w:r>
        <w:rPr>
          <w:rFonts w:ascii="Times New Roman" w:eastAsia="仿宋_GB2312" w:cs="Times New Roman" w:hAnsi="Times New Roman" w:hint="eastAsia"/>
          <w:b w:val="0"/>
          <w:bCs w:val="0"/>
          <w:color w:val="000000"/>
          <w:sz w:val="32"/>
          <w:szCs w:val="32"/>
          <w:lang w:eastAsia="zh-CN"/>
        </w:rPr>
        <w:t>万元，占</w:t>
      </w:r>
      <w:r>
        <w:rPr>
          <w:rFonts w:eastAsia="仿宋_GB2312" w:cs="Times New Roman" w:hint="eastAsia"/>
          <w:b w:val="0"/>
          <w:bCs w:val="0"/>
          <w:color w:val="000000"/>
          <w:sz w:val="32"/>
          <w:szCs w:val="32"/>
          <w:lang w:val="en-US" w:eastAsia="zh-CN"/>
        </w:rPr>
        <w:t>37.95</w:t>
      </w:r>
      <w:r>
        <w:rPr>
          <w:rFonts w:ascii="Times New Roman" w:eastAsia="仿宋_GB2312" w:cs="Times New Roman" w:hAnsi="Times New Roman" w:hint="eastAsia"/>
          <w:b w:val="0"/>
          <w:bCs w:val="0"/>
          <w:color w:val="000000"/>
          <w:sz w:val="32"/>
          <w:szCs w:val="32"/>
          <w:lang w:eastAsia="zh-CN"/>
        </w:rPr>
        <w:t>%；社会保障和就业支出579.28万元，占9.</w:t>
      </w:r>
      <w:r>
        <w:rPr>
          <w:rFonts w:eastAsia="仿宋_GB2312" w:cs="Times New Roman" w:hint="eastAsia"/>
          <w:b w:val="0"/>
          <w:bCs w:val="0"/>
          <w:color w:val="000000"/>
          <w:sz w:val="32"/>
          <w:szCs w:val="32"/>
          <w:lang w:val="en-US" w:eastAsia="zh-CN"/>
        </w:rPr>
        <w:t>59</w:t>
      </w:r>
      <w:r>
        <w:rPr>
          <w:rFonts w:ascii="Times New Roman" w:eastAsia="仿宋_GB2312" w:cs="Times New Roman" w:hAnsi="Times New Roman" w:hint="eastAsia"/>
          <w:b w:val="0"/>
          <w:bCs w:val="0"/>
          <w:color w:val="000000"/>
          <w:sz w:val="32"/>
          <w:szCs w:val="32"/>
          <w:lang w:eastAsia="zh-CN"/>
        </w:rPr>
        <w:t>%</w:t>
      </w:r>
      <w:r>
        <w:rPr>
          <w:rFonts w:eastAsia="仿宋_GB2312" w:cs="Times New Roman" w:hint="eastAsia"/>
          <w:b w:val="0"/>
          <w:bCs w:val="0"/>
          <w:color w:val="000000"/>
          <w:sz w:val="32"/>
          <w:szCs w:val="32"/>
          <w:lang w:eastAsia="zh-CN"/>
        </w:rPr>
        <w:t>；</w:t>
      </w:r>
      <w:r>
        <w:rPr>
          <w:rFonts w:ascii="Times New Roman" w:eastAsia="仿宋_GB2312" w:cs="Times New Roman" w:hAnsi="Times New Roman" w:hint="eastAsia"/>
          <w:b w:val="0"/>
          <w:bCs w:val="0"/>
          <w:color w:val="000000"/>
          <w:sz w:val="32"/>
          <w:szCs w:val="32"/>
          <w:lang w:eastAsia="zh-CN"/>
        </w:rPr>
        <w:t>卫生健康支出193.26万元，占3.2%</w:t>
      </w:r>
      <w:r>
        <w:rPr>
          <w:rFonts w:eastAsia="仿宋_GB2312" w:cs="Times New Roman" w:hint="eastAsia"/>
          <w:b w:val="0"/>
          <w:bCs w:val="0"/>
          <w:color w:val="000000"/>
          <w:sz w:val="32"/>
          <w:szCs w:val="32"/>
          <w:lang w:eastAsia="zh-CN"/>
        </w:rPr>
        <w:t>；</w:t>
      </w:r>
      <w:r>
        <w:rPr>
          <w:rFonts w:ascii="Times New Roman" w:eastAsia="仿宋_GB2312" w:cs="Times New Roman" w:hAnsi="Times New Roman" w:hint="eastAsia"/>
          <w:b w:val="0"/>
          <w:bCs w:val="0"/>
          <w:color w:val="000000"/>
          <w:sz w:val="32"/>
          <w:szCs w:val="32"/>
          <w:lang w:eastAsia="zh-CN"/>
        </w:rPr>
        <w:t>农林水支出2711.47万元，占44.</w:t>
      </w:r>
      <w:r>
        <w:rPr>
          <w:rFonts w:eastAsia="仿宋_GB2312" w:cs="Times New Roman" w:hint="eastAsia"/>
          <w:b w:val="0"/>
          <w:bCs w:val="0"/>
          <w:color w:val="000000"/>
          <w:sz w:val="32"/>
          <w:szCs w:val="32"/>
          <w:lang w:val="en-US" w:eastAsia="zh-CN"/>
        </w:rPr>
        <w:t>88</w:t>
      </w:r>
      <w:r>
        <w:rPr>
          <w:rFonts w:ascii="Times New Roman" w:eastAsia="仿宋_GB2312" w:cs="Times New Roman" w:hAnsi="Times New Roman" w:hint="eastAsia"/>
          <w:b w:val="0"/>
          <w:bCs w:val="0"/>
          <w:color w:val="000000"/>
          <w:sz w:val="32"/>
          <w:szCs w:val="32"/>
          <w:lang w:eastAsia="zh-CN"/>
        </w:rPr>
        <w:t>%</w:t>
      </w:r>
      <w:r>
        <w:rPr>
          <w:rFonts w:eastAsia="仿宋_GB2312" w:cs="Times New Roman" w:hint="eastAsia"/>
          <w:b w:val="0"/>
          <w:bCs w:val="0"/>
          <w:color w:val="000000"/>
          <w:sz w:val="32"/>
          <w:szCs w:val="32"/>
          <w:lang w:eastAsia="zh-CN"/>
        </w:rPr>
        <w:t>；</w:t>
      </w:r>
      <w:r>
        <w:rPr>
          <w:rFonts w:ascii="Times New Roman" w:eastAsia="仿宋_GB2312" w:cs="Times New Roman" w:hAnsi="Times New Roman" w:hint="eastAsia"/>
          <w:b w:val="0"/>
          <w:bCs w:val="0"/>
          <w:color w:val="000000"/>
          <w:sz w:val="32"/>
          <w:szCs w:val="32"/>
          <w:lang w:eastAsia="zh-CN"/>
        </w:rPr>
        <w:t>住房保障支出264.58万元，占4.</w:t>
      </w:r>
      <w:r>
        <w:rPr>
          <w:rFonts w:eastAsia="仿宋_GB2312" w:cs="Times New Roman" w:hint="eastAsia"/>
          <w:b w:val="0"/>
          <w:bCs w:val="0"/>
          <w:color w:val="000000"/>
          <w:sz w:val="32"/>
          <w:szCs w:val="32"/>
          <w:lang w:val="en-US" w:eastAsia="zh-CN"/>
        </w:rPr>
        <w:t>38</w:t>
      </w:r>
      <w:r>
        <w:rPr>
          <w:rFonts w:ascii="Times New Roman" w:eastAsia="仿宋_GB2312" w:cs="Times New Roman" w:hAnsi="Times New Roman" w:hint="eastAsia"/>
          <w:b w:val="0"/>
          <w:bCs w:val="0"/>
          <w:color w:val="000000"/>
          <w:sz w:val="32"/>
          <w:szCs w:val="32"/>
          <w:lang w:eastAsia="zh-CN"/>
        </w:rPr>
        <w:t>%。</w:t>
      </w:r>
    </w:p>
    <w:p>
      <w:pPr>
        <w:rPr>
          <w:rFonts w:ascii="仿宋_GB2312" w:eastAsia="仿宋_GB2312" w:cs="仿宋_GB2312" w:hint="eastAsia"/>
          <w:color w:val="000000"/>
          <w:sz w:val="32"/>
          <w:szCs w:val="32"/>
        </w:rPr>
      </w:pPr>
    </w:p>
    <w:p>
      <w:pPr>
        <w:pStyle w:val="15"/>
        <w:rPr>
          <w:rFonts w:ascii="仿宋_GB2312" w:eastAsia="仿宋_GB2312" w:cs="仿宋_GB2312" w:hint="eastAsia"/>
          <w:color w:val="000000"/>
          <w:sz w:val="32"/>
          <w:szCs w:val="32"/>
        </w:rPr>
      </w:pPr>
    </w:p>
    <w:p>
      <w:pPr>
        <w:rPr>
          <w:rFonts w:hint="eastAsia"/>
        </w:rPr>
      </w:pPr>
    </w:p>
    <w:p>
      <w:pPr>
        <w:pStyle w:val="15"/>
        <w:rPr>
          <w:rFonts w:hint="eastAsia"/>
        </w:rPr>
      </w:pPr>
      <w:r>
        <w:rPr>
          <w:rFonts w:ascii="Times New Roman" w:eastAsia="仿宋_GB2312" w:cs="仿宋_GB2312" w:hAnsi="Times New Roman" w:hint="eastAsia"/>
          <w:color w:val="auto"/>
          <w:kern w:val="2"/>
          <w:sz w:val="32"/>
          <w:szCs w:val="32"/>
          <w:lang w:val="en-US" w:eastAsia="zh-CN" w:bidi="ar-SA"/>
          <w:highlight w:val="auto"/>
        </w:rPr>
        <w:drawing>
          <wp:anchor distT="0" distB="0" distL="114300" distR="114300" simplePos="0" relativeHeight="38" behindDoc="0" locked="0" layoutInCell="1" hidden="0" allowOverlap="1">
            <wp:simplePos x="0" y="0"/>
            <wp:positionH relativeFrom="column">
              <wp:posOffset>9525</wp:posOffset>
            </wp:positionH>
            <wp:positionV relativeFrom="paragraph">
              <wp:posOffset>95250</wp:posOffset>
            </wp:positionV>
            <wp:extent cx="5542915" cy="3738245"/>
            <wp:effectExtent l="0" t="0" r="0" b="0"/>
            <wp:wrapNone/>
            <wp:docPr id="21" name="图表 16" descr="7b0a202020202263686172745265734964223a20223230343731333838220a7d0a"/>
            <wp:cNvGraphicFramePr>
              <a:graphicFrameLocks noChangeAspect="0"/>
            </wp:cNvGraphicFramePr>
            <a:graphic>
              <a:graphicData uri="http://schemas.openxmlformats.org/drawingml/2006/chart">
                <c:chart xmlns:c="http://schemas.openxmlformats.org/drawingml/2006/chart" r:id="rId12"/>
              </a:graphicData>
            </a:graphic>
          </wp:anchor>
        </w:drawing>
      </w:r>
    </w:p>
    <w:p>
      <w:pPr>
        <w:pStyle w:val="16"/>
        <w:pageBreakBefore w:val="0"/>
        <w:widowControl w:val="0"/>
        <w:kinsoku/>
        <w:wordWrap/>
        <w:overflowPunct/>
        <w:topLinePunct w:val="0"/>
        <w:autoSpaceDE/>
        <w:autoSpaceDN/>
        <w:bidi w:val="0"/>
        <w:spacing w:line="576" w:lineRule="exact"/>
        <w:ind w:left="0" w:firstLine="0"/>
        <w:jc w:val="center"/>
        <w:rPr>
          <w:rFonts w:ascii="思源黑体 CN Normal" w:eastAsia="思源黑体 CN Normal" w:cs="思源黑体 CN Normal" w:hint="eastAsia"/>
        </w:rPr>
      </w:pPr>
      <w:bookmarkStart w:id="44" w:name="_Toc15377212"/>
    </w:p>
    <w:p>
      <w:pPr>
        <w:pStyle w:val="16"/>
        <w:pageBreakBefore w:val="0"/>
        <w:widowControl w:val="0"/>
        <w:kinsoku/>
        <w:wordWrap/>
        <w:overflowPunct/>
        <w:topLinePunct w:val="0"/>
        <w:autoSpaceDE/>
        <w:autoSpaceDN/>
        <w:bidi w:val="0"/>
        <w:spacing w:line="576" w:lineRule="exact"/>
        <w:ind w:left="0" w:firstLine="0"/>
        <w:jc w:val="center"/>
        <w:rPr>
          <w:rFonts w:ascii="思源黑体 CN Normal" w:eastAsia="思源黑体 CN Normal" w:cs="思源黑体 CN Normal" w:hint="eastAsia"/>
        </w:rPr>
      </w:pPr>
    </w:p>
    <w:p>
      <w:pPr>
        <w:pStyle w:val="16"/>
        <w:pageBreakBefore w:val="0"/>
        <w:widowControl w:val="0"/>
        <w:kinsoku/>
        <w:wordWrap/>
        <w:overflowPunct/>
        <w:topLinePunct w:val="0"/>
        <w:autoSpaceDE/>
        <w:autoSpaceDN/>
        <w:bidi w:val="0"/>
        <w:spacing w:line="576" w:lineRule="exact"/>
        <w:ind w:left="0" w:firstLine="0"/>
        <w:jc w:val="center"/>
        <w:rPr>
          <w:rFonts w:ascii="思源黑体 CN Normal" w:eastAsia="思源黑体 CN Normal" w:cs="思源黑体 CN Normal" w:hint="eastAsia"/>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jc w:val="center"/>
        <w:rPr>
          <w:rFonts w:ascii="仿宋" w:eastAsia="仿宋" w:cs="仿宋" w:hint="eastAsia"/>
          <w:color w:val="000000"/>
          <w:sz w:val="32"/>
          <w:szCs w:val="32"/>
        </w:rPr>
      </w:pPr>
    </w:p>
    <w:p>
      <w:pPr>
        <w:pStyle w:val="15"/>
        <w:keepNext/>
        <w:keepLines/>
        <w:pageBreakBefore w:val="0"/>
        <w:widowControl w:val="0"/>
        <w:kinsoku/>
        <w:wordWrap/>
        <w:overflowPunct/>
        <w:topLinePunct w:val="0"/>
        <w:autoSpaceDE/>
        <w:autoSpaceDN/>
        <w:bidi w:val="0"/>
        <w:spacing w:before="0" w:after="0"/>
        <w:rPr>
          <w:rFonts w:ascii="仿宋" w:eastAsia="仿宋" w:cs="仿宋" w:hint="eastAsia"/>
          <w:color w:val="000000"/>
          <w:sz w:val="32"/>
          <w:szCs w:val="32"/>
        </w:rPr>
      </w:pPr>
    </w:p>
    <w:p>
      <w:pPr>
        <w:pageBreakBefore w:val="0"/>
        <w:widowControl w:val="0"/>
        <w:kinsoku/>
        <w:wordWrap/>
        <w:overflowPunct/>
        <w:topLinePunct w:val="0"/>
        <w:autoSpaceDE/>
        <w:autoSpaceDN/>
        <w:bidi w:val="0"/>
        <w:rPr>
          <w:rFonts w:ascii="仿宋" w:eastAsia="仿宋" w:cs="仿宋" w:hint="eastAsia"/>
          <w:color w:val="000000"/>
          <w:sz w:val="32"/>
          <w:szCs w:val="32"/>
        </w:rPr>
      </w:pPr>
    </w:p>
    <w:p>
      <w:pPr>
        <w:pStyle w:val="15"/>
        <w:keepNext/>
        <w:keepLines/>
        <w:pageBreakBefore w:val="0"/>
        <w:widowControl w:val="0"/>
        <w:kinsoku/>
        <w:wordWrap/>
        <w:overflowPunct/>
        <w:topLinePunct w:val="0"/>
        <w:autoSpaceDE/>
        <w:autoSpaceDN/>
        <w:bidi w:val="0"/>
        <w:spacing w:before="0" w:after="0"/>
        <w:rPr>
          <w:rFonts w:ascii="仿宋" w:eastAsia="仿宋" w:cs="仿宋" w:hint="eastAsia"/>
          <w:color w:val="000000"/>
          <w:sz w:val="32"/>
          <w:szCs w:val="32"/>
        </w:rPr>
      </w:pPr>
    </w:p>
    <w:p>
      <w:pPr>
        <w:pageBreakBefore w:val="0"/>
        <w:widowControl w:val="0"/>
        <w:kinsoku/>
        <w:wordWrap/>
        <w:overflowPunct/>
        <w:topLinePunct w:val="0"/>
        <w:autoSpaceDE/>
        <w:autoSpaceDN/>
        <w:bidi w:val="0"/>
        <w:spacing w:line="576" w:lineRule="exact"/>
        <w:ind w:firstLineChars="200" w:firstLine="640"/>
        <w:outlineLvl w:val="2"/>
        <w:rPr>
          <w:rFonts w:ascii="楷体" w:eastAsia="楷体" w:cs="楷体" w:hint="eastAsia"/>
          <w:b/>
          <w:color w:val="000000"/>
          <w:sz w:val="32"/>
          <w:szCs w:val="32"/>
        </w:rPr>
      </w:pPr>
      <w:r>
        <w:rPr>
          <w:rFonts w:ascii="楷体" w:eastAsia="楷体" w:cs="楷体" w:hint="eastAsia"/>
          <w:b/>
          <w:color w:val="000000"/>
          <w:sz w:val="32"/>
          <w:szCs w:val="32"/>
        </w:rPr>
        <w:t>（三）一般公共预算财政拨款支出决算具体情况</w:t>
      </w:r>
      <w:bookmarkEnd w:id="44"/>
    </w:p>
    <w:p>
      <w:pPr>
        <w:pageBreakBefore w:val="0"/>
        <w:widowControl w:val="0"/>
        <w:kinsoku/>
        <w:wordWrap/>
        <w:overflowPunct/>
        <w:topLinePunct w:val="0"/>
        <w:autoSpaceDE/>
        <w:autoSpaceDN/>
        <w:bidi w:val="0"/>
        <w:spacing w:line="576" w:lineRule="exact"/>
        <w:ind w:firstLineChars="200" w:firstLine="640"/>
        <w:rPr>
          <w:rFonts w:ascii="Times New Roman" w:eastAsia="仿宋_GB2312" w:cs="Times New Roman" w:hAnsi="Times New Roman"/>
          <w:color w:val="000000"/>
          <w:sz w:val="32"/>
          <w:szCs w:val="32"/>
          <w:highlight w:val="auto"/>
        </w:rPr>
      </w:pPr>
      <w:bookmarkStart w:id="45" w:name="_Toc15377213"/>
      <w:bookmarkStart w:id="46" w:name="_Toc15377444"/>
      <w:bookmarkStart w:id="47" w:name="_Toc15378460"/>
      <w:r>
        <w:rPr>
          <w:rFonts w:eastAsia="仿宋_GB2312" w:cs="Times New Roman" w:hint="eastAsia"/>
          <w:color w:val="000000"/>
          <w:sz w:val="32"/>
          <w:szCs w:val="32"/>
          <w:lang w:eastAsia="zh-CN"/>
          <w:highlight w:val="auto"/>
        </w:rPr>
        <w:t>2025年度</w:t>
      </w:r>
      <w:r>
        <w:rPr>
          <w:rFonts w:ascii="Times New Roman" w:eastAsia="仿宋_GB2312" w:cs="Times New Roman" w:hAnsi="Times New Roman"/>
          <w:color w:val="000000"/>
          <w:sz w:val="32"/>
          <w:szCs w:val="32"/>
          <w:highlight w:val="auto"/>
        </w:rPr>
        <w:t>一般公共预算支出决算数为</w:t>
      </w:r>
      <w:r>
        <w:rPr>
          <w:rFonts w:ascii="Times New Roman" w:eastAsia="仿宋_GB2312" w:cs="Times New Roman" w:hAnsi="Times New Roman" w:hint="eastAsia"/>
          <w:b w:val="0"/>
          <w:bCs w:val="0"/>
          <w:color w:val="000000"/>
          <w:sz w:val="32"/>
          <w:szCs w:val="32"/>
          <w:lang w:eastAsia="zh-CN"/>
          <w:highlight w:val="auto"/>
        </w:rPr>
        <w:t>6041.03</w:t>
      </w:r>
      <w:r>
        <w:rPr>
          <w:rFonts w:ascii="Times New Roman" w:eastAsia="仿宋_GB2312" w:cs="Times New Roman" w:hAnsi="Times New Roman"/>
          <w:color w:val="000000"/>
          <w:sz w:val="32"/>
          <w:szCs w:val="32"/>
          <w:highlight w:val="auto"/>
        </w:rPr>
        <w:t>万元，完成预算100%。其中：</w:t>
      </w:r>
      <w:bookmarkEnd w:id="45"/>
      <w:bookmarkEnd w:id="46"/>
      <w:bookmarkEnd w:id="47"/>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both"/>
        <w:textAlignment w:val="auto"/>
        <w:rPr>
          <w:rFonts w:eastAsia="仿宋_GB2312" w:cs="Times New Roman" w:hint="eastAsia"/>
          <w:color w:val="000000"/>
          <w:sz w:val="32"/>
          <w:szCs w:val="32"/>
          <w:lang w:val="en-US" w:eastAsia="zh-CN"/>
        </w:rPr>
      </w:pPr>
      <w:r>
        <w:rPr>
          <w:rFonts w:eastAsia="仿宋_GB2312" w:cs="Times New Roman" w:hint="eastAsia"/>
          <w:color w:val="000000"/>
          <w:sz w:val="32"/>
          <w:szCs w:val="32"/>
          <w:lang w:val="en-US" w:eastAsia="zh-CN"/>
        </w:rPr>
        <w:t>1.</w:t>
      </w:r>
      <w:r>
        <w:rPr>
          <w:rFonts w:ascii="Times New Roman" w:eastAsia="仿宋_GB2312" w:cs="Times New Roman" w:hAnsi="Times New Roman"/>
          <w:color w:val="000000"/>
          <w:sz w:val="32"/>
          <w:szCs w:val="32"/>
        </w:rPr>
        <w:t>一般公共服务支出（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）人大事务（</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）代表工作（</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2.22</w:t>
      </w:r>
      <w:r>
        <w:rPr>
          <w:rFonts w:ascii="Times New Roman" w:eastAsia="仿宋_GB2312" w:cs="Times New Roman" w:hAnsi="Times New Roman"/>
          <w:color w:val="000000"/>
          <w:sz w:val="32"/>
          <w:szCs w:val="32"/>
        </w:rPr>
        <w:t>万元，完成预算100%</w:t>
      </w:r>
      <w:r>
        <w:rPr>
          <w:rFonts w:eastAsia="仿宋_GB2312" w:cs="Times New Roman" w:hint="eastAsia"/>
          <w:color w:val="000000"/>
          <w:sz w:val="32"/>
          <w:szCs w:val="32"/>
          <w:lang w:eastAsia="zh-CN"/>
        </w:rPr>
        <w:t>，决算数与预算数持平。</w:t>
      </w:r>
      <w:r>
        <w:rPr>
          <w:rFonts w:ascii="Times New Roman" w:eastAsia="仿宋_GB2312" w:cs="Times New Roman" w:hAnsi="Times New Roman"/>
          <w:color w:val="000000"/>
          <w:sz w:val="32"/>
          <w:szCs w:val="32"/>
        </w:rPr>
        <w:cr/>
        <w:t xml:space="preserve">    2.一般公共服务支出（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）政府办公厅（室）及相关机构事务（</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）行政运行（</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1847.58</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r>
        <w:rPr>
          <w:rFonts w:ascii="Times New Roman" w:eastAsia="仿宋_GB2312" w:cs="Times New Roman" w:hAnsi="Times New Roman"/>
          <w:color w:val="000000"/>
          <w:sz w:val="32"/>
          <w:szCs w:val="32"/>
        </w:rPr>
        <w:cr/>
        <w:t xml:space="preserve">    3.一般公共服务支出（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）政府办公厅（</w:t>
      </w:r>
      <w:r>
        <w:rPr>
          <w:rFonts w:eastAsia="仿宋_GB2312" w:cs="Times New Roman" w:hint="eastAsia"/>
          <w:color w:val="000000"/>
          <w:sz w:val="32"/>
          <w:szCs w:val="32"/>
          <w:lang w:eastAsia="zh-CN"/>
        </w:rPr>
        <w:t>室</w:t>
      </w:r>
      <w:r>
        <w:rPr>
          <w:rFonts w:ascii="Times New Roman" w:eastAsia="仿宋_GB2312" w:cs="Times New Roman" w:hAnsi="Times New Roman"/>
          <w:color w:val="000000"/>
          <w:sz w:val="32"/>
          <w:szCs w:val="32"/>
        </w:rPr>
        <w:t>）及相关机构事务（</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）其他政府办公厅（室）及相关机构事务支出（</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335.84</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r>
        <w:rPr>
          <w:rFonts w:ascii="Times New Roman" w:eastAsia="仿宋_GB2312" w:cs="Times New Roman" w:hAnsi="Times New Roman"/>
          <w:color w:val="000000"/>
          <w:sz w:val="32"/>
          <w:szCs w:val="32"/>
        </w:rPr>
        <w:cr/>
      </w:r>
      <w:r>
        <w:rPr>
          <w:rFonts w:eastAsia="仿宋_GB2312" w:cs="Times New Roman" w:hint="eastAsia"/>
          <w:color w:val="000000"/>
          <w:sz w:val="32"/>
          <w:szCs w:val="32"/>
          <w:lang w:val="en-US" w:eastAsia="zh-CN"/>
        </w:rPr>
        <w:t xml:space="preserve">    </w:t>
      </w:r>
      <w:r>
        <w:rPr>
          <w:rFonts w:eastAsia="仿宋_GB2312" w:cs="Times New Roman"/>
          <w:sz w:val="32"/>
          <w:szCs w:val="32"/>
          <w:lang w:eastAsia="zh-CN"/>
        </w:rPr>
        <w:t>4.一般公共服务支出（类）社会工作事务（款）专项业务（项）：支出决算106.8万元，完成预算100%</w:t>
      </w:r>
      <w:r>
        <w:rPr>
          <w:rFonts w:eastAsia="仿宋_GB2312" w:cs="Times New Roman" w:hint="eastAsia"/>
          <w:color w:val="000000"/>
          <w:sz w:val="32"/>
          <w:szCs w:val="32"/>
          <w:lang w:eastAsia="zh-CN"/>
        </w:rPr>
        <w:t>，决算数与预算数持平。</w:t>
      </w:r>
    </w:p>
    <w:p>
      <w:pPr>
        <w:pageBreakBefore w:val="0"/>
        <w:widowControl w:val="0"/>
        <w:kinsoku/>
        <w:wordWrap/>
        <w:overflowPunct/>
        <w:topLinePunct w:val="0"/>
        <w:autoSpaceDE/>
        <w:autoSpaceDN/>
        <w:bidi w:val="0"/>
        <w:adjustRightInd/>
        <w:snapToGrid/>
        <w:spacing w:line="576" w:lineRule="exact"/>
        <w:textAlignment w:val="auto"/>
        <w:rPr>
          <w:rFonts w:eastAsia="仿宋_GB2312" w:cs="Times New Roman" w:hint="eastAsia"/>
          <w:color w:val="000000"/>
          <w:sz w:val="32"/>
          <w:szCs w:val="32"/>
          <w:lang w:eastAsia="zh-CN"/>
        </w:rPr>
      </w:pPr>
      <w:r>
        <w:rPr>
          <w:rFonts w:ascii="Times New Roman" w:eastAsia="仿宋_GB2312" w:cs="Times New Roman" w:hAnsi="Times New Roman"/>
          <w:color w:val="000000"/>
          <w:sz w:val="32"/>
          <w:szCs w:val="32"/>
        </w:rPr>
        <w:t xml:space="preserve">    </w:t>
      </w:r>
      <w:r>
        <w:rPr>
          <w:rFonts w:eastAsia="仿宋_GB2312" w:cs="Times New Roman" w:hint="eastAsia"/>
          <w:color w:val="000000"/>
          <w:sz w:val="32"/>
          <w:szCs w:val="32"/>
          <w:lang w:val="en-US" w:eastAsia="zh-CN"/>
        </w:rPr>
        <w:t>5</w:t>
      </w:r>
      <w:r>
        <w:rPr>
          <w:rFonts w:ascii="Times New Roman" w:eastAsia="仿宋_GB2312" w:cs="Times New Roman" w:hAnsi="Times New Roman"/>
          <w:color w:val="000000"/>
          <w:sz w:val="32"/>
          <w:szCs w:val="32"/>
        </w:rPr>
        <w:t>.社会保障和就业支出（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）行政事业单位养老支出（</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）机关事业单位基本养老保险缴费支出（</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299.94</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r>
        <w:rPr>
          <w:rFonts w:ascii="Times New Roman" w:eastAsia="仿宋_GB2312" w:cs="Times New Roman" w:hAnsi="Times New Roman"/>
          <w:color w:val="000000"/>
          <w:sz w:val="32"/>
          <w:szCs w:val="32"/>
        </w:rPr>
        <w:cr/>
        <w:t xml:space="preserve">    </w:t>
      </w:r>
      <w:r>
        <w:rPr>
          <w:rFonts w:eastAsia="仿宋_GB2312" w:cs="Times New Roman" w:hint="eastAsia"/>
          <w:color w:val="000000"/>
          <w:sz w:val="32"/>
          <w:szCs w:val="32"/>
          <w:lang w:val="en-US" w:eastAsia="zh-CN"/>
        </w:rPr>
        <w:t>6</w:t>
      </w:r>
      <w:r>
        <w:rPr>
          <w:rFonts w:ascii="Times New Roman" w:eastAsia="仿宋_GB2312" w:cs="Times New Roman" w:hAnsi="Times New Roman"/>
          <w:color w:val="000000"/>
          <w:sz w:val="32"/>
          <w:szCs w:val="32"/>
        </w:rPr>
        <w:t>.社会保障和就业支出（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）行政事业单位养老支出（</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）机关事业单位职业年金缴费支出（</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）:支出决算149.</w:t>
      </w:r>
      <w:r>
        <w:rPr>
          <w:rFonts w:eastAsia="仿宋_GB2312" w:cs="Times New Roman" w:hint="eastAsia"/>
          <w:color w:val="000000"/>
          <w:sz w:val="32"/>
          <w:szCs w:val="32"/>
          <w:lang w:val="en-US" w:eastAsia="zh-CN"/>
        </w:rPr>
        <w:t>97</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both"/>
        <w:textAlignment w:val="auto"/>
        <w:rPr>
          <w:rFonts w:eastAsia="仿宋_GB2312" w:cs="Times New Roman" w:hint="eastAsia"/>
          <w:color w:val="000000"/>
          <w:sz w:val="32"/>
          <w:szCs w:val="32"/>
          <w:lang w:eastAsia="zh-CN"/>
        </w:rPr>
      </w:pPr>
      <w:r>
        <w:rPr>
          <w:rFonts w:eastAsia="仿宋_GB2312" w:cs="Times New Roman"/>
          <w:sz w:val="32"/>
          <w:szCs w:val="32"/>
          <w:lang w:eastAsia="zh-CN"/>
        </w:rPr>
        <w:t>7.社会保障和就业支出（类）就业补助（款）公益性岗位补贴（项）：支出决算127</w:t>
      </w:r>
      <w:r>
        <w:rPr>
          <w:rFonts w:eastAsia="仿宋_GB2312" w:cs="Times New Roman" w:hint="eastAsia"/>
          <w:sz w:val="32"/>
          <w:szCs w:val="32"/>
          <w:lang w:val="en-US" w:eastAsia="zh-CN"/>
        </w:rPr>
        <w:t>.</w:t>
      </w:r>
      <w:r>
        <w:rPr>
          <w:rFonts w:eastAsia="仿宋_GB2312" w:cs="Times New Roman"/>
          <w:sz w:val="32"/>
          <w:szCs w:val="32"/>
          <w:lang w:eastAsia="zh-CN"/>
        </w:rPr>
        <w:t>4万元，完成预算100%</w:t>
      </w:r>
      <w:r>
        <w:rPr>
          <w:rFonts w:eastAsia="仿宋_GB2312" w:cs="Times New Roman" w:hint="eastAsia"/>
          <w:color w:val="000000"/>
          <w:sz w:val="32"/>
          <w:szCs w:val="32"/>
          <w:lang w:eastAsia="zh-CN"/>
        </w:rPr>
        <w:t>，决算数与预算数持平。</w:t>
      </w:r>
      <w:r>
        <w:rPr>
          <w:rFonts w:ascii="Times New Roman" w:eastAsia="仿宋_GB2312" w:cs="Times New Roman" w:hAnsi="Times New Roman"/>
          <w:color w:val="000000"/>
          <w:sz w:val="32"/>
          <w:szCs w:val="32"/>
        </w:rPr>
        <w:cr/>
        <w:t xml:space="preserve">    8.社会保障和就业支出（类）残疾人事业（款）其他残疾人事业支出（项）：支出决算1.97万元，完成预算100%</w:t>
      </w:r>
      <w:r>
        <w:rPr>
          <w:rFonts w:eastAsia="仿宋_GB2312" w:cs="Times New Roman" w:hint="eastAsia"/>
          <w:color w:val="000000"/>
          <w:sz w:val="32"/>
          <w:szCs w:val="32"/>
          <w:lang w:eastAsia="zh-CN"/>
        </w:rPr>
        <w:t>，决算数与预算数持平。</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9.卫生健康支出（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）行政事业单位医疗（</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）行政单位医疗（</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130.7</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r>
        <w:rPr>
          <w:rFonts w:ascii="Times New Roman" w:eastAsia="仿宋_GB2312" w:cs="Times New Roman" w:hAnsi="Times New Roman"/>
          <w:color w:val="000000"/>
          <w:sz w:val="32"/>
          <w:szCs w:val="32"/>
        </w:rPr>
        <w:cr/>
        <w:t xml:space="preserve">    10.卫生健康支出（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）行政事业单位医疗（</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）事业单位医疗（</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62.56</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r>
        <w:rPr>
          <w:rFonts w:ascii="Times New Roman" w:eastAsia="仿宋_GB2312" w:cs="Times New Roman" w:hAnsi="Times New Roman"/>
          <w:color w:val="000000"/>
          <w:sz w:val="32"/>
          <w:szCs w:val="32"/>
        </w:rPr>
        <w:cr/>
        <w:t xml:space="preserve">    11.农林水支出（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）农业农村（</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）事业运行（</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861.24</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r>
        <w:rPr>
          <w:rFonts w:ascii="Times New Roman" w:eastAsia="仿宋_GB2312" w:cs="Times New Roman" w:hAnsi="Times New Roman"/>
          <w:color w:val="000000"/>
          <w:sz w:val="32"/>
          <w:szCs w:val="32"/>
        </w:rPr>
        <w:cr/>
        <w:t xml:space="preserve">    12.农林水支出（类）农业农村（款）其他农业农村支出（项）：支出决算15.64万元，完成预算100%</w:t>
      </w:r>
      <w:r>
        <w:rPr>
          <w:rFonts w:eastAsia="仿宋_GB2312" w:cs="Times New Roman" w:hint="eastAsia"/>
          <w:color w:val="000000"/>
          <w:sz w:val="32"/>
          <w:szCs w:val="32"/>
          <w:lang w:eastAsia="zh-CN"/>
        </w:rPr>
        <w:t>，决算数与预算数持平。</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both"/>
        <w:textAlignment w:val="auto"/>
        <w:rPr>
          <w:rFonts w:eastAsia="仿宋_GB2312" w:cs="Times New Roman" w:hint="eastAsia"/>
          <w:color w:val="000000"/>
          <w:sz w:val="32"/>
          <w:szCs w:val="32"/>
          <w:lang w:eastAsia="zh-CN"/>
        </w:rPr>
      </w:pPr>
      <w:r>
        <w:rPr>
          <w:rFonts w:ascii="Times New Roman" w:eastAsia="仿宋_GB2312" w:cs="Times New Roman" w:hAnsi="Times New Roman"/>
          <w:color w:val="000000"/>
          <w:sz w:val="32"/>
          <w:szCs w:val="32"/>
        </w:rPr>
        <w:t>1</w:t>
      </w:r>
      <w:r>
        <w:rPr>
          <w:rFonts w:eastAsia="仿宋_GB2312" w:cs="Times New Roman" w:hint="eastAsia"/>
          <w:color w:val="000000"/>
          <w:sz w:val="32"/>
          <w:szCs w:val="32"/>
          <w:lang w:val="en-US" w:eastAsia="zh-CN"/>
        </w:rPr>
        <w:t>3</w:t>
      </w:r>
      <w:r>
        <w:rPr>
          <w:rFonts w:ascii="Times New Roman" w:eastAsia="仿宋_GB2312" w:cs="Times New Roman" w:hAnsi="Times New Roman"/>
          <w:color w:val="000000"/>
          <w:sz w:val="32"/>
          <w:szCs w:val="32"/>
        </w:rPr>
        <w:t>.农林水支出（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）巩固脱贫攻坚成果衔接乡村振兴（</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）农村基础设施建设（</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799.16</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1</w:t>
      </w:r>
      <w:r>
        <w:rPr>
          <w:rFonts w:eastAsia="仿宋_GB2312" w:cs="Times New Roman" w:hint="eastAsia"/>
          <w:color w:val="000000"/>
          <w:sz w:val="32"/>
          <w:szCs w:val="32"/>
          <w:lang w:val="en-US" w:eastAsia="zh-CN"/>
        </w:rPr>
        <w:t>4</w:t>
      </w:r>
      <w:r>
        <w:rPr>
          <w:rFonts w:ascii="Times New Roman" w:eastAsia="仿宋_GB2312" w:cs="Times New Roman" w:hAnsi="Times New Roman"/>
          <w:color w:val="000000"/>
          <w:sz w:val="32"/>
          <w:szCs w:val="32"/>
        </w:rPr>
        <w:t>.农林水支出（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）巩固脱贫攻坚成果衔接乡村振兴（</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）其他巩固脱贫攻坚成果衔接乡村振兴支出（</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443.85</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r>
        <w:rPr>
          <w:rFonts w:ascii="Times New Roman" w:eastAsia="仿宋_GB2312" w:cs="Times New Roman" w:hAnsi="Times New Roman"/>
          <w:color w:val="000000"/>
          <w:sz w:val="32"/>
          <w:szCs w:val="32"/>
        </w:rPr>
        <w:cr/>
        <w:t xml:space="preserve">    1</w:t>
      </w:r>
      <w:r>
        <w:rPr>
          <w:rFonts w:eastAsia="仿宋_GB2312" w:cs="Times New Roman" w:hint="eastAsia"/>
          <w:color w:val="000000"/>
          <w:sz w:val="32"/>
          <w:szCs w:val="32"/>
          <w:lang w:val="en-US" w:eastAsia="zh-CN"/>
        </w:rPr>
        <w:t>5</w:t>
      </w:r>
      <w:r>
        <w:rPr>
          <w:rFonts w:ascii="Times New Roman" w:eastAsia="仿宋_GB2312" w:cs="Times New Roman" w:hAnsi="Times New Roman"/>
          <w:color w:val="000000"/>
          <w:sz w:val="32"/>
          <w:szCs w:val="32"/>
        </w:rPr>
        <w:t>.农林水支出（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）农村综合改革（</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）对村民委员会和村党支部的补助（</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591.59</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r>
        <w:rPr>
          <w:rFonts w:ascii="Times New Roman" w:eastAsia="仿宋_GB2312" w:cs="Times New Roman" w:hAnsi="Times New Roman"/>
          <w:color w:val="000000"/>
          <w:sz w:val="32"/>
          <w:szCs w:val="32"/>
        </w:rPr>
        <w:cr/>
        <w:t xml:space="preserve">    1</w:t>
      </w:r>
      <w:r>
        <w:rPr>
          <w:rFonts w:eastAsia="仿宋_GB2312" w:cs="Times New Roman" w:hint="eastAsia"/>
          <w:color w:val="000000"/>
          <w:sz w:val="32"/>
          <w:szCs w:val="32"/>
          <w:lang w:val="en-US" w:eastAsia="zh-CN"/>
        </w:rPr>
        <w:t>6</w:t>
      </w:r>
      <w:r>
        <w:rPr>
          <w:rFonts w:ascii="Times New Roman" w:eastAsia="仿宋_GB2312" w:cs="Times New Roman" w:hAnsi="Times New Roman"/>
          <w:color w:val="000000"/>
          <w:sz w:val="32"/>
          <w:szCs w:val="32"/>
        </w:rPr>
        <w:t>.住房保障支出（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）住房改革支出</w:t>
      </w:r>
      <w:r>
        <w:rPr>
          <w:rFonts w:eastAsia="仿宋_GB2312" w:cs="Times New Roman" w:hint="eastAsia"/>
          <w:color w:val="000000"/>
          <w:sz w:val="32"/>
          <w:szCs w:val="32"/>
          <w:lang w:eastAsia="zh-CN"/>
        </w:rPr>
        <w:t>（款</w:t>
      </w:r>
      <w:r>
        <w:rPr>
          <w:rFonts w:ascii="Times New Roman" w:eastAsia="仿宋_GB2312" w:cs="Times New Roman" w:hAnsi="Times New Roman"/>
          <w:color w:val="000000"/>
          <w:sz w:val="32"/>
          <w:szCs w:val="32"/>
        </w:rPr>
        <w:t>）住房公积金（</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262.38</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r>
        <w:rPr>
          <w:rFonts w:ascii="Times New Roman" w:eastAsia="仿宋_GB2312" w:cs="Times New Roman" w:hAnsi="Times New Roman"/>
          <w:color w:val="000000"/>
          <w:sz w:val="32"/>
          <w:szCs w:val="32"/>
        </w:rPr>
        <w:cr/>
        <w:t xml:space="preserve">    20.住房保障支出（</w:t>
      </w:r>
      <w:r>
        <w:rPr>
          <w:rFonts w:eastAsia="仿宋_GB2312" w:cs="Times New Roman" w:hint="eastAsia"/>
          <w:color w:val="000000"/>
          <w:sz w:val="32"/>
          <w:szCs w:val="32"/>
          <w:lang w:val="en-US" w:eastAsia="zh-CN"/>
        </w:rPr>
        <w:t>类</w:t>
      </w:r>
      <w:r>
        <w:rPr>
          <w:rFonts w:ascii="Times New Roman" w:eastAsia="仿宋_GB2312" w:cs="Times New Roman" w:hAnsi="Times New Roman"/>
          <w:color w:val="000000"/>
          <w:sz w:val="32"/>
          <w:szCs w:val="32"/>
        </w:rPr>
        <w:t>）住房改革支出（</w:t>
      </w:r>
      <w:r>
        <w:rPr>
          <w:rFonts w:eastAsia="仿宋_GB2312" w:cs="Times New Roman" w:hint="eastAsia"/>
          <w:color w:val="000000"/>
          <w:sz w:val="32"/>
          <w:szCs w:val="32"/>
          <w:lang w:val="en-US" w:eastAsia="zh-CN"/>
        </w:rPr>
        <w:t>款</w:t>
      </w:r>
      <w:r>
        <w:rPr>
          <w:rFonts w:ascii="Times New Roman" w:eastAsia="仿宋_GB2312" w:cs="Times New Roman" w:hAnsi="Times New Roman"/>
          <w:color w:val="000000"/>
          <w:sz w:val="32"/>
          <w:szCs w:val="32"/>
        </w:rPr>
        <w:t>）购房补贴（</w:t>
      </w:r>
      <w:r>
        <w:rPr>
          <w:rFonts w:eastAsia="仿宋_GB2312" w:cs="Times New Roman" w:hint="eastAsia"/>
          <w:color w:val="000000"/>
          <w:sz w:val="32"/>
          <w:szCs w:val="32"/>
          <w:lang w:val="en-US" w:eastAsia="zh-CN"/>
        </w:rPr>
        <w:t>项</w:t>
      </w:r>
      <w:r>
        <w:rPr>
          <w:rFonts w:ascii="Times New Roman" w:eastAsia="仿宋_GB2312" w:cs="Times New Roman" w:hAnsi="Times New Roman"/>
          <w:color w:val="000000"/>
          <w:sz w:val="32"/>
          <w:szCs w:val="32"/>
        </w:rPr>
        <w:t>）:支出决算</w:t>
      </w:r>
      <w:r>
        <w:rPr>
          <w:rFonts w:eastAsia="仿宋_GB2312" w:cs="Times New Roman" w:hint="eastAsia"/>
          <w:color w:val="000000"/>
          <w:sz w:val="32"/>
          <w:szCs w:val="32"/>
          <w:lang w:val="en-US" w:eastAsia="zh-CN"/>
        </w:rPr>
        <w:t>2.2</w:t>
      </w:r>
      <w:r>
        <w:rPr>
          <w:rFonts w:ascii="Times New Roman" w:eastAsia="仿宋_GB2312" w:cs="Times New Roman" w:hAnsi="Times New Roman"/>
          <w:color w:val="000000"/>
          <w:sz w:val="32"/>
          <w:szCs w:val="32"/>
        </w:rPr>
        <w:t>万元，</w:t>
      </w:r>
      <w:r>
        <w:rPr>
          <w:rFonts w:eastAsia="仿宋_GB2312" w:cs="Times New Roman" w:hint="eastAsia"/>
          <w:color w:val="000000"/>
          <w:sz w:val="32"/>
          <w:szCs w:val="32"/>
          <w:lang w:eastAsia="zh-CN"/>
        </w:rPr>
        <w:t>完成预算100%，决算数与预算数持平。</w:t>
      </w:r>
      <w:bookmarkStart w:id="48" w:name="_Toc15377214"/>
      <w:bookmarkStart w:id="49" w:name="_Toc111208504"/>
    </w:p>
    <w:p>
      <w:pPr>
        <w:pStyle w:val="2"/>
        <w:keepNext/>
        <w:keepLines/>
        <w:pageBreakBefore w:val="0"/>
        <w:widowControl w:val="0"/>
        <w:kinsoku/>
        <w:wordWrap/>
        <w:overflowPunct/>
        <w:topLinePunct w:val="0"/>
        <w:autoSpaceDE/>
        <w:autoSpaceDN/>
        <w:bidi w:val="0"/>
        <w:adjustRightInd/>
        <w:snapToGrid/>
        <w:spacing w:before="0" w:after="0" w:line="576" w:lineRule="exact"/>
        <w:ind w:firstLineChars="200" w:firstLine="640"/>
        <w:textAlignment w:val="auto"/>
        <w:rPr>
          <w:rFonts w:ascii="黑体" w:eastAsia="黑体" w:cs="黑体" w:hint="eastAsia"/>
          <w:b w:val="0"/>
          <w:bCs/>
          <w:color w:val="000000"/>
        </w:rPr>
      </w:pPr>
      <w:bookmarkStart w:id="50" w:name="_Toc13923"/>
      <w:r>
        <w:rPr>
          <w:rFonts w:ascii="黑体" w:eastAsia="黑体" w:cs="黑体" w:hint="eastAsia"/>
          <w:b w:val="0"/>
          <w:bCs/>
          <w:color w:val="000000"/>
        </w:rPr>
        <w:t>六、一般公共预算财政拨款基本支出决算情况说</w:t>
      </w:r>
      <w:bookmarkEnd w:id="48"/>
      <w:r>
        <w:rPr>
          <w:rFonts w:ascii="黑体" w:eastAsia="黑体" w:cs="黑体" w:hint="eastAsia"/>
          <w:b w:val="0"/>
          <w:bCs/>
          <w:color w:val="000000"/>
        </w:rPr>
        <w:t>明</w:t>
      </w:r>
      <w:bookmarkEnd w:id="49"/>
      <w:bookmarkEnd w:id="50"/>
    </w:p>
    <w:p>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ascii="Times New Roman" w:eastAsia="仿宋_GB2312" w:cs="Times New Roman" w:hAnsi="Times New Roman"/>
          <w:color w:val="000000"/>
          <w:sz w:val="32"/>
          <w:szCs w:val="32"/>
        </w:rPr>
      </w:pPr>
      <w:r>
        <w:rPr>
          <w:rFonts w:eastAsia="仿宋_GB2312" w:cs="Times New Roman" w:hint="eastAsia"/>
          <w:color w:val="000000"/>
          <w:sz w:val="32"/>
          <w:szCs w:val="32"/>
          <w:lang w:eastAsia="zh-CN"/>
        </w:rPr>
        <w:t>2025年度</w:t>
      </w:r>
      <w:r>
        <w:rPr>
          <w:rFonts w:ascii="Times New Roman" w:eastAsia="仿宋_GB2312" w:cs="Times New Roman" w:hAnsi="Times New Roman"/>
          <w:color w:val="000000"/>
          <w:sz w:val="32"/>
          <w:szCs w:val="32"/>
        </w:rPr>
        <w:t>一般公共预算财政拨款基本支出</w:t>
      </w:r>
      <w:r>
        <w:rPr>
          <w:rFonts w:eastAsia="仿宋_GB2312" w:cs="Times New Roman" w:hint="eastAsia"/>
          <w:color w:val="000000"/>
          <w:sz w:val="32"/>
          <w:u w:color="auto"/>
          <w:lang w:val="en-US" w:eastAsia="zh-CN"/>
        </w:rPr>
        <w:t>3616.58</w:t>
      </w:r>
      <w:r>
        <w:rPr>
          <w:rFonts w:ascii="Times New Roman" w:eastAsia="仿宋_GB2312" w:cs="Times New Roman" w:hAnsi="Times New Roman"/>
          <w:color w:val="000000"/>
          <w:sz w:val="32"/>
          <w:u w:color="auto"/>
        </w:rPr>
        <w:t>万元，其中：</w:t>
      </w: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人员经费3431.47万元，主要包括：基本工资、津贴补贴、奖金、绩效工资、机关事业单位基本养老保险缴费、职业年金缴费、职工基本医疗保险缴费、其他社会保障缴费、住房公积金、医疗费、抚恤金、生活补助、奖励金。</w:t>
      </w: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ascii="Times New Roman" w:eastAsia="仿宋_GB2312" w:cs="Times New Roman" w:hAnsi="Times New Roman" w:hint="eastAsia"/>
          <w:color w:val="000000"/>
          <w:sz w:val="32"/>
          <w:u w:color="auto"/>
          <w:lang w:eastAsia="zh-CN"/>
        </w:rPr>
      </w:pPr>
      <w:r>
        <w:rPr>
          <w:rFonts w:ascii="Times New Roman" w:eastAsia="仿宋_GB2312" w:cs="Times New Roman" w:hAnsi="Times New Roman"/>
          <w:color w:val="000000"/>
          <w:sz w:val="32"/>
          <w:szCs w:val="32"/>
        </w:rPr>
        <w:t>公用经费</w:t>
      </w:r>
      <w:r>
        <w:rPr>
          <w:rFonts w:eastAsia="仿宋_GB2312" w:cs="Times New Roman" w:hint="eastAsia"/>
          <w:color w:val="000000"/>
          <w:sz w:val="32"/>
          <w:u w:color="auto"/>
          <w:lang w:val="en-US" w:eastAsia="zh-CN"/>
        </w:rPr>
        <w:t>185.11</w:t>
      </w:r>
      <w:r>
        <w:rPr>
          <w:rFonts w:ascii="Times New Roman" w:eastAsia="仿宋_GB2312" w:cs="Times New Roman" w:hAnsi="Times New Roman"/>
          <w:color w:val="000000"/>
          <w:sz w:val="32"/>
          <w:u w:color="auto"/>
        </w:rPr>
        <w:t>万元，主要包括：办公费、水费、电费、邮电费、差旅费、维修（护）费、福利费、公务用车运行维护费、其他商品和服务支出</w:t>
      </w:r>
      <w:r>
        <w:rPr>
          <w:rFonts w:eastAsia="仿宋_GB2312" w:cs="Times New Roman" w:hint="eastAsia"/>
          <w:color w:val="000000"/>
          <w:sz w:val="32"/>
          <w:u w:color="auto"/>
          <w:lang w:eastAsia="zh-CN"/>
        </w:rPr>
        <w:t>。</w:t>
      </w:r>
    </w:p>
    <w:p>
      <w:pPr>
        <w:pStyle w:val="2"/>
        <w:keepNext/>
        <w:keepLines/>
        <w:pageBreakBefore w:val="0"/>
        <w:widowControl w:val="0"/>
        <w:kinsoku/>
        <w:wordWrap/>
        <w:overflowPunct/>
        <w:topLinePunct w:val="0"/>
        <w:autoSpaceDE/>
        <w:autoSpaceDN/>
        <w:bidi w:val="0"/>
        <w:spacing w:before="0" w:after="0" w:line="576" w:lineRule="exact"/>
        <w:ind w:firstLineChars="200" w:firstLine="640"/>
        <w:rPr>
          <w:rFonts w:ascii="黑体" w:eastAsia="黑体" w:cs="黑体" w:hint="eastAsia"/>
          <w:b w:val="0"/>
          <w:bCs/>
          <w:color w:val="000000"/>
        </w:rPr>
      </w:pPr>
      <w:bookmarkStart w:id="51" w:name="_Toc15377215"/>
      <w:bookmarkStart w:id="52" w:name="_Toc21479"/>
      <w:bookmarkStart w:id="53" w:name="_Toc111208505"/>
      <w:r>
        <w:rPr>
          <w:rFonts w:ascii="黑体" w:eastAsia="黑体" w:cs="黑体" w:hint="eastAsia"/>
          <w:b w:val="0"/>
          <w:bCs/>
          <w:color w:val="000000"/>
        </w:rPr>
        <w:t>七、“三公”经费财政拨款支出决算情况说明</w:t>
      </w:r>
      <w:bookmarkEnd w:id="51"/>
      <w:bookmarkEnd w:id="52"/>
      <w:bookmarkEnd w:id="53"/>
    </w:p>
    <w:p>
      <w:pPr>
        <w:pageBreakBefore w:val="0"/>
        <w:widowControl w:val="0"/>
        <w:kinsoku/>
        <w:wordWrap/>
        <w:overflowPunct/>
        <w:topLinePunct w:val="0"/>
        <w:autoSpaceDE/>
        <w:autoSpaceDN/>
        <w:bidi w:val="0"/>
        <w:adjustRightInd/>
        <w:snapToGrid/>
        <w:spacing w:line="576" w:lineRule="exact"/>
        <w:ind w:firstLineChars="200" w:firstLine="640"/>
        <w:outlineLvl w:val="2"/>
        <w:rPr>
          <w:rFonts w:ascii="Times New Roman" w:eastAsia="楷体_GB2312" w:cs="楷体_GB2312" w:hAnsi="Times New Roman" w:hint="eastAsia"/>
          <w:b/>
          <w:color w:val="auto"/>
          <w:sz w:val="32"/>
          <w:szCs w:val="32"/>
          <w:highlight w:val="auto"/>
        </w:rPr>
      </w:pPr>
      <w:bookmarkStart w:id="54" w:name="_Toc15377216"/>
      <w:bookmarkStart w:id="55" w:name="_Toc15377218"/>
      <w:bookmarkStart w:id="56" w:name="_Toc6719"/>
      <w:bookmarkStart w:id="57" w:name="_Toc111208506"/>
      <w:r>
        <w:rPr>
          <w:rFonts w:ascii="Times New Roman" w:eastAsia="楷体_GB2312" w:cs="楷体_GB2312" w:hAnsi="Times New Roman" w:hint="eastAsia"/>
          <w:b/>
          <w:color w:val="auto"/>
          <w:sz w:val="32"/>
          <w:szCs w:val="32"/>
          <w:highlight w:val="auto"/>
        </w:rPr>
        <w:t>（一）“三公”经费财政拨款支出决算总体情况说明</w:t>
      </w:r>
      <w:bookmarkEnd w:id="54"/>
    </w:p>
    <w:p>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ascii="仿宋_GB2312" w:eastAsia="仿宋_GB2312" w:cs="仿宋_GB2312" w:hint="eastAsia"/>
          <w:b/>
          <w:bCs/>
          <w:color w:val="auto"/>
          <w:kern w:val="2"/>
          <w:sz w:val="32"/>
          <w:szCs w:val="32"/>
          <w:lang w:val="en-US" w:eastAsia="zh-CN" w:bidi="ar-SA"/>
          <w:highlight w:val="auto"/>
        </w:rPr>
      </w:pPr>
      <w:r>
        <w:rPr>
          <w:rFonts w:eastAsia="仿宋_GB2312" w:cs="Times New Roman" w:hint="eastAsia"/>
          <w:color w:val="auto"/>
          <w:kern w:val="2"/>
          <w:sz w:val="32"/>
          <w:szCs w:val="32"/>
          <w:lang w:val="en-US" w:eastAsia="zh-CN" w:bidi="ar-SA"/>
          <w:highlight w:val="auto"/>
        </w:rPr>
        <w:t>2025年度</w:t>
      </w:r>
      <w:r>
        <w:rPr>
          <w:rFonts w:ascii="Times New Roman" w:eastAsia="仿宋_GB2312" w:cs="Times New Roman" w:hAnsi="Times New Roman"/>
          <w:color w:val="auto"/>
          <w:kern w:val="2"/>
          <w:sz w:val="32"/>
          <w:szCs w:val="32"/>
          <w:lang w:val="en-US" w:eastAsia="zh-CN" w:bidi="ar-SA"/>
          <w:highlight w:val="auto"/>
        </w:rPr>
        <w:t>“三公”经费财政拨款支出决算为</w:t>
      </w:r>
      <w:r>
        <w:rPr>
          <w:rFonts w:eastAsia="仿宋_GB2312" w:cs="Times New Roman" w:hint="eastAsia"/>
          <w:sz w:val="32"/>
          <w:szCs w:val="32"/>
          <w:lang w:val="en-US" w:eastAsia="zh-CN"/>
        </w:rPr>
        <w:t>14</w:t>
      </w:r>
      <w:r>
        <w:rPr>
          <w:rFonts w:ascii="Times New Roman" w:eastAsia="仿宋_GB2312" w:cs="Times New Roman" w:hAnsi="Times New Roman"/>
          <w:color w:val="auto"/>
          <w:kern w:val="2"/>
          <w:sz w:val="32"/>
          <w:szCs w:val="32"/>
          <w:lang w:val="en-US" w:eastAsia="zh-CN" w:bidi="ar-SA"/>
          <w:highlight w:val="auto"/>
        </w:rPr>
        <w:t>万元，完成预算</w:t>
      </w:r>
      <w:r>
        <w:rPr>
          <w:rFonts w:ascii="Times New Roman" w:eastAsia="仿宋_GB2312" w:cs="Times New Roman" w:hAnsi="Times New Roman"/>
          <w:sz w:val="32"/>
          <w:szCs w:val="32"/>
        </w:rPr>
        <w:t>100</w:t>
      </w:r>
      <w:r>
        <w:rPr>
          <w:rFonts w:ascii="Times New Roman" w:eastAsia="仿宋_GB2312" w:cs="Times New Roman" w:hAnsi="Times New Roman"/>
          <w:color w:val="auto"/>
          <w:kern w:val="2"/>
          <w:sz w:val="32"/>
          <w:szCs w:val="32"/>
          <w:lang w:val="en-US" w:eastAsia="zh-CN" w:bidi="ar-SA"/>
          <w:highlight w:val="auto"/>
        </w:rPr>
        <w:t>%，</w:t>
      </w:r>
      <w:r>
        <w:rPr>
          <w:rFonts w:eastAsia="仿宋_GB2312" w:cs="Times New Roman" w:hint="eastAsia"/>
          <w:color w:val="auto"/>
          <w:kern w:val="2"/>
          <w:sz w:val="32"/>
          <w:szCs w:val="32"/>
          <w:lang w:val="en-US" w:eastAsia="zh-CN" w:bidi="ar-SA"/>
          <w:highlight w:val="auto"/>
        </w:rPr>
        <w:t>与上年度相比</w:t>
      </w:r>
      <w:r>
        <w:rPr>
          <w:rFonts w:ascii="Times New Roman" w:eastAsia="仿宋_GB2312" w:cs="Times New Roman" w:hAnsi="Times New Roman"/>
          <w:color w:val="auto"/>
          <w:kern w:val="2"/>
          <w:sz w:val="32"/>
          <w:szCs w:val="32"/>
          <w:lang w:val="en-US" w:eastAsia="zh-CN" w:bidi="ar-SA"/>
          <w:highlight w:val="auto"/>
        </w:rPr>
        <w:t>增加</w:t>
      </w:r>
      <w:r>
        <w:rPr>
          <w:rFonts w:eastAsia="仿宋_GB2312" w:cs="Times New Roman" w:hint="eastAsia"/>
          <w:color w:val="auto"/>
          <w:kern w:val="2"/>
          <w:sz w:val="32"/>
          <w:szCs w:val="32"/>
          <w:lang w:val="en-US" w:eastAsia="zh-CN" w:bidi="ar-SA"/>
          <w:highlight w:val="auto"/>
        </w:rPr>
        <w:t>1.54万</w:t>
      </w:r>
      <w:r>
        <w:rPr>
          <w:rFonts w:ascii="Times New Roman" w:eastAsia="仿宋_GB2312" w:cs="Times New Roman" w:hAnsi="Times New Roman"/>
          <w:color w:val="auto"/>
          <w:kern w:val="2"/>
          <w:sz w:val="32"/>
          <w:szCs w:val="32"/>
          <w:lang w:val="en-US" w:eastAsia="zh-CN" w:bidi="ar-SA"/>
          <w:highlight w:val="auto"/>
        </w:rPr>
        <w:t>元，增长</w:t>
      </w:r>
      <w:r>
        <w:rPr>
          <w:rFonts w:eastAsia="仿宋_GB2312" w:cs="Times New Roman" w:hint="eastAsia"/>
          <w:color w:val="auto"/>
          <w:kern w:val="2"/>
          <w:sz w:val="32"/>
          <w:szCs w:val="32"/>
          <w:lang w:val="en-US" w:eastAsia="zh-CN" w:bidi="ar-SA"/>
          <w:highlight w:val="auto"/>
        </w:rPr>
        <w:t>12.36</w:t>
      </w:r>
      <w:r>
        <w:rPr>
          <w:rFonts w:ascii="Times New Roman" w:eastAsia="仿宋_GB2312" w:cs="Times New Roman" w:hAnsi="Times New Roman"/>
          <w:color w:val="auto"/>
          <w:kern w:val="2"/>
          <w:sz w:val="32"/>
          <w:szCs w:val="32"/>
          <w:lang w:val="en-US" w:eastAsia="zh-CN" w:bidi="ar-SA"/>
          <w:highlight w:val="auto"/>
        </w:rPr>
        <w:t>%。主要</w:t>
      </w:r>
      <w:r>
        <w:rPr>
          <w:rFonts w:eastAsia="仿宋_GB2312" w:cs="Times New Roman" w:hint="eastAsia"/>
          <w:color w:val="auto"/>
          <w:kern w:val="2"/>
          <w:sz w:val="32"/>
          <w:szCs w:val="32"/>
          <w:lang w:val="en-US" w:eastAsia="zh-CN" w:bidi="ar-SA"/>
          <w:highlight w:val="auto"/>
        </w:rPr>
        <w:t>原因是：</w:t>
      </w:r>
      <w:r>
        <w:rPr>
          <w:rFonts w:ascii="Times New Roman" w:eastAsia="仿宋_GB2312" w:cs="Times New Roman" w:hAnsi="Times New Roman"/>
          <w:color w:val="000000"/>
          <w:sz w:val="32"/>
          <w:szCs w:val="32"/>
        </w:rPr>
        <w:t>202</w:t>
      </w:r>
      <w:r>
        <w:rPr>
          <w:rFonts w:eastAsia="仿宋_GB2312" w:cs="Times New Roman" w:hint="eastAsia"/>
          <w:color w:val="000000"/>
          <w:sz w:val="32"/>
          <w:szCs w:val="32"/>
          <w:lang w:val="en-US" w:eastAsia="zh-CN"/>
        </w:rPr>
        <w:t>5</w:t>
      </w:r>
      <w:r>
        <w:rPr>
          <w:rFonts w:ascii="Times New Roman" w:eastAsia="仿宋_GB2312" w:cs="Times New Roman" w:hAnsi="Times New Roman"/>
          <w:color w:val="000000"/>
          <w:sz w:val="32"/>
          <w:szCs w:val="32"/>
        </w:rPr>
        <w:t>年公务用车</w:t>
      </w:r>
      <w:r>
        <w:rPr>
          <w:rFonts w:eastAsia="仿宋_GB2312" w:cs="Times New Roman" w:hint="eastAsia"/>
          <w:color w:val="000000"/>
          <w:sz w:val="32"/>
          <w:szCs w:val="32"/>
          <w:lang w:eastAsia="zh-CN"/>
        </w:rPr>
        <w:t>修车</w:t>
      </w:r>
      <w:r>
        <w:rPr>
          <w:rFonts w:ascii="Times New Roman" w:eastAsia="仿宋_GB2312" w:cs="Times New Roman" w:hAnsi="Times New Roman"/>
          <w:color w:val="000000"/>
          <w:sz w:val="32"/>
          <w:szCs w:val="32"/>
        </w:rPr>
        <w:t>费</w:t>
      </w:r>
      <w:r>
        <w:rPr>
          <w:rFonts w:eastAsia="仿宋_GB2312" w:cs="Times New Roman" w:hint="eastAsia"/>
          <w:color w:val="000000"/>
          <w:sz w:val="32"/>
          <w:szCs w:val="32"/>
          <w:lang w:eastAsia="zh-CN"/>
        </w:rPr>
        <w:t>、油费等</w:t>
      </w:r>
      <w:r>
        <w:rPr>
          <w:rFonts w:ascii="Times New Roman" w:eastAsia="仿宋_GB2312" w:cs="Times New Roman" w:hAnsi="Times New Roman"/>
          <w:color w:val="000000"/>
          <w:sz w:val="32"/>
          <w:szCs w:val="32"/>
        </w:rPr>
        <w:t>增加</w:t>
      </w:r>
      <w:r>
        <w:rPr>
          <w:rFonts w:ascii="Times New Roman" w:eastAsia="仿宋_GB2312" w:cs="Times New Roman" w:hAnsi="Times New Roman"/>
          <w:color w:val="000000"/>
          <w:sz w:val="32"/>
          <w:szCs w:val="32"/>
          <w:lang w:eastAsia="zh-CN"/>
        </w:rPr>
        <w:t>。</w:t>
      </w:r>
    </w:p>
    <w:p>
      <w:pPr>
        <w:pageBreakBefore w:val="0"/>
        <w:widowControl w:val="0"/>
        <w:kinsoku/>
        <w:wordWrap/>
        <w:overflowPunct/>
        <w:topLinePunct w:val="0"/>
        <w:autoSpaceDE/>
        <w:autoSpaceDN/>
        <w:bidi w:val="0"/>
        <w:adjustRightInd/>
        <w:snapToGrid/>
        <w:spacing w:line="576" w:lineRule="exact"/>
        <w:ind w:firstLineChars="200" w:firstLine="640"/>
        <w:outlineLvl w:val="2"/>
        <w:rPr>
          <w:rFonts w:ascii="Times New Roman" w:eastAsia="楷体_GB2312" w:cs="楷体_GB2312" w:hAnsi="Times New Roman" w:hint="eastAsia"/>
          <w:b/>
          <w:color w:val="auto"/>
          <w:sz w:val="32"/>
          <w:szCs w:val="32"/>
          <w:highlight w:val="auto"/>
        </w:rPr>
      </w:pPr>
      <w:bookmarkStart w:id="58" w:name="_Toc15377217"/>
      <w:r>
        <w:rPr>
          <w:rFonts w:ascii="Times New Roman" w:eastAsia="楷体_GB2312" w:cs="楷体_GB2312" w:hAnsi="Times New Roman" w:hint="eastAsia"/>
          <w:b/>
          <w:color w:val="auto"/>
          <w:sz w:val="32"/>
          <w:szCs w:val="32"/>
          <w:highlight w:val="auto"/>
        </w:rPr>
        <w:t>（二）“三公”经费财政拨款支出决算具体情况说明</w:t>
      </w:r>
      <w:bookmarkEnd w:id="58"/>
    </w:p>
    <w:p>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ascii="Times New Roman" w:eastAsia="仿宋_GB2312" w:cs="Times New Roman" w:hAnsi="Times New Roman"/>
          <w:color w:val="auto"/>
          <w:kern w:val="2"/>
          <w:sz w:val="32"/>
          <w:szCs w:val="32"/>
          <w:lang w:val="en-US" w:eastAsia="zh-CN" w:bidi="ar-SA"/>
          <w:highlight w:val="auto"/>
        </w:rPr>
      </w:pPr>
      <w:r>
        <w:rPr>
          <w:rFonts w:eastAsia="仿宋_GB2312" w:cs="Times New Roman" w:hint="eastAsia"/>
          <w:color w:val="auto"/>
          <w:kern w:val="2"/>
          <w:sz w:val="32"/>
          <w:szCs w:val="32"/>
          <w:lang w:val="en-US" w:eastAsia="zh-CN" w:bidi="ar-SA"/>
          <w:highlight w:val="auto"/>
        </w:rPr>
        <w:t>2025年度</w:t>
      </w:r>
      <w:r>
        <w:rPr>
          <w:rFonts w:ascii="Times New Roman" w:eastAsia="仿宋_GB2312" w:cs="Times New Roman" w:hAnsi="Times New Roman"/>
          <w:color w:val="auto"/>
          <w:kern w:val="2"/>
          <w:sz w:val="32"/>
          <w:szCs w:val="32"/>
          <w:lang w:val="en-US" w:eastAsia="zh-CN" w:bidi="ar-SA"/>
          <w:highlight w:val="auto"/>
        </w:rPr>
        <w:t>“三公”经费财政拨款支出</w:t>
      </w:r>
      <w:r>
        <w:rPr>
          <w:rFonts w:eastAsia="仿宋_GB2312" w:cs="Times New Roman" w:hint="eastAsia"/>
          <w:color w:val="auto"/>
          <w:kern w:val="2"/>
          <w:sz w:val="32"/>
          <w:szCs w:val="32"/>
          <w:lang w:val="en-US" w:eastAsia="zh-CN" w:bidi="ar-SA"/>
          <w:highlight w:val="auto"/>
        </w:rPr>
        <w:t>14</w:t>
      </w:r>
      <w:r>
        <w:rPr>
          <w:rFonts w:ascii="Times New Roman" w:eastAsia="仿宋_GB2312" w:cs="Times New Roman" w:hAnsi="Times New Roman"/>
          <w:color w:val="auto"/>
          <w:kern w:val="2"/>
          <w:sz w:val="32"/>
          <w:szCs w:val="32"/>
          <w:lang w:val="en-US" w:eastAsia="zh-CN" w:bidi="ar-SA"/>
          <w:highlight w:val="auto"/>
        </w:rPr>
        <w:t>万元，因公出国（境）费支出决算0万元，占0%；公务用车购置及运行维护费支出决算</w:t>
      </w:r>
      <w:r>
        <w:rPr>
          <w:rFonts w:eastAsia="仿宋_GB2312" w:cs="Times New Roman" w:hint="eastAsia"/>
          <w:color w:val="auto"/>
          <w:kern w:val="2"/>
          <w:sz w:val="32"/>
          <w:szCs w:val="32"/>
          <w:lang w:val="en-US" w:eastAsia="zh-CN" w:bidi="ar-SA"/>
          <w:highlight w:val="auto"/>
        </w:rPr>
        <w:t>14</w:t>
      </w:r>
      <w:r>
        <w:rPr>
          <w:rFonts w:ascii="Times New Roman" w:eastAsia="仿宋_GB2312" w:cs="Times New Roman" w:hAnsi="Times New Roman"/>
          <w:color w:val="auto"/>
          <w:kern w:val="2"/>
          <w:sz w:val="32"/>
          <w:szCs w:val="32"/>
          <w:lang w:val="en-US" w:eastAsia="zh-CN" w:bidi="ar-SA"/>
          <w:highlight w:val="auto"/>
        </w:rPr>
        <w:t>万元，占100%；公务接待费支出决算0万元，占0%。具体情况如下：</w:t>
      </w:r>
    </w:p>
    <w:p>
      <w:pPr>
        <w:pStyle w:val="15"/>
        <w:jc w:val="center"/>
        <w:rPr>
          <w:rFonts w:ascii="Times New Roman" w:eastAsia="仿宋_GB2312" w:cs="Times New Roman"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drawing>
          <wp:anchor distT="0" distB="0" distL="114300" distR="114300" simplePos="0" relativeHeight="40" behindDoc="0" locked="0" layoutInCell="1" hidden="0" allowOverlap="1">
            <wp:simplePos x="0" y="0"/>
            <wp:positionH relativeFrom="column">
              <wp:posOffset>252095</wp:posOffset>
            </wp:positionH>
            <wp:positionV relativeFrom="paragraph">
              <wp:posOffset>213360</wp:posOffset>
            </wp:positionV>
            <wp:extent cx="5256530" cy="3184525"/>
            <wp:effectExtent l="0" t="0" r="0" b="0"/>
            <wp:wrapNone/>
            <wp:docPr id="22" name="图表 1"/>
            <wp:cNvGraphicFramePr>
              <a:graphicFrameLocks noChangeAspect="0"/>
            </wp:cNvGraphicFramePr>
            <a:graphic>
              <a:graphicData uri="http://schemas.openxmlformats.org/drawingml/2006/chart">
                <c:chart xmlns:c="http://schemas.openxmlformats.org/drawingml/2006/chart" r:id="rId13"/>
              </a:graphicData>
            </a:graphic>
          </wp:anchor>
        </w:drawing>
      </w:r>
    </w:p>
    <w:p>
      <w:pPr>
        <w:rPr>
          <w:rFonts w:ascii="Times New Roman" w:eastAsia="仿宋_GB2312" w:cs="Times New Roman" w:hAnsi="Times New Roman"/>
          <w:color w:val="auto"/>
          <w:kern w:val="2"/>
          <w:sz w:val="32"/>
          <w:szCs w:val="32"/>
          <w:lang w:val="en-US" w:eastAsia="zh-CN" w:bidi="ar-SA"/>
          <w:highlight w:val="auto"/>
        </w:rPr>
      </w:pPr>
    </w:p>
    <w:p>
      <w:pPr>
        <w:pStyle w:val="15"/>
        <w:rPr>
          <w:lang w:val="en-US" w:eastAsia="zh-CN"/>
        </w:rPr>
      </w:pPr>
    </w:p>
    <w:p>
      <w:pPr>
        <w:rPr>
          <w:sz w:val="15"/>
          <w:szCs w:val="15"/>
          <w:lang w:val="en-US" w:eastAsia="zh-CN"/>
        </w:rPr>
      </w:pPr>
    </w:p>
    <w:p>
      <w:pPr>
        <w:pStyle w:val="15"/>
        <w:rPr>
          <w:rFonts w:hint="eastAsia"/>
          <w:lang w:val="en-US" w:eastAsia="zh-CN"/>
        </w:rPr>
      </w:pPr>
    </w:p>
    <w:p>
      <w:pPr>
        <w:pageBreakBefore w:val="0"/>
        <w:widowControl w:val="0"/>
        <w:kinsoku/>
        <w:wordWrap/>
        <w:overflowPunct/>
        <w:topLinePunct w:val="0"/>
        <w:autoSpaceDE/>
        <w:autoSpaceDN/>
        <w:bidi w:val="0"/>
        <w:adjustRightInd/>
        <w:snapToGrid/>
        <w:spacing w:line="576" w:lineRule="exact"/>
        <w:jc w:val="both"/>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firstLine="640"/>
        <w:textAlignment w:val="auto"/>
        <w:rPr>
          <w:rFonts w:ascii="Times New Roman" w:eastAsia="仿宋_GB2312" w:cs="Times New Roman" w:hAnsi="Times New Roman" w:hint="eastAsia"/>
          <w:color w:val="000000"/>
          <w:sz w:val="32"/>
          <w:szCs w:val="32"/>
          <w:lang w:eastAsia="zh-CN"/>
        </w:rPr>
      </w:pPr>
      <w:r>
        <w:rPr>
          <w:rFonts w:ascii="Times New Roman" w:eastAsia="仿宋_GB2312" w:cs="Times New Roman" w:hAnsi="Times New Roman"/>
          <w:b/>
          <w:bCs/>
          <w:color w:val="auto"/>
          <w:kern w:val="2"/>
          <w:sz w:val="32"/>
          <w:szCs w:val="32"/>
          <w:lang w:val="en-US" w:eastAsia="zh-CN" w:bidi="ar-SA"/>
          <w:highlight w:val="auto"/>
        </w:rPr>
        <w:t>1.</w:t>
      </w:r>
      <w:r>
        <w:rPr>
          <w:rFonts w:ascii="Times New Roman" w:eastAsia="仿宋_GB2312" w:cs="Times New Roman" w:hAnsi="Times New Roman"/>
          <w:b/>
          <w:bCs/>
          <w:color w:val="000000"/>
          <w:sz w:val="32"/>
          <w:szCs w:val="32"/>
        </w:rPr>
        <w:t>因公出国（境）经费支出</w:t>
      </w:r>
      <w:r>
        <w:rPr>
          <w:rFonts w:ascii="Times New Roman" w:eastAsia="仿宋_GB2312" w:cs="Times New Roman" w:hAnsi="Times New Roman"/>
          <w:b/>
          <w:bCs/>
          <w:color w:val="000000"/>
          <w:sz w:val="32"/>
          <w:szCs w:val="32"/>
          <w:lang w:eastAsia="zh-CN"/>
        </w:rPr>
        <w:t>0万元</w:t>
      </w:r>
      <w:r>
        <w:rPr>
          <w:rFonts w:ascii="仿宋" w:eastAsia="仿宋" w:cs="仿宋" w:hint="eastAsia"/>
          <w:b/>
          <w:bCs/>
          <w:color w:val="auto"/>
          <w:kern w:val="2"/>
          <w:sz w:val="32"/>
          <w:szCs w:val="32"/>
          <w:lang w:val="en-US" w:eastAsia="zh-CN" w:bidi="ar-SA"/>
          <w:highlight w:val="auto"/>
        </w:rPr>
        <w:t>，完成预算0%。</w:t>
      </w:r>
      <w:r>
        <w:rPr>
          <w:rFonts w:ascii="Times New Roman" w:eastAsia="仿宋_GB2312" w:cs="Times New Roman" w:hAnsi="Times New Roman"/>
          <w:color w:val="auto"/>
          <w:kern w:val="2"/>
          <w:sz w:val="32"/>
          <w:szCs w:val="32"/>
          <w:lang w:val="en-US" w:eastAsia="zh-CN" w:bidi="ar-SA"/>
          <w:highlight w:val="auto"/>
        </w:rPr>
        <w:t>全年安排因公出国（境）团组0次，出国（境）0人。</w:t>
      </w:r>
    </w:p>
    <w:p>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ascii="Times New Roman" w:eastAsia="仿宋_GB2312" w:cs="Times New Roman" w:hAnsi="Times New Roman" w:hint="eastAsia"/>
          <w:color w:val="000000"/>
          <w:sz w:val="32"/>
          <w:szCs w:val="32"/>
          <w:lang w:eastAsia="zh-CN"/>
        </w:rPr>
      </w:pPr>
      <w:r>
        <w:rPr>
          <w:rFonts w:ascii="Times New Roman" w:eastAsia="仿宋_GB2312" w:cs="Times New Roman" w:hAnsi="Times New Roman"/>
          <w:b/>
          <w:bCs/>
          <w:color w:val="auto"/>
          <w:kern w:val="2"/>
          <w:sz w:val="32"/>
          <w:szCs w:val="32"/>
          <w:lang w:val="en-US" w:eastAsia="zh-CN" w:bidi="ar-SA"/>
          <w:highlight w:val="auto"/>
        </w:rPr>
        <w:t>2.公务用车购置及运行维护费支出</w:t>
      </w:r>
      <w:r>
        <w:rPr>
          <w:rFonts w:eastAsia="仿宋_GB2312" w:cs="Times New Roman" w:hint="eastAsia"/>
          <w:b/>
          <w:bCs/>
          <w:color w:val="auto"/>
          <w:kern w:val="2"/>
          <w:sz w:val="32"/>
          <w:szCs w:val="32"/>
          <w:lang w:val="en-US" w:eastAsia="zh-CN" w:bidi="ar-SA"/>
          <w:highlight w:val="auto"/>
        </w:rPr>
        <w:t>14</w:t>
      </w:r>
      <w:r>
        <w:rPr>
          <w:rFonts w:ascii="Times New Roman" w:eastAsia="仿宋_GB2312" w:cs="Times New Roman" w:hAnsi="Times New Roman"/>
          <w:b/>
          <w:bCs/>
          <w:color w:val="auto"/>
          <w:kern w:val="2"/>
          <w:sz w:val="32"/>
          <w:szCs w:val="32"/>
          <w:lang w:val="en-US" w:eastAsia="zh-CN" w:bidi="ar-SA"/>
          <w:highlight w:val="auto"/>
        </w:rPr>
        <w:t>万元，完成预算100%。</w:t>
      </w:r>
      <w:r>
        <w:rPr>
          <w:rFonts w:ascii="Times New Roman" w:eastAsia="仿宋_GB2312" w:cs="Times New Roman" w:hAnsi="Times New Roman"/>
          <w:color w:val="000000"/>
          <w:sz w:val="32"/>
          <w:u w:color="auto"/>
        </w:rPr>
        <w:t>公务用车购置及运行维护费支出决算</w:t>
      </w:r>
      <w:r>
        <w:rPr>
          <w:rFonts w:eastAsia="仿宋_GB2312" w:cs="Times New Roman" w:hint="eastAsia"/>
          <w:color w:val="000000"/>
          <w:sz w:val="32"/>
          <w:szCs w:val="32"/>
          <w:lang w:eastAsia="zh-CN"/>
        </w:rPr>
        <w:t>与</w:t>
      </w:r>
      <w:r>
        <w:rPr>
          <w:rFonts w:eastAsia="仿宋_GB2312" w:cs="Times New Roman" w:hint="eastAsia"/>
          <w:color w:val="000000"/>
          <w:sz w:val="32"/>
          <w:u w:color="auto"/>
          <w:lang w:eastAsia="zh-CN"/>
        </w:rPr>
        <w:t>2024年度</w:t>
      </w:r>
      <w:r>
        <w:rPr>
          <w:rFonts w:eastAsia="仿宋_GB2312" w:cs="Times New Roman" w:hint="eastAsia"/>
          <w:color w:val="000000"/>
          <w:sz w:val="32"/>
          <w:szCs w:val="32"/>
          <w:lang w:eastAsia="zh-CN"/>
        </w:rPr>
        <w:t>相比</w:t>
      </w:r>
      <w:r>
        <w:rPr>
          <w:rFonts w:ascii="Times New Roman" w:eastAsia="仿宋_GB2312" w:cs="Times New Roman" w:hAnsi="Times New Roman"/>
          <w:color w:val="000000"/>
          <w:sz w:val="32"/>
          <w:szCs w:val="32"/>
        </w:rPr>
        <w:t>增加</w:t>
      </w:r>
      <w:r>
        <w:rPr>
          <w:rFonts w:eastAsia="仿宋_GB2312" w:cs="Times New Roman" w:hint="eastAsia"/>
          <w:color w:val="000000"/>
          <w:sz w:val="32"/>
          <w:szCs w:val="32"/>
          <w:lang w:val="en-US" w:eastAsia="zh-CN"/>
        </w:rPr>
        <w:t>1.54</w:t>
      </w:r>
      <w:r>
        <w:rPr>
          <w:rFonts w:ascii="Times New Roman" w:eastAsia="仿宋_GB2312" w:cs="Times New Roman" w:hAnsi="Times New Roman"/>
          <w:color w:val="000000"/>
          <w:sz w:val="32"/>
          <w:u w:color="auto"/>
        </w:rPr>
        <w:t>万元，增长</w:t>
      </w:r>
      <w:r>
        <w:rPr>
          <w:rFonts w:eastAsia="仿宋_GB2312" w:cs="Times New Roman" w:hint="eastAsia"/>
          <w:color w:val="000000"/>
          <w:sz w:val="32"/>
          <w:u w:color="auto"/>
          <w:lang w:val="en-US" w:eastAsia="zh-CN"/>
        </w:rPr>
        <w:t>12.36</w:t>
      </w:r>
      <w:r>
        <w:rPr>
          <w:rFonts w:ascii="Times New Roman" w:eastAsia="仿宋_GB2312" w:cs="Times New Roman" w:hAnsi="Times New Roman"/>
          <w:color w:val="000000"/>
          <w:sz w:val="32"/>
          <w:u w:color="auto"/>
        </w:rPr>
        <w:t>%。</w:t>
      </w:r>
      <w:r>
        <w:rPr>
          <w:rFonts w:ascii="Times New Roman" w:eastAsia="仿宋_GB2312" w:cs="Times New Roman" w:hAnsi="Times New Roman"/>
          <w:color w:val="auto"/>
          <w:kern w:val="2"/>
          <w:sz w:val="32"/>
          <w:szCs w:val="32"/>
          <w:lang w:val="en-US" w:eastAsia="zh-CN" w:bidi="ar-SA"/>
          <w:highlight w:val="auto"/>
        </w:rPr>
        <w:t>主要</w:t>
      </w:r>
      <w:r>
        <w:rPr>
          <w:rFonts w:eastAsia="仿宋_GB2312" w:cs="Times New Roman" w:hint="eastAsia"/>
          <w:color w:val="auto"/>
          <w:kern w:val="2"/>
          <w:sz w:val="32"/>
          <w:szCs w:val="32"/>
          <w:lang w:val="en-US" w:eastAsia="zh-CN" w:bidi="ar-SA"/>
          <w:highlight w:val="auto"/>
        </w:rPr>
        <w:t>原因是：</w:t>
      </w:r>
      <w:r>
        <w:rPr>
          <w:rFonts w:ascii="Times New Roman" w:eastAsia="仿宋_GB2312" w:cs="Times New Roman" w:hAnsi="Times New Roman" w:hint="eastAsia"/>
          <w:color w:val="000000"/>
          <w:sz w:val="32"/>
          <w:szCs w:val="32"/>
          <w:lang w:eastAsia="zh-CN"/>
        </w:rPr>
        <w:t>202</w:t>
      </w:r>
      <w:r>
        <w:rPr>
          <w:rFonts w:eastAsia="仿宋_GB2312" w:cs="Times New Roman" w:hint="eastAsia"/>
          <w:color w:val="000000"/>
          <w:sz w:val="32"/>
          <w:szCs w:val="32"/>
          <w:lang w:val="en-US" w:eastAsia="zh-CN"/>
        </w:rPr>
        <w:t>5</w:t>
      </w:r>
      <w:r>
        <w:rPr>
          <w:rFonts w:ascii="Times New Roman" w:eastAsia="仿宋_GB2312" w:cs="Times New Roman" w:hAnsi="Times New Roman" w:hint="eastAsia"/>
          <w:color w:val="000000"/>
          <w:sz w:val="32"/>
          <w:szCs w:val="32"/>
          <w:lang w:eastAsia="zh-CN"/>
        </w:rPr>
        <w:t>年公务用车</w:t>
      </w:r>
      <w:r>
        <w:rPr>
          <w:rFonts w:eastAsia="仿宋_GB2312" w:cs="Times New Roman" w:hint="eastAsia"/>
          <w:color w:val="000000"/>
          <w:sz w:val="32"/>
          <w:szCs w:val="32"/>
          <w:lang w:eastAsia="zh-CN"/>
        </w:rPr>
        <w:t>修车费</w:t>
      </w:r>
      <w:r>
        <w:rPr>
          <w:rFonts w:ascii="Times New Roman" w:eastAsia="仿宋_GB2312" w:cs="Times New Roman" w:hAnsi="Times New Roman" w:hint="eastAsia"/>
          <w:color w:val="000000"/>
          <w:sz w:val="32"/>
          <w:szCs w:val="32"/>
          <w:lang w:eastAsia="zh-CN"/>
        </w:rPr>
        <w:t>、油费等增加。</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both"/>
        <w:textAlignment w:val="auto"/>
        <w:rPr>
          <w:rFonts w:eastAsia="仿宋_GB2312" w:cs="Times New Roman" w:hint="eastAsia"/>
          <w:color w:val="000000"/>
          <w:sz w:val="32"/>
          <w:szCs w:val="32"/>
          <w:lang w:val="en-US" w:eastAsia="zh-CN"/>
        </w:rPr>
      </w:pPr>
      <w:r>
        <w:rPr>
          <w:rFonts w:ascii="Times New Roman" w:eastAsia="仿宋_GB2312" w:cs="Times New Roman" w:hAnsi="Times New Roman"/>
          <w:color w:val="000000"/>
          <w:sz w:val="32"/>
          <w:szCs w:val="32"/>
        </w:rPr>
        <w:t>截至202</w:t>
      </w:r>
      <w:r>
        <w:rPr>
          <w:rFonts w:eastAsia="仿宋_GB2312" w:cs="Times New Roman" w:hint="eastAsia"/>
          <w:color w:val="000000"/>
          <w:sz w:val="32"/>
          <w:szCs w:val="32"/>
          <w:lang w:val="en-US" w:eastAsia="zh-CN"/>
        </w:rPr>
        <w:t>5</w:t>
      </w:r>
      <w:r>
        <w:rPr>
          <w:rFonts w:ascii="Times New Roman" w:eastAsia="仿宋_GB2312" w:cs="Times New Roman" w:hAnsi="Times New Roman"/>
          <w:color w:val="000000"/>
          <w:sz w:val="32"/>
          <w:szCs w:val="32"/>
        </w:rPr>
        <w:t>年12月</w:t>
      </w:r>
      <w:r>
        <w:rPr>
          <w:rFonts w:ascii="Times New Roman" w:eastAsia="仿宋_GB2312" w:cs="Times New Roman" w:hAnsi="Times New Roman"/>
          <w:color w:val="000000"/>
          <w:sz w:val="32"/>
          <w:szCs w:val="32"/>
          <w:lang w:val="en-US" w:eastAsia="zh-CN"/>
        </w:rPr>
        <w:t>31日</w:t>
      </w:r>
      <w:r>
        <w:rPr>
          <w:rFonts w:ascii="Times New Roman" w:eastAsia="仿宋_GB2312" w:cs="Times New Roman" w:hAnsi="Times New Roman"/>
          <w:color w:val="000000"/>
          <w:sz w:val="32"/>
          <w:szCs w:val="32"/>
        </w:rPr>
        <w:t>，单位共有公务用车2辆，其中：轿车1辆、越野车0辆、载客汽车0辆</w:t>
      </w:r>
      <w:r>
        <w:rPr>
          <w:rFonts w:ascii="Times New Roman" w:eastAsia="仿宋_GB2312" w:cs="Times New Roman" w:hAnsi="Times New Roman"/>
          <w:color w:val="000000"/>
          <w:sz w:val="32"/>
          <w:szCs w:val="32"/>
          <w:lang w:eastAsia="zh-CN"/>
        </w:rPr>
        <w:t>、其他车型</w:t>
      </w:r>
      <w:r>
        <w:rPr>
          <w:rFonts w:ascii="Times New Roman" w:eastAsia="仿宋_GB2312" w:cs="Times New Roman" w:hAnsi="Times New Roman"/>
          <w:color w:val="000000"/>
          <w:sz w:val="32"/>
          <w:szCs w:val="32"/>
          <w:lang w:val="en-US" w:eastAsia="zh-CN"/>
        </w:rPr>
        <w:t>1辆</w:t>
      </w:r>
      <w:r>
        <w:rPr>
          <w:rFonts w:eastAsia="仿宋_GB2312" w:cs="Times New Roman" w:hint="eastAsia"/>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both"/>
        <w:textAlignment w:val="auto"/>
        <w:rPr>
          <w:rFonts w:ascii="Times New Roman" w:eastAsia="仿宋_GB2312" w:cs="Times New Roman" w:hAnsi="Times New Roman"/>
          <w:color w:val="000000"/>
          <w:sz w:val="32"/>
          <w:u w:color="auto"/>
        </w:rPr>
      </w:pPr>
      <w:r>
        <w:rPr>
          <w:rFonts w:ascii="Times New Roman" w:eastAsia="仿宋_GB2312" w:cs="Times New Roman" w:hAnsi="Times New Roman"/>
          <w:b/>
          <w:bCs/>
          <w:color w:val="000000"/>
          <w:sz w:val="32"/>
          <w:szCs w:val="32"/>
        </w:rPr>
        <w:t>公务用车运行维护费支出</w:t>
      </w:r>
      <w:r>
        <w:rPr>
          <w:rFonts w:eastAsia="仿宋_GB2312" w:cs="Times New Roman" w:hint="eastAsia"/>
          <w:b/>
          <w:bCs/>
          <w:sz w:val="32"/>
          <w:szCs w:val="32"/>
          <w:lang w:val="en-US" w:eastAsia="zh-CN"/>
        </w:rPr>
        <w:t>14</w:t>
      </w:r>
      <w:r>
        <w:rPr>
          <w:rFonts w:ascii="Times New Roman" w:eastAsia="仿宋_GB2312" w:cs="Times New Roman" w:hAnsi="Times New Roman"/>
          <w:b/>
          <w:bCs/>
          <w:color w:val="auto"/>
          <w:kern w:val="2"/>
          <w:sz w:val="32"/>
          <w:szCs w:val="32"/>
          <w:lang w:val="en-US" w:eastAsia="zh-CN" w:bidi="ar-SA"/>
          <w:highlight w:val="auto"/>
        </w:rPr>
        <w:t>万元</w:t>
      </w:r>
      <w:r>
        <w:rPr>
          <w:rFonts w:ascii="Times New Roman" w:eastAsia="仿宋_GB2312" w:cs="Times New Roman" w:hAnsi="Times New Roman" w:hint="eastAsia"/>
          <w:color w:val="000000"/>
          <w:sz w:val="32"/>
          <w:u w:color="auto"/>
          <w:lang w:eastAsia="zh-CN"/>
        </w:rPr>
        <w:t>，</w:t>
      </w:r>
      <w:r>
        <w:rPr>
          <w:rFonts w:ascii="Times New Roman" w:eastAsia="仿宋_GB2312" w:cs="Times New Roman" w:hAnsi="Times New Roman"/>
          <w:color w:val="000000"/>
          <w:sz w:val="32"/>
          <w:u w:color="auto"/>
        </w:rPr>
        <w:t>主要用于我镇202</w:t>
      </w:r>
      <w:r>
        <w:rPr>
          <w:rFonts w:eastAsia="仿宋_GB2312" w:cs="Times New Roman" w:hint="eastAsia"/>
          <w:color w:val="000000"/>
          <w:sz w:val="32"/>
          <w:u w:color="auto"/>
          <w:lang w:val="en-US" w:eastAsia="zh-CN"/>
        </w:rPr>
        <w:t>5</w:t>
      </w:r>
      <w:r>
        <w:rPr>
          <w:rFonts w:ascii="Times New Roman" w:eastAsia="仿宋_GB2312" w:cs="Times New Roman" w:hAnsi="Times New Roman"/>
          <w:color w:val="000000"/>
          <w:sz w:val="32"/>
          <w:u w:color="auto"/>
        </w:rPr>
        <w:t>年</w:t>
      </w:r>
      <w:r>
        <w:rPr>
          <w:rFonts w:ascii="Times New Roman" w:eastAsia="仿宋_GB2312" w:cs="Times New Roman" w:hAnsi="Times New Roman"/>
          <w:color w:val="000000"/>
          <w:sz w:val="32"/>
          <w:u w:color="auto"/>
          <w:lang w:eastAsia="zh-CN"/>
        </w:rPr>
        <w:t>下村开展各项工作所需</w:t>
      </w:r>
      <w:r>
        <w:rPr>
          <w:rFonts w:ascii="Times New Roman" w:eastAsia="仿宋_GB2312" w:cs="Times New Roman" w:hAnsi="Times New Roman"/>
          <w:color w:val="000000"/>
          <w:sz w:val="32"/>
          <w:u w:color="auto"/>
        </w:rPr>
        <w:t>的公务用车燃料费、维修费、过路费、保险费等支出</w:t>
      </w:r>
      <w:r>
        <w:rPr>
          <w:rFonts w:ascii="Times New Roman" w:eastAsia="仿宋_GB2312" w:cs="Times New Roman" w:hAnsi="Times New Roman"/>
          <w:color w:val="000000"/>
          <w:sz w:val="32"/>
          <w:u w:color="auto"/>
          <w:lang w:eastAsia="zh-CN"/>
        </w:rPr>
        <w:t>。</w:t>
      </w:r>
      <w:r>
        <w:rPr>
          <w:rFonts w:ascii="Times New Roman" w:eastAsia="仿宋_GB2312" w:cs="Times New Roman" w:hAnsi="Times New Roman"/>
          <w:color w:val="000000"/>
          <w:sz w:val="32"/>
          <w:u w:color="auto"/>
        </w:rPr>
        <w:t xml:space="preserve"> </w:t>
      </w: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ascii="Times New Roman" w:eastAsia="仿宋_GB2312" w:cs="Times New Roman" w:hAnsi="Times New Roman"/>
          <w:color w:val="000000"/>
          <w:sz w:val="32"/>
          <w:szCs w:val="32"/>
        </w:rPr>
      </w:pPr>
      <w:r>
        <w:rPr>
          <w:rFonts w:ascii="Times New Roman" w:eastAsia="仿宋_GB2312" w:cs="Times New Roman" w:hAnsi="Times New Roman"/>
          <w:b/>
          <w:bCs/>
          <w:color w:val="auto"/>
          <w:kern w:val="2"/>
          <w:sz w:val="32"/>
          <w:szCs w:val="32"/>
          <w:lang w:val="en-US" w:eastAsia="zh-CN" w:bidi="ar-SA"/>
          <w:highlight w:val="auto"/>
        </w:rPr>
        <w:t>3.公务接待费支出0万元</w:t>
      </w:r>
      <w:r>
        <w:rPr>
          <w:rFonts w:ascii="仿宋" w:eastAsia="仿宋" w:cs="仿宋" w:hint="eastAsia"/>
          <w:b/>
          <w:bCs/>
          <w:color w:val="auto"/>
          <w:kern w:val="2"/>
          <w:sz w:val="32"/>
          <w:szCs w:val="32"/>
          <w:lang w:val="en-US" w:eastAsia="zh-CN" w:bidi="ar-SA"/>
          <w:highlight w:val="auto"/>
        </w:rPr>
        <w:t>，完成预算0%。</w:t>
      </w:r>
      <w:r>
        <w:rPr>
          <w:rFonts w:ascii="Times New Roman" w:eastAsia="仿宋_GB2312" w:cs="Times New Roman" w:hAnsi="Times New Roman"/>
          <w:color w:val="000000"/>
          <w:sz w:val="32"/>
          <w:szCs w:val="32"/>
        </w:rPr>
        <w:t>其中：</w:t>
      </w:r>
    </w:p>
    <w:p>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国内公务接待支出</w:t>
      </w:r>
      <w:r>
        <w:rPr>
          <w:rFonts w:ascii="Times New Roman" w:eastAsia="仿宋_GB2312" w:cs="Times New Roman" w:hAnsi="Times New Roman"/>
          <w:color w:val="000000"/>
          <w:sz w:val="32"/>
          <w:szCs w:val="32"/>
          <w:lang w:eastAsia="zh-CN"/>
        </w:rPr>
        <w:t>0万元</w:t>
      </w:r>
      <w:r>
        <w:rPr>
          <w:rFonts w:ascii="Times New Roman" w:eastAsia="仿宋_GB2312" w:cs="Times New Roman" w:hAnsi="Times New Roman"/>
          <w:color w:val="000000"/>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ascii="Times New Roman" w:eastAsia="仿宋_GB2312" w:cs="Times New Roman" w:hAnsi="Times New Roman"/>
          <w:color w:val="000000"/>
          <w:sz w:val="32"/>
          <w:u w:color="auto"/>
        </w:rPr>
      </w:pPr>
      <w:r>
        <w:rPr>
          <w:rFonts w:ascii="Times New Roman" w:eastAsia="仿宋_GB2312" w:cs="Times New Roman" w:hAnsi="Times New Roman"/>
          <w:color w:val="000000"/>
          <w:sz w:val="32"/>
          <w:szCs w:val="32"/>
        </w:rPr>
        <w:t>外事接待支出</w:t>
      </w:r>
      <w:r>
        <w:rPr>
          <w:rFonts w:ascii="Times New Roman" w:eastAsia="仿宋_GB2312" w:cs="Times New Roman" w:hAnsi="Times New Roman"/>
          <w:color w:val="000000"/>
          <w:sz w:val="32"/>
          <w:szCs w:val="32"/>
          <w:lang w:eastAsia="zh-CN"/>
        </w:rPr>
        <w:t>0万元</w:t>
      </w:r>
      <w:r>
        <w:rPr>
          <w:rFonts w:ascii="Times New Roman" w:eastAsia="仿宋_GB2312" w:cs="Times New Roman" w:hAnsi="Times New Roman" w:hint="eastAsia"/>
          <w:color w:val="000000"/>
          <w:sz w:val="32"/>
          <w:szCs w:val="32"/>
          <w:lang w:eastAsia="zh-CN"/>
        </w:rPr>
        <w:t>。</w:t>
      </w:r>
    </w:p>
    <w:p>
      <w:pPr>
        <w:pageBreakBefore w:val="0"/>
        <w:widowControl w:val="0"/>
        <w:kinsoku/>
        <w:wordWrap/>
        <w:overflowPunct/>
        <w:topLinePunct w:val="0"/>
        <w:autoSpaceDE/>
        <w:autoSpaceDN/>
        <w:bidi w:val="0"/>
        <w:spacing w:line="576" w:lineRule="exact"/>
        <w:ind w:firstLine="640"/>
        <w:outlineLvl w:val="1"/>
        <w:rPr>
          <w:rFonts w:ascii="黑体" w:eastAsia="黑体" w:cs="黑体" w:hint="eastAsia"/>
          <w:b w:val="0"/>
          <w:bCs/>
          <w:color w:val="000000"/>
          <w:sz w:val="32"/>
          <w:szCs w:val="32"/>
        </w:rPr>
      </w:pPr>
      <w:r>
        <w:rPr>
          <w:rFonts w:ascii="黑体" w:eastAsia="黑体" w:cs="黑体" w:hint="eastAsia"/>
          <w:b w:val="0"/>
          <w:bCs/>
          <w:color w:val="000000"/>
          <w:sz w:val="32"/>
          <w:szCs w:val="32"/>
        </w:rPr>
        <w:t>八、政府性基金预算支出决算情况说明</w:t>
      </w:r>
      <w:bookmarkEnd w:id="55"/>
      <w:bookmarkEnd w:id="56"/>
      <w:bookmarkEnd w:id="57"/>
    </w:p>
    <w:p>
      <w:pPr>
        <w:pageBreakBefore w:val="0"/>
        <w:widowControl w:val="0"/>
        <w:kinsoku/>
        <w:wordWrap/>
        <w:overflowPunct/>
        <w:topLinePunct w:val="0"/>
        <w:autoSpaceDE/>
        <w:autoSpaceDN/>
        <w:bidi w:val="0"/>
        <w:adjustRightInd/>
        <w:snapToGrid/>
        <w:spacing w:line="576" w:lineRule="exact"/>
        <w:ind w:firstLine="640"/>
        <w:rPr>
          <w:rFonts w:ascii="Times New Roman" w:eastAsia="仿宋_GB2312" w:cs="Times New Roman" w:hAnsi="Times New Roman"/>
          <w:color w:val="auto"/>
          <w:kern w:val="2"/>
          <w:sz w:val="32"/>
          <w:szCs w:val="32"/>
          <w:lang w:val="en-US" w:eastAsia="zh-CN" w:bidi="ar-SA"/>
          <w:highlight w:val="auto"/>
        </w:rPr>
      </w:pPr>
      <w:bookmarkStart w:id="59" w:name="_Toc20684"/>
      <w:bookmarkStart w:id="60" w:name="_Toc111208507"/>
      <w:bookmarkStart w:id="61" w:name="_Toc15377219"/>
      <w:r>
        <w:rPr>
          <w:rFonts w:eastAsia="仿宋_GB2312" w:cs="Times New Roman" w:hint="eastAsia"/>
          <w:color w:val="auto"/>
          <w:kern w:val="2"/>
          <w:sz w:val="32"/>
          <w:szCs w:val="32"/>
          <w:lang w:val="en-US" w:eastAsia="zh-CN" w:bidi="ar-SA"/>
          <w:highlight w:val="auto"/>
        </w:rPr>
        <w:t>2025年度</w:t>
      </w:r>
      <w:r>
        <w:rPr>
          <w:rFonts w:ascii="Times New Roman" w:eastAsia="仿宋_GB2312" w:cs="Times New Roman" w:hAnsi="Times New Roman"/>
          <w:color w:val="auto"/>
          <w:kern w:val="2"/>
          <w:sz w:val="32"/>
          <w:szCs w:val="32"/>
          <w:lang w:val="en-US" w:eastAsia="zh-CN" w:bidi="ar-SA"/>
          <w:highlight w:val="auto"/>
        </w:rPr>
        <w:t>政府性基金预算财政拨款支出</w:t>
      </w:r>
      <w:r>
        <w:rPr>
          <w:rFonts w:eastAsia="仿宋_GB2312" w:cs="Times New Roman" w:hint="eastAsia"/>
          <w:color w:val="auto"/>
          <w:kern w:val="2"/>
          <w:sz w:val="32"/>
          <w:szCs w:val="32"/>
          <w:lang w:val="en-US" w:eastAsia="zh-CN" w:bidi="ar-SA"/>
          <w:highlight w:val="auto"/>
        </w:rPr>
        <w:t>1524.07</w:t>
      </w:r>
      <w:r>
        <w:rPr>
          <w:rFonts w:ascii="Times New Roman" w:eastAsia="仿宋_GB2312" w:cs="Times New Roman" w:hAnsi="Times New Roman"/>
          <w:color w:val="auto"/>
          <w:kern w:val="2"/>
          <w:sz w:val="32"/>
          <w:szCs w:val="32"/>
          <w:lang w:val="en-US" w:eastAsia="zh-CN" w:bidi="ar-SA"/>
          <w:highlight w:val="auto"/>
        </w:rPr>
        <w:t>万元，占本年支出合计的</w:t>
      </w:r>
      <w:r>
        <w:rPr>
          <w:rFonts w:eastAsia="仿宋_GB2312" w:cs="Times New Roman" w:hint="eastAsia"/>
          <w:color w:val="000000"/>
          <w:sz w:val="32"/>
          <w:szCs w:val="32"/>
          <w:lang w:val="en-US" w:eastAsia="zh-CN"/>
        </w:rPr>
        <w:t>20.08</w:t>
      </w:r>
      <w:r>
        <w:rPr>
          <w:rFonts w:ascii="Times New Roman" w:eastAsia="仿宋_GB2312" w:cs="Times New Roman" w:hAnsi="Times New Roman"/>
          <w:color w:val="auto"/>
          <w:kern w:val="2"/>
          <w:sz w:val="32"/>
          <w:szCs w:val="32"/>
          <w:lang w:val="en-US" w:eastAsia="zh-CN" w:bidi="ar-SA"/>
          <w:highlight w:val="auto"/>
        </w:rPr>
        <w:t>%。与</w:t>
      </w:r>
      <w:r>
        <w:rPr>
          <w:rFonts w:eastAsia="仿宋_GB2312" w:cs="Times New Roman" w:hint="eastAsia"/>
          <w:color w:val="auto"/>
          <w:kern w:val="2"/>
          <w:sz w:val="32"/>
          <w:szCs w:val="32"/>
          <w:lang w:val="en-US" w:eastAsia="zh-CN" w:bidi="ar-SA"/>
          <w:highlight w:val="auto"/>
        </w:rPr>
        <w:t>2024年度</w:t>
      </w:r>
      <w:r>
        <w:rPr>
          <w:rFonts w:ascii="Times New Roman" w:eastAsia="仿宋_GB2312" w:cs="Times New Roman" w:hAnsi="Times New Roman"/>
          <w:color w:val="auto"/>
          <w:kern w:val="2"/>
          <w:sz w:val="32"/>
          <w:szCs w:val="32"/>
          <w:lang w:val="en-US" w:eastAsia="zh-CN" w:bidi="ar-SA"/>
          <w:highlight w:val="auto"/>
        </w:rPr>
        <w:t>相比，政府性基金预算财政拨款支出增加</w:t>
      </w:r>
      <w:r>
        <w:rPr>
          <w:rFonts w:eastAsia="仿宋_GB2312" w:cs="Times New Roman" w:hint="eastAsia"/>
          <w:color w:val="auto"/>
          <w:kern w:val="2"/>
          <w:sz w:val="32"/>
          <w:szCs w:val="32"/>
          <w:lang w:val="en-US" w:eastAsia="zh-CN" w:bidi="ar-SA"/>
          <w:highlight w:val="auto"/>
        </w:rPr>
        <w:t>1233.22</w:t>
      </w:r>
      <w:r>
        <w:rPr>
          <w:rFonts w:ascii="Times New Roman" w:eastAsia="仿宋_GB2312" w:cs="Times New Roman" w:hAnsi="Times New Roman"/>
          <w:color w:val="auto"/>
          <w:kern w:val="2"/>
          <w:sz w:val="32"/>
          <w:szCs w:val="32"/>
          <w:lang w:val="en-US" w:eastAsia="zh-CN" w:bidi="ar-SA"/>
          <w:highlight w:val="auto"/>
        </w:rPr>
        <w:t>万元，增长</w:t>
      </w:r>
      <w:r>
        <w:rPr>
          <w:rFonts w:eastAsia="仿宋_GB2312" w:cs="Times New Roman" w:hint="eastAsia"/>
          <w:color w:val="auto"/>
          <w:kern w:val="2"/>
          <w:sz w:val="32"/>
          <w:szCs w:val="32"/>
          <w:lang w:val="en-US" w:eastAsia="zh-CN" w:bidi="ar-SA"/>
          <w:highlight w:val="auto"/>
        </w:rPr>
        <w:t>424</w:t>
      </w:r>
      <w:r>
        <w:rPr>
          <w:rFonts w:ascii="Times New Roman" w:eastAsia="仿宋_GB2312" w:cs="Times New Roman" w:hAnsi="Times New Roman"/>
          <w:color w:val="auto"/>
          <w:kern w:val="2"/>
          <w:sz w:val="32"/>
          <w:szCs w:val="32"/>
          <w:lang w:val="en-US" w:eastAsia="zh-CN" w:bidi="ar-SA"/>
          <w:highlight w:val="auto"/>
        </w:rPr>
        <w:t>%。</w:t>
      </w:r>
      <w:r>
        <w:rPr>
          <w:rFonts w:eastAsia="仿宋_GB2312" w:cs="Times New Roman" w:hint="eastAsia"/>
          <w:color w:val="auto"/>
          <w:kern w:val="2"/>
          <w:sz w:val="32"/>
          <w:szCs w:val="32"/>
          <w:lang w:val="en-US" w:eastAsia="zh-CN" w:bidi="ar-SA"/>
          <w:highlight w:val="auto"/>
        </w:rPr>
        <w:t>主要变动原因是：</w:t>
      </w:r>
      <w:r>
        <w:rPr>
          <w:rFonts w:ascii="Times New Roman" w:eastAsia="仿宋_GB2312" w:cs="Times New Roman" w:hAnsi="Times New Roman"/>
          <w:color w:val="auto"/>
          <w:kern w:val="2"/>
          <w:sz w:val="32"/>
          <w:szCs w:val="32"/>
          <w:lang w:val="en-US" w:eastAsia="zh-CN" w:bidi="ar-SA"/>
          <w:highlight w:val="auto"/>
        </w:rPr>
        <w:t>202</w:t>
      </w:r>
      <w:r>
        <w:rPr>
          <w:rFonts w:eastAsia="仿宋_GB2312" w:cs="Times New Roman" w:hint="eastAsia"/>
          <w:color w:val="auto"/>
          <w:kern w:val="2"/>
          <w:sz w:val="32"/>
          <w:szCs w:val="32"/>
          <w:lang w:val="en-US" w:eastAsia="zh-CN" w:bidi="ar-SA"/>
          <w:highlight w:val="auto"/>
        </w:rPr>
        <w:t>5</w:t>
      </w:r>
      <w:r>
        <w:rPr>
          <w:rFonts w:ascii="Times New Roman" w:eastAsia="仿宋_GB2312" w:cs="Times New Roman" w:hAnsi="Times New Roman"/>
          <w:color w:val="auto"/>
          <w:kern w:val="2"/>
          <w:sz w:val="32"/>
          <w:szCs w:val="32"/>
          <w:lang w:val="en-US" w:eastAsia="zh-CN" w:bidi="ar-SA"/>
          <w:highlight w:val="auto"/>
        </w:rPr>
        <w:t>年基金项目</w:t>
      </w:r>
      <w:r>
        <w:rPr>
          <w:rFonts w:eastAsia="仿宋_GB2312" w:cs="Times New Roman" w:hint="eastAsia"/>
          <w:color w:val="auto"/>
          <w:kern w:val="2"/>
          <w:sz w:val="32"/>
          <w:szCs w:val="32"/>
          <w:lang w:val="en-US" w:eastAsia="zh-CN" w:bidi="ar-SA"/>
          <w:highlight w:val="auto"/>
        </w:rPr>
        <w:t>支出</w:t>
      </w:r>
      <w:r>
        <w:rPr>
          <w:rFonts w:ascii="Times New Roman" w:eastAsia="仿宋_GB2312" w:cs="Times New Roman" w:hAnsi="Times New Roman"/>
          <w:color w:val="auto"/>
          <w:kern w:val="2"/>
          <w:sz w:val="32"/>
          <w:szCs w:val="32"/>
          <w:lang w:val="en-US" w:eastAsia="zh-CN" w:bidi="ar-SA"/>
          <w:highlight w:val="auto"/>
        </w:rPr>
        <w:t>增加。</w:t>
      </w:r>
    </w:p>
    <w:p>
      <w:pPr>
        <w:pageBreakBefore w:val="0"/>
        <w:widowControl w:val="0"/>
        <w:kinsoku/>
        <w:wordWrap/>
        <w:overflowPunct/>
        <w:topLinePunct w:val="0"/>
        <w:autoSpaceDE/>
        <w:autoSpaceDN/>
        <w:bidi w:val="0"/>
        <w:spacing w:line="576" w:lineRule="exact"/>
        <w:ind w:firstLine="640"/>
        <w:outlineLvl w:val="1"/>
        <w:rPr>
          <w:rFonts w:ascii="黑体" w:eastAsia="黑体" w:cs="黑体" w:hint="eastAsia"/>
          <w:b w:val="0"/>
          <w:bCs/>
          <w:color w:val="000000"/>
          <w:sz w:val="32"/>
          <w:szCs w:val="32"/>
        </w:rPr>
      </w:pPr>
      <w:r>
        <w:rPr>
          <w:rFonts w:ascii="黑体" w:eastAsia="黑体" w:cs="黑体" w:hint="eastAsia"/>
          <w:b w:val="0"/>
          <w:bCs/>
          <w:color w:val="000000"/>
          <w:sz w:val="32"/>
          <w:szCs w:val="32"/>
        </w:rPr>
        <w:t>九、国有资本经营预算支出决算情况说明</w:t>
      </w:r>
      <w:bookmarkEnd w:id="59"/>
      <w:bookmarkEnd w:id="60"/>
      <w:bookmarkEnd w:id="61"/>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0"/>
          <w:szCs w:val="30"/>
          <w:u w:color="auto"/>
        </w:rPr>
      </w:pPr>
      <w:r>
        <w:rPr>
          <w:rFonts w:eastAsia="仿宋_GB2312" w:cs="Times New Roman" w:hint="eastAsia"/>
          <w:color w:val="000000"/>
          <w:sz w:val="32"/>
          <w:szCs w:val="32"/>
          <w:lang w:eastAsia="zh-CN"/>
        </w:rPr>
        <w:t>2025年度</w:t>
      </w:r>
      <w:r>
        <w:rPr>
          <w:rFonts w:ascii="Times New Roman" w:eastAsia="仿宋_GB2312" w:cs="Times New Roman" w:hAnsi="Times New Roman"/>
          <w:color w:val="000000"/>
          <w:sz w:val="32"/>
          <w:szCs w:val="32"/>
        </w:rPr>
        <w:t>国有资本经营预算拨款支出</w:t>
      </w:r>
      <w:r>
        <w:rPr>
          <w:rFonts w:ascii="Times New Roman" w:eastAsia="仿宋_GB2312" w:cs="Times New Roman" w:hAnsi="Times New Roman"/>
          <w:color w:val="000000"/>
          <w:sz w:val="32"/>
          <w:szCs w:val="32"/>
          <w:u w:color="auto"/>
        </w:rPr>
        <w:t>0万元</w:t>
      </w:r>
      <w:bookmarkStart w:id="62" w:name="_Toc111208508"/>
      <w:bookmarkStart w:id="63" w:name="_Toc15377221"/>
      <w:r>
        <w:rPr>
          <w:rFonts w:eastAsia="仿宋_GB2312" w:cs="Times New Roman" w:hint="eastAsia"/>
          <w:color w:val="auto"/>
          <w:kern w:val="2"/>
          <w:sz w:val="32"/>
          <w:szCs w:val="32"/>
          <w:lang w:val="en-US" w:eastAsia="zh-CN" w:bidi="ar-SA"/>
          <w:highlight w:val="auto"/>
        </w:rPr>
        <w:t>。</w:t>
      </w:r>
    </w:p>
    <w:p>
      <w:pPr>
        <w:pageBreakBefore w:val="0"/>
        <w:widowControl w:val="0"/>
        <w:kinsoku/>
        <w:wordWrap/>
        <w:overflowPunct/>
        <w:topLinePunct w:val="0"/>
        <w:autoSpaceDE/>
        <w:autoSpaceDN/>
        <w:bidi w:val="0"/>
        <w:spacing w:line="576" w:lineRule="exact"/>
        <w:ind w:firstLine="640"/>
        <w:outlineLvl w:val="1"/>
        <w:rPr>
          <w:rFonts w:ascii="黑体" w:eastAsia="黑体" w:cs="黑体" w:hint="eastAsia"/>
          <w:b w:val="0"/>
          <w:bCs/>
          <w:color w:val="000000"/>
          <w:sz w:val="32"/>
          <w:szCs w:val="32"/>
        </w:rPr>
      </w:pPr>
      <w:bookmarkStart w:id="64" w:name="_Toc16341"/>
      <w:r>
        <w:rPr>
          <w:rFonts w:ascii="黑体" w:eastAsia="黑体" w:cs="黑体" w:hint="eastAsia"/>
          <w:b w:val="0"/>
          <w:bCs/>
          <w:color w:val="000000"/>
          <w:sz w:val="32"/>
          <w:szCs w:val="32"/>
        </w:rPr>
        <w:t>十、其他重要事项的情况说明</w:t>
      </w:r>
      <w:bookmarkEnd w:id="62"/>
      <w:bookmarkEnd w:id="63"/>
      <w:bookmarkEnd w:id="64"/>
    </w:p>
    <w:p>
      <w:pPr>
        <w:pageBreakBefore w:val="0"/>
        <w:widowControl w:val="0"/>
        <w:kinsoku/>
        <w:wordWrap/>
        <w:overflowPunct/>
        <w:topLinePunct w:val="0"/>
        <w:autoSpaceDE/>
        <w:autoSpaceDN/>
        <w:bidi w:val="0"/>
        <w:spacing w:line="576" w:lineRule="exact"/>
        <w:ind w:firstLineChars="200" w:firstLine="640"/>
        <w:outlineLvl w:val="2"/>
        <w:rPr>
          <w:rFonts w:ascii="楷体" w:eastAsia="楷体" w:cs="楷体" w:hint="eastAsia"/>
          <w:b/>
          <w:color w:val="000000"/>
          <w:sz w:val="32"/>
          <w:szCs w:val="32"/>
        </w:rPr>
      </w:pPr>
      <w:bookmarkStart w:id="65" w:name="_Toc15377222"/>
      <w:r>
        <w:rPr>
          <w:rFonts w:ascii="楷体" w:eastAsia="楷体" w:cs="楷体" w:hint="eastAsia"/>
          <w:b/>
          <w:color w:val="000000"/>
          <w:sz w:val="32"/>
          <w:szCs w:val="32"/>
        </w:rPr>
        <w:t>（一）机关运行经费支出情况</w:t>
      </w:r>
      <w:bookmarkEnd w:id="65"/>
    </w:p>
    <w:p>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ascii="Times New Roman" w:eastAsia="仿宋_GB2312" w:cs="Times New Roman" w:hAnsi="Times New Roman"/>
          <w:color w:val="000000"/>
          <w:sz w:val="32"/>
          <w:szCs w:val="32"/>
        </w:rPr>
      </w:pPr>
      <w:r>
        <w:rPr>
          <w:rFonts w:eastAsia="仿宋_GB2312" w:cs="Times New Roman" w:hint="eastAsia"/>
          <w:color w:val="auto"/>
          <w:kern w:val="2"/>
          <w:sz w:val="32"/>
          <w:szCs w:val="32"/>
          <w:lang w:val="en-US" w:eastAsia="zh-CN" w:bidi="ar-SA"/>
          <w:highlight w:val="auto"/>
        </w:rPr>
        <w:t>2025年度</w:t>
      </w:r>
      <w:r>
        <w:rPr>
          <w:rFonts w:ascii="Times New Roman" w:eastAsia="仿宋_GB2312" w:cs="Times New Roman" w:hAnsi="Times New Roman"/>
          <w:color w:val="auto"/>
          <w:kern w:val="2"/>
          <w:sz w:val="32"/>
          <w:szCs w:val="32"/>
          <w:lang w:val="en-US" w:eastAsia="zh-CN" w:bidi="ar-SA"/>
          <w:highlight w:val="auto"/>
        </w:rPr>
        <w:t>，</w:t>
      </w:r>
      <w:r>
        <w:rPr>
          <w:rFonts w:eastAsia="仿宋_GB2312" w:cs="Times New Roman" w:hint="eastAsia"/>
          <w:sz w:val="32"/>
          <w:szCs w:val="32"/>
          <w:lang w:eastAsia="zh-CN"/>
        </w:rPr>
        <w:t>茂县凤仪镇人民政府</w:t>
      </w:r>
      <w:r>
        <w:rPr>
          <w:rFonts w:ascii="Times New Roman" w:eastAsia="仿宋_GB2312" w:cs="Times New Roman" w:hAnsi="Times New Roman"/>
          <w:color w:val="auto"/>
          <w:kern w:val="2"/>
          <w:sz w:val="32"/>
          <w:szCs w:val="32"/>
          <w:lang w:val="en-US" w:eastAsia="zh-CN" w:bidi="ar-SA"/>
          <w:highlight w:val="auto"/>
        </w:rPr>
        <w:t>机关运行经费支出</w:t>
      </w:r>
      <w:r>
        <w:rPr>
          <w:rFonts w:eastAsia="仿宋_GB2312" w:cs="Times New Roman" w:hint="eastAsia"/>
          <w:sz w:val="32"/>
          <w:szCs w:val="32"/>
          <w:lang w:val="en-US" w:eastAsia="zh-CN"/>
        </w:rPr>
        <w:t>131.51</w:t>
      </w:r>
      <w:r>
        <w:rPr>
          <w:rFonts w:ascii="Times New Roman" w:eastAsia="仿宋_GB2312" w:cs="Times New Roman" w:hAnsi="Times New Roman"/>
          <w:color w:val="auto"/>
          <w:kern w:val="2"/>
          <w:sz w:val="32"/>
          <w:szCs w:val="32"/>
          <w:lang w:val="en-US" w:eastAsia="zh-CN" w:bidi="ar-SA"/>
          <w:highlight w:val="auto"/>
        </w:rPr>
        <w:t>万元，</w:t>
      </w:r>
      <w:r>
        <w:rPr>
          <w:rFonts w:eastAsia="仿宋_GB2312" w:cs="Times New Roman" w:hint="eastAsia"/>
          <w:color w:val="000000"/>
          <w:sz w:val="32"/>
          <w:u w:color="auto"/>
          <w:lang w:eastAsia="zh-CN"/>
        </w:rPr>
        <w:t>与2024年相比增加</w:t>
      </w:r>
      <w:r>
        <w:rPr>
          <w:rFonts w:eastAsia="仿宋_GB2312" w:cs="Times New Roman" w:hint="eastAsia"/>
          <w:color w:val="000000"/>
          <w:sz w:val="32"/>
          <w:u w:color="auto"/>
          <w:lang w:val="en-US" w:eastAsia="zh-CN"/>
        </w:rPr>
        <w:t>57.89</w:t>
      </w:r>
      <w:r>
        <w:rPr>
          <w:rFonts w:ascii="Times New Roman" w:eastAsia="仿宋_GB2312" w:cs="Times New Roman" w:hAnsi="Times New Roman"/>
          <w:color w:val="000000"/>
          <w:sz w:val="32"/>
          <w:u w:color="auto"/>
        </w:rPr>
        <w:t>万元</w:t>
      </w:r>
      <w:r>
        <w:rPr>
          <w:rFonts w:ascii="Times New Roman" w:eastAsia="仿宋_GB2312" w:cs="Times New Roman" w:hAnsi="Times New Roman"/>
          <w:color w:val="auto"/>
          <w:kern w:val="2"/>
          <w:sz w:val="32"/>
          <w:szCs w:val="32"/>
          <w:lang w:val="en-US" w:eastAsia="zh-CN" w:bidi="ar-SA"/>
          <w:highlight w:val="auto"/>
        </w:rPr>
        <w:t>，</w:t>
      </w:r>
      <w:r>
        <w:rPr>
          <w:rFonts w:eastAsia="仿宋_GB2312" w:cs="Times New Roman" w:hint="eastAsia"/>
          <w:color w:val="auto"/>
          <w:kern w:val="2"/>
          <w:sz w:val="32"/>
          <w:szCs w:val="32"/>
          <w:lang w:val="en-US" w:eastAsia="zh-CN" w:bidi="ar-SA"/>
          <w:highlight w:val="auto"/>
        </w:rPr>
        <w:t>增长78.63</w:t>
      </w:r>
      <w:r>
        <w:rPr>
          <w:rFonts w:ascii="Times New Roman" w:eastAsia="仿宋_GB2312" w:cs="Times New Roman" w:hAnsi="Times New Roman"/>
          <w:color w:val="auto"/>
          <w:kern w:val="2"/>
          <w:sz w:val="32"/>
          <w:szCs w:val="32"/>
          <w:lang w:val="en-US" w:eastAsia="zh-CN" w:bidi="ar-SA"/>
          <w:highlight w:val="auto"/>
        </w:rPr>
        <w:t>%。主要</w:t>
      </w:r>
      <w:r>
        <w:rPr>
          <w:rFonts w:eastAsia="仿宋_GB2312" w:cs="Times New Roman" w:hint="eastAsia"/>
          <w:color w:val="auto"/>
          <w:kern w:val="2"/>
          <w:sz w:val="32"/>
          <w:szCs w:val="32"/>
          <w:lang w:val="en-US" w:eastAsia="zh-CN" w:bidi="ar-SA"/>
          <w:highlight w:val="auto"/>
        </w:rPr>
        <w:t>原因是：2025年日常公用经费增加。</w:t>
      </w:r>
    </w:p>
    <w:p>
      <w:pPr>
        <w:pageBreakBefore w:val="0"/>
        <w:widowControl w:val="0"/>
        <w:kinsoku/>
        <w:wordWrap/>
        <w:overflowPunct/>
        <w:topLinePunct w:val="0"/>
        <w:autoSpaceDE/>
        <w:autoSpaceDN/>
        <w:bidi w:val="0"/>
        <w:spacing w:line="576" w:lineRule="exact"/>
        <w:ind w:firstLineChars="200" w:firstLine="640"/>
        <w:outlineLvl w:val="2"/>
        <w:rPr>
          <w:rFonts w:ascii="楷体" w:eastAsia="楷体" w:cs="楷体" w:hint="eastAsia"/>
          <w:b/>
          <w:color w:val="000000"/>
          <w:sz w:val="32"/>
          <w:szCs w:val="32"/>
        </w:rPr>
      </w:pPr>
      <w:bookmarkStart w:id="66" w:name="_Toc15377223"/>
      <w:r>
        <w:rPr>
          <w:rFonts w:ascii="楷体" w:eastAsia="楷体" w:cs="楷体" w:hint="eastAsia"/>
          <w:b/>
          <w:color w:val="000000"/>
          <w:sz w:val="32"/>
          <w:szCs w:val="32"/>
        </w:rPr>
        <w:t>（二）政府采购支出情况</w:t>
      </w:r>
      <w:bookmarkEnd w:id="66"/>
    </w:p>
    <w:p>
      <w:pPr>
        <w:pageBreakBefore w:val="0"/>
        <w:widowControl w:val="0"/>
        <w:kinsoku/>
        <w:wordWrap/>
        <w:overflowPunct/>
        <w:topLinePunct w:val="0"/>
        <w:autoSpaceDE/>
        <w:autoSpaceDN/>
        <w:bidi w:val="0"/>
        <w:adjustRightInd/>
        <w:snapToGrid/>
        <w:spacing w:line="576"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67" w:name="_Toc15377224"/>
      <w:r>
        <w:rPr>
          <w:rFonts w:eastAsia="仿宋_GB2312" w:cs="Times New Roman" w:hint="eastAsia"/>
          <w:color w:val="auto"/>
          <w:kern w:val="2"/>
          <w:sz w:val="32"/>
          <w:szCs w:val="32"/>
          <w:lang w:val="en-US" w:eastAsia="zh-CN" w:bidi="ar-SA"/>
          <w:highlight w:val="auto"/>
        </w:rPr>
        <w:t>2025年度</w:t>
      </w:r>
      <w:r>
        <w:rPr>
          <w:rFonts w:ascii="Times New Roman" w:eastAsia="仿宋_GB2312" w:cs="Times New Roman" w:hAnsi="Times New Roman"/>
          <w:color w:val="auto"/>
          <w:kern w:val="2"/>
          <w:sz w:val="32"/>
          <w:szCs w:val="32"/>
          <w:lang w:val="en-US" w:eastAsia="zh-CN" w:bidi="ar-SA"/>
          <w:highlight w:val="auto"/>
        </w:rPr>
        <w:t>，</w:t>
      </w:r>
      <w:r>
        <w:rPr>
          <w:rFonts w:eastAsia="仿宋_GB2312" w:cs="Times New Roman" w:hint="eastAsia"/>
          <w:sz w:val="32"/>
          <w:szCs w:val="32"/>
          <w:lang w:eastAsia="zh-CN"/>
        </w:rPr>
        <w:t>茂县凤仪镇人民政府</w:t>
      </w:r>
      <w:r>
        <w:rPr>
          <w:rFonts w:ascii="Times New Roman" w:eastAsia="仿宋_GB2312" w:cs="Times New Roman" w:hAnsi="Times New Roman"/>
          <w:color w:val="auto"/>
          <w:kern w:val="2"/>
          <w:sz w:val="32"/>
          <w:szCs w:val="32"/>
          <w:lang w:val="en-US" w:eastAsia="zh-CN" w:bidi="ar-SA"/>
          <w:highlight w:val="auto"/>
        </w:rPr>
        <w:t>政府采购支出总额</w:t>
      </w:r>
      <w:r>
        <w:rPr>
          <w:rFonts w:eastAsia="仿宋_GB2312" w:cs="Times New Roman" w:hint="eastAsia"/>
          <w:sz w:val="32"/>
          <w:szCs w:val="32"/>
          <w:lang w:val="en-US" w:eastAsia="zh-CN"/>
        </w:rPr>
        <w:t>213.14</w:t>
      </w:r>
      <w:r>
        <w:rPr>
          <w:rFonts w:ascii="Times New Roman" w:eastAsia="仿宋_GB2312" w:cs="Times New Roman" w:hAnsi="Times New Roman"/>
          <w:color w:val="auto"/>
          <w:kern w:val="2"/>
          <w:sz w:val="32"/>
          <w:szCs w:val="32"/>
          <w:lang w:val="en-US" w:eastAsia="zh-CN" w:bidi="ar-SA"/>
          <w:highlight w:val="auto"/>
        </w:rPr>
        <w:t>万元，其中：政府采购货物支出</w:t>
      </w:r>
      <w:r>
        <w:rPr>
          <w:rFonts w:eastAsia="仿宋_GB2312" w:cs="Times New Roman" w:hint="eastAsia"/>
          <w:sz w:val="32"/>
          <w:szCs w:val="32"/>
          <w:lang w:val="en-US" w:eastAsia="zh-CN"/>
        </w:rPr>
        <w:t>213.14</w:t>
      </w:r>
      <w:r>
        <w:rPr>
          <w:rFonts w:ascii="Times New Roman" w:eastAsia="仿宋_GB2312" w:cs="Times New Roman" w:hAnsi="Times New Roman"/>
          <w:color w:val="auto"/>
          <w:kern w:val="2"/>
          <w:sz w:val="32"/>
          <w:szCs w:val="32"/>
          <w:lang w:val="en-US" w:eastAsia="zh-CN" w:bidi="ar-SA"/>
          <w:highlight w:val="auto"/>
        </w:rPr>
        <w:t>万元、政府采购工程支出</w:t>
      </w:r>
      <w:r>
        <w:rPr>
          <w:rFonts w:eastAsia="仿宋_GB2312" w:cs="Times New Roman" w:hint="eastAsia"/>
          <w:sz w:val="32"/>
          <w:szCs w:val="32"/>
          <w:lang w:val="en-US" w:eastAsia="zh-CN"/>
        </w:rPr>
        <w:t>0</w:t>
      </w:r>
      <w:r>
        <w:rPr>
          <w:rFonts w:ascii="Times New Roman" w:eastAsia="仿宋_GB2312" w:cs="Times New Roman" w:hAnsi="Times New Roman"/>
          <w:color w:val="auto"/>
          <w:kern w:val="2"/>
          <w:sz w:val="32"/>
          <w:szCs w:val="32"/>
          <w:lang w:val="en-US" w:eastAsia="zh-CN" w:bidi="ar-SA"/>
          <w:highlight w:val="auto"/>
        </w:rPr>
        <w:t>万元、政府采购服务支出</w:t>
      </w:r>
      <w:r>
        <w:rPr>
          <w:rFonts w:ascii="Times New Roman" w:eastAsia="仿宋_GB2312" w:cs="Times New Roman" w:hAnsi="Times New Roman"/>
          <w:sz w:val="32"/>
          <w:szCs w:val="32"/>
        </w:rPr>
        <w:t>0</w:t>
      </w:r>
      <w:r>
        <w:rPr>
          <w:rFonts w:ascii="Times New Roman" w:eastAsia="仿宋_GB2312" w:cs="Times New Roman" w:hAnsi="Times New Roman"/>
          <w:color w:val="auto"/>
          <w:kern w:val="2"/>
          <w:sz w:val="32"/>
          <w:szCs w:val="32"/>
          <w:lang w:val="en-US" w:eastAsia="zh-CN" w:bidi="ar-SA"/>
          <w:highlight w:val="auto"/>
        </w:rPr>
        <w:t>万元。主要用于</w:t>
      </w:r>
      <w:r>
        <w:rPr>
          <w:rFonts w:eastAsia="仿宋_GB2312" w:cs="Times New Roman" w:hint="eastAsia"/>
          <w:color w:val="auto"/>
          <w:kern w:val="2"/>
          <w:sz w:val="32"/>
          <w:szCs w:val="32"/>
          <w:lang w:val="en-US" w:eastAsia="zh-CN" w:bidi="ar-SA"/>
          <w:highlight w:val="auto"/>
        </w:rPr>
        <w:t>凤仪镇宗渠村苹果基地产业提升建设项目（防雹棚采购）、茂县凤仪镇人民政府办公设备购置、凤仪镇静州村扶持壮大集体经济</w:t>
      </w:r>
      <w:r>
        <w:rPr>
          <w:rFonts w:ascii="Times New Roman" w:eastAsia="仿宋_GB2312" w:cs="Times New Roman" w:hAnsi="Times New Roman"/>
          <w:color w:val="auto"/>
          <w:kern w:val="2"/>
          <w:sz w:val="32"/>
          <w:szCs w:val="32"/>
          <w:lang w:val="en-US" w:eastAsia="zh-CN" w:bidi="ar-SA"/>
          <w:highlight w:val="auto"/>
        </w:rPr>
        <w:t>。授予中小企业合同金额</w:t>
      </w:r>
      <w:r>
        <w:rPr>
          <w:rFonts w:eastAsia="仿宋_GB2312" w:cs="Times New Roman" w:hint="eastAsia"/>
          <w:sz w:val="32"/>
          <w:szCs w:val="32"/>
          <w:lang w:val="en-US" w:eastAsia="zh-CN"/>
          <w:highlight w:val="auto"/>
        </w:rPr>
        <w:t>213.14</w:t>
      </w:r>
      <w:r>
        <w:rPr>
          <w:rFonts w:ascii="Times New Roman" w:eastAsia="仿宋_GB2312" w:cs="Times New Roman" w:hAnsi="Times New Roman"/>
          <w:color w:val="auto"/>
          <w:kern w:val="2"/>
          <w:sz w:val="32"/>
          <w:szCs w:val="32"/>
          <w:lang w:val="en-US" w:eastAsia="zh-CN" w:bidi="ar-SA"/>
          <w:highlight w:val="auto"/>
        </w:rPr>
        <w:t>万元，占政府采购支出总额的</w:t>
      </w:r>
      <w:r>
        <w:rPr>
          <w:rFonts w:ascii="Times New Roman" w:eastAsia="仿宋_GB2312" w:cs="Times New Roman" w:hAnsi="Times New Roman"/>
          <w:sz w:val="32"/>
          <w:szCs w:val="32"/>
        </w:rPr>
        <w:t>100</w:t>
      </w:r>
      <w:r>
        <w:rPr>
          <w:rFonts w:ascii="Times New Roman" w:eastAsia="仿宋_GB2312" w:cs="Times New Roman" w:hAnsi="Times New Roman"/>
          <w:color w:val="auto"/>
          <w:kern w:val="2"/>
          <w:sz w:val="32"/>
          <w:szCs w:val="32"/>
          <w:lang w:val="en-US" w:eastAsia="zh-CN" w:bidi="ar-SA"/>
          <w:highlight w:val="auto"/>
        </w:rPr>
        <w:t>%，其中：授予小微企业合同金额</w:t>
      </w:r>
      <w:r>
        <w:rPr>
          <w:rFonts w:eastAsia="仿宋_GB2312" w:cs="Times New Roman" w:hint="eastAsia"/>
          <w:sz w:val="32"/>
          <w:szCs w:val="32"/>
          <w:lang w:val="en-US" w:eastAsia="zh-CN"/>
        </w:rPr>
        <w:t>8.74</w:t>
      </w:r>
      <w:r>
        <w:rPr>
          <w:rFonts w:ascii="Times New Roman" w:eastAsia="仿宋_GB2312" w:cs="Times New Roman" w:hAnsi="Times New Roman"/>
          <w:color w:val="auto"/>
          <w:kern w:val="2"/>
          <w:sz w:val="32"/>
          <w:szCs w:val="32"/>
          <w:lang w:val="en-US" w:eastAsia="zh-CN" w:bidi="ar-SA"/>
          <w:highlight w:val="auto"/>
        </w:rPr>
        <w:t>万元，占政府采购支出总额的</w:t>
      </w:r>
      <w:r>
        <w:rPr>
          <w:rFonts w:eastAsia="仿宋_GB2312" w:cs="Times New Roman" w:hint="eastAsia"/>
          <w:sz w:val="32"/>
          <w:szCs w:val="32"/>
          <w:lang w:val="en-US" w:eastAsia="zh-CN"/>
        </w:rPr>
        <w:t>4.1</w:t>
      </w:r>
      <w:r>
        <w:rPr>
          <w:rFonts w:ascii="Times New Roman" w:eastAsia="仿宋_GB2312" w:cs="Times New Roman" w:hAnsi="Times New Roman"/>
          <w:color w:val="auto"/>
          <w:kern w:val="2"/>
          <w:sz w:val="32"/>
          <w:szCs w:val="32"/>
          <w:lang w:val="en-US" w:eastAsia="zh-CN" w:bidi="ar-SA"/>
          <w:highlight w:val="auto"/>
        </w:rPr>
        <w:t>%。</w:t>
      </w:r>
    </w:p>
    <w:p>
      <w:pPr>
        <w:pageBreakBefore w:val="0"/>
        <w:widowControl w:val="0"/>
        <w:kinsoku/>
        <w:wordWrap/>
        <w:overflowPunct/>
        <w:topLinePunct w:val="0"/>
        <w:autoSpaceDE/>
        <w:autoSpaceDN/>
        <w:bidi w:val="0"/>
        <w:spacing w:line="576" w:lineRule="exact"/>
        <w:ind w:firstLineChars="200" w:firstLine="640"/>
        <w:outlineLvl w:val="2"/>
        <w:rPr>
          <w:rFonts w:ascii="楷体" w:eastAsia="楷体" w:cs="楷体" w:hint="eastAsia"/>
          <w:b/>
          <w:color w:val="000000"/>
          <w:sz w:val="32"/>
          <w:szCs w:val="32"/>
        </w:rPr>
      </w:pPr>
      <w:r>
        <w:rPr>
          <w:rFonts w:ascii="楷体" w:eastAsia="楷体" w:cs="楷体" w:hint="eastAsia"/>
          <w:b/>
          <w:color w:val="000000"/>
          <w:sz w:val="32"/>
          <w:szCs w:val="32"/>
        </w:rPr>
        <w:t>（三）国有资产占有使用情况</w:t>
      </w:r>
      <w:bookmarkEnd w:id="67"/>
    </w:p>
    <w:p>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ascii="Times New Roman" w:eastAsia="仿宋_GB2312" w:cs="Times New Roman" w:hAnsi="Times New Roman"/>
          <w:color w:val="auto"/>
          <w:kern w:val="2"/>
          <w:sz w:val="32"/>
          <w:szCs w:val="32"/>
          <w:lang w:val="en-US" w:eastAsia="zh-CN" w:bidi="ar-SA"/>
          <w:highlight w:val="auto"/>
        </w:rPr>
      </w:pPr>
      <w:r>
        <w:rPr>
          <w:rFonts w:ascii="Times New Roman" w:eastAsia="仿宋_GB2312" w:cs="Times New Roman" w:hAnsi="Times New Roman"/>
          <w:color w:val="auto"/>
          <w:kern w:val="2"/>
          <w:sz w:val="32"/>
          <w:szCs w:val="32"/>
          <w:lang w:val="en-US" w:eastAsia="zh-CN" w:bidi="ar-SA"/>
          <w:highlight w:val="auto"/>
        </w:rPr>
        <w:t>截至202</w:t>
      </w:r>
      <w:r>
        <w:rPr>
          <w:rFonts w:eastAsia="仿宋_GB2312" w:cs="Times New Roman" w:hint="eastAsia"/>
          <w:color w:val="auto"/>
          <w:kern w:val="2"/>
          <w:sz w:val="32"/>
          <w:szCs w:val="32"/>
          <w:lang w:val="en-US" w:eastAsia="zh-CN" w:bidi="ar-SA"/>
          <w:highlight w:val="auto"/>
        </w:rPr>
        <w:t>5</w:t>
      </w:r>
      <w:r>
        <w:rPr>
          <w:rFonts w:ascii="Times New Roman" w:eastAsia="仿宋_GB2312" w:cs="Times New Roman" w:hAnsi="Times New Roman"/>
          <w:color w:val="auto"/>
          <w:kern w:val="2"/>
          <w:sz w:val="32"/>
          <w:szCs w:val="32"/>
          <w:lang w:val="en-US" w:eastAsia="zh-CN" w:bidi="ar-SA"/>
          <w:highlight w:val="auto"/>
        </w:rPr>
        <w:t>年12月31日，</w:t>
      </w:r>
      <w:r>
        <w:rPr>
          <w:rFonts w:eastAsia="仿宋_GB2312" w:cs="Times New Roman" w:hint="eastAsia"/>
          <w:sz w:val="32"/>
          <w:szCs w:val="32"/>
          <w:lang w:eastAsia="zh-CN"/>
        </w:rPr>
        <w:t>茂县凤仪镇人民政府</w:t>
      </w:r>
      <w:r>
        <w:rPr>
          <w:rFonts w:ascii="Times New Roman" w:eastAsia="仿宋_GB2312" w:cs="Times New Roman" w:hAnsi="Times New Roman"/>
          <w:color w:val="auto"/>
          <w:kern w:val="2"/>
          <w:sz w:val="32"/>
          <w:szCs w:val="32"/>
          <w:lang w:val="en-US" w:eastAsia="zh-CN" w:bidi="ar-SA"/>
          <w:highlight w:val="auto"/>
        </w:rPr>
        <w:t>共有车辆</w:t>
      </w:r>
      <w:r>
        <w:rPr>
          <w:rFonts w:ascii="Times New Roman" w:eastAsia="仿宋_GB2312" w:cs="Times New Roman" w:hAnsi="Times New Roman"/>
          <w:sz w:val="32"/>
          <w:szCs w:val="32"/>
        </w:rPr>
        <w:t>2</w:t>
      </w:r>
      <w:r>
        <w:rPr>
          <w:rFonts w:ascii="Times New Roman" w:eastAsia="仿宋_GB2312" w:cs="Times New Roman" w:hAnsi="Times New Roman"/>
          <w:color w:val="auto"/>
          <w:kern w:val="2"/>
          <w:sz w:val="32"/>
          <w:szCs w:val="32"/>
          <w:lang w:val="en-US" w:eastAsia="zh-CN" w:bidi="ar-SA"/>
          <w:highlight w:val="auto"/>
        </w:rPr>
        <w:t>辆，其中：主要负责人用车</w:t>
      </w:r>
      <w:r>
        <w:rPr>
          <w:rFonts w:ascii="Times New Roman" w:eastAsia="仿宋_GB2312" w:cs="Times New Roman" w:hAnsi="Times New Roman"/>
          <w:sz w:val="32"/>
          <w:szCs w:val="32"/>
        </w:rPr>
        <w:t>0</w:t>
      </w:r>
      <w:r>
        <w:rPr>
          <w:rFonts w:ascii="Times New Roman" w:eastAsia="仿宋_GB2312" w:cs="Times New Roman" w:hAnsi="Times New Roman"/>
          <w:color w:val="auto"/>
          <w:kern w:val="2"/>
          <w:sz w:val="32"/>
          <w:szCs w:val="32"/>
          <w:lang w:val="en-US" w:eastAsia="zh-CN" w:bidi="ar-SA"/>
          <w:highlight w:val="auto"/>
        </w:rPr>
        <w:t>辆、机要通信用车</w:t>
      </w:r>
      <w:r>
        <w:rPr>
          <w:rFonts w:ascii="Times New Roman" w:eastAsia="仿宋_GB2312" w:cs="Times New Roman" w:hAnsi="Times New Roman"/>
          <w:sz w:val="32"/>
          <w:szCs w:val="32"/>
        </w:rPr>
        <w:t>0</w:t>
      </w:r>
      <w:r>
        <w:rPr>
          <w:rFonts w:ascii="Times New Roman" w:eastAsia="仿宋_GB2312" w:cs="Times New Roman" w:hAnsi="Times New Roman"/>
          <w:color w:val="auto"/>
          <w:kern w:val="2"/>
          <w:sz w:val="32"/>
          <w:szCs w:val="32"/>
          <w:lang w:val="en-US" w:eastAsia="zh-CN" w:bidi="ar-SA"/>
          <w:highlight w:val="auto"/>
        </w:rPr>
        <w:t>辆、应急保障用车</w:t>
      </w:r>
      <w:r>
        <w:rPr>
          <w:rFonts w:ascii="Times New Roman" w:eastAsia="仿宋_GB2312" w:cs="Times New Roman" w:hAnsi="Times New Roman"/>
          <w:sz w:val="32"/>
          <w:szCs w:val="32"/>
        </w:rPr>
        <w:t>2</w:t>
      </w:r>
      <w:r>
        <w:rPr>
          <w:rFonts w:ascii="Times New Roman" w:eastAsia="仿宋_GB2312" w:cs="Times New Roman" w:hAnsi="Times New Roman"/>
          <w:color w:val="auto"/>
          <w:kern w:val="2"/>
          <w:sz w:val="32"/>
          <w:szCs w:val="32"/>
          <w:lang w:val="en-US" w:eastAsia="zh-CN" w:bidi="ar-SA"/>
          <w:highlight w:val="auto"/>
        </w:rPr>
        <w:t>辆、</w:t>
      </w:r>
      <w:r>
        <w:rPr>
          <w:rFonts w:ascii="Times New Roman" w:eastAsia="仿宋_GB2312" w:cs="Times New Roman" w:hAnsi="Times New Roman"/>
          <w:color w:val="000000"/>
          <w:sz w:val="32"/>
          <w:szCs w:val="32"/>
        </w:rPr>
        <w:t>其他用车0辆。单价100万元以上专用设备</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lang w:val="en-US" w:eastAsia="zh-CN"/>
        </w:rPr>
        <w:t>不含车辆</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0台（套）。</w:t>
      </w:r>
    </w:p>
    <w:p>
      <w:pPr>
        <w:pageBreakBefore w:val="0"/>
        <w:widowControl w:val="0"/>
        <w:kinsoku/>
        <w:wordWrap/>
        <w:overflowPunct/>
        <w:topLinePunct w:val="0"/>
        <w:autoSpaceDE/>
        <w:autoSpaceDN/>
        <w:bidi w:val="0"/>
        <w:spacing w:line="576" w:lineRule="exact"/>
        <w:ind w:firstLineChars="200" w:firstLine="640"/>
        <w:outlineLvl w:val="2"/>
        <w:rPr>
          <w:rFonts w:ascii="楷体" w:eastAsia="楷体" w:cs="楷体" w:hint="eastAsia"/>
          <w:b/>
          <w:color w:val="000000"/>
          <w:sz w:val="32"/>
          <w:szCs w:val="32"/>
          <w:highlight w:val="auto"/>
        </w:rPr>
      </w:pPr>
      <w:r>
        <w:rPr>
          <w:rFonts w:ascii="楷体" w:eastAsia="楷体" w:cs="楷体" w:hint="eastAsia"/>
          <w:b/>
          <w:color w:val="000000"/>
          <w:sz w:val="32"/>
          <w:szCs w:val="32"/>
          <w:highlight w:val="auto"/>
        </w:rPr>
        <w:t>（四）预算绩效管理情况</w:t>
      </w:r>
    </w:p>
    <w:p>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ascii="Times New Roman" w:eastAsia="仿宋_GB2312" w:cs="Times New Roman" w:hAnsi="Times New Roman"/>
          <w:color w:val="000000"/>
          <w:sz w:val="32"/>
          <w:szCs w:val="32"/>
          <w:lang w:eastAsia="zh-CN"/>
        </w:rPr>
      </w:pPr>
      <w:r>
        <w:rPr>
          <w:rFonts w:ascii="仿宋" w:eastAsia="仿宋" w:cs="仿宋" w:hint="eastAsia"/>
          <w:color w:val="000000"/>
          <w:sz w:val="32"/>
          <w:szCs w:val="32"/>
        </w:rPr>
        <w:t xml:space="preserve"> </w:t>
      </w:r>
      <w:r>
        <w:rPr>
          <w:rFonts w:ascii="Times New Roman" w:eastAsia="仿宋_GB2312" w:cs="Times New Roman" w:hAnsi="Times New Roman"/>
          <w:color w:val="000000"/>
          <w:sz w:val="32"/>
          <w:szCs w:val="32"/>
        </w:rPr>
        <w:t>根据预算绩效管理要求，本部门在</w:t>
      </w:r>
      <w:r>
        <w:rPr>
          <w:rFonts w:eastAsia="仿宋_GB2312" w:cs="Times New Roman" w:hint="eastAsia"/>
          <w:color w:val="000000"/>
          <w:sz w:val="32"/>
          <w:szCs w:val="32"/>
          <w:lang w:val="en-US" w:eastAsia="zh-CN"/>
        </w:rPr>
        <w:t>2025年度</w:t>
      </w:r>
      <w:r>
        <w:rPr>
          <w:rFonts w:ascii="Times New Roman" w:eastAsia="仿宋_GB2312" w:cs="Times New Roman" w:hAnsi="Times New Roman"/>
          <w:color w:val="000000"/>
          <w:sz w:val="32"/>
          <w:szCs w:val="32"/>
        </w:rPr>
        <w:t>预算编制阶段，组织对</w:t>
      </w:r>
      <w:r>
        <w:rPr>
          <w:rFonts w:ascii="Times New Roman" w:eastAsia="仿宋_GB2312" w:cs="Times New Roman" w:hAnsi="Times New Roman"/>
          <w:color w:val="000000"/>
          <w:sz w:val="32"/>
          <w:szCs w:val="32"/>
          <w:lang w:val="en-US" w:eastAsia="zh-CN"/>
        </w:rPr>
        <w:t>省级村级公共服务经费补助资金</w:t>
      </w:r>
      <w:r>
        <w:rPr>
          <w:rFonts w:ascii="Times New Roman" w:eastAsia="仿宋_GB2312" w:cs="Times New Roman" w:hAnsi="Times New Roman"/>
          <w:color w:val="000000"/>
          <w:sz w:val="32"/>
          <w:szCs w:val="32"/>
        </w:rPr>
        <w:t>等</w:t>
      </w:r>
      <w:r>
        <w:rPr>
          <w:rFonts w:eastAsia="仿宋_GB2312" w:cs="Times New Roman" w:hint="eastAsia"/>
          <w:color w:val="000000"/>
          <w:sz w:val="32"/>
          <w:szCs w:val="32"/>
          <w:lang w:val="en-US" w:eastAsia="zh-CN"/>
        </w:rPr>
        <w:t>49</w:t>
      </w:r>
      <w:r>
        <w:rPr>
          <w:rFonts w:ascii="Times New Roman" w:eastAsia="仿宋_GB2312" w:cs="Times New Roman" w:hAnsi="Times New Roman"/>
          <w:color w:val="000000"/>
          <w:sz w:val="32"/>
          <w:szCs w:val="32"/>
        </w:rPr>
        <w:t>个项目开展了预算事前绩效评估，对</w:t>
      </w:r>
      <w:r>
        <w:rPr>
          <w:rFonts w:eastAsia="仿宋_GB2312" w:cs="Times New Roman" w:hint="eastAsia"/>
          <w:color w:val="000000"/>
          <w:sz w:val="32"/>
          <w:szCs w:val="32"/>
          <w:lang w:val="en-US" w:eastAsia="zh-CN"/>
        </w:rPr>
        <w:t>49</w:t>
      </w:r>
      <w:r>
        <w:rPr>
          <w:rFonts w:ascii="Times New Roman" w:eastAsia="仿宋_GB2312" w:cs="Times New Roman" w:hAnsi="Times New Roman"/>
          <w:color w:val="000000"/>
          <w:sz w:val="32"/>
          <w:szCs w:val="32"/>
        </w:rPr>
        <w:t>个项目编制了绩效目标</w:t>
      </w:r>
      <w:r>
        <w:rPr>
          <w:rFonts w:eastAsia="仿宋_GB2312" w:cs="Times New Roman" w:hint="eastAsia"/>
          <w:color w:val="000000"/>
          <w:sz w:val="32"/>
          <w:szCs w:val="32"/>
          <w:lang w:eastAsia="zh-CN"/>
        </w:rPr>
        <w:t>，在</w:t>
      </w:r>
      <w:r>
        <w:rPr>
          <w:rFonts w:ascii="Times New Roman" w:eastAsia="仿宋_GB2312" w:cs="Times New Roman" w:hAnsi="Times New Roman"/>
          <w:color w:val="000000"/>
          <w:sz w:val="32"/>
          <w:szCs w:val="32"/>
        </w:rPr>
        <w:t>预算执行过程中，选取</w:t>
      </w:r>
      <w:r>
        <w:rPr>
          <w:rFonts w:eastAsia="仿宋_GB2312" w:cs="Times New Roman" w:hint="eastAsia"/>
          <w:color w:val="000000"/>
          <w:sz w:val="32"/>
          <w:szCs w:val="32"/>
          <w:lang w:val="en-US" w:eastAsia="zh-CN"/>
        </w:rPr>
        <w:t>49</w:t>
      </w:r>
      <w:r>
        <w:rPr>
          <w:rFonts w:ascii="Times New Roman" w:eastAsia="仿宋_GB2312" w:cs="Times New Roman" w:hAnsi="Times New Roman"/>
          <w:color w:val="000000"/>
          <w:sz w:val="32"/>
          <w:szCs w:val="32"/>
        </w:rPr>
        <w:t>个项目开展绩效监控</w:t>
      </w:r>
      <w:r>
        <w:rPr>
          <w:rFonts w:ascii="Times New Roman" w:eastAsia="仿宋_GB2312" w:cs="Times New Roman" w:hAnsi="Times New Roman"/>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ascii="Times New Roman" w:eastAsia="仿宋_GB2312" w:cs="Times New Roman" w:hAnsi="Times New Roman"/>
          <w:color w:val="000000"/>
          <w:sz w:val="32"/>
          <w:szCs w:val="32"/>
          <w:lang w:val="en-US" w:eastAsia="zh-CN"/>
        </w:rPr>
      </w:pPr>
      <w:r>
        <w:rPr>
          <w:rFonts w:ascii="Times New Roman" w:eastAsia="仿宋_GB2312" w:cs="Times New Roman" w:hAnsi="Times New Roman"/>
          <w:color w:val="000000"/>
          <w:sz w:val="32"/>
          <w:szCs w:val="32"/>
          <w:lang w:eastAsia="zh-CN"/>
        </w:rPr>
        <w:t>组织</w:t>
      </w:r>
      <w:r>
        <w:rPr>
          <w:rFonts w:ascii="Times New Roman" w:eastAsia="仿宋_GB2312" w:cs="Times New Roman" w:hAnsi="Times New Roman"/>
          <w:color w:val="000000"/>
          <w:sz w:val="32"/>
          <w:szCs w:val="32"/>
        </w:rPr>
        <w:t>对</w:t>
      </w:r>
      <w:r>
        <w:rPr>
          <w:rFonts w:eastAsia="仿宋_GB2312" w:cs="Times New Roman" w:hint="eastAsia"/>
          <w:color w:val="000000"/>
          <w:sz w:val="32"/>
          <w:szCs w:val="32"/>
          <w:lang w:val="en-US" w:eastAsia="zh-CN"/>
        </w:rPr>
        <w:t>2025年度</w:t>
      </w:r>
      <w:r>
        <w:rPr>
          <w:rFonts w:ascii="Times New Roman" w:eastAsia="仿宋_GB2312" w:cs="Times New Roman" w:hAnsi="Times New Roman"/>
          <w:color w:val="000000"/>
          <w:sz w:val="32"/>
          <w:szCs w:val="32"/>
          <w:lang w:val="en-US" w:eastAsia="zh-CN"/>
        </w:rPr>
        <w:t>一般公共预算、</w:t>
      </w:r>
      <w:r>
        <w:rPr>
          <w:rFonts w:ascii="Times New Roman" w:eastAsia="仿宋_GB2312" w:cs="Times New Roman" w:hAnsi="Times New Roman"/>
          <w:color w:val="000000"/>
          <w:sz w:val="32"/>
          <w:szCs w:val="32"/>
          <w:lang w:eastAsia="zh-CN"/>
        </w:rPr>
        <w:t>政府性基金预算</w:t>
      </w:r>
      <w:r>
        <w:rPr>
          <w:rFonts w:ascii="Times New Roman" w:eastAsia="仿宋_GB2312" w:cs="Times New Roman" w:hAnsi="Times New Roman"/>
          <w:color w:val="000000"/>
          <w:sz w:val="32"/>
          <w:szCs w:val="32"/>
          <w:lang w:val="en-US" w:eastAsia="zh-CN"/>
        </w:rPr>
        <w:t>全面开展绩效自评，形成茂县凤仪镇人民政府</w:t>
      </w:r>
      <w:r>
        <w:rPr>
          <w:rFonts w:ascii="Times New Roman" w:eastAsia="仿宋_GB2312" w:cs="Times New Roman" w:hAnsi="Times New Roman"/>
          <w:color w:val="000000"/>
          <w:sz w:val="32"/>
          <w:szCs w:val="32"/>
          <w:lang w:eastAsia="zh-CN"/>
        </w:rPr>
        <w:t>部门整体</w:t>
      </w:r>
      <w:r>
        <w:rPr>
          <w:rFonts w:ascii="Times New Roman" w:eastAsia="仿宋_GB2312" w:cs="Times New Roman" w:hAnsi="Times New Roman"/>
          <w:color w:val="000000"/>
          <w:sz w:val="32"/>
          <w:szCs w:val="32"/>
          <w:lang w:val="en-US" w:eastAsia="zh-CN"/>
        </w:rPr>
        <w:t>绩效自评报告</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lang w:val="en-US" w:eastAsia="zh-CN"/>
        </w:rPr>
        <w:t>凤仪镇村级办公费等</w:t>
      </w:r>
      <w:r>
        <w:rPr>
          <w:rFonts w:ascii="Times New Roman" w:eastAsia="仿宋_GB2312" w:cs="Times New Roman" w:hAnsi="Times New Roman"/>
          <w:color w:val="000000"/>
          <w:sz w:val="32"/>
          <w:szCs w:val="32"/>
          <w:lang w:eastAsia="zh-CN"/>
        </w:rPr>
        <w:t>专项预算项目</w:t>
      </w:r>
      <w:r>
        <w:rPr>
          <w:rFonts w:ascii="Times New Roman" w:eastAsia="仿宋_GB2312" w:cs="Times New Roman" w:hAnsi="Times New Roman"/>
          <w:color w:val="000000"/>
          <w:sz w:val="32"/>
          <w:szCs w:val="32"/>
          <w:lang w:val="en-US" w:eastAsia="zh-CN"/>
        </w:rPr>
        <w:t>绩效自评报告，其中，茂县凤仪镇人民政府部门整体绩效自评得分为</w:t>
      </w:r>
      <w:r>
        <w:rPr>
          <w:rFonts w:eastAsia="仿宋_GB2312" w:cs="Times New Roman" w:hint="eastAsia"/>
          <w:color w:val="000000"/>
          <w:sz w:val="32"/>
          <w:szCs w:val="32"/>
          <w:lang w:val="en-US" w:eastAsia="zh-CN"/>
        </w:rPr>
        <w:t>87</w:t>
      </w:r>
      <w:r>
        <w:rPr>
          <w:rFonts w:ascii="Times New Roman" w:eastAsia="仿宋_GB2312" w:cs="Times New Roman" w:hAnsi="Times New Roman"/>
          <w:color w:val="000000"/>
          <w:sz w:val="32"/>
          <w:szCs w:val="32"/>
        </w:rPr>
        <w:t>分</w:t>
      </w:r>
      <w:r>
        <w:rPr>
          <w:rFonts w:ascii="Times New Roman" w:eastAsia="仿宋_GB2312" w:cs="Times New Roman" w:hAnsi="Times New Roman"/>
          <w:color w:val="000000"/>
          <w:sz w:val="32"/>
          <w:szCs w:val="32"/>
          <w:lang w:val="en-US" w:eastAsia="zh-CN"/>
        </w:rPr>
        <w:t>，绩效自评综述：202</w:t>
      </w:r>
      <w:r>
        <w:rPr>
          <w:rFonts w:eastAsia="仿宋_GB2312" w:cs="Times New Roman" w:hint="eastAsia"/>
          <w:color w:val="000000"/>
          <w:sz w:val="32"/>
          <w:szCs w:val="32"/>
          <w:lang w:val="en-US" w:eastAsia="zh-CN"/>
        </w:rPr>
        <w:t>5</w:t>
      </w:r>
      <w:r>
        <w:rPr>
          <w:rFonts w:ascii="Times New Roman" w:eastAsia="仿宋_GB2312" w:cs="Times New Roman" w:hAnsi="Times New Roman"/>
          <w:color w:val="000000"/>
          <w:sz w:val="32"/>
          <w:szCs w:val="32"/>
          <w:lang w:val="en-US" w:eastAsia="zh-CN"/>
        </w:rPr>
        <w:t>年我镇部门整体支出绩效自查自评结果良好，全年基本支出保证了部门的正常运转，项目支出保障了重点工作的开展。省级村级公共服务经费补助资金</w:t>
      </w:r>
      <w:r>
        <w:rPr>
          <w:rFonts w:ascii="Times New Roman" w:eastAsia="仿宋_GB2312" w:cs="Times New Roman" w:hAnsi="Times New Roman"/>
          <w:color w:val="000000"/>
          <w:sz w:val="32"/>
          <w:szCs w:val="32"/>
          <w:lang w:eastAsia="zh-CN"/>
        </w:rPr>
        <w:t>专项预</w:t>
      </w:r>
      <w:r>
        <w:rPr>
          <w:rFonts w:ascii="Times New Roman" w:eastAsia="仿宋_GB2312" w:cs="Times New Roman" w:hAnsi="Times New Roman"/>
          <w:color w:val="000000"/>
          <w:sz w:val="32"/>
          <w:szCs w:val="32"/>
          <w:lang w:val="en-US" w:eastAsia="zh-CN"/>
        </w:rPr>
        <w:t>算项目绩效自评得分为</w:t>
      </w:r>
      <w:r>
        <w:rPr>
          <w:rFonts w:ascii="Times New Roman" w:eastAsia="仿宋_GB2312" w:cs="Times New Roman" w:hAnsi="Times New Roman" w:hint="eastAsia"/>
          <w:color w:val="000000"/>
          <w:sz w:val="32"/>
          <w:szCs w:val="32"/>
          <w:lang w:val="en-US" w:eastAsia="zh-CN"/>
        </w:rPr>
        <w:t>87</w:t>
      </w:r>
      <w:r>
        <w:rPr>
          <w:rFonts w:ascii="Times New Roman" w:eastAsia="仿宋_GB2312" w:cs="Times New Roman" w:hAnsi="Times New Roman"/>
          <w:color w:val="000000"/>
          <w:sz w:val="32"/>
          <w:szCs w:val="32"/>
          <w:lang w:val="en-US" w:eastAsia="zh-CN"/>
        </w:rPr>
        <w:t>分，绩效自评综述：通过完善基础设施建设，进一步改善村级的基础设施和公共服务，完善村民自治，密切党和政府同农民群众的关系，满足了农民群众的需求，也为我镇的村级项目建设起到示范和引领作用。绩效自评报告详见附件。</w:t>
      </w:r>
    </w:p>
    <w:p>
      <w:pPr>
        <w:pStyle w:val="1"/>
        <w:keepNext/>
        <w:keepLines/>
        <w:pageBreakBefore w:val="0"/>
        <w:widowControl w:val="0"/>
        <w:kinsoku/>
        <w:wordWrap/>
        <w:overflowPunct/>
        <w:topLinePunct w:val="0"/>
        <w:autoSpaceDE/>
        <w:autoSpaceDN/>
        <w:bidi w:val="0"/>
        <w:spacing w:before="0" w:after="0" w:line="576" w:lineRule="exact"/>
        <w:jc w:val="center"/>
        <w:rPr>
          <w:rFonts w:ascii="方正小标宋简体" w:eastAsia="方正小标宋简体" w:cs="方正小标宋简体" w:hint="eastAsia"/>
          <w:b w:val="0"/>
          <w:bCs w:val="0"/>
        </w:rPr>
      </w:pPr>
      <w:bookmarkStart w:id="68" w:name="_Toc15377225"/>
      <w:bookmarkStart w:id="69" w:name="_Toc111208509"/>
    </w:p>
    <w:p>
      <w:pPr>
        <w:pageBreakBefore w:val="0"/>
        <w:widowControl w:val="0"/>
        <w:kinsoku/>
        <w:wordWrap/>
        <w:overflowPunct/>
        <w:topLinePunct w:val="0"/>
        <w:autoSpaceDE/>
        <w:autoSpaceDN/>
        <w:bidi w:val="0"/>
        <w:rPr>
          <w:rFonts w:ascii="方正小标宋简体" w:eastAsia="方正小标宋简体" w:cs="方正小标宋简体" w:hint="eastAsia"/>
          <w:b w:val="0"/>
          <w:bCs w:val="0"/>
        </w:rPr>
      </w:pPr>
    </w:p>
    <w:p>
      <w:pPr>
        <w:pStyle w:val="15"/>
        <w:keepNext/>
        <w:keepLines/>
        <w:pageBreakBefore w:val="0"/>
        <w:widowControl w:val="0"/>
        <w:kinsoku/>
        <w:wordWrap/>
        <w:overflowPunct/>
        <w:topLinePunct w:val="0"/>
        <w:autoSpaceDE/>
        <w:autoSpaceDN/>
        <w:bidi w:val="0"/>
        <w:spacing w:before="0" w:after="0"/>
        <w:rPr>
          <w:rFonts w:ascii="方正小标宋简体" w:eastAsia="方正小标宋简体" w:cs="方正小标宋简体" w:hint="eastAsia"/>
          <w:b w:val="0"/>
          <w:bCs w:val="0"/>
        </w:rPr>
      </w:pPr>
    </w:p>
    <w:p>
      <w:pPr>
        <w:pageBreakBefore w:val="0"/>
        <w:widowControl w:val="0"/>
        <w:kinsoku/>
        <w:wordWrap/>
        <w:overflowPunct/>
        <w:topLinePunct w:val="0"/>
        <w:autoSpaceDE/>
        <w:autoSpaceDN/>
        <w:bidi w:val="0"/>
        <w:rPr>
          <w:rFonts w:ascii="方正小标宋简体" w:eastAsia="方正小标宋简体" w:cs="方正小标宋简体" w:hint="eastAsia"/>
          <w:b w:val="0"/>
          <w:bCs w:val="0"/>
        </w:rPr>
      </w:pPr>
    </w:p>
    <w:p>
      <w:pPr>
        <w:pStyle w:val="1"/>
        <w:keepNext/>
        <w:keepLines/>
        <w:pageBreakBefore w:val="0"/>
        <w:widowControl w:val="0"/>
        <w:kinsoku/>
        <w:wordWrap/>
        <w:overflowPunct/>
        <w:topLinePunct w:val="0"/>
        <w:autoSpaceDE/>
        <w:autoSpaceDN/>
        <w:bidi w:val="0"/>
        <w:spacing w:before="0" w:after="0" w:line="576" w:lineRule="exact"/>
        <w:jc w:val="center"/>
        <w:rPr>
          <w:rFonts w:ascii="方正小标宋简体" w:eastAsia="方正小标宋简体" w:cs="方正小标宋简体" w:hint="eastAsia"/>
          <w:b w:val="0"/>
          <w:bCs w:val="0"/>
        </w:rPr>
      </w:pPr>
    </w:p>
    <w:p>
      <w:pPr>
        <w:pStyle w:val="1"/>
        <w:keepNext/>
        <w:keepLines/>
        <w:pageBreakBefore w:val="0"/>
        <w:widowControl w:val="0"/>
        <w:kinsoku/>
        <w:wordWrap/>
        <w:overflowPunct/>
        <w:topLinePunct w:val="0"/>
        <w:autoSpaceDE/>
        <w:autoSpaceDN/>
        <w:bidi w:val="0"/>
        <w:spacing w:before="0" w:after="0" w:line="576" w:lineRule="exact"/>
        <w:jc w:val="both"/>
        <w:rPr>
          <w:rFonts w:ascii="方正小标宋简体" w:eastAsia="方正小标宋简体" w:cs="方正小标宋简体" w:hint="eastAsia"/>
          <w:b w:val="0"/>
          <w:bCs w:val="0"/>
        </w:rPr>
      </w:pPr>
    </w:p>
    <w:p>
      <w:pPr>
        <w:pageBreakBefore w:val="0"/>
        <w:widowControl w:val="0"/>
        <w:kinsoku/>
        <w:wordWrap/>
        <w:overflowPunct/>
        <w:topLinePunct w:val="0"/>
        <w:autoSpaceDE/>
        <w:autoSpaceDN/>
        <w:bidi w:val="0"/>
        <w:rPr>
          <w:rFonts w:hint="eastAsia"/>
        </w:rPr>
      </w:pPr>
    </w:p>
    <w:p>
      <w:pPr>
        <w:pStyle w:val="1"/>
        <w:keepNext/>
        <w:keepLines/>
        <w:pageBreakBefore w:val="0"/>
        <w:widowControl w:val="0"/>
        <w:kinsoku/>
        <w:wordWrap/>
        <w:overflowPunct/>
        <w:topLinePunct w:val="0"/>
        <w:autoSpaceDE/>
        <w:autoSpaceDN/>
        <w:bidi w:val="0"/>
        <w:adjustRightInd/>
        <w:snapToGrid/>
        <w:spacing w:before="0" w:afterLines="100" w:after="435" w:line="576" w:lineRule="exact"/>
        <w:jc w:val="both"/>
        <w:textAlignment w:val="auto"/>
        <w:rPr>
          <w:rFonts w:ascii="方正小标宋简体" w:eastAsia="方正小标宋简体" w:cs="方正小标宋简体" w:hint="eastAsia"/>
          <w:b w:val="0"/>
          <w:bCs w:val="0"/>
        </w:rPr>
      </w:pPr>
      <w:bookmarkStart w:id="70" w:name="_Toc22428"/>
    </w:p>
    <w:p>
      <w:pPr>
        <w:rPr>
          <w:rFonts w:hint="eastAsia"/>
        </w:rPr>
      </w:pPr>
    </w:p>
    <w:p>
      <w:pPr>
        <w:rPr>
          <w:rFonts w:hint="eastAsia"/>
        </w:rPr>
      </w:pPr>
    </w:p>
    <w:p>
      <w:pPr>
        <w:pStyle w:val="1"/>
        <w:keepNext/>
        <w:keepLines/>
        <w:pageBreakBefore w:val="0"/>
        <w:widowControl w:val="0"/>
        <w:kinsoku/>
        <w:wordWrap/>
        <w:overflowPunct/>
        <w:topLinePunct w:val="0"/>
        <w:autoSpaceDE/>
        <w:autoSpaceDN/>
        <w:bidi w:val="0"/>
        <w:adjustRightInd/>
        <w:snapToGrid/>
        <w:spacing w:before="0" w:afterLines="100" w:after="435" w:line="576" w:lineRule="exact"/>
        <w:jc w:val="center"/>
        <w:textAlignment w:val="auto"/>
        <w:rPr>
          <w:rFonts w:ascii="方正小标宋简体" w:eastAsia="方正小标宋简体" w:cs="方正小标宋简体" w:hint="eastAsia"/>
          <w:b w:val="0"/>
          <w:bCs w:val="0"/>
        </w:rPr>
      </w:pPr>
      <w:r>
        <w:rPr>
          <w:rFonts w:ascii="方正小标宋简体" w:eastAsia="方正小标宋简体" w:cs="方正小标宋简体" w:hint="eastAsia"/>
          <w:b w:val="0"/>
          <w:bCs w:val="0"/>
        </w:rPr>
        <w:t>第三部分 名词解释</w:t>
      </w:r>
      <w:bookmarkEnd w:id="68"/>
      <w:bookmarkEnd w:id="69"/>
      <w:bookmarkEnd w:id="70"/>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1.财政拨款收入：指单位从同级财政部门取得的财政预算资金。</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2.事业收入：指事业单位开展专业业务活动及辅助活动取得的收入。</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3.经营收入：指事业单位在专业业务活动及其辅助活动之外开展非独立核算经营活动取得的收入</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4.其他收入：指单位取得的除上述收入以外的各项收入。</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 xml:space="preserve">5.使用非财政拨款结余（含专用结余）：指事业单位使用以前年度积累的非财政拨款结余弥补当年收支差额的金额。 </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 xml:space="preserve">6.年初结转和结余：指以前年度尚未完成、结转到本年按有关规定继续使用的资金。 </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7.结余分配：指事业单位按照会计制度规定缴纳的所得税、提取的专用结余以及转入非财政拨款结余的金额等。</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8.年末结转和结余：指单位按有关规定结转到下年或以后年度继续使用的资金。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rFonts w:ascii="仿宋_GB2312" w:eastAsia="仿宋_GB2312" w:cs="仿宋_GB2312"/>
          <w:color w:val="000000"/>
          <w:sz w:val="32"/>
          <w:szCs w:val="32"/>
          <w:lang w:val="en-US" w:eastAsia="zh-CN"/>
        </w:rPr>
      </w:pPr>
      <w:r>
        <w:rPr>
          <w:rFonts w:ascii="仿宋_GB2312" w:eastAsia="仿宋_GB2312" w:cs="仿宋_GB2312" w:hint="eastAsia"/>
          <w:color w:val="000000"/>
          <w:sz w:val="32"/>
          <w:szCs w:val="32"/>
        </w:rPr>
        <w:t>9.一般公共服务支出（类）人大事务（款）代表工作（项）:反映人大代表开展各类视察等方面的支出。</w:t>
        <w:cr/>
        <w:t xml:space="preserve">    10.一般公共服务支出（类）政府办公厅（室）及相关机构事务（款）行政运行（项）:反映行政单位（包括实行公务员管理的事业单位）的基本支出。</w:t>
        <w:cr/>
        <w:t xml:space="preserve">    11.一般公共服务支出（类）政府办公厅（室）及相关机构事务（款）其他政府办公厅（室）及相关机构事务支出（项）:反映除上述项目以外的其他政府办公厅（室）及相关机构事务支岀。</w:t>
        <w:cr/>
      </w:r>
      <w:r>
        <w:rPr>
          <w:rFonts w:ascii="仿宋_GB2312" w:eastAsia="仿宋_GB2312" w:cs="仿宋_GB2312" w:hint="eastAsia"/>
          <w:color w:val="000000"/>
          <w:sz w:val="32"/>
          <w:szCs w:val="32"/>
          <w:lang w:val="en-US" w:eastAsia="zh-CN"/>
        </w:rPr>
        <w:t xml:space="preserve">    12.</w:t>
      </w:r>
      <w:r>
        <w:rPr>
          <w:rFonts w:ascii="Times New Roman" w:eastAsia="仿宋_GB2312" w:cs="Times New Roman" w:hAnsi="Times New Roman"/>
          <w:color w:val="000000"/>
          <w:sz w:val="32"/>
          <w:szCs w:val="32"/>
          <w:lang w:val="en-US" w:eastAsia="zh-CN"/>
        </w:rPr>
        <w:t>一般公共服务支出（类）社会工作事务（款）专项业务（项）：</w:t>
      </w:r>
      <w:r>
        <w:rPr>
          <w:rFonts w:eastAsia="仿宋_GB2312" w:cs="Times New Roman" w:hint="eastAsia"/>
          <w:color w:val="000000"/>
          <w:sz w:val="32"/>
          <w:szCs w:val="32"/>
          <w:lang w:val="en-US" w:eastAsia="zh-CN"/>
        </w:rPr>
        <w:t>反映社会工作部门开展专项业务活动的支出</w:t>
      </w:r>
      <w:r>
        <w:rPr>
          <w:rFonts w:ascii="Times New Roman" w:eastAsia="仿宋_GB2312" w:cs="Times New Roman" w:hAnsi="Times New Roman"/>
          <w:color w:val="000000"/>
          <w:sz w:val="32"/>
          <w:szCs w:val="32"/>
          <w:lang w:val="en-US" w:eastAsia="zh-CN"/>
        </w:rPr>
        <w:t>。</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w:t>
      </w:r>
      <w:r>
        <w:rPr>
          <w:rFonts w:ascii="仿宋_GB2312" w:eastAsia="仿宋_GB2312" w:cs="仿宋_GB2312" w:hint="eastAsia"/>
          <w:color w:val="000000"/>
          <w:sz w:val="32"/>
          <w:szCs w:val="32"/>
          <w:lang w:val="en-US" w:eastAsia="zh-CN"/>
        </w:rPr>
        <w:t>3</w:t>
      </w:r>
      <w:r>
        <w:rPr>
          <w:rFonts w:ascii="仿宋_GB2312" w:eastAsia="仿宋_GB2312" w:cs="仿宋_GB2312" w:hint="eastAsia"/>
          <w:color w:val="000000"/>
          <w:sz w:val="32"/>
          <w:szCs w:val="32"/>
        </w:rPr>
        <w:t>.社会保障和就业支出（类）行政事业单位养老支出（款）机关事业单位基本养老保险缴费支出（项）:反映机关事业单位实施养老保险制度由单位缴纳的基本养老保险费支出。</w:t>
        <w:cr/>
        <w:t xml:space="preserve">    1</w:t>
      </w:r>
      <w:r>
        <w:rPr>
          <w:rFonts w:ascii="仿宋_GB2312" w:eastAsia="仿宋_GB2312" w:cs="仿宋_GB2312" w:hint="eastAsia"/>
          <w:color w:val="000000"/>
          <w:sz w:val="32"/>
          <w:szCs w:val="32"/>
          <w:lang w:val="en-US" w:eastAsia="zh-CN"/>
        </w:rPr>
        <w:t>4</w:t>
      </w:r>
      <w:r>
        <w:rPr>
          <w:rFonts w:ascii="仿宋_GB2312" w:eastAsia="仿宋_GB2312" w:cs="仿宋_GB2312" w:hint="eastAsia"/>
          <w:color w:val="000000"/>
          <w:sz w:val="32"/>
          <w:szCs w:val="32"/>
        </w:rPr>
        <w:t>.社会保障和就业支出（类）行政事业单位养老支出（款）机关事业单位职业年金缴费支出（项）:反映机关事业单位实施养老保险制度由单位实际缴纳的职业年金支出。</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w:t>
      </w:r>
      <w:r>
        <w:rPr>
          <w:rFonts w:ascii="仿宋_GB2312" w:eastAsia="仿宋_GB2312" w:cs="仿宋_GB2312" w:hint="eastAsia"/>
          <w:color w:val="000000"/>
          <w:sz w:val="32"/>
          <w:szCs w:val="32"/>
          <w:lang w:val="en-US" w:eastAsia="zh-CN"/>
        </w:rPr>
        <w:t>5</w:t>
      </w:r>
      <w:r>
        <w:rPr>
          <w:rFonts w:ascii="仿宋_GB2312" w:eastAsia="仿宋_GB2312" w:cs="仿宋_GB2312" w:hint="eastAsia"/>
          <w:color w:val="000000"/>
          <w:sz w:val="32"/>
          <w:szCs w:val="32"/>
        </w:rPr>
        <w:t>.社会保障和就业支出（类）就业补助（款）公益性岗位补贴（项）:反映财政对符合条件的就业困难人员在公益性岗位就业给予的岗位补贴支出。</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16.社会保障和就业支出（类）残疾人事业（款）其他残疾人事业支出（项）:反映除上述项目以外其他用于残疾人事业方面的支出。</w:t>
        <w:cr/>
        <w:t xml:space="preserve">    17.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cr/>
        <w:t xml:space="preserve">    18.卫生健康支出（类）行政事业单位医疗（款）事业单位医疗（项）:反映财政部门安排的事业单位基本医疗保险缴费经费，未参加医疗保险的事业单位的公费医疗经费，按国家规定享受离休人员待遇的医疗经费。</w:t>
        <w:cr/>
        <w:t xml:space="preserve">    19.农林水支出（类）农业农村（款）事业运行（项）:反映用于农业事业单位基本支出，事业单位设施、系统运行与资产维护等方面的支出。</w:t>
        <w:cr/>
      </w:r>
      <w:r>
        <w:rPr>
          <w:rFonts w:ascii="仿宋_GB2312" w:eastAsia="仿宋_GB2312" w:cs="仿宋_GB2312" w:hint="eastAsia"/>
          <w:color w:val="000000"/>
          <w:sz w:val="32"/>
          <w:szCs w:val="32"/>
          <w:lang w:val="en-US" w:eastAsia="zh-CN"/>
        </w:rPr>
        <w:t xml:space="preserve"> </w:t>
      </w:r>
      <w:r>
        <w:rPr>
          <w:rFonts w:ascii="仿宋_GB2312" w:eastAsia="仿宋_GB2312" w:cs="仿宋_GB2312" w:hint="eastAsia"/>
          <w:color w:val="000000"/>
          <w:sz w:val="32"/>
          <w:szCs w:val="32"/>
        </w:rPr>
        <w:t xml:space="preserve">   2</w:t>
      </w:r>
      <w:r>
        <w:rPr>
          <w:rFonts w:ascii="仿宋_GB2312" w:eastAsia="仿宋_GB2312" w:cs="仿宋_GB2312" w:hint="eastAsia"/>
          <w:color w:val="000000"/>
          <w:sz w:val="32"/>
          <w:szCs w:val="32"/>
          <w:lang w:val="en-US" w:eastAsia="zh-CN"/>
        </w:rPr>
        <w:t>0</w:t>
      </w:r>
      <w:r>
        <w:rPr>
          <w:rFonts w:ascii="仿宋_GB2312" w:eastAsia="仿宋_GB2312" w:cs="仿宋_GB2312" w:hint="eastAsia"/>
          <w:color w:val="000000"/>
          <w:sz w:val="32"/>
          <w:szCs w:val="32"/>
        </w:rPr>
        <w:t>.农林水支出（类）农业农村（款）其他农业农村支出（项）:反映除上述项以外其他用于农业农村方面的支出。</w:t>
        <w:cr/>
        <w:t xml:space="preserve">    2</w:t>
      </w:r>
      <w:r>
        <w:rPr>
          <w:rFonts w:ascii="仿宋_GB2312" w:eastAsia="仿宋_GB2312" w:cs="仿宋_GB2312" w:hint="eastAsia"/>
          <w:color w:val="000000"/>
          <w:sz w:val="32"/>
          <w:szCs w:val="32"/>
          <w:lang w:val="en-US" w:eastAsia="zh-CN"/>
        </w:rPr>
        <w:t>1</w:t>
      </w:r>
      <w:r>
        <w:rPr>
          <w:rFonts w:ascii="仿宋_GB2312" w:eastAsia="仿宋_GB2312" w:cs="仿宋_GB2312" w:hint="eastAsia"/>
          <w:color w:val="000000"/>
          <w:sz w:val="32"/>
          <w:szCs w:val="32"/>
        </w:rPr>
        <w:t>.农林水支出（类）巩固脱贫攻坚成果衔接乡村振兴（款）农村基础设施建设（项）:反映用于农村贫困地区乡村道路、住房、基本农田、水利设施、人畜饮水、生态环境保护等生产生活条件改善方面的支出。</w:t>
        <w:cr/>
        <w:t xml:space="preserve">    2</w:t>
      </w:r>
      <w:r>
        <w:rPr>
          <w:rFonts w:ascii="仿宋_GB2312" w:eastAsia="仿宋_GB2312" w:cs="仿宋_GB2312" w:hint="eastAsia"/>
          <w:color w:val="000000"/>
          <w:sz w:val="32"/>
          <w:szCs w:val="32"/>
          <w:lang w:val="en-US" w:eastAsia="zh-CN"/>
        </w:rPr>
        <w:t>2</w:t>
      </w:r>
      <w:r>
        <w:rPr>
          <w:rFonts w:ascii="仿宋_GB2312" w:eastAsia="仿宋_GB2312" w:cs="仿宋_GB2312" w:hint="eastAsia"/>
          <w:color w:val="000000"/>
          <w:sz w:val="32"/>
          <w:szCs w:val="32"/>
        </w:rPr>
        <w:t>.农林水支出（类）巩固脱贫攻坚成果衔接乡村振兴（款）其他巩固脱贫攻坚成果衔接乡村振兴支出（项）:反映除上述项目以外其他用于扶贫方面的支出。</w:t>
        <w:cr/>
        <w:t xml:space="preserve">    2</w:t>
      </w:r>
      <w:r>
        <w:rPr>
          <w:rFonts w:ascii="仿宋_GB2312" w:eastAsia="仿宋_GB2312" w:cs="仿宋_GB2312" w:hint="eastAsia"/>
          <w:color w:val="000000"/>
          <w:sz w:val="32"/>
          <w:szCs w:val="32"/>
          <w:lang w:val="en-US" w:eastAsia="zh-CN"/>
        </w:rPr>
        <w:t>3</w:t>
      </w:r>
      <w:r>
        <w:rPr>
          <w:rFonts w:ascii="仿宋_GB2312" w:eastAsia="仿宋_GB2312" w:cs="仿宋_GB2312" w:hint="eastAsia"/>
          <w:color w:val="000000"/>
          <w:sz w:val="32"/>
          <w:szCs w:val="32"/>
        </w:rPr>
        <w:t>.农林水支出（类）农村综合改革（款）对村民委员会和村党支部的补助（项）:反映各级财政对村民委员会和村党支部的补助支出，以及支持建立县级基本财力保障机制安排的村级组织运转奖补资金。</w:t>
        <w:cr/>
        <w:t xml:space="preserve">    2</w:t>
      </w:r>
      <w:r>
        <w:rPr>
          <w:rFonts w:ascii="仿宋_GB2312" w:eastAsia="仿宋_GB2312" w:cs="仿宋_GB2312" w:hint="eastAsia"/>
          <w:color w:val="000000"/>
          <w:sz w:val="32"/>
          <w:szCs w:val="32"/>
          <w:lang w:val="en-US" w:eastAsia="zh-CN"/>
        </w:rPr>
        <w:t>4</w:t>
      </w:r>
      <w:r>
        <w:rPr>
          <w:rFonts w:ascii="仿宋_GB2312" w:eastAsia="仿宋_GB2312" w:cs="仿宋_GB2312" w:hint="eastAsia"/>
          <w:color w:val="000000"/>
          <w:sz w:val="32"/>
          <w:szCs w:val="32"/>
        </w:rPr>
        <w:t>.住房保障支出（类）住房改革支出（款）住房公积金（项）:反映行政事业单位按人力资源和社会保障部、财政部规定的基本工资和津贴补贴以及规定比例为职工缴纳的住房公积金。</w:t>
        <w:cr/>
        <w:t xml:space="preserve">    2</w:t>
      </w:r>
      <w:r>
        <w:rPr>
          <w:rFonts w:ascii="仿宋_GB2312" w:eastAsia="仿宋_GB2312" w:cs="仿宋_GB2312" w:hint="eastAsia"/>
          <w:color w:val="000000"/>
          <w:sz w:val="32"/>
          <w:szCs w:val="32"/>
          <w:lang w:val="en-US" w:eastAsia="zh-CN"/>
        </w:rPr>
        <w:t>5</w:t>
      </w:r>
      <w:r>
        <w:rPr>
          <w:rFonts w:ascii="仿宋_GB2312" w:eastAsia="仿宋_GB2312" w:cs="仿宋_GB2312" w:hint="eastAsia"/>
          <w:color w:val="000000"/>
          <w:sz w:val="32"/>
          <w:szCs w:val="32"/>
        </w:rPr>
        <w:t>.住房保障支出（类）住房改革支出（款）购房补贴（项）:反映按房改政策规定，行政事业单位向符合条件职工（含离退休人员）、军队（含武警）向转役复员离退休人员发放的用于购买住房的补贴。</w:t>
        <w:cr/>
        <w:t xml:space="preserve">   </w:t>
      </w:r>
      <w:r>
        <w:rPr>
          <w:rFonts w:ascii="仿宋_GB2312" w:eastAsia="仿宋_GB2312" w:cs="仿宋_GB2312" w:hint="eastAsia"/>
          <w:color w:val="000000"/>
          <w:sz w:val="32"/>
          <w:szCs w:val="32"/>
          <w:lang w:val="en-US" w:eastAsia="zh-CN"/>
        </w:rPr>
        <w:t xml:space="preserve"> 26</w:t>
      </w:r>
      <w:r>
        <w:rPr>
          <w:rFonts w:ascii="仿宋_GB2312" w:eastAsia="仿宋_GB2312" w:cs="仿宋_GB2312" w:hint="eastAsia"/>
          <w:color w:val="000000"/>
          <w:sz w:val="32"/>
          <w:szCs w:val="32"/>
          <w:u w:color="auto"/>
        </w:rPr>
        <w:t>.基本支出：指为保障机构正常运转、完成日常工作任务而发生的人员支出和公用支出。</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lang w:val="en-US" w:eastAsia="zh-CN"/>
        </w:rPr>
        <w:t>27</w:t>
      </w:r>
      <w:r>
        <w:rPr>
          <w:rFonts w:ascii="仿宋_GB2312" w:eastAsia="仿宋_GB2312" w:cs="仿宋_GB2312" w:hint="eastAsia"/>
          <w:color w:val="000000"/>
          <w:sz w:val="32"/>
          <w:szCs w:val="32"/>
          <w:u w:color="auto"/>
        </w:rPr>
        <w:t xml:space="preserve">.项目支出：指在基本支出之外为完成特定行政任务和事业发展目标所发生的支出。 </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lang w:val="en-US" w:eastAsia="zh-CN"/>
        </w:rPr>
        <w:t>28</w:t>
      </w:r>
      <w:r>
        <w:rPr>
          <w:rFonts w:ascii="仿宋_GB2312" w:eastAsia="仿宋_GB2312" w:cs="仿宋_GB2312" w:hint="eastAsia"/>
          <w:color w:val="000000"/>
          <w:sz w:val="32"/>
          <w:szCs w:val="32"/>
          <w:u w:color="auto"/>
        </w:rPr>
        <w:t>.经营支出：指事业单位在专业业务活动及其辅助活动之外开展非独立核算经营活动发生的支出。</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lang w:val="en-US" w:eastAsia="zh-CN"/>
        </w:rPr>
        <w:t>29</w:t>
      </w:r>
      <w:r>
        <w:rPr>
          <w:rFonts w:ascii="仿宋_GB2312" w:eastAsia="仿宋_GB2312" w:cs="仿宋_GB2312" w:hint="eastAsia"/>
          <w:color w:val="000000"/>
          <w:sz w:val="32"/>
          <w:szCs w:val="32"/>
          <w:u w:color="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color w:val="000000"/>
          <w:sz w:val="32"/>
          <w:szCs w:val="32"/>
        </w:rPr>
      </w:pPr>
      <w:r>
        <w:rPr>
          <w:rFonts w:ascii="仿宋_GB2312" w:eastAsia="仿宋_GB2312" w:cs="仿宋_GB2312" w:hint="eastAsia"/>
          <w:color w:val="000000"/>
          <w:sz w:val="32"/>
          <w:szCs w:val="32"/>
          <w:lang w:val="en-US" w:eastAsia="zh-CN"/>
        </w:rPr>
        <w:t>30</w:t>
      </w:r>
      <w:r>
        <w:rPr>
          <w:rFonts w:ascii="仿宋_GB2312" w:eastAsia="仿宋_GB2312" w:cs="仿宋_GB2312" w:hint="eastAsia"/>
          <w:color w:val="000000"/>
          <w:sz w:val="32"/>
          <w:szCs w:val="32"/>
          <w:u w:color="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widowControl w:val="0"/>
        <w:kinsoku/>
        <w:wordWrap/>
        <w:overflowPunct/>
        <w:topLinePunct w:val="0"/>
        <w:autoSpaceDE/>
        <w:autoSpaceDN/>
        <w:bidi w:val="0"/>
        <w:spacing w:line="576" w:lineRule="exact"/>
        <w:ind w:firstLine="640"/>
        <w:rPr>
          <w:rFonts w:ascii="仿宋_GB2312" w:eastAsia="仿宋_GB2312" w:cs="仿宋_GB2312" w:hint="eastAsia"/>
          <w:sz w:val="32"/>
          <w:szCs w:val="32"/>
        </w:rPr>
      </w:pPr>
      <w:r>
        <w:rPr>
          <w:rFonts w:ascii="仿宋_GB2312" w:eastAsia="仿宋_GB2312" w:cs="仿宋_GB2312" w:hint="eastAsia"/>
          <w:color w:val="000000"/>
          <w:sz w:val="32"/>
          <w:szCs w:val="32"/>
          <w:lang w:val="en-US" w:eastAsia="zh-CN"/>
        </w:rPr>
        <w:t>31</w:t>
      </w:r>
      <w:r>
        <w:rPr>
          <w:rFonts w:ascii="仿宋_GB2312" w:eastAsia="仿宋_GB2312" w:cs="仿宋_GB2312" w:hint="eastAsia"/>
          <w:color w:val="000000"/>
          <w:sz w:val="32"/>
          <w:szCs w:val="32"/>
          <w:u w:color="auto"/>
        </w:rPr>
        <w:t>.财政应返还额度：为行政事业单位会计核算科目，用于核算实行国库集中支付的行政事业单位应收财政返还的资金额度。</w:t>
      </w:r>
    </w:p>
    <w:p>
      <w:pPr>
        <w:pageBreakBefore w:val="0"/>
        <w:widowControl/>
        <w:kinsoku/>
        <w:wordWrap/>
        <w:overflowPunct/>
        <w:topLinePunct w:val="0"/>
        <w:autoSpaceDE/>
        <w:autoSpaceDN/>
        <w:bidi w:val="0"/>
        <w:spacing w:line="576" w:lineRule="exact"/>
        <w:jc w:val="left"/>
        <w:rPr>
          <w:rStyle w:val="1Char"/>
          <w:rFonts w:ascii="仿宋_GB2312" w:eastAsia="仿宋_GB2312" w:cs="仿宋_GB2312" w:hint="eastAsia"/>
          <w:sz w:val="32"/>
          <w:szCs w:val="32"/>
        </w:rPr>
      </w:pPr>
      <w:r>
        <w:rPr>
          <w:rStyle w:val="1Char"/>
          <w:rFonts w:ascii="仿宋_GB2312" w:eastAsia="仿宋_GB2312" w:cs="仿宋_GB2312" w:hint="eastAsia"/>
          <w:sz w:val="32"/>
          <w:szCs w:val="32"/>
        </w:rPr>
        <w:br w:type="page"/>
      </w:r>
    </w:p>
    <w:p>
      <w:pPr>
        <w:pStyle w:val="1"/>
        <w:keepNext/>
        <w:keepLines/>
        <w:pageBreakBefore w:val="0"/>
        <w:widowControl w:val="0"/>
        <w:kinsoku/>
        <w:wordWrap/>
        <w:overflowPunct/>
        <w:topLinePunct w:val="0"/>
        <w:autoSpaceDE/>
        <w:autoSpaceDN/>
        <w:bidi w:val="0"/>
        <w:spacing w:before="0" w:after="0" w:line="576" w:lineRule="exact"/>
        <w:jc w:val="center"/>
        <w:rPr>
          <w:rStyle w:val="1Char"/>
          <w:rFonts w:ascii="黑体" w:eastAsia="黑体" w:hint="eastAsia"/>
          <w:b w:val="0"/>
          <w:bCs/>
          <w:color w:val="auto"/>
          <w:highlight w:val="auto"/>
        </w:rPr>
      </w:pPr>
      <w:bookmarkStart w:id="71" w:name="_Toc111208510"/>
      <w:bookmarkStart w:id="72" w:name="_Toc4304"/>
      <w:r>
        <w:rPr>
          <w:rFonts w:ascii="方正小标宋简体" w:eastAsia="方正小标宋简体" w:cs="方正小标宋简体" w:hint="eastAsia"/>
          <w:b w:val="0"/>
          <w:bCs w:val="0"/>
          <w:lang w:eastAsia="zh-CN"/>
        </w:rPr>
        <w:t>第四部分</w:t>
      </w:r>
      <w:r>
        <w:rPr>
          <w:rFonts w:ascii="方正小标宋简体" w:eastAsia="方正小标宋简体" w:cs="方正小标宋简体" w:hint="eastAsia"/>
          <w:b w:val="0"/>
          <w:bCs w:val="0"/>
          <w:lang w:val="en-US" w:eastAsia="zh-CN"/>
        </w:rPr>
        <w:t xml:space="preserve">  </w:t>
      </w:r>
      <w:r>
        <w:rPr>
          <w:rFonts w:ascii="方正小标宋简体" w:eastAsia="方正小标宋简体" w:cs="方正小标宋简体" w:hint="eastAsia"/>
          <w:b w:val="0"/>
          <w:bCs w:val="0"/>
        </w:rPr>
        <w:t>附件</w:t>
      </w:r>
      <w:bookmarkStart w:id="73" w:name="_Toc5640"/>
      <w:bookmarkStart w:id="74" w:name="_Toc79163885"/>
      <w:bookmarkStart w:id="75" w:name="_Toc79163635"/>
      <w:bookmarkStart w:id="76" w:name="_Toc111208512"/>
      <w:bookmarkEnd w:id="71"/>
      <w:bookmarkEnd w:id="72"/>
    </w:p>
    <w:p>
      <w:pPr>
        <w:keepNext w:val="0"/>
        <w:keepLines w:val="0"/>
        <w:pageBreakBefore w:val="0"/>
        <w:widowControl w:val="0"/>
        <w:kinsoku/>
        <w:wordWrap/>
        <w:overflowPunct/>
        <w:topLinePunct w:val="0"/>
        <w:autoSpaceDE/>
        <w:autoSpaceDN/>
        <w:bidi w:val="0"/>
        <w:spacing w:line="576" w:lineRule="exact"/>
        <w:jc w:val="left"/>
        <w:textAlignment w:val="auto"/>
        <w:outlineLvl w:val="0"/>
        <w:rPr>
          <w:rFonts w:ascii="Times New Roman" w:eastAsia="黑体" w:cs="Times New Roman" w:hAnsi="Times New Roman"/>
          <w:color w:val="auto"/>
          <w:sz w:val="44"/>
          <w:szCs w:val="44"/>
          <w:lang w:val="en-US" w:eastAsia="zh-CN"/>
          <w:highlight w:val="auto"/>
        </w:rPr>
      </w:pPr>
      <w:bookmarkStart w:id="77" w:name="_Toc24492"/>
      <w:r>
        <w:rPr>
          <w:rFonts w:ascii="Times New Roman" w:eastAsia="黑体" w:cs="Times New Roman" w:hAnsi="Times New Roman"/>
          <w:color w:val="auto"/>
          <w:sz w:val="32"/>
          <w:szCs w:val="32"/>
          <w:highlight w:val="auto"/>
        </w:rPr>
        <w:t>附件</w:t>
      </w:r>
      <w:r>
        <w:rPr>
          <w:rFonts w:ascii="Times New Roman" w:eastAsia="黑体" w:cs="Times New Roman" w:hAnsi="Times New Roman"/>
          <w:color w:val="auto"/>
          <w:sz w:val="32"/>
          <w:szCs w:val="32"/>
          <w:lang w:val="en-US" w:eastAsia="zh-CN"/>
          <w:highlight w:val="auto"/>
        </w:rPr>
        <w:t>1</w:t>
      </w:r>
      <w:bookmarkEnd w:id="77"/>
    </w:p>
    <w:p>
      <w:pPr>
        <w:keepNext w:val="0"/>
        <w:keepLines w:val="0"/>
        <w:pageBreakBefore w:val="0"/>
        <w:widowControl w:val="0"/>
        <w:kinsoku/>
        <w:wordWrap/>
        <w:overflowPunct/>
        <w:topLinePunct w:val="0"/>
        <w:autoSpaceDE/>
        <w:autoSpaceDN/>
        <w:bidi w:val="0"/>
        <w:spacing w:line="578" w:lineRule="exact"/>
        <w:contextualSpacing/>
        <w:jc w:val="center"/>
        <w:rPr>
          <w:rFonts w:ascii="Times New Roman" w:eastAsia="方正小标宋简体" w:cs="Times New Roman" w:hAnsi="Times New Roman" w:hint="eastAsia"/>
          <w:bCs/>
          <w:sz w:val="44"/>
          <w:szCs w:val="44"/>
          <w:shd w:val="clear" w:color="auto" w:fill="FFFFFF"/>
          <w:lang w:val="en-US" w:eastAsia="zh-CN"/>
        </w:rPr>
      </w:pPr>
      <w:r>
        <w:rPr>
          <w:rFonts w:ascii="Times New Roman" w:eastAsia="方正小标宋简体" w:cs="Times New Roman" w:hAnsi="Times New Roman" w:hint="eastAsia"/>
          <w:bCs/>
          <w:sz w:val="44"/>
          <w:szCs w:val="44"/>
          <w:shd w:val="clear" w:color="auto" w:fill="FFFFFF"/>
          <w:lang w:val="en-US" w:eastAsia="zh-CN"/>
        </w:rPr>
        <w:t>2025年茂县凤仪镇人民政府</w:t>
      </w:r>
    </w:p>
    <w:p>
      <w:pPr>
        <w:keepNext w:val="0"/>
        <w:keepLines w:val="0"/>
        <w:pageBreakBefore w:val="0"/>
        <w:widowControl w:val="0"/>
        <w:kinsoku/>
        <w:wordWrap/>
        <w:overflowPunct/>
        <w:topLinePunct w:val="0"/>
        <w:autoSpaceDE/>
        <w:autoSpaceDN/>
        <w:bidi w:val="0"/>
        <w:spacing w:line="578" w:lineRule="exact"/>
        <w:contextualSpacing/>
        <w:jc w:val="center"/>
        <w:rPr>
          <w:rFonts w:eastAsia="仿宋_GB2312" w:hint="eastAsia"/>
          <w:sz w:val="32"/>
          <w:lang w:val="en-US" w:eastAsia="zh-CN"/>
        </w:rPr>
      </w:pPr>
      <w:r>
        <w:rPr>
          <w:rFonts w:ascii="Times New Roman" w:eastAsia="方正小标宋简体" w:cs="Times New Roman" w:hAnsi="Times New Roman" w:hint="eastAsia"/>
          <w:bCs/>
          <w:sz w:val="44"/>
          <w:szCs w:val="44"/>
          <w:shd w:val="clear" w:color="auto" w:fill="FFFFFF"/>
          <w:lang w:val="en-US" w:eastAsia="zh-CN"/>
        </w:rPr>
        <w:t>部门预算绩效自评报告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left"/>
        <w:rPr>
          <w:rFonts w:eastAsia="仿宋_GB2312"/>
          <w:sz w:val="32"/>
          <w:szCs w:val="32"/>
        </w:rPr>
      </w:pPr>
      <w:r>
        <w:rPr>
          <w:rFonts w:eastAsia="黑体"/>
          <w:color w:val="000000"/>
          <w:kern w:val="0"/>
          <w:sz w:val="32"/>
          <w:szCs w:val="32"/>
          <w:shd w:val="clear" w:color="auto" w:fill="FFFFFF"/>
          <w:lang w:val="zh-CN"/>
        </w:rPr>
        <w:t>一、部门（单位）基本情况</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（一）机构组成</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Times New Roman" w:eastAsia="仿宋_GB2312" w:cs="Times New Roman" w:hAnsi="Times New Roman"/>
          <w:kern w:val="0"/>
          <w:sz w:val="24"/>
          <w:szCs w:val="24"/>
          <w:lang w:val="zh-CN" w:eastAsia="zh-CN"/>
        </w:rPr>
      </w:pPr>
      <w:bookmarkStart w:id="78" w:name="_Toc18705"/>
      <w:r>
        <w:rPr>
          <w:rFonts w:ascii="仿宋_GB2312" w:eastAsia="仿宋_GB2312" w:cs="仿宋_GB2312" w:hint="eastAsia"/>
          <w:kern w:val="0"/>
          <w:sz w:val="32"/>
          <w:szCs w:val="32"/>
          <w:lang w:val="zh-CN" w:eastAsia="zh-CN"/>
          <w:highlight w:val="auto"/>
        </w:rPr>
        <w:t>茂县凤仪镇人民政府内设</w:t>
      </w:r>
      <w:r>
        <w:rPr>
          <w:rFonts w:ascii="仿宋_GB2312" w:eastAsia="仿宋_GB2312" w:cs="仿宋_GB2312" w:hint="eastAsia"/>
          <w:kern w:val="0"/>
          <w:sz w:val="32"/>
          <w:szCs w:val="32"/>
          <w:lang w:val="en-US" w:eastAsia="zh-CN"/>
          <w:highlight w:val="auto"/>
        </w:rPr>
        <w:t>11个办公室，分别是：党政办公室、党建工作办公室、社会事务经济发展和乡村振兴办公室、社会治理和维护稳定办公室、应急管理办公室、综合行执法和生态环境办公室、财政办公室、便民服务中心（退役军人服务站）</w:t>
      </w:r>
      <w:bookmarkEnd w:id="78"/>
      <w:r>
        <w:rPr>
          <w:rFonts w:ascii="仿宋_GB2312" w:eastAsia="仿宋_GB2312" w:cs="仿宋_GB2312" w:hint="eastAsia"/>
          <w:kern w:val="0"/>
          <w:sz w:val="32"/>
          <w:szCs w:val="32"/>
          <w:lang w:val="en-US" w:eastAsia="zh-CN"/>
          <w:highlight w:val="auto"/>
        </w:rPr>
        <w:t>、农业农村服务中心、文化体育广电和旅游综合服务中心、村镇规划建设服务中心。</w:t>
      </w:r>
    </w:p>
    <w:p>
      <w:pPr>
        <w:keepNext w:val="0"/>
        <w:keepLines w:val="0"/>
        <w:pageBreakBefore w:val="0"/>
        <w:widowControl w:val="0"/>
        <w:numPr>
          <w:ilvl w:val="0"/>
          <w:numId w:val="1"/>
        </w:numPr>
        <w:kinsoku/>
        <w:wordWrap/>
        <w:overflowPunct/>
        <w:topLinePunct w:val="0"/>
        <w:autoSpaceDE/>
        <w:autoSpaceDN/>
        <w:bidi w:val="0"/>
        <w:adjustRightInd w:val="0"/>
        <w:snapToGrid w:val="0"/>
        <w:spacing w:line="578" w:lineRule="exact"/>
        <w:ind w:left="0" w:firstLineChars="200" w:firstLine="64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机构职能</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1.贯彻执行党和国家的路线方针政策和上级党委、政府各项决策部署，以及本级党员代表大会（党员大会）、人民代表大会的决议决定。</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2.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3.领导镇政权机关、群团组织和其他各类组织，加强指导和规范，支持和保证这些机关和组织依照国家法律法规以及各自章程履行职责。</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4.加强党的建设。坚持全面从严治党，落实管党治党主体责任，全面加强党的政治建设、思想建设、组织建设、作风建设、纪律建设、制度建设等工作。不断强化自身建设和村（社区）党组织建设，以及其他隶属凤仪镇党委的党组织建设，抓好发展党员工作，加强党员队伍建设。维护和执行党的纪律，监督党员干部和其他工作人员严格遵守国家法律法规。</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5.按照干部管理权限，负责对干部的教育、培训、选拔、考核和监督工作。协助管理上级有关部门驻镇单位的干部。做好人才服务和引进工作。</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6.统筹区域发展。负责实施创新驱动发展、可持续发展战略目标任务，落实新发展理念，推动经济高质量发展；落实关于辖区发展的重大决策，制定辖区经济和社会发展规划、公共服务设施布局；负责乡村振兴工作，做好民生保障、返贫监测和帮扶、民族宗教等工作，推动辖区经济社会健康、有序、可持续发展；负责指导辖区基层供销合作社工作。</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7.强化基层治理。负责本辖区社会治理，加强社会主义民主法治建设和精神文明建设，加快推进基层社会治理体系和治理能力现代化；指导村（社区）委会建设，健全自治平台，组织群众和单位参与村（社区）委会建设和管理。</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8.优化公共服务。推进服务型政府建设，组织实施并优化教育、卫生健康、文化、民政、社会保障、退役军人事务等各项公共服务。</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9.负责辖区范围内的应急管理、社会稳定、安全生产、生态环境保护、社会信用体系建设和审批服务便民化等工作。</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仿宋_GB2312" w:eastAsia="仿宋_GB2312" w:cs="仿宋_GB2312" w:hint="eastAsia"/>
          <w:kern w:val="0"/>
          <w:sz w:val="32"/>
          <w:szCs w:val="32"/>
          <w:lang w:val="en-US" w:eastAsia="zh-CN"/>
          <w:highlight w:val="auto"/>
        </w:rPr>
      </w:pPr>
      <w:r>
        <w:rPr>
          <w:rFonts w:ascii="仿宋_GB2312" w:eastAsia="仿宋_GB2312" w:cs="仿宋_GB2312" w:hint="eastAsia"/>
          <w:kern w:val="0"/>
          <w:sz w:val="32"/>
          <w:szCs w:val="32"/>
          <w:lang w:val="en-US" w:eastAsia="zh-CN"/>
          <w:highlight w:val="auto"/>
        </w:rPr>
        <w:t>10.负责辖区内农村经营管理体系建设工作。</w:t>
      </w:r>
    </w:p>
    <w:p>
      <w:pPr>
        <w:keepNext w:val="0"/>
        <w:keepLines w:val="0"/>
        <w:pageBreakBefore w:val="0"/>
        <w:widowControl w:val="0"/>
        <w:kinsoku/>
        <w:wordWrap/>
        <w:overflowPunct/>
        <w:topLinePunct w:val="0"/>
        <w:autoSpaceDE/>
        <w:autoSpaceDN/>
        <w:bidi w:val="0"/>
        <w:spacing w:line="578" w:lineRule="exact"/>
        <w:ind w:firstLineChars="200" w:firstLine="640"/>
        <w:jc w:val="left"/>
        <w:rPr>
          <w:rFonts w:eastAsia="楷体_GB2312"/>
          <w:b/>
          <w:bCs/>
          <w:color w:val="000000"/>
          <w:kern w:val="0"/>
          <w:sz w:val="32"/>
          <w:szCs w:val="32"/>
          <w:shd w:val="clear" w:color="auto" w:fill="FFFFFF"/>
          <w:lang w:val="zh-CN"/>
        </w:rPr>
      </w:pPr>
      <w:r>
        <w:rPr>
          <w:rFonts w:ascii="仿宋_GB2312" w:eastAsia="仿宋_GB2312" w:cs="仿宋_GB2312" w:hint="eastAsia"/>
          <w:sz w:val="32"/>
          <w:szCs w:val="32"/>
          <w:lang w:val="en-US" w:eastAsia="zh-CN"/>
          <w:highlight w:val="auto"/>
        </w:rPr>
        <w:t>11.完成县委、县政府交办的其他任务。</w:t>
      </w:r>
    </w:p>
    <w:p>
      <w:pPr>
        <w:keepNext w:val="0"/>
        <w:keepLines w:val="0"/>
        <w:pageBreakBefore w:val="0"/>
        <w:widowControl w:val="0"/>
        <w:kinsoku/>
        <w:wordWrap/>
        <w:overflowPunct/>
        <w:topLinePunct w:val="0"/>
        <w:autoSpaceDE/>
        <w:autoSpaceDN/>
        <w:bidi w:val="0"/>
        <w:spacing w:line="578" w:lineRule="exact"/>
        <w:ind w:firstLineChars="200" w:firstLine="640"/>
        <w:jc w:val="both"/>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（三）人员概况</w:t>
      </w:r>
    </w:p>
    <w:p>
      <w:pPr>
        <w:keepNext w:val="0"/>
        <w:keepLines w:val="0"/>
        <w:pageBreakBefore w:val="0"/>
        <w:widowControl w:val="0"/>
        <w:suppressLineNumbers w:val="0"/>
        <w:kinsoku/>
        <w:wordWrap/>
        <w:overflowPunct/>
        <w:topLinePunct w:val="0"/>
        <w:autoSpaceDE/>
        <w:autoSpaceDN/>
        <w:bidi w:val="0"/>
        <w:adjustRightInd/>
        <w:snapToGrid/>
        <w:spacing w:before="100" w:beforeAutospacing="0" w:after="100" w:afterAutospacing="0" w:line="576" w:lineRule="exact"/>
        <w:ind w:left="0" w:right="0" w:firstLineChars="200" w:firstLine="640"/>
        <w:jc w:val="both"/>
        <w:textAlignment w:val="auto"/>
        <w:rPr>
          <w:rFonts w:ascii="Times New Roman" w:eastAsia="仿宋_GB2312" w:cs="Times New Roman" w:hAnsi="Times New Roman"/>
          <w:kern w:val="0"/>
          <w:sz w:val="24"/>
          <w:szCs w:val="24"/>
          <w:lang w:val="en-US" w:eastAsia="zh-CN"/>
        </w:rPr>
      </w:pPr>
      <w:r>
        <w:rPr>
          <w:rFonts w:ascii="仿宋_GB2312" w:eastAsia="仿宋_GB2312" w:cs="仿宋_GB2312" w:hint="eastAsia"/>
          <w:kern w:val="0"/>
          <w:sz w:val="32"/>
          <w:szCs w:val="32"/>
          <w:lang w:val="en-US" w:eastAsia="zh-CN"/>
          <w:highlight w:val="auto"/>
        </w:rPr>
        <w:t>截至2025年末，我镇编制总数为169人（其中：行政100人，行政工勤9人，事业人员60人）。2025年末实有人数为147人，比上年减少12人；年末实有退休人数为58人，与上年持平，其中：行政93人(含行政工勤7人)，事业人员54人，退休职工58人，遗嘱人员14人，大学生村官1人。</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（一）收入情况</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textAlignment w:val="auto"/>
        <w:rPr>
          <w:rFonts w:ascii="Times New Roman" w:eastAsia="仿宋_GB2312" w:cs="Times New Roman" w:hAnsi="Times New Roman" w:hint="eastAsia"/>
          <w:sz w:val="32"/>
          <w:szCs w:val="32"/>
          <w:lang w:eastAsia="zh-CN"/>
        </w:rPr>
      </w:pPr>
      <w:r>
        <w:rPr>
          <w:rFonts w:ascii="Times New Roman" w:eastAsia="仿宋_GB2312" w:cs="Times New Roman" w:hAnsi="Times New Roman" w:hint="eastAsia"/>
          <w:sz w:val="32"/>
          <w:szCs w:val="32"/>
          <w:lang w:eastAsia="zh-CN"/>
        </w:rPr>
        <w:t>茂县凤仪镇人民政府</w:t>
      </w:r>
      <w:r>
        <w:rPr>
          <w:rFonts w:ascii="Times New Roman" w:eastAsia="仿宋_GB2312" w:cs="Times New Roman" w:hAnsi="Times New Roman"/>
          <w:sz w:val="32"/>
          <w:szCs w:val="32"/>
        </w:rPr>
        <w:t>202</w:t>
      </w:r>
      <w:r>
        <w:rPr>
          <w:rFonts w:ascii="Times New Roman" w:eastAsia="仿宋_GB2312" w:cs="Times New Roman" w:hAnsi="Times New Roman" w:hint="eastAsia"/>
          <w:sz w:val="32"/>
          <w:szCs w:val="32"/>
        </w:rPr>
        <w:t>5</w:t>
      </w:r>
      <w:r>
        <w:rPr>
          <w:rFonts w:ascii="Times New Roman" w:eastAsia="仿宋_GB2312" w:cs="Times New Roman" w:hAnsi="Times New Roman"/>
          <w:sz w:val="32"/>
          <w:szCs w:val="32"/>
        </w:rPr>
        <w:t>年年初预算收入</w:t>
      </w:r>
      <w:r>
        <w:rPr>
          <w:rFonts w:ascii="仿宋_GB2312" w:eastAsia="仿宋_GB2312" w:cs="仿宋_GB2312" w:hint="eastAsia"/>
          <w:sz w:val="32"/>
          <w:szCs w:val="32"/>
          <w:highlight w:val="auto"/>
        </w:rPr>
        <w:t>3560.48万元</w:t>
      </w:r>
      <w:r>
        <w:rPr>
          <w:rFonts w:ascii="仿宋_GB2312" w:eastAsia="仿宋_GB2312" w:cs="仿宋_GB2312" w:hint="eastAsia"/>
          <w:sz w:val="32"/>
          <w:szCs w:val="32"/>
          <w:lang w:val="en-US" w:eastAsia="zh-CN"/>
          <w:highlight w:val="auto"/>
        </w:rPr>
        <w:t>。其中：一般公共预算财政拨款收入为</w:t>
      </w:r>
      <w:r>
        <w:rPr>
          <w:rFonts w:ascii="仿宋_GB2312" w:eastAsia="仿宋_GB2312" w:cs="仿宋_GB2312" w:hint="eastAsia"/>
          <w:sz w:val="32"/>
          <w:szCs w:val="32"/>
          <w:highlight w:val="auto"/>
        </w:rPr>
        <w:t>3560.48</w:t>
      </w:r>
      <w:r>
        <w:rPr>
          <w:rFonts w:ascii="仿宋_GB2312" w:eastAsia="仿宋_GB2312" w:cs="仿宋_GB2312" w:hint="eastAsia"/>
          <w:sz w:val="32"/>
          <w:szCs w:val="32"/>
          <w:lang w:val="en-US" w:eastAsia="zh-CN"/>
          <w:highlight w:val="auto"/>
        </w:rPr>
        <w:t>万元，占比100%。</w:t>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both"/>
        <w:textAlignment w:val="auto"/>
        <w:rPr>
          <w:rFonts w:ascii="Times New Roman" w:eastAsia="仿宋_GB2312" w:cs="Times New Roman" w:hAnsi="Times New Roman"/>
          <w:sz w:val="32"/>
          <w:szCs w:val="32"/>
        </w:rPr>
      </w:pPr>
      <w:r>
        <w:rPr>
          <w:rFonts w:ascii="Times New Roman" w:eastAsia="仿宋_GB2312" w:cs="Times New Roman" w:hAnsi="Times New Roman" w:hint="eastAsia"/>
          <w:sz w:val="32"/>
          <w:szCs w:val="32"/>
          <w:lang w:eastAsia="zh-CN"/>
          <w:highlight w:val="auto"/>
        </w:rPr>
        <w:t>茂县凤仪镇人民政府</w:t>
      </w:r>
      <w:r>
        <w:rPr>
          <w:rFonts w:ascii="Times New Roman" w:eastAsia="仿宋_GB2312" w:cs="Times New Roman" w:hAnsi="Times New Roman"/>
          <w:sz w:val="32"/>
          <w:szCs w:val="32"/>
          <w:highlight w:val="auto"/>
        </w:rPr>
        <w:t>202</w:t>
      </w:r>
      <w:r>
        <w:rPr>
          <w:rFonts w:ascii="Times New Roman" w:eastAsia="仿宋_GB2312" w:cs="Times New Roman" w:hAnsi="Times New Roman" w:hint="eastAsia"/>
          <w:sz w:val="32"/>
          <w:szCs w:val="32"/>
          <w:highlight w:val="auto"/>
        </w:rPr>
        <w:t>5</w:t>
      </w:r>
      <w:r>
        <w:rPr>
          <w:rFonts w:ascii="Times New Roman" w:eastAsia="仿宋_GB2312" w:cs="Times New Roman" w:hAnsi="Times New Roman"/>
          <w:sz w:val="32"/>
          <w:szCs w:val="32"/>
          <w:highlight w:val="auto"/>
        </w:rPr>
        <w:t>年决算报表</w:t>
      </w:r>
      <w:r>
        <w:rPr>
          <w:rFonts w:ascii="仿宋_GB2312" w:eastAsia="仿宋_GB2312" w:cs="仿宋_GB2312" w:hint="eastAsia"/>
          <w:sz w:val="32"/>
          <w:szCs w:val="32"/>
          <w:lang w:val="en-US" w:eastAsia="zh-CN"/>
          <w:highlight w:val="auto"/>
        </w:rPr>
        <w:t>度收入为7590.9万元。其中：一般公共预算财政拨款收入为6041.03万元，占比79.59%；政府性基金预算财政拨款收入为1524.07万元，占比20.07%；其他收入为25.8万元，占比0.34%。</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firstLineChars="200" w:firstLine="640"/>
        <w:jc w:val="both"/>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支出情况</w:t>
      </w:r>
    </w:p>
    <w:p>
      <w:pPr>
        <w:keepNext w:val="0"/>
        <w:keepLines w:val="0"/>
        <w:pageBreakBefore w:val="0"/>
        <w:widowControl w:val="0"/>
        <w:kinsoku/>
        <w:wordWrap/>
        <w:overflowPunct/>
        <w:topLinePunct w:val="0"/>
        <w:autoSpaceDE/>
        <w:autoSpaceDN/>
        <w:bidi w:val="0"/>
        <w:adjustRightInd/>
        <w:snapToGrid/>
        <w:spacing w:line="576" w:lineRule="exact"/>
        <w:ind w:left="0" w:firstLineChars="200" w:firstLine="640"/>
        <w:jc w:val="both"/>
        <w:textAlignment w:val="auto"/>
        <w:rPr>
          <w:rFonts w:ascii="仿宋_GB2312" w:eastAsia="仿宋_GB2312" w:cs="仿宋_GB2312" w:hint="eastAsia"/>
          <w:sz w:val="32"/>
          <w:szCs w:val="32"/>
          <w:lang w:val="zh-CN" w:eastAsia="zh-CN"/>
          <w:highlight w:val="auto"/>
        </w:rPr>
      </w:pPr>
      <w:r>
        <w:rPr>
          <w:rFonts w:ascii="Times New Roman" w:eastAsia="仿宋_GB2312" w:cs="Times New Roman" w:hAnsi="Times New Roman" w:hint="eastAsia"/>
          <w:sz w:val="32"/>
          <w:szCs w:val="32"/>
          <w:lang w:eastAsia="zh-CN"/>
        </w:rPr>
        <w:t>茂县凤仪镇人民政府2025年</w:t>
      </w:r>
      <w:r>
        <w:rPr>
          <w:rFonts w:ascii="仿宋_GB2312" w:eastAsia="仿宋_GB2312" w:cs="仿宋_GB2312" w:hint="eastAsia"/>
          <w:sz w:val="32"/>
          <w:szCs w:val="32"/>
          <w:lang w:val="zh-CN" w:eastAsia="zh-CN"/>
          <w:highlight w:val="auto"/>
        </w:rPr>
        <w:t>支出总额为</w:t>
      </w:r>
      <w:r>
        <w:rPr>
          <w:rFonts w:ascii="仿宋_GB2312" w:eastAsia="仿宋_GB2312" w:cs="仿宋_GB2312" w:hint="eastAsia"/>
          <w:sz w:val="32"/>
          <w:szCs w:val="32"/>
          <w:lang w:val="en-US" w:eastAsia="zh-CN"/>
          <w:highlight w:val="auto"/>
        </w:rPr>
        <w:t>7588.61万元。其中：一般公共服务支出2315.95万元，占30.51%；社会保障和就业支出579.283万元，占7.63%；卫生健康支出193.26万元，2.55%；城乡社区支出474.03万元，占6.25%；农林水支出2711.47万元，占35.73%；住房保障支出264.58万元，占3.49%；其他支出1050.04万元，占13.84%</w:t>
      </w:r>
      <w:r>
        <w:rPr>
          <w:rFonts w:ascii="仿宋_GB2312" w:eastAsia="仿宋_GB2312" w:cs="仿宋_GB2312" w:hint="eastAsia"/>
          <w:sz w:val="32"/>
          <w:szCs w:val="32"/>
          <w:lang w:val="zh-CN" w:eastAsia="zh-CN"/>
          <w:highlight w:val="auto"/>
        </w:rPr>
        <w:t>。</w:t>
      </w:r>
    </w:p>
    <w:p>
      <w:pPr>
        <w:keepNext w:val="0"/>
        <w:keepLines w:val="0"/>
        <w:pageBreakBefore w:val="0"/>
        <w:widowControl w:val="0"/>
        <w:kinsoku/>
        <w:wordWrap/>
        <w:overflowPunct/>
        <w:topLinePunct w:val="0"/>
        <w:autoSpaceDE/>
        <w:autoSpaceDN/>
        <w:bidi w:val="0"/>
        <w:adjustRightInd/>
        <w:snapToGrid/>
        <w:spacing w:line="576" w:lineRule="exact"/>
        <w:ind w:left="0" w:firstLineChars="200" w:firstLine="640"/>
        <w:jc w:val="both"/>
        <w:textAlignment w:val="auto"/>
        <w:rPr>
          <w:rFonts w:eastAsia="楷体_GB2312"/>
          <w:b/>
          <w:sz w:val="32"/>
          <w:szCs w:val="32"/>
        </w:rPr>
      </w:pPr>
      <w:r>
        <w:rPr>
          <w:rFonts w:eastAsia="楷体_GB2312"/>
          <w:b/>
          <w:bCs/>
          <w:color w:val="000000"/>
          <w:kern w:val="0"/>
          <w:sz w:val="32"/>
          <w:szCs w:val="32"/>
          <w:shd w:val="clear" w:color="auto" w:fill="FFFFFF"/>
          <w:lang w:val="zh-CN"/>
        </w:rPr>
        <w:t>（三）</w:t>
      </w:r>
      <w:r>
        <w:rPr>
          <w:rFonts w:eastAsia="楷体_GB2312"/>
          <w:b/>
          <w:sz w:val="32"/>
          <w:szCs w:val="32"/>
        </w:rPr>
        <w:t>结余分配和结转结余情况</w:t>
      </w:r>
    </w:p>
    <w:p>
      <w:pPr>
        <w:keepNext w:val="0"/>
        <w:keepLines w:val="0"/>
        <w:pageBreakBefore w:val="0"/>
        <w:widowControl w:val="0"/>
        <w:kinsoku/>
        <w:wordWrap/>
        <w:overflowPunct/>
        <w:topLinePunct w:val="0"/>
        <w:autoSpaceDE/>
        <w:autoSpaceDN/>
        <w:bidi w:val="0"/>
        <w:snapToGrid w:val="0"/>
        <w:spacing w:line="576" w:lineRule="atLeast"/>
        <w:ind w:firstLineChars="200" w:firstLine="640"/>
        <w:jc w:val="both"/>
        <w:outlineLvl w:val="0"/>
        <w:rPr>
          <w:rFonts w:ascii="仿宋_GB2312" w:eastAsia="仿宋_GB2312" w:hint="eastAsia"/>
          <w:sz w:val="32"/>
          <w:szCs w:val="32"/>
          <w:lang w:eastAsia="zh-CN"/>
        </w:rPr>
      </w:pPr>
      <w:r>
        <w:rPr>
          <w:rFonts w:ascii="仿宋_GB2312" w:eastAsia="仿宋_GB2312" w:hint="eastAsia"/>
          <w:sz w:val="32"/>
          <w:szCs w:val="32"/>
        </w:rPr>
        <w:t>202</w:t>
      </w:r>
      <w:r>
        <w:rPr>
          <w:rFonts w:ascii="仿宋_GB2312" w:eastAsia="仿宋_GB2312" w:hint="eastAsia"/>
          <w:sz w:val="32"/>
          <w:szCs w:val="32"/>
          <w:lang w:val="en-US" w:eastAsia="zh-CN"/>
        </w:rPr>
        <w:t>5</w:t>
      </w:r>
      <w:r>
        <w:rPr>
          <w:rFonts w:ascii="仿宋_GB2312" w:eastAsia="仿宋_GB2312" w:hint="eastAsia"/>
          <w:sz w:val="32"/>
          <w:szCs w:val="32"/>
        </w:rPr>
        <w:t>年年末非财政拨款结转和结余资金共2.28万元，其中基本支出结转0万元，项目支出结转2.28万元</w:t>
      </w:r>
      <w:r>
        <w:rPr>
          <w:rFonts w:ascii="仿宋_GB2312" w:eastAsia="仿宋_GB2312" w:hint="eastAsia"/>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eastAsia="黑体"/>
          <w:color w:val="000000"/>
          <w:kern w:val="0"/>
          <w:sz w:val="32"/>
          <w:szCs w:val="32"/>
          <w:shd w:val="clear" w:color="auto" w:fill="FFFFFF"/>
          <w14:textFill>
            <w14:solidFill>
              <w14:srgbClr w14:val="000000"/>
            </w14:solidFill>
          </w14:textFill>
        </w:rPr>
      </w:pPr>
      <w:r>
        <w:rPr>
          <w:rFonts w:eastAsia="黑体"/>
          <w:color w:val="000000"/>
          <w:kern w:val="0"/>
          <w:sz w:val="32"/>
          <w:szCs w:val="32"/>
          <w:shd w:val="clear" w:color="auto" w:fill="FFFFFF"/>
        </w:rPr>
        <w:t>三、部门预算绩效分析</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eastAsia="仿宋_GB2312"/>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（一）部门预算总体绩效分析</w:t>
      </w:r>
    </w:p>
    <w:p>
      <w:pPr>
        <w:keepNext w:val="0"/>
        <w:keepLines w:val="0"/>
        <w:pageBreakBefore w:val="0"/>
        <w:widowControl w:val="0"/>
        <w:kinsoku/>
        <w:wordWrap/>
        <w:overflowPunct/>
        <w:topLinePunct w:val="0"/>
        <w:autoSpaceDE/>
        <w:autoSpaceDN/>
        <w:bidi w:val="0"/>
        <w:adjustRightInd w:val="0"/>
        <w:snapToGrid w:val="0"/>
        <w:spacing w:line="576" w:lineRule="exact"/>
        <w:ind w:firstLineChars="200" w:firstLine="640"/>
        <w:contextualSpacing/>
        <w:jc w:val="both"/>
        <w:rPr>
          <w:rFonts w:ascii="仿宋_GB2312" w:eastAsia="仿宋_GB2312" w:cs="仿宋_GB2312" w:hint="eastAsia"/>
          <w:sz w:val="32"/>
          <w:szCs w:val="32"/>
          <w:lang w:val="zh-CN" w:eastAsia="zh-CN"/>
          <w:highlight w:val="auto"/>
        </w:rPr>
      </w:pPr>
      <w:r>
        <w:rPr>
          <w:rFonts w:eastAsia="楷体_GB2312"/>
          <w:color w:val="000000"/>
          <w:kern w:val="0"/>
          <w:sz w:val="32"/>
          <w:szCs w:val="32"/>
          <w:shd w:val="clear" w:color="auto" w:fill="FFFFFF"/>
        </w:rPr>
        <w:t>1.</w:t>
      </w:r>
      <w:r>
        <w:rPr>
          <w:rFonts w:eastAsia="楷体_GB2312"/>
          <w:color w:val="000000"/>
          <w:kern w:val="0"/>
          <w:sz w:val="32"/>
          <w:szCs w:val="32"/>
          <w:shd w:val="clear" w:color="auto" w:fill="FFFFFF"/>
          <w:lang w:val="zh-CN"/>
        </w:rPr>
        <w:t>履职效能。</w:t>
      </w:r>
      <w:r>
        <w:rPr>
          <w:rFonts w:ascii="仿宋_GB2312" w:eastAsia="仿宋_GB2312" w:cs="仿宋_GB2312" w:hint="eastAsia"/>
          <w:sz w:val="32"/>
          <w:szCs w:val="32"/>
          <w:lang w:val="zh-CN" w:eastAsia="zh-CN"/>
          <w:highlight w:val="auto"/>
        </w:rPr>
        <w:t>部门整体绩效目标中选定3个核心职能目标，根据党委履职情况、政府履职情况、人大履职情况的职能目标完成效果情况来进行打分。</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ascii="仿宋_GB2312" w:eastAsia="仿宋_GB2312" w:cs="仿宋_GB2312" w:hint="eastAsia"/>
          <w:sz w:val="32"/>
          <w:szCs w:val="32"/>
          <w:lang w:val="zh-CN" w:eastAsia="zh-CN"/>
          <w:highlight w:val="auto"/>
        </w:rPr>
      </w:pPr>
      <w:r>
        <w:rPr>
          <w:rFonts w:eastAsia="楷体_GB2312"/>
          <w:color w:val="000000"/>
          <w:kern w:val="0"/>
          <w:sz w:val="32"/>
          <w:szCs w:val="32"/>
          <w:shd w:val="clear" w:color="auto" w:fill="FFFFFF"/>
        </w:rPr>
        <w:t>2.</w:t>
      </w:r>
      <w:r>
        <w:rPr>
          <w:rFonts w:eastAsia="楷体_GB2312"/>
          <w:color w:val="000000"/>
          <w:kern w:val="0"/>
          <w:sz w:val="32"/>
          <w:szCs w:val="32"/>
          <w:shd w:val="clear" w:color="auto" w:fill="FFFFFF"/>
          <w:lang w:val="zh-CN"/>
        </w:rPr>
        <w:t>预算管理。</w:t>
      </w:r>
      <w:r>
        <w:rPr>
          <w:rFonts w:ascii="仿宋_GB2312" w:eastAsia="仿宋_GB2312" w:cs="仿宋_GB2312" w:hint="eastAsia"/>
          <w:sz w:val="32"/>
          <w:szCs w:val="32"/>
          <w:lang w:val="zh-CN" w:eastAsia="zh-CN"/>
          <w:highlight w:val="auto"/>
        </w:rPr>
        <w:t>我镇严格按照县级部门预算编制通知和有关要求，按时完成基础库、项目库报送工作，按时完成202</w:t>
      </w:r>
      <w:r>
        <w:rPr>
          <w:rFonts w:ascii="仿宋_GB2312" w:eastAsia="仿宋_GB2312" w:cs="仿宋_GB2312" w:hint="eastAsia"/>
          <w:sz w:val="32"/>
          <w:szCs w:val="32"/>
          <w:lang w:val="en-US" w:eastAsia="zh-CN"/>
          <w:highlight w:val="auto"/>
        </w:rPr>
        <w:t>5</w:t>
      </w:r>
      <w:r>
        <w:rPr>
          <w:rFonts w:ascii="仿宋_GB2312" w:eastAsia="仿宋_GB2312" w:cs="仿宋_GB2312" w:hint="eastAsia"/>
          <w:sz w:val="32"/>
          <w:szCs w:val="32"/>
          <w:lang w:val="zh-CN" w:eastAsia="zh-CN"/>
          <w:highlight w:val="auto"/>
        </w:rPr>
        <w:t>年预算编制工作，并按时提交部门预算草案。按规定编制政府采购预算，预算编制全面、科学。202</w:t>
      </w:r>
      <w:r>
        <w:rPr>
          <w:rFonts w:ascii="仿宋_GB2312" w:eastAsia="仿宋_GB2312" w:cs="仿宋_GB2312" w:hint="eastAsia"/>
          <w:sz w:val="32"/>
          <w:szCs w:val="32"/>
          <w:lang w:val="en-US" w:eastAsia="zh-CN"/>
          <w:highlight w:val="auto"/>
        </w:rPr>
        <w:t>5</w:t>
      </w:r>
      <w:r>
        <w:rPr>
          <w:rFonts w:ascii="仿宋_GB2312" w:eastAsia="仿宋_GB2312" w:cs="仿宋_GB2312" w:hint="eastAsia"/>
          <w:sz w:val="32"/>
          <w:szCs w:val="32"/>
          <w:lang w:val="zh-CN" w:eastAsia="zh-CN"/>
          <w:highlight w:val="auto"/>
        </w:rPr>
        <w:t>年部门决算、绩效目标填报及年末结余结转都是严格按照县财政局的要求认真完成。</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eastAsia="楷体_GB2312"/>
          <w:color w:val="000000"/>
          <w:kern w:val="0"/>
          <w:sz w:val="32"/>
          <w:szCs w:val="32"/>
          <w:shd w:val="clear" w:color="auto" w:fill="FFFFFF"/>
          <w:lang w:val="zh-CN"/>
        </w:rPr>
      </w:pPr>
      <w:r>
        <w:rPr>
          <w:rFonts w:eastAsia="楷体_GB2312"/>
          <w:color w:val="000000"/>
          <w:kern w:val="0"/>
          <w:sz w:val="32"/>
          <w:szCs w:val="32"/>
          <w:shd w:val="clear" w:color="auto" w:fill="FFFFFF"/>
        </w:rPr>
        <w:t>3.</w:t>
      </w:r>
      <w:r>
        <w:rPr>
          <w:rFonts w:eastAsia="楷体_GB2312"/>
          <w:color w:val="000000"/>
          <w:kern w:val="0"/>
          <w:sz w:val="32"/>
          <w:szCs w:val="32"/>
          <w:shd w:val="clear" w:color="auto" w:fill="FFFFFF"/>
          <w:lang w:val="zh-CN"/>
        </w:rPr>
        <w:t>财务管理。</w:t>
      </w:r>
      <w:r>
        <w:rPr>
          <w:rFonts w:ascii="仿宋_GB2312" w:eastAsia="仿宋_GB2312" w:cs="仿宋_GB2312" w:hint="eastAsia"/>
          <w:sz w:val="32"/>
          <w:szCs w:val="32"/>
          <w:lang w:val="zh-CN" w:eastAsia="zh-CN"/>
          <w:highlight w:val="auto"/>
        </w:rPr>
        <w:t>我镇建立健全财务管理制度、财务岗位</w:t>
      </w:r>
      <w:r>
        <w:rPr>
          <w:rFonts w:ascii="仿宋_GB2312" w:eastAsia="仿宋_GB2312" w:cs="仿宋_GB2312" w:hint="eastAsia"/>
          <w:sz w:val="32"/>
          <w:szCs w:val="32"/>
          <w:lang w:val="en-US" w:eastAsia="zh-CN"/>
          <w:highlight w:val="auto"/>
        </w:rPr>
        <w:t>按要求设置了会计岗位和出纳岗位</w:t>
      </w:r>
      <w:r>
        <w:rPr>
          <w:rFonts w:ascii="仿宋_GB2312" w:eastAsia="仿宋_GB2312" w:cs="仿宋_GB2312" w:hint="eastAsia"/>
          <w:sz w:val="32"/>
          <w:szCs w:val="32"/>
          <w:lang w:val="zh-CN" w:eastAsia="zh-CN"/>
          <w:highlight w:val="auto"/>
        </w:rPr>
        <w:t>、资金使用规范进行。</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ascii="仿宋" w:eastAsia="仿宋" w:hint="eastAsia"/>
          <w:color w:val="000000"/>
          <w:sz w:val="32"/>
          <w:szCs w:val="32"/>
          <w:lang w:eastAsia="zh-CN"/>
          <w:highlight w:val="auto"/>
        </w:rPr>
      </w:pPr>
      <w:r>
        <w:rPr>
          <w:rFonts w:eastAsia="楷体_GB2312"/>
          <w:color w:val="000000"/>
          <w:kern w:val="0"/>
          <w:sz w:val="32"/>
          <w:szCs w:val="32"/>
          <w:shd w:val="clear" w:color="auto" w:fill="FFFFFF"/>
        </w:rPr>
        <w:t>4.</w:t>
      </w:r>
      <w:r>
        <w:rPr>
          <w:rFonts w:eastAsia="楷体_GB2312"/>
          <w:color w:val="000000"/>
          <w:kern w:val="0"/>
          <w:sz w:val="32"/>
          <w:szCs w:val="32"/>
          <w:shd w:val="clear" w:color="auto" w:fill="FFFFFF"/>
          <w:lang w:val="zh-CN"/>
        </w:rPr>
        <w:t>资产管理。</w:t>
      </w:r>
      <w:r>
        <w:rPr>
          <w:rFonts w:ascii="仿宋" w:eastAsia="仿宋" w:hint="eastAsia"/>
          <w:color w:val="000000"/>
          <w:sz w:val="32"/>
          <w:szCs w:val="32"/>
          <w:highlight w:val="auto"/>
        </w:rPr>
        <w:t>202</w:t>
      </w:r>
      <w:r>
        <w:rPr>
          <w:rFonts w:ascii="仿宋" w:eastAsia="仿宋" w:hint="eastAsia"/>
          <w:color w:val="000000"/>
          <w:sz w:val="32"/>
          <w:szCs w:val="32"/>
          <w:lang w:val="en-US" w:eastAsia="zh-CN"/>
          <w:highlight w:val="auto"/>
        </w:rPr>
        <w:t>5</w:t>
      </w:r>
      <w:r>
        <w:rPr>
          <w:rFonts w:ascii="仿宋" w:eastAsia="仿宋" w:hint="eastAsia"/>
          <w:color w:val="000000"/>
          <w:sz w:val="32"/>
          <w:szCs w:val="32"/>
          <w:highlight w:val="auto"/>
        </w:rPr>
        <w:t>年我单位固定资产原值1227.72</w:t>
      </w:r>
      <w:r>
        <w:rPr>
          <w:rFonts w:ascii="仿宋" w:eastAsia="仿宋" w:hint="eastAsia"/>
          <w:color w:val="000000"/>
          <w:sz w:val="32"/>
          <w:szCs w:val="32"/>
          <w:lang w:val="en-US" w:eastAsia="zh-CN"/>
          <w:highlight w:val="auto"/>
        </w:rPr>
        <w:t>万</w:t>
      </w:r>
      <w:r>
        <w:rPr>
          <w:rFonts w:ascii="仿宋" w:eastAsia="仿宋" w:hint="eastAsia"/>
          <w:color w:val="000000"/>
          <w:sz w:val="32"/>
          <w:szCs w:val="32"/>
          <w:highlight w:val="auto"/>
        </w:rPr>
        <w:t>元，</w:t>
      </w:r>
      <w:r>
        <w:rPr>
          <w:rFonts w:ascii="仿宋" w:eastAsia="仿宋" w:hint="eastAsia"/>
          <w:color w:val="000000"/>
          <w:sz w:val="32"/>
          <w:szCs w:val="32"/>
          <w:lang w:eastAsia="zh-CN"/>
          <w:highlight w:val="auto"/>
        </w:rPr>
        <w:t>与</w:t>
      </w:r>
      <w:r>
        <w:rPr>
          <w:rFonts w:ascii="仿宋" w:eastAsia="仿宋" w:hint="eastAsia"/>
          <w:color w:val="000000"/>
          <w:sz w:val="32"/>
          <w:szCs w:val="32"/>
          <w:highlight w:val="auto"/>
        </w:rPr>
        <w:t>上年</w:t>
      </w:r>
      <w:r>
        <w:rPr>
          <w:rFonts w:ascii="仿宋" w:eastAsia="仿宋" w:hint="eastAsia"/>
          <w:color w:val="000000"/>
          <w:sz w:val="32"/>
          <w:szCs w:val="32"/>
          <w:lang w:eastAsia="zh-CN"/>
          <w:highlight w:val="auto"/>
        </w:rPr>
        <w:t>相比</w:t>
      </w:r>
      <w:r>
        <w:rPr>
          <w:rFonts w:ascii="仿宋" w:eastAsia="仿宋" w:hint="eastAsia"/>
          <w:color w:val="000000"/>
          <w:sz w:val="32"/>
          <w:szCs w:val="32"/>
          <w:highlight w:val="auto"/>
        </w:rPr>
        <w:t>增加645.77</w:t>
      </w:r>
      <w:r>
        <w:rPr>
          <w:rFonts w:ascii="仿宋" w:eastAsia="仿宋" w:hint="eastAsia"/>
          <w:color w:val="000000"/>
          <w:sz w:val="32"/>
          <w:szCs w:val="32"/>
          <w:lang w:val="en-US" w:eastAsia="zh-CN"/>
          <w:highlight w:val="auto"/>
        </w:rPr>
        <w:t>万</w:t>
      </w:r>
      <w:r>
        <w:rPr>
          <w:rFonts w:ascii="仿宋" w:eastAsia="仿宋" w:hint="eastAsia"/>
          <w:color w:val="000000"/>
          <w:sz w:val="32"/>
          <w:szCs w:val="32"/>
          <w:highlight w:val="auto"/>
        </w:rPr>
        <w:t>元，新增固定资产645.77</w:t>
      </w:r>
      <w:r>
        <w:rPr>
          <w:rFonts w:ascii="仿宋" w:eastAsia="仿宋" w:hint="eastAsia"/>
          <w:color w:val="000000"/>
          <w:sz w:val="32"/>
          <w:szCs w:val="32"/>
          <w:lang w:val="en-US" w:eastAsia="zh-CN"/>
          <w:highlight w:val="auto"/>
        </w:rPr>
        <w:t>万</w:t>
      </w:r>
      <w:r>
        <w:rPr>
          <w:rFonts w:ascii="仿宋" w:eastAsia="仿宋" w:hint="eastAsia"/>
          <w:color w:val="000000"/>
          <w:sz w:val="32"/>
          <w:szCs w:val="32"/>
          <w:highlight w:val="auto"/>
        </w:rPr>
        <w:t>元，为我镇各村购置资产及凤仪镇办公设备等；202</w:t>
      </w:r>
      <w:r>
        <w:rPr>
          <w:rFonts w:ascii="仿宋" w:eastAsia="仿宋" w:hint="eastAsia"/>
          <w:color w:val="000000"/>
          <w:sz w:val="32"/>
          <w:szCs w:val="32"/>
          <w:lang w:val="en-US" w:eastAsia="zh-CN"/>
          <w:highlight w:val="auto"/>
        </w:rPr>
        <w:t>5</w:t>
      </w:r>
      <w:r>
        <w:rPr>
          <w:rFonts w:ascii="仿宋" w:eastAsia="仿宋" w:hint="eastAsia"/>
          <w:color w:val="000000"/>
          <w:sz w:val="32"/>
          <w:szCs w:val="32"/>
          <w:highlight w:val="auto"/>
        </w:rPr>
        <w:t>年固定资产累计折旧</w:t>
      </w:r>
      <w:r>
        <w:rPr>
          <w:rFonts w:ascii="仿宋" w:eastAsia="仿宋" w:hint="eastAsia"/>
          <w:color w:val="000000"/>
          <w:sz w:val="32"/>
          <w:szCs w:val="32"/>
          <w:lang w:val="en-US" w:eastAsia="zh-CN"/>
          <w:highlight w:val="auto"/>
        </w:rPr>
        <w:t>368.86万</w:t>
      </w:r>
      <w:r>
        <w:rPr>
          <w:rFonts w:ascii="仿宋" w:eastAsia="仿宋" w:hint="eastAsia"/>
          <w:color w:val="000000"/>
          <w:sz w:val="32"/>
          <w:szCs w:val="32"/>
          <w:highlight w:val="auto"/>
        </w:rPr>
        <w:t>元；202</w:t>
      </w:r>
      <w:r>
        <w:rPr>
          <w:rFonts w:ascii="仿宋" w:eastAsia="仿宋" w:hint="eastAsia"/>
          <w:color w:val="000000"/>
          <w:sz w:val="32"/>
          <w:szCs w:val="32"/>
          <w:lang w:val="en-US" w:eastAsia="zh-CN"/>
          <w:highlight w:val="auto"/>
        </w:rPr>
        <w:t>5</w:t>
      </w:r>
      <w:r>
        <w:rPr>
          <w:rFonts w:ascii="仿宋" w:eastAsia="仿宋" w:hint="eastAsia"/>
          <w:color w:val="000000"/>
          <w:sz w:val="32"/>
          <w:szCs w:val="32"/>
          <w:highlight w:val="auto"/>
        </w:rPr>
        <w:t>年本单位其他应收款净额为4685.79</w:t>
      </w:r>
      <w:r>
        <w:rPr>
          <w:rFonts w:ascii="仿宋" w:eastAsia="仿宋" w:hint="eastAsia"/>
          <w:color w:val="000000"/>
          <w:sz w:val="32"/>
          <w:szCs w:val="32"/>
          <w:lang w:val="en-US" w:eastAsia="zh-CN"/>
          <w:highlight w:val="auto"/>
        </w:rPr>
        <w:t>万</w:t>
      </w:r>
      <w:r>
        <w:rPr>
          <w:rFonts w:ascii="仿宋" w:eastAsia="仿宋" w:hint="eastAsia"/>
          <w:color w:val="000000"/>
          <w:sz w:val="32"/>
          <w:szCs w:val="32"/>
          <w:highlight w:val="auto"/>
        </w:rPr>
        <w:t>元，</w:t>
      </w:r>
      <w:r>
        <w:rPr>
          <w:rFonts w:ascii="仿宋" w:eastAsia="仿宋" w:hint="eastAsia"/>
          <w:color w:val="000000"/>
          <w:sz w:val="32"/>
          <w:szCs w:val="32"/>
          <w:lang w:eastAsia="zh-CN"/>
          <w:highlight w:val="auto"/>
        </w:rPr>
        <w:t>与</w:t>
      </w:r>
      <w:r>
        <w:rPr>
          <w:rFonts w:ascii="仿宋" w:eastAsia="仿宋" w:hint="eastAsia"/>
          <w:color w:val="000000"/>
          <w:sz w:val="32"/>
          <w:szCs w:val="32"/>
          <w:highlight w:val="auto"/>
        </w:rPr>
        <w:t>上年</w:t>
      </w:r>
      <w:r>
        <w:rPr>
          <w:rFonts w:ascii="仿宋" w:eastAsia="仿宋" w:hint="eastAsia"/>
          <w:color w:val="000000"/>
          <w:sz w:val="32"/>
          <w:szCs w:val="32"/>
          <w:lang w:eastAsia="zh-CN"/>
          <w:highlight w:val="auto"/>
        </w:rPr>
        <w:t>相比</w:t>
      </w:r>
      <w:r>
        <w:rPr>
          <w:rFonts w:ascii="仿宋" w:eastAsia="仿宋" w:hint="eastAsia"/>
          <w:color w:val="000000"/>
          <w:sz w:val="32"/>
          <w:szCs w:val="32"/>
          <w:lang w:val="en-US" w:eastAsia="zh-CN"/>
          <w:highlight w:val="auto"/>
        </w:rPr>
        <w:t>减少</w:t>
      </w:r>
      <w:r>
        <w:rPr>
          <w:rFonts w:ascii="仿宋" w:eastAsia="仿宋" w:hint="eastAsia"/>
          <w:color w:val="000000"/>
          <w:sz w:val="32"/>
          <w:szCs w:val="32"/>
          <w:highlight w:val="auto"/>
        </w:rPr>
        <w:t>102.31</w:t>
      </w:r>
      <w:r>
        <w:rPr>
          <w:rFonts w:ascii="仿宋" w:eastAsia="仿宋" w:hint="eastAsia"/>
          <w:color w:val="000000"/>
          <w:sz w:val="32"/>
          <w:szCs w:val="32"/>
          <w:lang w:val="en-US" w:eastAsia="zh-CN"/>
          <w:highlight w:val="auto"/>
        </w:rPr>
        <w:t>万</w:t>
      </w:r>
      <w:r>
        <w:rPr>
          <w:rFonts w:ascii="仿宋" w:eastAsia="仿宋"/>
          <w:color w:val="000000"/>
          <w:sz w:val="32"/>
          <w:szCs w:val="32"/>
          <w:highlight w:val="auto"/>
        </w:rPr>
        <w:t>元</w:t>
      </w:r>
      <w:r>
        <w:rPr>
          <w:rFonts w:ascii="仿宋" w:eastAsia="仿宋" w:hint="eastAsia"/>
          <w:color w:val="000000"/>
          <w:sz w:val="32"/>
          <w:szCs w:val="32"/>
          <w:lang w:eastAsia="zh-CN"/>
          <w:highlight w:val="auto"/>
        </w:rPr>
        <w:t>。</w:t>
      </w:r>
    </w:p>
    <w:p>
      <w:pPr>
        <w:keepNext w:val="0"/>
        <w:keepLines w:val="0"/>
        <w:pageBreakBefore w:val="0"/>
        <w:widowControl w:val="0"/>
        <w:kinsoku/>
        <w:wordWrap/>
        <w:overflowPunct/>
        <w:topLinePunct w:val="0"/>
        <w:autoSpaceDE/>
        <w:autoSpaceDN/>
        <w:bidi w:val="0"/>
        <w:adjustRightInd w:val="0"/>
        <w:snapToGrid w:val="0"/>
        <w:spacing w:line="576" w:lineRule="exact"/>
        <w:ind w:firstLineChars="200" w:firstLine="640"/>
        <w:contextualSpacing/>
        <w:jc w:val="both"/>
        <w:rPr>
          <w:rFonts w:eastAsia="楷体_GB2312"/>
          <w:color w:val="000000"/>
          <w:kern w:val="0"/>
          <w:sz w:val="32"/>
          <w:szCs w:val="32"/>
          <w:shd w:val="clear" w:color="auto" w:fill="FFFFFF"/>
          <w:lang w:val="zh-CN"/>
        </w:rPr>
      </w:pPr>
      <w:r>
        <w:rPr>
          <w:rFonts w:eastAsia="楷体_GB2312"/>
          <w:color w:val="000000"/>
          <w:kern w:val="0"/>
          <w:sz w:val="32"/>
          <w:szCs w:val="32"/>
          <w:shd w:val="clear" w:color="auto" w:fill="FFFFFF"/>
        </w:rPr>
        <w:t>5.</w:t>
      </w:r>
      <w:r>
        <w:rPr>
          <w:rFonts w:eastAsia="楷体_GB2312"/>
          <w:color w:val="000000"/>
          <w:kern w:val="0"/>
          <w:sz w:val="32"/>
          <w:szCs w:val="32"/>
          <w:shd w:val="clear" w:color="auto" w:fill="FFFFFF"/>
          <w:lang w:val="zh-CN"/>
        </w:rPr>
        <w:t>采购管理。</w:t>
      </w:r>
      <w:r>
        <w:rPr>
          <w:rFonts w:ascii="仿宋_GB2312" w:eastAsia="仿宋_GB2312" w:cs="仿宋" w:hint="eastAsia"/>
          <w:color w:val="000000"/>
          <w:kern w:val="0"/>
          <w:sz w:val="32"/>
          <w:szCs w:val="32"/>
          <w:lang w:val="en-US" w:eastAsia="zh-CN"/>
        </w:rPr>
        <w:t>我镇2025年</w:t>
      </w:r>
      <w:r>
        <w:rPr>
          <w:rFonts w:ascii="仿宋_GB2312" w:eastAsia="仿宋_GB2312" w:cs="仿宋" w:hint="eastAsia"/>
          <w:color w:val="000000"/>
          <w:kern w:val="0"/>
          <w:sz w:val="32"/>
          <w:szCs w:val="32"/>
          <w:lang w:val="zh-CN"/>
        </w:rPr>
        <w:t>政府采购支出合计213.14</w:t>
      </w:r>
      <w:r>
        <w:rPr>
          <w:rFonts w:ascii="仿宋_GB2312" w:eastAsia="仿宋_GB2312" w:cs="仿宋" w:hint="eastAsia"/>
          <w:color w:val="000000"/>
          <w:kern w:val="0"/>
          <w:sz w:val="32"/>
          <w:szCs w:val="32"/>
          <w:lang w:val="en-US" w:eastAsia="zh-CN"/>
        </w:rPr>
        <w:t>万元，其中：</w:t>
      </w:r>
      <w:r>
        <w:rPr>
          <w:rFonts w:ascii="仿宋_GB2312" w:eastAsia="仿宋_GB2312" w:cs="仿宋" w:hint="eastAsia"/>
          <w:color w:val="000000"/>
          <w:kern w:val="0"/>
          <w:sz w:val="32"/>
          <w:szCs w:val="32"/>
          <w:lang w:val="zh-CN"/>
        </w:rPr>
        <w:t>政府采购货物支出213.14</w:t>
      </w:r>
      <w:r>
        <w:rPr>
          <w:rFonts w:ascii="仿宋_GB2312" w:eastAsia="仿宋_GB2312" w:cs="仿宋" w:hint="eastAsia"/>
          <w:color w:val="000000"/>
          <w:kern w:val="0"/>
          <w:sz w:val="32"/>
          <w:szCs w:val="32"/>
          <w:lang w:val="en-US" w:eastAsia="zh-CN"/>
        </w:rPr>
        <w:t>万元。</w:t>
      </w:r>
      <w:r>
        <w:rPr>
          <w:rFonts w:ascii="仿宋_GB2312" w:eastAsia="仿宋_GB2312" w:cs="仿宋" w:hint="eastAsia"/>
          <w:color w:val="000000"/>
          <w:kern w:val="0"/>
          <w:sz w:val="32"/>
          <w:szCs w:val="32"/>
          <w:lang w:val="zh-CN"/>
        </w:rPr>
        <w:t>政府采购授予中小企业合同金额213.14</w:t>
      </w:r>
      <w:r>
        <w:rPr>
          <w:rFonts w:ascii="仿宋_GB2312" w:eastAsia="仿宋_GB2312" w:cs="仿宋" w:hint="eastAsia"/>
          <w:color w:val="000000"/>
          <w:kern w:val="0"/>
          <w:sz w:val="32"/>
          <w:szCs w:val="32"/>
          <w:lang w:val="en-US" w:eastAsia="zh-CN"/>
        </w:rPr>
        <w:t>万元，占比100%。采购执行率为97.95%，项目质保金未支付。</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eastAsia="仿宋_GB2312"/>
          <w:color w:val="auto"/>
          <w:kern w:val="0"/>
          <w:sz w:val="32"/>
          <w:szCs w:val="32"/>
          <w:shd w:val="clear" w:color="auto" w:fill="FFFFFF"/>
          <w:highlight w:val="auto"/>
        </w:rPr>
      </w:pPr>
      <w:r>
        <w:rPr>
          <w:rFonts w:eastAsia="楷体_GB2312"/>
          <w:b/>
          <w:bCs/>
          <w:color w:val="auto"/>
          <w:kern w:val="0"/>
          <w:sz w:val="32"/>
          <w:szCs w:val="32"/>
          <w:shd w:val="clear" w:color="auto" w:fill="FFFFFF"/>
          <w:lang w:val="zh-CN"/>
          <w:highlight w:val="auto"/>
        </w:rPr>
        <w:t>（二）部门预算项目绩效分析。</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eastAsia="仿宋_GB2312" w:hint="eastAsia"/>
          <w:color w:val="auto"/>
          <w:kern w:val="0"/>
          <w:sz w:val="32"/>
          <w:szCs w:val="32"/>
          <w:shd w:val="clear" w:color="auto" w:fill="FFFFFF"/>
          <w:lang w:val="zh-CN" w:eastAsia="zh-CN"/>
          <w:highlight w:val="auto"/>
        </w:rPr>
      </w:pPr>
      <w:r>
        <w:rPr>
          <w:rFonts w:eastAsia="仿宋_GB2312" w:hint="eastAsia"/>
          <w:color w:val="auto"/>
          <w:kern w:val="0"/>
          <w:sz w:val="32"/>
          <w:szCs w:val="32"/>
          <w:shd w:val="clear" w:color="auto" w:fill="FFFFFF"/>
          <w:lang w:val="en-US" w:eastAsia="zh-CN"/>
          <w:highlight w:val="auto"/>
        </w:rPr>
        <w:t>阶段（含一次性）项目绩效分析。</w:t>
      </w:r>
      <w:r>
        <w:rPr>
          <w:rFonts w:eastAsia="仿宋_GB2312" w:hint="eastAsia"/>
          <w:color w:val="auto"/>
          <w:kern w:val="0"/>
          <w:sz w:val="32"/>
          <w:szCs w:val="32"/>
          <w:shd w:val="clear" w:color="auto" w:fill="FFFFFF"/>
          <w:lang w:val="zh-CN" w:eastAsia="zh-CN"/>
          <w:highlight w:val="auto"/>
        </w:rPr>
        <w:t>该类项目总数</w:t>
      </w:r>
      <w:r>
        <w:rPr>
          <w:rFonts w:eastAsia="仿宋_GB2312" w:hint="eastAsia"/>
          <w:color w:val="auto"/>
          <w:kern w:val="0"/>
          <w:sz w:val="32"/>
          <w:szCs w:val="32"/>
          <w:shd w:val="clear" w:color="auto" w:fill="FFFFFF"/>
          <w:lang w:val="en-US" w:eastAsia="zh-CN"/>
          <w:highlight w:val="auto"/>
        </w:rPr>
        <w:t>49</w:t>
      </w:r>
      <w:r>
        <w:rPr>
          <w:rFonts w:eastAsia="仿宋_GB2312" w:hint="eastAsia"/>
          <w:color w:val="auto"/>
          <w:kern w:val="0"/>
          <w:sz w:val="32"/>
          <w:szCs w:val="32"/>
          <w:shd w:val="clear" w:color="auto" w:fill="FFFFFF"/>
          <w:lang w:val="zh-CN" w:eastAsia="zh-CN"/>
          <w:highlight w:val="auto"/>
        </w:rPr>
        <w:t>个，涉及预算总金额3974</w:t>
      </w:r>
      <w:r>
        <w:rPr>
          <w:rFonts w:eastAsia="仿宋_GB2312" w:hint="eastAsia"/>
          <w:color w:val="auto"/>
          <w:kern w:val="0"/>
          <w:sz w:val="32"/>
          <w:szCs w:val="32"/>
          <w:shd w:val="clear" w:color="auto" w:fill="FFFFFF"/>
          <w:lang w:val="en-US" w:eastAsia="zh-CN"/>
          <w:highlight w:val="auto"/>
        </w:rPr>
        <w:t>.</w:t>
      </w:r>
      <w:r>
        <w:rPr>
          <w:rFonts w:eastAsia="仿宋_GB2312" w:hint="eastAsia"/>
          <w:color w:val="auto"/>
          <w:kern w:val="0"/>
          <w:sz w:val="32"/>
          <w:szCs w:val="32"/>
          <w:shd w:val="clear" w:color="auto" w:fill="FFFFFF"/>
          <w:lang w:val="zh-CN" w:eastAsia="zh-CN"/>
          <w:highlight w:val="auto"/>
        </w:rPr>
        <w:t>32万元，1—1</w:t>
      </w:r>
      <w:r>
        <w:rPr>
          <w:rFonts w:eastAsia="仿宋_GB2312" w:hint="eastAsia"/>
          <w:color w:val="auto"/>
          <w:kern w:val="0"/>
          <w:sz w:val="32"/>
          <w:szCs w:val="32"/>
          <w:shd w:val="clear" w:color="auto" w:fill="FFFFFF"/>
          <w:lang w:val="en-US" w:eastAsia="zh-CN"/>
          <w:highlight w:val="auto"/>
        </w:rPr>
        <w:t>2</w:t>
      </w:r>
      <w:r>
        <w:rPr>
          <w:rFonts w:eastAsia="仿宋_GB2312" w:hint="eastAsia"/>
          <w:color w:val="auto"/>
          <w:kern w:val="0"/>
          <w:sz w:val="32"/>
          <w:szCs w:val="32"/>
          <w:shd w:val="clear" w:color="auto" w:fill="FFFFFF"/>
          <w:lang w:val="zh-CN" w:eastAsia="zh-CN"/>
          <w:highlight w:val="auto"/>
        </w:rPr>
        <w:t>月预算执行总体进度为</w:t>
      </w:r>
      <w:r>
        <w:rPr>
          <w:rFonts w:eastAsia="仿宋_GB2312" w:hint="eastAsia"/>
          <w:color w:val="auto"/>
          <w:kern w:val="0"/>
          <w:sz w:val="32"/>
          <w:szCs w:val="32"/>
          <w:shd w:val="clear" w:color="auto" w:fill="FFFFFF"/>
          <w:lang w:val="en-US" w:eastAsia="zh-CN"/>
          <w:highlight w:val="auto"/>
        </w:rPr>
        <w:t>79.09</w:t>
      </w:r>
      <w:r>
        <w:rPr>
          <w:rFonts w:eastAsia="仿宋_GB2312" w:hint="eastAsia"/>
          <w:color w:val="auto"/>
          <w:kern w:val="0"/>
          <w:sz w:val="32"/>
          <w:szCs w:val="32"/>
          <w:shd w:val="clear" w:color="auto" w:fill="FFFFFF"/>
          <w:lang w:val="zh-CN" w:eastAsia="zh-CN"/>
          <w:highlight w:val="auto"/>
        </w:rPr>
        <w:t>%，其中：预算结余率大于</w:t>
      </w:r>
      <w:r>
        <w:rPr>
          <w:rFonts w:eastAsia="仿宋_GB2312" w:hint="eastAsia"/>
          <w:color w:val="auto"/>
          <w:kern w:val="0"/>
          <w:sz w:val="32"/>
          <w:szCs w:val="32"/>
          <w:shd w:val="clear" w:color="auto" w:fill="FFFFFF"/>
          <w:lang w:val="en-US" w:eastAsia="zh-CN"/>
          <w:highlight w:val="auto"/>
        </w:rPr>
        <w:t>10%</w:t>
      </w:r>
      <w:r>
        <w:rPr>
          <w:rFonts w:eastAsia="仿宋_GB2312" w:hint="eastAsia"/>
          <w:color w:val="auto"/>
          <w:kern w:val="0"/>
          <w:sz w:val="32"/>
          <w:szCs w:val="32"/>
          <w:shd w:val="clear" w:color="auto" w:fill="FFFFFF"/>
          <w:lang w:val="zh-CN" w:eastAsia="zh-CN"/>
          <w:highlight w:val="auto"/>
        </w:rPr>
        <w:t>的项目共计</w:t>
      </w:r>
      <w:r>
        <w:rPr>
          <w:rFonts w:eastAsia="仿宋_GB2312" w:hint="eastAsia"/>
          <w:color w:val="auto"/>
          <w:kern w:val="0"/>
          <w:sz w:val="32"/>
          <w:szCs w:val="32"/>
          <w:shd w:val="clear" w:color="auto" w:fill="FFFFFF"/>
          <w:lang w:val="en-US" w:eastAsia="zh-CN"/>
          <w:highlight w:val="auto"/>
        </w:rPr>
        <w:t>15</w:t>
      </w:r>
      <w:r>
        <w:rPr>
          <w:rFonts w:eastAsia="仿宋_GB2312" w:hint="eastAsia"/>
          <w:color w:val="auto"/>
          <w:kern w:val="0"/>
          <w:sz w:val="32"/>
          <w:szCs w:val="32"/>
          <w:shd w:val="clear" w:color="auto" w:fill="FFFFFF"/>
          <w:lang w:val="zh-CN" w:eastAsia="zh-CN"/>
          <w:highlight w:val="auto"/>
        </w:rPr>
        <w:t>个。</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ascii="仿宋_GB2312" w:eastAsia="仿宋_GB2312" w:cs="仿宋"/>
          <w:color w:val="000000"/>
          <w:kern w:val="0"/>
          <w:sz w:val="32"/>
          <w:szCs w:val="32"/>
          <w:lang w:val="en-US" w:eastAsia="zh-CN" w:bidi="ar-SA"/>
        </w:rPr>
      </w:pPr>
      <w:r>
        <w:rPr>
          <w:rFonts w:ascii="楷体_GB2312" w:eastAsia="楷体_GB2312" w:cs="楷体_GB2312" w:hint="eastAsia"/>
          <w:color w:val="000000"/>
          <w:kern w:val="0"/>
          <w:sz w:val="32"/>
          <w:szCs w:val="32"/>
          <w:shd w:val="clear" w:color="auto" w:fill="FFFFFF"/>
          <w:lang w:val="en-US" w:eastAsia="zh-CN"/>
        </w:rPr>
        <w:t>1.项目决策。</w:t>
      </w:r>
      <w:r>
        <w:rPr>
          <w:rFonts w:eastAsia="仿宋_GB2312" w:hint="eastAsia"/>
          <w:color w:val="auto"/>
          <w:kern w:val="0"/>
          <w:sz w:val="32"/>
          <w:szCs w:val="32"/>
          <w:shd w:val="clear" w:color="auto" w:fill="FFFFFF"/>
          <w:lang w:val="en-US" w:eastAsia="zh-CN"/>
          <w:highlight w:val="auto"/>
        </w:rPr>
        <w:t>根据项目申报条件，单位班子成员及股室负责人或相关决策机构对项目评估报告进行审议后，向上级主管部分申报，同时由企业对项目目标设置后，待资金下达后，再撰写项目事前评估报告，项目入库申报。</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ascii="楷体_GB2312" w:eastAsia="楷体_GB2312" w:cs="楷体_GB2312" w:hint="eastAsia"/>
          <w:color w:val="000000"/>
          <w:kern w:val="0"/>
          <w:sz w:val="32"/>
          <w:szCs w:val="32"/>
          <w:shd w:val="clear" w:color="auto" w:fill="FFFFFF"/>
        </w:rPr>
      </w:pPr>
      <w:r>
        <w:rPr>
          <w:rFonts w:ascii="楷体_GB2312" w:eastAsia="楷体_GB2312" w:cs="楷体_GB2312" w:hint="eastAsia"/>
          <w:color w:val="000000"/>
          <w:kern w:val="0"/>
          <w:sz w:val="32"/>
          <w:szCs w:val="32"/>
          <w:shd w:val="clear" w:color="auto" w:fill="FFFFFF"/>
        </w:rPr>
        <w:t>2.项目执行</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ascii="仿宋_GB2312" w:eastAsia="仿宋_GB2312" w:cs="仿宋" w:hint="eastAsia"/>
          <w:color w:val="000000"/>
          <w:kern w:val="0"/>
          <w:sz w:val="32"/>
          <w:szCs w:val="32"/>
          <w:lang w:val="en-US" w:eastAsia="zh-CN" w:bidi="ar-SA"/>
        </w:rPr>
      </w:pPr>
      <w:r>
        <w:rPr>
          <w:rFonts w:ascii="仿宋_GB2312" w:eastAsia="仿宋_GB2312" w:cs="仿宋" w:hint="eastAsia"/>
          <w:color w:val="000000"/>
          <w:kern w:val="0"/>
          <w:sz w:val="32"/>
          <w:szCs w:val="32"/>
          <w:lang w:val="zh-CN" w:eastAsia="zh-CN" w:bidi="ar-SA"/>
        </w:rPr>
        <w:t>202</w:t>
      </w:r>
      <w:r>
        <w:rPr>
          <w:rFonts w:ascii="仿宋_GB2312" w:eastAsia="仿宋_GB2312" w:cs="仿宋" w:hint="eastAsia"/>
          <w:color w:val="000000"/>
          <w:kern w:val="0"/>
          <w:sz w:val="32"/>
          <w:szCs w:val="32"/>
          <w:lang w:val="en-US" w:eastAsia="zh-CN" w:bidi="ar-SA"/>
        </w:rPr>
        <w:t>5</w:t>
      </w:r>
      <w:r>
        <w:rPr>
          <w:rFonts w:ascii="仿宋_GB2312" w:eastAsia="仿宋_GB2312" w:cs="仿宋" w:hint="eastAsia"/>
          <w:color w:val="000000"/>
          <w:kern w:val="0"/>
          <w:sz w:val="32"/>
          <w:szCs w:val="32"/>
          <w:lang w:val="zh-CN" w:eastAsia="zh-CN" w:bidi="ar-SA"/>
        </w:rPr>
        <w:t>年</w:t>
      </w:r>
      <w:r>
        <w:rPr>
          <w:rFonts w:ascii="仿宋_GB2312" w:eastAsia="仿宋_GB2312" w:cs="仿宋" w:hint="eastAsia"/>
          <w:color w:val="000000"/>
          <w:kern w:val="0"/>
          <w:sz w:val="32"/>
          <w:szCs w:val="32"/>
          <w:lang w:val="en-US" w:eastAsia="zh-CN" w:bidi="ar-SA"/>
        </w:rPr>
        <w:t>凤仪镇村干部工资，</w:t>
      </w:r>
      <w:r>
        <w:rPr>
          <w:rFonts w:ascii="仿宋_GB2312" w:eastAsia="仿宋_GB2312" w:cs="仿宋" w:hint="eastAsia"/>
          <w:color w:val="000000"/>
          <w:kern w:val="0"/>
          <w:sz w:val="32"/>
          <w:szCs w:val="32"/>
          <w:lang w:val="zh-CN" w:eastAsia="zh-CN" w:bidi="ar-SA"/>
        </w:rPr>
        <w:t>预算数275.16</w:t>
      </w:r>
      <w:r>
        <w:rPr>
          <w:rFonts w:ascii="仿宋_GB2312" w:eastAsia="仿宋_GB2312" w:cs="仿宋" w:hint="eastAsia"/>
          <w:color w:val="000000"/>
          <w:kern w:val="0"/>
          <w:sz w:val="32"/>
          <w:szCs w:val="32"/>
          <w:lang w:val="en-US" w:eastAsia="zh-CN" w:bidi="ar-SA"/>
        </w:rPr>
        <w:t>万</w:t>
      </w:r>
      <w:r>
        <w:rPr>
          <w:rFonts w:ascii="仿宋_GB2312" w:eastAsia="仿宋_GB2312" w:cs="仿宋" w:hint="eastAsia"/>
          <w:color w:val="000000"/>
          <w:kern w:val="0"/>
          <w:sz w:val="32"/>
          <w:szCs w:val="32"/>
          <w:lang w:val="zh-CN" w:eastAsia="zh-CN" w:bidi="ar-SA"/>
        </w:rPr>
        <w:t>元，支付数273.04</w:t>
      </w:r>
      <w:r>
        <w:rPr>
          <w:rFonts w:ascii="仿宋_GB2312" w:eastAsia="仿宋_GB2312" w:cs="仿宋" w:hint="eastAsia"/>
          <w:color w:val="000000"/>
          <w:kern w:val="0"/>
          <w:sz w:val="32"/>
          <w:szCs w:val="32"/>
          <w:lang w:val="en-US" w:eastAsia="zh-CN" w:bidi="ar-SA"/>
        </w:rPr>
        <w:t>万</w:t>
      </w:r>
      <w:r>
        <w:rPr>
          <w:rFonts w:ascii="仿宋_GB2312" w:eastAsia="仿宋_GB2312" w:cs="仿宋" w:hint="eastAsia"/>
          <w:color w:val="000000"/>
          <w:kern w:val="0"/>
          <w:sz w:val="32"/>
          <w:szCs w:val="32"/>
          <w:lang w:val="zh-CN" w:eastAsia="zh-CN" w:bidi="ar-SA"/>
        </w:rPr>
        <w:t>元，执行进度</w:t>
      </w:r>
      <w:r>
        <w:rPr>
          <w:rFonts w:ascii="仿宋_GB2312" w:eastAsia="仿宋_GB2312" w:cs="仿宋" w:hint="eastAsia"/>
          <w:color w:val="000000"/>
          <w:kern w:val="0"/>
          <w:sz w:val="32"/>
          <w:szCs w:val="32"/>
          <w:lang w:val="en-US" w:eastAsia="zh-CN" w:bidi="ar-SA"/>
        </w:rPr>
        <w:t>99.23%。</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ascii="仿宋_GB2312" w:eastAsia="仿宋_GB2312" w:cs="仿宋" w:hint="eastAsia"/>
          <w:color w:val="000000"/>
          <w:kern w:val="0"/>
          <w:sz w:val="32"/>
          <w:szCs w:val="32"/>
          <w:lang w:val="en-US" w:eastAsia="zh-CN" w:bidi="ar-SA"/>
        </w:rPr>
      </w:pPr>
      <w:r>
        <w:rPr>
          <w:rFonts w:ascii="仿宋_GB2312" w:eastAsia="仿宋_GB2312" w:cs="仿宋" w:hint="eastAsia"/>
          <w:color w:val="000000"/>
          <w:kern w:val="0"/>
          <w:sz w:val="32"/>
          <w:szCs w:val="32"/>
          <w:lang w:val="zh-CN" w:eastAsia="zh-CN" w:bidi="ar-SA"/>
        </w:rPr>
        <w:t>茂县凤仪镇人民政府武装工作经费，预算数</w:t>
      </w:r>
      <w:r>
        <w:rPr>
          <w:rFonts w:ascii="仿宋_GB2312" w:eastAsia="仿宋_GB2312" w:cs="仿宋" w:hint="eastAsia"/>
          <w:color w:val="000000"/>
          <w:kern w:val="0"/>
          <w:sz w:val="32"/>
          <w:szCs w:val="32"/>
          <w:lang w:val="en-US" w:eastAsia="zh-CN" w:bidi="ar-SA"/>
        </w:rPr>
        <w:t>5万</w:t>
      </w:r>
      <w:r>
        <w:rPr>
          <w:rFonts w:ascii="仿宋_GB2312" w:eastAsia="仿宋_GB2312" w:cs="仿宋" w:hint="eastAsia"/>
          <w:color w:val="000000"/>
          <w:kern w:val="0"/>
          <w:sz w:val="32"/>
          <w:szCs w:val="32"/>
          <w:lang w:val="zh-CN" w:eastAsia="zh-CN" w:bidi="ar-SA"/>
        </w:rPr>
        <w:t>元，支付数</w:t>
      </w:r>
      <w:r>
        <w:rPr>
          <w:rFonts w:ascii="仿宋_GB2312" w:eastAsia="仿宋_GB2312" w:cs="仿宋" w:hint="eastAsia"/>
          <w:color w:val="000000"/>
          <w:kern w:val="0"/>
          <w:sz w:val="32"/>
          <w:szCs w:val="32"/>
          <w:lang w:val="en-US" w:eastAsia="zh-CN" w:bidi="ar-SA"/>
        </w:rPr>
        <w:t>5万</w:t>
      </w:r>
      <w:r>
        <w:rPr>
          <w:rFonts w:ascii="仿宋_GB2312" w:eastAsia="仿宋_GB2312" w:cs="仿宋" w:hint="eastAsia"/>
          <w:color w:val="000000"/>
          <w:kern w:val="0"/>
          <w:sz w:val="32"/>
          <w:szCs w:val="32"/>
          <w:lang w:val="zh-CN" w:eastAsia="zh-CN" w:bidi="ar-SA"/>
        </w:rPr>
        <w:t>元，执行进度</w:t>
      </w:r>
      <w:r>
        <w:rPr>
          <w:rFonts w:ascii="仿宋_GB2312" w:eastAsia="仿宋_GB2312" w:cs="仿宋" w:hint="eastAsia"/>
          <w:color w:val="000000"/>
          <w:kern w:val="0"/>
          <w:sz w:val="32"/>
          <w:szCs w:val="32"/>
          <w:lang w:val="en-US" w:eastAsia="zh-CN" w:bidi="ar-SA"/>
        </w:rPr>
        <w:t>100%。</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ascii="仿宋_GB2312" w:eastAsia="仿宋_GB2312" w:cs="仿宋" w:hint="eastAsia"/>
          <w:color w:val="000000"/>
          <w:kern w:val="0"/>
          <w:sz w:val="32"/>
          <w:szCs w:val="32"/>
          <w:lang w:val="en-US" w:eastAsia="zh-CN" w:bidi="ar-SA"/>
        </w:rPr>
      </w:pPr>
      <w:r>
        <w:rPr>
          <w:rFonts w:ascii="仿宋_GB2312" w:eastAsia="仿宋_GB2312" w:cs="仿宋" w:hint="eastAsia"/>
          <w:color w:val="000000"/>
          <w:kern w:val="0"/>
          <w:sz w:val="32"/>
          <w:szCs w:val="32"/>
          <w:lang w:val="en-US" w:eastAsia="zh-CN" w:bidi="ar-SA"/>
        </w:rPr>
        <w:t>2025年度</w:t>
      </w:r>
      <w:r>
        <w:rPr>
          <w:rFonts w:ascii="仿宋_GB2312" w:eastAsia="仿宋_GB2312" w:cs="仿宋" w:hint="eastAsia"/>
          <w:color w:val="000000"/>
          <w:kern w:val="0"/>
          <w:sz w:val="32"/>
          <w:szCs w:val="32"/>
          <w:lang w:val="zh-CN" w:eastAsia="zh-CN" w:bidi="ar-SA"/>
        </w:rPr>
        <w:t>省级村级公共服务经费补助资金，</w:t>
      </w:r>
      <w:r>
        <w:rPr>
          <w:rFonts w:ascii="仿宋_GB2312" w:eastAsia="仿宋_GB2312" w:cs="仿宋" w:hint="eastAsia"/>
          <w:color w:val="000000"/>
          <w:kern w:val="0"/>
          <w:sz w:val="32"/>
          <w:szCs w:val="32"/>
          <w:lang w:val="en-US" w:eastAsia="zh-CN" w:bidi="ar-SA"/>
        </w:rPr>
        <w:t>预算数200万元</w:t>
      </w:r>
      <w:r>
        <w:rPr>
          <w:rFonts w:ascii="仿宋_GB2312" w:eastAsia="仿宋_GB2312" w:cs="仿宋" w:hint="eastAsia"/>
          <w:color w:val="000000"/>
          <w:kern w:val="0"/>
          <w:sz w:val="32"/>
          <w:szCs w:val="32"/>
          <w:lang w:val="zh-CN" w:eastAsia="zh-CN" w:bidi="ar-SA"/>
        </w:rPr>
        <w:t>，</w:t>
      </w:r>
      <w:r>
        <w:rPr>
          <w:rFonts w:ascii="仿宋_GB2312" w:eastAsia="仿宋_GB2312" w:cs="仿宋" w:hint="eastAsia"/>
          <w:color w:val="000000"/>
          <w:kern w:val="0"/>
          <w:sz w:val="32"/>
          <w:szCs w:val="32"/>
          <w:lang w:val="en-US" w:eastAsia="zh-CN" w:bidi="ar-SA"/>
        </w:rPr>
        <w:t>支付数200万元，</w:t>
      </w:r>
      <w:r>
        <w:rPr>
          <w:rFonts w:ascii="仿宋_GB2312" w:eastAsia="仿宋_GB2312" w:cs="仿宋" w:hint="eastAsia"/>
          <w:color w:val="000000"/>
          <w:kern w:val="0"/>
          <w:sz w:val="32"/>
          <w:szCs w:val="32"/>
          <w:lang w:val="zh-CN" w:eastAsia="zh-CN" w:bidi="ar-SA"/>
        </w:rPr>
        <w:t>执行进度</w:t>
      </w:r>
      <w:r>
        <w:rPr>
          <w:rFonts w:ascii="仿宋_GB2312" w:eastAsia="仿宋_GB2312" w:cs="仿宋" w:hint="eastAsia"/>
          <w:color w:val="000000"/>
          <w:kern w:val="0"/>
          <w:sz w:val="32"/>
          <w:szCs w:val="32"/>
          <w:lang w:val="en-US" w:eastAsia="zh-CN" w:bidi="ar-SA"/>
        </w:rPr>
        <w:t>100%。</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ascii="仿宋_GB2312" w:eastAsia="仿宋_GB2312" w:cs="仿宋" w:hint="eastAsia"/>
          <w:color w:val="000000"/>
          <w:kern w:val="0"/>
          <w:sz w:val="32"/>
          <w:szCs w:val="32"/>
          <w:lang w:val="en-US" w:eastAsia="zh-CN" w:bidi="ar-SA"/>
        </w:rPr>
      </w:pPr>
      <w:r>
        <w:rPr>
          <w:rFonts w:ascii="仿宋_GB2312" w:eastAsia="仿宋_GB2312" w:cs="仿宋" w:hint="eastAsia"/>
          <w:color w:val="000000"/>
          <w:kern w:val="0"/>
          <w:sz w:val="32"/>
          <w:szCs w:val="32"/>
          <w:lang w:val="en-US" w:eastAsia="zh-CN" w:bidi="ar-SA"/>
        </w:rPr>
        <w:t>2025年度茂县凤仪镇网格员工资，预算数127.84万元</w:t>
      </w:r>
      <w:r>
        <w:rPr>
          <w:rFonts w:ascii="仿宋_GB2312" w:eastAsia="仿宋_GB2312" w:cs="仿宋" w:hint="eastAsia"/>
          <w:color w:val="000000"/>
          <w:kern w:val="0"/>
          <w:sz w:val="32"/>
          <w:szCs w:val="32"/>
          <w:lang w:val="zh-CN" w:eastAsia="zh-CN" w:bidi="ar-SA"/>
        </w:rPr>
        <w:t>，</w:t>
      </w:r>
      <w:r>
        <w:rPr>
          <w:rFonts w:ascii="仿宋_GB2312" w:eastAsia="仿宋_GB2312" w:cs="仿宋" w:hint="eastAsia"/>
          <w:color w:val="000000"/>
          <w:kern w:val="0"/>
          <w:sz w:val="32"/>
          <w:szCs w:val="32"/>
          <w:lang w:val="en-US" w:eastAsia="zh-CN" w:bidi="ar-SA"/>
        </w:rPr>
        <w:t>支付数127.4万元，</w:t>
      </w:r>
      <w:r>
        <w:rPr>
          <w:rFonts w:ascii="仿宋_GB2312" w:eastAsia="仿宋_GB2312" w:cs="仿宋" w:hint="eastAsia"/>
          <w:color w:val="000000"/>
          <w:kern w:val="0"/>
          <w:sz w:val="32"/>
          <w:szCs w:val="32"/>
          <w:lang w:val="zh-CN" w:eastAsia="zh-CN" w:bidi="ar-SA"/>
        </w:rPr>
        <w:t>执行进度</w:t>
      </w:r>
      <w:r>
        <w:rPr>
          <w:rFonts w:ascii="仿宋_GB2312" w:eastAsia="仿宋_GB2312" w:cs="仿宋" w:hint="eastAsia"/>
          <w:color w:val="000000"/>
          <w:kern w:val="0"/>
          <w:sz w:val="32"/>
          <w:szCs w:val="32"/>
          <w:lang w:val="en-US" w:eastAsia="zh-CN" w:bidi="ar-SA"/>
        </w:rPr>
        <w:t>99.65%。</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ascii="仿宋_GB2312" w:eastAsia="仿宋_GB2312" w:cs="仿宋" w:hint="eastAsia"/>
          <w:color w:val="000000"/>
          <w:kern w:val="0"/>
          <w:sz w:val="32"/>
          <w:szCs w:val="32"/>
          <w:shd w:val="clear" w:color="auto" w:fill="FFFFFF"/>
          <w:lang w:val="zh-CN" w:eastAsia="zh-CN" w:bidi="ar-SA"/>
        </w:rPr>
      </w:pPr>
      <w:r>
        <w:rPr>
          <w:rFonts w:ascii="仿宋_GB2312" w:eastAsia="仿宋_GB2312" w:cs="仿宋" w:hint="eastAsia"/>
          <w:color w:val="000000"/>
          <w:kern w:val="0"/>
          <w:sz w:val="32"/>
          <w:szCs w:val="32"/>
          <w:shd w:val="clear" w:color="auto" w:fill="FFFFFF"/>
          <w:lang w:val="zh-CN" w:eastAsia="zh-CN" w:bidi="ar-SA"/>
        </w:rPr>
        <w:t>3.目标实现。各项既定绩效目标全部圆满达成，履职、预算、财务等核心指标均达到评价标准，有效保障了我镇各项工作的有序推进。</w:t>
      </w:r>
    </w:p>
    <w:p>
      <w:pPr>
        <w:keepNext w:val="0"/>
        <w:keepLines w:val="0"/>
        <w:pageBreakBefore w:val="0"/>
        <w:widowControl w:val="0"/>
        <w:kinsoku/>
        <w:wordWrap/>
        <w:overflowPunct/>
        <w:topLinePunct w:val="0"/>
        <w:autoSpaceDE/>
        <w:autoSpaceDN/>
        <w:bidi w:val="0"/>
        <w:snapToGrid w:val="0"/>
        <w:spacing w:line="600" w:lineRule="exact"/>
        <w:ind w:left="0" w:firstLineChars="200" w:firstLine="640"/>
        <w:jc w:val="both"/>
        <w:rPr>
          <w:rFonts w:eastAsia="楷体_GB2312"/>
          <w:b/>
          <w:bCs/>
          <w:sz w:val="32"/>
          <w:szCs w:val="32"/>
          <w:lang w:val="zh-CN"/>
        </w:rPr>
      </w:pPr>
      <w:r>
        <w:rPr>
          <w:rFonts w:eastAsia="楷体_GB2312"/>
          <w:b/>
          <w:bCs/>
          <w:color w:val="000000"/>
          <w:kern w:val="0"/>
          <w:sz w:val="32"/>
          <w:szCs w:val="32"/>
          <w:shd w:val="clear" w:color="auto" w:fill="FFFFFF"/>
          <w:lang w:val="zh-CN"/>
        </w:rPr>
        <w:t>（三）</w:t>
      </w:r>
      <w:r>
        <w:rPr>
          <w:rFonts w:eastAsia="楷体_GB2312"/>
          <w:b/>
          <w:bCs/>
          <w:sz w:val="32"/>
          <w:szCs w:val="32"/>
          <w:lang w:val="zh-CN"/>
        </w:rPr>
        <w:t>绩效结果应用情况</w:t>
      </w:r>
    </w:p>
    <w:p>
      <w:pPr>
        <w:keepNext w:val="0"/>
        <w:keepLines w:val="0"/>
        <w:pageBreakBefore w:val="0"/>
        <w:widowControl w:val="0"/>
        <w:kinsoku/>
        <w:wordWrap/>
        <w:overflowPunct/>
        <w:topLinePunct w:val="0"/>
        <w:autoSpaceDE/>
        <w:autoSpaceDN/>
        <w:bidi w:val="0"/>
        <w:snapToGrid w:val="0"/>
        <w:spacing w:line="600" w:lineRule="exact"/>
        <w:ind w:left="0" w:firstLineChars="200" w:firstLine="640"/>
        <w:jc w:val="both"/>
        <w:rPr>
          <w:rFonts w:eastAsia="仿宋_GB2312"/>
          <w:b/>
          <w:sz w:val="32"/>
          <w:szCs w:val="32"/>
        </w:rPr>
      </w:pPr>
      <w:r>
        <w:rPr>
          <w:rFonts w:ascii="仿宋_GB2312" w:eastAsia="仿宋_GB2312" w:cs="仿宋_GB2312" w:hint="eastAsia"/>
          <w:sz w:val="32"/>
          <w:szCs w:val="32"/>
          <w:lang w:val="zh-CN"/>
        </w:rPr>
        <w:t>我镇严格按照预决算相关要求及时公开，根据年度人大监督、审计监督、财会监督等结果以及评价指标体系涉及的履职效果、预算管理、财务管理、资产管理、采购管理、项目绩效等方面出现的问题及时整改，整改结果及时反馈相关单位。</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pPr>
        <w:keepNext w:val="0"/>
        <w:keepLines w:val="0"/>
        <w:pageBreakBefore w:val="0"/>
        <w:widowControl w:val="0"/>
        <w:kinsoku/>
        <w:wordWrap/>
        <w:overflowPunct/>
        <w:topLinePunct w:val="0"/>
        <w:autoSpaceDE/>
        <w:autoSpaceDN/>
        <w:bidi w:val="0"/>
        <w:spacing w:line="576" w:lineRule="exact"/>
        <w:ind w:firstLineChars="200" w:firstLine="640"/>
        <w:jc w:val="both"/>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pPr>
        <w:keepNext w:val="0"/>
        <w:keepLines w:val="0"/>
        <w:pageBreakBefore w:val="0"/>
        <w:widowControl w:val="0"/>
        <w:kinsoku/>
        <w:wordWrap/>
        <w:overflowPunct/>
        <w:topLinePunct w:val="0"/>
        <w:autoSpaceDE/>
        <w:autoSpaceDN/>
        <w:bidi w:val="0"/>
        <w:spacing w:line="576" w:lineRule="exact"/>
        <w:ind w:firstLineChars="200" w:firstLine="640"/>
        <w:jc w:val="both"/>
        <w:rPr>
          <w:rFonts w:ascii="仿宋_GB2312" w:eastAsia="仿宋_GB2312" w:cs="仿宋_GB2312" w:hint="eastAsia"/>
          <w:sz w:val="32"/>
          <w:szCs w:val="32"/>
          <w:lang w:val="zh-CN" w:eastAsia="zh-CN"/>
          <w:highlight w:val="auto"/>
        </w:rPr>
      </w:pPr>
      <w:r>
        <w:rPr>
          <w:rFonts w:ascii="仿宋_GB2312" w:eastAsia="仿宋_GB2312" w:cs="仿宋" w:hint="eastAsia"/>
          <w:color w:val="000000"/>
          <w:sz w:val="32"/>
          <w:szCs w:val="32"/>
        </w:rPr>
        <w:t>我镇按照预算法按时完成预决算编制。在执行过程中有计划进行资金申报使用，完善资金管理及内部控制制度，确保资金安全，做到账款、账账、账实相符。为全镇经济和社会事业发展提供资金保障。202</w:t>
      </w:r>
      <w:r>
        <w:rPr>
          <w:rFonts w:ascii="仿宋_GB2312" w:eastAsia="仿宋_GB2312" w:cs="仿宋" w:hint="eastAsia"/>
          <w:color w:val="000000"/>
          <w:sz w:val="32"/>
          <w:szCs w:val="32"/>
          <w:lang w:val="en-US" w:eastAsia="zh-CN"/>
        </w:rPr>
        <w:t>5</w:t>
      </w:r>
      <w:r>
        <w:rPr>
          <w:rFonts w:ascii="仿宋_GB2312" w:eastAsia="仿宋_GB2312" w:cs="仿宋" w:hint="eastAsia"/>
          <w:color w:val="000000"/>
          <w:sz w:val="32"/>
          <w:szCs w:val="32"/>
        </w:rPr>
        <w:t>年度茂县凤仪镇人民政府总体运行情况良好，目标设置明确、合理合规，根据《部门整体支出绩效评价指标》评分我单位综合自评</w:t>
      </w:r>
      <w:r>
        <w:rPr>
          <w:rFonts w:ascii="仿宋_GB2312" w:eastAsia="仿宋_GB2312" w:cs="仿宋" w:hint="eastAsia"/>
          <w:color w:val="000000"/>
          <w:sz w:val="32"/>
          <w:szCs w:val="32"/>
          <w:highlight w:val="auto"/>
        </w:rPr>
        <w:t>得分为</w:t>
      </w:r>
      <w:r>
        <w:rPr>
          <w:rFonts w:ascii="仿宋_GB2312" w:eastAsia="仿宋_GB2312" w:cs="仿宋" w:hint="eastAsia"/>
          <w:color w:val="000000"/>
          <w:sz w:val="32"/>
          <w:szCs w:val="32"/>
          <w:lang w:val="en-US" w:eastAsia="zh-CN"/>
          <w:highlight w:val="auto"/>
        </w:rPr>
        <w:t>87</w:t>
      </w:r>
      <w:r>
        <w:rPr>
          <w:rFonts w:ascii="仿宋_GB2312" w:eastAsia="仿宋_GB2312" w:cs="仿宋" w:hint="eastAsia"/>
          <w:color w:val="000000"/>
          <w:sz w:val="32"/>
          <w:szCs w:val="32"/>
          <w:highlight w:val="auto"/>
        </w:rPr>
        <w:t>分</w:t>
      </w:r>
      <w:r>
        <w:rPr>
          <w:rFonts w:ascii="仿宋_GB2312" w:eastAsia="仿宋_GB2312" w:cs="仿宋" w:hint="eastAsia"/>
          <w:color w:val="000000"/>
          <w:sz w:val="32"/>
          <w:szCs w:val="32"/>
          <w:lang w:eastAsia="zh-CN"/>
          <w:highlight w:val="auto"/>
        </w:rPr>
        <w:t>。</w:t>
      </w:r>
    </w:p>
    <w:p>
      <w:pPr>
        <w:keepNext w:val="0"/>
        <w:keepLines w:val="0"/>
        <w:pageBreakBefore w:val="0"/>
        <w:widowControl w:val="0"/>
        <w:kinsoku/>
        <w:wordWrap/>
        <w:overflowPunct/>
        <w:topLinePunct w:val="0"/>
        <w:autoSpaceDE/>
        <w:autoSpaceDN/>
        <w:bidi w:val="0"/>
        <w:spacing w:line="536" w:lineRule="exact"/>
        <w:ind w:left="0" w:firstLineChars="200" w:firstLine="640"/>
        <w:jc w:val="both"/>
        <w:rPr>
          <w:rFonts w:eastAsia="楷体_GB2312"/>
          <w:b/>
          <w:bCs/>
          <w:color w:val="000000"/>
          <w:kern w:val="0"/>
          <w:sz w:val="32"/>
          <w:szCs w:val="32"/>
          <w:shd w:val="clear" w:color="auto" w:fill="FFFFFF"/>
          <w:lang w:val="zh-CN"/>
        </w:rPr>
      </w:pPr>
      <w:r>
        <w:rPr>
          <w:rFonts w:eastAsia="楷体_GB2312" w:hint="eastAsia"/>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存在问题</w:t>
      </w:r>
    </w:p>
    <w:p>
      <w:pPr>
        <w:keepNext w:val="0"/>
        <w:keepLines w:val="0"/>
        <w:pageBreakBefore w:val="0"/>
        <w:widowControl w:val="0"/>
        <w:kinsoku/>
        <w:wordWrap/>
        <w:overflowPunct/>
        <w:topLinePunct w:val="0"/>
        <w:autoSpaceDE/>
        <w:autoSpaceDN/>
        <w:bidi w:val="0"/>
        <w:spacing w:line="576" w:lineRule="exact"/>
        <w:ind w:left="0" w:firstLineChars="200" w:firstLine="640"/>
        <w:jc w:val="both"/>
        <w:rPr>
          <w:rFonts w:eastAsia="楷体_GB2312"/>
          <w:b/>
          <w:bCs/>
          <w:color w:val="000000"/>
          <w:kern w:val="0"/>
          <w:sz w:val="32"/>
          <w:szCs w:val="32"/>
          <w:shd w:val="clear" w:color="auto" w:fill="FFFFFF"/>
        </w:rPr>
      </w:pPr>
      <w:r>
        <w:rPr>
          <w:rFonts w:ascii="仿宋_GB2312" w:eastAsia="仿宋_GB2312" w:cs="仿宋" w:hint="eastAsia"/>
          <w:color w:val="000000"/>
          <w:sz w:val="32"/>
          <w:szCs w:val="32"/>
        </w:rPr>
        <w:t>因我镇辖区面积大，村（社区）数量多，工作量大</w:t>
      </w:r>
      <w:r>
        <w:rPr>
          <w:rFonts w:ascii="仿宋_GB2312" w:eastAsia="仿宋_GB2312" w:cs="仿宋" w:hint="eastAsia"/>
          <w:color w:val="000000"/>
          <w:sz w:val="32"/>
          <w:szCs w:val="32"/>
          <w:lang w:eastAsia="zh-CN"/>
        </w:rPr>
        <w:t>，</w:t>
      </w:r>
      <w:r>
        <w:rPr>
          <w:rFonts w:ascii="仿宋_GB2312" w:eastAsia="仿宋_GB2312" w:cs="仿宋" w:hint="eastAsia"/>
          <w:color w:val="000000"/>
          <w:sz w:val="32"/>
          <w:szCs w:val="32"/>
        </w:rPr>
        <w:t>导致</w:t>
      </w:r>
      <w:r>
        <w:rPr>
          <w:rFonts w:ascii="仿宋_GB2312" w:eastAsia="仿宋_GB2312" w:cs="仿宋" w:hint="eastAsia"/>
          <w:color w:val="000000"/>
          <w:sz w:val="32"/>
          <w:szCs w:val="32"/>
          <w:lang w:val="en-US" w:eastAsia="zh-CN"/>
        </w:rPr>
        <w:t>部分项目资金支付率低</w:t>
      </w:r>
      <w:r>
        <w:rPr>
          <w:rFonts w:ascii="仿宋_GB2312" w:eastAsia="仿宋_GB2312" w:cs="仿宋" w:hint="eastAsia"/>
          <w:color w:val="000000"/>
          <w:sz w:val="32"/>
          <w:szCs w:val="32"/>
          <w:lang w:eastAsia="zh-CN"/>
        </w:rPr>
        <w:t>。</w:t>
      </w:r>
      <w:r>
        <w:rPr>
          <w:rFonts w:ascii="仿宋_GB2312" w:eastAsia="仿宋_GB2312" w:cs="仿宋" w:hint="eastAsia"/>
          <w:color w:val="000000"/>
          <w:sz w:val="32"/>
          <w:szCs w:val="32"/>
        </w:rPr>
        <w:t>财务人员工作量大、业务水平要求高，需要进一步提高会计业务水平。</w:t>
      </w:r>
    </w:p>
    <w:p>
      <w:pPr>
        <w:keepNext w:val="0"/>
        <w:keepLines w:val="0"/>
        <w:pageBreakBefore w:val="0"/>
        <w:widowControl w:val="0"/>
        <w:kinsoku/>
        <w:wordWrap/>
        <w:overflowPunct/>
        <w:topLinePunct w:val="0"/>
        <w:autoSpaceDE/>
        <w:autoSpaceDN/>
        <w:bidi w:val="0"/>
        <w:spacing w:line="536" w:lineRule="exact"/>
        <w:ind w:left="0" w:firstLineChars="200" w:firstLine="640"/>
        <w:jc w:val="both"/>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（三）改进建议</w:t>
      </w:r>
    </w:p>
    <w:p>
      <w:pPr>
        <w:keepNext w:val="0"/>
        <w:keepLines w:val="0"/>
        <w:pageBreakBefore w:val="0"/>
        <w:widowControl w:val="0"/>
        <w:kinsoku/>
        <w:wordWrap/>
        <w:overflowPunct/>
        <w:topLinePunct w:val="0"/>
        <w:autoSpaceDE/>
        <w:autoSpaceDN/>
        <w:bidi w:val="0"/>
        <w:spacing w:line="536" w:lineRule="exact"/>
        <w:ind w:left="0" w:firstLineChars="200" w:firstLine="640"/>
        <w:jc w:val="both"/>
        <w:rPr>
          <w:rFonts w:ascii="仿宋_GB2312" w:eastAsia="仿宋_GB2312" w:cs="仿宋"/>
          <w:color w:val="000000"/>
          <w:sz w:val="32"/>
          <w:szCs w:val="32"/>
        </w:rPr>
      </w:pPr>
      <w:r>
        <w:rPr>
          <w:rFonts w:ascii="仿宋_GB2312" w:eastAsia="仿宋_GB2312" w:cs="仿宋" w:hint="eastAsia"/>
          <w:color w:val="000000"/>
          <w:sz w:val="32"/>
          <w:szCs w:val="32"/>
        </w:rPr>
        <w:t>1.进一步加强单位预算编制、支出执行、决算编制等工作的管理，特别是应加快专项资金的预算执行进度。</w:t>
      </w:r>
    </w:p>
    <w:p>
      <w:pPr>
        <w:keepNext w:val="0"/>
        <w:keepLines w:val="0"/>
        <w:pageBreakBefore w:val="0"/>
        <w:widowControl w:val="0"/>
        <w:kinsoku/>
        <w:wordWrap/>
        <w:overflowPunct/>
        <w:topLinePunct w:val="0"/>
        <w:autoSpaceDE/>
        <w:autoSpaceDN/>
        <w:bidi w:val="0"/>
        <w:spacing w:line="536" w:lineRule="exact"/>
        <w:ind w:firstLineChars="200" w:firstLine="640"/>
        <w:jc w:val="both"/>
        <w:rPr>
          <w:rFonts w:ascii="仿宋_GB2312" w:eastAsia="仿宋_GB2312" w:cs="仿宋"/>
          <w:color w:val="000000"/>
          <w:sz w:val="32"/>
          <w:szCs w:val="32"/>
        </w:rPr>
      </w:pPr>
      <w:r>
        <w:rPr>
          <w:rFonts w:ascii="仿宋_GB2312" w:eastAsia="仿宋_GB2312" w:cs="仿宋" w:hint="eastAsia"/>
          <w:color w:val="000000"/>
          <w:sz w:val="32"/>
          <w:szCs w:val="32"/>
        </w:rPr>
        <w:t>2.在会计核算过程中，严格按照单位内控制度、财务管理制度，加强票据审核，报销凭证应为真实、合法、有效的票据；严禁超范围、超标准、进行报销。</w:t>
      </w:r>
    </w:p>
    <w:p>
      <w:pPr>
        <w:keepNext w:val="0"/>
        <w:keepLines w:val="0"/>
        <w:pageBreakBefore w:val="0"/>
        <w:widowControl w:val="0"/>
        <w:kinsoku/>
        <w:wordWrap/>
        <w:overflowPunct/>
        <w:topLinePunct w:val="0"/>
        <w:autoSpaceDE/>
        <w:autoSpaceDN/>
        <w:bidi w:val="0"/>
        <w:spacing w:line="578" w:lineRule="exact"/>
        <w:contextualSpacing/>
        <w:jc w:val="left"/>
        <w:rPr>
          <w:rFonts w:eastAsia="黑体"/>
          <w:sz w:val="32"/>
          <w:szCs w:val="32"/>
        </w:rPr>
      </w:pPr>
    </w:p>
    <w:p>
      <w:pPr>
        <w:keepNext w:val="0"/>
        <w:keepLines w:val="0"/>
        <w:pageBreakBefore w:val="0"/>
        <w:widowControl w:val="0"/>
        <w:kinsoku/>
        <w:wordWrap/>
        <w:overflowPunct/>
        <w:topLinePunct w:val="0"/>
        <w:autoSpaceDE/>
        <w:autoSpaceDN/>
        <w:bidi w:val="0"/>
        <w:spacing w:line="578" w:lineRule="exact"/>
        <w:jc w:val="left"/>
        <w:rPr>
          <w:rFonts w:eastAsia="黑体"/>
          <w:sz w:val="32"/>
        </w:rPr>
      </w:pPr>
      <w:r>
        <w:rPr>
          <w:rFonts w:eastAsia="仿宋_GB2312"/>
          <w:color w:val="000000"/>
          <w:kern w:val="0"/>
          <w:sz w:val="32"/>
          <w:szCs w:val="32"/>
          <w:shd w:val="clear" w:color="auto" w:fill="FFFFFF"/>
        </w:rPr>
        <w:br w:type="page"/>
      </w:r>
    </w:p>
    <w:p>
      <w:pPr>
        <w:keepNext w:val="0"/>
        <w:keepLines w:val="0"/>
        <w:pageBreakBefore w:val="0"/>
        <w:widowControl w:val="0"/>
        <w:kinsoku/>
        <w:wordWrap/>
        <w:overflowPunct/>
        <w:topLinePunct w:val="0"/>
        <w:autoSpaceDE/>
        <w:autoSpaceDN/>
        <w:bidi w:val="0"/>
        <w:spacing w:line="600" w:lineRule="exact"/>
        <w:jc w:val="center"/>
        <w:textAlignment w:val="center"/>
        <w:rPr>
          <w:rFonts w:eastAsia="方正小标宋简体"/>
          <w:color w:val="000000"/>
          <w:kern w:val="0"/>
          <w:sz w:val="44"/>
          <w:szCs w:val="44"/>
        </w:rPr>
      </w:pPr>
      <w:r>
        <w:rPr>
          <w:rFonts w:eastAsia="方正小标宋简体" w:hint="eastAsia"/>
          <w:color w:val="000000"/>
          <w:kern w:val="0"/>
          <w:sz w:val="44"/>
          <w:szCs w:val="44"/>
        </w:rPr>
        <w:t>部门预算绩效自评打分表</w:t>
      </w:r>
    </w:p>
    <w:tbl>
      <w:tblPr>
        <w:jc w:val="center"/>
        <w:tblW w:w="1091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97"/>
        <w:gridCol w:w="1201"/>
        <w:gridCol w:w="1929"/>
        <w:gridCol w:w="717"/>
        <w:gridCol w:w="4760"/>
        <w:gridCol w:w="730"/>
        <w:gridCol w:w="478"/>
      </w:tblGrid>
      <w:tr>
        <w:trPr>
          <w:trHeight w:val="23"/>
        </w:trPr>
        <w:tc>
          <w:tcPr>
            <w:tcW w:w="49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绩效评价指标指标分值</w:t>
            </w:r>
          </w:p>
        </w:tc>
        <w:tc>
          <w:tcPr>
            <w:tcW w:w="47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指标解释</w:t>
            </w:r>
          </w:p>
        </w:tc>
        <w:tc>
          <w:tcPr>
            <w:tcW w:w="730" w:type="dxa"/>
            <w:vMerge w:val="restart"/>
            <w:tcBorders>
              <w:top w:val="single" w:sz="4" w:space="0" w:color="000000"/>
              <w:left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黑体" w:eastAsia="黑体" w:cs="黑体"/>
                <w:color w:val="000000"/>
                <w:kern w:val="0"/>
                <w:sz w:val="24"/>
              </w:rPr>
            </w:pPr>
            <w:r>
              <w:rPr>
                <w:rFonts w:ascii="黑体" w:eastAsia="黑体" w:cs="黑体" w:hint="eastAsia"/>
                <w:color w:val="000000"/>
                <w:kern w:val="0"/>
                <w:sz w:val="24"/>
              </w:rPr>
              <w:t>自评得分</w:t>
            </w:r>
          </w:p>
        </w:tc>
        <w:tc>
          <w:tcPr>
            <w:tcW w:w="478" w:type="dxa"/>
            <w:vMerge w:val="restart"/>
            <w:tcBorders>
              <w:top w:val="single" w:sz="4" w:space="0" w:color="000000"/>
              <w:left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黑体" w:eastAsia="黑体" w:cs="黑体"/>
                <w:color w:val="000000"/>
                <w:kern w:val="0"/>
                <w:sz w:val="24"/>
              </w:rPr>
            </w:pPr>
            <w:r>
              <w:rPr>
                <w:rFonts w:ascii="黑体" w:eastAsia="黑体" w:cs="黑体" w:hint="eastAsia"/>
                <w:color w:val="000000"/>
                <w:kern w:val="0"/>
                <w:sz w:val="24"/>
              </w:rPr>
              <w:t>备注</w:t>
            </w:r>
          </w:p>
        </w:tc>
      </w:tr>
      <w:tr>
        <w:trPr>
          <w:trHeight w:val="23"/>
        </w:trPr>
        <w:tc>
          <w:tcPr>
            <w:tcW w:w="1097" w:type="dxa"/>
            <w:tcBorders>
              <w:top w:val="single" w:sz="4" w:space="0" w:color="000000"/>
              <w:left w:val="single" w:sz="4" w:space="0" w:color="000000"/>
              <w:bottom w:val="single" w:sz="4" w:space="0" w:color="000000"/>
              <w:right w:val="nil"/>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一级指标</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二级指标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三级指标</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指标</w:t>
              <w:br/>
              <w:t>分值</w:t>
            </w:r>
          </w:p>
        </w:tc>
        <w:tc>
          <w:tcPr>
            <w:tcW w:w="47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730" w:type="dxa"/>
            <w:vMerge/>
            <w:tcBorders>
              <w:left w:val="single" w:sz="4" w:space="0" w:color="000000"/>
              <w:bottom w:val="single" w:sz="4" w:space="0" w:color="000000"/>
              <w:right w:val="single" w:sz="4" w:space="0" w:color="000000"/>
            </w:tcBorders>
            <w:shd w:val="clear" w:color="auto" w:fill="auto"/>
            <w:vAlign w:val="center"/>
          </w:tcPr>
          <w:p/>
        </w:tc>
        <w:tc>
          <w:tcPr>
            <w:tcW w:w="478" w:type="dxa"/>
            <w:vMerge/>
            <w:tcBorders>
              <w:left w:val="single" w:sz="4" w:space="0" w:color="000000"/>
              <w:bottom w:val="single" w:sz="4" w:space="0" w:color="000000"/>
              <w:right w:val="single" w:sz="4" w:space="0" w:color="000000"/>
            </w:tcBorders>
            <w:shd w:val="clear" w:color="auto" w:fill="auto"/>
            <w:vAlign w:val="center"/>
          </w:tcPr>
          <w:p/>
        </w:tc>
      </w:tr>
      <w:tr>
        <w:trPr>
          <w:trHeight w:val="23"/>
        </w:trPr>
        <w:tc>
          <w:tcPr>
            <w:tcW w:w="1097" w:type="dxa"/>
            <w:vMerge w:val="restart"/>
            <w:tcBorders>
              <w:top w:val="single" w:sz="4" w:space="0" w:color="000000"/>
              <w:left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总体绩效（65分）</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履职效能</w:t>
              <w:br/>
              <w:t>（15分）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center"/>
              <w:textAlignment w:val="center"/>
              <w:rPr>
                <w:rFonts w:ascii="宋体" w:eastAsia="宋体" w:cs="宋体"/>
                <w:color w:val="000000"/>
                <w:kern w:val="2"/>
                <w:sz w:val="18"/>
                <w:szCs w:val="18"/>
                <w:lang w:val="en-US" w:eastAsia="zh-CN" w:bidi="ar-SA"/>
              </w:rPr>
            </w:pPr>
            <w:r>
              <w:rPr>
                <w:rFonts w:ascii="宋体" w:eastAsia="宋体" w:cs="宋体" w:hint="eastAsia"/>
                <w:color w:val="000000"/>
                <w:kern w:val="0"/>
                <w:sz w:val="18"/>
                <w:szCs w:val="18"/>
              </w:rPr>
              <w:t>党委、政府、人大履职效果</w:t>
            </w:r>
          </w:p>
        </w:tc>
        <w:tc>
          <w:tcPr>
            <w:tcW w:w="717" w:type="dxa"/>
            <w:tcBorders>
              <w:top w:val="nil"/>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15</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部门整体绩效目标中选定3-5个核心职能目标，反映该项职能目标完成效果情况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15</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val="restart"/>
            <w:tcBorders>
              <w:top w:val="single" w:sz="4" w:space="0" w:color="000000"/>
              <w:left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预算管理</w:t>
              <w:br/>
              <w:t>（25分）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预算编制质量</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8</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部门是否严格按要求编制年初部门预算，年初预算编制的科学性和准确性</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8</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单位收入统筹</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部门统筹自有收入努力程度</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支出执行管理</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6</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部门1至6月、1至10月预算执行情况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hint="eastAsia"/>
                <w:color w:val="000000"/>
                <w:kern w:val="0"/>
                <w:sz w:val="18"/>
                <w:szCs w:val="18"/>
                <w:lang w:val="en-US" w:eastAsia="zh-CN" w:bidi="ar-SA"/>
              </w:rPr>
            </w:pPr>
            <w:r>
              <w:rPr>
                <w:rFonts w:ascii="宋体" w:eastAsia="宋体" w:cs="宋体" w:hint="eastAsia"/>
                <w:color w:val="000000"/>
                <w:kern w:val="0"/>
                <w:sz w:val="18"/>
                <w:szCs w:val="18"/>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预算年终结余</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2</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部门整体年终预算结余情况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743"/>
        </w:trPr>
        <w:tc>
          <w:tcPr>
            <w:tcW w:w="1097" w:type="dxa"/>
            <w:vMerge/>
            <w:tcBorders>
              <w:left w:val="single" w:sz="4" w:space="0" w:color="000000"/>
              <w:right w:val="single" w:sz="4" w:space="0" w:color="000000"/>
            </w:tcBorders>
            <w:shd w:val="clear" w:color="auto" w:fill="auto"/>
            <w:vAlign w:val="center"/>
          </w:tcPr>
          <w:p/>
        </w:tc>
        <w:tc>
          <w:tcPr>
            <w:tcW w:w="1201"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严控一般性支出</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5</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部门严控“三公”经费、会议、培训、差旅、办节办展、办公设备购置、信息化建设和运维、课题经费、竞赛活动、规划编制一般性支出情况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hint="eastAsia"/>
                <w:color w:val="000000"/>
                <w:kern w:val="0"/>
                <w:sz w:val="18"/>
                <w:szCs w:val="18"/>
                <w:lang w:val="en-US" w:eastAsia="zh-CN" w:bidi="ar-SA"/>
              </w:rPr>
            </w:pPr>
            <w:r>
              <w:rPr>
                <w:rFonts w:ascii="宋体" w:eastAsia="宋体" w:cs="宋体" w:hint="eastAsia"/>
                <w:color w:val="000000"/>
                <w:kern w:val="0"/>
                <w:sz w:val="18"/>
                <w:szCs w:val="18"/>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财务管理</w:t>
              <w:br/>
              <w:t>（10分）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财务管理制度</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部门财务管理制度建立情况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财务岗位设置</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2</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部门财务岗位设置是否符合相关财务管理制度要求</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资金使用规范</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部门资金使用是否符合相关财务管理制度规定</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资产管理</w:t>
              <w:br/>
              <w:t>（9分）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人均资产变化率</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部门人均资产变化情况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资产利用率</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部门资产超最低使用年限情况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资产管理</w:t>
              <w:br/>
              <w:t>（9分）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资产盘活率</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部门闲置一年以上的资产盘活情况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left w:val="single" w:sz="4" w:space="0" w:color="000000"/>
              <w:right w:val="single" w:sz="4" w:space="0" w:color="000000"/>
            </w:tcBorders>
            <w:shd w:val="clear" w:color="auto" w:fill="auto"/>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采购管理</w:t>
              <w:br/>
              <w:t>（6分）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支持中小企业发展</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部门是否严格执行政府采购促进中小企业发展相关管理办法</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176"/>
        </w:trPr>
        <w:tc>
          <w:tcPr>
            <w:tcW w:w="1097" w:type="dxa"/>
            <w:vMerge/>
            <w:tcBorders>
              <w:left w:val="single" w:sz="4" w:space="0" w:color="000000"/>
              <w:bottom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采购执行率</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部门政府采购项目资金支付比例情况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项目绩效（35分）</w:t>
            </w:r>
          </w:p>
        </w:tc>
        <w:tc>
          <w:tcPr>
            <w:tcW w:w="1201" w:type="dxa"/>
            <w:vMerge w:val="restart"/>
            <w:tcBorders>
              <w:top w:val="single" w:sz="4" w:space="0" w:color="000000"/>
              <w:left w:val="single" w:sz="4" w:space="0" w:color="000000"/>
              <w:bottom w:val="nil"/>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项目决策</w:t>
              <w:br/>
              <w:t>（12分）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决策程序</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部门预算项目设立是否按规定履行评估论证、申报程序</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nil"/>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目标设置</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nil"/>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项目入库</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部门预算项目是否在规定时间完成项目入库</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01" w:type="dxa"/>
            <w:vMerge w:val="restart"/>
            <w:tcBorders>
              <w:top w:val="single" w:sz="4" w:space="0" w:color="000000"/>
              <w:left w:val="single" w:sz="4" w:space="0" w:color="000000"/>
              <w:bottom w:val="nil"/>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项目执行</w:t>
              <w:br/>
              <w:t>（12分）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执行同向</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部门预算项目实际列支内容是否与绩效目标设置方向相符</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nil"/>
              <w:right w:val="single" w:sz="4" w:space="0" w:color="000000"/>
            </w:tcBorders>
            <w:shd w:val="clear" w:color="auto" w:fill="auto"/>
            <w:vAlign w:val="center"/>
          </w:tcPr>
          <w:p/>
        </w:tc>
        <w:tc>
          <w:tcPr>
            <w:tcW w:w="1929" w:type="dxa"/>
            <w:tcBorders>
              <w:top w:val="single" w:sz="4" w:space="0" w:color="000000"/>
              <w:left w:val="single" w:sz="4" w:space="0" w:color="000000"/>
              <w:bottom w:val="nil"/>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项目调整</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部门预算项目是否采取对应调整措施</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nil"/>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执行结果</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部门预算项目预算执行情况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目标实现</w:t>
              <w:br/>
              <w:t>（11分）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目标完成</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部门预算项目绩效目标数量指标完成情况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目标偏离</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部门预算项目绩效目标数量指标实现程度与预期目标的偏离情况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实现效果</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部门预算项目绩效目标效益指标实施效果</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240" w:lineRule="exact"/>
              <w:jc w:val="left"/>
              <w:textAlignment w:val="center"/>
              <w:rPr>
                <w:rFonts w:ascii="宋体" w:eastAsia="宋体" w:cs="宋体"/>
                <w:color w:val="000000"/>
                <w:kern w:val="0"/>
                <w:sz w:val="18"/>
                <w:szCs w:val="18"/>
                <w:lang w:val="en-US" w:eastAsia="zh-CN" w:bidi="ar-SA"/>
              </w:rPr>
            </w:pPr>
            <w:r>
              <w:rPr>
                <w:rFonts w:ascii="宋体" w:eastAsia="宋体" w:cs="宋体" w:hint="eastAsia"/>
                <w:color w:val="000000"/>
                <w:kern w:val="0"/>
                <w:sz w:val="18"/>
                <w:szCs w:val="18"/>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扣分项</w:t>
              <w:br/>
              <w:t>（10分）</w:t>
            </w:r>
          </w:p>
        </w:tc>
        <w:tc>
          <w:tcPr>
            <w:tcW w:w="31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被评价部门配合度</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w:t>
            </w: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被评价对象工作配合情况</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r>
        <w:trPr>
          <w:trHeight w:val="23"/>
        </w:trPr>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b/>
                <w:color w:val="000000"/>
                <w:kern w:val="0"/>
                <w:sz w:val="24"/>
              </w:rPr>
            </w:pPr>
          </w:p>
        </w:tc>
        <w:tc>
          <w:tcPr>
            <w:tcW w:w="31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p>
        </w:tc>
        <w:tc>
          <w:tcPr>
            <w:tcW w:w="476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合计</w:t>
            </w:r>
          </w:p>
        </w:tc>
        <w:tc>
          <w:tcPr>
            <w:tcW w:w="73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87</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p>
        </w:tc>
      </w:tr>
    </w:tbl>
    <w:p>
      <w:pPr>
        <w:keepNext w:val="0"/>
        <w:keepLines w:val="0"/>
        <w:pageBreakBefore w:val="0"/>
        <w:widowControl w:val="0"/>
        <w:kinsoku/>
        <w:wordWrap/>
        <w:overflowPunct/>
        <w:topLinePunct w:val="0"/>
        <w:autoSpaceDE/>
        <w:autoSpaceDN/>
        <w:bidi w:val="0"/>
        <w:spacing w:line="20" w:lineRule="exact"/>
        <w:rPr>
          <w:rFonts w:eastAsia="黑体" w:hint="eastAsia"/>
          <w:sz w:val="32"/>
          <w:lang w:eastAsia="zh-CN"/>
        </w:rPr>
      </w:pPr>
    </w:p>
    <w:p>
      <w:pPr>
        <w:keepNext w:val="0"/>
        <w:keepLines w:val="0"/>
        <w:pageBreakBefore w:val="0"/>
        <w:widowControl w:val="0"/>
        <w:kinsoku/>
        <w:wordWrap/>
        <w:overflowPunct/>
        <w:topLinePunct w:val="0"/>
        <w:autoSpaceDE/>
        <w:autoSpaceDN/>
        <w:bidi w:val="0"/>
        <w:spacing w:line="578" w:lineRule="exact"/>
        <w:jc w:val="center"/>
        <w:textAlignment w:val="center"/>
        <w:rPr>
          <w:rFonts w:eastAsia="方正小标宋简体"/>
          <w:color w:val="000000"/>
          <w:kern w:val="0"/>
          <w:sz w:val="44"/>
          <w:szCs w:val="44"/>
        </w:rPr>
      </w:pPr>
    </w:p>
    <w:p>
      <w:pPr>
        <w:keepNext w:val="0"/>
        <w:keepLines w:val="0"/>
        <w:pageBreakBefore w:val="0"/>
        <w:widowControl w:val="0"/>
        <w:kinsoku/>
        <w:wordWrap/>
        <w:overflowPunct/>
        <w:topLinePunct w:val="0"/>
        <w:autoSpaceDE/>
        <w:autoSpaceDN/>
        <w:bidi w:val="0"/>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eastAsia="方正小标宋简体" w:hint="eastAsia"/>
          <w:color w:val="000000"/>
          <w:kern w:val="0"/>
          <w:sz w:val="44"/>
          <w:szCs w:val="44"/>
        </w:rPr>
        <w:t>支出</w:t>
      </w:r>
      <w:r>
        <w:rPr>
          <w:rFonts w:eastAsia="方正小标宋简体"/>
          <w:color w:val="000000"/>
          <w:kern w:val="0"/>
          <w:sz w:val="44"/>
          <w:szCs w:val="44"/>
        </w:rPr>
        <w:t>绩效目标完成情况自评表</w:t>
      </w:r>
    </w:p>
    <w:tbl>
      <w:tblPr>
        <w:jc w:val="center"/>
        <w:tblW w:w="965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31"/>
        <w:gridCol w:w="593"/>
        <w:gridCol w:w="803"/>
        <w:gridCol w:w="1524"/>
        <w:gridCol w:w="525"/>
        <w:gridCol w:w="777"/>
        <w:gridCol w:w="1018"/>
        <w:gridCol w:w="1045"/>
        <w:gridCol w:w="1111"/>
        <w:gridCol w:w="1931"/>
      </w:tblGrid>
      <w:tr>
        <w:trPr>
          <w:trHeight w:val="465"/>
        </w:trPr>
        <w:tc>
          <w:tcPr>
            <w:tcW w:w="1727" w:type="dxa"/>
            <w:gridSpan w:val="3"/>
            <w:tcBorders>
              <w:top w:val="single" w:sz="4" w:space="0" w:color="000000"/>
              <w:left w:val="single" w:sz="4" w:space="0" w:color="000000"/>
              <w:bottom w:val="single" w:sz="4" w:space="0" w:color="auto"/>
              <w:right w:val="single" w:sz="4" w:space="0" w:color="000000"/>
            </w:tcBorders>
            <w:noWrap/>
            <w:vAlign w:val="center"/>
          </w:tcPr>
          <w:p>
            <w:pPr>
              <w:keepNext w:val="0"/>
              <w:keepLines w:val="0"/>
              <w:pageBreakBefore w:val="0"/>
              <w:widowControl w:val="0"/>
              <w:kinsoku/>
              <w:wordWrap/>
              <w:overflowPunct/>
              <w:topLinePunct w:val="0"/>
              <w:autoSpaceDE/>
              <w:autoSpaceDN/>
              <w:bidi w:val="0"/>
              <w:rPr>
                <w:rFonts w:ascii="宋体" w:eastAsia="宋体" w:cs="宋体"/>
                <w:color w:val="000000"/>
                <w:kern w:val="0"/>
                <w:sz w:val="24"/>
              </w:rPr>
            </w:pPr>
            <w:r>
              <w:rPr>
                <w:rFonts w:eastAsia="黑体"/>
                <w:sz w:val="24"/>
              </w:rPr>
              <w:br w:type="page"/>
            </w:r>
            <w:r>
              <w:rPr>
                <w:rFonts w:ascii="宋体" w:eastAsia="宋体" w:cs="宋体" w:hint="eastAsia"/>
                <w:color w:val="000000"/>
                <w:kern w:val="0"/>
                <w:sz w:val="24"/>
              </w:rPr>
              <w:t>部门名称</w:t>
            </w:r>
          </w:p>
        </w:tc>
        <w:tc>
          <w:tcPr>
            <w:tcW w:w="7931" w:type="dxa"/>
            <w:gridSpan w:val="7"/>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茂县凤仪镇人民政府</w:t>
            </w:r>
          </w:p>
        </w:tc>
      </w:tr>
      <w:tr>
        <w:trPr>
          <w:trHeight w:val="239"/>
        </w:trPr>
        <w:tc>
          <w:tcPr>
            <w:tcW w:w="1727"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年度部门整体预算</w:t>
            </w:r>
          </w:p>
        </w:tc>
        <w:tc>
          <w:tcPr>
            <w:tcW w:w="2049" w:type="dxa"/>
            <w:gridSpan w:val="2"/>
            <w:tcBorders>
              <w:top w:val="single" w:sz="4" w:space="0" w:color="000000"/>
              <w:left w:val="single" w:sz="4" w:space="0" w:color="auto"/>
              <w:bottom w:val="single" w:sz="4" w:space="0" w:color="000000"/>
              <w:right w:val="single" w:sz="4" w:space="0" w:color="auto"/>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资金总额</w:t>
            </w:r>
          </w:p>
        </w:tc>
        <w:tc>
          <w:tcPr>
            <w:tcW w:w="1795"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财政拨款</w:t>
            </w:r>
          </w:p>
        </w:tc>
        <w:tc>
          <w:tcPr>
            <w:tcW w:w="4087"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其他资金</w:t>
            </w:r>
          </w:p>
        </w:tc>
      </w:tr>
      <w:tr>
        <w:trPr>
          <w:trHeight w:val="239"/>
        </w:trPr>
        <w:tc>
          <w:tcPr>
            <w:tcW w:w="1727"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收入预算</w:t>
            </w:r>
          </w:p>
        </w:tc>
        <w:tc>
          <w:tcPr>
            <w:tcW w:w="2049" w:type="dxa"/>
            <w:gridSpan w:val="2"/>
            <w:tcBorders>
              <w:top w:val="single" w:sz="4" w:space="0" w:color="000000"/>
              <w:left w:val="single" w:sz="4" w:space="0" w:color="auto"/>
              <w:bottom w:val="single" w:sz="4" w:space="0" w:color="000000"/>
              <w:right w:val="single" w:sz="4" w:space="0" w:color="auto"/>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color w:val="000000"/>
                <w:kern w:val="0"/>
                <w:sz w:val="18"/>
                <w:szCs w:val="18"/>
                <w:u w:val="none"/>
                <w:lang w:val="en-US" w:eastAsia="zh-CN"/>
              </w:rPr>
              <w:t>3,560.48</w:t>
            </w:r>
          </w:p>
        </w:tc>
        <w:tc>
          <w:tcPr>
            <w:tcW w:w="1795"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color w:val="000000"/>
                <w:kern w:val="0"/>
                <w:sz w:val="18"/>
                <w:szCs w:val="18"/>
                <w:u w:val="none"/>
                <w:lang w:val="en-US" w:eastAsia="zh-CN"/>
              </w:rPr>
              <w:t>3,560.48</w:t>
            </w:r>
          </w:p>
        </w:tc>
        <w:tc>
          <w:tcPr>
            <w:tcW w:w="4087"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color w:val="000000"/>
                <w:kern w:val="0"/>
                <w:sz w:val="18"/>
                <w:szCs w:val="18"/>
                <w:u w:val="none"/>
                <w:lang w:val="en-US" w:eastAsia="zh-CN"/>
              </w:rPr>
              <w:t>0.00</w:t>
            </w:r>
          </w:p>
        </w:tc>
      </w:tr>
      <w:tr>
        <w:trPr>
          <w:trHeight w:val="296"/>
        </w:trPr>
        <w:tc>
          <w:tcPr>
            <w:tcW w:w="1727"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支出预算</w:t>
            </w:r>
          </w:p>
        </w:tc>
        <w:tc>
          <w:tcPr>
            <w:tcW w:w="2049" w:type="dxa"/>
            <w:gridSpan w:val="2"/>
            <w:tcBorders>
              <w:top w:val="single" w:sz="4" w:space="0" w:color="000000"/>
              <w:left w:val="single" w:sz="4" w:space="0" w:color="auto"/>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color w:val="000000"/>
                <w:kern w:val="0"/>
                <w:sz w:val="18"/>
                <w:szCs w:val="18"/>
                <w:u w:val="none"/>
                <w:lang w:val="en-US" w:eastAsia="zh-CN"/>
              </w:rPr>
              <w:t>3,560.48</w:t>
            </w:r>
          </w:p>
        </w:tc>
        <w:tc>
          <w:tcPr>
            <w:tcW w:w="1795" w:type="dxa"/>
            <w:gridSpan w:val="2"/>
            <w:tcBorders>
              <w:top w:val="single" w:sz="4" w:space="0" w:color="auto"/>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color w:val="000000"/>
                <w:kern w:val="0"/>
                <w:sz w:val="18"/>
                <w:szCs w:val="18"/>
                <w:u w:val="none"/>
                <w:lang w:val="en-US" w:eastAsia="zh-CN"/>
              </w:rPr>
              <w:t>3,560.48</w:t>
            </w:r>
          </w:p>
        </w:tc>
        <w:tc>
          <w:tcPr>
            <w:tcW w:w="4087" w:type="dxa"/>
            <w:gridSpan w:val="3"/>
            <w:tcBorders>
              <w:top w:val="single" w:sz="4" w:space="0" w:color="auto"/>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color w:val="000000"/>
                <w:kern w:val="0"/>
                <w:sz w:val="24"/>
              </w:rPr>
            </w:pPr>
            <w:r>
              <w:rPr>
                <w:rFonts w:ascii="宋体" w:eastAsia="宋体" w:cs="宋体" w:hint="eastAsia"/>
                <w:i w:val="0"/>
                <w:color w:val="000000"/>
                <w:kern w:val="0"/>
                <w:sz w:val="18"/>
                <w:szCs w:val="18"/>
                <w:u w:val="none"/>
                <w:lang w:val="en-US" w:eastAsia="zh-CN"/>
              </w:rPr>
              <w:t>0.00</w:t>
            </w:r>
          </w:p>
        </w:tc>
      </w:tr>
      <w:tr>
        <w:trPr>
          <w:trHeight w:val="2131"/>
        </w:trPr>
        <w:tc>
          <w:tcPr>
            <w:tcW w:w="1727" w:type="dxa"/>
            <w:gridSpan w:val="3"/>
            <w:tcBorders>
              <w:top w:val="single" w:sz="4" w:space="0" w:color="auto"/>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年度总体目标</w:t>
            </w:r>
          </w:p>
        </w:tc>
        <w:tc>
          <w:tcPr>
            <w:tcW w:w="7931" w:type="dxa"/>
            <w:gridSpan w:val="7"/>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hint="eastAsia"/>
                <w:color w:val="000000"/>
                <w:kern w:val="0"/>
                <w:sz w:val="24"/>
              </w:rPr>
            </w:pPr>
            <w:r>
              <w:rPr>
                <w:rFonts w:ascii="宋体" w:eastAsia="宋体" w:cs="宋体" w:hint="eastAsia"/>
                <w:color w:val="000000"/>
                <w:kern w:val="0"/>
                <w:sz w:val="24"/>
              </w:rPr>
              <w:t>一、坚持大干实事，大抓落实，持之以恒加强自身建设。凤仪镇将始终把干实事、干好事作为工作重点要求，不断加强自身队伍建设，推动各项重大实事在辖区顺利实施。坚持党建引领推动队伍建设，抓好重点人群监测帮扶，稳定确保“控辍保学”。</w:t>
            </w:r>
          </w:p>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hint="eastAsia"/>
                <w:color w:val="000000"/>
                <w:kern w:val="0"/>
                <w:sz w:val="24"/>
              </w:rPr>
            </w:pPr>
            <w:r>
              <w:rPr>
                <w:rFonts w:ascii="宋体" w:eastAsia="宋体" w:cs="宋体" w:hint="eastAsia"/>
                <w:color w:val="000000"/>
                <w:kern w:val="0"/>
                <w:sz w:val="24"/>
              </w:rPr>
              <w:t>二、坚持生态优先</w:t>
            </w:r>
            <w:r>
              <w:rPr>
                <w:rFonts w:ascii="宋体" w:eastAsia="宋体" w:cs="宋体"/>
                <w:color w:val="000000"/>
                <w:kern w:val="0"/>
                <w:sz w:val="24"/>
              </w:rPr>
              <w:t>、</w:t>
            </w:r>
            <w:bookmarkStart w:id="79" w:name="_GoBack"/>
            <w:bookmarkEnd w:id="79"/>
            <w:r>
              <w:rPr>
                <w:rFonts w:ascii="宋体" w:eastAsia="宋体" w:cs="宋体" w:hint="eastAsia"/>
                <w:color w:val="000000"/>
                <w:kern w:val="0"/>
                <w:sz w:val="24"/>
              </w:rPr>
              <w:t>绿色发展，全力以赴抓好生态工作。坚持把生态环境保护放在首位，全力以赴推动绿色可持续发展。持续补强环境卫生方面短板环节，常态化做好森林草原保护，严格落实监管制度和耕地保护工作，始终坚持绿色发展。</w:t>
            </w:r>
          </w:p>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hint="eastAsia"/>
                <w:color w:val="000000"/>
                <w:kern w:val="0"/>
                <w:sz w:val="24"/>
              </w:rPr>
            </w:pPr>
            <w:r>
              <w:rPr>
                <w:rFonts w:ascii="宋体" w:eastAsia="宋体" w:cs="宋体" w:hint="eastAsia"/>
                <w:color w:val="000000"/>
                <w:kern w:val="0"/>
                <w:sz w:val="24"/>
              </w:rPr>
              <w:t xml:space="preserve"> 三、坚持三产融合，提升产能，精心谋划推进产业升级。围绕一二三产业赋能，持续推动地区产业升级转型，提质增效。强化政策引领，推动镇村建设，加强人才引育。</w:t>
            </w:r>
          </w:p>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hint="eastAsia"/>
                <w:color w:val="000000"/>
                <w:kern w:val="0"/>
                <w:sz w:val="24"/>
              </w:rPr>
            </w:pPr>
            <w:r>
              <w:rPr>
                <w:rFonts w:ascii="宋体" w:eastAsia="宋体" w:cs="宋体" w:hint="eastAsia"/>
                <w:color w:val="000000"/>
                <w:kern w:val="0"/>
                <w:sz w:val="24"/>
              </w:rPr>
              <w:t>四、坚持改革破题，稳步致胜，锲而不舍增强发展动力。围绕怎样改革，如何改革进行思考，并通过不断努力与实践，寻找发展道路，增强发展动力。坚持依法行政，强化建设“六个茂县”。</w:t>
            </w:r>
          </w:p>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hint="eastAsia"/>
                <w:color w:val="000000"/>
                <w:kern w:val="0"/>
                <w:sz w:val="24"/>
              </w:rPr>
            </w:pPr>
            <w:r>
              <w:rPr>
                <w:rFonts w:ascii="宋体" w:eastAsia="宋体" w:cs="宋体" w:hint="eastAsia"/>
                <w:color w:val="000000"/>
                <w:kern w:val="0"/>
                <w:sz w:val="24"/>
              </w:rPr>
              <w:t>五、坚持镇村融合，互处并进，坚定不移统筹镇村建。凤仪镇将进一步走好镇村融合，从大局观和高站位来统筹镇村规划发展。会同国土等部门加强对镇村发展建设统一规划的研判与分析，吸引与打造以产业园区为县域产业集聚发展的重要载体。</w:t>
            </w:r>
          </w:p>
          <w:p>
            <w:pPr>
              <w:keepNext w:val="0"/>
              <w:keepLines w:val="0"/>
              <w:pageBreakBefore w:val="0"/>
              <w:widowControl w:val="0"/>
              <w:kinsoku/>
              <w:wordWrap/>
              <w:overflowPunct/>
              <w:topLinePunct w:val="0"/>
              <w:autoSpaceDE/>
              <w:autoSpaceDN/>
              <w:bidi w:val="0"/>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六、坚持齐抓共管，协力推进，不遗余力保护和谐稳定。凤仪镇将继续深化多部门合作，共同写作推动辖区稳定和谐发展。坚持开展拉网反复式隐患排查整治。</w:t>
            </w:r>
          </w:p>
        </w:tc>
      </w:tr>
      <w:tr>
        <w:trPr>
          <w:trHeight w:val="296"/>
        </w:trPr>
        <w:tc>
          <w:tcPr>
            <w:tcW w:w="331"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管理效率</w:t>
            </w: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一级指标</w:t>
            </w:r>
          </w:p>
        </w:tc>
        <w:tc>
          <w:tcPr>
            <w:tcW w:w="803"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二级指标</w:t>
            </w:r>
          </w:p>
        </w:tc>
        <w:tc>
          <w:tcPr>
            <w:tcW w:w="1524"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三级指标</w:t>
            </w:r>
          </w:p>
        </w:tc>
        <w:tc>
          <w:tcPr>
            <w:tcW w:w="525"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指标值</w:t>
            </w:r>
          </w:p>
        </w:tc>
        <w:tc>
          <w:tcPr>
            <w:tcW w:w="3951"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指标设置参考值</w:t>
            </w:r>
          </w:p>
        </w:tc>
        <w:tc>
          <w:tcPr>
            <w:tcW w:w="1931" w:type="dxa"/>
            <w:vMerge w:val="restart"/>
            <w:tcBorders>
              <w:top w:val="single" w:sz="4" w:space="0" w:color="000000"/>
              <w:left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指标实际完成值</w:t>
            </w:r>
          </w:p>
        </w:tc>
      </w:tr>
      <w:tr>
        <w:trPr>
          <w:trHeight w:val="296"/>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tc>
        <w:tc>
          <w:tcPr>
            <w:tcW w:w="1524" w:type="dxa"/>
            <w:vMerge/>
            <w:tcBorders>
              <w:top w:val="single" w:sz="4" w:space="0" w:color="000000"/>
              <w:left w:val="single" w:sz="4" w:space="0" w:color="000000"/>
              <w:bottom w:val="single" w:sz="4" w:space="0" w:color="000000"/>
              <w:right w:val="single" w:sz="4" w:space="0" w:color="000000"/>
            </w:tcBorders>
            <w:noWrap/>
            <w:vAlign w:val="center"/>
          </w:tcPr>
          <w:p/>
        </w:tc>
        <w:tc>
          <w:tcPr>
            <w:tcW w:w="525" w:type="dxa"/>
            <w:vMerge/>
            <w:tcBorders>
              <w:top w:val="single" w:sz="4" w:space="0" w:color="000000"/>
              <w:left w:val="single" w:sz="4" w:space="0" w:color="000000"/>
              <w:bottom w:val="single" w:sz="4" w:space="0" w:color="000000"/>
              <w:right w:val="single" w:sz="4" w:space="0" w:color="000000"/>
            </w:tcBorders>
            <w:noWrap/>
            <w:vAlign w:val="center"/>
          </w:tcPr>
          <w:p/>
        </w:tc>
        <w:tc>
          <w:tcPr>
            <w:tcW w:w="777" w:type="dxa"/>
            <w:tcBorders>
              <w:top w:val="single" w:sz="4" w:space="0" w:color="000000"/>
              <w:left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三年</w:t>
            </w:r>
          </w:p>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均值</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2023</w:t>
            </w:r>
            <w:r>
              <w:rPr>
                <w:rFonts w:ascii="宋体" w:eastAsia="宋体" w:cs="宋体"/>
                <w:color w:val="000000"/>
                <w:kern w:val="0"/>
                <w:sz w:val="24"/>
              </w:rPr>
              <w:t>年</w:t>
            </w:r>
          </w:p>
        </w:tc>
        <w:tc>
          <w:tcPr>
            <w:tcW w:w="104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2024</w:t>
            </w:r>
            <w:r>
              <w:rPr>
                <w:rFonts w:ascii="宋体" w:eastAsia="宋体" w:cs="宋体"/>
                <w:color w:val="000000"/>
                <w:kern w:val="0"/>
                <w:sz w:val="24"/>
              </w:rPr>
              <w:t>年</w:t>
            </w:r>
          </w:p>
        </w:tc>
        <w:tc>
          <w:tcPr>
            <w:tcW w:w="111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2025</w:t>
            </w:r>
            <w:r>
              <w:rPr>
                <w:rFonts w:ascii="宋体" w:eastAsia="宋体" w:cs="宋体"/>
                <w:color w:val="000000"/>
                <w:kern w:val="0"/>
                <w:sz w:val="24"/>
              </w:rPr>
              <w:t>年</w:t>
            </w:r>
          </w:p>
        </w:tc>
        <w:tc>
          <w:tcPr>
            <w:tcW w:w="1931" w:type="dxa"/>
            <w:vMerge/>
            <w:tcBorders>
              <w:left w:val="single" w:sz="4" w:space="0" w:color="000000"/>
              <w:right w:val="single" w:sz="4" w:space="0" w:color="000000"/>
            </w:tcBorders>
            <w:noWrap/>
            <w:vAlign w:val="center"/>
          </w:tcP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成本指标</w:t>
            </w:r>
          </w:p>
        </w:tc>
        <w:tc>
          <w:tcPr>
            <w:tcW w:w="803"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预算管理</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财政拨款</w:t>
            </w:r>
            <w:r>
              <w:rPr>
                <w:rFonts w:ascii="宋体" w:eastAsia="宋体" w:cs="宋体"/>
                <w:color w:val="000000"/>
                <w:kern w:val="0"/>
                <w:sz w:val="24"/>
              </w:rPr>
              <w:t>预算编制偏离度</w:t>
            </w:r>
          </w:p>
        </w:tc>
        <w:tc>
          <w:tcPr>
            <w:tcW w:w="52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18"/>
                <w:szCs w:val="18"/>
              </w:rPr>
            </w:pPr>
            <w:r>
              <w:rPr>
                <w:rFonts w:ascii="宋体" w:eastAsia="宋体" w:cs="宋体" w:hint="eastAsia"/>
                <w:color w:val="000000"/>
                <w:kern w:val="0"/>
                <w:sz w:val="18"/>
                <w:szCs w:val="18"/>
              </w:rPr>
              <w:t>≤</w:t>
            </w:r>
            <w:r>
              <w:rPr>
                <w:rFonts w:ascii="宋体" w:eastAsia="宋体" w:cs="宋体" w:hint="eastAsia"/>
                <w:color w:val="000000"/>
                <w:kern w:val="0"/>
                <w:sz w:val="18"/>
                <w:szCs w:val="18"/>
                <w:lang w:val="en-US" w:eastAsia="zh-CN"/>
              </w:rPr>
              <w:t>74</w:t>
            </w:r>
            <w:r>
              <w:rPr>
                <w:rFonts w:ascii="宋体" w:eastAsia="宋体" w:cs="宋体" w:hint="eastAsia"/>
                <w:color w:val="000000"/>
                <w:kern w:val="0"/>
                <w:sz w:val="18"/>
                <w:szCs w:val="18"/>
              </w:rPr>
              <w:t>%</w:t>
            </w:r>
          </w:p>
        </w:tc>
        <w:tc>
          <w:tcPr>
            <w:tcW w:w="77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74.20%</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86.53%</w:t>
            </w:r>
          </w:p>
        </w:tc>
        <w:tc>
          <w:tcPr>
            <w:tcW w:w="104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58.13%</w:t>
            </w:r>
          </w:p>
        </w:tc>
        <w:tc>
          <w:tcPr>
            <w:tcW w:w="111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109.32%</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109.32%</w:t>
            </w: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预算年终结余</w:t>
            </w:r>
            <w:r>
              <w:rPr>
                <w:rFonts w:ascii="宋体" w:eastAsia="宋体" w:cs="宋体"/>
                <w:color w:val="000000"/>
                <w:kern w:val="0"/>
                <w:sz w:val="24"/>
              </w:rPr>
              <w:t>率</w:t>
            </w:r>
          </w:p>
        </w:tc>
        <w:tc>
          <w:tcPr>
            <w:tcW w:w="52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18"/>
                <w:szCs w:val="18"/>
              </w:rPr>
            </w:pPr>
            <w:r>
              <w:rPr>
                <w:rFonts w:ascii="宋体" w:eastAsia="宋体" w:cs="宋体" w:hint="eastAsia"/>
                <w:color w:val="000000"/>
                <w:kern w:val="0"/>
                <w:sz w:val="18"/>
                <w:szCs w:val="18"/>
              </w:rPr>
              <w:t>≤</w:t>
            </w:r>
            <w:r>
              <w:rPr>
                <w:rFonts w:ascii="宋体" w:eastAsia="宋体" w:cs="宋体" w:hint="eastAsia"/>
                <w:color w:val="000000"/>
                <w:kern w:val="0"/>
                <w:sz w:val="18"/>
                <w:szCs w:val="18"/>
                <w:lang w:val="en-US" w:eastAsia="zh-CN"/>
              </w:rPr>
              <w:t>18</w:t>
            </w:r>
            <w:r>
              <w:rPr>
                <w:rFonts w:ascii="宋体" w:eastAsia="宋体" w:cs="宋体" w:hint="eastAsia"/>
                <w:color w:val="000000"/>
                <w:kern w:val="0"/>
                <w:sz w:val="18"/>
                <w:szCs w:val="18"/>
              </w:rPr>
              <w:t>%</w:t>
            </w:r>
          </w:p>
        </w:tc>
        <w:tc>
          <w:tcPr>
            <w:tcW w:w="77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18.50%</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24.67%</w:t>
            </w:r>
          </w:p>
        </w:tc>
        <w:tc>
          <w:tcPr>
            <w:tcW w:w="104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24.41%</w:t>
            </w:r>
          </w:p>
        </w:tc>
        <w:tc>
          <w:tcPr>
            <w:tcW w:w="111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25.75%</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25.75%</w:t>
            </w: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一般性支出</w:t>
            </w:r>
            <w:r>
              <w:rPr>
                <w:rFonts w:ascii="宋体" w:eastAsia="宋体" w:cs="宋体"/>
                <w:color w:val="000000"/>
                <w:kern w:val="0"/>
                <w:sz w:val="24"/>
              </w:rPr>
              <w:t>金额</w:t>
            </w:r>
          </w:p>
        </w:tc>
        <w:tc>
          <w:tcPr>
            <w:tcW w:w="52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18"/>
                <w:szCs w:val="18"/>
              </w:rPr>
            </w:pPr>
            <w:r>
              <w:rPr>
                <w:rFonts w:ascii="宋体" w:eastAsia="宋体" w:cs="宋体" w:hint="eastAsia"/>
                <w:color w:val="000000"/>
                <w:kern w:val="0"/>
                <w:sz w:val="18"/>
                <w:szCs w:val="18"/>
              </w:rPr>
              <w:t>≤</w:t>
            </w:r>
            <w:r>
              <w:rPr>
                <w:rFonts w:ascii="宋体" w:eastAsia="宋体" w:cs="宋体" w:hint="eastAsia"/>
                <w:color w:val="000000"/>
                <w:kern w:val="0"/>
                <w:sz w:val="18"/>
                <w:szCs w:val="18"/>
                <w:lang w:val="en-US" w:eastAsia="zh-CN"/>
              </w:rPr>
              <w:t>63.02</w:t>
            </w:r>
            <w:r>
              <w:rPr>
                <w:rFonts w:ascii="宋体" w:eastAsia="宋体" w:cs="宋体"/>
                <w:color w:val="000000"/>
                <w:kern w:val="0"/>
                <w:sz w:val="18"/>
                <w:szCs w:val="18"/>
              </w:rPr>
              <w:t>万元</w:t>
            </w:r>
          </w:p>
        </w:tc>
        <w:tc>
          <w:tcPr>
            <w:tcW w:w="3951"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63.02万元</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63.02万元</w:t>
            </w: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财务管理</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财务管理规范</w:t>
            </w:r>
          </w:p>
        </w:tc>
        <w:tc>
          <w:tcPr>
            <w:tcW w:w="52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18"/>
                <w:szCs w:val="18"/>
                <w:lang w:val="en-US" w:eastAsia="zh-CN"/>
              </w:rPr>
            </w:pPr>
            <w:r>
              <w:rPr>
                <w:rFonts w:ascii="宋体" w:eastAsia="宋体" w:cs="宋体" w:hint="eastAsia"/>
                <w:color w:val="000000"/>
                <w:kern w:val="0"/>
                <w:sz w:val="18"/>
                <w:szCs w:val="18"/>
                <w:lang w:val="en-US" w:eastAsia="zh-CN"/>
              </w:rPr>
              <w:t>良</w:t>
            </w:r>
          </w:p>
        </w:tc>
        <w:tc>
          <w:tcPr>
            <w:tcW w:w="3951"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良</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良</w:t>
            </w: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资产管理</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资产配置预算偏离度</w:t>
            </w:r>
          </w:p>
        </w:tc>
        <w:tc>
          <w:tcPr>
            <w:tcW w:w="52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18"/>
                <w:szCs w:val="18"/>
              </w:rPr>
            </w:pPr>
            <w:r>
              <w:rPr>
                <w:rFonts w:ascii="宋体" w:eastAsia="宋体" w:cs="宋体" w:hint="eastAsia"/>
                <w:color w:val="000000"/>
                <w:kern w:val="0"/>
                <w:sz w:val="18"/>
                <w:szCs w:val="18"/>
              </w:rPr>
              <w:t>≤</w:t>
            </w:r>
            <w:r>
              <w:rPr>
                <w:rFonts w:ascii="宋体" w:eastAsia="宋体" w:cs="宋体" w:hint="eastAsia"/>
                <w:color w:val="000000"/>
                <w:kern w:val="0"/>
                <w:sz w:val="18"/>
                <w:szCs w:val="18"/>
                <w:lang w:val="en-US" w:eastAsia="zh-CN"/>
              </w:rPr>
              <w:t>0</w:t>
            </w:r>
            <w:r>
              <w:rPr>
                <w:rFonts w:ascii="宋体" w:eastAsia="宋体" w:cs="宋体"/>
                <w:color w:val="000000"/>
                <w:kern w:val="0"/>
                <w:sz w:val="18"/>
                <w:szCs w:val="18"/>
              </w:rPr>
              <w:t>%</w:t>
            </w:r>
          </w:p>
        </w:tc>
        <w:tc>
          <w:tcPr>
            <w:tcW w:w="77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0%</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0%</w:t>
            </w:r>
          </w:p>
        </w:tc>
        <w:tc>
          <w:tcPr>
            <w:tcW w:w="104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0%</w:t>
            </w:r>
          </w:p>
        </w:tc>
        <w:tc>
          <w:tcPr>
            <w:tcW w:w="111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0%</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0%</w:t>
            </w:r>
          </w:p>
        </w:tc>
      </w:tr>
      <w:tr>
        <w:trPr>
          <w:trHeight w:val="90"/>
        </w:trPr>
        <w:tc>
          <w:tcPr>
            <w:tcW w:w="331" w:type="dxa"/>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采购管理</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采购执行率</w:t>
            </w:r>
          </w:p>
        </w:tc>
        <w:tc>
          <w:tcPr>
            <w:tcW w:w="52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18"/>
                <w:szCs w:val="18"/>
              </w:rPr>
            </w:pPr>
            <w:r>
              <w:rPr>
                <w:rFonts w:ascii="宋体" w:eastAsia="宋体" w:cs="宋体" w:hint="eastAsia"/>
                <w:color w:val="000000"/>
                <w:kern w:val="0"/>
                <w:sz w:val="18"/>
                <w:szCs w:val="18"/>
              </w:rPr>
              <w:t>≥</w:t>
            </w:r>
            <w:r>
              <w:rPr>
                <w:rFonts w:ascii="宋体" w:eastAsia="宋体" w:cs="宋体" w:hint="eastAsia"/>
                <w:color w:val="000000"/>
                <w:kern w:val="0"/>
                <w:sz w:val="18"/>
                <w:szCs w:val="18"/>
                <w:lang w:val="en-US" w:eastAsia="zh-CN"/>
              </w:rPr>
              <w:t>46</w:t>
            </w:r>
            <w:r>
              <w:rPr>
                <w:rFonts w:ascii="宋体" w:eastAsia="宋体" w:cs="宋体" w:hint="eastAsia"/>
                <w:color w:val="000000"/>
                <w:kern w:val="0"/>
                <w:sz w:val="18"/>
                <w:szCs w:val="18"/>
              </w:rPr>
              <w:t>%</w:t>
            </w:r>
          </w:p>
        </w:tc>
        <w:tc>
          <w:tcPr>
            <w:tcW w:w="77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45.33%</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39.77%</w:t>
            </w:r>
          </w:p>
        </w:tc>
        <w:tc>
          <w:tcPr>
            <w:tcW w:w="104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50.88%</w:t>
            </w:r>
          </w:p>
        </w:tc>
        <w:tc>
          <w:tcPr>
            <w:tcW w:w="111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61.94%</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right"/>
              <w:textAlignment w:val="center"/>
              <w:rPr>
                <w:rFonts w:ascii="宋体" w:eastAsia="宋体" w:cs="宋体" w:hint="eastAsia"/>
                <w:i w:val="0"/>
                <w:color w:val="000000"/>
                <w:kern w:val="0"/>
                <w:sz w:val="18"/>
                <w:szCs w:val="18"/>
                <w:u w:val="none"/>
                <w:lang w:val="en-US" w:eastAsia="zh-CN"/>
              </w:rPr>
            </w:pPr>
            <w:r>
              <w:rPr>
                <w:rFonts w:ascii="宋体" w:eastAsia="宋体" w:cs="宋体" w:hint="eastAsia"/>
                <w:i w:val="0"/>
                <w:color w:val="000000"/>
                <w:kern w:val="0"/>
                <w:sz w:val="18"/>
                <w:szCs w:val="18"/>
                <w:u w:val="none"/>
                <w:lang w:val="en-US" w:eastAsia="zh-CN"/>
              </w:rPr>
              <w:t>61.94%</w:t>
            </w:r>
          </w:p>
        </w:tc>
      </w:tr>
      <w:tr>
        <w:trPr>
          <w:trHeight w:val="468"/>
        </w:trPr>
        <w:tc>
          <w:tcPr>
            <w:tcW w:w="331" w:type="dxa"/>
            <w:vMerge w:val="restart"/>
            <w:tcBorders>
              <w:top w:val="single" w:sz="4" w:space="0" w:color="000000"/>
              <w:left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履职效能</w:t>
            </w: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一级指标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二级指标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三级指标</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指标值（包含数字及文字描述）</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rPr>
            </w:pPr>
            <w:r>
              <w:rPr>
                <w:rFonts w:ascii="宋体" w:eastAsia="宋体" w:cs="宋体" w:hint="eastAsia"/>
                <w:color w:val="000000"/>
                <w:kern w:val="0"/>
                <w:sz w:val="24"/>
              </w:rPr>
              <w:t>指标实际完成值</w:t>
            </w:r>
          </w:p>
        </w:tc>
      </w:tr>
      <w:tr>
        <w:trPr>
          <w:trHeight w:val="90"/>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数量指标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城乡居民医疗保险一般人群参保率</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≥95%</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≥95%</w:t>
            </w:r>
          </w:p>
        </w:tc>
      </w:tr>
      <w:tr>
        <w:trPr>
          <w:trHeight w:val="910"/>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数量指标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基础设施建设、公共服务设施改造</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≥5个重大实施项目</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≥5个重大实施项目</w:t>
            </w:r>
          </w:p>
        </w:tc>
      </w:tr>
      <w:tr>
        <w:trPr>
          <w:trHeight w:val="296"/>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数量指标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城乡居民医疗保险困难人群参保率</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=100%</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=100%</w:t>
            </w:r>
          </w:p>
        </w:tc>
      </w:tr>
      <w:tr>
        <w:trPr>
          <w:trHeight w:val="296"/>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效益指标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社会效益指标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提升凤仪镇各项社会事业发展，促进我镇社会发展。</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进一步提升凤仪镇各项社会事业发展，促进我镇社会发展。</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进一步提升凤仪镇各项社会事业发展，促进我镇社会发展。</w:t>
            </w:r>
          </w:p>
        </w:tc>
      </w:tr>
      <w:tr>
        <w:trPr>
          <w:trHeight w:val="296"/>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数量指标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加强农业技术培训、指导，培训村组干部、种植户、骨干农户</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≥100人次</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≥100人次</w:t>
            </w:r>
          </w:p>
        </w:tc>
      </w:tr>
      <w:tr>
        <w:trPr>
          <w:trHeight w:val="306"/>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效益指标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生态效益指标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美化环境，提升生态环境质量</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通过城乡环境治理，进一步提升生态环境，</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通过城乡环境治理，进一步提升生态环境，</w:t>
            </w:r>
          </w:p>
        </w:tc>
      </w:tr>
      <w:tr>
        <w:trPr>
          <w:trHeight w:val="306"/>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数量指标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汛期前辖区内开展地灾隐患点排查数量及山洪点排查数量</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=54个</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=54个</w:t>
            </w:r>
          </w:p>
        </w:tc>
      </w:tr>
      <w:tr>
        <w:trPr>
          <w:trHeight w:val="306"/>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数量指标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开展安全生产工作全领域督查检查次数。</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≥50次</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≥50次</w:t>
            </w:r>
          </w:p>
        </w:tc>
      </w:tr>
      <w:tr>
        <w:trPr>
          <w:trHeight w:val="306"/>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数量指标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开展森林草原防灭火工作</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出动宣传车辆≥600台次</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出动宣传车辆≥600台次</w:t>
            </w:r>
          </w:p>
        </w:tc>
      </w:tr>
      <w:tr>
        <w:trPr>
          <w:trHeight w:val="306"/>
        </w:trPr>
        <w:tc>
          <w:tcPr>
            <w:tcW w:w="331" w:type="dxa"/>
            <w:vMerge/>
            <w:tcBorders>
              <w:left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质量指标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开展森林草原防灭火工作</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张贴宣传标语≥2000幅</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张贴宣传标语≥2000幅</w:t>
            </w:r>
          </w:p>
        </w:tc>
      </w:tr>
      <w:tr>
        <w:trPr>
          <w:trHeight w:val="715"/>
        </w:trPr>
        <w:tc>
          <w:tcPr>
            <w:tcW w:w="331" w:type="dxa"/>
            <w:vMerge/>
            <w:tcBorders>
              <w:left w:val="single" w:sz="4" w:space="0" w:color="000000"/>
              <w:bottom w:val="single" w:sz="4" w:space="0" w:color="000000"/>
              <w:right w:val="single" w:sz="4" w:space="0" w:color="000000"/>
            </w:tcBorders>
            <w:noWrap/>
            <w:vAlign w:val="center"/>
          </w:tcPr>
          <w:p/>
        </w:tc>
        <w:tc>
          <w:tcPr>
            <w:tcW w:w="5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质量指标</w:t>
            </w:r>
          </w:p>
        </w:tc>
        <w:tc>
          <w:tcPr>
            <w:tcW w:w="1524"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按要求完成我镇各项工作任务。</w:t>
            </w:r>
          </w:p>
        </w:tc>
        <w:tc>
          <w:tcPr>
            <w:tcW w:w="4476"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≥98%</w:t>
            </w:r>
          </w:p>
        </w:tc>
        <w:tc>
          <w:tcPr>
            <w:tcW w:w="193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spacing w:line="240" w:lineRule="exact"/>
              <w:jc w:val="center"/>
              <w:textAlignment w:val="center"/>
              <w:rPr>
                <w:rFonts w:ascii="宋体" w:eastAsia="宋体" w:cs="宋体" w:hint="eastAsia"/>
                <w:color w:val="000000"/>
                <w:kern w:val="0"/>
                <w:sz w:val="24"/>
              </w:rPr>
            </w:pPr>
            <w:r>
              <w:rPr>
                <w:rFonts w:ascii="宋体" w:eastAsia="宋体" w:cs="宋体" w:hint="eastAsia"/>
                <w:color w:val="000000"/>
                <w:kern w:val="0"/>
                <w:sz w:val="24"/>
                <w:lang w:val="en-US" w:eastAsia="zh-CN"/>
              </w:rPr>
              <w:t>≥98%</w:t>
            </w:r>
          </w:p>
        </w:tc>
      </w:tr>
    </w:tbl>
    <w:p>
      <w:pPr>
        <w:keepNext w:val="0"/>
        <w:keepLines w:val="0"/>
        <w:pageBreakBefore w:val="0"/>
        <w:widowControl w:val="0"/>
        <w:kinsoku/>
        <w:wordWrap/>
        <w:overflowPunct/>
        <w:topLinePunct w:val="0"/>
        <w:autoSpaceDE/>
        <w:autoSpaceDN/>
        <w:bidi w:val="0"/>
        <w:spacing w:after="0" w:line="578" w:lineRule="exact"/>
        <w:ind w:left="0" w:firstLine="0"/>
        <w:rPr>
          <w:rFonts w:eastAsia="黑体"/>
        </w:rPr>
        <w:sectPr>
          <w:headerReference w:type="default" r:id="rId5"/>
          <w:footerReference w:type="default" r:id="rId6"/>
          <w:pgSz w:w="11906" w:h="16838"/>
          <w:pgMar w:top="2098" w:right="1474" w:bottom="1984" w:left="1587" w:header="851" w:footer="992" w:gutter="0"/>
          <w:pgNumType/>
          <w:docGrid w:type="lines" w:linePitch="435" w:charSpace="0"/>
        </w:sectPr>
      </w:pPr>
    </w:p>
    <w:p>
      <w:pPr>
        <w:keepNext w:val="0"/>
        <w:keepLines w:val="0"/>
        <w:pageBreakBefore w:val="0"/>
        <w:widowControl w:val="0"/>
        <w:kinsoku/>
        <w:wordWrap/>
        <w:overflowPunct/>
        <w:topLinePunct w:val="0"/>
        <w:autoSpaceDE/>
        <w:autoSpaceDN/>
        <w:bidi w:val="0"/>
        <w:spacing w:line="576" w:lineRule="exact"/>
        <w:jc w:val="left"/>
        <w:textAlignment w:val="auto"/>
        <w:outlineLvl w:val="0"/>
        <w:rPr>
          <w:rStyle w:val="1Char"/>
          <w:rFonts w:ascii="黑体" w:eastAsia="黑体" w:hint="eastAsia"/>
          <w:b w:val="0"/>
          <w:color w:val="auto"/>
          <w:highlight w:val="auto"/>
        </w:rPr>
      </w:pPr>
      <w:r>
        <w:rPr>
          <w:rFonts w:ascii="Times New Roman" w:eastAsia="黑体" w:cs="Times New Roman" w:hAnsi="Times New Roman" w:hint="eastAsia"/>
          <w:color w:val="auto"/>
          <w:sz w:val="32"/>
          <w:szCs w:val="32"/>
          <w:lang w:val="en-US" w:eastAsia="zh-CN"/>
          <w:highlight w:val="auto"/>
        </w:rPr>
        <w:t>附件2:</w:t>
      </w:r>
    </w:p>
    <w:p>
      <w:pPr>
        <w:pageBreakBefore w:val="0"/>
        <w:widowControl w:val="0"/>
        <w:suppressAutoHyphens/>
        <w:kinsoku/>
        <w:wordWrap/>
        <w:overflowPunct/>
        <w:topLinePunct w:val="0"/>
        <w:autoSpaceDE/>
        <w:autoSpaceDN/>
        <w:bidi w:val="0"/>
        <w:spacing w:line="576" w:lineRule="exact"/>
        <w:jc w:val="center"/>
        <w:outlineLvl w:val="0"/>
        <w:rPr>
          <w:rStyle w:val="1Char"/>
          <w:rFonts w:ascii="方正小标宋简体" w:eastAsia="方正小标宋简体" w:cs="方正小标宋简体" w:hint="eastAsia"/>
          <w:b w:val="0"/>
          <w:color w:val="auto"/>
          <w:highlight w:val="auto"/>
        </w:rPr>
      </w:pPr>
      <w:r>
        <w:rPr>
          <w:rStyle w:val="1Char"/>
          <w:rFonts w:ascii="方正小标宋简体" w:eastAsia="方正小标宋简体" w:cs="方正小标宋简体" w:hint="eastAsia"/>
          <w:b w:val="0"/>
          <w:color w:val="auto"/>
          <w:highlight w:val="auto"/>
        </w:rPr>
        <w:t>专项预算项目绩效评价报告</w:t>
      </w:r>
    </w:p>
    <w:p>
      <w:pPr>
        <w:pageBreakBefore w:val="0"/>
        <w:widowControl w:val="0"/>
        <w:suppressAutoHyphens/>
        <w:kinsoku/>
        <w:wordWrap/>
        <w:overflowPunct/>
        <w:topLinePunct w:val="0"/>
        <w:autoSpaceDE/>
        <w:autoSpaceDN/>
        <w:bidi w:val="0"/>
        <w:spacing w:line="576" w:lineRule="exact"/>
        <w:jc w:val="center"/>
        <w:outlineLvl w:val="0"/>
        <w:rPr>
          <w:rStyle w:val="1Char"/>
          <w:rFonts w:ascii="仿宋_GB2312" w:eastAsia="仿宋_GB2312" w:cs="仿宋_GB2312" w:hint="eastAsia"/>
          <w:b w:val="0"/>
          <w:color w:val="auto"/>
          <w:sz w:val="32"/>
          <w:szCs w:val="32"/>
          <w:highlight w:val="auto"/>
        </w:rPr>
      </w:pPr>
      <w:r>
        <w:rPr>
          <w:rStyle w:val="1Char"/>
          <w:rFonts w:ascii="仿宋_GB2312" w:eastAsia="仿宋_GB2312" w:cs="仿宋_GB2312" w:hint="eastAsia"/>
          <w:b w:val="0"/>
          <w:color w:val="auto"/>
          <w:sz w:val="32"/>
          <w:szCs w:val="32"/>
          <w:highlight w:val="auto"/>
        </w:rPr>
        <w:t>（本部门不涉及此类项目）</w:t>
      </w: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Style w:val="1Char"/>
          <w:rFonts w:ascii="黑体" w:eastAsia="黑体" w:hint="eastAsia"/>
          <w:b w:val="0"/>
          <w:color w:val="auto"/>
          <w:highlight w:val="auto"/>
        </w:rPr>
      </w:pPr>
    </w:p>
    <w:p>
      <w:pPr>
        <w:pageBreakBefore w:val="0"/>
        <w:widowControl w:val="0"/>
        <w:suppressAutoHyphens/>
        <w:kinsoku/>
        <w:wordWrap/>
        <w:overflowPunct/>
        <w:topLinePunct w:val="0"/>
        <w:autoSpaceDE/>
        <w:autoSpaceDN/>
        <w:bidi w:val="0"/>
        <w:spacing w:line="576" w:lineRule="exact"/>
        <w:jc w:val="center"/>
        <w:outlineLvl w:val="0"/>
        <w:rPr>
          <w:rFonts w:ascii="思源黑体 CN Normal" w:eastAsia="思源黑体 CN Normal" w:cs="思源黑体 CN Normal" w:hint="eastAsia"/>
          <w:b w:val="0"/>
          <w:bCs w:val="0"/>
        </w:rPr>
      </w:pPr>
      <w:r>
        <w:rPr>
          <w:rStyle w:val="1Char"/>
          <w:rFonts w:ascii="黑体" w:eastAsia="黑体" w:hint="eastAsia"/>
          <w:b w:val="0"/>
          <w:color w:val="auto"/>
          <w:highlight w:val="auto"/>
        </w:rPr>
        <w:t>第五部分 附表</w:t>
      </w:r>
      <w:bookmarkEnd w:id="73"/>
      <w:bookmarkEnd w:id="74"/>
      <w:bookmarkEnd w:id="75"/>
      <w:bookmarkEnd w:id="76"/>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0" w:name="_Toc7320"/>
      <w:r>
        <w:rPr>
          <w:rFonts w:ascii="仿宋_GB2312" w:eastAsia="仿宋_GB2312" w:cs="仿宋_GB2312" w:hint="eastAsia"/>
          <w:b w:val="0"/>
          <w:bCs w:val="0"/>
        </w:rPr>
        <w:t>一、收入支出决算总表</w:t>
      </w:r>
      <w:bookmarkEnd w:id="80"/>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1" w:name="_Toc3119"/>
      <w:r>
        <w:rPr>
          <w:rFonts w:ascii="仿宋_GB2312" w:eastAsia="仿宋_GB2312" w:cs="仿宋_GB2312" w:hint="eastAsia"/>
          <w:b w:val="0"/>
          <w:bCs w:val="0"/>
        </w:rPr>
        <w:t>二、收入决算表</w:t>
      </w:r>
      <w:bookmarkEnd w:id="81"/>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2" w:name="_Toc8649"/>
      <w:r>
        <w:rPr>
          <w:rFonts w:ascii="仿宋_GB2312" w:eastAsia="仿宋_GB2312" w:cs="仿宋_GB2312" w:hint="eastAsia"/>
          <w:b w:val="0"/>
          <w:bCs w:val="0"/>
        </w:rPr>
        <w:t>三、支出决算表</w:t>
      </w:r>
      <w:bookmarkEnd w:id="82"/>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3" w:name="_Toc10575"/>
      <w:r>
        <w:rPr>
          <w:rFonts w:ascii="仿宋_GB2312" w:eastAsia="仿宋_GB2312" w:cs="仿宋_GB2312" w:hint="eastAsia"/>
          <w:b w:val="0"/>
          <w:bCs w:val="0"/>
        </w:rPr>
        <w:t>四、财政拨款收入支出决算总表</w:t>
      </w:r>
      <w:bookmarkEnd w:id="83"/>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4" w:name="_Toc6511"/>
      <w:r>
        <w:rPr>
          <w:rFonts w:ascii="仿宋_GB2312" w:eastAsia="仿宋_GB2312" w:cs="仿宋_GB2312" w:hint="eastAsia"/>
          <w:b w:val="0"/>
          <w:bCs w:val="0"/>
        </w:rPr>
        <w:t>五、财政拨款支出决算明细表</w:t>
      </w:r>
      <w:bookmarkEnd w:id="84"/>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5" w:name="_Toc21990"/>
      <w:r>
        <w:rPr>
          <w:rFonts w:ascii="仿宋_GB2312" w:eastAsia="仿宋_GB2312" w:cs="仿宋_GB2312" w:hint="eastAsia"/>
          <w:b w:val="0"/>
          <w:bCs w:val="0"/>
        </w:rPr>
        <w:t>六、一般公共预算财政拨款支出决算表</w:t>
      </w:r>
      <w:bookmarkEnd w:id="85"/>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6" w:name="_Toc22318"/>
      <w:r>
        <w:rPr>
          <w:rFonts w:ascii="仿宋_GB2312" w:eastAsia="仿宋_GB2312" w:cs="仿宋_GB2312" w:hint="eastAsia"/>
          <w:b w:val="0"/>
          <w:bCs w:val="0"/>
        </w:rPr>
        <w:t>七、一般公共预算财政拨款支出决算明细表</w:t>
      </w:r>
      <w:bookmarkEnd w:id="86"/>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7" w:name="_Toc22456"/>
      <w:r>
        <w:rPr>
          <w:rFonts w:ascii="仿宋_GB2312" w:eastAsia="仿宋_GB2312" w:cs="仿宋_GB2312" w:hint="eastAsia"/>
          <w:b w:val="0"/>
          <w:bCs w:val="0"/>
        </w:rPr>
        <w:t>八、一般公共预算财政拨款基本支出决算表</w:t>
      </w:r>
      <w:bookmarkEnd w:id="87"/>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8" w:name="_Toc4005"/>
      <w:r>
        <w:rPr>
          <w:rFonts w:ascii="仿宋_GB2312" w:eastAsia="仿宋_GB2312" w:cs="仿宋_GB2312" w:hint="eastAsia"/>
          <w:b w:val="0"/>
          <w:bCs w:val="0"/>
        </w:rPr>
        <w:t>九、一般公共预算财政拨款项目支出决算表</w:t>
      </w:r>
      <w:bookmarkEnd w:id="88"/>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89" w:name="_Toc10033"/>
      <w:r>
        <w:rPr>
          <w:rFonts w:ascii="仿宋_GB2312" w:eastAsia="仿宋_GB2312" w:cs="仿宋_GB2312" w:hint="eastAsia"/>
          <w:b w:val="0"/>
          <w:bCs w:val="0"/>
        </w:rPr>
        <w:t>十、政府性基金预算财政拨款收入支出决算表</w:t>
      </w:r>
      <w:bookmarkEnd w:id="89"/>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90" w:name="_Toc7879"/>
      <w:r>
        <w:rPr>
          <w:rFonts w:ascii="仿宋_GB2312" w:eastAsia="仿宋_GB2312" w:cs="仿宋_GB2312" w:hint="eastAsia"/>
          <w:b w:val="0"/>
          <w:bCs w:val="0"/>
        </w:rPr>
        <w:t>十一、国有资本经营预算财政拨款收入支出决算表</w:t>
      </w:r>
      <w:bookmarkEnd w:id="90"/>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91" w:name="_Toc18625"/>
      <w:r>
        <w:rPr>
          <w:rFonts w:ascii="仿宋_GB2312" w:eastAsia="仿宋_GB2312" w:cs="仿宋_GB2312" w:hint="eastAsia"/>
          <w:b w:val="0"/>
          <w:bCs w:val="0"/>
        </w:rPr>
        <w:t>十二、国有资本经营预算财政拨款支出决算表</w:t>
      </w:r>
      <w:bookmarkEnd w:id="91"/>
    </w:p>
    <w:p>
      <w:pPr>
        <w:pStyle w:val="2"/>
        <w:keepNext/>
        <w:keepLines/>
        <w:pageBreakBefore w:val="0"/>
        <w:widowControl w:val="0"/>
        <w:kinsoku/>
        <w:wordWrap/>
        <w:overflowPunct/>
        <w:topLinePunct w:val="0"/>
        <w:autoSpaceDE/>
        <w:autoSpaceDN/>
        <w:bidi w:val="0"/>
        <w:adjustRightInd/>
        <w:snapToGrid/>
        <w:spacing w:before="0" w:after="0" w:line="576" w:lineRule="exact"/>
        <w:textAlignment w:val="auto"/>
        <w:rPr>
          <w:rFonts w:ascii="仿宋_GB2312" w:eastAsia="仿宋_GB2312" w:cs="仿宋_GB2312" w:hint="eastAsia"/>
          <w:b w:val="0"/>
          <w:bCs w:val="0"/>
        </w:rPr>
      </w:pPr>
      <w:bookmarkStart w:id="92" w:name="_Toc30287"/>
      <w:r>
        <w:rPr>
          <w:rFonts w:ascii="仿宋_GB2312" w:eastAsia="仿宋_GB2312" w:cs="仿宋_GB2312" w:hint="eastAsia"/>
          <w:b w:val="0"/>
          <w:bCs w:val="0"/>
        </w:rPr>
        <w:t>十三、财政拨款“三公”经费支出决算表</w:t>
      </w:r>
      <w:bookmarkEnd w:id="92"/>
    </w:p>
    <w:sectPr>
      <w:headerReference w:type="default" r:id="rId14"/>
      <w:footerReference w:type="default" r:id="rId15"/>
      <w:pgSz w:w="11906" w:h="16838"/>
      <w:pgMar w:top="1440" w:right="1800" w:bottom="1440" w:left="180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思源黑体 CN Normal">
    <w:altName w:val="黑体"/>
    <w:panose1 w:val="020B0400000000000000"/>
    <w:charset w:val="86"/>
    <w:family w:val="auto"/>
    <w:pitch w:val="variable"/>
    <w:sig w:usb0="00000000" w:usb1="00000000" w:usb2="00000016" w:usb3="00000000" w:csb0="60060107" w:csb1="00000000"/>
  </w:font>
  <w:font w:name="方正小标宋简体">
    <w:panose1 w:val="02000000000000000000"/>
    <w:charset w:val="86"/>
    <w:family w:val="auto"/>
    <w:pitch w:val="variable"/>
    <w:sig w:usb0="A00002BF" w:usb1="184F6CFA" w:usb2="00000012" w:usb3="00000000" w:csb0="00040001" w:csb1="00000000"/>
  </w:font>
  <w:font w:name="Times New Roman">
    <w:panose1 w:val="02020603050405020304"/>
    <w:charset w:val="86"/>
    <w:family w:val="auto"/>
    <w:pitch w:val="variable"/>
    <w:sig w:usb0="E0002EFF" w:usb1="C000785B"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方正仿宋_GB2312">
    <w:altName w:val="仿宋"/>
    <w:panose1 w:val="02000000000000000000"/>
    <w:charset w:val="86"/>
    <w:family w:val="auto"/>
    <w:pitch w:val="variable"/>
    <w:sig w:usb0="00000000" w:usb1="00000000" w:usb2="00000012" w:usb3="00000000" w:csb0="00040001" w:csb1="00000000"/>
  </w:font>
  <w:font w:name="宋体">
    <w:panose1 w:val="02010600030101010101"/>
    <w:charset w:val="7A"/>
    <w:family w:val="auto"/>
    <w:pitch w:val="variable"/>
    <w:sig w:usb0="00000003" w:usb1="080E0000" w:usb2="00000000" w:usb3="00000000" w:csb0="00040001" w:csb1="00000000"/>
  </w:font>
  <w:font w:name="黑体">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auto"/>
    <w:pitch w:val="variable"/>
    <w:sig w:usb0="800002BF" w:usb1="38CF7CFA" w:usb2="00000016" w:usb3="00000000" w:csb0="00040001" w:csb1="00000000"/>
  </w:font>
  <w:font w:name="楷体_GB2312">
    <w:panose1 w:val="02010609030101010101"/>
    <w:charset w:val="86"/>
    <w:family w:val="modern"/>
    <w:pitch w:val="variable"/>
    <w:sig w:usb0="00000001" w:usb1="080E0000" w:usb2="00000000" w:usb3="00000000" w:csb0="00040000" w:csb1="00000000"/>
  </w:font>
  <w:font w:name="Cambria">
    <w:altName w:val="DejaVu Sans"/>
    <w:panose1 w:val="02040503050406030204"/>
    <w:charset w:val="00"/>
    <w:family w:val="roman"/>
    <w:pitch w:val="variable"/>
    <w:sig w:usb0="00000000" w:usb1="00000000" w:usb2="00000000" w:usb3="00000000" w:csb0="2000019F" w:csb1="00000000"/>
  </w:font>
  <w:font w:name="Arial">
    <w:altName w:val="Times New Roman"/>
    <w:panose1 w:val="020B0604020202020204"/>
    <w:charset w:val="01"/>
    <w:family w:val="swiss"/>
    <w:pitch w:val="variable"/>
    <w:sig w:usb0="E0002AFF" w:usb1="C0007843" w:usb2="00000009" w:usb3="00000000" w:csb0="400001FF" w:csb1="FFFF0000"/>
  </w:font>
  <w:font w:name="Calibri">
    <w:altName w:val="Times New Roman"/>
    <w:panose1 w:val="020F0502020204030204"/>
    <w:charset w:val="00"/>
    <w:family w:val="swiss"/>
    <w:pitch w:val="variable"/>
    <w:sig w:usb0="00000000" w:usb1="00000000" w:usb2="00000001" w:usb3="00000000" w:csb0="0000019F" w:csb1="00000000"/>
  </w:font>
  <w:font w:name="??">
    <w:altName w:val="华文中宋"/>
    <w:panose1 w:val="00000000000000000000"/>
    <w:charset w:val="00"/>
    <w:family w:val="roman"/>
    <w:pitch w:val="variable"/>
    <w:sig w:usb0="00000000" w:usb1="00000000" w:usb2="00000000"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center"/>
    </w:pPr>
    <w:r>
      <w:rPr>
        <w:sz w:val="18"/>
      </w:rPr>
      <mc:AlternateContent>
        <mc:Choice Requires="wps">
          <w:drawing>
            <wp:anchor distT="0" distB="0" distL="114298" distR="114298" simplePos="0" relativeHeight="42" behindDoc="0" locked="0" layoutInCell="1" hidden="0" allowOverlap="1">
              <wp:simplePos x="0" y="0"/>
              <wp:positionH relativeFrom="margin">
                <wp:align>center</wp:align>
              </wp:positionH>
              <wp:positionV relativeFrom="paragraph">
                <wp:posOffset>0</wp:posOffset>
              </wp:positionV>
              <wp:extent cx="57150" cy="131559"/>
              <wp:effectExtent l="0" t="0" r="0" b="0"/>
              <wp:wrapNone/>
              <wp:docPr id="1" name="文本框 30"/>
              <wp:cNvGraphicFramePr>
                <a:graphicFrameLocks noChangeAspect="0"/>
              </wp:cNvGraphicFramePr>
              <a:graphic>
                <a:graphicData uri="http://schemas.microsoft.com/office/word/2010/wordprocessingShape">
                  <wps:wsp>
                    <wps:cNvSpPr/>
                    <wps:spPr>
                      <a:xfrm rot="0">
                        <a:off x="0" y="0"/>
                        <a:ext cx="57150" cy="131559"/>
                      </a:xfrm>
                      <a:prstGeom prst="rect"/>
                      <a:noFill/>
                      <a:ln w="6350" cmpd="sng" cap="flat">
                        <a:noFill/>
                        <a:prstDash val="solid"/>
                        <a:round/>
                      </a:ln>
                    </wps:spPr>
                    <wps:txbx id="2">
                      <w:txbxContent>
                        <w:p>
                          <w:pPr>
                            <w:pStyle w:val="22"/>
                            <w:tabs>
                              <w:tab w:val="center" w:pos="4153"/>
                              <w:tab w:val="right" w:pos="8306"/>
                            </w:tabs>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type="#_x0000_t202" id="文本框 30 3" o:spid="_x0000_s3" filled="f" stroked="f" strokeweight="0.5pt" style="position:absolute;margin-left:0.0pt;margin-top:0.0pt;width:4.5pt;height:10.359pt;z-index:42;mso-position-horizontal:center;mso-position-horizontal-relative:margin;mso-position-vertical:absolute;mso-wrap-distance-left:8.999863pt;mso-wrap-distance-right:8.999863pt;mso-wrap-style:none;">
              <v:stroke color="#000000"/>
              <v:textbox id="857" inset="0mm,0mm,0mm,0mm" o:insetmode="custom" style="layout-flow:horizontal;v-text-anchor:top;mso-fit-shape-to-text:t;">
                <w:txbxContent>
                  <w:p>
                    <w:pPr>
                      <w:pStyle w:val="22"/>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p>
    <w:pPr>
      <w:pStyle w:val="22"/>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pPr>
    <w:r>
      <w:rPr>
        <w:sz w:val="18"/>
      </w:rPr>
      <mc:AlternateContent>
        <mc:Choice Requires="wps">
          <w:drawing>
            <wp:anchor distT="0" distB="0" distL="114298" distR="114298" simplePos="0" relativeHeight="44" behindDoc="0" locked="0" layoutInCell="1" hidden="0" allowOverlap="1">
              <wp:simplePos x="0" y="0"/>
              <wp:positionH relativeFrom="margin">
                <wp:align>center</wp:align>
              </wp:positionH>
              <wp:positionV relativeFrom="paragraph">
                <wp:posOffset>0</wp:posOffset>
              </wp:positionV>
              <wp:extent cx="57150" cy="131559"/>
              <wp:effectExtent l="0" t="0" r="0" b="0"/>
              <wp:wrapNone/>
              <wp:docPr id="4" name="文本框 31"/>
              <wp:cNvGraphicFramePr>
                <a:graphicFrameLocks noChangeAspect="0"/>
              </wp:cNvGraphicFramePr>
              <a:graphic>
                <a:graphicData uri="http://schemas.microsoft.com/office/word/2010/wordprocessingShape">
                  <wps:wsp>
                    <wps:cNvSpPr/>
                    <wps:spPr>
                      <a:xfrm rot="0">
                        <a:off x="0" y="0"/>
                        <a:ext cx="57150" cy="131559"/>
                      </a:xfrm>
                      <a:prstGeom prst="rect"/>
                      <a:noFill/>
                      <a:ln w="6350" cmpd="sng" cap="flat">
                        <a:noFill/>
                        <a:prstDash val="solid"/>
                        <a:round/>
                      </a:ln>
                    </wps:spPr>
                    <wps:txbx id="5">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31 6" o:spid="_x0000_s6" filled="f" stroked="f" strokeweight="0.5pt" style="position:absolute;margin-left:0.0pt;margin-top:0.0pt;width:4.5pt;height:10.359pt;z-index:44;mso-position-horizontal:center;mso-position-horizontal-relative:margin;mso-position-vertical:absolute;mso-wrap-distance-left:8.999863pt;mso-wrap-distance-right:8.999863pt;mso-wrap-style:none;">
              <v:stroke color="#000000"/>
              <v:textbox id="858" inset="0mm,0mm,0mm,0mm" o:insetmode="custom" style="layout-flow:horizontal;v-text-anchor:top;mso-fit-shape-to-text:t;">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widowControl w:val="0"/>
      <w:snapToGrid w:val="0"/>
      <w:jc w:val="left"/>
      <w:rPr>
        <w:rFonts w:ascii="Times New Roman" w:eastAsia="宋体" w:cs="Times New Roman" w:hAnsi="Times New Roman"/>
        <w:kern w:val="2"/>
        <w:sz w:val="18"/>
        <w:szCs w:val="18"/>
        <w:lang w:val="en-US" w:eastAsia="zh-CN" w:bidi="ar-SA"/>
      </w:rPr>
    </w:pPr>
    <w:r>
      <w:rPr>
        <w:sz w:val="18"/>
      </w:rPr>
      <mc:AlternateContent>
        <mc:Choice Requires="wps">
          <w:drawing>
            <wp:anchor distT="0" distB="0" distL="114298" distR="114298" simplePos="0" relativeHeight="46" behindDoc="0" locked="0" layoutInCell="1" hidden="0" allowOverlap="1">
              <wp:simplePos x="0" y="0"/>
              <wp:positionH relativeFrom="margin">
                <wp:align>center</wp:align>
              </wp:positionH>
              <wp:positionV relativeFrom="paragraph">
                <wp:posOffset>0</wp:posOffset>
              </wp:positionV>
              <wp:extent cx="114300" cy="131559"/>
              <wp:effectExtent l="0" t="0" r="0" b="0"/>
              <wp:wrapNone/>
              <wp:docPr id="7" name="文本框 32"/>
              <wp:cNvGraphicFramePr>
                <a:graphicFrameLocks noChangeAspect="0"/>
              </wp:cNvGraphicFramePr>
              <a:graphic>
                <a:graphicData uri="http://schemas.microsoft.com/office/word/2010/wordprocessingShape">
                  <wps:wsp>
                    <wps:cNvSpPr/>
                    <wps:spPr>
                      <a:xfrm rot="0">
                        <a:off x="0" y="0"/>
                        <a:ext cx="114300" cy="131559"/>
                      </a:xfrm>
                      <a:prstGeom prst="rect"/>
                      <a:noFill/>
                      <a:ln w="6350" cmpd="sng" cap="flat">
                        <a:noFill/>
                        <a:prstDash val="solid"/>
                        <a:round/>
                      </a:ln>
                    </wps:spPr>
                    <wps:txbx id="8">
                      <w:txbxContent>
                        <w:p>
                          <w:pPr>
                            <w:pStyle w:val="22"/>
                            <w:tabs>
                              <w:tab w:val="center" w:pos="4153"/>
                              <w:tab w:val="right" w:pos="8306"/>
                            </w:tabs>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type="#_x0000_t202" id="文本框 32 9" o:spid="_x0000_s9" filled="f" stroked="f" strokeweight="0.5pt" style="position:absolute;margin-left:0.0pt;margin-top:0.0pt;width:9.0pt;height:10.359035pt;z-index:46;mso-position-horizontal:center;mso-position-horizontal-relative:margin;mso-position-vertical:absolute;mso-wrap-distance-left:8.999863pt;mso-wrap-distance-right:8.999863pt;mso-wrap-style:none;">
              <v:stroke color="#000000"/>
              <v:textbox id="859" inset="0mm,0mm,0mm,0mm" o:insetmode="custom" style="layout-flow:horizontal;v-text-anchor:top;mso-fit-shape-to-text:t;">
                <w:txbxContent>
                  <w:p>
                    <w:pPr>
                      <w:pStyle w:val="22"/>
                      <w:tabs>
                        <w:tab w:val="center" w:pos="4153"/>
                        <w:tab w:val="right" w:pos="8306"/>
                      </w:tabs>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center"/>
    </w:pPr>
    <w:r>
      <w:rPr>
        <w:sz w:val="18"/>
      </w:rPr>
      <mc:AlternateContent>
        <mc:Choice Requires="wps">
          <w:drawing>
            <wp:anchor distT="0" distB="0" distL="114298" distR="114298" simplePos="0" relativeHeight="48" behindDoc="0" locked="0" layoutInCell="1" hidden="0" allowOverlap="1">
              <wp:simplePos x="0" y="0"/>
              <wp:positionH relativeFrom="margin">
                <wp:align>center</wp:align>
              </wp:positionH>
              <wp:positionV relativeFrom="paragraph">
                <wp:posOffset>0</wp:posOffset>
              </wp:positionV>
              <wp:extent cx="114300" cy="131559"/>
              <wp:effectExtent l="0" t="0" r="0" b="0"/>
              <wp:wrapNone/>
              <wp:docPr id="23" name="文本框 36"/>
              <wp:cNvGraphicFramePr>
                <a:graphicFrameLocks noChangeAspect="0"/>
              </wp:cNvGraphicFramePr>
              <a:graphic>
                <a:graphicData uri="http://schemas.microsoft.com/office/word/2010/wordprocessingShape">
                  <wps:wsp>
                    <wps:cNvSpPr/>
                    <wps:spPr>
                      <a:xfrm rot="0">
                        <a:off x="0" y="0"/>
                        <a:ext cx="114300" cy="131559"/>
                      </a:xfrm>
                      <a:prstGeom prst="rect"/>
                      <a:noFill/>
                      <a:ln w="6350" cmpd="sng" cap="flat">
                        <a:noFill/>
                        <a:prstDash val="solid"/>
                        <a:round/>
                      </a:ln>
                    </wps:spPr>
                    <wps:txbx id="24">
                      <w:txbxContent>
                        <w:p>
                          <w:pPr>
                            <w:pStyle w:val="22"/>
                            <w:tabs>
                              <w:tab w:val="center" w:pos="4153"/>
                              <w:tab w:val="right" w:pos="8306"/>
                            </w:tabs>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type="#_x0000_t202" id="文本框 36 25" o:spid="_x0000_s25" filled="f" stroked="f" strokeweight="0.5pt" style="position:absolute;margin-left:0.0pt;margin-top:0.0pt;width:9.0pt;height:10.359035pt;z-index:48;mso-position-horizontal:center;mso-position-horizontal-relative:margin;mso-position-vertical:absolute;mso-wrap-distance-left:8.999863pt;mso-wrap-distance-right:8.999863pt;mso-wrap-style:none;">
              <v:stroke color="#000000"/>
              <v:textbox id="860" inset="0mm,0mm,0mm,0mm" o:insetmode="custom" style="layout-flow:horizontal;v-text-anchor:top;mso-fit-shape-to-text:t;">
                <w:txbxContent>
                  <w:p>
                    <w:pPr>
                      <w:pStyle w:val="22"/>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p>
    <w:pPr>
      <w:pStyle w:val="22"/>
      <w:tabs>
        <w:tab w:val="clear" w:pos="4153"/>
        <w:tab w:val="right" w:pos="8306"/>
      </w:tabs>
      <w:jc w:val="right"/>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widowControl w:val="0"/>
      <w:pBdr>
        <w:bottom w:val="none" w:sz="0" w:space="0" w:color="auto"/>
      </w:pBdr>
      <w:snapToGrid w:val="0"/>
      <w:jc w:val="center"/>
      <w:rPr>
        <w:rFonts w:ascii="Times New Roman" w:eastAsia="宋体" w:cs="Times New Roman" w:hAnsi="Times New Roman"/>
        <w:kern w:val="2"/>
        <w:sz w:val="18"/>
        <w:szCs w:val="18"/>
        <w:lang w:val="en-US" w:eastAsia="zh-CN" w:bidi="ar-SA"/>
      </w:rPr>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72A2BE6"/>
    <w:multiLevelType w:val="singleLevel"/>
    <w:tmpl w:val="272A2BE6"/>
    <w:lvl w:ilvl="0">
      <w:start w:val="2"/>
      <w:numFmt w:val="chineseCounting"/>
      <w:lvlRestart w:val="0"/>
      <w:suff w:val="nothing"/>
      <w:lvlText w:val="（%1）"/>
      <w:lvlJc w:val="left"/>
      <w:pPr>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5"/>
  </w:compat>
  <w:docVars>
    <w:docVar w:name="commondata" w:val="eyJoZGlkIjoiZThmNjAzMWJlZjFkMmQwODUwMTJkYzE2ODFiYmFmYTc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pPr>
      <w:keepNext/>
      <w:keepLines/>
      <w:widowControl w:val="0"/>
      <w:spacing w:before="260" w:after="260" w:line="415" w:lineRule="auto"/>
      <w:outlineLvl w:val="1"/>
    </w:pPr>
    <w:rPr>
      <w:rFonts w:ascii="Cambria" w:eastAsia="宋体" w:cs="Times New Roman" w:hAnsi="Cambria"/>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paragraph" w:styleId="16">
    <w:name w:val="Normal Indent"/>
    <w:basedOn w:val="0"/>
    <w:pPr>
      <w:ind w:firstLine="680"/>
    </w:pPr>
  </w:style>
  <w:style w:type="paragraph" w:styleId="17">
    <w:name w:val="annotation text"/>
    <w:basedOn w:val="0"/>
    <w:pPr>
      <w:jc w:val="left"/>
    </w:pPr>
  </w:style>
  <w:style w:type="paragraph" w:styleId="18">
    <w:name w:val="Body Text"/>
    <w:basedOn w:val="0"/>
    <w:pPr>
      <w:spacing w:beforeLines="30" w:before="30"/>
    </w:pPr>
    <w:rPr>
      <w:rFonts w:ascii="仿宋_GB2312" w:eastAsia="仿宋_GB2312"/>
      <w:kern w:val="0"/>
      <w:sz w:val="30"/>
    </w:rPr>
  </w:style>
  <w:style w:type="paragraph" w:styleId="19">
    <w:name w:val="Body Text Indent"/>
    <w:basedOn w:val="0"/>
    <w:pPr>
      <w:spacing w:after="120"/>
      <w:ind w:leftChars="200" w:left="200"/>
    </w:pPr>
    <w:rPr>
      <w:rFonts w:ascii="仿宋_GB2312" w:hAnsi="仿宋_GB2312"/>
      <w:szCs w:val="32"/>
    </w:rPr>
  </w:style>
  <w:style w:type="paragraph" w:styleId="20">
    <w:name w:val="toc 3"/>
    <w:basedOn w:val="0"/>
    <w:next w:val="0"/>
    <w:pPr>
      <w:tabs>
        <w:tab w:val="right" w:leader="dot" w:pos="8296"/>
      </w:tabs>
      <w:ind w:leftChars="400" w:left="4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rFonts w:ascii="Calibri" w:hAnsi="Calibri"/>
      <w:kern w:val="0"/>
      <w:sz w:val="18"/>
      <w:szCs w:val="18"/>
    </w:rPr>
  </w:style>
  <w:style w:type="paragraph" w:styleId="23">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4">
    <w:name w:val="toc 1"/>
    <w:basedOn w:val="0"/>
    <w:next w:val="0"/>
    <w:pPr>
      <w:tabs>
        <w:tab w:val="right" w:leader="dot" w:pos="8296"/>
      </w:tabs>
      <w:spacing w:before="93"/>
      <w:jc w:val="center"/>
    </w:pPr>
    <w:rPr>
      <w:rFonts w:ascii="仿宋" w:eastAsia="仿宋"/>
      <w:sz w:val="28"/>
      <w:szCs w:val="28"/>
    </w:rPr>
  </w:style>
  <w:style w:type="paragraph" w:styleId="25">
    <w:name w:val="footnote text"/>
    <w:basedOn w:val="0"/>
    <w:next w:val="26"/>
    <w:pPr>
      <w:snapToGrid w:val="0"/>
      <w:jc w:val="left"/>
    </w:pPr>
    <w:rPr>
      <w:sz w:val="18"/>
      <w:szCs w:val="18"/>
    </w:rPr>
  </w:style>
  <w:style w:type="paragraph" w:styleId="26">
    <w:name w:val="Body Text First Indent 2"/>
    <w:basedOn w:val="19"/>
    <w:pPr>
      <w:ind w:firstLineChars="200" w:firstLine="200"/>
    </w:pPr>
  </w:style>
  <w:style w:type="paragraph" w:styleId="27">
    <w:name w:val="table of figures"/>
    <w:basedOn w:val="0"/>
    <w:next w:val="0"/>
    <w:pPr>
      <w:ind w:leftChars="200" w:left="400" w:hangingChars="200" w:hanging="200"/>
    </w:pPr>
  </w:style>
  <w:style w:type="paragraph" w:styleId="28">
    <w:name w:val="toc 2"/>
    <w:basedOn w:val="0"/>
    <w:next w:val="0"/>
    <w:pPr>
      <w:tabs>
        <w:tab w:val="right" w:leader="dot" w:pos="8296"/>
      </w:tabs>
      <w:ind w:leftChars="200" w:left="200"/>
    </w:pPr>
  </w:style>
  <w:style w:type="paragraph" w:styleId="29">
    <w:name w:val="HTML Preformatted"/>
    <w:basedOn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30">
    <w:name w:val="Normal (Web)"/>
    <w:basedOn w:val="0"/>
    <w:next w:val="0"/>
    <w:pPr>
      <w:spacing w:before="100" w:beforeAutospacing="1" w:after="100" w:afterAutospacing="1"/>
      <w:ind w:left="0" w:right="0"/>
      <w:jc w:val="left"/>
    </w:pPr>
    <w:rPr>
      <w:kern w:val="0"/>
      <w:sz w:val="24"/>
      <w:lang w:val="en-US" w:eastAsia="zh-CN"/>
    </w:rPr>
  </w:style>
  <w:style w:type="character" w:styleId="31">
    <w:name w:val="Strong"/>
    <w:basedOn w:val="10"/>
    <w:rPr>
      <w:b/>
    </w:rPr>
  </w:style>
  <w:style w:type="character" w:styleId="32">
    <w:name w:val="Hyperlink"/>
    <w:basedOn w:val="10"/>
    <w:rPr>
      <w:color w:val="0000FF"/>
      <w:u w:val="single"/>
    </w:rPr>
  </w:style>
  <w:style w:type="character" w:styleId="33">
    <w:name w:val="annotation reference"/>
    <w:basedOn w:val="10"/>
    <w:rPr>
      <w:sz w:val="21"/>
      <w:szCs w:val="21"/>
    </w:rPr>
  </w:style>
  <w:style w:type="paragraph" w:customStyle="1" w:styleId="34">
    <w:name w:val="Default"/>
    <w:pPr>
      <w:widowControl w:val="0"/>
      <w:autoSpaceDE w:val="0"/>
      <w:autoSpaceDN w:val="0"/>
      <w:adjustRightInd w:val="0"/>
    </w:pPr>
    <w:rPr>
      <w:rFonts w:ascii="仿宋" w:eastAsia="仿宋" w:cs="仿宋"/>
      <w:color w:val="000000"/>
      <w:sz w:val="24"/>
      <w:szCs w:val="24"/>
      <w:lang w:val="en-US" w:eastAsia="zh-CN" w:bidi="ar-SA"/>
    </w:rPr>
  </w:style>
  <w:style w:type="character" w:customStyle="1" w:styleId="35">
    <w:name w:val="Header Char"/>
    <w:basedOn w:val="10"/>
    <w:rPr>
      <w:rFonts w:ascii="Times New Roman" w:hAnsi="Times New Roman"/>
      <w:sz w:val="18"/>
      <w:szCs w:val="18"/>
    </w:rPr>
  </w:style>
  <w:style w:type="character" w:customStyle="1" w:styleId="36">
    <w:name w:val="Footer Char"/>
    <w:basedOn w:val="10"/>
    <w:rPr>
      <w:rFonts w:ascii="Times New Roman" w:hAnsi="Times New Roman"/>
      <w:sz w:val="18"/>
      <w:szCs w:val="18"/>
    </w:rPr>
  </w:style>
  <w:style w:type="character" w:customStyle="1" w:styleId="37">
    <w:name w:val="Body Text Char"/>
    <w:basedOn w:val="10"/>
    <w:rPr>
      <w:rFonts w:ascii="Times New Roman" w:hAnsi="Times New Roman"/>
      <w:szCs w:val="24"/>
    </w:rPr>
  </w:style>
  <w:style w:type="paragraph" w:styleId="38">
    <w:name w:val="List Paragraph"/>
    <w:basedOn w:val="0"/>
    <w:pPr>
      <w:ind w:firstLineChars="200" w:firstLine="200"/>
    </w:pPr>
  </w:style>
  <w:style w:type="paragraph" w:customStyle="1" w:styleId="39">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40">
    <w:name w:val="四号正文"/>
    <w:pPr>
      <w:widowControl w:val="0"/>
      <w:spacing w:line="360" w:lineRule="auto"/>
      <w:jc w:val="both"/>
    </w:pPr>
    <w:rPr>
      <w:rFonts w:ascii="??" w:eastAsia="宋体" w:cs="Times New Roman" w:hAnsi="??"/>
      <w:color w:val="000000"/>
      <w:kern w:val="0"/>
      <w:sz w:val="28"/>
      <w:szCs w:val="21"/>
      <w:lang w:val="zh-CN" w:eastAsia="zh-CN" w:bidi="ar-SA"/>
    </w:rPr>
  </w:style>
  <w:style w:type="character" w:customStyle="1" w:styleId="41">
    <w:name w:val="font61"/>
    <w:rPr>
      <w:rFonts w:ascii="宋体" w:eastAsia="宋体" w:cs="宋体"/>
      <w:color w:val="000000"/>
      <w:sz w:val="20"/>
      <w:szCs w:val="20"/>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header" Target="header2.xml"/><Relationship Id="rId6" Type="http://schemas.openxmlformats.org/officeDocument/2006/relationships/footer" Target="footer3.xml"/><Relationship Id="rId7" Type="http://schemas.openxmlformats.org/officeDocument/2006/relationships/chart" Target="charts/chart1.xml"/><Relationship Id="rId8" Type="http://schemas.openxmlformats.org/officeDocument/2006/relationships/chart" Target="charts/chart2.xml"/><Relationship Id="rId9" Type="http://schemas.openxmlformats.org/officeDocument/2006/relationships/chart" Target="charts/chart3.xml"/><Relationship Id="rId10" Type="http://schemas.openxmlformats.org/officeDocument/2006/relationships/chart" Target="charts/chart4.xml"/><Relationship Id="rId11" Type="http://schemas.openxmlformats.org/officeDocument/2006/relationships/chart" Target="charts/chart5.xml"/><Relationship Id="rId12" Type="http://schemas.openxmlformats.org/officeDocument/2006/relationships/chart" Target="charts/chart6.xml"/><Relationship Id="rId13" Type="http://schemas.openxmlformats.org/officeDocument/2006/relationships/chart" Target="charts/chart7.xml"/><Relationship Id="rId14" Type="http://schemas.openxmlformats.org/officeDocument/2006/relationships/header" Target="header3.xml"/><Relationship Id="rId15" Type="http://schemas.openxmlformats.org/officeDocument/2006/relationships/footer" Target="footer4.xml"/><Relationship Id="rId16" Type="http://schemas.openxmlformats.org/officeDocument/2006/relationships/styles" Target="styles.xml"/><Relationship Id="rId17" Type="http://schemas.openxmlformats.org/officeDocument/2006/relationships/numbering" Target="numbering.xml"/><Relationship Id="rId18"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收、支决算总计变动情况图</a:t>
            </a:r>
          </a:p>
        </c:rich>
      </c:tx>
      <c:layout/>
      <c:overlay val="0"/>
      <c:spPr>
        <a:noFill/>
        <a:ln>
          <a:noFill/>
        </a:ln>
      </c:spPr>
    </c:title>
    <c:autoTitleDeleted val="1"/>
    <c:plotArea>
      <c:layout>
        <c:manualLayout>
          <c:layoutTarget val="inner"/>
          <c:xMode val="edge"/>
          <c:yMode val="edge"/>
          <c:x val="0.06760087"/>
          <c:y val="0.12749681"/>
          <c:w val="0.9303455"/>
          <c:h val="0.6386315"/>
        </c:manualLayout>
      </c:layout>
      <c:barChart>
        <c:barDir val="col"/>
        <c:grouping val="clustered"/>
        <c:varyColors val="0"/>
        <c:ser>
          <c:idx val="0"/>
          <c:order val="0"/>
          <c:tx>
            <c:strRef>
              <c:f>'Sheet1'!$B$1</c:f>
              <c:strCache>
                <c:ptCount val="1"/>
                <c:pt idx="0">
                  <c:v>收支总计</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'Sheet1'!$A$2:$A$3</c:f>
              <c:strCache>
                <c:ptCount val="2"/>
                <c:pt idx="0">
                  <c:v>2024年</c:v>
                </c:pt>
                <c:pt idx="1">
                  <c:v>2025年</c:v>
                </c:pt>
              </c:strCache>
            </c:strRef>
          </c:cat>
          <c:val>
            <c:numRef>
              <c:f>'Sheet1'!$B$2:$B$3</c:f>
              <c:numCache>
                <c:formatCode>General</c:formatCode>
                <c:ptCount val="2"/>
                <c:pt idx="0">
                  <c:v>5539.22</c:v>
                </c:pt>
                <c:pt idx="1">
                  <c:v>7590.9</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tx>
            <c:strRef>
              <c:f>'Sheet1 (2)'!$B$1</c:f>
              <c:strCache>
                <c:ptCount val="1"/>
                <c:pt idx="0">
                  <c:v>收入决算结构图</c:v>
                </c:pt>
              </c:strCache>
            </c:strRef>
          </c:tx>
          <c:spPr>
            <a:solidFill>
              <a:srgbClr val="4F81BD"/>
            </a:solidFill>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dLbl>
              <c:idx val="2"/>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tx>
                <c:rich>
                  <a:bodyPr vert="horz"/>
                  <a:lstStyle/>
                  <a:p>
                    <a:pPr>
                      <a:defRPr sz="1000" b="0" i="0" u="none" strike="noStrike" baseline="0">
                        <a:solidFill>
                          <a:srgbClr val="404040"/>
                        </a:solidFill>
                        <a:latin typeface="Times New Roman"/>
                        <a:ea typeface="宋体"/>
                        <a:cs typeface="Lucida Sans"/>
                      </a:defRPr>
                    </a:pPr>
                    <a:r>
                      <a:rPr lang="zh-CN" sz="1000" b="0" i="0" u="none" strike="noStrike" baseline="0">
                        <a:solidFill>
                          <a:srgbClr val="404040"/>
                        </a:solidFill>
                        <a:latin typeface="Times New Roman"/>
                        <a:ea typeface="宋体"/>
                        <a:cs typeface="Lucida Sans"/>
                      </a:rPr>
                      <a:t>0.</a:t>
                    </a:r>
                    <a:r>
                      <a:rPr lang="zh-CN" sz="1000" b="0" i="0" u="none" strike="noStrike" baseline="0">
                        <a:solidFill>
                          <a:srgbClr val="404040"/>
                        </a:solidFill>
                        <a:latin typeface="Times New Roman"/>
                        <a:ea typeface="宋体"/>
                        <a:cs typeface="Lucida Sans"/>
                      </a:rPr>
                      <a:t>3</a:t>
                    </a:r>
                    <a:r>
                      <a:rPr lang="zh-CN" sz="1000" b="0" i="0" u="none" strike="noStrike" baseline="0">
                        <a:solidFill>
                          <a:srgbClr val="404040"/>
                        </a:solidFill>
                        <a:latin typeface="Times New Roman"/>
                        <a:ea typeface="宋体"/>
                        <a:cs typeface="Lucida Sans"/>
                      </a:rPr>
                      <a:t>4%</a:t>
                    </a:r>
                  </a:p>
                </c:rich>
              </c:tx>
              <c:showLegendKey val="0"/>
              <c:showVal val="0"/>
              <c:showCatName val="0"/>
              <c:showSerName val="0"/>
              <c:showPercent val="1"/>
              <c:showBubbleSize val="0"/>
            </c:dLbl>
            <c:showLegendKey val="0"/>
            <c:showVal val="0"/>
            <c:showCatName val="0"/>
            <c:showSerName val="0"/>
            <c:showPercent val="1"/>
            <c:showBubbleSize val="0"/>
            <c:showLeaderLines val="1"/>
          </c:dLbls>
          <c:cat>
            <c:strRef>
              <c:f>'Sheet1 (2)'!$A$2:$A$4</c:f>
              <c:strCache>
                <c:ptCount val="3"/>
                <c:pt idx="0">
                  <c:v>一般公共预算财政拨款收入</c:v>
                </c:pt>
                <c:pt idx="1">
                  <c:v>政府性基金预算财政拨款收入</c:v>
                </c:pt>
                <c:pt idx="2">
                  <c:v>其他收入</c:v>
                </c:pt>
              </c:strCache>
            </c:strRef>
          </c:cat>
          <c:val>
            <c:numRef>
              <c:f>'Sheet1 (2)'!$B$2:$B$4</c:f>
              <c:numCache>
                <c:formatCode>General</c:formatCode>
                <c:ptCount val="3"/>
                <c:pt idx="0">
                  <c:v>6041.03</c:v>
                </c:pt>
                <c:pt idx="1">
                  <c:v>1524.07</c:v>
                </c:pt>
                <c:pt idx="2">
                  <c:v>25.8</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tx>
            <c:strRef>
              <c:f>'Sheet1 (3)'!$B$1</c:f>
              <c:strCache>
                <c:ptCount val="1"/>
                <c:pt idx="0">
                  <c:v>支出决算结构图</c:v>
                </c:pt>
              </c:strCache>
            </c:strRef>
          </c:tx>
          <c:spPr>
            <a:solidFill>
              <a:srgbClr val="4F81BD"/>
            </a:solidFill>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showLegendKey val="0"/>
            <c:showVal val="0"/>
            <c:showCatName val="0"/>
            <c:showSerName val="0"/>
            <c:showPercent val="1"/>
            <c:showBubbleSize val="0"/>
            <c:separator> </c:separator>
            <c:showLeaderLines val="0"/>
          </c:dLbls>
          <c:cat>
            <c:strRef>
              <c:f>'Sheet1 (3)'!$A$2:$A$3</c:f>
              <c:strCache>
                <c:ptCount val="2"/>
                <c:pt idx="0">
                  <c:v>基本支出</c:v>
                </c:pt>
                <c:pt idx="1">
                  <c:v>项目支出</c:v>
                </c:pt>
              </c:strCache>
            </c:strRef>
          </c:cat>
          <c:val>
            <c:numRef>
              <c:f>'Sheet1 (3)'!$B$2:$B$3</c:f>
              <c:numCache>
                <c:formatCode>General</c:formatCode>
                <c:ptCount val="2"/>
                <c:pt idx="0">
                  <c:v>3616.58</c:v>
                </c:pt>
                <c:pt idx="1">
                  <c:v>3972.04</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财政拨款收、支决算总计变动情况</a:t>
            </a:r>
          </a:p>
        </c:rich>
      </c:tx>
      <c:layout/>
      <c:overlay val="0"/>
      <c:spPr>
        <a:noFill/>
        <a:ln>
          <a:noFill/>
        </a:ln>
      </c:spPr>
    </c:title>
    <c:autoTitleDeleted val="1"/>
    <c:plotArea>
      <c:layout/>
      <c:barChart>
        <c:barDir val="col"/>
        <c:grouping val="clustered"/>
        <c:varyColors val="0"/>
        <c:ser>
          <c:idx val="0"/>
          <c:order val="0"/>
          <c:tx>
            <c:strRef>
              <c:f>'Sheet1 (4)'!$B$1</c:f>
              <c:strCache>
                <c:ptCount val="1"/>
                <c:pt idx="0">
                  <c:v>收支总计</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(4)'!$A$2:$A$3</c:f>
              <c:strCache>
                <c:ptCount val="2"/>
                <c:pt idx="0">
                  <c:v>2024年</c:v>
                </c:pt>
                <c:pt idx="1">
                  <c:v>2025年</c:v>
                </c:pt>
              </c:strCache>
            </c:strRef>
          </c:cat>
          <c:val>
            <c:numRef>
              <c:f>'Sheet1 (4)'!$B$2:$B$3</c:f>
              <c:numCache>
                <c:formatCode>General</c:formatCode>
                <c:ptCount val="2"/>
                <c:pt idx="0">
                  <c:v>5539.22</c:v>
                </c:pt>
                <c:pt idx="1">
                  <c:v>7565.1</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一般公共预算财政拨款支出决算变动情况</a:t>
            </a:r>
          </a:p>
        </c:rich>
      </c:tx>
      <c:layout>
        <c:manualLayout>
          <c:xMode val="edge"/>
          <c:yMode val="edge"/>
          <c:x val="0.17716129"/>
          <c:y val="0.008559201"/>
        </c:manualLayout>
      </c:layout>
      <c:overlay val="0"/>
      <c:spPr>
        <a:noFill/>
        <a:ln>
          <a:noFill/>
        </a:ln>
      </c:spPr>
    </c:title>
    <c:autoTitleDeleted val="1"/>
    <c:plotArea>
      <c:layout/>
      <c:barChart>
        <c:barDir val="col"/>
        <c:grouping val="clustered"/>
        <c:varyColors val="0"/>
        <c:ser>
          <c:idx val="0"/>
          <c:order val="0"/>
          <c:tx>
            <c:strRef>
              <c:f>'Sheet1 (5)'!$B$1</c:f>
              <c:strCache>
                <c:ptCount val="1"/>
                <c:pt idx="0">
                  <c:v>2024年</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c:f>
              <c:strCache>
                <c:ptCount val="1"/>
                <c:pt idx="0">
                  <c:v>单位：万元</c:v>
                </c:pt>
              </c:strCache>
            </c:strRef>
          </c:cat>
          <c:val>
            <c:numRef>
              <c:f>Sheet1 (5)!$B$2</c:f>
              <c:numCache>
                <c:formatCode>General</c:formatCode>
                <c:ptCount val="1"/>
                <c:pt idx="0">
                  <c:v>5248.36</c:v>
                </c:pt>
              </c:numCache>
            </c:numRef>
          </c:val>
        </c:ser>
        <c:ser>
          <c:idx val="1"/>
          <c:order val="1"/>
          <c:tx>
            <c:strRef>
              <c:f>'Sheet1 (5)'!$C$1</c:f>
              <c:strCache>
                <c:ptCount val="1"/>
                <c:pt idx="0">
                  <c:v>2025年</c:v>
                </c:pt>
              </c:strCache>
            </c:strRef>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c:f>
              <c:strCache>
                <c:ptCount val="1"/>
                <c:pt idx="0">
                  <c:v>单位：万元</c:v>
                </c:pt>
              </c:strCache>
            </c:strRef>
          </c:cat>
          <c:val>
            <c:numRef>
              <c:f>Sheet1 (5)!$C$2</c:f>
              <c:numCache>
                <c:formatCode>General</c:formatCode>
                <c:ptCount val="1"/>
                <c:pt idx="0">
                  <c:v>6041.03</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一般公共预算财政拨款支出</a:t>
            </a:r>
          </a:p>
        </c:rich>
      </c:tx>
      <c:layout/>
      <c:overlay val="0"/>
      <c:spPr>
        <a:noFill/>
        <a:ln>
          <a:noFill/>
        </a:ln>
      </c:spPr>
    </c:title>
    <c:autoTitleDeleted val="1"/>
    <c:plotArea>
      <c:layout/>
      <c:pieChart>
        <c:varyColors val="1"/>
        <c:ser>
          <c:idx val="1"/>
          <c:order val="0"/>
          <c:tx>
            <c:strRef>
              <c:f>'Sheet1 (6)'!$B$1</c:f>
              <c:strCache>
                <c:ptCount val="1"/>
                <c:pt idx="0">
                  <c:v>一般公共预算财政拨款支出</c:v>
                </c:pt>
              </c:strCache>
            </c:strRef>
          </c:tx>
          <c:spPr>
            <a:solidFill>
              <a:srgbClr val="C0504D"/>
            </a:solidFill>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Pt>
            <c:idx val="4"/>
            <c:bubble3D val="0"/>
            <c:spPr>
              <a:solidFill>
                <a:srgbClr val="4BACC6"/>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dLbl>
              <c:idx val="0"/>
              <c:layout>
                <c:manualLayout>
                  <c:x val="-0.20710647"/>
                  <c:y val="0.03144287"/>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bestFit"/>
              <c:tx>
                <c:rich>
                  <a:bodyPr vert="horz"/>
                  <a:lstStyle/>
                  <a:p>
                    <a:pPr>
                      <a:defRPr sz="1000" b="0" i="0" u="none" strike="noStrike" baseline="0">
                        <a:solidFill>
                          <a:srgbClr val="404040"/>
                        </a:solidFill>
                        <a:latin typeface="Times New Roman"/>
                        <a:ea typeface="宋体"/>
                        <a:cs typeface="Lucida Sans"/>
                      </a:defRPr>
                    </a:pPr>
                    <a:r>
                      <a:rPr lang="zh-CN"/>
                      <a:t>37.95%</a:t>
                    </a:r>
                  </a:p>
                </c:rich>
              </c:tx>
              <c:showLegendKey val="0"/>
              <c:showVal val="1"/>
              <c:showCatName val="0"/>
              <c:showSerName val="0"/>
              <c:showPercent val="0"/>
              <c:showBubbleSize val="0"/>
              <c:separator>
</c:separator>
            </c:dLbl>
            <c:dLbl>
              <c:idx val="1"/>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inEnd"/>
              <c:tx>
                <c:rich>
                  <a:bodyPr vert="horz"/>
                  <a:lstStyle/>
                  <a:p>
                    <a:pPr>
                      <a:defRPr sz="1000" b="0" i="0" u="none" strike="noStrike" baseline="0">
                        <a:solidFill>
                          <a:srgbClr val="404040"/>
                        </a:solidFill>
                        <a:latin typeface="Times New Roman"/>
                        <a:ea typeface="宋体"/>
                        <a:cs typeface="Lucida Sans"/>
                      </a:defRPr>
                    </a:pPr>
                    <a:r>
                      <a:rPr lang="zh-CN"/>
                      <a:t>9.59%</a:t>
                    </a:r>
                  </a:p>
                </c:rich>
              </c:tx>
              <c:showLegendKey val="0"/>
              <c:showVal val="1"/>
              <c:showCatName val="0"/>
              <c:showSerName val="0"/>
              <c:showPercent val="0"/>
              <c:showBubbleSize val="0"/>
              <c:separator>
</c:separator>
            </c:dLbl>
            <c:dLbl>
              <c:idx val="2"/>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inEnd"/>
              <c:tx>
                <c:rich>
                  <a:bodyPr vert="horz"/>
                  <a:lstStyle/>
                  <a:p>
                    <a:pPr>
                      <a:defRPr sz="1000" b="0" i="0" u="none" strike="noStrike" baseline="0">
                        <a:solidFill>
                          <a:srgbClr val="404040"/>
                        </a:solidFill>
                        <a:latin typeface="Times New Roman"/>
                        <a:ea typeface="宋体"/>
                        <a:cs typeface="Lucida Sans"/>
                      </a:defRPr>
                    </a:pPr>
                    <a:r>
                      <a:rPr lang="zh-CN"/>
                      <a:t>3.2%</a:t>
                    </a:r>
                  </a:p>
                </c:rich>
              </c:tx>
              <c:showLegendKey val="0"/>
              <c:showVal val="1"/>
              <c:showCatName val="0"/>
              <c:showSerName val="0"/>
              <c:showPercent val="0"/>
              <c:showBubbleSize val="0"/>
              <c:separator>
</c:separator>
            </c:dLbl>
            <c:dLbl>
              <c:idx val="3"/>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inEnd"/>
              <c:tx>
                <c:rich>
                  <a:bodyPr vert="horz"/>
                  <a:lstStyle/>
                  <a:p>
                    <a:pPr>
                      <a:defRPr sz="1000" b="0" i="0" u="none" strike="noStrike" baseline="0">
                        <a:solidFill>
                          <a:srgbClr val="404040"/>
                        </a:solidFill>
                        <a:latin typeface="Times New Roman"/>
                        <a:ea typeface="宋体"/>
                        <a:cs typeface="Lucida Sans"/>
                      </a:defRPr>
                    </a:pPr>
                    <a:r>
                      <a:rPr lang="zh-CN" sz="1000" b="0" i="0" u="none" strike="noStrike" baseline="0">
                        <a:solidFill>
                          <a:srgbClr val="404040"/>
                        </a:solidFill>
                        <a:latin typeface="Times New Roman"/>
                        <a:ea typeface="宋体"/>
                        <a:cs typeface="Lucida Sans"/>
                      </a:rPr>
                      <a:t>44.88</a:t>
                    </a:r>
                    <a:r>
                      <a:rPr lang="zh-CN" sz="1000" b="0" i="0" u="none" strike="noStrike" baseline="0">
                        <a:solidFill>
                          <a:srgbClr val="404040"/>
                        </a:solidFill>
                        <a:latin typeface="Times New Roman"/>
                        <a:ea typeface="宋体"/>
                        <a:cs typeface="Lucida Sans"/>
                      </a:rPr>
                      <a:t>%</a:t>
                    </a:r>
                  </a:p>
                </c:rich>
              </c:tx>
              <c:showLegendKey val="0"/>
              <c:showVal val="1"/>
              <c:showCatName val="0"/>
              <c:showSerName val="0"/>
              <c:showPercent val="0"/>
              <c:showBubbleSize val="0"/>
              <c:separator>
</c:separator>
            </c:dLbl>
            <c:dLbl>
              <c:idx val="4"/>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inEnd"/>
              <c:tx>
                <c:rich>
                  <a:bodyPr vert="horz"/>
                  <a:lstStyle/>
                  <a:p>
                    <a:pPr>
                      <a:defRPr sz="1000" b="0" i="0" u="none" strike="noStrike" baseline="0">
                        <a:solidFill>
                          <a:srgbClr val="404040"/>
                        </a:solidFill>
                        <a:latin typeface="Times New Roman"/>
                        <a:ea typeface="宋体"/>
                        <a:cs typeface="Lucida Sans"/>
                      </a:defRPr>
                    </a:pPr>
                    <a:r>
                      <a:rPr lang="zh-CN"/>
                      <a:t>4.38%</a:t>
                    </a:r>
                  </a:p>
                </c:rich>
              </c:tx>
              <c:showLegendKey val="0"/>
              <c:showVal val="1"/>
              <c:showCatName val="0"/>
              <c:showSerName val="0"/>
              <c:showPercent val="0"/>
              <c:showBubbleSize val="0"/>
              <c:separator>
</c:separator>
            </c:dLbl>
            <c:dLblPos val="inEnd"/>
            <c:showLegendKey val="0"/>
            <c:showVal val="1"/>
            <c:showCatName val="0"/>
            <c:showSerName val="0"/>
            <c:showPercent val="0"/>
            <c:showBubbleSize val="0"/>
            <c:showLeaderLines val="1"/>
          </c:dLbls>
          <c:cat>
            <c:strRef>
              <c:f>'Sheet1 (6)'!$A$2:$A$6</c:f>
              <c:strCache>
                <c:ptCount val="5"/>
                <c:pt idx="0">
                  <c:v>一般公共服务支出</c:v>
                </c:pt>
                <c:pt idx="1">
                  <c:v>社会保障和就业支出</c:v>
                </c:pt>
                <c:pt idx="2">
                  <c:v>卫生健康支出</c:v>
                </c:pt>
                <c:pt idx="3">
                  <c:v>农林水支出</c:v>
                </c:pt>
                <c:pt idx="4">
                  <c:v>住房保障支出</c:v>
                </c:pt>
              </c:strCache>
            </c:strRef>
          </c:cat>
          <c:val>
            <c:numRef>
              <c:f>'Sheet1 (6)'!$B$2:$B$6</c:f>
              <c:numCache>
                <c:formatCode>#,##0.00</c:formatCode>
                <c:ptCount val="5"/>
                <c:pt idx="0">
                  <c:v>2292.44</c:v>
                </c:pt>
                <c:pt idx="1">
                  <c:v>579.28</c:v>
                </c:pt>
                <c:pt idx="2">
                  <c:v>193.26</c:v>
                </c:pt>
                <c:pt idx="3">
                  <c:v>2711.47</c:v>
                </c:pt>
                <c:pt idx="4">
                  <c:v>264.58</c:v>
                </c:pt>
              </c:numCache>
            </c:numRef>
          </c:val>
        </c:ser>
        <c:firstSliceAng val="0"/>
      </c:pieChart>
      <c:spPr>
        <a:noFill/>
        <a:ln>
          <a:noFill/>
        </a:ln>
      </c:spPr>
    </c:plotArea>
    <c:legend>
      <c:legendPos val="t"/>
      <c:layout>
        <c:manualLayout>
          <c:xMode val="edge"/>
          <c:yMode val="edge"/>
          <c:x val="0.07881773"/>
          <c:y val="0.10735519"/>
          <c:w val="0.8664223"/>
          <c:h val="0.056565315"/>
        </c:manualLayou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tx>
            <c:strRef>
              <c:f>'Sheet1 (7)'!$B$1</c:f>
              <c:strCache>
                <c:ptCount val="1"/>
                <c:pt idx="0">
                  <c:v>三公经费</c:v>
                </c:pt>
              </c:strCache>
            </c:strRef>
          </c:tx>
          <c:spPr>
            <a:solidFill>
              <a:srgbClr val="4F81BD"/>
            </a:solidFill>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dLbl>
              <c:idx val="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elete val="1"/>
            </c:dLbl>
            <c:dLbl>
              <c:idx val="1"/>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tx>
                <c:rich>
                  <a:bodyPr vert="horz"/>
                  <a:lstStyle/>
                  <a:p>
                    <a:pPr>
                      <a:defRPr sz="1000" b="0" i="0" u="none" strike="noStrike" baseline="0">
                        <a:solidFill>
                          <a:srgbClr val="404040"/>
                        </a:solidFill>
                        <a:latin typeface="Times New Roman"/>
                        <a:ea typeface="宋体"/>
                        <a:cs typeface="Lucida Sans"/>
                      </a:defRPr>
                    </a:pPr>
                    <a:r>
                      <a:rPr lang="zh-CN"/>
                      <a:t>100%</a:t>
                    </a:r>
                  </a:p>
                </c:rich>
              </c:tx>
              <c:showLegendKey val="0"/>
              <c:showVal val="1"/>
              <c:showCatName val="0"/>
              <c:showSerName val="0"/>
              <c:showPercent val="0"/>
              <c:showBubbleSize val="0"/>
            </c:dLbl>
            <c:dLbl>
              <c:idx val="2"/>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elete val="1"/>
            </c:dLbl>
            <c:showLegendKey val="0"/>
            <c:showVal val="0"/>
            <c:showCatName val="0"/>
            <c:showSerName val="0"/>
            <c:showPercent val="0"/>
            <c:showBubbleSize val="0"/>
            <c:showLeaderLines val="1"/>
          </c:dLbls>
          <c:cat>
            <c:strRef>
              <c:f>'Sheet1 (7)'!$A$2:$A$4</c:f>
              <c:strCache>
                <c:ptCount val="3"/>
                <c:pt idx="0">
                  <c:v>因公出国（境）费</c:v>
                </c:pt>
                <c:pt idx="1">
                  <c:v>公务用车购置及运行维护费支出决算</c:v>
                </c:pt>
                <c:pt idx="2">
                  <c:v>公务接待费支出决算</c:v>
                </c:pt>
              </c:strCache>
            </c:strRef>
          </c:cat>
          <c:val>
            <c:numRef>
              <c:f>'Sheet1 (7)'!$B$2:$B$4</c:f>
              <c:numCache>
                <c:formatCode>General</c:formatCode>
                <c:ptCount val="3"/>
                <c:pt idx="0">
                  <c:v>0.0</c:v>
                </c:pt>
                <c:pt idx="1">
                  <c:v>12.46</c:v>
                </c:pt>
                <c:pt idx="2">
                  <c:v>0.0</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29</TotalTime>
  <Application>Yozo_Office27021597764231179</Application>
  <Pages>35</Pages>
  <Words>11877</Words>
  <Characters>13055</Characters>
  <Lines>1067</Lines>
  <Paragraphs>448</Paragraphs>
  <CharactersWithSpaces>13215</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四川省决算编制说明</dc:title>
  <dc:creator>pjf</dc:creator>
  <cp:lastModifiedBy>user</cp:lastModifiedBy>
  <cp:revision>48</cp:revision>
  <cp:lastPrinted>2026-09-02T00:12:00Z</cp:lastPrinted>
  <dcterms:created xsi:type="dcterms:W3CDTF">2023-08-19T07:28:00Z</dcterms:created>
  <dcterms:modified xsi:type="dcterms:W3CDTF">2026-09-15T09:47:30Z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2052-12.1.2.24722</vt:lpwstr>
  </property>
  <property fmtid="{D5CDD505-2E9C-101B-9397-08002B2CF9AE}" pid="3" name="ICV">
    <vt:lpwstr>6390D8E38FF248FBAED4D7C328CBEB2A_13</vt:lpwstr>
  </property>
  <property fmtid="{D5CDD505-2E9C-101B-9397-08002B2CF9AE}" pid="4" name="KSOTemplateDocerSaveRecord">
    <vt:lpwstr>eyJoZGlkIjoiODIxZWIxZGQ2YTk0MTg1MDRkMzU5OGU2OGZiZWZlYzciLCJ1c2VySWQiOiI2NzM1MTg2NzMifQ==</vt:lpwstr>
  </property>
</Properties>
</file>