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rFonts w:ascii="宋体" w:eastAsia="宋体"/>
          <w:b/>
          <w:sz w:val="72"/>
          <w:szCs w:val="72"/>
        </w:rPr>
      </w:pPr>
      <w:bookmarkStart w:id="0" w:name="_Toc15377193"/>
      <w:bookmarkStart w:id="1" w:name="_Toc15377425"/>
      <w:bookmarkStart w:id="2" w:name="_Toc15378441"/>
      <w:bookmarkStart w:id="3" w:name="_Toc15396475"/>
      <w:bookmarkStart w:id="4" w:name="_Toc15396597"/>
      <w:bookmarkStart w:id="5" w:name="_Toc15306267"/>
    </w:p>
    <w:p>
      <w:pPr>
        <w:pStyle w:val="17"/>
      </w:pPr>
    </w:p>
    <w:p>
      <w:pPr>
        <w:jc w:val="center"/>
        <w:rPr>
          <w:rFonts w:ascii="宋体" w:eastAsia="宋体"/>
          <w:b/>
          <w:sz w:val="72"/>
          <w:szCs w:val="72"/>
        </w:rPr>
      </w:pPr>
      <w:r>
        <w:rPr>
          <w:rFonts w:ascii="黑体" w:eastAsia="黑体" w:cs="黑体" w:hint="eastAsia"/>
          <w:b/>
          <w:sz w:val="72"/>
          <w:szCs w:val="72"/>
        </w:rPr>
        <w:t>2022</w:t>
      </w:r>
      <w:r>
        <w:rPr>
          <w:rFonts w:ascii="黑体" w:eastAsia="黑体" w:cs="黑体" w:hint="eastAsia"/>
          <w:b/>
          <w:sz w:val="72"/>
          <w:u w:color="auto"/>
        </w:rPr>
        <w:t>年度</w:t>
      </w:r>
      <w:bookmarkEnd w:id="0"/>
      <w:bookmarkEnd w:id="1"/>
      <w:bookmarkEnd w:id="2"/>
      <w:bookmarkEnd w:id="3"/>
      <w:bookmarkEnd w:id="4"/>
    </w:p>
    <w:p>
      <w:pPr>
        <w:jc w:val="center"/>
        <w:rPr>
          <w:rFonts w:ascii="宋体" w:eastAsia="宋体" w:hint="eastAsia"/>
          <w:b/>
          <w:sz w:val="72"/>
          <w:szCs w:val="72"/>
          <w:lang w:val="en-US" w:eastAsia="zh-CN"/>
        </w:rPr>
      </w:pPr>
      <w:bookmarkStart w:id="6" w:name="_Toc15377194"/>
      <w:bookmarkStart w:id="7" w:name="_Toc15378442"/>
      <w:bookmarkStart w:id="8" w:name="_Toc15377426"/>
      <w:bookmarkStart w:id="9" w:name="_Toc15306268"/>
      <w:bookmarkStart w:id="10" w:name="_Toc15396476"/>
      <w:bookmarkStart w:id="11" w:name="_Toc15396598"/>
      <w:bookmarkEnd w:id="5"/>
      <w:r>
        <w:rPr>
          <w:rFonts w:ascii="方正小标宋简体" w:eastAsia="方正小标宋简体" w:cs="方正小标宋简体" w:hint="eastAsia"/>
          <w:b/>
          <w:sz w:val="72"/>
          <w:szCs w:val="72"/>
          <w:lang w:val="en-US" w:eastAsia="zh-CN"/>
        </w:rPr>
        <w:t>四川省</w:t>
      </w:r>
      <w:r>
        <w:rPr>
          <w:rFonts w:ascii="方正小标宋简体" w:eastAsia="方正小标宋简体" w:cs="方正小标宋简体" w:hint="eastAsia"/>
          <w:b/>
          <w:sz w:val="72"/>
          <w:szCs w:val="72"/>
        </w:rPr>
        <w:t>阿坝州茂县南新镇人民政府部门决算</w:t>
      </w:r>
      <w:bookmarkEnd w:id="6"/>
      <w:bookmarkEnd w:id="7"/>
      <w:bookmarkEnd w:id="8"/>
      <w:bookmarkEnd w:id="9"/>
      <w:bookmarkEnd w:id="10"/>
      <w:bookmarkEnd w:id="11"/>
      <w:r>
        <w:rPr>
          <w:rFonts w:ascii="方正小标宋简体" w:eastAsia="方正小标宋简体" w:cs="方正小标宋简体" w:hint="eastAsia"/>
          <w:b/>
          <w:sz w:val="72"/>
          <w:szCs w:val="72"/>
          <w:lang w:val="en-US" w:eastAsia="zh-CN"/>
        </w:rPr>
        <w:t>公开</w:t>
      </w: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tabs>
          <w:tab w:val="left" w:pos="3600"/>
        </w:tabs>
      </w:pPr>
      <w:r>
        <w:tab/>
      </w: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widowControl/>
        <w:jc w:val="center"/>
        <w:rPr>
          <w:rFonts w:ascii="黑体" w:eastAsia="黑体"/>
          <w:color w:val="000000"/>
          <w:sz w:val="36"/>
          <w:szCs w:val="36"/>
        </w:rPr>
      </w:pPr>
      <w:r>
        <w:rPr>
          <w:rFonts w:ascii="方正小标宋简体" w:eastAsia="方正小标宋简体"/>
          <w:color w:val="000000"/>
          <w:sz w:val="36"/>
          <w:szCs w:val="36"/>
        </w:rPr>
        <w:br w:type="page"/>
      </w:r>
      <w:r>
        <w:rPr>
          <w:rFonts w:ascii="黑体" w:eastAsia="黑体" w:hint="eastAsia"/>
          <w:color w:val="000000"/>
          <w:sz w:val="36"/>
          <w:szCs w:val="36"/>
        </w:rPr>
        <w:t>目</w:t>
      </w:r>
      <w:r>
        <w:rPr>
          <w:rFonts w:ascii="黑体" w:eastAsia="黑体" w:hint="eastAsia"/>
          <w:color w:val="000000"/>
          <w:sz w:val="36"/>
          <w:szCs w:val="36"/>
          <w:lang w:val="en-US" w:eastAsia="zh-CN"/>
        </w:rPr>
        <w:t xml:space="preserve">  </w:t>
      </w:r>
      <w:r>
        <w:rPr>
          <w:rFonts w:ascii="黑体" w:eastAsia="黑体" w:hint="eastAsia"/>
          <w:color w:val="000000"/>
          <w:sz w:val="36"/>
          <w:szCs w:val="36"/>
        </w:rPr>
        <w:t>录</w:t>
      </w:r>
      <w:bookmarkStart w:id="12" w:name="_Toc15377196"/>
    </w:p>
    <w:p>
      <w:pPr>
        <w:pStyle w:val="25"/>
        <w:tabs>
          <w:tab w:val="clear" w:pos="8296"/>
          <w:tab w:val="right" w:leader="dot" w:pos="8306"/>
        </w:tabs>
        <w:rPr>
          <w:rFonts w:ascii="宋体" w:eastAsia="宋体" w:cs="宋体" w:hint="eastAsia"/>
          <w:sz w:val="24"/>
          <w:szCs w:val="24"/>
        </w:rPr>
      </w:pPr>
      <w:r>
        <w:rPr>
          <w:caps w:val="0"/>
          <w:smallCaps/>
          <w:sz w:val="20"/>
          <w:szCs w:val="20"/>
        </w:rPr>
        <w:fldChar w:fldCharType="begin"/>
      </w:r>
      <w:r>
        <w:rPr>
          <w:caps w:val="0"/>
          <w:smallCaps/>
          <w:sz w:val="20"/>
          <w:szCs w:val="20"/>
        </w:rPr>
        <w:instrText xml:space="preserve"> TOC \o "1-2" \h \z \u </w:instrText>
      </w:r>
      <w:r>
        <w:rPr>
          <w:caps w:val="0"/>
          <w:smallCaps/>
          <w:sz w:val="20"/>
          <w:szCs w:val="20"/>
        </w:rPr>
        <w:fldChar w:fldCharType="separate"/>
      </w: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_Toc28280 </w:instrText>
      </w:r>
      <w:r>
        <w:rPr>
          <w:rFonts w:ascii="宋体" w:eastAsia="宋体" w:cs="宋体" w:hint="eastAsia"/>
          <w:caps w:val="0"/>
          <w:smallCaps/>
          <w:sz w:val="24"/>
          <w:szCs w:val="24"/>
        </w:rPr>
        <w:fldChar w:fldCharType="separate"/>
      </w:r>
      <w:r>
        <w:rPr>
          <w:rFonts w:ascii="宋体" w:eastAsia="宋体" w:cs="宋体" w:hint="eastAsia"/>
          <w:sz w:val="24"/>
          <w:szCs w:val="24"/>
        </w:rPr>
        <w:t xml:space="preserve">第一部分 </w:t>
      </w:r>
      <w:r>
        <w:rPr>
          <w:rFonts w:ascii="宋体" w:eastAsia="宋体" w:cs="宋体" w:hint="eastAsia"/>
          <w:bCs w:val="0"/>
          <w:sz w:val="24"/>
          <w:szCs w:val="24"/>
        </w:rPr>
        <w:t>部门概况</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_Toc28280 \h </w:instrText>
      </w:r>
      <w:r>
        <w:rPr>
          <w:rFonts w:ascii="宋体" w:eastAsia="宋体" w:cs="宋体" w:hint="eastAsia"/>
          <w:sz w:val="24"/>
          <w:szCs w:val="24"/>
        </w:rPr>
        <w:fldChar w:fldCharType="separate"/>
      </w:r>
      <w:r>
        <w:rPr>
          <w:rFonts w:ascii="宋体" w:eastAsia="宋体" w:cs="宋体" w:hint="eastAsia"/>
          <w:sz w:val="24"/>
          <w:szCs w:val="24"/>
        </w:rPr>
        <w:t>3</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_Toc29382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一、部门职责</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_Toc29382 \h </w:instrText>
      </w:r>
      <w:r>
        <w:rPr>
          <w:rFonts w:ascii="宋体" w:eastAsia="宋体" w:cs="宋体" w:hint="eastAsia"/>
          <w:sz w:val="24"/>
          <w:szCs w:val="24"/>
        </w:rPr>
        <w:fldChar w:fldCharType="separate"/>
      </w:r>
      <w:r>
        <w:rPr>
          <w:rFonts w:ascii="宋体" w:eastAsia="宋体" w:cs="宋体" w:hint="eastAsia"/>
          <w:sz w:val="24"/>
          <w:szCs w:val="24"/>
        </w:rPr>
        <w:t>3</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_Toc7982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二、机构设置</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_Toc7982 \h </w:instrText>
      </w:r>
      <w:r>
        <w:rPr>
          <w:rFonts w:ascii="宋体" w:eastAsia="宋体" w:cs="宋体" w:hint="eastAsia"/>
          <w:sz w:val="24"/>
          <w:szCs w:val="24"/>
        </w:rPr>
        <w:fldChar w:fldCharType="separate"/>
      </w:r>
      <w:r>
        <w:rPr>
          <w:rFonts w:ascii="宋体" w:eastAsia="宋体" w:cs="宋体" w:hint="eastAsia"/>
          <w:sz w:val="24"/>
          <w:szCs w:val="24"/>
        </w:rPr>
        <w:t>6</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5"/>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_Toc3119 </w:instrText>
      </w:r>
      <w:r>
        <w:rPr>
          <w:rFonts w:ascii="宋体" w:eastAsia="宋体" w:cs="宋体" w:hint="eastAsia"/>
          <w:caps w:val="0"/>
          <w:smallCaps/>
          <w:sz w:val="24"/>
          <w:szCs w:val="24"/>
        </w:rPr>
        <w:fldChar w:fldCharType="separate"/>
      </w:r>
      <w:r>
        <w:rPr>
          <w:rFonts w:ascii="宋体" w:eastAsia="宋体" w:cs="宋体" w:hint="eastAsia"/>
          <w:sz w:val="24"/>
          <w:szCs w:val="24"/>
        </w:rPr>
        <w:t>第二部分 2022</w:t>
      </w:r>
      <w:r>
        <w:rPr>
          <w:rFonts w:ascii="宋体" w:eastAsia="宋体" w:cs="宋体" w:hint="eastAsia"/>
          <w:sz w:val="24"/>
          <w:szCs w:val="24"/>
          <w:u w:color="auto"/>
        </w:rPr>
        <w:t>年度部门决算情况说明</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_Toc3119 \h </w:instrText>
      </w:r>
      <w:r>
        <w:rPr>
          <w:rFonts w:ascii="宋体" w:eastAsia="宋体" w:cs="宋体" w:hint="eastAsia"/>
          <w:sz w:val="24"/>
          <w:szCs w:val="24"/>
        </w:rPr>
        <w:fldChar w:fldCharType="separate"/>
      </w:r>
      <w:r>
        <w:rPr>
          <w:rFonts w:ascii="宋体" w:eastAsia="宋体" w:cs="宋体" w:hint="eastAsia"/>
          <w:sz w:val="24"/>
          <w:szCs w:val="24"/>
        </w:rPr>
        <w:t>7</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_Toc21486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一、收入支出决算总体情况说明</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_Toc21486 \h </w:instrText>
      </w:r>
      <w:r>
        <w:rPr>
          <w:rFonts w:ascii="宋体" w:eastAsia="宋体" w:cs="宋体" w:hint="eastAsia"/>
          <w:sz w:val="24"/>
          <w:szCs w:val="24"/>
        </w:rPr>
        <w:fldChar w:fldCharType="separate"/>
      </w:r>
      <w:r>
        <w:rPr>
          <w:rFonts w:ascii="宋体" w:eastAsia="宋体" w:cs="宋体" w:hint="eastAsia"/>
          <w:sz w:val="24"/>
          <w:szCs w:val="24"/>
        </w:rPr>
        <w:t>7</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_Toc24609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二、收入决算情况说明</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_Toc24609 \h </w:instrText>
      </w:r>
      <w:r>
        <w:rPr>
          <w:rFonts w:ascii="宋体" w:eastAsia="宋体" w:cs="宋体" w:hint="eastAsia"/>
          <w:sz w:val="24"/>
          <w:szCs w:val="24"/>
        </w:rPr>
        <w:fldChar w:fldCharType="separate"/>
      </w:r>
      <w:r>
        <w:rPr>
          <w:rFonts w:ascii="宋体" w:eastAsia="宋体" w:cs="宋体" w:hint="eastAsia"/>
          <w:sz w:val="24"/>
          <w:szCs w:val="24"/>
        </w:rPr>
        <w:t>7</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_Toc8745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三、支出决算情况说明</w:t>
      </w:r>
      <w:r>
        <w:rPr>
          <w:rFonts w:ascii="宋体" w:eastAsia="宋体" w:cs="宋体" w:hint="eastAsia"/>
          <w:sz w:val="24"/>
          <w:szCs w:val="24"/>
        </w:rPr>
        <w:tab/>
      </w:r>
      <w:r>
        <w:rPr>
          <w:rFonts w:ascii="宋体" w:eastAsia="宋体" w:cs="宋体" w:hint="eastAsia"/>
          <w:sz w:val="24"/>
          <w:szCs w:val="24"/>
          <w:lang w:val="en-US" w:eastAsia="zh-CN"/>
        </w:rPr>
        <w:t>8</w:t>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_Toc13661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四、财政拨款收入支出决算总体情况说明</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_Toc13661 \h </w:instrText>
      </w:r>
      <w:r>
        <w:rPr>
          <w:rFonts w:ascii="宋体" w:eastAsia="宋体" w:cs="宋体" w:hint="eastAsia"/>
          <w:sz w:val="24"/>
          <w:szCs w:val="24"/>
        </w:rPr>
        <w:fldChar w:fldCharType="separate"/>
      </w:r>
      <w:r>
        <w:rPr>
          <w:rFonts w:ascii="宋体" w:eastAsia="宋体" w:cs="宋体" w:hint="eastAsia"/>
          <w:sz w:val="24"/>
          <w:szCs w:val="24"/>
        </w:rPr>
        <w:t>9</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_Toc2126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五、一般公共预算财政拨款支出决算情况说明</w:t>
      </w:r>
      <w:r>
        <w:rPr>
          <w:rFonts w:ascii="宋体" w:eastAsia="宋体" w:cs="宋体" w:hint="eastAsia"/>
          <w:sz w:val="24"/>
          <w:szCs w:val="24"/>
        </w:rPr>
        <w:tab/>
      </w:r>
      <w:r>
        <w:rPr>
          <w:rFonts w:ascii="宋体" w:eastAsia="宋体" w:cs="宋体" w:hint="eastAsia"/>
          <w:sz w:val="24"/>
          <w:szCs w:val="24"/>
          <w:lang w:val="en-US" w:eastAsia="zh-CN"/>
        </w:rPr>
        <w:t>9</w:t>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_Toc24703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六、一般公共预算财政拨款基本支出决算情况说明</w:t>
      </w:r>
      <w:r>
        <w:rPr>
          <w:rFonts w:ascii="宋体" w:eastAsia="宋体" w:cs="宋体" w:hint="eastAsia"/>
          <w:sz w:val="24"/>
          <w:szCs w:val="24"/>
        </w:rPr>
        <w:tab/>
      </w:r>
      <w:r>
        <w:rPr>
          <w:rFonts w:ascii="宋体" w:eastAsia="宋体" w:cs="宋体" w:hint="eastAsia"/>
          <w:sz w:val="24"/>
          <w:szCs w:val="24"/>
          <w:lang w:val="en-US" w:eastAsia="zh-CN"/>
        </w:rPr>
        <w:t>1</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3</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_Toc16585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七、“三公”经费财政拨款支出决算情况说明</w:t>
      </w:r>
      <w:r>
        <w:rPr>
          <w:rFonts w:ascii="宋体" w:eastAsia="宋体" w:cs="宋体" w:hint="eastAsia"/>
          <w:sz w:val="24"/>
          <w:szCs w:val="24"/>
        </w:rPr>
        <w:tab/>
      </w:r>
      <w:r>
        <w:rPr>
          <w:rFonts w:ascii="宋体" w:eastAsia="宋体" w:cs="宋体" w:hint="eastAsia"/>
          <w:sz w:val="24"/>
          <w:szCs w:val="24"/>
          <w:lang w:val="en-US" w:eastAsia="zh-CN"/>
        </w:rPr>
        <w:t>1</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4</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_Toc4484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八、政府性基金预算支出决算情况说明</w:t>
      </w:r>
      <w:r>
        <w:rPr>
          <w:rFonts w:ascii="宋体" w:eastAsia="宋体" w:cs="宋体" w:hint="eastAsia"/>
          <w:sz w:val="24"/>
          <w:szCs w:val="24"/>
        </w:rPr>
        <w:tab/>
      </w:r>
      <w:r>
        <w:rPr>
          <w:rFonts w:ascii="宋体" w:eastAsia="宋体" w:cs="宋体" w:hint="eastAsia"/>
          <w:sz w:val="24"/>
          <w:szCs w:val="24"/>
          <w:lang w:val="en-US" w:eastAsia="zh-CN"/>
        </w:rPr>
        <w:t>1</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5</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_Toc1532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九、国有资本经营预算支出决算情况说明</w:t>
      </w:r>
      <w:r>
        <w:rPr>
          <w:rFonts w:ascii="宋体" w:eastAsia="宋体" w:cs="宋体" w:hint="eastAsia"/>
          <w:sz w:val="24"/>
          <w:szCs w:val="24"/>
        </w:rPr>
        <w:tab/>
      </w:r>
      <w:r>
        <w:rPr>
          <w:rFonts w:ascii="宋体" w:eastAsia="宋体" w:cs="宋体" w:hint="eastAsia"/>
          <w:sz w:val="24"/>
          <w:szCs w:val="24"/>
          <w:lang w:val="en-US" w:eastAsia="zh-CN"/>
        </w:rPr>
        <w:t>1</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5</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_Toc587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十、其他重要事项的情况说明</w:t>
      </w:r>
      <w:r>
        <w:rPr>
          <w:rFonts w:ascii="宋体" w:eastAsia="宋体" w:cs="宋体" w:hint="eastAsia"/>
          <w:sz w:val="24"/>
          <w:szCs w:val="24"/>
        </w:rPr>
        <w:tab/>
      </w:r>
      <w:r>
        <w:rPr>
          <w:rFonts w:ascii="宋体" w:eastAsia="宋体" w:cs="宋体" w:hint="eastAsia"/>
          <w:sz w:val="24"/>
          <w:szCs w:val="24"/>
          <w:lang w:val="en-US" w:eastAsia="zh-CN"/>
        </w:rPr>
        <w:t>1</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6</w:t>
      </w:r>
    </w:p>
    <w:p>
      <w:pPr>
        <w:pStyle w:val="25"/>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_Toc5924 </w:instrText>
      </w:r>
      <w:r>
        <w:rPr>
          <w:rFonts w:ascii="宋体" w:eastAsia="宋体" w:cs="宋体" w:hint="eastAsia"/>
          <w:caps w:val="0"/>
          <w:smallCaps/>
          <w:sz w:val="24"/>
          <w:szCs w:val="24"/>
        </w:rPr>
        <w:fldChar w:fldCharType="separate"/>
      </w:r>
      <w:r>
        <w:rPr>
          <w:rFonts w:ascii="宋体" w:eastAsia="宋体" w:cs="宋体" w:hint="eastAsia"/>
          <w:sz w:val="24"/>
          <w:szCs w:val="24"/>
        </w:rPr>
        <w:t>第三部分 名词解释</w:t>
        <w:tab/>
      </w:r>
      <w:r>
        <w:rPr>
          <w:rFonts w:ascii="宋体" w:eastAsia="宋体" w:cs="宋体" w:hint="eastAsia"/>
          <w:sz w:val="24"/>
          <w:szCs w:val="24"/>
          <w:lang w:val="en-US" w:eastAsia="zh-CN"/>
        </w:rPr>
        <w:t>1</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9</w:t>
      </w:r>
    </w:p>
    <w:p>
      <w:pPr>
        <w:pStyle w:val="25"/>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_Toc13946 </w:instrText>
      </w:r>
      <w:r>
        <w:rPr>
          <w:rFonts w:ascii="宋体" w:eastAsia="宋体" w:cs="宋体" w:hint="eastAsia"/>
          <w:caps w:val="0"/>
          <w:smallCaps/>
          <w:sz w:val="24"/>
          <w:szCs w:val="24"/>
        </w:rPr>
        <w:fldChar w:fldCharType="separate"/>
      </w:r>
      <w:r>
        <w:rPr>
          <w:rFonts w:ascii="宋体" w:eastAsia="宋体" w:cs="宋体" w:hint="eastAsia"/>
          <w:sz w:val="24"/>
          <w:szCs w:val="24"/>
        </w:rPr>
        <w:t>第四部分 附件</w:t>
        <w:tab/>
      </w:r>
      <w:r>
        <w:rPr>
          <w:rFonts w:ascii="宋体" w:eastAsia="宋体" w:cs="宋体" w:hint="eastAsia"/>
          <w:sz w:val="24"/>
          <w:szCs w:val="24"/>
          <w:lang w:val="en-US" w:eastAsia="zh-CN"/>
        </w:rPr>
        <w:t>2</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4</w:t>
      </w:r>
    </w:p>
    <w:p>
      <w:pPr>
        <w:pStyle w:val="25"/>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_Toc3397 </w:instrText>
      </w:r>
      <w:r>
        <w:rPr>
          <w:rFonts w:ascii="宋体" w:eastAsia="宋体" w:cs="宋体" w:hint="eastAsia"/>
          <w:caps w:val="0"/>
          <w:smallCaps/>
          <w:sz w:val="24"/>
          <w:szCs w:val="24"/>
        </w:rPr>
        <w:fldChar w:fldCharType="separate"/>
      </w:r>
      <w:r>
        <w:rPr>
          <w:rFonts w:ascii="宋体" w:eastAsia="宋体" w:cs="宋体" w:hint="eastAsia"/>
          <w:sz w:val="24"/>
          <w:szCs w:val="24"/>
        </w:rPr>
        <w:t>第五部分 附表</w:t>
        <w:tab/>
      </w:r>
      <w:r>
        <w:rPr>
          <w:rFonts w:ascii="宋体" w:eastAsia="宋体" w:cs="宋体" w:hint="eastAsia"/>
          <w:sz w:val="24"/>
          <w:szCs w:val="24"/>
          <w:lang w:val="en-US" w:eastAsia="zh-CN"/>
        </w:rPr>
        <w:t>4</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6</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_Toc16172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一、收入支出决算总表</w:t>
      </w:r>
      <w:r>
        <w:rPr>
          <w:rFonts w:ascii="宋体" w:eastAsia="宋体" w:cs="宋体" w:hint="eastAsia"/>
          <w:sz w:val="24"/>
          <w:szCs w:val="24"/>
        </w:rPr>
        <w:tab/>
      </w:r>
      <w:r>
        <w:rPr>
          <w:rFonts w:ascii="宋体" w:eastAsia="宋体" w:cs="宋体" w:hint="eastAsia"/>
          <w:sz w:val="24"/>
          <w:szCs w:val="24"/>
          <w:lang w:val="en-US" w:eastAsia="zh-CN"/>
        </w:rPr>
        <w:t>4</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6</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_Toc18577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二、收入决算表</w:t>
      </w:r>
      <w:r>
        <w:rPr>
          <w:rFonts w:ascii="宋体" w:eastAsia="宋体" w:cs="宋体" w:hint="eastAsia"/>
          <w:sz w:val="24"/>
          <w:szCs w:val="24"/>
        </w:rPr>
        <w:tab/>
      </w:r>
      <w:r>
        <w:rPr>
          <w:rFonts w:ascii="宋体" w:eastAsia="宋体" w:cs="宋体" w:hint="eastAsia"/>
          <w:sz w:val="24"/>
          <w:szCs w:val="24"/>
          <w:lang w:val="en-US" w:eastAsia="zh-CN"/>
        </w:rPr>
        <w:t>4</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6</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_Toc18759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三、支出决算表</w:t>
      </w:r>
      <w:r>
        <w:rPr>
          <w:rFonts w:ascii="宋体" w:eastAsia="宋体" w:cs="宋体" w:hint="eastAsia"/>
          <w:sz w:val="24"/>
          <w:szCs w:val="24"/>
        </w:rPr>
        <w:tab/>
      </w:r>
      <w:r>
        <w:rPr>
          <w:rFonts w:ascii="宋体" w:eastAsia="宋体" w:cs="宋体" w:hint="eastAsia"/>
          <w:sz w:val="24"/>
          <w:szCs w:val="24"/>
          <w:lang w:val="en-US" w:eastAsia="zh-CN"/>
        </w:rPr>
        <w:t>4</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6</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_Toc16869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四、财政拨款收入支出决算总表</w:t>
      </w:r>
      <w:r>
        <w:rPr>
          <w:rFonts w:ascii="宋体" w:eastAsia="宋体" w:cs="宋体" w:hint="eastAsia"/>
          <w:sz w:val="24"/>
          <w:szCs w:val="24"/>
        </w:rPr>
        <w:tab/>
      </w:r>
      <w:r>
        <w:rPr>
          <w:rFonts w:ascii="宋体" w:eastAsia="宋体" w:cs="宋体" w:hint="eastAsia"/>
          <w:sz w:val="24"/>
          <w:szCs w:val="24"/>
          <w:lang w:val="en-US" w:eastAsia="zh-CN"/>
        </w:rPr>
        <w:t>4</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6</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_Toc13179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五、财政拨款支出决算明细表</w:t>
      </w:r>
      <w:r>
        <w:rPr>
          <w:rFonts w:ascii="宋体" w:eastAsia="宋体" w:cs="宋体" w:hint="eastAsia"/>
          <w:sz w:val="24"/>
          <w:szCs w:val="24"/>
        </w:rPr>
        <w:tab/>
      </w:r>
      <w:r>
        <w:rPr>
          <w:rFonts w:ascii="宋体" w:eastAsia="宋体" w:cs="宋体" w:hint="eastAsia"/>
          <w:sz w:val="24"/>
          <w:szCs w:val="24"/>
          <w:lang w:val="en-US" w:eastAsia="zh-CN"/>
        </w:rPr>
        <w:t>4</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6</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_Toc10578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六、一般公共预算财政拨款支出决算表</w:t>
      </w:r>
      <w:r>
        <w:rPr>
          <w:rFonts w:ascii="宋体" w:eastAsia="宋体" w:cs="宋体" w:hint="eastAsia"/>
          <w:sz w:val="24"/>
          <w:szCs w:val="24"/>
        </w:rPr>
        <w:tab/>
      </w:r>
      <w:r>
        <w:rPr>
          <w:rFonts w:ascii="宋体" w:eastAsia="宋体" w:cs="宋体" w:hint="eastAsia"/>
          <w:sz w:val="24"/>
          <w:szCs w:val="24"/>
          <w:lang w:val="en-US" w:eastAsia="zh-CN"/>
        </w:rPr>
        <w:t>4</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6</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_Toc4404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七、一般公共预算财政拨款支出决算明细表</w:t>
      </w:r>
      <w:r>
        <w:rPr>
          <w:rFonts w:ascii="宋体" w:eastAsia="宋体" w:cs="宋体" w:hint="eastAsia"/>
          <w:sz w:val="24"/>
          <w:szCs w:val="24"/>
        </w:rPr>
        <w:tab/>
      </w:r>
      <w:r>
        <w:rPr>
          <w:rFonts w:ascii="宋体" w:eastAsia="宋体" w:cs="宋体" w:hint="eastAsia"/>
          <w:sz w:val="24"/>
          <w:szCs w:val="24"/>
          <w:lang w:val="en-US" w:eastAsia="zh-CN"/>
        </w:rPr>
        <w:t>4</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6</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_Toc16845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八、一般公共预算财政拨款基本支出决算表</w:t>
      </w:r>
      <w:r>
        <w:rPr>
          <w:rFonts w:ascii="宋体" w:eastAsia="宋体" w:cs="宋体" w:hint="eastAsia"/>
          <w:sz w:val="24"/>
          <w:szCs w:val="24"/>
        </w:rPr>
        <w:tab/>
      </w:r>
      <w:r>
        <w:rPr>
          <w:rFonts w:ascii="宋体" w:eastAsia="宋体" w:cs="宋体" w:hint="eastAsia"/>
          <w:sz w:val="24"/>
          <w:szCs w:val="24"/>
          <w:lang w:val="en-US" w:eastAsia="zh-CN"/>
        </w:rPr>
        <w:t>4</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6</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_Toc27130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九、一般公共预算财政拨款项目支出决算表</w:t>
      </w:r>
      <w:r>
        <w:rPr>
          <w:rFonts w:ascii="宋体" w:eastAsia="宋体" w:cs="宋体" w:hint="eastAsia"/>
          <w:sz w:val="24"/>
          <w:szCs w:val="24"/>
        </w:rPr>
        <w:tab/>
      </w:r>
      <w:r>
        <w:rPr>
          <w:rFonts w:ascii="宋体" w:eastAsia="宋体" w:cs="宋体" w:hint="eastAsia"/>
          <w:sz w:val="24"/>
          <w:szCs w:val="24"/>
          <w:lang w:val="en-US" w:eastAsia="zh-CN"/>
        </w:rPr>
        <w:t>4</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6</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_Toc11127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十、一般公共预算财政拨款“三公”经费支出决算表</w:t>
      </w:r>
      <w:r>
        <w:rPr>
          <w:rFonts w:ascii="宋体" w:eastAsia="宋体" w:cs="宋体" w:hint="eastAsia"/>
          <w:sz w:val="24"/>
          <w:szCs w:val="24"/>
        </w:rPr>
        <w:tab/>
      </w:r>
      <w:r>
        <w:rPr>
          <w:rFonts w:ascii="宋体" w:eastAsia="宋体" w:cs="宋体" w:hint="eastAsia"/>
          <w:sz w:val="24"/>
          <w:szCs w:val="24"/>
          <w:lang w:val="en-US" w:eastAsia="zh-CN"/>
        </w:rPr>
        <w:t>4</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6</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_Toc16676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十一、政府性基金预算财政拨款收入支出决算表</w:t>
      </w:r>
      <w:r>
        <w:rPr>
          <w:rFonts w:ascii="宋体" w:eastAsia="宋体" w:cs="宋体" w:hint="eastAsia"/>
          <w:sz w:val="24"/>
          <w:szCs w:val="24"/>
        </w:rPr>
        <w:tab/>
      </w:r>
      <w:r>
        <w:rPr>
          <w:rFonts w:ascii="宋体" w:eastAsia="宋体" w:cs="宋体" w:hint="eastAsia"/>
          <w:sz w:val="24"/>
          <w:szCs w:val="24"/>
          <w:lang w:val="en-US" w:eastAsia="zh-CN"/>
        </w:rPr>
        <w:t>4</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6</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_Toc6435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十二、政府性基金预算财政拨款“三公”经费支出决算表</w:t>
      </w:r>
      <w:r>
        <w:rPr>
          <w:rFonts w:ascii="宋体" w:eastAsia="宋体" w:cs="宋体" w:hint="eastAsia"/>
          <w:sz w:val="24"/>
          <w:szCs w:val="24"/>
        </w:rPr>
        <w:tab/>
      </w:r>
      <w:r>
        <w:rPr>
          <w:rFonts w:ascii="宋体" w:eastAsia="宋体" w:cs="宋体" w:hint="eastAsia"/>
          <w:sz w:val="24"/>
          <w:szCs w:val="24"/>
          <w:lang w:val="en-US" w:eastAsia="zh-CN"/>
        </w:rPr>
        <w:t>4</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6</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_Toc4035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十三、国有资本经营预算财政拨款收入支出决算表</w:t>
      </w:r>
      <w:r>
        <w:rPr>
          <w:rFonts w:ascii="宋体" w:eastAsia="宋体" w:cs="宋体" w:hint="eastAsia"/>
          <w:sz w:val="24"/>
          <w:szCs w:val="24"/>
        </w:rPr>
        <w:tab/>
      </w:r>
      <w:r>
        <w:rPr>
          <w:rFonts w:ascii="宋体" w:eastAsia="宋体" w:cs="宋体" w:hint="eastAsia"/>
          <w:sz w:val="24"/>
          <w:szCs w:val="24"/>
          <w:lang w:val="en-US" w:eastAsia="zh-CN"/>
        </w:rPr>
        <w:t>4</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6</w:t>
      </w:r>
    </w:p>
    <w:p>
      <w:pPr>
        <w:pStyle w:val="27"/>
        <w:tabs>
          <w:tab w:val="clear" w:pos="8296"/>
          <w:tab w:val="right" w:leader="dot" w:pos="8306"/>
        </w:tabs>
        <w:rPr>
          <w:rFonts w:eastAsia="宋体" w:hint="eastAsia"/>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_Toc4862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十四、国有资本经营预算财政拨款支出决算表</w:t>
      </w:r>
      <w:r>
        <w:rPr>
          <w:rFonts w:ascii="宋体" w:eastAsia="宋体" w:cs="宋体" w:hint="eastAsia"/>
          <w:sz w:val="24"/>
          <w:szCs w:val="24"/>
        </w:rPr>
        <w:tab/>
      </w:r>
      <w:r>
        <w:rPr>
          <w:rFonts w:ascii="宋体" w:eastAsia="宋体" w:cs="宋体" w:hint="eastAsia"/>
          <w:sz w:val="24"/>
          <w:szCs w:val="24"/>
          <w:lang w:val="en-US" w:eastAsia="zh-CN"/>
        </w:rPr>
        <w:t>4</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6</w:t>
      </w:r>
    </w:p>
    <w:p>
      <w:pPr>
        <w:pStyle w:val="17"/>
        <w:rPr>
          <w:caps w:val="0"/>
          <w:smallCaps/>
          <w:szCs w:val="20"/>
        </w:rPr>
      </w:pPr>
      <w:r>
        <w:rPr>
          <w:caps w:val="0"/>
          <w:smallCaps/>
          <w:szCs w:val="20"/>
        </w:rPr>
        <w:fldChar w:fldCharType="end"/>
      </w:r>
    </w:p>
    <w:p>
      <w:pPr>
        <w:pStyle w:val="17"/>
        <w:rPr>
          <w:caps w:val="0"/>
          <w:smallCaps/>
          <w:szCs w:val="20"/>
        </w:rPr>
      </w:pPr>
    </w:p>
    <w:p>
      <w:pPr>
        <w:pStyle w:val="1"/>
        <w:numPr>
          <w:ilvl w:val="0"/>
          <w:numId w:val="1"/>
        </w:numPr>
        <w:jc w:val="center"/>
        <w:rPr>
          <w:rStyle w:val="1Char"/>
          <w:rFonts w:ascii="黑体" w:eastAsia="黑体" w:cs="黑体" w:hint="eastAsia"/>
          <w:b w:val="0"/>
          <w:bCs/>
        </w:rPr>
      </w:pPr>
      <w:bookmarkStart w:id="13" w:name="_Toc111208495"/>
      <w:bookmarkStart w:id="14" w:name="_Toc28280"/>
      <w:r>
        <w:rPr>
          <w:rStyle w:val="1Char"/>
          <w:rFonts w:ascii="黑体" w:eastAsia="黑体" w:cs="黑体" w:hint="eastAsia"/>
          <w:b w:val="0"/>
          <w:bCs/>
        </w:rPr>
        <w:t>部门概况</w:t>
      </w:r>
      <w:bookmarkEnd w:id="12"/>
      <w:bookmarkEnd w:id="13"/>
      <w:bookmarkEnd w:id="14"/>
    </w:p>
    <w:p>
      <w:pPr>
        <w:pStyle w:val="2"/>
        <w:ind w:firstLineChars="200" w:firstLine="640"/>
        <w:rPr>
          <w:rFonts w:ascii="黑体" w:eastAsia="黑体" w:cs="Times New Roman"/>
          <w:b w:val="0"/>
          <w:bCs/>
          <w:color w:val="000000"/>
          <w:lang w:val="en-US" w:eastAsia="zh-CN"/>
        </w:rPr>
      </w:pPr>
      <w:bookmarkStart w:id="15" w:name="_Toc15377197"/>
      <w:bookmarkStart w:id="16" w:name="_Toc29382"/>
      <w:bookmarkStart w:id="17" w:name="_Toc111208496"/>
      <w:r>
        <w:rPr>
          <w:rFonts w:ascii="黑体" w:eastAsia="黑体" w:cs="Times New Roman" w:hint="eastAsia"/>
          <w:b w:val="0"/>
          <w:bCs/>
          <w:color w:val="000000"/>
        </w:rPr>
        <w:t>一、</w:t>
      </w:r>
      <w:bookmarkStart w:id="18" w:name="_Toc15378445"/>
      <w:bookmarkStart w:id="19" w:name="_Toc15377198"/>
      <w:bookmarkEnd w:id="15"/>
      <w:bookmarkEnd w:id="16"/>
      <w:bookmarkEnd w:id="17"/>
      <w:r>
        <w:rPr>
          <w:rFonts w:ascii="黑体" w:eastAsia="黑体" w:cs="Times New Roman" w:hint="eastAsia"/>
          <w:b w:val="0"/>
          <w:bCs/>
          <w:color w:val="000000"/>
          <w:lang w:val="en-US" w:eastAsia="zh-CN"/>
        </w:rPr>
        <w:t>基本职能及主要工作</w:t>
      </w:r>
    </w:p>
    <w:p>
      <w:pPr>
        <w:keepNext w:val="0"/>
        <w:keepLines w:val="0"/>
        <w:pageBreakBefore w:val="0"/>
        <w:widowControl w:val="0"/>
        <w:tabs>
          <w:tab w:val="center" w:pos="4153"/>
        </w:tabs>
        <w:kinsoku/>
        <w:wordWrap/>
        <w:overflowPunct/>
        <w:topLinePunct w:val="0"/>
        <w:autoSpaceDE/>
        <w:autoSpaceDN/>
        <w:bidi w:val="0"/>
        <w:spacing w:line="576" w:lineRule="exact"/>
        <w:ind w:leftChars="152" w:left="639" w:hangingChars="100" w:hanging="320"/>
        <w:jc w:val="left"/>
        <w:textAlignment w:val="auto"/>
        <w:rPr>
          <w:rFonts w:ascii="仿宋" w:eastAsia="仿宋" w:cs="仿宋" w:hint="eastAsia"/>
          <w:sz w:val="32"/>
          <w:szCs w:val="32"/>
          <w:lang w:eastAsia="zh-CN"/>
        </w:rPr>
      </w:pPr>
      <w:bookmarkEnd w:id="18"/>
      <w:bookmarkEnd w:id="19"/>
      <w:r>
        <w:rPr>
          <w:rFonts w:ascii="仿宋" w:eastAsia="仿宋" w:cs="仿宋" w:hint="eastAsia"/>
          <w:sz w:val="32"/>
          <w:szCs w:val="32"/>
          <w:lang w:eastAsia="zh-CN"/>
        </w:rPr>
        <w:t>（</w:t>
      </w:r>
      <w:r>
        <w:rPr>
          <w:rFonts w:ascii="仿宋" w:eastAsia="仿宋" w:cs="仿宋" w:hint="eastAsia"/>
          <w:sz w:val="32"/>
          <w:szCs w:val="32"/>
          <w:lang w:val="en-US" w:eastAsia="zh-CN"/>
        </w:rPr>
        <w:t>一</w:t>
      </w:r>
      <w:r>
        <w:rPr>
          <w:rFonts w:ascii="仿宋" w:eastAsia="仿宋" w:cs="仿宋" w:hint="eastAsia"/>
          <w:sz w:val="32"/>
          <w:szCs w:val="32"/>
          <w:lang w:eastAsia="zh-CN"/>
        </w:rPr>
        <w:t>）部门职责</w:t>
      </w:r>
    </w:p>
    <w:p>
      <w:pPr>
        <w:keepNext w:val="0"/>
        <w:keepLines w:val="0"/>
        <w:pageBreakBefore w:val="0"/>
        <w:widowControl w:val="0"/>
        <w:tabs>
          <w:tab w:val="center" w:pos="4153"/>
        </w:tabs>
        <w:kinsoku/>
        <w:wordWrap/>
        <w:overflowPunct/>
        <w:topLinePunct w:val="0"/>
        <w:autoSpaceDE/>
        <w:autoSpaceDN/>
        <w:bidi w:val="0"/>
        <w:spacing w:line="576" w:lineRule="exact"/>
        <w:ind w:firstLineChars="200" w:firstLine="640"/>
        <w:jc w:val="left"/>
        <w:textAlignment w:val="auto"/>
        <w:rPr>
          <w:rFonts w:ascii="仿宋_GB2312" w:eastAsia="仿宋_GB2312" w:cs="仿宋_GB2312" w:hint="eastAsia"/>
          <w:color w:val="auto"/>
          <w:sz w:val="32"/>
          <w:szCs w:val="32"/>
        </w:rPr>
      </w:pPr>
      <w:r>
        <w:rPr>
          <w:rFonts w:ascii="仿宋_GB2312" w:eastAsia="仿宋_GB2312" w:cs="仿宋_GB2312" w:hint="eastAsia"/>
          <w:color w:val="auto"/>
          <w:sz w:val="32"/>
          <w:szCs w:val="32"/>
        </w:rPr>
        <w:t>1.贯彻执行党和国家的路线方针政策和上级党委、政府各项决策部署，以及本级党员代表大会（党员大会）人民代表大会的决议决定。</w:t>
        <w:cr/>
      </w:r>
      <w:r>
        <w:rPr>
          <w:rFonts w:ascii="仿宋_GB2312" w:eastAsia="仿宋_GB2312" w:cs="仿宋_GB2312" w:hint="eastAsia"/>
          <w:color w:val="auto"/>
          <w:sz w:val="32"/>
          <w:szCs w:val="32"/>
          <w:lang w:val="en-US" w:eastAsia="zh-CN"/>
        </w:rPr>
        <w:t xml:space="preserve">   </w:t>
      </w:r>
      <w:r>
        <w:rPr>
          <w:rFonts w:ascii="仿宋_GB2312" w:eastAsia="仿宋_GB2312" w:cs="仿宋_GB2312" w:hint="eastAsia"/>
          <w:color w:val="auto"/>
          <w:sz w:val="32"/>
          <w:szCs w:val="32"/>
        </w:rPr>
        <w:t>2.讨论和决定本镇经济建设、政治建设、文化建设、社会建设、生态文明建设和党的建设以及乡村振兴中的重大问题。需由镇政权机关或者集体经济组织决定的重要事项，经镇党委研究讨论后，由镇政权机关或者集体经济组织依照法律和有关规定作出决定。</w:t>
        <w:cr/>
      </w:r>
      <w:r>
        <w:rPr>
          <w:rFonts w:ascii="仿宋_GB2312" w:eastAsia="仿宋_GB2312" w:cs="仿宋_GB2312" w:hint="eastAsia"/>
          <w:color w:val="auto"/>
          <w:sz w:val="32"/>
          <w:szCs w:val="32"/>
          <w:lang w:val="en-US" w:eastAsia="zh-CN"/>
        </w:rPr>
        <w:t xml:space="preserve">   </w:t>
      </w:r>
      <w:r>
        <w:rPr>
          <w:rFonts w:ascii="仿宋_GB2312" w:eastAsia="仿宋_GB2312" w:cs="仿宋_GB2312" w:hint="eastAsia"/>
          <w:color w:val="auto"/>
          <w:sz w:val="32"/>
          <w:szCs w:val="32"/>
        </w:rPr>
        <w:t>3.领导镇政权机关、群团组织和其他各类组织，加强指导和规范，支持和保证这些机关和组织依照国家法律法规以及各自章程履行职责。</w:t>
        <w:cr/>
      </w:r>
      <w:r>
        <w:rPr>
          <w:rFonts w:ascii="仿宋_GB2312" w:eastAsia="仿宋_GB2312" w:cs="仿宋_GB2312" w:hint="eastAsia"/>
          <w:color w:val="auto"/>
          <w:sz w:val="32"/>
          <w:szCs w:val="32"/>
          <w:lang w:val="en-US" w:eastAsia="zh-CN"/>
        </w:rPr>
        <w:t xml:space="preserve">   </w:t>
      </w:r>
      <w:r>
        <w:rPr>
          <w:rFonts w:ascii="仿宋_GB2312" w:eastAsia="仿宋_GB2312" w:cs="仿宋_GB2312" w:hint="eastAsia"/>
          <w:color w:val="auto"/>
          <w:sz w:val="32"/>
          <w:szCs w:val="32"/>
        </w:rPr>
        <w:t>4.加强党的建设。坚持全面从严治党，落实管党治党主体责任，全面加强党的政治建设、思想建设、组织建设、作风建设、纪律建设、制度建设等工作。不断强化自身建设和村党组织建设，以及其他隶属镇党委的党组织建设，抓好发展党员工作，加强党员队伍建设。维护和执行党的纪律，监督党员干部和其他工作人员严格遵守国家法律法规。</w:t>
        <w:cr/>
      </w:r>
      <w:r>
        <w:rPr>
          <w:rFonts w:ascii="仿宋_GB2312" w:eastAsia="仿宋_GB2312" w:cs="仿宋_GB2312" w:hint="eastAsia"/>
          <w:color w:val="auto"/>
          <w:sz w:val="32"/>
          <w:szCs w:val="32"/>
          <w:lang w:val="en-US" w:eastAsia="zh-CN"/>
        </w:rPr>
        <w:t xml:space="preserve">    </w:t>
      </w:r>
      <w:r>
        <w:rPr>
          <w:rFonts w:ascii="仿宋_GB2312" w:eastAsia="仿宋_GB2312" w:cs="仿宋_GB2312" w:hint="eastAsia"/>
          <w:color w:val="auto"/>
          <w:sz w:val="32"/>
          <w:szCs w:val="32"/>
        </w:rPr>
        <w:t>5.按照干部管理权限，负责对干部的教育、培训、选拔、考核和监督工作。协助管理上级有关部门驻镇单位的干部。做好人才服务和引进工作。</w:t>
        <w:cr/>
      </w:r>
      <w:r>
        <w:rPr>
          <w:rFonts w:ascii="仿宋_GB2312" w:eastAsia="仿宋_GB2312" w:cs="仿宋_GB2312" w:hint="eastAsia"/>
          <w:color w:val="auto"/>
          <w:sz w:val="32"/>
          <w:szCs w:val="32"/>
          <w:lang w:val="en-US" w:eastAsia="zh-CN"/>
        </w:rPr>
        <w:t xml:space="preserve">    </w:t>
      </w:r>
      <w:r>
        <w:rPr>
          <w:rFonts w:ascii="仿宋_GB2312" w:eastAsia="仿宋_GB2312" w:cs="仿宋_GB2312" w:hint="eastAsia"/>
          <w:color w:val="auto"/>
          <w:sz w:val="32"/>
          <w:szCs w:val="32"/>
        </w:rPr>
        <w:t>6.统筹区域发展。落实关于辖区发展的重大决策，制定辖区经济和社会发展规划、公共服务设施布局;负责乡村振兴工作，做好民生保障、扶贫开发、民族宗教等工作，推动辖区经济社会健康、有序、可持续发展。</w:t>
        <w:cr/>
      </w:r>
      <w:r>
        <w:rPr>
          <w:rFonts w:ascii="仿宋_GB2312" w:eastAsia="仿宋_GB2312" w:cs="仿宋_GB2312" w:hint="eastAsia"/>
          <w:color w:val="auto"/>
          <w:sz w:val="32"/>
          <w:szCs w:val="32"/>
          <w:lang w:val="en-US" w:eastAsia="zh-CN"/>
        </w:rPr>
        <w:t xml:space="preserve">    </w:t>
      </w:r>
      <w:r>
        <w:rPr>
          <w:rFonts w:ascii="仿宋_GB2312" w:eastAsia="仿宋_GB2312" w:cs="仿宋_GB2312" w:hint="eastAsia"/>
          <w:color w:val="auto"/>
          <w:sz w:val="32"/>
          <w:szCs w:val="32"/>
        </w:rPr>
        <w:t>7.强化基层治理。负责本辖区社会治理，加强社会主义民主法治建设和精神文明建设，加快推进基层社会治理体系和治理能力现代化;指导村委会建设，健全自治平台，组织群众和单位参与村委会建设和管理。负责统筹协调辖区内依法授权或委托授权的行政执法工作。</w:t>
        <w:cr/>
      </w:r>
      <w:r>
        <w:rPr>
          <w:rFonts w:ascii="仿宋_GB2312" w:eastAsia="仿宋_GB2312" w:cs="仿宋_GB2312" w:hint="eastAsia"/>
          <w:color w:val="auto"/>
          <w:sz w:val="32"/>
          <w:szCs w:val="32"/>
          <w:lang w:val="en-US" w:eastAsia="zh-CN"/>
        </w:rPr>
        <w:t xml:space="preserve">    </w:t>
      </w:r>
      <w:r>
        <w:rPr>
          <w:rFonts w:ascii="仿宋_GB2312" w:eastAsia="仿宋_GB2312" w:cs="仿宋_GB2312" w:hint="eastAsia"/>
          <w:color w:val="auto"/>
          <w:sz w:val="32"/>
          <w:szCs w:val="32"/>
        </w:rPr>
        <w:t>8.优化公共服务。推进服务型政府建设，组织实施并优化教育、卫生健康、文化、民政、社会保障、退役军人事务等各项公共服务。</w:t>
        <w:cr/>
      </w:r>
      <w:r>
        <w:rPr>
          <w:rFonts w:ascii="仿宋_GB2312" w:eastAsia="仿宋_GB2312" w:cs="仿宋_GB2312" w:hint="eastAsia"/>
          <w:color w:val="auto"/>
          <w:sz w:val="32"/>
          <w:szCs w:val="32"/>
          <w:lang w:val="en-US" w:eastAsia="zh-CN"/>
        </w:rPr>
        <w:t xml:space="preserve">   </w:t>
      </w:r>
      <w:r>
        <w:rPr>
          <w:rFonts w:ascii="仿宋_GB2312" w:eastAsia="仿宋_GB2312" w:cs="仿宋_GB2312" w:hint="eastAsia"/>
          <w:color w:val="auto"/>
          <w:sz w:val="32"/>
          <w:szCs w:val="32"/>
        </w:rPr>
        <w:t>9.负责辖区范围内的应急管理、社会稳定、安全生产、生态环境保护、社会信用体系建设和审批服务便民化等工作。</w:t>
        <w:cr/>
      </w:r>
      <w:r>
        <w:rPr>
          <w:rFonts w:ascii="仿宋_GB2312" w:eastAsia="仿宋_GB2312" w:cs="仿宋_GB2312" w:hint="eastAsia"/>
          <w:color w:val="auto"/>
          <w:sz w:val="32"/>
          <w:szCs w:val="32"/>
          <w:lang w:val="en-US" w:eastAsia="zh-CN"/>
        </w:rPr>
        <w:t xml:space="preserve">   </w:t>
      </w:r>
      <w:r>
        <w:rPr>
          <w:rFonts w:ascii="仿宋_GB2312" w:eastAsia="仿宋_GB2312" w:cs="仿宋_GB2312" w:hint="eastAsia"/>
          <w:color w:val="auto"/>
          <w:sz w:val="32"/>
          <w:szCs w:val="32"/>
        </w:rPr>
        <w:t>10.负责辖区农村经营管理体系建设工作。</w:t>
        <w:cr/>
      </w:r>
      <w:r>
        <w:rPr>
          <w:rFonts w:ascii="仿宋_GB2312" w:eastAsia="仿宋_GB2312" w:cs="仿宋_GB2312" w:hint="eastAsia"/>
          <w:color w:val="auto"/>
          <w:sz w:val="32"/>
          <w:szCs w:val="32"/>
          <w:lang w:val="en-US" w:eastAsia="zh-CN"/>
        </w:rPr>
        <w:t xml:space="preserve">   </w:t>
      </w:r>
      <w:r>
        <w:rPr>
          <w:rFonts w:ascii="仿宋_GB2312" w:eastAsia="仿宋_GB2312" w:cs="仿宋_GB2312" w:hint="eastAsia"/>
          <w:color w:val="auto"/>
          <w:sz w:val="32"/>
          <w:szCs w:val="32"/>
        </w:rPr>
        <w:t>11.完成县委、县人民政府交办的其他任务。</w:t>
      </w:r>
      <w:bookmarkStart w:id="20" w:name="_Toc15377200"/>
    </w:p>
    <w:p>
      <w:pPr>
        <w:keepNext w:val="0"/>
        <w:keepLines w:val="0"/>
        <w:pageBreakBefore w:val="0"/>
        <w:widowControl w:val="0"/>
        <w:tabs>
          <w:tab w:val="center" w:pos="4153"/>
        </w:tabs>
        <w:kinsoku/>
        <w:wordWrap/>
        <w:overflowPunct/>
        <w:topLinePunct w:val="0"/>
        <w:autoSpaceDE/>
        <w:autoSpaceDN/>
        <w:bidi w:val="0"/>
        <w:spacing w:line="576" w:lineRule="exact"/>
        <w:ind w:firstLineChars="100" w:firstLine="320"/>
        <w:jc w:val="left"/>
        <w:textAlignment w:val="auto"/>
        <w:rPr>
          <w:rFonts w:ascii="黑体" w:eastAsia="黑体" w:cs="黑体" w:hint="eastAsia"/>
          <w:sz w:val="32"/>
          <w:szCs w:val="32"/>
          <w:lang w:eastAsia="zh-CN"/>
        </w:rPr>
      </w:pPr>
      <w:r>
        <w:rPr>
          <w:rFonts w:ascii="黑体" w:eastAsia="黑体" w:cs="黑体" w:hint="eastAsia"/>
          <w:sz w:val="32"/>
          <w:szCs w:val="32"/>
          <w:lang w:eastAsia="zh-CN"/>
        </w:rPr>
        <w:t>（</w:t>
      </w:r>
      <w:r>
        <w:rPr>
          <w:rFonts w:ascii="黑体" w:eastAsia="黑体" w:cs="黑体" w:hint="eastAsia"/>
          <w:sz w:val="32"/>
          <w:szCs w:val="32"/>
          <w:lang w:val="en-US" w:eastAsia="zh-CN"/>
        </w:rPr>
        <w:t>二</w:t>
      </w:r>
      <w:r>
        <w:rPr>
          <w:rFonts w:ascii="黑体" w:eastAsia="黑体" w:cs="黑体" w:hint="eastAsia"/>
          <w:sz w:val="32"/>
          <w:szCs w:val="32"/>
          <w:lang w:eastAsia="zh-CN"/>
        </w:rPr>
        <w:t>）</w:t>
      </w:r>
      <w:r>
        <w:rPr>
          <w:rFonts w:ascii="黑体" w:eastAsia="黑体" w:cs="黑体" w:hint="eastAsia"/>
          <w:sz w:val="32"/>
          <w:szCs w:val="32"/>
        </w:rPr>
        <w:t>202</w:t>
      </w:r>
      <w:r>
        <w:rPr>
          <w:rFonts w:ascii="黑体" w:eastAsia="黑体" w:cs="黑体" w:hint="eastAsia"/>
          <w:sz w:val="32"/>
          <w:szCs w:val="32"/>
          <w:lang w:val="en-US" w:eastAsia="zh-CN"/>
        </w:rPr>
        <w:t>2</w:t>
      </w:r>
      <w:r>
        <w:rPr>
          <w:rFonts w:ascii="黑体" w:eastAsia="黑体" w:cs="黑体" w:hint="eastAsia"/>
          <w:sz w:val="32"/>
          <w:szCs w:val="32"/>
        </w:rPr>
        <w:t>年</w:t>
      </w:r>
      <w:r>
        <w:rPr>
          <w:rFonts w:ascii="黑体" w:eastAsia="黑体" w:cs="黑体" w:hint="eastAsia"/>
          <w:sz w:val="32"/>
          <w:szCs w:val="32"/>
          <w:lang w:val="en-US" w:eastAsia="zh-CN"/>
        </w:rPr>
        <w:t>重点</w:t>
      </w:r>
      <w:r>
        <w:rPr>
          <w:rFonts w:ascii="黑体" w:eastAsia="黑体" w:cs="黑体" w:hint="eastAsia"/>
          <w:sz w:val="32"/>
          <w:szCs w:val="32"/>
        </w:rPr>
        <w:t>工作</w:t>
      </w:r>
      <w:r>
        <w:rPr>
          <w:rFonts w:ascii="黑体" w:eastAsia="黑体" w:cs="黑体" w:hint="eastAsia"/>
          <w:sz w:val="32"/>
          <w:szCs w:val="32"/>
          <w:lang w:val="en-US" w:eastAsia="zh-CN"/>
        </w:rPr>
        <w:t>完成</w:t>
      </w:r>
      <w:r>
        <w:rPr>
          <w:rFonts w:ascii="黑体" w:eastAsia="黑体" w:cs="黑体" w:hint="eastAsia"/>
          <w:sz w:val="32"/>
          <w:szCs w:val="32"/>
        </w:rPr>
        <w:t>情况</w:t>
      </w:r>
      <w:r>
        <w:rPr>
          <w:rFonts w:ascii="黑体" w:eastAsia="黑体" w:cs="黑体" w:hint="eastAsia"/>
          <w:sz w:val="32"/>
          <w:szCs w:val="32"/>
          <w:lang w:eastAsia="zh-CN"/>
        </w:rPr>
        <w:tab/>
      </w:r>
    </w:p>
    <w:p>
      <w:pPr>
        <w:keepNext w:val="0"/>
        <w:keepLines w:val="0"/>
        <w:pageBreakBefore w:val="0"/>
        <w:widowControl w:val="0"/>
        <w:kinsoku/>
        <w:wordWrap/>
        <w:overflowPunct/>
        <w:topLinePunct w:val="0"/>
        <w:autoSpaceDE/>
        <w:autoSpaceDN/>
        <w:adjustRightInd w:val="0"/>
        <w:snapToGrid w:val="0"/>
        <w:spacing w:line="576" w:lineRule="exact"/>
        <w:ind w:left="0" w:firstLineChars="200" w:firstLine="640"/>
        <w:jc w:val="left"/>
        <w:rPr>
          <w:rFonts w:ascii="仿宋" w:eastAsia="仿宋" w:cs="仿宋" w:hint="eastAsia"/>
          <w:sz w:val="32"/>
          <w:szCs w:val="32"/>
        </w:rPr>
      </w:pPr>
      <w:r>
        <w:rPr>
          <w:rFonts w:ascii="仿宋" w:eastAsia="仿宋" w:cs="仿宋" w:hint="eastAsia"/>
          <w:color w:val="auto"/>
          <w:sz w:val="32"/>
          <w:szCs w:val="32"/>
          <w:lang w:val="en-US" w:eastAsia="zh-CN"/>
        </w:rPr>
        <w:t>1.</w:t>
      </w:r>
      <w:r>
        <w:rPr>
          <w:rFonts w:ascii="仿宋" w:eastAsia="仿宋" w:cs="仿宋" w:hint="eastAsia"/>
          <w:color w:val="auto"/>
          <w:sz w:val="32"/>
          <w:szCs w:val="32"/>
        </w:rPr>
        <w:t>坚持“两学一做”常态化，加强队伍思想政治建设</w:t>
      </w:r>
      <w:r>
        <w:rPr>
          <w:rFonts w:ascii="仿宋" w:eastAsia="仿宋" w:cs="仿宋"/>
          <w:color w:val="auto"/>
          <w:sz w:val="32"/>
          <w:szCs w:val="32"/>
        </w:rPr>
        <w:t>。</w:t>
      </w:r>
      <w:r>
        <w:rPr>
          <w:rFonts w:ascii="仿宋_GB2312" w:eastAsia="仿宋_GB2312" w:cs="仿宋_GB2312" w:hint="eastAsia"/>
          <w:color w:val="auto"/>
          <w:sz w:val="32"/>
          <w:szCs w:val="32"/>
        </w:rPr>
        <w:t>依托镇党委中心组学习、宣讲会、学习强国平台等多形式深入学习习近平新时代中国特色社会主义思想，贯彻落实省第十二次党代会精神</w:t>
      </w:r>
      <w:r>
        <w:rPr>
          <w:rFonts w:ascii="仿宋_GB2312" w:eastAsia="仿宋_GB2312" w:cs="仿宋_GB2312" w:hint="eastAsia"/>
          <w:color w:val="auto"/>
          <w:sz w:val="32"/>
          <w:szCs w:val="32"/>
          <w:lang w:eastAsia="zh-CN"/>
        </w:rPr>
        <w:t>和习近平总书记来川重要指示精神</w:t>
      </w:r>
      <w:r>
        <w:rPr>
          <w:rFonts w:ascii="仿宋_GB2312" w:eastAsia="仿宋_GB2312" w:cs="仿宋_GB2312" w:hint="eastAsia"/>
          <w:color w:val="auto"/>
          <w:sz w:val="32"/>
          <w:szCs w:val="32"/>
        </w:rPr>
        <w:t>及州、县重要会议精神，进一步提升党员干部政治理论水平。</w:t>
      </w:r>
    </w:p>
    <w:p>
      <w:pPr>
        <w:keepNext w:val="0"/>
        <w:keepLines w:val="0"/>
        <w:pageBreakBefore w:val="0"/>
        <w:widowControl w:val="0"/>
        <w:kinsoku/>
        <w:wordWrap/>
        <w:overflowPunct/>
        <w:topLinePunct w:val="0"/>
        <w:autoSpaceDE/>
        <w:autoSpaceDN/>
        <w:adjustRightInd w:val="0"/>
        <w:snapToGrid w:val="0"/>
        <w:spacing w:line="576" w:lineRule="exact"/>
        <w:ind w:left="0" w:firstLineChars="200" w:firstLine="640"/>
        <w:rPr>
          <w:rFonts w:ascii="仿宋" w:eastAsia="仿宋" w:cs="仿宋" w:hint="eastAsia"/>
          <w:sz w:val="32"/>
          <w:szCs w:val="32"/>
        </w:rPr>
      </w:pPr>
      <w:r>
        <w:rPr>
          <w:rFonts w:ascii="仿宋" w:eastAsia="仿宋" w:cs="仿宋" w:hint="eastAsia"/>
          <w:b w:val="0"/>
          <w:bCs w:val="0"/>
          <w:color w:val="auto"/>
          <w:sz w:val="32"/>
          <w:szCs w:val="32"/>
          <w:lang w:val="en-US" w:eastAsia="zh-CN"/>
        </w:rPr>
        <w:t>2.</w:t>
      </w:r>
      <w:r>
        <w:rPr>
          <w:rFonts w:ascii="仿宋" w:eastAsia="仿宋" w:cs="仿宋" w:hint="eastAsia"/>
          <w:b w:val="0"/>
          <w:bCs w:val="0"/>
          <w:color w:val="auto"/>
          <w:sz w:val="32"/>
          <w:szCs w:val="32"/>
        </w:rPr>
        <w:t>深入开展“联户联情”，确保群众联系全覆盖</w:t>
      </w:r>
      <w:r>
        <w:rPr>
          <w:rFonts w:ascii="仿宋" w:eastAsia="仿宋" w:cs="仿宋"/>
          <w:b w:val="0"/>
          <w:bCs w:val="0"/>
          <w:color w:val="auto"/>
          <w:sz w:val="32"/>
          <w:szCs w:val="32"/>
        </w:rPr>
        <w:t>。</w:t>
      </w:r>
      <w:r>
        <w:rPr>
          <w:rFonts w:ascii="仿宋_GB2312" w:eastAsia="仿宋_GB2312" w:cs="仿宋_GB2312" w:hint="eastAsia"/>
          <w:b w:val="0"/>
          <w:bCs w:val="0"/>
          <w:color w:val="auto"/>
          <w:sz w:val="32"/>
          <w:szCs w:val="32"/>
        </w:rPr>
        <w:t>按照“联户联情”“一季一主题，一月一清单”的工作要求，结合今年重点工作，我镇通过“四联”“四包”“四化”“四有”的工作方式认真开展“联户联情”工作，明确领导党员干部共</w:t>
      </w:r>
      <w:r>
        <w:rPr>
          <w:rFonts w:ascii="仿宋_GB2312" w:eastAsia="仿宋_GB2312" w:cs="仿宋_GB2312" w:hint="eastAsia"/>
          <w:b w:val="0"/>
          <w:bCs w:val="0"/>
          <w:color w:val="auto"/>
          <w:sz w:val="32"/>
          <w:szCs w:val="32"/>
          <w:highlight w:val="auto"/>
        </w:rPr>
        <w:t>266人，结对1915</w:t>
      </w:r>
      <w:r>
        <w:rPr>
          <w:rFonts w:ascii="仿宋_GB2312" w:eastAsia="仿宋_GB2312" w:cs="仿宋_GB2312" w:hint="eastAsia"/>
          <w:b w:val="0"/>
          <w:bCs w:val="0"/>
          <w:color w:val="auto"/>
          <w:sz w:val="32"/>
          <w:szCs w:val="32"/>
        </w:rPr>
        <w:t>户</w:t>
      </w:r>
      <w:r>
        <w:rPr>
          <w:rFonts w:ascii="仿宋_GB2312" w:eastAsia="仿宋_GB2312" w:cs="仿宋_GB2312" w:hint="eastAsia"/>
          <w:b w:val="0"/>
          <w:bCs w:val="0"/>
          <w:color w:val="auto"/>
          <w:sz w:val="32"/>
          <w:szCs w:val="32"/>
          <w:lang w:eastAsia="zh-CN"/>
        </w:rPr>
        <w:t>。共</w:t>
      </w:r>
      <w:r>
        <w:rPr>
          <w:rFonts w:ascii="仿宋_GB2312" w:eastAsia="仿宋_GB2312" w:cs="仿宋_GB2312" w:hint="eastAsia"/>
          <w:b w:val="0"/>
          <w:bCs w:val="0"/>
          <w:color w:val="auto"/>
          <w:sz w:val="32"/>
          <w:szCs w:val="32"/>
        </w:rPr>
        <w:t>走访群众</w:t>
      </w:r>
      <w:r>
        <w:rPr>
          <w:rFonts w:ascii="仿宋_GB2312" w:eastAsia="仿宋_GB2312" w:cs="仿宋_GB2312" w:hint="eastAsia"/>
          <w:b w:val="0"/>
          <w:bCs w:val="0"/>
          <w:color w:val="auto"/>
          <w:sz w:val="32"/>
          <w:szCs w:val="32"/>
          <w:lang w:val="en-US" w:eastAsia="zh-CN"/>
          <w:highlight w:val="auto"/>
        </w:rPr>
        <w:t>5000</w:t>
      </w:r>
      <w:r>
        <w:rPr>
          <w:rFonts w:ascii="仿宋_GB2312" w:eastAsia="仿宋_GB2312" w:cs="仿宋_GB2312" w:hint="eastAsia"/>
          <w:b w:val="0"/>
          <w:bCs w:val="0"/>
          <w:color w:val="auto"/>
          <w:sz w:val="32"/>
          <w:szCs w:val="32"/>
        </w:rPr>
        <w:t>余次，收集解决问题</w:t>
      </w:r>
      <w:r>
        <w:rPr>
          <w:rFonts w:ascii="仿宋_GB2312" w:eastAsia="仿宋_GB2312" w:cs="仿宋_GB2312" w:hint="eastAsia"/>
          <w:b w:val="0"/>
          <w:bCs w:val="0"/>
          <w:color w:val="auto"/>
          <w:sz w:val="32"/>
          <w:szCs w:val="32"/>
          <w:lang w:val="en-US" w:eastAsia="zh-CN"/>
          <w:highlight w:val="auto"/>
        </w:rPr>
        <w:t>90</w:t>
      </w:r>
      <w:r>
        <w:rPr>
          <w:rFonts w:ascii="仿宋_GB2312" w:eastAsia="仿宋_GB2312" w:cs="仿宋_GB2312" w:hint="eastAsia"/>
          <w:b w:val="0"/>
          <w:bCs w:val="0"/>
          <w:color w:val="auto"/>
          <w:sz w:val="32"/>
          <w:szCs w:val="32"/>
        </w:rPr>
        <w:t>余条。</w:t>
      </w:r>
    </w:p>
    <w:p>
      <w:pPr>
        <w:keepNext w:val="0"/>
        <w:keepLines w:val="0"/>
        <w:pageBreakBefore w:val="0"/>
        <w:widowControl w:val="0"/>
        <w:kinsoku/>
        <w:wordWrap/>
        <w:overflowPunct/>
        <w:topLinePunct w:val="0"/>
        <w:autoSpaceDE/>
        <w:autoSpaceDN/>
        <w:spacing w:line="576" w:lineRule="exact"/>
        <w:ind w:left="0" w:firstLineChars="200" w:firstLine="640"/>
        <w:rPr>
          <w:rFonts w:ascii="仿宋" w:eastAsia="仿宋" w:cs="仿宋" w:hint="eastAsia"/>
          <w:sz w:val="32"/>
          <w:szCs w:val="32"/>
        </w:rPr>
      </w:pPr>
      <w:r>
        <w:rPr>
          <w:rFonts w:ascii="仿宋" w:eastAsia="仿宋" w:cs="仿宋" w:hint="eastAsia"/>
          <w:b w:val="0"/>
          <w:bCs w:val="0"/>
          <w:color w:val="auto"/>
          <w:sz w:val="32"/>
          <w:szCs w:val="32"/>
          <w:lang w:val="en-US" w:eastAsia="zh-CN"/>
        </w:rPr>
        <w:t>3.</w:t>
      </w:r>
      <w:r>
        <w:rPr>
          <w:rFonts w:ascii="仿宋" w:eastAsia="仿宋" w:cs="仿宋" w:hint="eastAsia"/>
          <w:b w:val="0"/>
          <w:bCs w:val="0"/>
          <w:color w:val="auto"/>
          <w:sz w:val="32"/>
          <w:szCs w:val="32"/>
        </w:rPr>
        <w:t>细润干群思想教育，守好意识形态阵地</w:t>
      </w:r>
      <w:r>
        <w:rPr>
          <w:rFonts w:ascii="仿宋" w:eastAsia="仿宋" w:cs="仿宋"/>
          <w:b w:val="0"/>
          <w:bCs w:val="0"/>
          <w:color w:val="auto"/>
          <w:sz w:val="32"/>
          <w:szCs w:val="32"/>
        </w:rPr>
        <w:t>。</w:t>
      </w:r>
      <w:r>
        <w:rPr>
          <w:rFonts w:ascii="仿宋_GB2312" w:eastAsia="仿宋_GB2312" w:cs="Times New Roman" w:hint="eastAsia"/>
          <w:b w:val="0"/>
          <w:bCs w:val="0"/>
          <w:color w:val="auto"/>
          <w:sz w:val="32"/>
          <w:szCs w:val="32"/>
        </w:rPr>
        <w:t>结合“两联一进”、</w:t>
      </w:r>
      <w:r>
        <w:rPr>
          <w:rFonts w:ascii="仿宋_GB2312" w:eastAsia="仿宋_GB2312" w:cs="Times New Roman" w:hint="eastAsia"/>
          <w:b w:val="0"/>
          <w:bCs w:val="0"/>
          <w:color w:val="auto"/>
          <w:sz w:val="32"/>
          <w:szCs w:val="32"/>
          <w:lang w:eastAsia="zh-CN"/>
        </w:rPr>
        <w:t>乡村振兴</w:t>
      </w:r>
      <w:r>
        <w:rPr>
          <w:rFonts w:ascii="仿宋_GB2312" w:eastAsia="仿宋_GB2312" w:cs="Times New Roman" w:hint="eastAsia"/>
          <w:b w:val="0"/>
          <w:bCs w:val="0"/>
          <w:color w:val="auto"/>
          <w:sz w:val="32"/>
          <w:szCs w:val="32"/>
        </w:rPr>
        <w:t>及网格化管理工作，入户宣讲政策，制作张贴《文明祭祀倡议书》</w:t>
      </w:r>
      <w:r>
        <w:rPr>
          <w:rFonts w:ascii="仿宋_GB2312" w:eastAsia="仿宋_GB2312" w:cs="Times New Roman" w:hint="eastAsia"/>
          <w:b w:val="0"/>
          <w:bCs w:val="0"/>
          <w:color w:val="auto"/>
          <w:sz w:val="32"/>
          <w:szCs w:val="32"/>
          <w:lang w:eastAsia="zh-CN"/>
        </w:rPr>
        <w:t>、发放《疫情防控工作指南》等</w:t>
      </w:r>
      <w:r>
        <w:rPr>
          <w:rFonts w:ascii="仿宋_GB2312" w:eastAsia="仿宋_GB2312" w:cs="Times New Roman" w:hint="eastAsia"/>
          <w:b w:val="0"/>
          <w:bCs w:val="0"/>
          <w:color w:val="auto"/>
          <w:sz w:val="32"/>
          <w:szCs w:val="32"/>
        </w:rPr>
        <w:t>，引导老百姓养成好习惯</w:t>
      </w:r>
      <w:r>
        <w:rPr>
          <w:rFonts w:ascii="仿宋_GB2312" w:eastAsia="仿宋_GB2312" w:cs="Times New Roman" w:hint="eastAsia"/>
          <w:b w:val="0"/>
          <w:bCs w:val="0"/>
          <w:color w:val="auto"/>
          <w:sz w:val="32"/>
          <w:szCs w:val="32"/>
          <w:lang w:eastAsia="zh-CN"/>
        </w:rPr>
        <w:t>、</w:t>
      </w:r>
      <w:r>
        <w:rPr>
          <w:rFonts w:ascii="仿宋_GB2312" w:eastAsia="仿宋_GB2312" w:cs="Times New Roman" w:hint="eastAsia"/>
          <w:b w:val="0"/>
          <w:bCs w:val="0"/>
          <w:color w:val="auto"/>
          <w:sz w:val="32"/>
          <w:szCs w:val="32"/>
        </w:rPr>
        <w:t>形成好风气</w:t>
      </w:r>
      <w:r>
        <w:rPr>
          <w:rFonts w:ascii="仿宋_GB2312" w:eastAsia="仿宋_GB2312" w:cs="Times New Roman" w:hint="eastAsia"/>
          <w:b w:val="0"/>
          <w:bCs w:val="0"/>
          <w:color w:val="auto"/>
          <w:sz w:val="32"/>
          <w:szCs w:val="32"/>
          <w:lang w:eastAsia="zh-CN"/>
        </w:rPr>
        <w:t>；坚持</w:t>
      </w:r>
      <w:r>
        <w:rPr>
          <w:rFonts w:ascii="仿宋_GB2312" w:eastAsia="仿宋_GB2312" w:cs="仿宋_GB2312" w:hint="eastAsia"/>
          <w:b w:val="0"/>
          <w:bCs w:val="0"/>
          <w:color w:val="000000"/>
          <w:kern w:val="0"/>
          <w:sz w:val="32"/>
          <w:szCs w:val="32"/>
          <w:lang w:val="en-US" w:eastAsia="zh-CN" w:bidi="ar-SA"/>
        </w:rPr>
        <w:t>由村民推选，村议事会成员组成评审团进行审议，对照评选标准，共推选出</w:t>
      </w:r>
      <w:r>
        <w:rPr>
          <w:rFonts w:ascii="仿宋_GB2312" w:eastAsia="仿宋_GB2312" w:cs="仿宋_GB2312" w:hint="eastAsia"/>
          <w:b w:val="0"/>
          <w:bCs w:val="0"/>
          <w:color w:val="000000"/>
          <w:kern w:val="0"/>
          <w:sz w:val="32"/>
          <w:szCs w:val="32"/>
          <w:lang w:val="en-US" w:eastAsia="zh-CN" w:bidi="ar-SA"/>
          <w:highlight w:val="auto"/>
        </w:rPr>
        <w:t>15户“五好家庭户”，10</w:t>
      </w:r>
      <w:r>
        <w:rPr>
          <w:rFonts w:ascii="仿宋_GB2312" w:eastAsia="仿宋_GB2312" w:cs="仿宋_GB2312" w:hint="eastAsia"/>
          <w:b w:val="0"/>
          <w:bCs w:val="0"/>
          <w:color w:val="000000"/>
          <w:kern w:val="0"/>
          <w:sz w:val="32"/>
          <w:szCs w:val="32"/>
          <w:lang w:val="en-US" w:eastAsia="zh-CN" w:bidi="ar-SA"/>
        </w:rPr>
        <w:t>户“环境卫生模范户”。</w:t>
      </w:r>
    </w:p>
    <w:p>
      <w:pPr>
        <w:keepNext w:val="0"/>
        <w:keepLines w:val="0"/>
        <w:pageBreakBefore w:val="0"/>
        <w:widowControl w:val="0"/>
        <w:kinsoku/>
        <w:wordWrap/>
        <w:overflowPunct/>
        <w:topLinePunct w:val="0"/>
        <w:autoSpaceDE/>
        <w:autoSpaceDN/>
        <w:spacing w:line="576" w:lineRule="exact"/>
        <w:ind w:firstLineChars="200" w:firstLine="640"/>
        <w:rPr>
          <w:rFonts w:ascii="仿宋" w:eastAsia="仿宋" w:cs="仿宋" w:hint="eastAsia"/>
          <w:sz w:val="32"/>
          <w:szCs w:val="32"/>
        </w:rPr>
      </w:pPr>
      <w:r>
        <w:rPr>
          <w:rFonts w:ascii="仿宋" w:eastAsia="仿宋" w:cs="仿宋" w:hint="eastAsia"/>
          <w:b w:val="0"/>
          <w:bCs w:val="0"/>
          <w:color w:val="000000"/>
          <w:kern w:val="0"/>
          <w:sz w:val="32"/>
          <w:szCs w:val="32"/>
          <w:lang w:val="en-US" w:eastAsia="zh-CN" w:bidi="ar-SA"/>
        </w:rPr>
        <w:t>4.</w:t>
      </w:r>
      <w:r>
        <w:rPr>
          <w:rFonts w:ascii="仿宋" w:eastAsia="仿宋" w:cs="仿宋" w:hint="eastAsia"/>
          <w:b w:val="0"/>
          <w:bCs w:val="0"/>
          <w:color w:val="auto"/>
          <w:sz w:val="32"/>
          <w:szCs w:val="32"/>
        </w:rPr>
        <w:t>创新推动党建工作，提升基层治理水平</w:t>
      </w:r>
      <w:r>
        <w:rPr>
          <w:rFonts w:ascii="仿宋" w:eastAsia="仿宋" w:cs="仿宋"/>
          <w:b w:val="0"/>
          <w:bCs w:val="0"/>
          <w:color w:val="auto"/>
          <w:sz w:val="32"/>
          <w:szCs w:val="32"/>
        </w:rPr>
        <w:t>。</w:t>
      </w:r>
      <w:r>
        <w:rPr>
          <w:rFonts w:ascii="仿宋_GB2312" w:eastAsia="仿宋_GB2312" w:cs="仿宋_GB2312" w:hint="eastAsia"/>
          <w:b w:val="0"/>
          <w:bCs w:val="0"/>
          <w:color w:val="auto"/>
          <w:sz w:val="32"/>
          <w:szCs w:val="32"/>
        </w:rPr>
        <w:t>按照县委“六个茂县”建设目标，南新镇创新推动“六化六同步”“返乡创业四式工作法”的党建工作机制，全面提升基层党组织的战斗力、引领力、凝聚力、向心力和号召力</w:t>
      </w:r>
      <w:r>
        <w:rPr>
          <w:rFonts w:ascii="仿宋_GB2312" w:eastAsia="仿宋_GB2312" w:cs="仿宋_GB2312" w:hint="eastAsia"/>
          <w:b w:val="0"/>
          <w:bCs w:val="0"/>
          <w:color w:val="auto"/>
          <w:sz w:val="32"/>
          <w:szCs w:val="32"/>
          <w:lang w:eastAsia="zh-CN"/>
        </w:rPr>
        <w:t>。</w:t>
      </w:r>
    </w:p>
    <w:p>
      <w:pPr>
        <w:keepNext w:val="0"/>
        <w:keepLines w:val="0"/>
        <w:pageBreakBefore w:val="0"/>
        <w:widowControl w:val="0"/>
        <w:tabs>
          <w:tab w:val="left" w:pos="312"/>
        </w:tabs>
        <w:kinsoku/>
        <w:wordWrap/>
        <w:overflowPunct/>
        <w:topLinePunct w:val="0"/>
        <w:autoSpaceDE/>
        <w:autoSpaceDN/>
        <w:adjustRightInd/>
        <w:snapToGrid/>
        <w:spacing w:line="576" w:lineRule="exact"/>
        <w:ind w:leftChars="100" w:left="210" w:firstLineChars="100" w:firstLine="320"/>
        <w:jc w:val="left"/>
        <w:rPr>
          <w:rFonts w:ascii="仿宋" w:eastAsia="仿宋" w:cs="仿宋" w:hint="eastAsia"/>
          <w:sz w:val="32"/>
          <w:szCs w:val="32"/>
        </w:rPr>
      </w:pPr>
      <w:r>
        <w:rPr>
          <w:rFonts w:ascii="仿宋" w:eastAsia="仿宋" w:cs="仿宋" w:hint="eastAsia"/>
          <w:b w:val="0"/>
          <w:bCs w:val="0"/>
          <w:kern w:val="2"/>
          <w:sz w:val="32"/>
          <w:szCs w:val="32"/>
          <w:lang w:val="en-US" w:eastAsia="zh-CN" w:bidi="ar-SA"/>
        </w:rPr>
        <w:t>5.以推进“3+10+N”为抓手，不断提升政府行政力</w:t>
      </w:r>
      <w:r>
        <w:rPr>
          <w:rFonts w:ascii="仿宋" w:eastAsia="仿宋" w:cs="仿宋"/>
          <w:b w:val="0"/>
          <w:bCs w:val="0"/>
          <w:kern w:val="2"/>
          <w:sz w:val="32"/>
          <w:szCs w:val="32"/>
          <w:lang w:val="en-US" w:eastAsia="zh-CN" w:bidi="ar-SA"/>
        </w:rPr>
        <w:t>。</w:t>
      </w:r>
      <w:r>
        <w:rPr>
          <w:rFonts w:ascii="仿宋_GB2312" w:eastAsia="仿宋_GB2312" w:cs="仿宋_GB2312" w:hint="eastAsia"/>
          <w:b w:val="0"/>
          <w:bCs w:val="0"/>
          <w:color w:val="auto"/>
          <w:sz w:val="32"/>
          <w:szCs w:val="32"/>
          <w:lang w:eastAsia="zh-CN"/>
        </w:rPr>
        <w:t>我镇</w:t>
      </w:r>
      <w:r>
        <w:rPr>
          <w:rFonts w:ascii="仿宋_GB2312" w:eastAsia="仿宋_GB2312" w:cs="仿宋_GB2312" w:hint="eastAsia"/>
          <w:b w:val="0"/>
          <w:bCs w:val="0"/>
          <w:color w:val="auto"/>
          <w:sz w:val="32"/>
          <w:szCs w:val="32"/>
        </w:rPr>
        <w:t>根据2022年全年工作，提出“3+10+N”工作思路。</w:t>
      </w:r>
      <w:r>
        <w:rPr>
          <w:rFonts w:ascii="仿宋_GB2312" w:eastAsia="仿宋_GB2312" w:cs="仿宋_GB2312" w:hint="eastAsia"/>
          <w:b w:val="0"/>
          <w:bCs w:val="0"/>
          <w:color w:val="auto"/>
          <w:sz w:val="32"/>
          <w:szCs w:val="32"/>
          <w:lang w:eastAsia="zh-CN"/>
        </w:rPr>
        <w:t>高度重视三大重点工作</w:t>
      </w:r>
      <w:r>
        <w:rPr>
          <w:rFonts w:ascii="仿宋_GB2312" w:eastAsia="仿宋_GB2312" w:cs="Times New Roman" w:hint="eastAsia"/>
          <w:b w:val="0"/>
          <w:bCs w:val="0"/>
          <w:color w:val="auto"/>
          <w:sz w:val="32"/>
          <w:szCs w:val="32"/>
        </w:rPr>
        <w:t>、</w:t>
      </w:r>
      <w:r>
        <w:rPr>
          <w:rFonts w:ascii="仿宋_GB2312" w:eastAsia="仿宋_GB2312" w:cs="仿宋_GB2312" w:hint="eastAsia"/>
          <w:b w:val="0"/>
          <w:bCs w:val="0"/>
          <w:color w:val="auto"/>
          <w:sz w:val="32"/>
          <w:szCs w:val="32"/>
          <w:lang w:eastAsia="zh-CN"/>
        </w:rPr>
        <w:t>十项常态化工作的推进、开展情况，成立了项目建设专项工作小组，分区分类、强化职能职责，细化工作任务，实行台账管理和工作进度周报制，以确保按时完成建设任务。</w:t>
      </w:r>
      <w:r>
        <w:rPr>
          <w:rFonts w:ascii="仿宋_GB2312" w:eastAsia="仿宋_GB2312" w:cs="仿宋_GB2312" w:hint="eastAsia"/>
          <w:b w:val="0"/>
          <w:bCs w:val="0"/>
          <w:color w:val="auto"/>
          <w:sz w:val="32"/>
          <w:szCs w:val="32"/>
          <w:highlight w:val="auto"/>
        </w:rPr>
        <w:t>扎实有效推进N项阶段性工作，</w:t>
      </w:r>
      <w:r>
        <w:rPr>
          <w:rFonts w:ascii="仿宋_GB2312" w:eastAsia="仿宋_GB2312" w:cs="仿宋_GB2312" w:hint="eastAsia"/>
          <w:b w:val="0"/>
          <w:bCs w:val="0"/>
          <w:color w:val="auto"/>
          <w:sz w:val="32"/>
          <w:szCs w:val="32"/>
          <w:lang w:val="en-US" w:eastAsia="zh-CN"/>
          <w:highlight w:val="auto"/>
        </w:rPr>
        <w:t>2022年</w:t>
      </w:r>
      <w:r>
        <w:rPr>
          <w:rFonts w:ascii="仿宋_GB2312" w:eastAsia="仿宋_GB2312" w:cs="仿宋_GB2312" w:hint="eastAsia"/>
          <w:b w:val="0"/>
          <w:bCs w:val="0"/>
          <w:color w:val="auto"/>
          <w:sz w:val="32"/>
          <w:szCs w:val="32"/>
          <w:highlight w:val="auto"/>
        </w:rPr>
        <w:t>按照县级各个部门相</w:t>
      </w:r>
      <w:r>
        <w:rPr>
          <w:rFonts w:ascii="仿宋_GB2312" w:eastAsia="仿宋_GB2312" w:cs="仿宋_GB2312" w:hint="eastAsia"/>
          <w:color w:val="auto"/>
          <w:sz w:val="32"/>
          <w:szCs w:val="32"/>
          <w:highlight w:val="auto"/>
        </w:rPr>
        <w:t>关要求，完成了农村及城镇房屋安全隐患排查、县政协委员现场会、全州人大</w:t>
      </w:r>
      <w:r>
        <w:rPr>
          <w:rFonts w:ascii="仿宋_GB2312" w:eastAsia="仿宋_GB2312" w:cs="仿宋_GB2312" w:hint="eastAsia"/>
          <w:color w:val="auto"/>
          <w:sz w:val="32"/>
          <w:szCs w:val="32"/>
          <w:lang w:eastAsia="zh-CN"/>
          <w:highlight w:val="auto"/>
        </w:rPr>
        <w:t>常委会</w:t>
      </w:r>
      <w:r>
        <w:rPr>
          <w:rFonts w:ascii="仿宋_GB2312" w:eastAsia="仿宋_GB2312" w:cs="仿宋_GB2312" w:hint="eastAsia"/>
          <w:color w:val="auto"/>
          <w:sz w:val="32"/>
          <w:szCs w:val="32"/>
          <w:highlight w:val="auto"/>
        </w:rPr>
        <w:t>主任现场会</w:t>
      </w:r>
      <w:r>
        <w:rPr>
          <w:rFonts w:ascii="仿宋_GB2312" w:eastAsia="仿宋_GB2312" w:cs="仿宋_GB2312" w:hint="eastAsia"/>
          <w:color w:val="auto"/>
          <w:sz w:val="32"/>
          <w:szCs w:val="32"/>
          <w:lang w:eastAsia="zh-CN"/>
          <w:highlight w:val="auto"/>
        </w:rPr>
        <w:t>、</w:t>
      </w:r>
      <w:r>
        <w:rPr>
          <w:rFonts w:ascii="仿宋_GB2312" w:eastAsia="仿宋_GB2312" w:cs="仿宋_GB2312" w:hint="eastAsia"/>
          <w:color w:val="auto"/>
          <w:sz w:val="32"/>
          <w:szCs w:val="32"/>
          <w:highlight w:val="auto"/>
        </w:rPr>
        <w:t>退役军人申领证书、征兵、迎接各级检查等工作。</w:t>
      </w:r>
    </w:p>
    <w:p>
      <w:pPr>
        <w:pStyle w:val="17"/>
      </w:pPr>
    </w:p>
    <w:p>
      <w:pPr>
        <w:pStyle w:val="2"/>
        <w:ind w:firstLineChars="200" w:firstLine="640"/>
        <w:rPr>
          <w:rFonts w:ascii="黑体" w:eastAsia="黑体" w:cs="Times New Roman"/>
          <w:b w:val="0"/>
          <w:bCs/>
          <w:color w:val="000000"/>
        </w:rPr>
      </w:pPr>
      <w:bookmarkStart w:id="21" w:name="_Toc111208497"/>
      <w:bookmarkStart w:id="22" w:name="_Toc7982"/>
      <w:r>
        <w:rPr>
          <w:rFonts w:ascii="黑体" w:eastAsia="黑体" w:cs="Times New Roman" w:hint="eastAsia"/>
          <w:b w:val="0"/>
          <w:bCs/>
          <w:color w:val="000000"/>
        </w:rPr>
        <w:t>二、机构设置</w:t>
      </w:r>
      <w:bookmarkEnd w:id="20"/>
      <w:bookmarkEnd w:id="21"/>
      <w:bookmarkEnd w:id="22"/>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rPr>
      </w:pPr>
      <w:r>
        <w:rPr>
          <w:rFonts w:ascii="仿宋_GB2312" w:eastAsia="仿宋_GB2312" w:cs="仿宋_GB2312" w:hint="eastAsia"/>
          <w:b w:val="0"/>
          <w:bCs w:val="0"/>
          <w:color w:val="auto"/>
          <w:sz w:val="32"/>
          <w:szCs w:val="32"/>
        </w:rPr>
        <w:t>茂县南新镇人民政府属于行政单位，下设行政单位0个，其中内设机构11个(茂县南新镇党政办公室、党建工作办公室、维护稳定和综合行政执法办公室、经济发展和乡村振兴办公室、社会事务办公室、生态环境和应急管理办公室、财经审查工作办公室、便民服务中心、经济发展服务中心、农业农村服务中心、综合文化服务中心)。</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rPr>
      </w:pPr>
      <w:bookmarkStart w:id="23" w:name="_Toc15377204"/>
      <w:r>
        <w:rPr>
          <w:rFonts w:ascii="仿宋_GB2312" w:eastAsia="仿宋_GB2312" w:cs="仿宋_GB2312" w:hint="eastAsia"/>
          <w:b w:val="0"/>
          <w:bCs w:val="0"/>
          <w:color w:val="auto"/>
          <w:sz w:val="32"/>
          <w:szCs w:val="32"/>
        </w:rPr>
        <w:br w:type="page"/>
      </w:r>
    </w:p>
    <w:p>
      <w:pPr>
        <w:pStyle w:val="1"/>
        <w:jc w:val="center"/>
        <w:rPr>
          <w:rFonts w:ascii="黑体" w:eastAsia="黑体" w:cs="黑体"/>
        </w:rPr>
      </w:pPr>
      <w:bookmarkStart w:id="24" w:name="_Toc3119"/>
      <w:bookmarkStart w:id="25" w:name="_Toc111208498"/>
      <w:r>
        <w:rPr>
          <w:rFonts w:ascii="黑体" w:eastAsia="黑体" w:cs="黑体" w:hint="eastAsia"/>
        </w:rPr>
        <w:t>第二部分</w:t>
      </w:r>
      <w:r>
        <w:rPr>
          <w:rFonts w:ascii="黑体" w:eastAsia="黑体" w:cs="黑体"/>
        </w:rPr>
        <w:t xml:space="preserve"> </w:t>
      </w:r>
      <w:r>
        <w:rPr>
          <w:rFonts w:ascii="黑体" w:eastAsia="黑体" w:cs="黑体" w:hint="eastAsia"/>
        </w:rPr>
        <w:t>2022</w:t>
      </w:r>
      <w:r>
        <w:rPr>
          <w:rFonts w:ascii="黑体" w:eastAsia="黑体" w:cs="黑体"/>
          <w:u w:color="auto"/>
        </w:rPr>
        <w:t>年度部门决算情况说明</w:t>
      </w:r>
      <w:bookmarkEnd w:id="23"/>
      <w:bookmarkEnd w:id="24"/>
      <w:bookmarkEnd w:id="25"/>
    </w:p>
    <w:p>
      <w:pPr>
        <w:pStyle w:val="2"/>
        <w:ind w:firstLineChars="200" w:firstLine="640"/>
        <w:rPr>
          <w:rFonts w:ascii="黑体" w:eastAsia="黑体" w:cs="Times New Roman"/>
          <w:b w:val="0"/>
          <w:bCs/>
          <w:color w:val="000000"/>
        </w:rPr>
      </w:pPr>
      <w:bookmarkStart w:id="26" w:name="_Toc15377205"/>
      <w:bookmarkStart w:id="27" w:name="_Toc111208499"/>
      <w:bookmarkStart w:id="28" w:name="_Toc21486"/>
      <w:r>
        <w:rPr>
          <w:rFonts w:ascii="黑体" w:eastAsia="黑体" w:cs="Times New Roman" w:hint="eastAsia"/>
          <w:b w:val="0"/>
          <w:bCs/>
          <w:color w:val="000000"/>
        </w:rPr>
        <w:t>一、收入支出决算总体情况说</w:t>
      </w:r>
      <w:bookmarkEnd w:id="26"/>
      <w:r>
        <w:rPr>
          <w:rFonts w:ascii="黑体" w:eastAsia="黑体" w:cs="Times New Roman" w:hint="eastAsia"/>
          <w:b w:val="0"/>
          <w:bCs/>
          <w:color w:val="000000"/>
        </w:rPr>
        <w:t>明</w:t>
      </w:r>
      <w:bookmarkEnd w:id="27"/>
      <w:bookmarkEnd w:id="28"/>
    </w:p>
    <w:p>
      <w:pPr>
        <w:spacing w:line="600" w:lineRule="exact"/>
        <w:ind w:firstLineChars="200" w:firstLine="640"/>
        <w:rPr>
          <w:rFonts w:ascii="仿宋_GB2312" w:eastAsia="仿宋_GB2312"/>
          <w:color w:val="00B0F0"/>
          <w:sz w:val="32"/>
          <w:szCs w:val="32"/>
        </w:rPr>
      </w:pPr>
      <w:r>
        <w:rPr>
          <w:rFonts w:ascii="仿宋_GB2312" w:eastAsia="仿宋_GB2312" w:cs="仿宋_GB2312" w:hint="eastAsia"/>
          <w:b w:val="0"/>
          <w:bCs w:val="0"/>
          <w:color w:val="auto"/>
          <w:sz w:val="32"/>
          <w:szCs w:val="32"/>
        </w:rPr>
        <w:t>2022年度收、支总计1218.67万元。与2021年相比，收、支总计各减少235.58万元，减少16.20 %</w:t>
      </w:r>
      <w:r>
        <w:rPr>
          <w:rFonts w:ascii="仿宋_GB2312" w:eastAsia="仿宋_GB2312" w:cs="仿宋_GB2312" w:hint="eastAsia"/>
          <w:b w:val="0"/>
          <w:bCs w:val="0"/>
          <w:color w:val="auto"/>
          <w:sz w:val="32"/>
          <w:szCs w:val="32"/>
          <w:lang w:val="en-US" w:eastAsia="zh-CN"/>
        </w:rPr>
        <w:t>;主要变动原因是上年度数据包含财返数据，今年项目较上年减少导致</w:t>
      </w:r>
      <w:r>
        <w:rPr>
          <w:rFonts w:ascii="仿宋_GB2312" w:eastAsia="仿宋_GB2312" w:cs="仿宋_GB2312" w:hint="eastAsia"/>
          <w:b w:val="0"/>
          <w:bCs w:val="0"/>
          <w:color w:val="auto"/>
          <w:sz w:val="32"/>
          <w:szCs w:val="32"/>
        </w:rPr>
        <w:t>。</w:t>
      </w:r>
      <w:r>
        <w:rPr>
          <w:rFonts w:ascii="仿宋" w:eastAsia="仿宋"/>
          <w:color w:val="000000"/>
          <w:sz w:val="32"/>
          <w:u w:color="auto"/>
        </w:rPr>
        <w:t xml:space="preserve"> </w:t>
      </w:r>
    </w:p>
    <w:p>
      <w:pPr>
        <w:spacing w:line="600" w:lineRule="exact"/>
        <w:ind w:firstLineChars="200" w:firstLine="420"/>
        <w:jc w:val="center"/>
        <w:rPr>
          <w:rFonts w:ascii="仿宋_GB2312" w:eastAsia="仿宋_GB2312"/>
          <w:color w:val="000000"/>
          <w:sz w:val="32"/>
          <w:szCs w:val="32"/>
          <w14:textFill>
            <w14:solidFill>
              <w14:srgbClr w14:val="000000"/>
            </w14:solidFill>
          </w14:textFill>
        </w:rPr>
      </w:pPr>
      <w:r>
        <w:drawing>
          <wp:anchor distT="0" distB="0" distL="114300" distR="114300" simplePos="0" relativeHeight="28" behindDoc="0" locked="0" layoutInCell="1" hidden="0" allowOverlap="1">
            <wp:simplePos x="0" y="0"/>
            <wp:positionH relativeFrom="column">
              <wp:posOffset>-130175</wp:posOffset>
            </wp:positionH>
            <wp:positionV relativeFrom="paragraph">
              <wp:posOffset>352425</wp:posOffset>
            </wp:positionV>
            <wp:extent cx="5596890" cy="2933700"/>
            <wp:effectExtent l="0" t="0" r="0" b="0"/>
            <wp:wrapTopAndBottom/>
            <wp:docPr id="1" name="图表 1"/>
            <wp:cNvGraphicFramePr>
              <a:graphicFrameLocks noChangeAspect="0"/>
            </wp:cNvGraphicFramePr>
            <a:graphic>
              <a:graphicData uri="http://schemas.openxmlformats.org/drawingml/2006/chart">
                <c:chart xmlns:c="http://schemas.openxmlformats.org/drawingml/2006/chart" r:id="rId4"/>
              </a:graphicData>
            </a:graphic>
          </wp:anchor>
        </w:drawing>
      </w:r>
      <w:bookmarkStart w:id="29" w:name="_Toc111208500"/>
      <w:bookmarkStart w:id="30" w:name="_Toc24609"/>
      <w:bookmarkStart w:id="31" w:name="_Toc15377206"/>
      <w:r>
        <w:rPr>
          <w:rFonts w:ascii="仿宋" w:eastAsia="仿宋" w:hint="eastAsia"/>
          <w:color w:val="000000"/>
          <w:sz w:val="32"/>
          <w:szCs w:val="32"/>
        </w:rPr>
        <w:t>（图1：收、支决算总计变动情况图）</w:t>
      </w:r>
    </w:p>
    <w:p>
      <w:pPr>
        <w:pStyle w:val="2"/>
        <w:rPr>
          <w:rFonts w:ascii="黑体" w:eastAsia="黑体" w:cs="Times New Roman"/>
          <w:b w:val="0"/>
          <w:bCs/>
          <w:color w:val="000000"/>
        </w:rPr>
      </w:pPr>
      <w:r>
        <w:rPr>
          <w:rFonts w:ascii="黑体" w:eastAsia="黑体" w:cs="Times New Roman" w:hint="eastAsia"/>
          <w:b w:val="0"/>
          <w:bCs/>
          <w:color w:val="000000"/>
        </w:rPr>
        <w:t>二、收入决算情况说明</w:t>
      </w:r>
      <w:bookmarkEnd w:id="29"/>
      <w:bookmarkEnd w:id="30"/>
      <w:bookmarkEnd w:id="31"/>
    </w:p>
    <w:p>
      <w:pPr>
        <w:spacing w:line="600" w:lineRule="exact"/>
        <w:ind w:firstLineChars="200" w:firstLine="640"/>
        <w:rPr>
          <w:rFonts w:ascii="仿宋" w:eastAsia="仿宋" w:cs="仿宋" w:hint="eastAsia"/>
          <w:b w:val="0"/>
          <w:bCs w:val="0"/>
          <w:color w:val="auto"/>
          <w:sz w:val="32"/>
          <w:szCs w:val="32"/>
        </w:rPr>
      </w:pPr>
      <w:r>
        <w:rPr>
          <w:rFonts w:ascii="仿宋_GB2312" w:eastAsia="仿宋_GB2312" w:cs="仿宋_GB2312" w:hint="eastAsia"/>
          <w:b w:val="0"/>
          <w:bCs w:val="0"/>
          <w:color w:val="auto"/>
          <w:sz w:val="32"/>
          <w:szCs w:val="32"/>
        </w:rPr>
        <w:t>2022年本年收入合计1218.67万元，其中：一般公共预算财政拨款收入1207.27万元，占99.06%；政府性基金预算财政拨款收入11.40万元，占0.94%</w:t>
      </w:r>
      <w:r>
        <w:rPr>
          <w:rFonts w:ascii="仿宋_GB2312" w:eastAsia="仿宋_GB2312" w:cs="仿宋_GB2312"/>
          <w:b w:val="0"/>
          <w:bCs w:val="0"/>
          <w:color w:val="auto"/>
          <w:sz w:val="32"/>
          <w:szCs w:val="32"/>
        </w:rPr>
        <w:t>。</w:t>
      </w:r>
    </w:p>
    <w:p>
      <w:pPr>
        <w:pStyle w:val="26"/>
        <w:ind w:leftChars="0" w:left="1059" w:hangingChars="331" w:hanging="1059"/>
        <w:jc w:val="center"/>
        <w:rPr>
          <w:rFonts w:ascii="仿宋_GB2312" w:eastAsia="仿宋_GB2312" w:hint="eastAsia"/>
          <w:color w:val="FF0000"/>
          <w:sz w:val="32"/>
          <w:szCs w:val="32"/>
        </w:rPr>
      </w:pPr>
      <w:r>
        <w:rPr>
          <w:rFonts w:ascii="仿宋_GB2312" w:eastAsia="仿宋_GB2312" w:hint="eastAsia"/>
          <w:color w:val="FF0000"/>
          <w:sz w:val="32"/>
          <w:szCs w:val="32"/>
        </w:rPr>
        <w:drawing>
          <wp:inline distT="0" distB="0" distL="114300" distR="114300">
            <wp:extent cx="5332730" cy="3400425"/>
            <wp:effectExtent l="0" t="0" r="0" b="0"/>
            <wp:docPr id="2" name="图表 2"/>
            <wp:cNvGraphicFramePr>
              <a:graphicFrameLocks noChangeAspect="0"/>
            </wp:cNvGraphicFramePr>
            <a:graphic>
              <a:graphicData uri="http://schemas.openxmlformats.org/drawingml/2006/chart">
                <c:chart xmlns:c="http://schemas.openxmlformats.org/drawingml/2006/chart" r:id="rId5"/>
              </a:graphicData>
            </a:graphic>
          </wp:inline>
        </w:drawing>
      </w:r>
    </w:p>
    <w:p>
      <w:pPr>
        <w:spacing w:line="600" w:lineRule="exact"/>
        <w:ind w:firstLineChars="200" w:firstLine="640"/>
        <w:jc w:val="center"/>
        <w:rPr>
          <w:rFonts w:ascii="仿宋" w:eastAsia="仿宋" w:cs="仿宋" w:hint="eastAsia"/>
          <w:b w:val="0"/>
          <w:bCs w:val="0"/>
          <w:color w:val="auto"/>
          <w:sz w:val="32"/>
          <w:szCs w:val="32"/>
        </w:rPr>
      </w:pPr>
      <w:r>
        <w:rPr>
          <w:rFonts w:ascii="仿宋" w:eastAsia="仿宋" w:cs="仿宋" w:hint="eastAsia"/>
          <w:b w:val="0"/>
          <w:bCs w:val="0"/>
          <w:color w:val="auto"/>
          <w:sz w:val="32"/>
          <w:szCs w:val="32"/>
        </w:rPr>
        <w:t>（图2：收入决算结构图）</w:t>
      </w:r>
    </w:p>
    <w:p/>
    <w:p>
      <w:pPr>
        <w:pStyle w:val="2"/>
        <w:numPr>
          <w:ilvl w:val="0"/>
          <w:numId w:val="2"/>
        </w:numPr>
        <w:ind w:left="0" w:firstLineChars="200" w:firstLine="640"/>
        <w:rPr>
          <w:rFonts w:ascii="黑体" w:eastAsia="黑体" w:cs="Times New Roman" w:hint="eastAsia"/>
          <w:b w:val="0"/>
          <w:bCs/>
          <w:color w:val="000000"/>
        </w:rPr>
      </w:pPr>
      <w:bookmarkStart w:id="32" w:name="_Toc8745"/>
      <w:bookmarkStart w:id="33" w:name="_Toc111208501"/>
      <w:bookmarkStart w:id="34" w:name="_Toc15377207"/>
      <w:r>
        <w:rPr>
          <w:rFonts w:ascii="黑体" w:eastAsia="黑体" w:cs="Times New Roman" w:hint="eastAsia"/>
          <w:b w:val="0"/>
          <w:bCs/>
          <w:color w:val="000000"/>
        </w:rPr>
        <w:t>支出决算情况说明</w:t>
      </w:r>
      <w:bookmarkEnd w:id="32"/>
      <w:bookmarkEnd w:id="33"/>
      <w:bookmarkEnd w:id="34"/>
    </w:p>
    <w:p>
      <w:pPr>
        <w:pStyle w:val="2"/>
        <w:ind w:left="0" w:firstLineChars="200" w:firstLine="640"/>
        <w:rPr>
          <w:rFonts w:ascii="仿宋" w:eastAsia="仿宋" w:cs="仿宋" w:hint="eastAsia"/>
          <w:b w:val="0"/>
          <w:bCs w:val="0"/>
          <w:color w:val="auto"/>
          <w:sz w:val="32"/>
          <w:szCs w:val="32"/>
        </w:rPr>
      </w:pPr>
      <w:r>
        <w:rPr>
          <w:rFonts w:ascii="仿宋_GB2312" w:eastAsia="仿宋_GB2312" w:hint="eastAsia"/>
          <w:color w:val="FF0000"/>
          <w:sz w:val="32"/>
          <w:szCs w:val="32"/>
        </w:rPr>
        <w:drawing>
          <wp:anchor distT="0" distB="0" distL="114300" distR="114300" simplePos="0" relativeHeight="30" behindDoc="0" locked="0" layoutInCell="1" hidden="0" allowOverlap="1">
            <wp:simplePos x="0" y="0"/>
            <wp:positionH relativeFrom="column">
              <wp:posOffset>127635</wp:posOffset>
            </wp:positionH>
            <wp:positionV relativeFrom="paragraph">
              <wp:posOffset>1179195</wp:posOffset>
            </wp:positionV>
            <wp:extent cx="5007610" cy="2401570"/>
            <wp:effectExtent l="0" t="0" r="13" b="27"/>
            <wp:wrapSquare wrapText="bothSides"/>
            <wp:docPr id="3" name="图表 3"/>
            <wp:cNvGraphicFramePr>
              <a:graphicFrameLocks noChangeAspect="0"/>
            </wp:cNvGraphicFramePr>
            <a:graphic>
              <a:graphicData uri="http://schemas.openxmlformats.org/drawingml/2006/chart">
                <c:chart xmlns:c="http://schemas.openxmlformats.org/drawingml/2006/chart" r:id="rId6"/>
              </a:graphicData>
            </a:graphic>
          </wp:anchor>
        </w:drawing>
      </w:r>
      <w:r>
        <w:rPr>
          <w:rFonts w:ascii="仿宋_GB2312" w:eastAsia="仿宋_GB2312" w:cs="仿宋_GB2312" w:hint="eastAsia"/>
          <w:b w:val="0"/>
          <w:bCs w:val="0"/>
          <w:color w:val="auto"/>
          <w:sz w:val="32"/>
          <w:szCs w:val="32"/>
        </w:rPr>
        <w:t>2022年本年支出合计1218.67万元，其中：基本支出875.92万元，占71.88%；项目支出342.75万元，占28.12%</w:t>
      </w:r>
      <w:r>
        <w:rPr>
          <w:rFonts w:ascii="仿宋_GB2312" w:eastAsia="仿宋_GB2312" w:cs="仿宋_GB2312"/>
          <w:b w:val="0"/>
          <w:bCs w:val="0"/>
          <w:color w:val="auto"/>
          <w:sz w:val="32"/>
          <w:szCs w:val="32"/>
        </w:rPr>
        <w:t>。</w:t>
      </w:r>
      <w:bookmarkStart w:id="35" w:name="_GoBack"/>
      <w:bookmarkEnd w:id="35"/>
    </w:p>
    <w:p>
      <w:pPr>
        <w:jc w:val="center"/>
        <w:rPr>
          <w:rFonts w:ascii="仿宋_GB2312" w:eastAsia="仿宋_GB2312"/>
          <w:color w:val="FF0000"/>
          <w:sz w:val="32"/>
          <w:szCs w:val="32"/>
        </w:rPr>
      </w:pPr>
      <w:r>
        <w:rPr>
          <w:rFonts w:ascii="仿宋" w:eastAsia="仿宋" w:cs="仿宋" w:hint="eastAsia"/>
          <w:b w:val="0"/>
          <w:bCs w:val="0"/>
          <w:color w:val="auto"/>
          <w:sz w:val="32"/>
          <w:szCs w:val="32"/>
        </w:rPr>
        <w:t>（图3：支出决算结构图）</w:t>
      </w:r>
    </w:p>
    <w:p>
      <w:pPr>
        <w:pStyle w:val="17"/>
      </w:pPr>
    </w:p>
    <w:p>
      <w:pPr>
        <w:pStyle w:val="2"/>
        <w:ind w:firstLineChars="200" w:firstLine="640"/>
        <w:rPr>
          <w:rFonts w:ascii="黑体" w:eastAsia="黑体" w:cs="Times New Roman"/>
          <w:b w:val="0"/>
          <w:bCs/>
          <w:color w:val="000000"/>
        </w:rPr>
      </w:pPr>
      <w:bookmarkStart w:id="36" w:name="_Toc15377208"/>
      <w:bookmarkStart w:id="37" w:name="_Toc13661"/>
      <w:bookmarkStart w:id="38" w:name="_Toc111208502"/>
      <w:r>
        <w:rPr>
          <w:rFonts w:ascii="黑体" w:eastAsia="黑体" w:cs="Times New Roman" w:hint="eastAsia"/>
          <w:b w:val="0"/>
          <w:bCs/>
          <w:color w:val="000000"/>
        </w:rPr>
        <w:t>四、财政拨款收入支出决算总体情况说明</w:t>
      </w:r>
      <w:bookmarkEnd w:id="36"/>
      <w:bookmarkEnd w:id="37"/>
      <w:bookmarkEnd w:id="38"/>
    </w:p>
    <w:p>
      <w:pPr>
        <w:spacing w:line="600" w:lineRule="exact"/>
        <w:ind w:firstLineChars="200" w:firstLine="640"/>
        <w:rPr>
          <w:rFonts w:ascii="仿宋_GB2312" w:eastAsia="仿宋_GB2312" w:cs="仿宋_GB2312" w:hint="eastAsia"/>
          <w:b w:val="0"/>
          <w:bCs w:val="0"/>
          <w:color w:val="auto"/>
          <w:sz w:val="32"/>
          <w:szCs w:val="32"/>
        </w:rPr>
      </w:pPr>
      <w:r>
        <w:rPr>
          <w:rFonts w:ascii="仿宋_GB2312" w:eastAsia="仿宋_GB2312" w:cs="仿宋_GB2312" w:hint="eastAsia"/>
          <w:b w:val="0"/>
          <w:bCs w:val="0"/>
          <w:color w:val="auto"/>
          <w:sz w:val="32"/>
          <w:szCs w:val="32"/>
        </w:rPr>
        <w:t>2022年财政拨款收、支总计1218.67万元。与2021年相比，财政拨款收、支总计各减少235.58万元，减少16.20 %</w:t>
      </w:r>
      <w:r>
        <w:rPr>
          <w:rFonts w:ascii="仿宋_GB2312" w:eastAsia="仿宋_GB2312" w:cs="仿宋_GB2312" w:hint="eastAsia"/>
          <w:b w:val="0"/>
          <w:bCs w:val="0"/>
          <w:color w:val="auto"/>
          <w:sz w:val="32"/>
          <w:szCs w:val="32"/>
          <w:lang w:eastAsia="zh-CN"/>
        </w:rPr>
        <w:t>；</w:t>
      </w:r>
      <w:r>
        <w:rPr>
          <w:rFonts w:ascii="仿宋_GB2312" w:eastAsia="仿宋_GB2312" w:cs="仿宋_GB2312" w:hint="eastAsia"/>
          <w:b w:val="0"/>
          <w:bCs w:val="0"/>
          <w:color w:val="auto"/>
          <w:sz w:val="32"/>
          <w:szCs w:val="32"/>
          <w:lang w:val="en-US" w:eastAsia="zh-CN"/>
        </w:rPr>
        <w:t>主要变动原因是上年度数据包含财返数据，今年项目较上年减少导致</w:t>
      </w:r>
      <w:r>
        <w:rPr>
          <w:rFonts w:ascii="仿宋_GB2312" w:eastAsia="仿宋_GB2312" w:cs="仿宋_GB2312" w:hint="eastAsia"/>
          <w:b w:val="0"/>
          <w:bCs w:val="0"/>
          <w:color w:val="auto"/>
          <w:sz w:val="32"/>
          <w:szCs w:val="32"/>
        </w:rPr>
        <w:t xml:space="preserve">。 </w:t>
      </w:r>
    </w:p>
    <w:p>
      <w:pPr>
        <w:pStyle w:val="17"/>
        <w:ind w:left="0" w:firstLineChars="0" w:firstLine="0"/>
        <w:jc w:val="left"/>
        <w:rPr>
          <w:rFonts w:ascii="仿宋_GB2312" w:eastAsia="仿宋_GB2312" w:hint="eastAsia"/>
          <w:color w:val="000000"/>
          <w:sz w:val="32"/>
          <w:szCs w:val="32"/>
        </w:rPr>
      </w:pPr>
      <w:r>
        <w:rPr>
          <w:rFonts w:ascii="仿宋_GB2312" w:eastAsia="仿宋_GB2312" w:hint="eastAsia"/>
          <w:color w:val="000000"/>
          <w:sz w:val="32"/>
          <w:szCs w:val="32"/>
        </w:rPr>
        <w:drawing>
          <wp:inline distT="0" distB="0" distL="0" distR="0">
            <wp:extent cx="5287645" cy="3054985"/>
            <wp:effectExtent l="0" t="0" r="0" b="0"/>
            <wp:docPr id="4" name="图表 12"/>
            <wp:cNvGraphicFramePr>
              <a:graphicFrameLocks noChangeAspect="0"/>
            </wp:cNvGraphicFramePr>
            <a:graphic>
              <a:graphicData uri="http://schemas.openxmlformats.org/drawingml/2006/chart">
                <c:chart xmlns:c="http://schemas.openxmlformats.org/drawingml/2006/chart" r:id="rId7"/>
              </a:graphicData>
            </a:graphic>
          </wp:inline>
        </w:drawing>
      </w:r>
    </w:p>
    <w:p>
      <w:pPr>
        <w:pStyle w:val="17"/>
        <w:jc w:val="left"/>
        <w:rPr>
          <w:rFonts w:ascii="仿宋_GB2312" w:eastAsia="仿宋_GB2312" w:hint="eastAsia"/>
          <w:color w:val="000000"/>
          <w:sz w:val="32"/>
          <w:szCs w:val="32"/>
        </w:rPr>
      </w:pPr>
      <w:r>
        <w:rPr>
          <w:rFonts w:ascii="仿宋" w:eastAsia="仿宋" w:cs="仿宋" w:hint="eastAsia"/>
          <w:b w:val="0"/>
          <w:bCs w:val="0"/>
          <w:color w:val="auto"/>
          <w:sz w:val="32"/>
          <w:szCs w:val="32"/>
        </w:rPr>
        <w:t>（图4：财政拨款收、支决算总计变动情况）</w:t>
      </w:r>
    </w:p>
    <w:p>
      <w:pPr>
        <w:pStyle w:val="2"/>
        <w:rPr>
          <w:rFonts w:ascii="黑体" w:eastAsia="黑体" w:cs="Times New Roman"/>
          <w:bCs w:val="0"/>
          <w:color w:val="000000"/>
        </w:rPr>
      </w:pPr>
      <w:bookmarkStart w:id="39" w:name="_Toc15377209"/>
      <w:bookmarkStart w:id="40" w:name="_Toc111208503"/>
      <w:bookmarkStart w:id="41" w:name="_Toc2126"/>
      <w:r>
        <w:rPr>
          <w:rFonts w:ascii="黑体" w:eastAsia="黑体" w:cs="Times New Roman" w:hint="eastAsia"/>
          <w:b w:val="0"/>
          <w:bCs/>
          <w:color w:val="000000"/>
        </w:rPr>
        <w:t>五、一般公共预算财政拨款支出决算情况说</w:t>
      </w:r>
      <w:bookmarkEnd w:id="39"/>
      <w:r>
        <w:rPr>
          <w:rFonts w:ascii="黑体" w:eastAsia="黑体" w:cs="Times New Roman" w:hint="eastAsia"/>
          <w:b w:val="0"/>
          <w:bCs/>
          <w:color w:val="000000"/>
        </w:rPr>
        <w:t>明</w:t>
      </w:r>
      <w:bookmarkEnd w:id="40"/>
      <w:bookmarkEnd w:id="41"/>
    </w:p>
    <w:p>
      <w:pPr>
        <w:spacing w:line="600" w:lineRule="exact"/>
        <w:ind w:firstLineChars="200" w:firstLine="640"/>
        <w:outlineLvl w:val="2"/>
        <w:rPr>
          <w:rFonts w:ascii="仿宋" w:eastAsia="仿宋"/>
          <w:b/>
          <w:bCs w:val="0"/>
          <w:color w:val="000000"/>
          <w:sz w:val="32"/>
          <w:szCs w:val="32"/>
        </w:rPr>
      </w:pPr>
      <w:bookmarkStart w:id="42" w:name="_Toc15377210"/>
      <w:r>
        <w:rPr>
          <w:rFonts w:ascii="仿宋" w:eastAsia="仿宋" w:hint="eastAsia"/>
          <w:b/>
          <w:bCs w:val="0"/>
          <w:color w:val="000000"/>
          <w:sz w:val="32"/>
          <w:szCs w:val="32"/>
        </w:rPr>
        <w:t>（一）一般公共预算财政拨款支出决算总体情况</w:t>
      </w:r>
      <w:bookmarkEnd w:id="42"/>
    </w:p>
    <w:p>
      <w:pPr>
        <w:spacing w:line="600" w:lineRule="exact"/>
        <w:ind w:firstLineChars="200" w:firstLine="640"/>
        <w:rPr>
          <w:rFonts w:ascii="仿宋" w:eastAsia="仿宋" w:cs="仿宋" w:hint="eastAsia"/>
          <w:b/>
          <w:color w:val="000000"/>
          <w:sz w:val="32"/>
          <w:szCs w:val="32"/>
        </w:rPr>
      </w:pPr>
      <w:bookmarkStart w:id="43" w:name="_Toc15377211"/>
      <w:r>
        <w:rPr>
          <w:rFonts w:ascii="仿宋_GB2312" w:eastAsia="仿宋_GB2312" w:cs="仿宋_GB2312" w:hint="eastAsia"/>
          <w:b w:val="0"/>
          <w:bCs w:val="0"/>
          <w:color w:val="auto"/>
          <w:sz w:val="32"/>
          <w:szCs w:val="32"/>
        </w:rPr>
        <w:t>2022年一般公共预算财政拨款支出1207.27万元，占本年支出合计的99.06%。与2021相比，一般公共预算财政拨款减少70.28万元，减少5.50 %</w:t>
      </w:r>
      <w:r>
        <w:rPr>
          <w:rFonts w:ascii="仿宋_GB2312" w:eastAsia="仿宋_GB2312" w:cs="仿宋_GB2312" w:hint="eastAsia"/>
          <w:b w:val="0"/>
          <w:bCs w:val="0"/>
          <w:color w:val="auto"/>
          <w:sz w:val="32"/>
          <w:szCs w:val="32"/>
          <w:lang w:eastAsia="zh-CN"/>
        </w:rPr>
        <w:t>；</w:t>
      </w:r>
      <w:r>
        <w:rPr>
          <w:rFonts w:ascii="仿宋_GB2312" w:eastAsia="仿宋_GB2312" w:cs="仿宋_GB2312" w:hint="eastAsia"/>
          <w:b w:val="0"/>
          <w:bCs w:val="0"/>
          <w:color w:val="auto"/>
          <w:sz w:val="32"/>
          <w:szCs w:val="32"/>
        </w:rPr>
        <w:t xml:space="preserve"> </w:t>
      </w:r>
      <w:r>
        <w:rPr>
          <w:rFonts w:ascii="仿宋_GB2312" w:eastAsia="仿宋_GB2312" w:cs="仿宋_GB2312" w:hint="eastAsia"/>
          <w:b w:val="0"/>
          <w:bCs w:val="0"/>
          <w:color w:val="auto"/>
          <w:sz w:val="32"/>
          <w:szCs w:val="32"/>
          <w:lang w:val="en-US" w:eastAsia="zh-CN"/>
        </w:rPr>
        <w:t>主要变动原因是上年度数据包含财返数据，今年项目较上年减少导致</w:t>
      </w:r>
      <w:r>
        <w:rPr>
          <w:rFonts w:ascii="仿宋_GB2312" w:eastAsia="仿宋_GB2312" w:cs="仿宋_GB2312" w:hint="eastAsia"/>
          <w:b w:val="0"/>
          <w:bCs w:val="0"/>
          <w:color w:val="auto"/>
          <w:sz w:val="32"/>
          <w:szCs w:val="32"/>
        </w:rPr>
        <w:t>。</w:t>
      </w:r>
    </w:p>
    <w:p>
      <w:pPr>
        <w:pStyle w:val="17"/>
        <w:ind w:left="0" w:firstLineChars="0" w:firstLine="0"/>
        <w:rPr>
          <w:rFonts w:ascii="仿宋_GB2312" w:eastAsia="仿宋_GB2312"/>
          <w:b/>
          <w:color w:val="000000"/>
          <w:sz w:val="32"/>
          <w:szCs w:val="32"/>
        </w:rPr>
      </w:pPr>
      <w:r>
        <w:rPr>
          <w:rFonts w:ascii="仿宋_GB2312" w:eastAsia="仿宋_GB2312" w:hint="eastAsia"/>
          <w:b/>
          <w:color w:val="000000"/>
          <w:sz w:val="32"/>
          <w:szCs w:val="32"/>
        </w:rPr>
        <w:drawing>
          <wp:inline distT="0" distB="0" distL="0" distR="0">
            <wp:extent cx="5148580" cy="3633470"/>
            <wp:effectExtent l="0" t="0" r="0" b="0"/>
            <wp:docPr id="5" name="图表 4"/>
            <wp:cNvGraphicFramePr>
              <a:graphicFrameLocks noChangeAspect="0"/>
            </wp:cNvGraphicFramePr>
            <a:graphic>
              <a:graphicData uri="http://schemas.openxmlformats.org/drawingml/2006/chart">
                <c:chart xmlns:c="http://schemas.openxmlformats.org/drawingml/2006/chart" r:id="rId8"/>
              </a:graphicData>
            </a:graphic>
          </wp:inline>
        </w:drawing>
      </w:r>
    </w:p>
    <w:p>
      <w:pPr>
        <w:spacing w:line="600" w:lineRule="exact"/>
        <w:ind w:firstLineChars="200" w:firstLine="640"/>
        <w:rPr>
          <w:rFonts w:ascii="仿宋" w:eastAsia="仿宋" w:cs="仿宋" w:hint="eastAsia"/>
          <w:b w:val="0"/>
          <w:bCs w:val="0"/>
          <w:color w:val="auto"/>
          <w:sz w:val="32"/>
          <w:szCs w:val="32"/>
        </w:rPr>
      </w:pPr>
      <w:r>
        <w:rPr>
          <w:rFonts w:ascii="仿宋" w:eastAsia="仿宋" w:cs="仿宋" w:hint="eastAsia"/>
          <w:b w:val="0"/>
          <w:bCs w:val="0"/>
          <w:color w:val="auto"/>
          <w:sz w:val="32"/>
          <w:szCs w:val="32"/>
        </w:rPr>
        <w:t>（图5：一般公共预算财政拨款支出决算变动情况）</w:t>
      </w:r>
    </w:p>
    <w:p>
      <w:pPr>
        <w:spacing w:line="600" w:lineRule="exact"/>
        <w:ind w:firstLineChars="200" w:firstLine="640"/>
        <w:outlineLvl w:val="2"/>
        <w:rPr>
          <w:rFonts w:ascii="仿宋" w:eastAsia="仿宋"/>
          <w:b/>
          <w:color w:val="000000"/>
          <w:sz w:val="32"/>
          <w:szCs w:val="32"/>
        </w:rPr>
      </w:pPr>
      <w:r>
        <w:rPr>
          <w:rFonts w:ascii="仿宋" w:eastAsia="仿宋" w:hint="eastAsia"/>
          <w:b/>
          <w:color w:val="000000"/>
          <w:sz w:val="32"/>
          <w:szCs w:val="32"/>
        </w:rPr>
        <w:t>（二）一般公共预算财政拨款支出决算结构情况</w:t>
      </w:r>
      <w:bookmarkEnd w:id="43"/>
      <w:r>
        <w:rPr>
          <w:rFonts w:ascii="仿宋" w:eastAsia="仿宋" w:hint="eastAsia"/>
          <w:b/>
          <w:color w:val="000000"/>
          <w:sz w:val="32"/>
          <w:szCs w:val="32"/>
        </w:rPr>
        <w:t>（一般公共预算收支表）</w:t>
      </w:r>
    </w:p>
    <w:p>
      <w:pPr>
        <w:spacing w:line="600" w:lineRule="exact"/>
        <w:ind w:firstLineChars="200" w:firstLine="640"/>
        <w:rPr>
          <w:rFonts w:ascii="仿宋_GB2312" w:eastAsia="仿宋_GB2312" w:cs="仿宋_GB2312" w:hint="eastAsia"/>
          <w:b w:val="0"/>
          <w:bCs w:val="0"/>
          <w:color w:val="auto"/>
          <w:sz w:val="32"/>
          <w:szCs w:val="32"/>
        </w:rPr>
      </w:pPr>
      <w:r>
        <w:rPr>
          <w:rFonts w:ascii="仿宋_GB2312" w:eastAsia="仿宋_GB2312" w:cs="仿宋_GB2312" w:hint="eastAsia"/>
          <w:b w:val="0"/>
          <w:bCs w:val="0"/>
          <w:color w:val="auto"/>
          <w:sz w:val="32"/>
          <w:szCs w:val="32"/>
        </w:rPr>
        <w:t>2022年一般公共预算财政拨款支出1207.27万元，主要用于以下方面: 一般公共服务支出441.06万元，占36.53%；社会保障和就业支出113.58万元，占9.41%；卫生健康支出58.21万元，占4.82%；农林水支出533.96万元，占44.23%；住房保障支出60.46万元，占5.01%。</w:t>
      </w:r>
    </w:p>
    <w:p>
      <w:pPr>
        <w:spacing w:line="600" w:lineRule="exact"/>
        <w:ind w:firstLineChars="200" w:firstLine="640"/>
        <w:rPr>
          <w:rFonts w:ascii="仿宋" w:eastAsia="仿宋" w:cs="仿宋" w:hint="eastAsia"/>
          <w:b w:val="0"/>
          <w:bCs w:val="0"/>
          <w:color w:val="auto"/>
          <w:sz w:val="32"/>
          <w:szCs w:val="32"/>
        </w:rPr>
      </w:pPr>
      <w:bookmarkStart w:id="44" w:name="_Toc15377212"/>
    </w:p>
    <w:p>
      <w:pPr>
        <w:pStyle w:val="17"/>
        <w:ind w:left="0" w:firstLineChars="0" w:firstLine="0"/>
      </w:pPr>
      <w:r>
        <w:drawing>
          <wp:inline distT="0" distB="0" distL="0" distR="0">
            <wp:extent cx="4861560" cy="2716530"/>
            <wp:effectExtent l="0" t="0" r="0" b="0"/>
            <wp:docPr id="6" name="图表 1"/>
            <wp:cNvGraphicFramePr>
              <a:graphicFrameLocks noChangeAspect="0"/>
            </wp:cNvGraphicFramePr>
            <a:graphic>
              <a:graphicData uri="http://schemas.openxmlformats.org/drawingml/2006/chart">
                <c:chart xmlns:c="http://schemas.openxmlformats.org/drawingml/2006/chart" r:id="rId9"/>
              </a:graphicData>
            </a:graphic>
          </wp:inline>
        </w:drawing>
      </w:r>
    </w:p>
    <w:p>
      <w:pPr>
        <w:pStyle w:val="17"/>
      </w:pPr>
      <w:r>
        <w:rPr>
          <w:rFonts w:ascii="仿宋" w:eastAsia="仿宋" w:cs="仿宋" w:hint="eastAsia"/>
          <w:b w:val="0"/>
          <w:bCs w:val="0"/>
          <w:color w:val="auto"/>
          <w:sz w:val="32"/>
          <w:szCs w:val="32"/>
        </w:rPr>
        <w:t>（图6：一般公共预算财政拨款支出决算结构）</w:t>
      </w:r>
    </w:p>
    <w:p>
      <w:pPr>
        <w:spacing w:line="600" w:lineRule="exact"/>
        <w:ind w:firstLineChars="200" w:firstLine="640"/>
        <w:outlineLvl w:val="2"/>
        <w:rPr>
          <w:rFonts w:ascii="仿宋" w:eastAsia="仿宋"/>
          <w:b/>
          <w:color w:val="000000"/>
          <w:sz w:val="32"/>
          <w:szCs w:val="32"/>
        </w:rPr>
      </w:pPr>
      <w:r>
        <w:rPr>
          <w:rFonts w:ascii="仿宋" w:eastAsia="仿宋" w:hint="eastAsia"/>
          <w:b/>
          <w:color w:val="000000"/>
          <w:sz w:val="32"/>
          <w:szCs w:val="32"/>
        </w:rPr>
        <w:t>（三）一般公共预算财政拨款支出决算具体情况</w:t>
      </w:r>
      <w:bookmarkEnd w:id="44"/>
    </w:p>
    <w:p>
      <w:pPr>
        <w:spacing w:line="600" w:lineRule="exact"/>
        <w:ind w:firstLineChars="200" w:firstLine="640"/>
        <w:rPr>
          <w:rFonts w:ascii="仿宋_GB2312" w:eastAsia="仿宋_GB2312" w:hint="eastAsia"/>
          <w:b/>
          <w:bCs/>
          <w:sz w:val="32"/>
          <w:szCs w:val="32"/>
          <w:lang w:eastAsia="zh-CN"/>
        </w:rPr>
      </w:pPr>
      <w:bookmarkStart w:id="45" w:name="_Toc15378460"/>
      <w:bookmarkStart w:id="46" w:name="_Toc15377444"/>
      <w:bookmarkStart w:id="47" w:name="_Toc15377213"/>
      <w:r>
        <w:rPr>
          <w:rFonts w:ascii="仿宋_GB2312" w:eastAsia="仿宋_GB2312" w:hint="eastAsia"/>
          <w:b/>
          <w:bCs/>
          <w:sz w:val="32"/>
          <w:szCs w:val="32"/>
          <w:lang w:eastAsia="zh-CN"/>
        </w:rPr>
        <w:t>2022年一般公共预算支出决算数为1207.27万元，完成预算100%。其中：</w:t>
      </w:r>
      <w:bookmarkEnd w:id="45"/>
      <w:bookmarkEnd w:id="46"/>
      <w:bookmarkEnd w:id="47"/>
    </w:p>
    <w:p>
      <w:pPr>
        <w:spacing w:line="600" w:lineRule="exact"/>
        <w:ind w:firstLineChars="200" w:firstLine="640"/>
        <w:rPr>
          <w:rFonts w:ascii="仿宋_GB2312" w:eastAsia="仿宋_GB2312" w:hint="eastAsia"/>
          <w:b w:val="0"/>
          <w:bCs w:val="0"/>
          <w:sz w:val="32"/>
          <w:szCs w:val="32"/>
          <w:lang w:val="en-US" w:eastAsia="zh-CN"/>
        </w:rPr>
      </w:pPr>
      <w:r>
        <w:rPr>
          <w:rFonts w:ascii="仿宋_GB2312" w:eastAsia="仿宋_GB2312" w:hint="eastAsia"/>
          <w:b/>
          <w:bCs/>
          <w:sz w:val="32"/>
          <w:szCs w:val="32"/>
          <w:lang w:val="en-US" w:eastAsia="zh-CN"/>
        </w:rPr>
        <w:t>1.</w:t>
      </w:r>
      <w:r>
        <w:rPr>
          <w:rFonts w:ascii="仿宋_GB2312" w:eastAsia="仿宋_GB2312" w:hint="eastAsia"/>
          <w:b/>
          <w:bCs/>
          <w:sz w:val="32"/>
          <w:szCs w:val="32"/>
          <w:lang w:eastAsia="zh-CN"/>
        </w:rPr>
        <w:t>一般公共服务支出（201）政府办公厅（室）及相关机构事务（20103）行政运行（2010301）</w:t>
      </w:r>
      <w:r>
        <w:rPr>
          <w:rFonts w:ascii="仿宋_GB2312" w:eastAsia="仿宋_GB2312" w:hint="eastAsia"/>
          <w:b/>
          <w:bCs/>
          <w:sz w:val="32"/>
          <w:szCs w:val="32"/>
          <w:lang w:val="en-US" w:eastAsia="zh-CN"/>
        </w:rPr>
        <w:t>:</w:t>
      </w:r>
      <w:r>
        <w:rPr>
          <w:rFonts w:ascii="仿宋_GB2312" w:eastAsia="仿宋_GB2312" w:hint="eastAsia"/>
          <w:b w:val="0"/>
          <w:bCs w:val="0"/>
          <w:sz w:val="32"/>
          <w:szCs w:val="32"/>
          <w:lang w:eastAsia="zh-CN"/>
        </w:rPr>
        <w:t>支出决算439.90万元，完成预算100%。</w:t>
        <w:cr/>
      </w:r>
      <w:r>
        <w:rPr>
          <w:rFonts w:ascii="仿宋_GB2312" w:eastAsia="仿宋_GB2312" w:hint="eastAsia"/>
          <w:b/>
          <w:bCs/>
          <w:sz w:val="32"/>
          <w:szCs w:val="32"/>
          <w:lang w:val="en-US" w:eastAsia="zh-CN"/>
        </w:rPr>
        <w:t xml:space="preserve">    </w:t>
      </w:r>
      <w:r>
        <w:rPr>
          <w:rFonts w:ascii="仿宋_GB2312" w:eastAsia="仿宋_GB2312" w:hint="eastAsia"/>
          <w:b/>
          <w:bCs/>
          <w:sz w:val="32"/>
          <w:szCs w:val="32"/>
          <w:lang w:eastAsia="zh-CN"/>
        </w:rPr>
        <w:t>2.一般公共服务支出（201）党委办公厅（室）及相关机构事务（20131）行政运行（2013101）</w:t>
      </w:r>
      <w:r>
        <w:rPr>
          <w:rFonts w:ascii="仿宋_GB2312" w:eastAsia="仿宋_GB2312" w:hint="eastAsia"/>
          <w:b w:val="0"/>
          <w:bCs w:val="0"/>
          <w:sz w:val="32"/>
          <w:szCs w:val="32"/>
          <w:lang w:val="en-US" w:eastAsia="zh-CN"/>
        </w:rPr>
        <w:t>:支出决算1.16万元，完成预算100%。</w:t>
        <w:cr/>
      </w:r>
      <w:r>
        <w:rPr>
          <w:rFonts w:ascii="仿宋_GB2312" w:eastAsia="仿宋_GB2312" w:hint="eastAsia"/>
          <w:b/>
          <w:bCs/>
          <w:sz w:val="32"/>
          <w:szCs w:val="32"/>
          <w:lang w:val="en-US" w:eastAsia="zh-CN"/>
        </w:rPr>
        <w:t xml:space="preserve">    </w:t>
      </w:r>
      <w:r>
        <w:rPr>
          <w:rFonts w:ascii="仿宋_GB2312" w:eastAsia="仿宋_GB2312" w:hint="eastAsia"/>
          <w:b/>
          <w:bCs/>
          <w:sz w:val="32"/>
          <w:szCs w:val="32"/>
          <w:lang w:eastAsia="zh-CN"/>
        </w:rPr>
        <w:t>3.社会保障和就业支出（208）行政事业单位养老支出（20805）机关事业单位基本养老保险缴费支出（2080505）</w:t>
      </w:r>
      <w:r>
        <w:rPr>
          <w:rFonts w:ascii="仿宋_GB2312" w:eastAsia="仿宋_GB2312" w:hint="eastAsia"/>
          <w:b/>
          <w:bCs/>
          <w:sz w:val="32"/>
          <w:szCs w:val="32"/>
          <w:lang w:val="en-US" w:eastAsia="zh-CN"/>
        </w:rPr>
        <w:t>:</w:t>
      </w:r>
      <w:r>
        <w:rPr>
          <w:rFonts w:ascii="仿宋_GB2312" w:eastAsia="仿宋_GB2312" w:hint="eastAsia"/>
          <w:b w:val="0"/>
          <w:bCs w:val="0"/>
          <w:sz w:val="32"/>
          <w:szCs w:val="32"/>
          <w:lang w:eastAsia="zh-CN"/>
        </w:rPr>
        <w:t>支出决算71.28万元，完成预算100%。</w:t>
        <w:cr/>
      </w:r>
      <w:r>
        <w:rPr>
          <w:rFonts w:ascii="仿宋_GB2312" w:eastAsia="仿宋_GB2312" w:hint="eastAsia"/>
          <w:b/>
          <w:bCs/>
          <w:sz w:val="32"/>
          <w:szCs w:val="32"/>
          <w:lang w:val="en-US" w:eastAsia="zh-CN"/>
        </w:rPr>
        <w:t xml:space="preserve">    </w:t>
      </w:r>
      <w:r>
        <w:rPr>
          <w:rFonts w:ascii="仿宋_GB2312" w:eastAsia="仿宋_GB2312" w:hint="eastAsia"/>
          <w:b/>
          <w:bCs/>
          <w:sz w:val="32"/>
          <w:szCs w:val="32"/>
          <w:lang w:eastAsia="zh-CN"/>
        </w:rPr>
        <w:t>4.社会保障和就业支出（208）行政事业单位养老支出（20805）机关事业单位职业年金缴费支出（2080506）</w:t>
      </w:r>
      <w:r>
        <w:rPr>
          <w:rFonts w:ascii="仿宋_GB2312" w:eastAsia="仿宋_GB2312" w:hint="eastAsia"/>
          <w:b/>
          <w:bCs/>
          <w:sz w:val="32"/>
          <w:szCs w:val="32"/>
          <w:lang w:val="en-US" w:eastAsia="zh-CN"/>
        </w:rPr>
        <w:t>:</w:t>
      </w:r>
      <w:r>
        <w:rPr>
          <w:rFonts w:ascii="仿宋_GB2312" w:eastAsia="仿宋_GB2312" w:hint="eastAsia"/>
          <w:b w:val="0"/>
          <w:bCs w:val="0"/>
          <w:sz w:val="32"/>
          <w:szCs w:val="32"/>
          <w:lang w:eastAsia="zh-CN"/>
        </w:rPr>
        <w:t>支出决算35.64万元，完成预算100%。</w:t>
        <w:cr/>
      </w:r>
      <w:r>
        <w:rPr>
          <w:rFonts w:ascii="仿宋_GB2312" w:eastAsia="仿宋_GB2312" w:hint="eastAsia"/>
          <w:b/>
          <w:bCs/>
          <w:sz w:val="32"/>
          <w:szCs w:val="32"/>
          <w:lang w:val="en-US" w:eastAsia="zh-CN"/>
        </w:rPr>
        <w:t xml:space="preserve">    5.社会保障和就业支出（208）社会福利（20810）老年福利（2081002）:</w:t>
      </w:r>
      <w:r>
        <w:rPr>
          <w:rFonts w:ascii="仿宋_GB2312" w:eastAsia="仿宋_GB2312" w:hint="eastAsia"/>
          <w:b w:val="0"/>
          <w:bCs w:val="0"/>
          <w:sz w:val="32"/>
          <w:szCs w:val="32"/>
          <w:lang w:val="en-US" w:eastAsia="zh-CN"/>
        </w:rPr>
        <w:t>支出决算2.15万元，完成预算100%。</w:t>
        <w:cr/>
      </w:r>
      <w:r>
        <w:rPr>
          <w:rFonts w:ascii="仿宋_GB2312" w:eastAsia="仿宋_GB2312" w:hint="eastAsia"/>
          <w:b/>
          <w:bCs/>
          <w:sz w:val="32"/>
          <w:szCs w:val="32"/>
          <w:lang w:val="en-US" w:eastAsia="zh-CN"/>
        </w:rPr>
        <w:t xml:space="preserve">    6.社会保障和就业支出（208）社会福利（20810）养老服务（2081006）:</w:t>
      </w:r>
      <w:r>
        <w:rPr>
          <w:rFonts w:ascii="仿宋_GB2312" w:eastAsia="仿宋_GB2312" w:hint="eastAsia"/>
          <w:b w:val="0"/>
          <w:bCs w:val="0"/>
          <w:sz w:val="32"/>
          <w:szCs w:val="32"/>
          <w:lang w:val="en-US" w:eastAsia="zh-CN"/>
        </w:rPr>
        <w:t>支出决算4.18万元，完成预算100%。</w:t>
      </w:r>
    </w:p>
    <w:p>
      <w:pPr>
        <w:spacing w:line="600" w:lineRule="exact"/>
        <w:ind w:firstLineChars="200" w:firstLine="640"/>
        <w:rPr>
          <w:rFonts w:ascii="仿宋_GB2312" w:eastAsia="仿宋_GB2312" w:hint="eastAsia"/>
          <w:b w:val="0"/>
          <w:bCs w:val="0"/>
          <w:sz w:val="32"/>
          <w:szCs w:val="32"/>
          <w:lang w:val="en-US" w:eastAsia="zh-CN"/>
        </w:rPr>
      </w:pPr>
      <w:r>
        <w:rPr>
          <w:rFonts w:ascii="仿宋_GB2312" w:eastAsia="仿宋_GB2312" w:hint="eastAsia"/>
          <w:b/>
          <w:bCs/>
          <w:sz w:val="32"/>
          <w:szCs w:val="32"/>
          <w:lang w:val="en-US" w:eastAsia="zh-CN"/>
        </w:rPr>
        <w:t>7.社会保障和就业支出（208）残疾人事业（20811）其他残疾人事业支出（2081199）:</w:t>
      </w:r>
      <w:r>
        <w:rPr>
          <w:rFonts w:ascii="仿宋_GB2312" w:eastAsia="仿宋_GB2312" w:hint="eastAsia"/>
          <w:b w:val="0"/>
          <w:bCs w:val="0"/>
          <w:sz w:val="32"/>
          <w:szCs w:val="32"/>
          <w:lang w:val="en-US" w:eastAsia="zh-CN"/>
        </w:rPr>
        <w:t>支出决算0.32万元，完成预算100%。</w:t>
        <w:cr/>
      </w:r>
      <w:r>
        <w:rPr>
          <w:rFonts w:ascii="仿宋_GB2312" w:eastAsia="仿宋_GB2312" w:hint="eastAsia"/>
          <w:b/>
          <w:bCs/>
          <w:sz w:val="32"/>
          <w:szCs w:val="32"/>
          <w:lang w:val="en-US" w:eastAsia="zh-CN"/>
        </w:rPr>
        <w:t xml:space="preserve">    8.卫生健康支出（210）公共卫生（21004）重大公共卫生服务（2100409）:</w:t>
      </w:r>
      <w:r>
        <w:rPr>
          <w:rFonts w:ascii="仿宋_GB2312" w:eastAsia="仿宋_GB2312" w:hint="eastAsia"/>
          <w:b w:val="0"/>
          <w:bCs w:val="0"/>
          <w:sz w:val="32"/>
          <w:szCs w:val="32"/>
          <w:lang w:val="en-US" w:eastAsia="zh-CN"/>
        </w:rPr>
        <w:t>支出决算10.00万元，完成预算100%。</w:t>
        <w:cr/>
      </w:r>
      <w:r>
        <w:rPr>
          <w:rFonts w:ascii="仿宋_GB2312" w:eastAsia="仿宋_GB2312" w:hint="eastAsia"/>
          <w:b/>
          <w:bCs/>
          <w:sz w:val="32"/>
          <w:szCs w:val="32"/>
          <w:lang w:val="en-US" w:eastAsia="zh-CN"/>
        </w:rPr>
        <w:t xml:space="preserve">    9.卫生健康支出（210）计划生育事务（21007）其他计划生育事务支出（2100799）:</w:t>
      </w:r>
      <w:r>
        <w:rPr>
          <w:rFonts w:ascii="仿宋_GB2312" w:eastAsia="仿宋_GB2312" w:hint="eastAsia"/>
          <w:b w:val="0"/>
          <w:bCs w:val="0"/>
          <w:sz w:val="32"/>
          <w:szCs w:val="32"/>
          <w:lang w:val="en-US" w:eastAsia="zh-CN"/>
        </w:rPr>
        <w:t>支出决算0.40万元，完成预算100%。</w:t>
      </w:r>
      <w:r>
        <w:rPr>
          <w:rFonts w:ascii="仿宋_GB2312" w:eastAsia="仿宋_GB2312" w:hint="eastAsia"/>
          <w:b/>
          <w:bCs/>
          <w:sz w:val="32"/>
          <w:szCs w:val="32"/>
          <w:lang w:val="en-US" w:eastAsia="zh-CN"/>
        </w:rPr>
        <w:cr/>
        <w:t xml:space="preserve">    10.卫生健康支出（210）行政事业单位医疗（21011）行政单位医疗（2101101）:</w:t>
      </w:r>
      <w:r>
        <w:rPr>
          <w:rFonts w:ascii="仿宋_GB2312" w:eastAsia="仿宋_GB2312" w:hint="eastAsia"/>
          <w:b w:val="0"/>
          <w:bCs w:val="0"/>
          <w:sz w:val="32"/>
          <w:szCs w:val="32"/>
          <w:lang w:val="en-US" w:eastAsia="zh-CN"/>
        </w:rPr>
        <w:t>支出决算30.96万元，完成预算100%。</w:t>
        <w:cr/>
      </w:r>
      <w:r>
        <w:rPr>
          <w:rFonts w:ascii="仿宋_GB2312" w:eastAsia="仿宋_GB2312" w:hint="eastAsia"/>
          <w:b/>
          <w:bCs/>
          <w:sz w:val="32"/>
          <w:szCs w:val="32"/>
          <w:lang w:val="en-US" w:eastAsia="zh-CN"/>
        </w:rPr>
        <w:t xml:space="preserve">    11.卫生健康支出（210）行政事业单位医疗（21011）事业单位医疗（2101102）:</w:t>
      </w:r>
      <w:r>
        <w:rPr>
          <w:rFonts w:ascii="仿宋_GB2312" w:eastAsia="仿宋_GB2312" w:hint="eastAsia"/>
          <w:b w:val="0"/>
          <w:bCs w:val="0"/>
          <w:sz w:val="32"/>
          <w:szCs w:val="32"/>
          <w:lang w:val="en-US" w:eastAsia="zh-CN"/>
        </w:rPr>
        <w:t>支出决算16.86万元，完成预算100%。</w:t>
        <w:cr/>
      </w:r>
      <w:r>
        <w:rPr>
          <w:rFonts w:ascii="仿宋_GB2312" w:eastAsia="仿宋_GB2312" w:hint="eastAsia"/>
          <w:b/>
          <w:bCs/>
          <w:sz w:val="32"/>
          <w:szCs w:val="32"/>
          <w:lang w:val="en-US" w:eastAsia="zh-CN"/>
        </w:rPr>
        <w:t xml:space="preserve">    12.农林水支出（213）农业农村（21301）事业运行（2130104）:</w:t>
      </w:r>
      <w:r>
        <w:rPr>
          <w:rFonts w:ascii="仿宋_GB2312" w:eastAsia="仿宋_GB2312" w:hint="eastAsia"/>
          <w:b w:val="0"/>
          <w:bCs w:val="0"/>
          <w:sz w:val="32"/>
          <w:szCs w:val="32"/>
          <w:lang w:val="en-US" w:eastAsia="zh-CN"/>
        </w:rPr>
        <w:t>支出决算219.66万元，完成预算100%。</w:t>
        <w:cr/>
      </w:r>
      <w:r>
        <w:rPr>
          <w:rFonts w:ascii="仿宋_GB2312" w:eastAsia="仿宋_GB2312" w:hint="eastAsia"/>
          <w:b/>
          <w:bCs/>
          <w:sz w:val="32"/>
          <w:szCs w:val="32"/>
          <w:lang w:val="en-US" w:eastAsia="zh-CN"/>
        </w:rPr>
        <w:t xml:space="preserve">    13.农林水支出（213）巩固脱贫衔接乡村振兴（21305）其他巩固脱贫衔接乡村振兴支出（2130599）:</w:t>
      </w:r>
      <w:r>
        <w:rPr>
          <w:rFonts w:ascii="仿宋_GB2312" w:eastAsia="仿宋_GB2312" w:hint="eastAsia"/>
          <w:b w:val="0"/>
          <w:bCs w:val="0"/>
          <w:sz w:val="32"/>
          <w:szCs w:val="32"/>
          <w:lang w:val="en-US" w:eastAsia="zh-CN"/>
        </w:rPr>
        <w:t>支出决算101.50万元，完成预算100%。</w:t>
        <w:cr/>
      </w:r>
      <w:r>
        <w:rPr>
          <w:rFonts w:ascii="仿宋_GB2312" w:eastAsia="仿宋_GB2312" w:hint="eastAsia"/>
          <w:b/>
          <w:bCs/>
          <w:sz w:val="32"/>
          <w:szCs w:val="32"/>
          <w:lang w:val="en-US" w:eastAsia="zh-CN"/>
        </w:rPr>
        <w:t xml:space="preserve">    14.农林水支出（213）农村综合改革（21307）对村民委员会和村党支部的补助（2130705）:</w:t>
      </w:r>
      <w:r>
        <w:rPr>
          <w:rFonts w:ascii="仿宋_GB2312" w:eastAsia="仿宋_GB2312" w:hint="eastAsia"/>
          <w:b w:val="0"/>
          <w:bCs w:val="0"/>
          <w:sz w:val="32"/>
          <w:szCs w:val="32"/>
          <w:lang w:val="en-US" w:eastAsia="zh-CN"/>
        </w:rPr>
        <w:t>支出决算212.80万元，完成预算100%。</w:t>
        <w:cr/>
      </w:r>
      <w:r>
        <w:rPr>
          <w:rFonts w:ascii="仿宋_GB2312" w:eastAsia="仿宋_GB2312" w:hint="eastAsia"/>
          <w:b/>
          <w:bCs/>
          <w:sz w:val="32"/>
          <w:szCs w:val="32"/>
          <w:lang w:val="en-US" w:eastAsia="zh-CN"/>
        </w:rPr>
        <w:t xml:space="preserve">    15.住房保障支出（221）住房改革支出（22102）住房公积金（2210201）</w:t>
      </w:r>
      <w:r>
        <w:rPr>
          <w:rFonts w:ascii="仿宋_GB2312" w:eastAsia="仿宋_GB2312" w:hint="eastAsia"/>
          <w:b w:val="0"/>
          <w:bCs w:val="0"/>
          <w:sz w:val="32"/>
          <w:szCs w:val="32"/>
          <w:lang w:val="en-US" w:eastAsia="zh-CN"/>
        </w:rPr>
        <w:t>支出决算58.03万元，完成预算100%。</w:t>
        <w:cr/>
      </w:r>
      <w:r>
        <w:rPr>
          <w:rFonts w:ascii="仿宋_GB2312" w:eastAsia="仿宋_GB2312" w:hint="eastAsia"/>
          <w:b/>
          <w:bCs/>
          <w:sz w:val="32"/>
          <w:szCs w:val="32"/>
          <w:lang w:val="en-US" w:eastAsia="zh-CN"/>
        </w:rPr>
        <w:t xml:space="preserve">    16.住房保障支出（221）住房改革支出（22102）购房补贴（2210203）:</w:t>
      </w:r>
      <w:r>
        <w:rPr>
          <w:rFonts w:ascii="仿宋_GB2312" w:eastAsia="仿宋_GB2312" w:hint="eastAsia"/>
          <w:b w:val="0"/>
          <w:bCs w:val="0"/>
          <w:sz w:val="32"/>
          <w:szCs w:val="32"/>
          <w:lang w:val="en-US" w:eastAsia="zh-CN"/>
        </w:rPr>
        <w:t>支出决算2.43万元，完成预算100%。</w:t>
      </w:r>
    </w:p>
    <w:p>
      <w:pPr>
        <w:spacing w:line="600" w:lineRule="exact"/>
        <w:ind w:firstLineChars="200" w:firstLine="640"/>
        <w:rPr>
          <w:rFonts w:ascii="黑体" w:eastAsia="黑体" w:cs="黑体" w:hint="eastAsia"/>
          <w:b w:val="0"/>
          <w:bCs w:val="0"/>
          <w:sz w:val="32"/>
          <w:szCs w:val="32"/>
          <w:lang w:eastAsia="zh-CN"/>
        </w:rPr>
      </w:pPr>
      <w:bookmarkStart w:id="48" w:name="_Toc15377214"/>
      <w:bookmarkStart w:id="49" w:name="_Toc111208504"/>
      <w:bookmarkStart w:id="50" w:name="_Toc24703"/>
      <w:r>
        <w:rPr>
          <w:rFonts w:ascii="黑体" w:eastAsia="黑体" w:cs="黑体" w:hint="eastAsia"/>
          <w:b w:val="0"/>
          <w:bCs w:val="0"/>
          <w:sz w:val="32"/>
          <w:szCs w:val="32"/>
          <w:lang w:eastAsia="zh-CN"/>
        </w:rPr>
        <w:t>六、一般公共预算财政拨款基本支出决算情况说</w:t>
      </w:r>
      <w:bookmarkEnd w:id="48"/>
      <w:r>
        <w:rPr>
          <w:rFonts w:ascii="黑体" w:eastAsia="黑体" w:cs="黑体" w:hint="eastAsia"/>
          <w:b w:val="0"/>
          <w:bCs w:val="0"/>
          <w:sz w:val="32"/>
          <w:szCs w:val="32"/>
          <w:lang w:eastAsia="zh-CN"/>
        </w:rPr>
        <w:t>明</w:t>
      </w:r>
      <w:bookmarkEnd w:id="49"/>
      <w:bookmarkEnd w:id="50"/>
    </w:p>
    <w:p>
      <w:pPr>
        <w:spacing w:line="600" w:lineRule="exact"/>
        <w:ind w:firstLine="645"/>
        <w:rPr>
          <w:rFonts w:ascii="仿宋" w:eastAsia="仿宋" w:hint="eastAsia"/>
          <w:color w:val="000000"/>
          <w:sz w:val="32"/>
          <w:szCs w:val="32"/>
          <w:lang w:val="en-US" w:eastAsia="zh-CN"/>
        </w:rPr>
      </w:pPr>
      <w:r>
        <w:rPr>
          <w:rFonts w:ascii="仿宋" w:eastAsia="仿宋" w:hint="eastAsia"/>
          <w:color w:val="000000"/>
          <w:sz w:val="32"/>
          <w:szCs w:val="32"/>
          <w:lang w:val="en-US" w:eastAsia="zh-CN"/>
        </w:rPr>
        <w:t>2022年一般公共预算财政拨款基本支出875.92万元，其中：</w:t>
      </w:r>
    </w:p>
    <w:p>
      <w:pPr>
        <w:spacing w:line="600" w:lineRule="exact"/>
        <w:ind w:firstLine="645"/>
        <w:rPr>
          <w:rFonts w:ascii="仿宋" w:eastAsia="仿宋" w:hint="eastAsia"/>
          <w:color w:val="000000"/>
          <w:sz w:val="32"/>
          <w:szCs w:val="32"/>
          <w:lang w:val="en-US" w:eastAsia="zh-CN"/>
        </w:rPr>
      </w:pPr>
      <w:r>
        <w:rPr>
          <w:rFonts w:ascii="仿宋" w:eastAsia="仿宋" w:hint="eastAsia"/>
          <w:color w:val="000000"/>
          <w:sz w:val="32"/>
          <w:szCs w:val="32"/>
          <w:lang w:val="en-US" w:eastAsia="zh-CN"/>
        </w:rPr>
        <w:t>人员经费841.18万元，主要包括：基本工资182.52万元、津贴补贴136.09万元、奖金142.86万元、绩效工资127.14万元、机关事业单位基本养老保险缴费71.28万元、职业年金缴费35.64万元、职工基本医疗保险缴费47.81万元、其他社会保障缴费13.83万元、住房公积金58.03万元、医疗费0.25万元、抚恤金18.54万元、生活补助7.04万元、医疗费补助0.10万元、奖励金0.04万元。</w:t>
      </w:r>
    </w:p>
    <w:p>
      <w:pPr>
        <w:spacing w:line="600" w:lineRule="exact"/>
        <w:ind w:firstLine="645"/>
        <w:rPr>
          <w:rFonts w:ascii="仿宋" w:eastAsia="仿宋" w:hint="eastAsia"/>
          <w:color w:val="000000"/>
          <w:sz w:val="32"/>
          <w:szCs w:val="32"/>
          <w:lang w:val="en-US" w:eastAsia="zh-CN"/>
        </w:rPr>
      </w:pPr>
      <w:r>
        <w:rPr>
          <w:rFonts w:ascii="仿宋" w:eastAsia="仿宋" w:hint="eastAsia"/>
          <w:color w:val="000000"/>
          <w:sz w:val="32"/>
          <w:szCs w:val="32"/>
          <w:lang w:val="en-US" w:eastAsia="zh-CN"/>
        </w:rPr>
        <w:t>公用经费34.74万元，主要包括：办公费15.32万元、电费2.63万元、邮电费2.11万元、差旅费9.50万元、培训费0.18万元、公务用车运行维护费5.00万元。</w:t>
      </w:r>
    </w:p>
    <w:p>
      <w:pPr>
        <w:pStyle w:val="2"/>
        <w:ind w:firstLineChars="200" w:firstLine="640"/>
        <w:rPr>
          <w:rFonts w:ascii="黑体" w:eastAsia="黑体" w:cs="Times New Roman"/>
          <w:b w:val="0"/>
          <w:bCs/>
          <w:color w:val="000000"/>
        </w:rPr>
      </w:pPr>
      <w:bookmarkStart w:id="51" w:name="_Toc111208505"/>
      <w:bookmarkStart w:id="52" w:name="_Toc16585"/>
      <w:bookmarkStart w:id="53" w:name="_Toc15377215"/>
      <w:r>
        <w:rPr>
          <w:rFonts w:ascii="黑体" w:eastAsia="黑体" w:cs="Times New Roman" w:hint="eastAsia"/>
          <w:b w:val="0"/>
          <w:bCs/>
          <w:color w:val="000000"/>
        </w:rPr>
        <w:t>七、“三公”经费财政拨款支出决算情况说明</w:t>
      </w:r>
      <w:bookmarkEnd w:id="51"/>
      <w:bookmarkEnd w:id="52"/>
      <w:bookmarkEnd w:id="53"/>
    </w:p>
    <w:p>
      <w:pPr>
        <w:spacing w:line="600" w:lineRule="exact"/>
        <w:ind w:firstLineChars="200" w:firstLine="640"/>
        <w:outlineLvl w:val="2"/>
        <w:rPr>
          <w:rFonts w:ascii="仿宋" w:eastAsia="仿宋"/>
          <w:b/>
          <w:color w:val="000000"/>
          <w:sz w:val="32"/>
          <w:szCs w:val="32"/>
        </w:rPr>
      </w:pPr>
      <w:bookmarkStart w:id="54" w:name="_Toc15377216"/>
      <w:r>
        <w:rPr>
          <w:rFonts w:ascii="仿宋" w:eastAsia="仿宋" w:hint="eastAsia"/>
          <w:b/>
          <w:color w:val="000000"/>
          <w:sz w:val="32"/>
          <w:szCs w:val="32"/>
        </w:rPr>
        <w:t>（一）“三公”经费财政拨款支出决算总体情况说明</w:t>
      </w:r>
      <w:bookmarkEnd w:id="54"/>
    </w:p>
    <w:p>
      <w:pPr>
        <w:spacing w:line="600" w:lineRule="exact"/>
        <w:ind w:firstLineChars="200" w:firstLine="640"/>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2022年“三公”经费财政拨款支出决算为5.00万元，完成预算100.00%，较上年增加1.49万元，增加42.47 %</w:t>
      </w:r>
      <w:bookmarkStart w:id="55" w:name="_Toc15377217"/>
      <w:r>
        <w:rPr>
          <w:rFonts w:ascii="仿宋_GB2312" w:eastAsia="仿宋_GB2312" w:cs="仿宋_GB2312" w:hint="eastAsia"/>
          <w:b w:val="0"/>
          <w:bCs w:val="0"/>
          <w:color w:val="auto"/>
          <w:sz w:val="32"/>
          <w:szCs w:val="32"/>
          <w:lang w:val="en-US" w:eastAsia="zh-CN"/>
        </w:rPr>
        <w:t xml:space="preserve">；主要变动原因是新增护林防火专用消防车。 </w:t>
      </w:r>
    </w:p>
    <w:p>
      <w:pPr>
        <w:spacing w:line="600" w:lineRule="exact"/>
        <w:ind w:firstLineChars="200" w:firstLine="640"/>
        <w:rPr>
          <w:rFonts w:ascii="仿宋" w:eastAsia="仿宋"/>
          <w:b/>
          <w:color w:val="000000"/>
          <w:sz w:val="32"/>
          <w:szCs w:val="32"/>
        </w:rPr>
      </w:pPr>
      <w:r>
        <w:rPr>
          <w:rFonts w:ascii="仿宋" w:eastAsia="仿宋" w:hint="eastAsia"/>
          <w:b/>
          <w:color w:val="000000"/>
          <w:sz w:val="32"/>
          <w:szCs w:val="32"/>
        </w:rPr>
        <w:t>（二）“三公”经费财政拨款支出决算具体情况说明</w:t>
      </w:r>
      <w:bookmarkEnd w:id="55"/>
    </w:p>
    <w:p>
      <w:pPr>
        <w:spacing w:line="600" w:lineRule="exact"/>
        <w:ind w:firstLineChars="200" w:firstLine="640"/>
        <w:rPr>
          <w:rFonts w:ascii="仿宋" w:eastAsia="仿宋"/>
          <w:color w:val="000000"/>
          <w:sz w:val="32"/>
          <w:szCs w:val="32"/>
        </w:rPr>
      </w:pPr>
      <w:r>
        <w:rPr>
          <w:rFonts w:ascii="仿宋_GB2312" w:eastAsia="仿宋_GB2312" w:cs="仿宋_GB2312" w:hint="eastAsia"/>
          <w:b w:val="0"/>
          <w:bCs w:val="0"/>
          <w:color w:val="auto"/>
          <w:sz w:val="32"/>
          <w:szCs w:val="32"/>
          <w:lang w:val="en-US" w:eastAsia="zh-CN"/>
        </w:rPr>
        <w:t>2022年“三公”经费财政拨款支出5.00万元，因公出国（境）费支出决算0万元；公务用车购置及运行维护费支出决算5.00万元，占100.00%；公务接待费支出决算0万元。具体情况如下：</w:t>
      </w:r>
    </w:p>
    <w:p>
      <w:pPr>
        <w:pStyle w:val="17"/>
      </w:pPr>
      <w:r>
        <w:drawing>
          <wp:inline distT="0" distB="0" distL="0" distR="0">
            <wp:extent cx="4872990" cy="2896234"/>
            <wp:effectExtent l="0" t="0" r="0" b="0"/>
            <wp:docPr id="7" name="图表 6"/>
            <wp:cNvGraphicFramePr>
              <a:graphicFrameLocks noChangeAspect="0"/>
            </wp:cNvGraphicFramePr>
            <a:graphic>
              <a:graphicData uri="http://schemas.openxmlformats.org/drawingml/2006/chart">
                <c:chart xmlns:c="http://schemas.openxmlformats.org/drawingml/2006/chart" r:id="rId10"/>
              </a:graphicData>
            </a:graphic>
          </wp:inline>
        </w:drawing>
      </w:r>
    </w:p>
    <w:p>
      <w:pPr>
        <w:pStyle w:val="17"/>
        <w:jc w:val="center"/>
      </w:pPr>
      <w:r>
        <w:rPr>
          <w:rFonts w:ascii="仿宋" w:eastAsia="仿宋" w:hint="eastAsia"/>
          <w:color w:val="000000"/>
          <w:sz w:val="32"/>
          <w:szCs w:val="32"/>
        </w:rPr>
        <w:t>（图7：“三公”经费财政拨款支出结构）</w:t>
      </w:r>
    </w:p>
    <w:p>
      <w:pPr>
        <w:spacing w:line="600" w:lineRule="exact"/>
        <w:ind w:firstLineChars="200" w:firstLine="640"/>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 xml:space="preserve">1.因公出国（境）经费支出0万元。全年安排因公出国（境）团组0次，出国（境）0人。因公出国（境）支出决算比2021年增加0万元。 </w:t>
      </w:r>
    </w:p>
    <w:p>
      <w:pPr>
        <w:spacing w:line="600" w:lineRule="exact"/>
        <w:ind w:firstLineChars="200" w:firstLine="640"/>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 xml:space="preserve">2.公务用车购置及运行维护费支出5.00万元,完成预算100.00%。公务用车购置及运行维护费支出决算比2021年增加1.49万元，增加42.47%。 其中：公务用车购置支出0.00万元。全年按规定新增公务用车1辆，其中：消防用车1辆、金额21.67万元，越野车0辆、金额0.00万元，载客汽车0辆、金额0.00万元。截至2022年12月底，单位共有公务用车3辆，其中：轿车1辆、越野车1辆、消防车1辆。公务用车运行维护费支出5.00万元，主要用于辖区内及各村开展工作、燃料费、维修费、过路过桥保险费等支出。 </w:t>
      </w:r>
    </w:p>
    <w:p>
      <w:pPr>
        <w:spacing w:line="600" w:lineRule="exact"/>
        <w:ind w:firstLineChars="200" w:firstLine="640"/>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3.公务接待费支出0万元。公务接待费支出决算比2021年减少0.52万元。</w:t>
      </w:r>
      <w:bookmarkStart w:id="56" w:name="_Toc15377218"/>
      <w:r>
        <w:rPr>
          <w:rFonts w:ascii="仿宋_GB2312" w:eastAsia="仿宋_GB2312" w:cs="仿宋_GB2312" w:hint="eastAsia"/>
          <w:b w:val="0"/>
          <w:bCs w:val="0"/>
          <w:color w:val="auto"/>
          <w:sz w:val="32"/>
          <w:szCs w:val="32"/>
          <w:lang w:val="en-US" w:eastAsia="zh-CN"/>
        </w:rPr>
        <w:t xml:space="preserve"> 国内公务接待支出0万元。国内公务接待0批次，0人次（不包括陪同人员），共计支出0万元。外事接待支出0万元，外事接待0批次，0人，共计支出0万元。</w:t>
      </w:r>
    </w:p>
    <w:p>
      <w:pPr>
        <w:pStyle w:val="2"/>
        <w:ind w:firstLineChars="200" w:firstLine="640"/>
        <w:rPr>
          <w:rFonts w:ascii="黑体" w:eastAsia="黑体" w:cs="Times New Roman"/>
          <w:b w:val="0"/>
          <w:bCs/>
          <w:color w:val="000000"/>
        </w:rPr>
      </w:pPr>
      <w:bookmarkStart w:id="57" w:name="_Toc111208506"/>
      <w:bookmarkStart w:id="58" w:name="_Toc4484"/>
      <w:r>
        <w:rPr>
          <w:rFonts w:ascii="黑体" w:eastAsia="黑体" w:cs="Times New Roman" w:hint="eastAsia"/>
          <w:b w:val="0"/>
          <w:bCs/>
          <w:color w:val="000000"/>
        </w:rPr>
        <w:t>八、政府性基金预算支出决算情况说明</w:t>
      </w:r>
      <w:bookmarkEnd w:id="56"/>
      <w:bookmarkEnd w:id="57"/>
      <w:bookmarkEnd w:id="58"/>
    </w:p>
    <w:p>
      <w:pPr>
        <w:spacing w:line="600" w:lineRule="exact"/>
        <w:ind w:firstLineChars="200" w:firstLine="640"/>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2022年政府性基金预算拨款支出11.40万元。</w:t>
      </w:r>
      <w:bookmarkStart w:id="59" w:name="_Toc15377219"/>
    </w:p>
    <w:p>
      <w:pPr>
        <w:pStyle w:val="2"/>
        <w:ind w:firstLineChars="200" w:firstLine="640"/>
        <w:rPr>
          <w:rFonts w:ascii="黑体" w:eastAsia="黑体" w:cs="Times New Roman"/>
          <w:b w:val="0"/>
          <w:bCs/>
          <w:color w:val="000000"/>
        </w:rPr>
      </w:pPr>
      <w:bookmarkStart w:id="60" w:name="_Toc111208507"/>
      <w:bookmarkStart w:id="61" w:name="_Toc1532"/>
      <w:r>
        <w:rPr>
          <w:rFonts w:ascii="黑体" w:eastAsia="黑体" w:cs="Times New Roman" w:hint="eastAsia"/>
          <w:b w:val="0"/>
          <w:bCs/>
          <w:color w:val="000000"/>
        </w:rPr>
        <w:t>九、国有资本经营预算支出决算情况说明</w:t>
      </w:r>
      <w:bookmarkEnd w:id="59"/>
      <w:bookmarkEnd w:id="60"/>
      <w:bookmarkEnd w:id="61"/>
    </w:p>
    <w:p>
      <w:pPr>
        <w:spacing w:line="600" w:lineRule="exact"/>
        <w:ind w:firstLineChars="200" w:firstLine="640"/>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2022年国有资本经营预算拨款支出0.00万元。</w:t>
      </w:r>
    </w:p>
    <w:p>
      <w:pPr>
        <w:pStyle w:val="2"/>
        <w:ind w:firstLineChars="200" w:firstLine="640"/>
        <w:rPr>
          <w:rFonts w:ascii="黑体" w:eastAsia="黑体" w:cs="Times New Roman"/>
          <w:b w:val="0"/>
          <w:bCs/>
          <w:color w:val="000000"/>
        </w:rPr>
      </w:pPr>
      <w:bookmarkStart w:id="62" w:name="_Toc111208508"/>
      <w:bookmarkStart w:id="63" w:name="_Toc587"/>
      <w:bookmarkStart w:id="64" w:name="_Toc15377221"/>
      <w:r>
        <w:rPr>
          <w:rFonts w:ascii="黑体" w:eastAsia="黑体" w:cs="Times New Roman" w:hint="eastAsia"/>
          <w:b w:val="0"/>
          <w:bCs/>
          <w:color w:val="000000"/>
        </w:rPr>
        <w:t>十、其他重要事项的情况说明</w:t>
      </w:r>
      <w:bookmarkEnd w:id="62"/>
      <w:bookmarkEnd w:id="63"/>
      <w:bookmarkEnd w:id="64"/>
    </w:p>
    <w:p>
      <w:pPr>
        <w:spacing w:line="600" w:lineRule="exact"/>
        <w:ind w:firstLineChars="200" w:firstLine="640"/>
        <w:outlineLvl w:val="2"/>
        <w:rPr>
          <w:rFonts w:ascii="仿宋" w:eastAsia="仿宋"/>
          <w:b/>
          <w:color w:val="000000"/>
          <w:sz w:val="32"/>
          <w:szCs w:val="32"/>
        </w:rPr>
      </w:pPr>
      <w:bookmarkStart w:id="65" w:name="_Toc15377222"/>
      <w:r>
        <w:rPr>
          <w:rFonts w:ascii="仿宋" w:eastAsia="仿宋" w:hint="eastAsia"/>
          <w:b/>
          <w:color w:val="000000"/>
          <w:sz w:val="32"/>
          <w:szCs w:val="32"/>
        </w:rPr>
        <w:t>（一）机关运行经费支出情况</w:t>
      </w:r>
      <w:bookmarkEnd w:id="65"/>
    </w:p>
    <w:p>
      <w:pPr>
        <w:spacing w:line="600" w:lineRule="exact"/>
        <w:ind w:firstLineChars="200" w:firstLine="640"/>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 xml:space="preserve">2022年，机关运行经费支出21.12万元，比2021年增加21.12万元，增加100 %；主要变动原因是决算口径调整。 </w:t>
      </w:r>
    </w:p>
    <w:p>
      <w:pPr>
        <w:spacing w:line="600" w:lineRule="exact"/>
        <w:ind w:firstLineChars="200" w:firstLine="640"/>
        <w:outlineLvl w:val="2"/>
        <w:rPr>
          <w:rFonts w:ascii="仿宋" w:eastAsia="仿宋"/>
          <w:b/>
          <w:color w:val="000000"/>
          <w:sz w:val="32"/>
          <w:szCs w:val="32"/>
        </w:rPr>
      </w:pPr>
      <w:bookmarkStart w:id="66" w:name="_Toc15377223"/>
      <w:r>
        <w:rPr>
          <w:rFonts w:ascii="仿宋" w:eastAsia="仿宋" w:hint="eastAsia"/>
          <w:b/>
          <w:color w:val="000000"/>
          <w:sz w:val="32"/>
          <w:szCs w:val="32"/>
        </w:rPr>
        <w:t>（二）政府采购支出情况</w:t>
      </w:r>
      <w:bookmarkEnd w:id="66"/>
      <w:r>
        <w:rPr>
          <w:rFonts w:ascii="仿宋" w:eastAsia="仿宋" w:hint="eastAsia"/>
          <w:b/>
          <w:color w:val="000000"/>
          <w:sz w:val="32"/>
          <w:szCs w:val="32"/>
        </w:rPr>
        <w:t>(机构运行信息表)</w:t>
      </w:r>
    </w:p>
    <w:p>
      <w:pPr>
        <w:spacing w:line="600" w:lineRule="exact"/>
        <w:ind w:firstLineChars="200" w:firstLine="640"/>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2022年，政府采购支出总额0万元，其中：政府采购货物支出0万元、政府采购工程支出0万元、政府采购服务支出0万元。授予中小企业合同金额0万元，其中：授予小微企业合同金额0万元。</w:t>
      </w:r>
    </w:p>
    <w:p>
      <w:pPr>
        <w:spacing w:line="600" w:lineRule="exact"/>
        <w:ind w:firstLineChars="200" w:firstLine="640"/>
        <w:outlineLvl w:val="2"/>
        <w:rPr>
          <w:rFonts w:ascii="仿宋" w:eastAsia="仿宋"/>
          <w:b/>
          <w:color w:val="000000"/>
          <w:sz w:val="32"/>
          <w:szCs w:val="32"/>
        </w:rPr>
      </w:pPr>
      <w:bookmarkStart w:id="67" w:name="_Toc15377224"/>
      <w:r>
        <w:rPr>
          <w:rFonts w:ascii="仿宋" w:eastAsia="仿宋" w:hint="eastAsia"/>
          <w:b/>
          <w:color w:val="000000"/>
          <w:sz w:val="32"/>
          <w:szCs w:val="32"/>
        </w:rPr>
        <w:t>（三）国有资产占有使用情况</w:t>
      </w:r>
      <w:bookmarkEnd w:id="67"/>
    </w:p>
    <w:p>
      <w:pPr>
        <w:spacing w:line="600" w:lineRule="exact"/>
        <w:ind w:firstLineChars="200" w:firstLine="640"/>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截至2022年12月31日，共有车辆3辆，其中：主要领导干部用车0辆、机要通信用车0辆、应急保障用车3辆、其他用车0辆。单价50万元以上通用设备0台（套），单价100万元以上专用设备—台（套）。</w:t>
      </w:r>
    </w:p>
    <w:p>
      <w:pPr>
        <w:spacing w:line="600" w:lineRule="exact"/>
        <w:ind w:firstLineChars="200" w:firstLine="640"/>
        <w:outlineLvl w:val="2"/>
        <w:rPr>
          <w:rFonts w:ascii="仿宋" w:eastAsia="仿宋"/>
          <w:b/>
          <w:color w:val="000000"/>
          <w:sz w:val="32"/>
          <w:szCs w:val="32"/>
        </w:rPr>
      </w:pPr>
      <w:r>
        <w:rPr>
          <w:rFonts w:ascii="仿宋" w:eastAsia="仿宋" w:hint="eastAsia"/>
          <w:b/>
          <w:color w:val="000000"/>
          <w:sz w:val="32"/>
          <w:szCs w:val="32"/>
        </w:rPr>
        <w:t>（四）预算绩效管理情况</w:t>
      </w:r>
    </w:p>
    <w:p>
      <w:pPr>
        <w:spacing w:line="600" w:lineRule="exact"/>
        <w:ind w:firstLineChars="200" w:firstLine="640"/>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根据预算绩效管理要求，本部门在2022年度预算编制阶段，组织对居家养老补助经费、残协工作经费、疫情防控经费、计划生育事业费、公路养护资金、七星村集体经济补助资金、驻村工作经费、村级运行维护费、村级办公经费、村干部生活补助等10个项目开展了预算事前绩效评估，对10个项目编制了绩效目标。</w:t>
      </w:r>
    </w:p>
    <w:p>
      <w:pPr>
        <w:spacing w:line="600" w:lineRule="exact"/>
        <w:ind w:firstLineChars="200" w:firstLine="640"/>
        <w:rPr>
          <w:rFonts w:ascii="仿宋_GB2312" w:eastAsia="仿宋_GB2312" w:cs="仿宋_GB2312" w:hint="eastAsia"/>
          <w:b w:val="0"/>
          <w:bCs w:val="0"/>
          <w:color w:val="auto"/>
          <w:sz w:val="32"/>
          <w:szCs w:val="32"/>
          <w:lang w:val="zh-CN" w:eastAsia="zh-CN"/>
        </w:rPr>
      </w:pPr>
      <w:r>
        <w:rPr>
          <w:rFonts w:ascii="仿宋_GB2312" w:eastAsia="仿宋_GB2312" w:cs="仿宋_GB2312" w:hint="eastAsia"/>
          <w:b w:val="0"/>
          <w:bCs w:val="0"/>
          <w:color w:val="auto"/>
          <w:sz w:val="32"/>
          <w:szCs w:val="32"/>
          <w:lang w:val="en-US" w:eastAsia="zh-CN"/>
        </w:rPr>
        <w:t>组织对 2022 年度一般公共预算、政府性基金预算等全面开展绩效自评，形成南新镇部门整 体绩效自评报告、组织对居家养老补助经费、残协工作经费、疫情防控经费、计划生育事业费、公路养护资金、七星村集体经济补助资金、驻村工作经费、村级运行维护费等专项预算项目绩效自评报告，其中，南新镇部门整体(含部门预算项目)绩效自评得分为90分，绩效自评综述： 通过上级部门及本级财政部门的评估检査，本单位财务职责履行结果良好，重点项目绩效评佔良好，服务对象及满意度得到上级部门及本級部门的肯定，整体结果良好。2022年全年，我单位共计支出项目资金342.75万元。七星村集体经济补助资金专项预算项目绩效自评得分为 90分，绩效自评综述：</w:t>
      </w:r>
      <w:r>
        <w:rPr>
          <w:rFonts w:ascii="仿宋_GB2312" w:eastAsia="仿宋_GB2312" w:cs="仿宋_GB2312" w:hint="eastAsia"/>
          <w:b w:val="0"/>
          <w:bCs w:val="0"/>
          <w:color w:val="auto"/>
          <w:sz w:val="32"/>
          <w:szCs w:val="32"/>
          <w:lang w:val="zh-CN" w:eastAsia="zh-CN"/>
        </w:rPr>
        <w:t>南新镇七星村扶持壮大村集体经济项目建成运行后可延长农业养殖业产业供应链转型升级，提高农特产品附加值，壮大地方龙头企业，加强农产品基地建设，推动肉禽产业化经营、结构调整具有促进作用。</w:t>
      </w:r>
    </w:p>
    <w:p>
      <w:pPr>
        <w:keepNext w:val="0"/>
        <w:keepLines w:val="0"/>
        <w:pageBreakBefore w:val="0"/>
        <w:widowControl w:val="0"/>
        <w:kinsoku/>
        <w:wordWrap/>
        <w:overflowPunct/>
        <w:topLinePunct w:val="0"/>
        <w:autoSpaceDE/>
        <w:autoSpaceDN/>
        <w:bidi w:val="0"/>
        <w:adjustRightInd w:val="0"/>
        <w:snapToGrid w:val="0"/>
        <w:spacing w:line="600" w:lineRule="exact"/>
        <w:ind w:firstLineChars="200" w:firstLine="640"/>
        <w:textAlignment w:val="auto"/>
        <w:rPr>
          <w:rFonts w:ascii="仿宋_GB2312" w:eastAsia="仿宋_GB2312" w:cs="Times New Roman" w:hint="eastAsia"/>
          <w:sz w:val="32"/>
          <w:szCs w:val="32"/>
          <w:lang w:val="zh-CN"/>
        </w:rPr>
      </w:pPr>
      <w:r>
        <w:rPr>
          <w:rFonts w:ascii="仿宋_GB2312" w:eastAsia="仿宋_GB2312" w:cs="Times New Roman" w:hint="eastAsia"/>
          <w:sz w:val="32"/>
          <w:szCs w:val="32"/>
          <w:lang w:val="zh-CN"/>
        </w:rPr>
        <w:t>本项目带动力强，辐射面积广，拓宽人员分流渠道，解决低收入群体再就业。项目建设完成后，直接解决就业人数20余人。间接带动农户100余户，户均增收上千元。可带动养殖、运输、销售等相关产业的发展，年纯增经济效益百万元，项目具有较高的社会经济效益。对促进川西北高原干旱河谷生态综合治理示范地经济腾飞、带动相关产业发展及解决就业方面具有积极意义。</w:t>
      </w:r>
      <w:r>
        <w:rPr>
          <w:rFonts w:ascii="仿宋_GB2312" w:eastAsia="仿宋_GB2312" w:cs="Times New Roman" w:hint="eastAsia"/>
          <w:sz w:val="32"/>
          <w:szCs w:val="32"/>
          <w:lang w:val="en-US" w:eastAsia="zh-CN"/>
        </w:rPr>
        <w:t>村级运行维护费</w:t>
      </w:r>
      <w:r>
        <w:rPr>
          <w:rFonts w:ascii="仿宋_GB2312" w:eastAsia="仿宋_GB2312" w:cs="仿宋_GB2312" w:hint="eastAsia"/>
          <w:sz w:val="32"/>
          <w:szCs w:val="32"/>
        </w:rPr>
        <w:t xml:space="preserve">专项预算项目绩效自评得分为 </w:t>
      </w:r>
      <w:r>
        <w:rPr>
          <w:rFonts w:ascii="仿宋_GB2312" w:eastAsia="仿宋_GB2312" w:cs="仿宋_GB2312" w:hint="eastAsia"/>
          <w:sz w:val="32"/>
          <w:szCs w:val="32"/>
          <w:lang w:val="en-US" w:eastAsia="zh-CN"/>
        </w:rPr>
        <w:t>90</w:t>
      </w:r>
      <w:r>
        <w:rPr>
          <w:rFonts w:ascii="仿宋_GB2312" w:eastAsia="仿宋_GB2312" w:cs="仿宋_GB2312" w:hint="eastAsia"/>
          <w:sz w:val="32"/>
          <w:szCs w:val="32"/>
        </w:rPr>
        <w:t>分，绩效自评综述：</w:t>
      </w:r>
      <w:r>
        <w:rPr>
          <w:rFonts w:ascii="仿宋_GB2312" w:eastAsia="仿宋_GB2312" w:cs="Times New Roman" w:hint="eastAsia"/>
          <w:sz w:val="32"/>
          <w:szCs w:val="32"/>
          <w:lang w:val="zh-CN"/>
        </w:rPr>
        <w:t>基层组织活动和公共服务运行补助经费时间安排。2022年</w:t>
      </w:r>
      <w:r>
        <w:rPr>
          <w:rFonts w:ascii="仿宋_GB2312" w:eastAsia="仿宋_GB2312" w:cs="Times New Roman" w:hint="eastAsia"/>
          <w:sz w:val="32"/>
          <w:szCs w:val="32"/>
          <w:lang w:val="en-US" w:eastAsia="zh-CN"/>
        </w:rPr>
        <w:t>1</w:t>
      </w:r>
      <w:r>
        <w:rPr>
          <w:rFonts w:ascii="仿宋_GB2312" w:eastAsia="仿宋_GB2312" w:cs="Times New Roman" w:hint="eastAsia"/>
          <w:sz w:val="32"/>
          <w:szCs w:val="32"/>
          <w:lang w:val="zh-CN"/>
        </w:rPr>
        <w:t>月，围绕工作要求，专题研究讨论，拟定初步计划;2022年1-12月项目实施阶段。</w:t>
      </w:r>
    </w:p>
    <w:p>
      <w:pPr>
        <w:adjustRightInd w:val="0"/>
        <w:snapToGrid w:val="0"/>
        <w:spacing w:line="600" w:lineRule="exact"/>
        <w:rPr>
          <w:rFonts w:ascii="仿宋_GB2312" w:eastAsia="仿宋_GB2312" w:cs="仿宋_GB2312" w:hint="eastAsia"/>
          <w:sz w:val="32"/>
          <w:szCs w:val="32"/>
        </w:rPr>
      </w:pPr>
      <w:r>
        <w:rPr>
          <w:rFonts w:ascii="仿宋_GB2312" w:eastAsia="仿宋_GB2312" w:cs="Times New Roman" w:hint="eastAsia"/>
          <w:sz w:val="32"/>
          <w:szCs w:val="32"/>
          <w:lang w:val="zh-CN"/>
        </w:rPr>
        <w:t>项目管理情况。项目实施过程中，严格按照相关法律法规及项目管理制度进行管理。项目监管情况。项目实施实施过程中，项目主管部门坚持制度管人、督促项目实施单位建立健全内部监督各项制度，最大限度地预防工程质量安全事故，项目资金损失浪费和违法违纪行为的发生。</w:t>
      </w:r>
      <w:r>
        <w:rPr>
          <w:rFonts w:ascii="仿宋_GB2312" w:eastAsia="仿宋_GB2312" w:cs="仿宋_GB2312" w:hint="eastAsia"/>
          <w:sz w:val="32"/>
          <w:szCs w:val="32"/>
        </w:rPr>
        <w:t>绩效自评报告详见附件。</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pStyle w:val="1"/>
        <w:jc w:val="center"/>
        <w:rPr>
          <w:rFonts w:ascii="黑体" w:eastAsia="黑体" w:cs="黑体"/>
        </w:rPr>
      </w:pPr>
      <w:bookmarkStart w:id="68" w:name="_Toc5924"/>
      <w:bookmarkStart w:id="69" w:name="_Toc111208509"/>
      <w:bookmarkStart w:id="70" w:name="_Toc15377225"/>
      <w:r>
        <w:rPr>
          <w:rFonts w:ascii="黑体" w:eastAsia="黑体" w:cs="黑体" w:hint="eastAsia"/>
        </w:rPr>
        <w:t>第三部分 名词解释</w:t>
      </w:r>
      <w:bookmarkEnd w:id="68"/>
      <w:bookmarkEnd w:id="69"/>
      <w:bookmarkEnd w:id="70"/>
    </w:p>
    <w:p>
      <w:pPr>
        <w:adjustRightInd w:val="0"/>
        <w:snapToGrid w:val="0"/>
        <w:spacing w:line="600" w:lineRule="exact"/>
        <w:ind w:firstLine="720"/>
        <w:rPr>
          <w:rFonts w:ascii="仿宋_GB2312" w:eastAsia="仿宋_GB2312" w:cs="Times New Roman" w:hint="eastAsia"/>
          <w:sz w:val="32"/>
          <w:szCs w:val="32"/>
          <w:lang w:val="zh-CN"/>
        </w:rPr>
      </w:pPr>
      <w:r>
        <w:rPr>
          <w:rFonts w:ascii="仿宋_GB2312" w:eastAsia="仿宋_GB2312" w:cs="Times New Roman" w:hint="eastAsia"/>
          <w:sz w:val="32"/>
          <w:szCs w:val="32"/>
          <w:lang w:val="zh-CN"/>
        </w:rPr>
        <w:t>1.财政拨款收入：指单位从同级财政部门取得的财政预算资金。</w:t>
      </w:r>
    </w:p>
    <w:p>
      <w:pPr>
        <w:adjustRightInd w:val="0"/>
        <w:snapToGrid w:val="0"/>
        <w:spacing w:line="600" w:lineRule="exact"/>
        <w:ind w:firstLine="720"/>
        <w:rPr>
          <w:rFonts w:ascii="仿宋_GB2312" w:eastAsia="仿宋_GB2312" w:cs="Times New Roman" w:hint="eastAsia"/>
          <w:sz w:val="32"/>
          <w:szCs w:val="32"/>
          <w:lang w:val="zh-CN"/>
        </w:rPr>
      </w:pPr>
      <w:r>
        <w:rPr>
          <w:rFonts w:ascii="仿宋_GB2312" w:eastAsia="仿宋_GB2312" w:cs="Times New Roman" w:hint="eastAsia"/>
          <w:sz w:val="32"/>
          <w:szCs w:val="32"/>
          <w:lang w:val="zh-CN"/>
        </w:rPr>
        <w:t>2.事业收入：指事业单位开展专业业务活动及辅助活动取得的收入。</w:t>
      </w:r>
    </w:p>
    <w:p>
      <w:pPr>
        <w:adjustRightInd w:val="0"/>
        <w:snapToGrid w:val="0"/>
        <w:spacing w:line="600" w:lineRule="exact"/>
        <w:ind w:firstLine="720"/>
        <w:rPr>
          <w:rFonts w:ascii="仿宋_GB2312" w:eastAsia="仿宋_GB2312" w:cs="Times New Roman" w:hint="eastAsia"/>
          <w:sz w:val="32"/>
          <w:szCs w:val="32"/>
          <w:lang w:val="zh-CN"/>
        </w:rPr>
      </w:pPr>
      <w:r>
        <w:rPr>
          <w:rFonts w:ascii="仿宋_GB2312" w:eastAsia="仿宋_GB2312" w:cs="Times New Roman" w:hint="eastAsia"/>
          <w:sz w:val="32"/>
          <w:szCs w:val="32"/>
          <w:lang w:val="zh-CN"/>
        </w:rPr>
        <w:t>3.经营收入：指事业单位在专业业务活动及其辅助活动之外开展非独立核算经营活动取得的收入</w:t>
      </w:r>
    </w:p>
    <w:p>
      <w:pPr>
        <w:adjustRightInd w:val="0"/>
        <w:snapToGrid w:val="0"/>
        <w:spacing w:line="600" w:lineRule="exact"/>
        <w:ind w:firstLine="720"/>
        <w:rPr>
          <w:rFonts w:ascii="仿宋_GB2312" w:eastAsia="仿宋_GB2312" w:cs="Times New Roman" w:hint="eastAsia"/>
          <w:sz w:val="32"/>
          <w:szCs w:val="32"/>
          <w:lang w:val="zh-CN"/>
        </w:rPr>
      </w:pPr>
      <w:r>
        <w:rPr>
          <w:rFonts w:ascii="仿宋_GB2312" w:eastAsia="仿宋_GB2312" w:cs="Times New Roman" w:hint="eastAsia"/>
          <w:sz w:val="32"/>
          <w:szCs w:val="32"/>
          <w:lang w:val="zh-CN"/>
        </w:rPr>
        <w:t>4.其他收入：指单位取得的除上述收入以外的各项收入。</w:t>
      </w:r>
    </w:p>
    <w:p>
      <w:pPr>
        <w:adjustRightInd w:val="0"/>
        <w:snapToGrid w:val="0"/>
        <w:spacing w:line="600" w:lineRule="exact"/>
        <w:ind w:firstLine="720"/>
        <w:rPr>
          <w:rFonts w:ascii="仿宋_GB2312" w:eastAsia="仿宋_GB2312" w:cs="Times New Roman" w:hint="eastAsia"/>
          <w:sz w:val="32"/>
          <w:szCs w:val="32"/>
          <w:lang w:val="zh-CN"/>
        </w:rPr>
      </w:pPr>
      <w:r>
        <w:rPr>
          <w:rFonts w:ascii="仿宋_GB2312" w:eastAsia="仿宋_GB2312" w:cs="Times New Roman" w:hint="eastAsia"/>
          <w:sz w:val="32"/>
          <w:szCs w:val="32"/>
          <w:lang w:val="zh-CN"/>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adjustRightInd w:val="0"/>
        <w:snapToGrid w:val="0"/>
        <w:spacing w:line="600" w:lineRule="exact"/>
        <w:ind w:firstLine="720"/>
        <w:rPr>
          <w:rFonts w:ascii="仿宋_GB2312" w:eastAsia="仿宋_GB2312" w:cs="Times New Roman" w:hint="eastAsia"/>
          <w:sz w:val="32"/>
          <w:szCs w:val="32"/>
          <w:lang w:val="zh-CN"/>
        </w:rPr>
      </w:pPr>
      <w:r>
        <w:rPr>
          <w:rFonts w:ascii="仿宋_GB2312" w:eastAsia="仿宋_GB2312" w:cs="Times New Roman" w:hint="eastAsia"/>
          <w:sz w:val="32"/>
          <w:szCs w:val="32"/>
          <w:lang w:val="zh-CN"/>
        </w:rPr>
        <w:t xml:space="preserve">6.年初结转和结余：指以前年度尚未完成、结转到本年按有关规定继续使用的资金。 </w:t>
      </w:r>
    </w:p>
    <w:p>
      <w:pPr>
        <w:adjustRightInd w:val="0"/>
        <w:snapToGrid w:val="0"/>
        <w:spacing w:line="600" w:lineRule="exact"/>
        <w:ind w:firstLine="720"/>
        <w:rPr>
          <w:rFonts w:ascii="仿宋_GB2312" w:eastAsia="仿宋_GB2312" w:cs="Times New Roman" w:hint="eastAsia"/>
          <w:sz w:val="32"/>
          <w:szCs w:val="32"/>
          <w:lang w:val="zh-CN"/>
        </w:rPr>
      </w:pPr>
      <w:r>
        <w:rPr>
          <w:rFonts w:ascii="仿宋_GB2312" w:eastAsia="仿宋_GB2312" w:cs="Times New Roman" w:hint="eastAsia"/>
          <w:sz w:val="32"/>
          <w:szCs w:val="32"/>
          <w:lang w:val="zh-CN"/>
        </w:rPr>
        <w:t>7.结余分配：指事业单位按照事业单位会计制度的规定从非财政补助结余中分配的事业基金和职工福利基金等。</w:t>
      </w:r>
    </w:p>
    <w:p>
      <w:pPr>
        <w:adjustRightInd w:val="0"/>
        <w:snapToGrid w:val="0"/>
        <w:spacing w:line="600" w:lineRule="exact"/>
        <w:ind w:firstLine="720"/>
        <w:rPr>
          <w:rFonts w:ascii="仿宋_GB2312" w:eastAsia="仿宋_GB2312" w:cs="Times New Roman" w:hint="eastAsia"/>
          <w:sz w:val="32"/>
          <w:szCs w:val="32"/>
          <w:lang w:val="zh-CN"/>
        </w:rPr>
      </w:pPr>
      <w:r>
        <w:rPr>
          <w:rFonts w:ascii="仿宋_GB2312" w:eastAsia="仿宋_GB2312" w:cs="Times New Roman" w:hint="eastAsia"/>
          <w:sz w:val="32"/>
          <w:szCs w:val="32"/>
          <w:lang w:val="zh-CN"/>
        </w:rPr>
        <w:t>8.年末结转和结余：指单位按有关规定结转到下年或以后年度继续使用的资金。</w:t>
      </w:r>
    </w:p>
    <w:p>
      <w:pPr>
        <w:adjustRightInd w:val="0"/>
        <w:snapToGrid w:val="0"/>
        <w:spacing w:line="600" w:lineRule="exact"/>
        <w:ind w:firstLine="720"/>
        <w:rPr>
          <w:rFonts w:ascii="仿宋" w:eastAsia="仿宋" w:hint="eastAsia"/>
          <w:color w:val="auto"/>
          <w:sz w:val="32"/>
          <w:szCs w:val="32"/>
          <w:lang w:val="zh-CN" w:eastAsia="zh-CN"/>
        </w:rPr>
      </w:pPr>
      <w:r>
        <w:rPr>
          <w:rFonts w:ascii="仿宋_GB2312" w:eastAsia="仿宋_GB2312" w:cs="Times New Roman" w:hint="eastAsia"/>
          <w:sz w:val="32"/>
          <w:szCs w:val="32"/>
          <w:lang w:val="zh-CN"/>
        </w:rPr>
        <w:t>9.一般公共服务支出（201）政府办公厅（室）及相关机构事务（20103）行政运行（2010301）：反映行政单位（包括实行公务员管理的事业单位）的基本支出。</w:t>
        <w:cr/>
      </w:r>
      <w:r>
        <w:rPr>
          <w:rFonts w:ascii="仿宋_GB2312" w:eastAsia="仿宋_GB2312" w:cs="Times New Roman" w:hint="eastAsia"/>
          <w:sz w:val="32"/>
          <w:szCs w:val="32"/>
          <w:lang w:val="en-US" w:eastAsia="zh-CN"/>
        </w:rPr>
        <w:t xml:space="preserve">    </w:t>
      </w:r>
      <w:r>
        <w:rPr>
          <w:rFonts w:ascii="仿宋_GB2312" w:eastAsia="仿宋_GB2312" w:cs="Times New Roman" w:hint="eastAsia"/>
          <w:sz w:val="32"/>
          <w:szCs w:val="32"/>
          <w:lang w:val="zh-CN"/>
        </w:rPr>
        <w:t>10.一般公共服务支出（201）党委办公厅（室）及相关机构事务（20131）行政运行（2013101）：反映行政单位（包括实行公务员管理的事业单位）的基本支出。</w:t>
        <w:cr/>
      </w:r>
      <w:r>
        <w:rPr>
          <w:rFonts w:ascii="仿宋_GB2312" w:eastAsia="仿宋_GB2312" w:cs="Times New Roman" w:hint="eastAsia"/>
          <w:sz w:val="32"/>
          <w:szCs w:val="32"/>
          <w:lang w:val="en-US" w:eastAsia="zh-CN"/>
        </w:rPr>
        <w:t xml:space="preserve">    </w:t>
      </w:r>
      <w:r>
        <w:rPr>
          <w:rFonts w:ascii="仿宋_GB2312" w:eastAsia="仿宋_GB2312" w:cs="Times New Roman" w:hint="eastAsia"/>
          <w:sz w:val="32"/>
          <w:szCs w:val="32"/>
          <w:lang w:val="zh-CN"/>
        </w:rPr>
        <w:t>11.社会保障和就业支出（208）行政事业单位养老支出（20805）机关事业单位基本养老保险缴费支出（2080505）：反映机关事业单位实施养老保险制度由单位缴纳的基本养老保险费支出。</w:t>
        <w:cr/>
      </w:r>
      <w:r>
        <w:rPr>
          <w:rFonts w:ascii="仿宋_GB2312" w:eastAsia="仿宋_GB2312" w:cs="Times New Roman" w:hint="eastAsia"/>
          <w:sz w:val="32"/>
          <w:szCs w:val="32"/>
          <w:lang w:val="en-US" w:eastAsia="zh-CN"/>
        </w:rPr>
        <w:t xml:space="preserve">    </w:t>
      </w:r>
      <w:r>
        <w:rPr>
          <w:rFonts w:ascii="仿宋_GB2312" w:eastAsia="仿宋_GB2312" w:cs="Times New Roman" w:hint="eastAsia"/>
          <w:sz w:val="32"/>
          <w:szCs w:val="32"/>
          <w:lang w:val="zh-CN"/>
        </w:rPr>
        <w:t>12.社会保障和就业支出（208）行政事业单位养老支出（20805）机关事业单位职业年金缴费支出（2080506）：反映机关事业单位实施养老保险制度由单位实际缴纳的职业年金支出。</w:t>
        <w:cr/>
      </w:r>
      <w:r>
        <w:rPr>
          <w:rFonts w:ascii="仿宋_GB2312" w:eastAsia="仿宋_GB2312" w:cs="Times New Roman" w:hint="eastAsia"/>
          <w:sz w:val="32"/>
          <w:szCs w:val="32"/>
          <w:lang w:val="en-US" w:eastAsia="zh-CN"/>
        </w:rPr>
        <w:t xml:space="preserve">    </w:t>
      </w:r>
      <w:r>
        <w:rPr>
          <w:rFonts w:ascii="仿宋_GB2312" w:eastAsia="仿宋_GB2312" w:cs="Times New Roman" w:hint="eastAsia"/>
          <w:sz w:val="32"/>
          <w:szCs w:val="32"/>
          <w:lang w:val="zh-CN"/>
        </w:rPr>
        <w:t>13.社会保障和就业支出（208）社会福利（20810）老年福利（2081002）：反映对老年人提供福利服务方面的支出，包括为经济困难的高龄、失能等老年人提供基本养老服务保障的资金补助等支出。</w:t>
        <w:cr/>
      </w:r>
      <w:r>
        <w:rPr>
          <w:rFonts w:ascii="仿宋_GB2312" w:eastAsia="仿宋_GB2312" w:cs="Times New Roman" w:hint="eastAsia"/>
          <w:sz w:val="32"/>
          <w:szCs w:val="32"/>
          <w:lang w:val="en-US" w:eastAsia="zh-CN"/>
        </w:rPr>
        <w:t xml:space="preserve">  </w:t>
      </w:r>
      <w:r>
        <w:rPr>
          <w:rFonts w:ascii="仿宋" w:eastAsia="仿宋" w:hint="eastAsia"/>
          <w:color w:val="auto"/>
          <w:sz w:val="32"/>
          <w:szCs w:val="32"/>
          <w:lang w:val="en-US" w:eastAsia="zh-CN"/>
        </w:rPr>
        <w:t xml:space="preserve">  </w:t>
      </w:r>
      <w:r>
        <w:rPr>
          <w:rFonts w:ascii="仿宋" w:eastAsia="仿宋" w:hint="eastAsia"/>
          <w:color w:val="auto"/>
          <w:sz w:val="32"/>
          <w:szCs w:val="32"/>
          <w:lang w:val="zh-CN" w:eastAsia="zh-CN"/>
        </w:rPr>
        <w:t>14.社会保障和就业支出（208）社会福利（20810）养老服务（2081006）：反映财政在养老服务方面的补助支出，包括支持居家养老服务、社区养老服务和机构养老服务的支出，对养老服务机构的运营、建设补助支出等，不包括对社会福利事业单位的补助支出。</w:t>
      </w:r>
    </w:p>
    <w:p>
      <w:pPr>
        <w:adjustRightInd w:val="0"/>
        <w:snapToGrid w:val="0"/>
        <w:spacing w:line="600" w:lineRule="exact"/>
        <w:ind w:firstLine="720"/>
        <w:rPr>
          <w:rFonts w:ascii="仿宋_GB2312" w:eastAsia="仿宋_GB2312" w:cs="Times New Roman" w:hint="eastAsia"/>
          <w:sz w:val="32"/>
          <w:szCs w:val="32"/>
          <w:lang w:val="zh-CN"/>
        </w:rPr>
      </w:pPr>
      <w:r>
        <w:rPr>
          <w:rFonts w:ascii="仿宋" w:eastAsia="仿宋" w:hint="eastAsia"/>
          <w:color w:val="auto"/>
          <w:sz w:val="32"/>
          <w:szCs w:val="32"/>
          <w:lang w:val="en-US" w:eastAsia="zh-CN"/>
        </w:rPr>
        <w:t>15.</w:t>
      </w:r>
      <w:r>
        <w:rPr>
          <w:rFonts w:ascii="仿宋" w:eastAsia="仿宋" w:hint="eastAsia"/>
          <w:color w:val="auto"/>
          <w:sz w:val="32"/>
          <w:szCs w:val="32"/>
        </w:rPr>
        <w:t>社会保障和就业支出（208）残疾人事业（20811）其他残疾人事业支出（2081199）：反映除上述项目以外其他用于残疾人事业方面的支出。</w:t>
        <w:cr/>
      </w:r>
      <w:r>
        <w:rPr>
          <w:rFonts w:ascii="仿宋" w:eastAsia="仿宋" w:hint="eastAsia"/>
          <w:color w:val="000000"/>
          <w:sz w:val="32"/>
          <w:szCs w:val="32"/>
          <w:lang w:val="en-US" w:eastAsia="zh-CN"/>
        </w:rPr>
        <w:t xml:space="preserve"> </w:t>
      </w:r>
      <w:r>
        <w:rPr>
          <w:rFonts w:ascii="仿宋_GB2312" w:eastAsia="仿宋_GB2312" w:cs="Times New Roman" w:hint="eastAsia"/>
          <w:sz w:val="32"/>
          <w:szCs w:val="32"/>
          <w:lang w:val="en-US" w:eastAsia="zh-CN"/>
        </w:rPr>
        <w:t xml:space="preserve">   </w:t>
      </w:r>
      <w:r>
        <w:rPr>
          <w:rFonts w:ascii="仿宋_GB2312" w:eastAsia="仿宋_GB2312" w:cs="Times New Roman" w:hint="eastAsia"/>
          <w:sz w:val="32"/>
          <w:szCs w:val="32"/>
          <w:lang w:val="zh-CN"/>
        </w:rPr>
        <w:t>16.卫生健康支出（210）公共卫生（21004）重大公共卫生服务（2100409）：反映重大疾病、重大传染病预防控制等重大公共卫生服务项目支出。</w:t>
        <w:cr/>
      </w:r>
      <w:r>
        <w:rPr>
          <w:rFonts w:ascii="仿宋_GB2312" w:eastAsia="仿宋_GB2312" w:cs="Times New Roman" w:hint="eastAsia"/>
          <w:sz w:val="32"/>
          <w:szCs w:val="32"/>
          <w:lang w:val="en-US" w:eastAsia="zh-CN"/>
        </w:rPr>
        <w:t xml:space="preserve">    </w:t>
      </w:r>
      <w:r>
        <w:rPr>
          <w:rFonts w:ascii="仿宋_GB2312" w:eastAsia="仿宋_GB2312" w:cs="Times New Roman" w:hint="eastAsia"/>
          <w:sz w:val="32"/>
          <w:szCs w:val="32"/>
          <w:lang w:val="zh-CN"/>
        </w:rPr>
        <w:t>17.卫生健康支出（210）计划生育事务（21007）其他计划生育事务支出（2100799）：反映除上述项目以外其他用于计划生育管理事务方面的支出。</w:t>
        <w:cr/>
      </w:r>
      <w:r>
        <w:rPr>
          <w:rFonts w:ascii="仿宋_GB2312" w:eastAsia="仿宋_GB2312" w:cs="Times New Roman" w:hint="eastAsia"/>
          <w:sz w:val="32"/>
          <w:szCs w:val="32"/>
          <w:lang w:val="en-US" w:eastAsia="zh-CN"/>
        </w:rPr>
        <w:t xml:space="preserve">    </w:t>
      </w:r>
      <w:r>
        <w:rPr>
          <w:rFonts w:ascii="仿宋_GB2312" w:eastAsia="仿宋_GB2312" w:cs="Times New Roman" w:hint="eastAsia"/>
          <w:sz w:val="32"/>
          <w:szCs w:val="32"/>
          <w:lang w:val="zh-CN"/>
        </w:rPr>
        <w:t>18.卫生健康支出（210）行政事业单位医疗（21011）行政单位医疗（2101101）：反映财政部门安排的行政单位（包括实行公务员管理的事业单位，下同）基本医疗保险缴费经费，未参加医疗保险的行政单位的公费医疗经费，按国家规定享受离休人员、红军老战士待遇人员的医疗经费。</w:t>
        <w:cr/>
      </w:r>
      <w:r>
        <w:rPr>
          <w:rFonts w:ascii="仿宋_GB2312" w:eastAsia="仿宋_GB2312" w:cs="Times New Roman" w:hint="eastAsia"/>
          <w:sz w:val="32"/>
          <w:szCs w:val="32"/>
          <w:lang w:val="en-US" w:eastAsia="zh-CN"/>
        </w:rPr>
        <w:t xml:space="preserve">    </w:t>
      </w:r>
      <w:r>
        <w:rPr>
          <w:rFonts w:ascii="仿宋_GB2312" w:eastAsia="仿宋_GB2312" w:cs="Times New Roman" w:hint="eastAsia"/>
          <w:sz w:val="32"/>
          <w:szCs w:val="32"/>
          <w:lang w:val="zh-CN"/>
        </w:rPr>
        <w:t>19.卫生健康支出（210）行政事业单位医疗（21011）事业单位医疗（2101102）：反映财政部门安排的事业单位基本医疗保险缴费经费，未参加医疗保险的事业单位的公费医疗经费，按国家规定享受离休人员待遇的医疗经费。</w:t>
        <w:cr/>
      </w:r>
      <w:r>
        <w:rPr>
          <w:rFonts w:ascii="仿宋_GB2312" w:eastAsia="仿宋_GB2312" w:cs="Times New Roman" w:hint="eastAsia"/>
          <w:sz w:val="32"/>
          <w:szCs w:val="32"/>
          <w:lang w:val="en-US" w:eastAsia="zh-CN"/>
        </w:rPr>
        <w:t xml:space="preserve">    </w:t>
      </w:r>
      <w:r>
        <w:rPr>
          <w:rFonts w:ascii="仿宋_GB2312" w:eastAsia="仿宋_GB2312" w:cs="Times New Roman" w:hint="eastAsia"/>
          <w:sz w:val="32"/>
          <w:szCs w:val="32"/>
          <w:lang w:val="zh-CN"/>
        </w:rPr>
        <w:t>20.农林水支出（213）农业农村（21301）事业运行（2130104）：反映用于农业事业单位基本支出，事业单位设施、系统运行与资产维护等方面的支出。</w:t>
      </w:r>
    </w:p>
    <w:p>
      <w:pPr>
        <w:adjustRightInd w:val="0"/>
        <w:snapToGrid w:val="0"/>
        <w:spacing w:line="600" w:lineRule="exact"/>
        <w:ind w:firstLineChars="200" w:firstLine="640"/>
        <w:rPr>
          <w:rFonts w:ascii="仿宋_GB2312" w:eastAsia="仿宋_GB2312" w:cs="Times New Roman" w:hint="eastAsia"/>
          <w:sz w:val="32"/>
          <w:szCs w:val="32"/>
          <w:lang w:val="zh-CN"/>
        </w:rPr>
      </w:pPr>
      <w:r>
        <w:rPr>
          <w:rFonts w:ascii="仿宋" w:eastAsia="仿宋" w:hint="eastAsia"/>
          <w:color w:val="auto"/>
          <w:sz w:val="32"/>
          <w:szCs w:val="32"/>
        </w:rPr>
        <w:t>21.农林水支出（213）巩固脱贫衔接乡村振兴（21305）其他巩固脱贫衔接乡村振兴支出（2130599）：反映除上述项目以外其他用于扶贫方面的支出。</w:t>
        <w:cr/>
      </w:r>
      <w:r>
        <w:rPr>
          <w:rFonts w:ascii="仿宋" w:eastAsia="仿宋" w:hint="eastAsia"/>
          <w:color w:val="0000FF"/>
          <w:sz w:val="32"/>
          <w:szCs w:val="32"/>
          <w:lang w:val="en-US" w:eastAsia="zh-CN"/>
        </w:rPr>
        <w:t xml:space="preserve">    </w:t>
      </w:r>
      <w:r>
        <w:rPr>
          <w:rFonts w:ascii="仿宋_GB2312" w:eastAsia="仿宋_GB2312" w:cs="Times New Roman" w:hint="eastAsia"/>
          <w:sz w:val="32"/>
          <w:szCs w:val="32"/>
          <w:lang w:val="zh-CN"/>
        </w:rPr>
        <w:t>22.农林水支出（213）农村综合改革（21307）对村民委员会和村党支部的补助（2130705）：反映各级财政对村民委员会和村党支部的补助支出，以及支持建立县级基本财力保障机制安排的村级组织运转奖补资金。</w:t>
        <w:cr/>
      </w:r>
      <w:r>
        <w:rPr>
          <w:rFonts w:ascii="仿宋_GB2312" w:eastAsia="仿宋_GB2312" w:cs="Times New Roman" w:hint="eastAsia"/>
          <w:sz w:val="32"/>
          <w:szCs w:val="32"/>
          <w:lang w:val="en-US" w:eastAsia="zh-CN"/>
        </w:rPr>
        <w:t xml:space="preserve">    </w:t>
      </w:r>
      <w:r>
        <w:rPr>
          <w:rFonts w:ascii="仿宋_GB2312" w:eastAsia="仿宋_GB2312" w:cs="Times New Roman" w:hint="eastAsia"/>
          <w:sz w:val="32"/>
          <w:szCs w:val="32"/>
          <w:lang w:val="zh-CN"/>
        </w:rPr>
        <w:t>23.住房保障支出（221）住房改革支出（22102）住房公积金（2210201）：反映行政事业单位按人力资源和社会保障部、财政部规定的基本工资和津贴补贴以及规定比例为职工缴纳的住房公积金。</w:t>
        <w:cr/>
      </w:r>
      <w:r>
        <w:rPr>
          <w:rFonts w:ascii="仿宋_GB2312" w:eastAsia="仿宋_GB2312" w:cs="Times New Roman" w:hint="eastAsia"/>
          <w:sz w:val="32"/>
          <w:szCs w:val="32"/>
          <w:lang w:val="en-US" w:eastAsia="zh-CN"/>
        </w:rPr>
        <w:t xml:space="preserve">    </w:t>
      </w:r>
      <w:r>
        <w:rPr>
          <w:rFonts w:ascii="仿宋_GB2312" w:eastAsia="仿宋_GB2312" w:cs="Times New Roman" w:hint="eastAsia"/>
          <w:sz w:val="32"/>
          <w:szCs w:val="32"/>
          <w:lang w:val="zh-CN"/>
        </w:rPr>
        <w:t>24.住房保障支出（221）住房改革支出（22102）购房补贴（2210203）：反映按房改政策规定，行政事业单位向符合条件职工（含离退休人员）、军队（含武警）向转役复员离退休人员发放的用于购买住房的补贴。</w:t>
      </w:r>
    </w:p>
    <w:p>
      <w:pPr>
        <w:adjustRightInd w:val="0"/>
        <w:snapToGrid w:val="0"/>
        <w:spacing w:line="600" w:lineRule="exact"/>
        <w:ind w:firstLineChars="200" w:firstLine="640"/>
        <w:rPr>
          <w:rFonts w:ascii="仿宋_GB2312" w:eastAsia="仿宋_GB2312" w:cs="Times New Roman" w:hint="eastAsia"/>
          <w:sz w:val="32"/>
          <w:szCs w:val="32"/>
          <w:lang w:val="zh-CN"/>
        </w:rPr>
      </w:pPr>
      <w:r>
        <w:rPr>
          <w:rFonts w:ascii="仿宋_GB2312" w:eastAsia="仿宋_GB2312" w:cs="Times New Roman" w:hint="eastAsia"/>
          <w:sz w:val="32"/>
          <w:szCs w:val="32"/>
          <w:lang w:val="zh-CN"/>
        </w:rPr>
        <w:t>25.基本支出：指为保障机构正常运转、完成日常工作任务而发生的人员支出和公用支出。</w:t>
      </w:r>
    </w:p>
    <w:p>
      <w:pPr>
        <w:adjustRightInd w:val="0"/>
        <w:snapToGrid w:val="0"/>
        <w:spacing w:line="600" w:lineRule="exact"/>
        <w:ind w:firstLineChars="200" w:firstLine="640"/>
        <w:rPr>
          <w:rFonts w:ascii="仿宋_GB2312" w:eastAsia="仿宋_GB2312" w:cs="Times New Roman" w:hint="eastAsia"/>
          <w:sz w:val="32"/>
          <w:szCs w:val="32"/>
          <w:lang w:val="zh-CN"/>
        </w:rPr>
      </w:pPr>
      <w:r>
        <w:rPr>
          <w:rFonts w:ascii="仿宋_GB2312" w:eastAsia="仿宋_GB2312" w:cs="Times New Roman" w:hint="eastAsia"/>
          <w:sz w:val="32"/>
          <w:szCs w:val="32"/>
          <w:lang w:val="en-US" w:eastAsia="zh-CN"/>
        </w:rPr>
        <w:t>26</w:t>
      </w:r>
      <w:r>
        <w:rPr>
          <w:rFonts w:ascii="仿宋_GB2312" w:eastAsia="仿宋_GB2312" w:cs="Times New Roman" w:hint="eastAsia"/>
          <w:sz w:val="32"/>
          <w:szCs w:val="32"/>
          <w:lang w:val="zh-CN"/>
        </w:rPr>
        <w:t xml:space="preserve">.项目支出：指在基本支出之外为完成特定行政任务和事业发展目标所发生的支出。 </w:t>
      </w:r>
    </w:p>
    <w:p>
      <w:pPr>
        <w:adjustRightInd w:val="0"/>
        <w:snapToGrid w:val="0"/>
        <w:spacing w:line="600" w:lineRule="exact"/>
        <w:ind w:firstLineChars="200" w:firstLine="640"/>
        <w:rPr>
          <w:rFonts w:ascii="仿宋_GB2312" w:eastAsia="仿宋_GB2312" w:cs="Times New Roman" w:hint="eastAsia"/>
          <w:sz w:val="32"/>
          <w:szCs w:val="32"/>
          <w:lang w:val="zh-CN"/>
        </w:rPr>
      </w:pPr>
      <w:r>
        <w:rPr>
          <w:rFonts w:ascii="仿宋_GB2312" w:eastAsia="仿宋_GB2312" w:cs="Times New Roman" w:hint="eastAsia"/>
          <w:sz w:val="32"/>
          <w:szCs w:val="32"/>
          <w:lang w:val="zh-CN"/>
        </w:rPr>
        <w:t>2</w:t>
      </w:r>
      <w:r>
        <w:rPr>
          <w:rFonts w:ascii="仿宋_GB2312" w:eastAsia="仿宋_GB2312" w:cs="Times New Roman" w:hint="eastAsia"/>
          <w:sz w:val="32"/>
          <w:szCs w:val="32"/>
          <w:lang w:val="en-US" w:eastAsia="zh-CN"/>
        </w:rPr>
        <w:t>7</w:t>
      </w:r>
      <w:r>
        <w:rPr>
          <w:rFonts w:ascii="仿宋_GB2312" w:eastAsia="仿宋_GB2312" w:cs="Times New Roman" w:hint="eastAsia"/>
          <w:sz w:val="32"/>
          <w:szCs w:val="32"/>
          <w:lang w:val="zh-CN"/>
        </w:rPr>
        <w:t>.经营支出：指事业单位在专业业务活动及其辅助活动之外开展非独立核算经营活动发生的支出。</w:t>
      </w:r>
    </w:p>
    <w:p>
      <w:pPr>
        <w:adjustRightInd w:val="0"/>
        <w:snapToGrid w:val="0"/>
        <w:spacing w:line="600" w:lineRule="exact"/>
        <w:ind w:firstLineChars="200" w:firstLine="640"/>
        <w:rPr>
          <w:rFonts w:ascii="仿宋_GB2312" w:eastAsia="仿宋_GB2312" w:cs="Times New Roman" w:hint="eastAsia"/>
          <w:sz w:val="32"/>
          <w:szCs w:val="32"/>
          <w:lang w:val="zh-CN"/>
        </w:rPr>
      </w:pPr>
      <w:r>
        <w:rPr>
          <w:rFonts w:ascii="仿宋_GB2312" w:eastAsia="仿宋_GB2312" w:cs="Times New Roman" w:hint="eastAsia"/>
          <w:sz w:val="32"/>
          <w:szCs w:val="32"/>
          <w:lang w:val="zh-CN"/>
        </w:rPr>
        <w:t>2</w:t>
      </w:r>
      <w:r>
        <w:rPr>
          <w:rFonts w:ascii="仿宋_GB2312" w:eastAsia="仿宋_GB2312" w:cs="Times New Roman" w:hint="eastAsia"/>
          <w:sz w:val="32"/>
          <w:szCs w:val="32"/>
          <w:lang w:val="en-US" w:eastAsia="zh-CN"/>
        </w:rPr>
        <w:t>8</w:t>
      </w:r>
      <w:r>
        <w:rPr>
          <w:rFonts w:ascii="仿宋_GB2312" w:eastAsia="仿宋_GB2312" w:cs="Times New Roman" w:hint="eastAsia"/>
          <w:sz w:val="32"/>
          <w:szCs w:val="32"/>
          <w:lang w:val="zh-CN"/>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adjustRightInd w:val="0"/>
        <w:snapToGrid w:val="0"/>
        <w:spacing w:line="600" w:lineRule="exact"/>
        <w:ind w:firstLineChars="200" w:firstLine="640"/>
        <w:rPr>
          <w:rFonts w:ascii="仿宋_GB2312" w:eastAsia="仿宋_GB2312" w:cs="Times New Roman" w:hint="eastAsia"/>
          <w:sz w:val="32"/>
          <w:szCs w:val="32"/>
          <w:lang w:val="zh-CN"/>
        </w:rPr>
      </w:pPr>
      <w:r>
        <w:rPr>
          <w:rFonts w:ascii="仿宋_GB2312" w:eastAsia="仿宋_GB2312" w:cs="Times New Roman" w:hint="eastAsia"/>
          <w:sz w:val="32"/>
          <w:szCs w:val="32"/>
          <w:lang w:val="zh-CN"/>
        </w:rPr>
        <w:t>2</w:t>
      </w:r>
      <w:r>
        <w:rPr>
          <w:rFonts w:ascii="仿宋_GB2312" w:eastAsia="仿宋_GB2312" w:cs="Times New Roman" w:hint="eastAsia"/>
          <w:sz w:val="32"/>
          <w:szCs w:val="32"/>
          <w:lang w:val="en-US" w:eastAsia="zh-CN"/>
        </w:rPr>
        <w:t>9</w:t>
      </w:r>
      <w:r>
        <w:rPr>
          <w:rFonts w:ascii="仿宋_GB2312" w:eastAsia="仿宋_GB2312" w:cs="Times New Roman" w:hint="eastAsia"/>
          <w:sz w:val="32"/>
          <w:szCs w:val="32"/>
          <w:lang w:val="zh-CN"/>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djustRightInd w:val="0"/>
        <w:snapToGrid w:val="0"/>
        <w:spacing w:line="600" w:lineRule="exact"/>
        <w:ind w:firstLineChars="200" w:firstLine="640"/>
        <w:rPr>
          <w:rFonts w:ascii="仿宋_GB2312" w:eastAsia="仿宋_GB2312" w:cs="Times New Roman" w:hint="eastAsia"/>
          <w:sz w:val="32"/>
          <w:szCs w:val="32"/>
          <w:lang w:val="zh-CN"/>
        </w:rPr>
      </w:pPr>
      <w:r>
        <w:rPr>
          <w:rFonts w:ascii="仿宋_GB2312" w:eastAsia="仿宋_GB2312" w:cs="Times New Roman" w:hint="eastAsia"/>
          <w:sz w:val="32"/>
          <w:szCs w:val="32"/>
          <w:lang w:val="en-US" w:eastAsia="zh-CN"/>
        </w:rPr>
        <w:t>30</w:t>
      </w:r>
      <w:r>
        <w:rPr>
          <w:rFonts w:ascii="仿宋_GB2312" w:eastAsia="仿宋_GB2312" w:cs="Times New Roman" w:hint="eastAsia"/>
          <w:sz w:val="32"/>
          <w:szCs w:val="32"/>
          <w:lang w:val="zh-CN"/>
        </w:rPr>
        <w:t>.财政应返还额度：为行政事业单位会计核算科目，用于核算实行国库集中支付的行政事业单位应收财政返还的资金额度。</w:t>
      </w:r>
    </w:p>
    <w:p>
      <w:pPr>
        <w:adjustRightInd w:val="0"/>
        <w:snapToGrid w:val="0"/>
        <w:spacing w:line="600" w:lineRule="exact"/>
        <w:ind w:firstLine="720"/>
        <w:rPr>
          <w:rFonts w:ascii="仿宋_GB2312" w:eastAsia="仿宋_GB2312" w:cs="Times New Roman" w:hint="eastAsia"/>
          <w:sz w:val="32"/>
          <w:szCs w:val="32"/>
          <w:lang w:val="zh-CN"/>
        </w:rPr>
      </w:pPr>
      <w:r>
        <w:rPr>
          <w:rFonts w:ascii="仿宋_GB2312" w:eastAsia="仿宋_GB2312" w:cs="Times New Roman" w:hint="eastAsia"/>
          <w:sz w:val="32"/>
          <w:szCs w:val="32"/>
          <w:lang w:val="zh-CN"/>
        </w:rPr>
        <w:br w:type="page"/>
      </w:r>
    </w:p>
    <w:p>
      <w:pPr>
        <w:pStyle w:val="1"/>
        <w:jc w:val="center"/>
        <w:rPr>
          <w:rFonts w:ascii="黑体" w:eastAsia="黑体" w:cs="黑体"/>
        </w:rPr>
      </w:pPr>
      <w:bookmarkStart w:id="71" w:name="_Toc13946"/>
      <w:bookmarkStart w:id="72" w:name="_Toc111208510"/>
      <w:r>
        <w:rPr>
          <w:rFonts w:ascii="黑体" w:eastAsia="黑体" w:cs="黑体" w:hint="eastAsia"/>
        </w:rPr>
        <w:t>第四部分 附件</w:t>
      </w:r>
      <w:bookmarkEnd w:id="71"/>
      <w:bookmarkEnd w:id="72"/>
    </w:p>
    <w:p>
      <w:pPr>
        <w:spacing w:line="580" w:lineRule="exact"/>
        <w:contextualSpacing/>
        <w:rPr>
          <w:rFonts w:ascii="黑体" w:eastAsia="黑体" w:cs="黑体"/>
          <w:sz w:val="32"/>
          <w:szCs w:val="32"/>
          <w:lang w:val="zh-CN"/>
        </w:rPr>
      </w:pPr>
      <w:bookmarkStart w:id="73" w:name="_Toc31541"/>
      <w:bookmarkStart w:id="74" w:name="_Toc17213"/>
      <w:r>
        <w:rPr>
          <w:rFonts w:ascii="黑体" w:eastAsia="黑体" w:cs="黑体" w:hint="eastAsia"/>
          <w:sz w:val="32"/>
          <w:szCs w:val="32"/>
          <w:lang w:val="zh-CN"/>
        </w:rPr>
        <w:t>附件</w:t>
      </w:r>
    </w:p>
    <w:p>
      <w:pPr>
        <w:widowControl/>
        <w:spacing w:line="540" w:lineRule="exact"/>
        <w:outlineLvl w:val="1"/>
        <w:rPr>
          <w:rFonts w:ascii="方正小标宋简体" w:eastAsia="方正小标宋简体" w:hint="eastAsia"/>
          <w:bCs/>
          <w:color w:val="000000"/>
          <w:sz w:val="44"/>
          <w:szCs w:val="44"/>
        </w:rPr>
      </w:pPr>
    </w:p>
    <w:p>
      <w:pPr>
        <w:widowControl/>
        <w:spacing w:line="540" w:lineRule="exact"/>
        <w:jc w:val="center"/>
        <w:outlineLvl w:val="1"/>
        <w:rPr>
          <w:rFonts w:ascii="方正小标宋简体" w:eastAsia="方正小标宋简体"/>
          <w:bCs/>
          <w:color w:val="000000"/>
          <w:sz w:val="44"/>
          <w:szCs w:val="44"/>
        </w:rPr>
      </w:pPr>
      <w:bookmarkStart w:id="75" w:name="_Toc3973"/>
      <w:bookmarkEnd w:id="73"/>
      <w:bookmarkEnd w:id="74"/>
      <w:r>
        <w:rPr>
          <w:rFonts w:ascii="方正小标宋简体" w:eastAsia="方正小标宋简体" w:hint="eastAsia"/>
          <w:bCs/>
          <w:color w:val="000000"/>
          <w:sz w:val="44"/>
          <w:szCs w:val="44"/>
        </w:rPr>
        <w:t>202</w:t>
      </w:r>
      <w:r>
        <w:rPr>
          <w:rFonts w:ascii="方正小标宋简体" w:eastAsia="方正小标宋简体" w:hint="eastAsia"/>
          <w:bCs/>
          <w:color w:val="000000"/>
          <w:sz w:val="44"/>
          <w:szCs w:val="44"/>
          <w:lang w:val="en-US" w:eastAsia="zh-CN"/>
        </w:rPr>
        <w:t>2</w:t>
      </w:r>
      <w:r>
        <w:rPr>
          <w:rFonts w:ascii="方正小标宋简体" w:eastAsia="方正小标宋简体" w:hint="eastAsia"/>
          <w:bCs/>
          <w:color w:val="000000"/>
          <w:sz w:val="44"/>
          <w:szCs w:val="44"/>
        </w:rPr>
        <w:t>年茂县南新镇人民政府</w:t>
      </w:r>
    </w:p>
    <w:p>
      <w:pPr>
        <w:widowControl/>
        <w:spacing w:line="540" w:lineRule="exact"/>
        <w:jc w:val="center"/>
        <w:outlineLvl w:val="1"/>
        <w:rPr>
          <w:rFonts w:ascii="方正小标宋简体" w:eastAsia="方正小标宋简体"/>
          <w:bCs/>
          <w:color w:val="000000"/>
          <w:sz w:val="44"/>
          <w:szCs w:val="44"/>
        </w:rPr>
      </w:pPr>
      <w:r>
        <w:rPr>
          <w:rFonts w:ascii="方正小标宋简体" w:eastAsia="方正小标宋简体" w:hint="eastAsia"/>
          <w:bCs/>
          <w:color w:val="000000"/>
          <w:sz w:val="44"/>
          <w:szCs w:val="44"/>
        </w:rPr>
        <w:t>部门整体支出绩效评价报告</w:t>
      </w:r>
      <w:bookmarkEnd w:id="75"/>
    </w:p>
    <w:p>
      <w:pPr>
        <w:widowControl/>
        <w:adjustRightInd w:val="0"/>
        <w:snapToGrid w:val="0"/>
        <w:spacing w:line="580" w:lineRule="exact"/>
        <w:ind w:firstLineChars="200" w:firstLine="480"/>
        <w:contextualSpacing/>
        <w:jc w:val="left"/>
        <w:rPr>
          <w:rFonts w:ascii="黑体" w:eastAsia="黑体" w:cs="宋体"/>
          <w:color w:val="000000"/>
          <w:kern w:val="0"/>
          <w:sz w:val="24"/>
          <w:szCs w:val="32"/>
          <w:shd w:val="clear" w:color="auto" w:fill="FFFFFF"/>
        </w:rPr>
      </w:pPr>
    </w:p>
    <w:p>
      <w:pPr>
        <w:widowControl/>
        <w:adjustRightInd w:val="0"/>
        <w:snapToGrid w:val="0"/>
        <w:spacing w:line="580" w:lineRule="exact"/>
        <w:ind w:firstLineChars="150" w:firstLine="480"/>
        <w:contextualSpacing/>
        <w:jc w:val="left"/>
        <w:outlineLvl w:val="1"/>
        <w:rPr>
          <w:rFonts w:ascii="黑体" w:eastAsia="黑体" w:cs="宋体" w:hint="eastAsia"/>
          <w:color w:val="000000"/>
          <w:kern w:val="0"/>
          <w:sz w:val="32"/>
          <w:szCs w:val="32"/>
          <w:shd w:val="clear" w:color="auto" w:fill="FFFFFF"/>
          <w:lang w:val="zh-CN" w:eastAsia="zh-CN"/>
        </w:rPr>
      </w:pPr>
      <w:bookmarkStart w:id="76" w:name="_Toc23241"/>
      <w:r>
        <w:rPr>
          <w:rFonts w:ascii="黑体" w:eastAsia="黑体" w:cs="宋体" w:hint="eastAsia"/>
          <w:color w:val="000000"/>
          <w:kern w:val="0"/>
          <w:sz w:val="32"/>
          <w:szCs w:val="32"/>
          <w:shd w:val="clear" w:color="auto" w:fill="FFFFFF"/>
        </w:rPr>
        <w:t>一、</w:t>
      </w:r>
      <w:r>
        <w:rPr>
          <w:rFonts w:ascii="黑体" w:eastAsia="黑体" w:cs="宋体" w:hint="eastAsia"/>
          <w:color w:val="000000"/>
          <w:kern w:val="0"/>
          <w:sz w:val="32"/>
          <w:szCs w:val="32"/>
          <w:shd w:val="clear" w:color="auto" w:fill="FFFFFF"/>
          <w:lang w:val="zh-CN"/>
        </w:rPr>
        <w:t>单位</w:t>
      </w:r>
      <w:bookmarkEnd w:id="76"/>
      <w:r>
        <w:rPr>
          <w:rFonts w:ascii="黑体" w:eastAsia="黑体" w:cs="宋体" w:hint="eastAsia"/>
          <w:color w:val="000000"/>
          <w:kern w:val="0"/>
          <w:sz w:val="32"/>
          <w:szCs w:val="32"/>
          <w:shd w:val="clear" w:color="auto" w:fill="FFFFFF"/>
          <w:lang w:val="en-US" w:eastAsia="zh-CN"/>
        </w:rPr>
        <w:t>基本情况</w:t>
      </w:r>
    </w:p>
    <w:p>
      <w:pPr>
        <w:widowControl/>
        <w:adjustRightInd w:val="0"/>
        <w:snapToGrid w:val="0"/>
        <w:spacing w:line="580" w:lineRule="exact"/>
        <w:ind w:firstLineChars="100" w:firstLine="320"/>
        <w:contextualSpacing/>
        <w:jc w:val="left"/>
        <w:rPr>
          <w:rFonts w:ascii="仿宋" w:eastAsia="仿宋" w:cs="仿宋" w:hint="eastAsia"/>
          <w:color w:val="000000"/>
          <w:kern w:val="0"/>
          <w:sz w:val="32"/>
          <w:szCs w:val="32"/>
          <w:shd w:val="clear" w:color="auto" w:fill="FFFFFF"/>
          <w:lang w:val="zh-CN"/>
        </w:rPr>
      </w:pPr>
      <w:r>
        <w:rPr>
          <w:rFonts w:ascii="仿宋" w:eastAsia="仿宋" w:cs="仿宋" w:hint="eastAsia"/>
          <w:color w:val="000000"/>
          <w:kern w:val="0"/>
          <w:sz w:val="32"/>
          <w:szCs w:val="32"/>
          <w:shd w:val="clear" w:color="auto" w:fill="FFFFFF"/>
          <w:lang w:val="zh-CN"/>
        </w:rPr>
        <w:t>（一）机构组成</w:t>
      </w:r>
    </w:p>
    <w:p>
      <w:pPr>
        <w:pStyle w:val="20"/>
        <w:adjustRightInd w:val="0"/>
        <w:snapToGrid w:val="0"/>
        <w:spacing w:beforeLines="0" w:before="93" w:line="576" w:lineRule="exact"/>
        <w:ind w:firstLineChars="200" w:firstLine="640"/>
        <w:outlineLvl w:val="2"/>
        <w:rPr>
          <w:kern w:val="2"/>
          <w:sz w:val="32"/>
          <w:szCs w:val="32"/>
        </w:rPr>
      </w:pPr>
      <w:r>
        <w:rPr>
          <w:rFonts w:cs="仿宋" w:hint="eastAsia"/>
          <w:color w:val="000000"/>
          <w:sz w:val="32"/>
          <w:szCs w:val="32"/>
        </w:rPr>
        <w:t>茂县南新镇人民政府内设</w:t>
      </w:r>
      <w:r>
        <w:rPr>
          <w:rFonts w:cs="仿宋_GB2312" w:hint="eastAsia"/>
          <w:sz w:val="32"/>
          <w:szCs w:val="32"/>
          <w:lang w:val="zh-CN"/>
        </w:rPr>
        <w:t>行政办公室</w:t>
      </w:r>
      <w:r>
        <w:rPr>
          <w:rFonts w:cs="仿宋_GB2312" w:hint="eastAsia"/>
          <w:sz w:val="32"/>
          <w:szCs w:val="32"/>
        </w:rPr>
        <w:t>7</w:t>
      </w:r>
      <w:r>
        <w:rPr>
          <w:rFonts w:cs="仿宋_GB2312" w:hint="eastAsia"/>
          <w:sz w:val="32"/>
          <w:szCs w:val="32"/>
          <w:lang w:val="zh-CN"/>
        </w:rPr>
        <w:t>个、事业机构</w:t>
      </w:r>
      <w:r>
        <w:rPr>
          <w:rFonts w:cs="仿宋_GB2312" w:hint="eastAsia"/>
          <w:sz w:val="32"/>
          <w:szCs w:val="32"/>
        </w:rPr>
        <w:t>4</w:t>
      </w:r>
      <w:r>
        <w:rPr>
          <w:rFonts w:cs="仿宋_GB2312" w:hint="eastAsia"/>
          <w:sz w:val="32"/>
          <w:szCs w:val="32"/>
          <w:lang w:val="zh-CN"/>
        </w:rPr>
        <w:t>个</w:t>
      </w:r>
      <w:r>
        <w:rPr>
          <w:rFonts w:cs="仿宋" w:hint="eastAsia"/>
          <w:color w:val="000000"/>
          <w:sz w:val="32"/>
          <w:szCs w:val="32"/>
        </w:rPr>
        <w:t>，分别是：</w:t>
      </w:r>
      <w:r>
        <w:rPr>
          <w:rFonts w:hint="eastAsia"/>
          <w:kern w:val="2"/>
          <w:sz w:val="32"/>
          <w:szCs w:val="32"/>
        </w:rPr>
        <w:t>茂县南新镇党政办公室、党建工作办公室、维护稳定和综合行政执法办公室、经济发展和乡村振兴办公室、社会事务办公室、生态环境和应急管理办公室、财经审查工作办公室、便民服务中心、经济发展服务中心、农业农村服务中心、综合文化服务中心</w:t>
      </w:r>
      <w:r>
        <w:rPr>
          <w:rFonts w:cs="宋体" w:hint="eastAsia"/>
          <w:color w:val="000000"/>
          <w:sz w:val="32"/>
          <w:szCs w:val="32"/>
          <w:shd w:val="clear" w:color="auto" w:fill="FFFFFF"/>
          <w:lang w:val="zh-CN"/>
        </w:rPr>
        <w:t>。</w:t>
      </w:r>
    </w:p>
    <w:p>
      <w:pPr>
        <w:widowControl/>
        <w:adjustRightInd w:val="0"/>
        <w:snapToGrid w:val="0"/>
        <w:spacing w:line="580" w:lineRule="exact"/>
        <w:ind w:firstLineChars="100" w:firstLine="320"/>
        <w:contextualSpacing/>
        <w:jc w:val="left"/>
        <w:rPr>
          <w:rFonts w:ascii="仿宋" w:eastAsia="仿宋" w:cs="仿宋" w:hint="eastAsia"/>
          <w:color w:val="000000"/>
          <w:kern w:val="0"/>
          <w:sz w:val="32"/>
          <w:szCs w:val="32"/>
          <w:shd w:val="clear" w:color="auto" w:fill="FFFFFF"/>
          <w:lang w:val="zh-CN"/>
        </w:rPr>
      </w:pPr>
      <w:r>
        <w:rPr>
          <w:rFonts w:ascii="仿宋" w:eastAsia="仿宋" w:cs="仿宋" w:hint="eastAsia"/>
          <w:color w:val="000000"/>
          <w:kern w:val="0"/>
          <w:sz w:val="32"/>
          <w:szCs w:val="32"/>
          <w:shd w:val="clear" w:color="auto" w:fill="FFFFFF"/>
          <w:lang w:val="zh-CN"/>
        </w:rPr>
        <w:t>（二）机构职能</w:t>
      </w:r>
    </w:p>
    <w:p>
      <w:pPr>
        <w:pStyle w:val="20"/>
        <w:adjustRightInd w:val="0"/>
        <w:snapToGrid w:val="0"/>
        <w:spacing w:beforeLines="0" w:before="93" w:line="576" w:lineRule="exact"/>
        <w:ind w:firstLineChars="200" w:firstLine="640"/>
        <w:outlineLvl w:val="2"/>
        <w:rPr>
          <w:rFonts w:cs="仿宋" w:hint="eastAsia"/>
          <w:color w:val="000000"/>
          <w:sz w:val="32"/>
          <w:szCs w:val="32"/>
        </w:rPr>
      </w:pPr>
      <w:r>
        <w:rPr>
          <w:rFonts w:cs="仿宋" w:hint="eastAsia"/>
          <w:color w:val="000000"/>
          <w:sz w:val="32"/>
          <w:szCs w:val="32"/>
        </w:rPr>
        <w:t>主要职能为：负责调查了解农业产业结构状况及市场走向，及时提供农业结构调整参考信息；做好计划生育宣传教育工作，落实国家计划生育政策，努力提高人口素质；负责组织军烈属慰问、民政救灾救济工作；宣传贯彻国土管理、城建规划的法律法规，拟定全镇国土、城建管理规划措施；宣传教育、文化、科技、卫生等方面的政策、知识；严格按规定做好财务管理工作。</w:t>
      </w:r>
    </w:p>
    <w:p>
      <w:pPr>
        <w:widowControl/>
        <w:adjustRightInd w:val="0"/>
        <w:snapToGrid w:val="0"/>
        <w:spacing w:line="580" w:lineRule="exact"/>
        <w:ind w:firstLineChars="100" w:firstLine="320"/>
        <w:contextualSpacing/>
        <w:jc w:val="left"/>
        <w:rPr>
          <w:rFonts w:ascii="仿宋" w:eastAsia="仿宋" w:cs="仿宋" w:hint="eastAsia"/>
          <w:color w:val="000000"/>
          <w:kern w:val="0"/>
          <w:sz w:val="32"/>
          <w:szCs w:val="32"/>
          <w:shd w:val="clear" w:color="auto" w:fill="FFFFFF"/>
          <w:lang w:val="zh-CN"/>
        </w:rPr>
      </w:pPr>
      <w:r>
        <w:rPr>
          <w:rFonts w:ascii="仿宋" w:eastAsia="仿宋" w:cs="仿宋" w:hint="eastAsia"/>
          <w:color w:val="000000"/>
          <w:kern w:val="0"/>
          <w:sz w:val="32"/>
          <w:szCs w:val="32"/>
          <w:shd w:val="clear" w:color="auto" w:fill="FFFFFF"/>
          <w:lang w:val="zh-CN"/>
        </w:rPr>
        <w:t>（三）人员概况</w:t>
      </w:r>
    </w:p>
    <w:p>
      <w:pPr>
        <w:widowControl/>
        <w:adjustRightInd w:val="0"/>
        <w:snapToGrid w:val="0"/>
        <w:spacing w:line="540" w:lineRule="exact"/>
        <w:ind w:firstLineChars="200" w:firstLine="640"/>
        <w:jc w:val="left"/>
        <w:rPr>
          <w:rFonts w:ascii="仿宋_GB2312" w:eastAsia="仿宋_GB2312" w:cs="仿宋" w:hint="eastAsia"/>
          <w:color w:val="000000"/>
          <w:kern w:val="0"/>
          <w:sz w:val="32"/>
          <w:szCs w:val="32"/>
        </w:rPr>
      </w:pPr>
      <w:r>
        <w:rPr>
          <w:rFonts w:ascii="仿宋_GB2312" w:eastAsia="仿宋_GB2312" w:cs="仿宋" w:hint="eastAsia"/>
          <w:color w:val="000000"/>
          <w:kern w:val="0"/>
          <w:sz w:val="32"/>
          <w:szCs w:val="32"/>
        </w:rPr>
        <w:t>编制数为61人（行政32人，行政工勤4人，事业25人）实有人数45人，其中：行政人员27人，行政工勤1人，事业17人。</w:t>
      </w:r>
    </w:p>
    <w:p>
      <w:pPr>
        <w:pStyle w:val="18"/>
      </w:pPr>
      <w:r>
        <w:rPr>
          <w:rFonts w:ascii="仿宋" w:eastAsia="仿宋" w:cs="仿宋" w:hint="eastAsia"/>
          <w:b w:val="0"/>
          <w:bCs w:val="0"/>
          <w:color w:val="000000"/>
          <w:kern w:val="0"/>
          <w:sz w:val="32"/>
          <w:szCs w:val="32"/>
        </w:rPr>
        <w:t>(四)</w:t>
      </w:r>
      <w:r>
        <w:rPr>
          <w:rFonts w:ascii="仿宋" w:eastAsia="仿宋" w:cs="仿宋" w:hint="eastAsia"/>
          <w:b w:val="0"/>
          <w:bCs w:val="0"/>
          <w:color w:val="000000"/>
          <w:kern w:val="0"/>
          <w:sz w:val="32"/>
          <w:szCs w:val="32"/>
          <w:lang w:val="en-US" w:eastAsia="zh-CN"/>
        </w:rPr>
        <w:t>部门</w:t>
      </w:r>
      <w:r>
        <w:rPr>
          <w:rFonts w:ascii="仿宋" w:eastAsia="仿宋" w:cs="仿宋" w:hint="eastAsia"/>
          <w:b w:val="0"/>
          <w:bCs w:val="0"/>
          <w:color w:val="000000"/>
          <w:kern w:val="0"/>
          <w:sz w:val="32"/>
          <w:szCs w:val="32"/>
        </w:rPr>
        <w:t>整体</w:t>
      </w:r>
      <w:r>
        <w:rPr>
          <w:rFonts w:ascii="仿宋" w:eastAsia="仿宋" w:cs="仿宋" w:hint="eastAsia"/>
          <w:b w:val="0"/>
          <w:bCs w:val="0"/>
          <w:color w:val="000000"/>
          <w:kern w:val="0"/>
          <w:sz w:val="32"/>
          <w:szCs w:val="32"/>
          <w:lang w:val="en-US" w:eastAsia="zh-CN"/>
        </w:rPr>
        <w:t>支出</w:t>
      </w:r>
      <w:r>
        <w:rPr>
          <w:rFonts w:ascii="仿宋" w:eastAsia="仿宋" w:cs="仿宋" w:hint="eastAsia"/>
          <w:b w:val="0"/>
          <w:bCs w:val="0"/>
          <w:color w:val="000000"/>
          <w:kern w:val="0"/>
          <w:sz w:val="32"/>
          <w:szCs w:val="32"/>
        </w:rPr>
        <w:t>绩效</w:t>
      </w:r>
      <w:r>
        <w:rPr>
          <w:rFonts w:ascii="仿宋" w:eastAsia="仿宋" w:cs="仿宋" w:hint="eastAsia"/>
          <w:b w:val="0"/>
          <w:bCs w:val="0"/>
          <w:color w:val="000000"/>
          <w:kern w:val="0"/>
          <w:sz w:val="32"/>
          <w:szCs w:val="32"/>
          <w:lang w:val="en-US" w:eastAsia="zh-CN"/>
        </w:rPr>
        <w:t>目标</w:t>
      </w:r>
      <w:r>
        <w:rPr>
          <w:rFonts w:ascii="仿宋_GB2312" w:eastAsia="仿宋_GB2312" w:cs="仿宋" w:hint="eastAsia"/>
          <w:color w:val="000000"/>
          <w:kern w:val="0"/>
          <w:sz w:val="32"/>
          <w:szCs w:val="32"/>
        </w:rPr>
        <w:br/>
        <w:t xml:space="preserve">     通过上级部门及本级财政部门的评估检査，本单位财务职责履行结果良好，重点项目绩效评佔良好，服务对象及满意度得到上级部门及本級部门的肯定，整体结果良好。2022年全年，我单位共计支出项目资金342.75万元。</w:t>
        <w:br/>
      </w:r>
    </w:p>
    <w:p>
      <w:pPr>
        <w:widowControl/>
        <w:adjustRightInd w:val="0"/>
        <w:snapToGrid w:val="0"/>
        <w:spacing w:line="580" w:lineRule="exact"/>
        <w:ind w:firstLineChars="100" w:firstLine="320"/>
        <w:contextualSpacing/>
        <w:jc w:val="left"/>
        <w:outlineLvl w:val="1"/>
        <w:rPr>
          <w:rFonts w:ascii="黑体" w:eastAsia="黑体" w:cs="宋体"/>
          <w:color w:val="000000"/>
          <w:kern w:val="0"/>
          <w:sz w:val="32"/>
          <w:szCs w:val="32"/>
          <w:shd w:val="clear" w:color="auto" w:fill="FFFFFF"/>
        </w:rPr>
      </w:pPr>
      <w:bookmarkStart w:id="77" w:name="_Toc5010"/>
      <w:r>
        <w:rPr>
          <w:rFonts w:ascii="黑体" w:eastAsia="黑体" w:cs="宋体" w:hint="eastAsia"/>
          <w:color w:val="000000"/>
          <w:kern w:val="0"/>
          <w:sz w:val="32"/>
          <w:szCs w:val="32"/>
          <w:shd w:val="clear" w:color="auto" w:fill="FFFFFF"/>
        </w:rPr>
        <w:t>二、部门财政资金收支情况</w:t>
      </w:r>
      <w:bookmarkEnd w:id="77"/>
    </w:p>
    <w:p>
      <w:pPr>
        <w:widowControl/>
        <w:adjustRightInd w:val="0"/>
        <w:snapToGrid w:val="0"/>
        <w:spacing w:line="580" w:lineRule="exact"/>
        <w:ind w:firstLineChars="100" w:firstLine="320"/>
        <w:contextualSpacing/>
        <w:jc w:val="left"/>
        <w:rPr>
          <w:rFonts w:ascii="仿宋_GB2312" w:eastAsia="仿宋_GB2312" w:cs="宋体" w:hint="eastAsia"/>
          <w:color w:val="000000"/>
          <w:kern w:val="0"/>
          <w:sz w:val="32"/>
          <w:szCs w:val="32"/>
          <w:shd w:val="clear" w:color="auto" w:fill="FFFFFF"/>
          <w:lang w:val="zh-CN"/>
        </w:rPr>
      </w:pPr>
      <w:r>
        <w:rPr>
          <w:rFonts w:ascii="仿宋" w:eastAsia="仿宋" w:cs="仿宋" w:hint="eastAsia"/>
          <w:color w:val="000000"/>
          <w:kern w:val="0"/>
          <w:sz w:val="32"/>
          <w:szCs w:val="32"/>
          <w:shd w:val="clear" w:color="auto" w:fill="FFFFFF"/>
          <w:lang w:val="zh-CN"/>
        </w:rPr>
        <w:t>（一）部门财政资金收入情况</w:t>
      </w:r>
    </w:p>
    <w:p>
      <w:pPr>
        <w:widowControl/>
        <w:adjustRightInd w:val="0"/>
        <w:snapToGrid w:val="0"/>
        <w:spacing w:line="540" w:lineRule="exact"/>
        <w:ind w:firstLineChars="200" w:firstLine="640"/>
        <w:jc w:val="left"/>
        <w:rPr>
          <w:rFonts w:ascii="仿宋_GB2312" w:eastAsia="仿宋_GB2312" w:cs="仿宋" w:hint="eastAsia"/>
          <w:color w:val="000000"/>
          <w:kern w:val="0"/>
          <w:sz w:val="32"/>
          <w:szCs w:val="32"/>
        </w:rPr>
      </w:pPr>
      <w:r>
        <w:rPr>
          <w:rFonts w:ascii="仿宋_GB2312" w:eastAsia="仿宋_GB2312" w:cs="仿宋" w:hint="eastAsia"/>
          <w:color w:val="000000"/>
          <w:kern w:val="0"/>
          <w:sz w:val="32"/>
          <w:szCs w:val="32"/>
        </w:rPr>
        <w:t>2022年收入1218.67万元，其中：一般公共预算财政拨款收入1207.27万元，政府性基金预算财政拨款收入11.4万元。</w:t>
      </w:r>
    </w:p>
    <w:p>
      <w:pPr>
        <w:widowControl/>
        <w:adjustRightInd w:val="0"/>
        <w:snapToGrid w:val="0"/>
        <w:spacing w:line="580" w:lineRule="exact"/>
        <w:ind w:firstLineChars="100" w:firstLine="320"/>
        <w:contextualSpacing/>
        <w:jc w:val="left"/>
        <w:rPr>
          <w:rFonts w:ascii="仿宋_GB2312" w:eastAsia="仿宋_GB2312" w:cs="宋体" w:hint="eastAsia"/>
          <w:color w:val="000000"/>
          <w:kern w:val="0"/>
          <w:sz w:val="32"/>
          <w:szCs w:val="32"/>
          <w:shd w:val="clear" w:color="auto" w:fill="FFFFFF"/>
          <w:lang w:val="zh-CN"/>
        </w:rPr>
      </w:pPr>
      <w:r>
        <w:rPr>
          <w:rFonts w:ascii="仿宋" w:eastAsia="仿宋" w:cs="仿宋" w:hint="eastAsia"/>
          <w:color w:val="000000"/>
          <w:kern w:val="0"/>
          <w:sz w:val="32"/>
          <w:szCs w:val="32"/>
          <w:shd w:val="clear" w:color="auto" w:fill="FFFFFF"/>
          <w:lang w:val="zh-CN"/>
        </w:rPr>
        <w:t>（二）部门财政资金支出情况</w:t>
      </w:r>
    </w:p>
    <w:p>
      <w:pPr>
        <w:widowControl/>
        <w:adjustRightInd w:val="0"/>
        <w:snapToGrid w:val="0"/>
        <w:spacing w:line="540" w:lineRule="exact"/>
        <w:ind w:firstLineChars="200" w:firstLine="640"/>
        <w:jc w:val="left"/>
        <w:rPr>
          <w:rFonts w:ascii="仿宋_GB2312" w:eastAsia="仿宋_GB2312" w:cs="仿宋" w:hint="eastAsia"/>
          <w:color w:val="000000"/>
          <w:kern w:val="0"/>
          <w:sz w:val="32"/>
          <w:szCs w:val="32"/>
        </w:rPr>
      </w:pPr>
      <w:r>
        <w:rPr>
          <w:rFonts w:ascii="仿宋_GB2312" w:eastAsia="仿宋_GB2312" w:cs="仿宋" w:hint="eastAsia"/>
          <w:color w:val="000000"/>
          <w:kern w:val="0"/>
          <w:sz w:val="32"/>
          <w:szCs w:val="32"/>
        </w:rPr>
        <w:t>2022年南新镇人民政府支出总额为1218.67万元，其中：当年财政基本支出875.92万元，项目支出342.75万元。按功能分：一般公共服务支出441.06万元，社会保障和就业支113.58万元，卫生健康支出58.21万元，城乡社区支出11.4万元，农林水事务支出533.96万元，住房保障支出60.46万元。</w:t>
      </w:r>
    </w:p>
    <w:p>
      <w:pPr>
        <w:widowControl/>
        <w:adjustRightInd w:val="0"/>
        <w:snapToGrid w:val="0"/>
        <w:spacing w:line="580" w:lineRule="exact"/>
        <w:ind w:firstLineChars="200" w:firstLine="640"/>
        <w:contextualSpacing/>
        <w:jc w:val="left"/>
        <w:outlineLvl w:val="1"/>
        <w:rPr>
          <w:rFonts w:ascii="黑体" w:eastAsia="黑体" w:cs="宋体" w:hint="eastAsia"/>
          <w:color w:val="000000"/>
          <w:kern w:val="0"/>
          <w:sz w:val="32"/>
          <w:szCs w:val="32"/>
          <w:shd w:val="clear" w:color="auto" w:fill="FFFFFF"/>
        </w:rPr>
      </w:pPr>
      <w:bookmarkStart w:id="78" w:name="_Toc16355"/>
      <w:r>
        <w:rPr>
          <w:rFonts w:ascii="黑体" w:eastAsia="黑体" w:cs="宋体" w:hint="eastAsia"/>
          <w:color w:val="000000"/>
          <w:kern w:val="0"/>
          <w:sz w:val="32"/>
          <w:szCs w:val="32"/>
          <w:shd w:val="clear" w:color="auto" w:fill="FFFFFF"/>
        </w:rPr>
        <w:t>三、部门整体预算绩效管理情况</w:t>
      </w:r>
      <w:bookmarkEnd w:id="78"/>
    </w:p>
    <w:p>
      <w:pPr>
        <w:widowControl/>
        <w:adjustRightInd w:val="0"/>
        <w:snapToGrid w:val="0"/>
        <w:spacing w:line="580" w:lineRule="exact"/>
        <w:ind w:firstLineChars="100" w:firstLine="320"/>
        <w:contextualSpacing/>
        <w:jc w:val="left"/>
        <w:outlineLvl w:val="1"/>
        <w:rPr>
          <w:rFonts w:ascii="仿宋" w:eastAsia="仿宋" w:cs="仿宋" w:hint="eastAsia"/>
          <w:color w:val="000000"/>
          <w:kern w:val="0"/>
          <w:sz w:val="32"/>
          <w:szCs w:val="32"/>
          <w:shd w:val="clear" w:color="auto" w:fill="FFFFFF"/>
        </w:rPr>
      </w:pPr>
      <w:r>
        <w:rPr>
          <w:rFonts w:ascii="仿宋" w:eastAsia="仿宋" w:cs="仿宋" w:hint="eastAsia"/>
          <w:color w:val="000000"/>
          <w:kern w:val="0"/>
          <w:sz w:val="32"/>
          <w:szCs w:val="32"/>
          <w:shd w:val="clear" w:color="auto" w:fill="FFFFFF"/>
          <w:lang w:val="zh-CN"/>
        </w:rPr>
        <w:t>（一）部门预算项目绩效管理</w:t>
      </w:r>
    </w:p>
    <w:p>
      <w:pPr>
        <w:widowControl/>
        <w:adjustRightInd w:val="0"/>
        <w:snapToGrid w:val="0"/>
        <w:spacing w:line="540" w:lineRule="exact"/>
        <w:ind w:firstLineChars="200" w:firstLine="640"/>
        <w:jc w:val="left"/>
        <w:rPr>
          <w:rFonts w:ascii="仿宋_GB2312" w:eastAsia="仿宋_GB2312" w:cs="仿宋"/>
          <w:color w:val="000000"/>
          <w:kern w:val="0"/>
          <w:sz w:val="32"/>
          <w:szCs w:val="32"/>
        </w:rPr>
      </w:pPr>
      <w:r>
        <w:rPr>
          <w:rFonts w:ascii="仿宋_GB2312" w:eastAsia="仿宋_GB2312" w:cs="仿宋" w:hint="eastAsia"/>
          <w:color w:val="000000"/>
          <w:kern w:val="0"/>
          <w:sz w:val="32"/>
          <w:szCs w:val="32"/>
        </w:rPr>
        <w:t>我镇严格按照县级部门预算编制通知和有关要求，按时完成基础库、项目库报送工作，按时完成2022年预算编制工作，并按时提交部门预算草案。按规定编制政府采购预算，预算编制全面、科学。2022年部门决算、绩效目标填报及年末结余结转都是严格按照县财政局的要求认真完成。 </w:t>
      </w:r>
    </w:p>
    <w:p>
      <w:pPr>
        <w:widowControl/>
        <w:adjustRightInd w:val="0"/>
        <w:snapToGrid w:val="0"/>
        <w:spacing w:line="540" w:lineRule="exact"/>
        <w:ind w:firstLineChars="200" w:firstLine="640"/>
        <w:jc w:val="left"/>
        <w:rPr>
          <w:rFonts w:ascii="仿宋_GB2312" w:eastAsia="仿宋_GB2312" w:cs="仿宋" w:hint="eastAsia"/>
          <w:color w:val="000000"/>
          <w:kern w:val="0"/>
          <w:sz w:val="32"/>
          <w:szCs w:val="32"/>
        </w:rPr>
      </w:pPr>
      <w:r>
        <w:rPr>
          <w:rFonts w:ascii="仿宋_GB2312" w:eastAsia="仿宋_GB2312" w:cs="仿宋" w:hint="eastAsia"/>
          <w:color w:val="000000"/>
          <w:kern w:val="0"/>
          <w:sz w:val="32"/>
          <w:szCs w:val="32"/>
        </w:rPr>
        <w:t>决算编制：2022年12月对全年收支进行决算：本年收入1218.67万元，其中：一般公共预算财政拨款收入1207.27万元，政府性基金预算财政拨款收入11.4万元。本年支出总额为1218.67万元，其中：当年财政基本支出875.92万元，项目支出342.75万元。按功能分：一般公共服务支出441.06万元，社会保障和就业支113.58万元，卫生健康支出58.21万元，城乡社区支出11.4万元，农林水事务支出533.96万元，住房保障支出60.46万元。</w:t>
      </w:r>
    </w:p>
    <w:p>
      <w:pPr>
        <w:widowControl/>
        <w:adjustRightInd w:val="0"/>
        <w:snapToGrid w:val="0"/>
        <w:spacing w:line="54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我镇按照县财政的要求，及时分月、分季度上报相应计划，待财政审核通过后，严格按计划执行，各季度执行情况良好。</w:t>
      </w:r>
    </w:p>
    <w:p>
      <w:pPr>
        <w:ind w:firstLineChars="200" w:firstLine="640"/>
        <w:rPr>
          <w:rFonts w:hint="eastAsia"/>
        </w:rPr>
      </w:pPr>
      <w:r>
        <w:rPr>
          <w:rFonts w:ascii="仿宋_GB2312" w:eastAsia="仿宋_GB2312" w:cs="仿宋_GB2312" w:hint="eastAsia"/>
          <w:sz w:val="32"/>
          <w:szCs w:val="32"/>
        </w:rPr>
        <w:t>基本支出2022年按月或季度进行申报，其中人员工资按月申报并直接支付，日常公用经费按季度进行申报并支付， 12月执行进度100%。项目支出按月申报并直接支付，1-12月执行进度97%。</w:t>
      </w:r>
    </w:p>
    <w:p>
      <w:pPr>
        <w:ind w:firstLineChars="100" w:firstLine="320"/>
        <w:rPr>
          <w:rFonts w:ascii="仿宋" w:eastAsia="仿宋" w:cs="仿宋" w:hint="eastAsia"/>
          <w:sz w:val="32"/>
          <w:szCs w:val="32"/>
        </w:rPr>
      </w:pPr>
      <w:r>
        <w:rPr>
          <w:rFonts w:ascii="仿宋" w:eastAsia="仿宋" w:cs="仿宋" w:hint="eastAsia"/>
          <w:color w:val="000000"/>
          <w:kern w:val="0"/>
          <w:sz w:val="32"/>
          <w:szCs w:val="32"/>
          <w:shd w:val="clear" w:color="auto" w:fill="FFFFFF"/>
          <w:lang w:val="zh-CN"/>
        </w:rPr>
        <w:t>（二）结果应用情况</w:t>
      </w:r>
    </w:p>
    <w:p>
      <w:pPr>
        <w:widowControl/>
        <w:adjustRightInd w:val="0"/>
        <w:snapToGrid w:val="0"/>
        <w:spacing w:line="540" w:lineRule="exact"/>
        <w:ind w:firstLineChars="200" w:firstLine="640"/>
        <w:jc w:val="left"/>
        <w:rPr>
          <w:rFonts w:ascii="仿宋_GB2312" w:eastAsia="仿宋_GB2312" w:cs="仿宋" w:hint="eastAsia"/>
          <w:color w:val="000000"/>
          <w:kern w:val="0"/>
          <w:sz w:val="32"/>
          <w:szCs w:val="32"/>
        </w:rPr>
      </w:pPr>
      <w:r>
        <w:rPr>
          <w:rFonts w:ascii="仿宋_GB2312" w:eastAsia="仿宋_GB2312" w:cs="仿宋" w:hint="eastAsia"/>
          <w:color w:val="000000"/>
          <w:kern w:val="0"/>
          <w:sz w:val="32"/>
          <w:szCs w:val="32"/>
        </w:rPr>
        <w:t>南新镇人民政府财政拨款支出主要用于保障我镇部门机构正常运转、完成日常工作任务以及承担本镇事业发展相关工作。 基本支出，是用于保障政府机关、事业单位等机构正常运转的日常支出，包括基本工资、津贴补贴等人员经费以及办公费、印刷费、水电费、办公设备购置等日常公用经费。项目支出，是用于保障政府机关、事业单位等机构为完成特定的行政工作任务或事业发展目标，用于专项业务工作的经费支出。</w:t>
      </w:r>
    </w:p>
    <w:p>
      <w:pPr>
        <w:widowControl/>
        <w:adjustRightInd w:val="0"/>
        <w:snapToGrid w:val="0"/>
        <w:spacing w:line="540" w:lineRule="exact"/>
        <w:ind w:firstLineChars="200" w:firstLine="640"/>
        <w:jc w:val="left"/>
        <w:rPr>
          <w:rFonts w:ascii="仿宋_GB2312" w:eastAsia="仿宋_GB2312" w:cs="仿宋"/>
          <w:color w:val="000000"/>
          <w:kern w:val="0"/>
          <w:sz w:val="32"/>
          <w:szCs w:val="32"/>
        </w:rPr>
      </w:pPr>
      <w:r>
        <w:rPr>
          <w:rFonts w:ascii="仿宋_GB2312" w:eastAsia="仿宋_GB2312" w:cs="仿宋" w:hint="eastAsia"/>
          <w:color w:val="000000"/>
          <w:kern w:val="0"/>
          <w:sz w:val="32"/>
          <w:szCs w:val="32"/>
        </w:rPr>
        <w:t>按支出功能分类主要用于以下方面：一般公共服务，文化体育与传媒，社会保障和就业，医疗卫生与计划生育支出，农林水事务，住房保障、其他支出等支出。</w:t>
      </w:r>
    </w:p>
    <w:p>
      <w:pPr>
        <w:widowControl/>
        <w:adjustRightInd w:val="0"/>
        <w:snapToGrid w:val="0"/>
        <w:spacing w:line="540" w:lineRule="exact"/>
        <w:ind w:firstLineChars="200" w:firstLine="640"/>
        <w:jc w:val="left"/>
        <w:rPr>
          <w:rFonts w:ascii="仿宋_GB2312" w:eastAsia="仿宋_GB2312" w:cs="仿宋"/>
          <w:color w:val="000000"/>
          <w:kern w:val="0"/>
          <w:sz w:val="32"/>
          <w:szCs w:val="32"/>
        </w:rPr>
      </w:pPr>
      <w:r>
        <w:rPr>
          <w:rFonts w:ascii="仿宋_GB2312" w:eastAsia="仿宋_GB2312" w:cs="仿宋" w:hint="eastAsia"/>
          <w:color w:val="000000"/>
          <w:kern w:val="0"/>
          <w:sz w:val="32"/>
          <w:szCs w:val="32"/>
        </w:rPr>
        <w:t>我镇认真执行中央八项规定，严格控制三公经费支出。2022年三公经费费用支出5万元，其中:公务用车购置及运行维护费5万元。我镇严格执行《茂县县级财政专项资金绩效分配管理暂行办法》进行绩效分配制度。严格按照用款计划，分月、季度执行，按照项目资金管理办法实行专款专用。</w:t>
      </w:r>
    </w:p>
    <w:p>
      <w:pPr>
        <w:spacing w:line="580" w:lineRule="exact"/>
        <w:ind w:firstLineChars="200" w:firstLine="640"/>
        <w:rPr>
          <w:rFonts w:ascii="仿宋_GB2312" w:eastAsia="仿宋_GB2312" w:cs="仿宋" w:hint="eastAsia"/>
          <w:color w:val="000000"/>
          <w:kern w:val="0"/>
          <w:sz w:val="32"/>
          <w:szCs w:val="32"/>
        </w:rPr>
      </w:pPr>
      <w:r>
        <w:rPr>
          <w:rFonts w:ascii="仿宋_GB2312" w:eastAsia="仿宋_GB2312" w:cs="仿宋" w:hint="eastAsia"/>
          <w:color w:val="000000"/>
          <w:kern w:val="0"/>
          <w:sz w:val="32"/>
          <w:szCs w:val="32"/>
        </w:rPr>
        <w:t>绩效目标完成情况。按照年初预算项目，实施完成后使全镇环境更优美、经济更稳定、社会更和谐，达到预期经济、社会目标。我镇按照岗位职责，严格执行机关财务管理制度，及时进行会计核算，对项目资金、政府采购进行公开公示，接受群众监督。我镇绩效管理严格按照上级部门要求，开展自评工作，对评价结果及时总结上报。部门财政支出管理情况</w:t>
        <w:br/>
      </w:r>
      <w:bookmarkStart w:id="79" w:name="_Toc927"/>
      <w:r>
        <w:rPr>
          <w:rFonts w:ascii="黑体" w:eastAsia="黑体" w:cs="宋体" w:hint="eastAsia"/>
          <w:color w:val="000000"/>
          <w:kern w:val="0"/>
          <w:sz w:val="32"/>
          <w:szCs w:val="32"/>
          <w:shd w:val="clear" w:color="auto" w:fill="FFFFFF"/>
        </w:rPr>
        <w:t xml:space="preserve">  四、评价结论及建议</w:t>
      </w:r>
      <w:bookmarkEnd w:id="79"/>
    </w:p>
    <w:p>
      <w:pPr>
        <w:spacing w:line="580" w:lineRule="exact"/>
        <w:ind w:firstLineChars="50" w:firstLine="160"/>
        <w:rPr>
          <w:rFonts w:ascii="仿宋" w:eastAsia="仿宋" w:cs="仿宋" w:hint="eastAsia"/>
          <w:color w:val="000000"/>
          <w:kern w:val="0"/>
          <w:sz w:val="32"/>
          <w:szCs w:val="32"/>
        </w:rPr>
      </w:pPr>
      <w:r>
        <w:rPr>
          <w:rFonts w:ascii="仿宋" w:eastAsia="仿宋" w:cs="仿宋" w:hint="eastAsia"/>
          <w:color w:val="000000"/>
          <w:kern w:val="0"/>
          <w:sz w:val="32"/>
          <w:szCs w:val="32"/>
          <w:shd w:val="clear" w:color="auto" w:fill="FFFFFF"/>
          <w:lang w:val="zh-CN"/>
        </w:rPr>
        <w:t>（一）评价结论</w:t>
      </w:r>
    </w:p>
    <w:p>
      <w:pPr>
        <w:widowControl/>
        <w:adjustRightInd w:val="0"/>
        <w:snapToGrid w:val="0"/>
        <w:spacing w:line="540" w:lineRule="exact"/>
        <w:ind w:firstLineChars="200" w:firstLine="640"/>
        <w:jc w:val="left"/>
        <w:rPr>
          <w:rFonts w:ascii="仿宋" w:eastAsia="仿宋" w:cs="宋体"/>
          <w:color w:val="000000"/>
          <w:kern w:val="0"/>
          <w:sz w:val="32"/>
          <w:szCs w:val="32"/>
          <w:shd w:val="clear" w:color="auto" w:fill="FFFFFF"/>
          <w:lang w:val="zh-CN"/>
        </w:rPr>
      </w:pPr>
      <w:r>
        <w:rPr>
          <w:rFonts w:ascii="仿宋_GB2312" w:eastAsia="仿宋_GB2312" w:cs="仿宋" w:hint="eastAsia"/>
          <w:color w:val="000000"/>
          <w:kern w:val="0"/>
          <w:sz w:val="32"/>
          <w:szCs w:val="32"/>
        </w:rPr>
        <w:t>我镇按照预算法按时完成预决算编制。在执行过程中有计划进行资金申报使用，完善资金管理及内部控制制度，确保资金安全，做到账款、账账、账实相符。为全镇经济和社会事业发展提供资金保障。</w:t>
      </w:r>
    </w:p>
    <w:p>
      <w:pPr>
        <w:widowControl/>
        <w:adjustRightInd w:val="0"/>
        <w:snapToGrid w:val="0"/>
        <w:spacing w:line="580" w:lineRule="exact"/>
        <w:ind w:firstLineChars="50" w:firstLine="160"/>
        <w:contextualSpacing/>
        <w:jc w:val="left"/>
        <w:rPr>
          <w:rFonts w:ascii="仿宋" w:eastAsia="仿宋" w:cs="仿宋" w:hint="eastAsia"/>
          <w:color w:val="000000"/>
          <w:kern w:val="0"/>
          <w:sz w:val="32"/>
          <w:szCs w:val="32"/>
          <w:shd w:val="clear" w:color="auto" w:fill="FFFFFF"/>
          <w:lang w:val="zh-CN"/>
        </w:rPr>
      </w:pPr>
      <w:r>
        <w:rPr>
          <w:rFonts w:ascii="仿宋" w:eastAsia="仿宋" w:cs="仿宋" w:hint="eastAsia"/>
          <w:color w:val="000000"/>
          <w:kern w:val="0"/>
          <w:sz w:val="32"/>
          <w:szCs w:val="32"/>
          <w:shd w:val="clear" w:color="auto" w:fill="FFFFFF"/>
          <w:lang w:val="zh-CN"/>
        </w:rPr>
        <w:t>（二）存在问题</w:t>
      </w:r>
    </w:p>
    <w:p>
      <w:pPr>
        <w:widowControl/>
        <w:adjustRightInd w:val="0"/>
        <w:snapToGrid w:val="0"/>
        <w:spacing w:line="540" w:lineRule="exact"/>
        <w:ind w:firstLineChars="200" w:firstLine="640"/>
        <w:jc w:val="left"/>
        <w:rPr>
          <w:rFonts w:ascii="仿宋_GB2312" w:eastAsia="仿宋_GB2312" w:cs="仿宋"/>
          <w:color w:val="000000"/>
          <w:kern w:val="0"/>
          <w:sz w:val="32"/>
          <w:szCs w:val="32"/>
        </w:rPr>
      </w:pPr>
      <w:r>
        <w:rPr>
          <w:rFonts w:ascii="仿宋_GB2312" w:eastAsia="仿宋_GB2312" w:cs="仿宋" w:hint="eastAsia"/>
          <w:color w:val="000000"/>
          <w:kern w:val="0"/>
          <w:sz w:val="32"/>
          <w:szCs w:val="32"/>
        </w:rPr>
        <w:t>由于人员配备不够，工作量大，对全镇经济和社会事业发展在资金安排、使用、核算上存在不很合理现象，导致预算经费科目与支出科目存在差异。</w:t>
      </w:r>
    </w:p>
    <w:p>
      <w:pPr>
        <w:widowControl/>
        <w:adjustRightInd w:val="0"/>
        <w:snapToGrid w:val="0"/>
        <w:spacing w:line="580" w:lineRule="exact"/>
        <w:ind w:firstLineChars="100" w:firstLine="320"/>
        <w:contextualSpacing/>
        <w:jc w:val="left"/>
        <w:rPr>
          <w:rFonts w:ascii="仿宋" w:eastAsia="仿宋" w:cs="仿宋" w:hint="eastAsia"/>
          <w:color w:val="000000"/>
          <w:kern w:val="0"/>
          <w:sz w:val="32"/>
          <w:szCs w:val="32"/>
          <w:shd w:val="clear" w:color="auto" w:fill="FFFFFF"/>
          <w:lang w:val="zh-CN"/>
        </w:rPr>
      </w:pPr>
      <w:r>
        <w:rPr>
          <w:rFonts w:ascii="仿宋" w:eastAsia="仿宋" w:cs="仿宋" w:hint="eastAsia"/>
          <w:color w:val="000000"/>
          <w:kern w:val="0"/>
          <w:sz w:val="32"/>
          <w:szCs w:val="32"/>
          <w:shd w:val="clear" w:color="auto" w:fill="FFFFFF"/>
          <w:lang w:val="zh-CN"/>
        </w:rPr>
        <w:t>（三）改进建议</w:t>
      </w:r>
    </w:p>
    <w:p>
      <w:pPr>
        <w:widowControl/>
        <w:adjustRightInd w:val="0"/>
        <w:snapToGrid w:val="0"/>
        <w:spacing w:line="540" w:lineRule="exact"/>
        <w:ind w:firstLineChars="200" w:firstLine="640"/>
        <w:jc w:val="left"/>
        <w:rPr>
          <w:rFonts w:ascii="仿宋_GB2312" w:eastAsia="仿宋_GB2312" w:cs="仿宋" w:hint="eastAsia"/>
          <w:color w:val="000000"/>
          <w:kern w:val="0"/>
          <w:sz w:val="32"/>
          <w:szCs w:val="32"/>
        </w:rPr>
      </w:pPr>
      <w:r>
        <w:rPr>
          <w:rFonts w:ascii="仿宋_GB2312" w:eastAsia="仿宋_GB2312" w:cs="仿宋" w:hint="eastAsia"/>
          <w:color w:val="000000"/>
          <w:kern w:val="0"/>
          <w:sz w:val="32"/>
          <w:szCs w:val="32"/>
        </w:rPr>
        <w:t>在今后工作中，进一步提高工作效率，在合法、合规的前提下，合理安排和使用本镇资金，为全镇经济和社会事业发展更好地服好务。</w:t>
      </w:r>
    </w:p>
    <w:p>
      <w:pPr>
        <w:widowControl/>
        <w:adjustRightInd w:val="0"/>
        <w:snapToGrid w:val="0"/>
        <w:spacing w:line="540" w:lineRule="exact"/>
        <w:ind w:firstLineChars="1400" w:firstLine="4480"/>
        <w:jc w:val="left"/>
        <w:rPr>
          <w:rFonts w:ascii="仿宋_GB2312" w:eastAsia="仿宋_GB2312" w:cs="仿宋" w:hint="eastAsia"/>
          <w:color w:val="000000"/>
          <w:kern w:val="0"/>
          <w:sz w:val="32"/>
          <w:szCs w:val="32"/>
        </w:rPr>
      </w:pPr>
    </w:p>
    <w:p>
      <w:pPr>
        <w:widowControl/>
        <w:adjustRightInd w:val="0"/>
        <w:snapToGrid w:val="0"/>
        <w:spacing w:line="540" w:lineRule="exact"/>
        <w:ind w:firstLineChars="1400" w:firstLine="4480"/>
        <w:jc w:val="left"/>
        <w:rPr>
          <w:rFonts w:ascii="仿宋_GB2312" w:eastAsia="仿宋_GB2312" w:cs="仿宋" w:hint="eastAsia"/>
          <w:color w:val="000000"/>
          <w:kern w:val="0"/>
          <w:sz w:val="32"/>
          <w:szCs w:val="32"/>
        </w:rPr>
      </w:pPr>
    </w:p>
    <w:p>
      <w:pPr>
        <w:widowControl/>
        <w:adjustRightInd w:val="0"/>
        <w:snapToGrid w:val="0"/>
        <w:spacing w:line="540" w:lineRule="exact"/>
        <w:jc w:val="left"/>
        <w:rPr>
          <w:rFonts w:ascii="仿宋_GB2312" w:eastAsia="仿宋_GB2312" w:cs="仿宋" w:hint="eastAsia"/>
          <w:color w:val="000000"/>
          <w:kern w:val="0"/>
          <w:sz w:val="32"/>
          <w:szCs w:val="32"/>
        </w:rPr>
      </w:pPr>
    </w:p>
    <w:p>
      <w:pPr>
        <w:widowControl/>
        <w:adjustRightInd w:val="0"/>
        <w:snapToGrid w:val="0"/>
        <w:spacing w:line="540" w:lineRule="exact"/>
        <w:jc w:val="left"/>
        <w:rPr>
          <w:rFonts w:ascii="仿宋_GB2312" w:eastAsia="仿宋_GB2312" w:cs="仿宋" w:hint="eastAsia"/>
          <w:color w:val="000000"/>
          <w:kern w:val="0"/>
          <w:sz w:val="32"/>
          <w:szCs w:val="32"/>
        </w:rPr>
      </w:pPr>
    </w:p>
    <w:p>
      <w:pPr>
        <w:widowControl/>
        <w:adjustRightInd w:val="0"/>
        <w:snapToGrid w:val="0"/>
        <w:spacing w:line="540" w:lineRule="exact"/>
        <w:jc w:val="left"/>
        <w:rPr>
          <w:rFonts w:ascii="仿宋_GB2312" w:eastAsia="仿宋_GB2312" w:cs="仿宋" w:hint="eastAsia"/>
          <w:color w:val="000000"/>
          <w:kern w:val="0"/>
          <w:sz w:val="32"/>
          <w:szCs w:val="32"/>
        </w:rPr>
      </w:pPr>
    </w:p>
    <w:p>
      <w:pPr>
        <w:spacing w:line="600" w:lineRule="exact"/>
        <w:rPr>
          <w:rFonts w:ascii="黑体" w:eastAsia="黑体" w:cs="Times New Roman" w:hint="eastAsia"/>
          <w:sz w:val="32"/>
          <w:szCs w:val="32"/>
        </w:rPr>
      </w:pPr>
    </w:p>
    <w:p>
      <w:pPr>
        <w:spacing w:line="600" w:lineRule="exact"/>
        <w:rPr>
          <w:rFonts w:ascii="黑体" w:eastAsia="黑体" w:cs="Times New Roman" w:hint="eastAsia"/>
          <w:sz w:val="32"/>
          <w:szCs w:val="32"/>
        </w:rPr>
      </w:pPr>
    </w:p>
    <w:p>
      <w:pPr>
        <w:spacing w:line="600" w:lineRule="exact"/>
        <w:rPr>
          <w:rFonts w:ascii="黑体" w:eastAsia="黑体" w:cs="Times New Roman" w:hint="eastAsia"/>
          <w:sz w:val="32"/>
          <w:szCs w:val="32"/>
        </w:rPr>
      </w:pPr>
    </w:p>
    <w:p>
      <w:pPr>
        <w:spacing w:line="600" w:lineRule="exact"/>
        <w:rPr>
          <w:rFonts w:ascii="黑体" w:eastAsia="黑体" w:cs="Times New Roman" w:hint="eastAsia"/>
          <w:sz w:val="32"/>
          <w:szCs w:val="32"/>
        </w:rPr>
      </w:pPr>
    </w:p>
    <w:p>
      <w:pPr>
        <w:spacing w:line="600" w:lineRule="exact"/>
        <w:rPr>
          <w:rFonts w:ascii="黑体" w:eastAsia="黑体" w:cs="Times New Roman" w:hint="eastAsia"/>
          <w:sz w:val="32"/>
          <w:szCs w:val="32"/>
        </w:rPr>
      </w:pPr>
    </w:p>
    <w:p>
      <w:pPr>
        <w:spacing w:line="600" w:lineRule="exact"/>
        <w:rPr>
          <w:rFonts w:ascii="黑体" w:eastAsia="黑体" w:cs="Times New Roman" w:hint="eastAsia"/>
          <w:sz w:val="32"/>
          <w:szCs w:val="32"/>
        </w:rPr>
      </w:pPr>
    </w:p>
    <w:p>
      <w:pPr>
        <w:spacing w:line="600" w:lineRule="exact"/>
        <w:rPr>
          <w:rFonts w:ascii="黑体" w:eastAsia="黑体" w:cs="Times New Roman" w:hint="eastAsia"/>
          <w:sz w:val="32"/>
          <w:szCs w:val="32"/>
        </w:rPr>
      </w:pPr>
    </w:p>
    <w:p>
      <w:pPr>
        <w:spacing w:line="600" w:lineRule="exact"/>
        <w:rPr>
          <w:rFonts w:ascii="黑体" w:eastAsia="黑体" w:cs="Times New Roman" w:hint="eastAsia"/>
          <w:sz w:val="32"/>
          <w:szCs w:val="32"/>
        </w:rPr>
      </w:pPr>
    </w:p>
    <w:p>
      <w:pPr>
        <w:spacing w:line="600" w:lineRule="exact"/>
        <w:rPr>
          <w:rFonts w:ascii="黑体" w:eastAsia="黑体" w:cs="Times New Roman" w:hint="eastAsia"/>
          <w:sz w:val="32"/>
          <w:szCs w:val="32"/>
        </w:rPr>
      </w:pPr>
    </w:p>
    <w:p>
      <w:pPr>
        <w:spacing w:line="600" w:lineRule="exact"/>
        <w:rPr>
          <w:rFonts w:ascii="黑体" w:eastAsia="黑体" w:cs="Times New Roman" w:hint="eastAsia"/>
          <w:sz w:val="32"/>
          <w:szCs w:val="32"/>
        </w:rPr>
      </w:pPr>
    </w:p>
    <w:p>
      <w:pPr>
        <w:spacing w:line="600" w:lineRule="exact"/>
        <w:rPr>
          <w:rFonts w:ascii="黑体" w:eastAsia="黑体" w:cs="Times New Roman" w:hint="eastAsia"/>
          <w:sz w:val="32"/>
          <w:szCs w:val="32"/>
        </w:rPr>
      </w:pPr>
    </w:p>
    <w:p>
      <w:pPr>
        <w:spacing w:line="600" w:lineRule="exact"/>
        <w:rPr>
          <w:rFonts w:ascii="Times New Roman" w:eastAsia="仿宋_GB2312" w:cs="Times New Roman" w:hAnsi="Times New Roman"/>
          <w:sz w:val="32"/>
          <w:szCs w:val="32"/>
        </w:rPr>
      </w:pPr>
      <w:r>
        <w:rPr>
          <w:rFonts w:ascii="黑体" w:eastAsia="黑体" w:cs="Times New Roman" w:hint="eastAsia"/>
          <w:sz w:val="32"/>
          <w:szCs w:val="32"/>
        </w:rPr>
        <w:t>附件</w:t>
      </w:r>
    </w:p>
    <w:p>
      <w:pPr>
        <w:snapToGrid w:val="0"/>
        <w:spacing w:line="600" w:lineRule="exact"/>
        <w:jc w:val="center"/>
        <w:rPr>
          <w:rFonts w:ascii="方正小标宋简体" w:eastAsia="方正小标宋简体" w:cs="Times New Roman"/>
          <w:sz w:val="44"/>
          <w:szCs w:val="44"/>
        </w:rPr>
      </w:pPr>
    </w:p>
    <w:p>
      <w:pPr>
        <w:pStyle w:val="40"/>
        <w:spacing w:line="560" w:lineRule="exact"/>
        <w:jc w:val="center"/>
        <w:rPr>
          <w:rFonts w:ascii="方正小标宋简体" w:eastAsia="方正小标宋简体" w:hint="eastAsia"/>
          <w:sz w:val="44"/>
          <w:szCs w:val="44"/>
          <w:lang w:val="en-US"/>
        </w:rPr>
      </w:pPr>
      <w:r>
        <w:rPr>
          <w:rFonts w:ascii="方正小标宋简体" w:eastAsia="方正小标宋简体" w:hint="eastAsia"/>
          <w:sz w:val="44"/>
          <w:szCs w:val="44"/>
          <w:lang w:val="en-US"/>
        </w:rPr>
        <w:t>202</w:t>
      </w:r>
      <w:r>
        <w:rPr>
          <w:rFonts w:ascii="方正小标宋简体" w:eastAsia="方正小标宋简体" w:hint="eastAsia"/>
          <w:sz w:val="44"/>
          <w:szCs w:val="44"/>
          <w:lang w:val="en-US" w:eastAsia="zh-CN"/>
        </w:rPr>
        <w:t>2</w:t>
      </w:r>
      <w:r>
        <w:rPr>
          <w:rFonts w:ascii="方正小标宋简体" w:eastAsia="方正小标宋简体" w:hint="eastAsia"/>
          <w:sz w:val="44"/>
          <w:szCs w:val="44"/>
          <w:lang w:val="en-US"/>
        </w:rPr>
        <w:t>年南新镇</w:t>
      </w:r>
      <w:r>
        <w:rPr>
          <w:rFonts w:ascii="方正小标宋简体" w:eastAsia="方正小标宋简体" w:cs="方正小标宋简体" w:hint="eastAsia"/>
          <w:sz w:val="44"/>
          <w:szCs w:val="44"/>
        </w:rPr>
        <w:t>七星村扶持壮大村集体经济项目</w:t>
      </w:r>
      <w:r>
        <w:rPr>
          <w:rFonts w:ascii="方正小标宋简体" w:eastAsia="方正小标宋简体" w:hint="eastAsia"/>
          <w:sz w:val="44"/>
          <w:szCs w:val="44"/>
          <w:lang w:val="en-US"/>
        </w:rPr>
        <w:t>支出绩效自评报告</w:t>
      </w:r>
    </w:p>
    <w:p>
      <w:pPr>
        <w:pStyle w:val="40"/>
        <w:spacing w:line="600" w:lineRule="exact"/>
        <w:ind w:firstLine="640"/>
        <w:jc w:val="center"/>
        <w:rPr>
          <w:rFonts w:ascii="宋体" w:hint="eastAsia"/>
          <w:color w:val="auto"/>
          <w:kern w:val="2"/>
          <w:sz w:val="32"/>
          <w:szCs w:val="32"/>
        </w:rPr>
      </w:pPr>
    </w:p>
    <w:p>
      <w:pPr>
        <w:adjustRightInd w:val="0"/>
        <w:snapToGrid w:val="0"/>
        <w:spacing w:line="600" w:lineRule="exact"/>
        <w:ind w:firstLine="720"/>
        <w:rPr>
          <w:rFonts w:ascii="黑体" w:eastAsia="黑体" w:cs="Times New Roman"/>
          <w:sz w:val="32"/>
          <w:szCs w:val="32"/>
          <w:lang w:val="zh-CN"/>
        </w:rPr>
      </w:pPr>
      <w:r>
        <w:rPr>
          <w:rFonts w:ascii="黑体" w:eastAsia="黑体" w:cs="Times New Roman" w:hint="eastAsia"/>
          <w:sz w:val="32"/>
          <w:szCs w:val="32"/>
        </w:rPr>
        <w:t>一、</w:t>
      </w:r>
      <w:r>
        <w:rPr>
          <w:rFonts w:ascii="黑体" w:eastAsia="黑体" w:cs="Times New Roman" w:hint="eastAsia"/>
          <w:sz w:val="32"/>
          <w:szCs w:val="32"/>
          <w:lang w:val="zh-CN"/>
        </w:rPr>
        <w:t>项目概况</w:t>
      </w:r>
    </w:p>
    <w:p>
      <w:pPr>
        <w:adjustRightInd w:val="0"/>
        <w:snapToGrid w:val="0"/>
        <w:spacing w:line="600" w:lineRule="exact"/>
        <w:ind w:firstLine="720"/>
        <w:rPr>
          <w:rFonts w:ascii="楷体_GB2312" w:eastAsia="楷体_GB2312" w:cs="Times New Roman"/>
          <w:b/>
          <w:sz w:val="32"/>
          <w:szCs w:val="32"/>
          <w:lang w:val="zh-CN"/>
        </w:rPr>
      </w:pPr>
      <w:r>
        <w:rPr>
          <w:rFonts w:ascii="楷体_GB2312" w:eastAsia="楷体_GB2312" w:cs="Times New Roman" w:hint="eastAsia"/>
          <w:b w:val="0"/>
          <w:bCs/>
          <w:sz w:val="32"/>
          <w:szCs w:val="32"/>
          <w:lang w:val="zh-CN"/>
        </w:rPr>
        <w:t>（一）项目基本情况</w:t>
      </w:r>
    </w:p>
    <w:p>
      <w:pPr>
        <w:pStyle w:val="28"/>
        <w:widowControl/>
        <w:spacing w:beforeAutospacing="0" w:afterAutospacing="0" w:line="360" w:lineRule="auto"/>
        <w:ind w:firstLineChars="200" w:firstLine="640"/>
        <w:rPr>
          <w:rFonts w:ascii="仿宋_GB2312" w:eastAsia="仿宋_GB2312" w:cs="Times New Roman" w:hint="eastAsia"/>
          <w:kern w:val="2"/>
          <w:sz w:val="32"/>
          <w:szCs w:val="32"/>
          <w:lang w:val="zh-CN" w:eastAsia="zh-CN" w:bidi="ar-SA"/>
        </w:rPr>
      </w:pPr>
      <w:r>
        <w:rPr>
          <w:rFonts w:ascii="仿宋_GB2312" w:eastAsia="仿宋_GB2312" w:cs="Times New Roman" w:hint="eastAsia"/>
          <w:sz w:val="32"/>
          <w:szCs w:val="32"/>
          <w:lang w:val="zh-CN"/>
        </w:rPr>
        <w:t>1．</w:t>
      </w:r>
      <w:r>
        <w:rPr>
          <w:rFonts w:ascii="仿宋_GB2312" w:eastAsia="仿宋_GB2312" w:cs="Times New Roman" w:hint="eastAsia"/>
          <w:kern w:val="2"/>
          <w:sz w:val="32"/>
          <w:szCs w:val="32"/>
          <w:lang w:val="zh-CN" w:eastAsia="zh-CN" w:bidi="ar-SA"/>
        </w:rPr>
        <w:t>为更好的增强村经济发展，改善七星村村民生产生活条件为重点，统一规划，综合开发，通过南新镇七星村扶持壮大村集体经济项目的实施解决七星村整体经济发展，按照“逐步放开，严把标准，转型升级，强化监管，确保安全”的总体思路，改革优化屠宰企业设置模式和结构布局，淘汰行业过剩低端产能，促进市场公平有序竞争，培育一批高水平高质量、符合市场需求的标准化屠宰示范点和产加销一体化企业，提升屠宰行业规模化、标准化、现代化水平。通过新建、迁建、扩建等措施，淘汰落后生产方式、推广肉品统一配送模式，逐步建立起与产业发展和民众生活需求相适应、布局科学合理、竞争规范有序、加工设施先进、产品质量安全的机械化、规模化、工厂化牛羊、家禽定点屠宰加工体系。</w:t>
      </w:r>
    </w:p>
    <w:p>
      <w:pPr>
        <w:pStyle w:val="28"/>
        <w:widowControl/>
        <w:spacing w:beforeAutospacing="0" w:afterAutospacing="0" w:line="360" w:lineRule="auto"/>
        <w:ind w:firstLineChars="200" w:firstLine="640"/>
        <w:rPr>
          <w:rFonts w:ascii="仿宋_GB2312" w:eastAsia="仿宋_GB2312" w:cs="Times New Roman" w:hint="eastAsia"/>
          <w:kern w:val="2"/>
          <w:sz w:val="32"/>
          <w:szCs w:val="32"/>
          <w:lang w:val="zh-CN" w:eastAsia="zh-CN" w:bidi="ar-SA"/>
        </w:rPr>
      </w:pPr>
      <w:r>
        <w:rPr>
          <w:rFonts w:ascii="仿宋_GB2312" w:eastAsia="仿宋_GB2312" w:cs="Times New Roman" w:hint="eastAsia"/>
          <w:sz w:val="32"/>
          <w:szCs w:val="32"/>
          <w:lang w:val="zh-CN"/>
        </w:rPr>
        <w:t>2．</w:t>
      </w:r>
      <w:r>
        <w:rPr>
          <w:rFonts w:ascii="仿宋_GB2312" w:eastAsia="仿宋_GB2312" w:cs="Times New Roman" w:hint="eastAsia"/>
          <w:kern w:val="2"/>
          <w:sz w:val="32"/>
          <w:szCs w:val="32"/>
          <w:lang w:val="zh-CN" w:eastAsia="zh-CN" w:bidi="ar-SA"/>
        </w:rPr>
        <w:t>根据中共茂县县委办公室 茂县人民政府办公室关于印发《茂县2022年统筹整合使用财政涉农资金项目（第二批）的通知》，《2022年统筹整合使用财政涉农资金项目》（第二批）文件要求，编制项目实施方案。将位于南新镇七星村黄草坪组3000m²旧址，对原有建筑进行翻新、改造等修整措施。将用地分为生产管理地、生活区、无害化处理区等；对周边3000m²范围内围墙翻新、室内外排水、道路硬化、停车坪、绿化隔离带等相关构筑物建设整改。</w:t>
      </w:r>
    </w:p>
    <w:p>
      <w:pPr>
        <w:adjustRightInd w:val="0"/>
        <w:snapToGrid w:val="0"/>
        <w:spacing w:line="600" w:lineRule="exact"/>
        <w:ind w:firstLine="720"/>
        <w:rPr>
          <w:rFonts w:ascii="楷体_GB2312" w:eastAsia="楷体_GB2312" w:cs="Times New Roman"/>
          <w:b w:val="0"/>
          <w:bCs/>
          <w:sz w:val="32"/>
          <w:szCs w:val="32"/>
          <w:lang w:val="zh-CN"/>
        </w:rPr>
      </w:pPr>
      <w:r>
        <w:rPr>
          <w:rFonts w:ascii="楷体_GB2312" w:eastAsia="楷体_GB2312" w:cs="Times New Roman" w:hint="eastAsia"/>
          <w:b w:val="0"/>
          <w:bCs/>
          <w:sz w:val="32"/>
          <w:szCs w:val="32"/>
          <w:lang w:val="zh-CN"/>
        </w:rPr>
        <w:t>（二）项目绩效目标</w:t>
      </w:r>
    </w:p>
    <w:p>
      <w:pPr>
        <w:adjustRightInd w:val="0"/>
        <w:snapToGrid w:val="0"/>
        <w:spacing w:line="600" w:lineRule="exact"/>
        <w:ind w:firstLine="720"/>
        <w:rPr>
          <w:rFonts w:ascii="仿宋_GB2312" w:eastAsia="仿宋_GB2312" w:cs="Times New Roman" w:hint="eastAsia"/>
          <w:kern w:val="2"/>
          <w:sz w:val="32"/>
          <w:szCs w:val="32"/>
          <w:lang w:val="zh-CN" w:eastAsia="zh-CN" w:bidi="ar-SA"/>
        </w:rPr>
      </w:pPr>
      <w:r>
        <w:rPr>
          <w:rFonts w:ascii="仿宋_GB2312" w:eastAsia="仿宋_GB2312" w:cs="Times New Roman" w:hint="eastAsia"/>
          <w:kern w:val="2"/>
          <w:sz w:val="32"/>
          <w:szCs w:val="32"/>
          <w:lang w:val="zh-CN" w:eastAsia="zh-CN" w:bidi="ar-SA"/>
        </w:rPr>
        <w:t>巩固扶贫成果，助力乡村振兴。本次项目总投入100万元，建设内容包括原建筑3000m²旧址，对原有建筑进行翻新、改造等修整措施。将用地分为生产管理地、生活区、无害化处理区等；对周边3000m²范围内围墙翻新、室内外排水、道路硬化、停车坪、绿化隔离带等相关构筑物建设整改。企业以“公司+合作社+农户“的合作方式与南新镇七星村村集体相互配合，在增加企业营业收入的同时带动地方集体经济发展。</w:t>
      </w:r>
    </w:p>
    <w:p>
      <w:pPr>
        <w:adjustRightInd w:val="0"/>
        <w:snapToGrid w:val="0"/>
        <w:spacing w:line="600" w:lineRule="exact"/>
        <w:ind w:firstLine="720"/>
        <w:rPr>
          <w:rFonts w:ascii="楷体_GB2312" w:eastAsia="楷体_GB2312" w:cs="Times New Roman"/>
          <w:b w:val="0"/>
          <w:bCs/>
          <w:sz w:val="32"/>
          <w:szCs w:val="32"/>
          <w:lang w:val="zh-CN"/>
        </w:rPr>
      </w:pPr>
      <w:r>
        <w:rPr>
          <w:rFonts w:ascii="楷体_GB2312" w:eastAsia="楷体_GB2312" w:cs="Times New Roman" w:hint="eastAsia"/>
          <w:b w:val="0"/>
          <w:bCs/>
          <w:sz w:val="32"/>
          <w:szCs w:val="32"/>
          <w:lang w:val="zh-CN"/>
        </w:rPr>
        <w:t>（三）项目自评步骤及方法</w:t>
      </w:r>
    </w:p>
    <w:p>
      <w:pPr>
        <w:adjustRightInd w:val="0"/>
        <w:snapToGrid w:val="0"/>
        <w:spacing w:line="600" w:lineRule="exact"/>
        <w:ind w:firstLine="720"/>
        <w:rPr>
          <w:rFonts w:ascii="仿宋_GB2312" w:eastAsia="仿宋_GB2312" w:cs="Times New Roman" w:hint="eastAsia"/>
          <w:kern w:val="2"/>
          <w:sz w:val="32"/>
          <w:szCs w:val="32"/>
          <w:lang w:val="zh-CN" w:eastAsia="zh-CN" w:bidi="ar-SA"/>
        </w:rPr>
      </w:pPr>
      <w:r>
        <w:rPr>
          <w:rFonts w:ascii="仿宋_GB2312" w:eastAsia="仿宋_GB2312" w:cs="Times New Roman" w:hint="eastAsia"/>
          <w:kern w:val="2"/>
          <w:sz w:val="32"/>
          <w:szCs w:val="32"/>
          <w:lang w:val="zh-CN" w:eastAsia="zh-CN" w:bidi="ar-SA"/>
        </w:rPr>
        <w:t>本项目采取自评与他评相结合的方式，结合评价内容，做到有计划，有安排，扎实开展本次自评工作。针对申报内容、实施情况、资金拨付、财务管理、社会效益等做出自我评价。</w:t>
      </w:r>
    </w:p>
    <w:p>
      <w:pPr>
        <w:adjustRightInd w:val="0"/>
        <w:snapToGrid w:val="0"/>
        <w:spacing w:line="600" w:lineRule="exact"/>
        <w:ind w:firstLineChars="200" w:firstLine="640"/>
        <w:rPr>
          <w:rFonts w:ascii="黑体" w:eastAsia="黑体" w:cs="Times New Roman"/>
          <w:sz w:val="32"/>
          <w:szCs w:val="32"/>
        </w:rPr>
      </w:pPr>
      <w:r>
        <w:rPr>
          <w:rFonts w:ascii="黑体" w:eastAsia="黑体" w:cs="Times New Roman" w:hint="eastAsia"/>
          <w:sz w:val="32"/>
          <w:szCs w:val="32"/>
        </w:rPr>
        <w:t>二、项目资金申报及使用情况</w:t>
      </w:r>
    </w:p>
    <w:p>
      <w:pPr>
        <w:adjustRightInd w:val="0"/>
        <w:snapToGrid w:val="0"/>
        <w:spacing w:line="600" w:lineRule="exact"/>
        <w:ind w:firstLine="720"/>
        <w:rPr>
          <w:rFonts w:ascii="楷体_GB2312" w:eastAsia="楷体_GB2312" w:cs="Times New Roman"/>
          <w:b w:val="0"/>
          <w:bCs/>
          <w:sz w:val="32"/>
          <w:szCs w:val="32"/>
          <w:lang w:val="zh-CN"/>
        </w:rPr>
      </w:pPr>
      <w:r>
        <w:rPr>
          <w:rFonts w:ascii="楷体_GB2312" w:eastAsia="楷体_GB2312" w:cs="Times New Roman" w:hint="eastAsia"/>
          <w:b w:val="0"/>
          <w:bCs/>
          <w:sz w:val="32"/>
          <w:szCs w:val="32"/>
          <w:lang w:val="zh-CN"/>
        </w:rPr>
        <w:t>（一）项目资金申报及批复情况</w:t>
      </w:r>
    </w:p>
    <w:p>
      <w:pPr>
        <w:adjustRightInd w:val="0"/>
        <w:snapToGrid w:val="0"/>
        <w:spacing w:line="600" w:lineRule="exact"/>
        <w:ind w:firstLine="720"/>
        <w:rPr>
          <w:rFonts w:ascii="仿宋_GB2312" w:eastAsia="仿宋_GB2312" w:cs="Times New Roman"/>
          <w:kern w:val="2"/>
          <w:sz w:val="32"/>
          <w:szCs w:val="32"/>
          <w:lang w:val="en-US" w:eastAsia="zh-CN" w:bidi="ar-SA"/>
        </w:rPr>
      </w:pPr>
      <w:r>
        <w:rPr>
          <w:rFonts w:ascii="仿宋_GB2312" w:eastAsia="仿宋_GB2312" w:cs="Times New Roman" w:hint="eastAsia"/>
          <w:kern w:val="2"/>
          <w:sz w:val="32"/>
          <w:szCs w:val="32"/>
          <w:lang w:val="zh-CN" w:eastAsia="zh-CN" w:bidi="ar-SA"/>
        </w:rPr>
        <w:t>南新镇七星村扶持壮大村集体经济项目资金申报100万元，批复</w:t>
      </w:r>
      <w:r>
        <w:rPr>
          <w:rFonts w:ascii="仿宋_GB2312" w:eastAsia="仿宋_GB2312" w:cs="Times New Roman" w:hint="eastAsia"/>
          <w:kern w:val="2"/>
          <w:sz w:val="32"/>
          <w:szCs w:val="32"/>
          <w:lang w:val="en-US" w:eastAsia="zh-CN" w:bidi="ar-SA"/>
        </w:rPr>
        <w:t>100万元，申报与批复资金一致。</w:t>
      </w:r>
    </w:p>
    <w:p>
      <w:pPr>
        <w:adjustRightInd w:val="0"/>
        <w:snapToGrid w:val="0"/>
        <w:spacing w:line="600" w:lineRule="exact"/>
        <w:ind w:firstLine="720"/>
        <w:rPr>
          <w:rFonts w:ascii="仿宋_GB2312" w:eastAsia="仿宋_GB2312" w:cs="Times New Roman"/>
          <w:b w:val="0"/>
          <w:bCs/>
          <w:sz w:val="32"/>
          <w:szCs w:val="32"/>
          <w:lang w:val="zh-CN"/>
        </w:rPr>
      </w:pPr>
      <w:r>
        <w:rPr>
          <w:rFonts w:ascii="楷体_GB2312" w:eastAsia="楷体_GB2312" w:cs="Times New Roman" w:hint="eastAsia"/>
          <w:b w:val="0"/>
          <w:bCs/>
          <w:sz w:val="32"/>
          <w:szCs w:val="32"/>
          <w:lang w:val="zh-CN"/>
        </w:rPr>
        <w:t>（二）资金计划、到位及使用情况</w:t>
      </w:r>
    </w:p>
    <w:p>
      <w:pPr>
        <w:adjustRightInd w:val="0"/>
        <w:snapToGrid w:val="0"/>
        <w:spacing w:line="600" w:lineRule="exact"/>
        <w:ind w:firstLine="720"/>
        <w:rPr>
          <w:rFonts w:ascii="仿宋_GB2312" w:eastAsia="宋体" w:cs="Times New Roman" w:hAnsi="仿宋_GB2312" w:hint="eastAsia"/>
          <w:sz w:val="32"/>
          <w:szCs w:val="32"/>
          <w:lang w:val="zh-CN" w:eastAsia="zh-CN"/>
        </w:rPr>
      </w:pPr>
      <w:r>
        <w:rPr>
          <w:rFonts w:ascii="楷体_GB2312" w:eastAsia="楷体_GB2312" w:cs="Times New Roman" w:hint="eastAsia"/>
          <w:sz w:val="32"/>
          <w:szCs w:val="32"/>
          <w:lang w:val="zh-CN"/>
        </w:rPr>
        <w:t>1．资金计划。</w:t>
      </w:r>
      <w:r>
        <w:rPr>
          <w:rFonts w:ascii="仿宋_GB2312" w:eastAsia="仿宋_GB2312" w:cs="Times New Roman" w:hint="eastAsia"/>
          <w:kern w:val="2"/>
          <w:sz w:val="32"/>
          <w:szCs w:val="32"/>
          <w:lang w:val="zh-CN" w:eastAsia="zh-CN" w:bidi="ar-SA"/>
        </w:rPr>
        <w:t>南新镇七星村扶持壮大村集体经济项目资金计划100万元。</w:t>
      </w:r>
    </w:p>
    <w:p>
      <w:pPr>
        <w:pStyle w:val="17"/>
        <w:spacing w:line="360" w:lineRule="auto"/>
        <w:ind w:firstLineChars="147" w:firstLine="470"/>
        <w:rPr>
          <w:rFonts w:ascii="仿宋_GB2312" w:eastAsia="仿宋_GB2312" w:cs="Times New Roman" w:hint="eastAsia"/>
          <w:kern w:val="2"/>
          <w:sz w:val="32"/>
          <w:szCs w:val="32"/>
          <w:lang w:val="zh-CN" w:eastAsia="zh-CN" w:bidi="ar-SA"/>
        </w:rPr>
      </w:pPr>
      <w:r>
        <w:rPr>
          <w:rFonts w:ascii="楷体_GB2312" w:eastAsia="楷体_GB2312" w:cs="Times New Roman" w:hint="eastAsia"/>
          <w:sz w:val="32"/>
          <w:szCs w:val="32"/>
          <w:lang w:val="zh-CN"/>
        </w:rPr>
        <w:t>2．资金到位。</w:t>
      </w:r>
      <w:r>
        <w:rPr>
          <w:rFonts w:ascii="仿宋_GB2312" w:eastAsia="仿宋_GB2312" w:cs="Times New Roman" w:hint="eastAsia"/>
          <w:kern w:val="2"/>
          <w:sz w:val="32"/>
          <w:szCs w:val="32"/>
          <w:lang w:val="zh-CN" w:eastAsia="zh-CN" w:bidi="ar-SA"/>
        </w:rPr>
        <w:t>南新镇七星村扶持壮大村集体经济项目资金到位100万元，资金到账及时，资金到位与资金计划持平，到位率100%。</w:t>
      </w:r>
    </w:p>
    <w:p>
      <w:pPr>
        <w:adjustRightInd w:val="0"/>
        <w:snapToGrid w:val="0"/>
        <w:spacing w:line="600" w:lineRule="exact"/>
        <w:ind w:firstLine="720"/>
        <w:rPr>
          <w:rFonts w:ascii="仿宋_GB2312" w:eastAsia="仿宋_GB2312" w:cs="Times New Roman" w:hint="eastAsia"/>
          <w:sz w:val="32"/>
          <w:szCs w:val="32"/>
          <w:lang w:val="zh-CN"/>
        </w:rPr>
      </w:pPr>
      <w:r>
        <w:rPr>
          <w:rFonts w:ascii="楷体_GB2312" w:eastAsia="楷体_GB2312" w:cs="Times New Roman" w:hint="eastAsia"/>
          <w:sz w:val="32"/>
          <w:szCs w:val="32"/>
          <w:lang w:val="zh-CN"/>
        </w:rPr>
        <w:t>3．资金使用。</w:t>
      </w:r>
      <w:r>
        <w:rPr>
          <w:rFonts w:ascii="仿宋_GB2312" w:eastAsia="仿宋_GB2312" w:cs="Times New Roman" w:hint="eastAsia"/>
          <w:sz w:val="32"/>
          <w:szCs w:val="32"/>
          <w:lang w:val="zh-CN"/>
        </w:rPr>
        <w:t>主要用于用于原建筑</w:t>
      </w:r>
      <w:r>
        <w:rPr>
          <w:rFonts w:ascii="仿宋_GB2312" w:eastAsia="仿宋_GB2312" w:cs="Times New Roman" w:hint="eastAsia"/>
          <w:kern w:val="2"/>
          <w:sz w:val="32"/>
          <w:szCs w:val="32"/>
          <w:lang w:val="zh-CN" w:eastAsia="zh-CN" w:bidi="ar-SA"/>
        </w:rPr>
        <w:t>3000m²</w:t>
      </w:r>
      <w:r>
        <w:rPr>
          <w:rFonts w:ascii="仿宋_GB2312" w:eastAsia="仿宋_GB2312" w:cs="Times New Roman" w:hint="eastAsia"/>
          <w:sz w:val="32"/>
          <w:szCs w:val="32"/>
          <w:lang w:val="zh-CN"/>
        </w:rPr>
        <w:t>旧址，对原有建筑进行翻新、改造等修整措施。将用地分为生产管理地、生活区、无害化处理区等；对周边3000m²范围内围墙翻新、室内外排水、道路硬化、停车坪、绿化隔离带等相关构筑物建设整改。项目支付依据合规合法，资金支付与预算相符。</w:t>
      </w:r>
    </w:p>
    <w:p>
      <w:pPr>
        <w:adjustRightInd w:val="0"/>
        <w:snapToGrid w:val="0"/>
        <w:spacing w:line="600" w:lineRule="exact"/>
        <w:ind w:firstLine="720"/>
        <w:rPr>
          <w:rFonts w:ascii="楷体_GB2312" w:eastAsia="楷体_GB2312" w:cs="Times New Roman"/>
          <w:b w:val="0"/>
          <w:bCs/>
          <w:sz w:val="32"/>
          <w:szCs w:val="32"/>
          <w:lang w:val="zh-CN"/>
        </w:rPr>
      </w:pPr>
      <w:r>
        <w:rPr>
          <w:rFonts w:ascii="楷体_GB2312" w:eastAsia="楷体_GB2312" w:cs="Times New Roman" w:hint="eastAsia"/>
          <w:b w:val="0"/>
          <w:bCs/>
          <w:sz w:val="32"/>
          <w:szCs w:val="32"/>
          <w:lang w:val="zh-CN"/>
        </w:rPr>
        <w:t>（三）项目财务管理情况</w:t>
      </w:r>
    </w:p>
    <w:p>
      <w:pPr>
        <w:spacing w:line="360" w:lineRule="auto"/>
        <w:ind w:firstLineChars="200" w:firstLine="640"/>
        <w:rPr>
          <w:rFonts w:ascii="仿宋_GB2312" w:eastAsia="仿宋_GB2312" w:cs="Times New Roman" w:hint="eastAsia"/>
          <w:sz w:val="32"/>
          <w:szCs w:val="32"/>
          <w:lang w:val="zh-CN"/>
        </w:rPr>
      </w:pPr>
      <w:r>
        <w:rPr>
          <w:rFonts w:ascii="仿宋_GB2312" w:eastAsia="仿宋_GB2312" w:cs="Times New Roman" w:hint="eastAsia"/>
          <w:sz w:val="32"/>
          <w:szCs w:val="32"/>
          <w:lang w:val="zh-CN"/>
        </w:rPr>
        <w:t>我镇从机构、人员、设备、制度等方面进一步规范南新镇七星村扶持壮大村集体经济项目管理工作，坚持和落实项目规范管理制度。与项目资金管理办法相比较，项目是严格执行财务管理制度、财务处理及时、会计核算规范。</w:t>
      </w:r>
    </w:p>
    <w:p>
      <w:pPr>
        <w:adjustRightInd w:val="0"/>
        <w:snapToGrid w:val="0"/>
        <w:spacing w:line="600" w:lineRule="exact"/>
        <w:ind w:firstLine="720"/>
        <w:rPr>
          <w:rFonts w:ascii="黑体" w:eastAsia="黑体" w:cs="Times New Roman"/>
          <w:sz w:val="32"/>
          <w:szCs w:val="32"/>
        </w:rPr>
      </w:pPr>
      <w:r>
        <w:rPr>
          <w:rFonts w:ascii="黑体" w:eastAsia="黑体" w:cs="Times New Roman" w:hint="eastAsia"/>
          <w:sz w:val="32"/>
          <w:szCs w:val="32"/>
        </w:rPr>
        <w:t>三、项目实施及管理情况</w:t>
      </w:r>
    </w:p>
    <w:p>
      <w:pPr>
        <w:spacing w:line="360" w:lineRule="auto"/>
        <w:ind w:firstLineChars="200" w:firstLine="640"/>
        <w:rPr>
          <w:rFonts w:ascii="仿宋_GB2312" w:eastAsia="仿宋_GB2312" w:cs="Times New Roman" w:hint="eastAsia"/>
          <w:sz w:val="32"/>
          <w:szCs w:val="32"/>
          <w:lang w:val="zh-CN"/>
        </w:rPr>
      </w:pPr>
      <w:r>
        <w:rPr>
          <w:rFonts w:ascii="楷体_GB2312" w:eastAsia="楷体_GB2312" w:cs="Times New Roman" w:hint="eastAsia"/>
          <w:b w:val="0"/>
          <w:bCs/>
          <w:sz w:val="32"/>
          <w:szCs w:val="32"/>
          <w:lang w:val="zh-CN"/>
        </w:rPr>
        <w:t>（一）项目组织架构及实施流程。</w:t>
      </w:r>
      <w:r>
        <w:rPr>
          <w:rFonts w:ascii="仿宋_GB2312" w:eastAsia="仿宋_GB2312" w:cs="Times New Roman" w:hint="eastAsia"/>
          <w:sz w:val="32"/>
          <w:szCs w:val="32"/>
          <w:lang w:val="zh-CN"/>
        </w:rPr>
        <w:t>南新镇七星村扶持壮大村集体经济项目现已按要求实施完成，项目理事会、村两委、镇政府及主管部门已验收。</w:t>
      </w:r>
    </w:p>
    <w:p>
      <w:pPr>
        <w:adjustRightInd w:val="0"/>
        <w:snapToGrid w:val="0"/>
        <w:spacing w:line="576" w:lineRule="exact"/>
        <w:ind w:firstLineChars="200" w:firstLine="640"/>
        <w:rPr>
          <w:rFonts w:ascii="仿宋_GB2312" w:eastAsia="仿宋_GB2312" w:cs="Times New Roman" w:hint="eastAsia"/>
          <w:sz w:val="32"/>
          <w:szCs w:val="32"/>
          <w:lang w:val="zh-CN"/>
        </w:rPr>
      </w:pPr>
      <w:r>
        <w:rPr>
          <w:rFonts w:ascii="楷体_GB2312" w:eastAsia="楷体_GB2312" w:cs="Times New Roman" w:hint="eastAsia"/>
          <w:b w:val="0"/>
          <w:bCs/>
          <w:sz w:val="32"/>
          <w:szCs w:val="32"/>
          <w:lang w:val="zh-CN"/>
        </w:rPr>
        <w:t>（二）项目管理情况。</w:t>
      </w:r>
      <w:r>
        <w:rPr>
          <w:rFonts w:ascii="仿宋_GB2312" w:eastAsia="仿宋_GB2312" w:cs="Times New Roman" w:hint="eastAsia"/>
          <w:sz w:val="32"/>
          <w:szCs w:val="32"/>
          <w:lang w:val="zh-CN"/>
        </w:rPr>
        <w:t>项目实施过程中，严格按照相关法律法规及项目管理制度进行管理。</w:t>
      </w:r>
    </w:p>
    <w:p>
      <w:pPr>
        <w:adjustRightInd w:val="0"/>
        <w:snapToGrid w:val="0"/>
        <w:spacing w:line="576" w:lineRule="exact"/>
        <w:ind w:firstLineChars="200" w:firstLine="640"/>
        <w:rPr>
          <w:rFonts w:ascii="仿宋_GB2312" w:eastAsia="仿宋_GB2312" w:cs="Times New Roman" w:hint="eastAsia"/>
          <w:sz w:val="32"/>
          <w:szCs w:val="32"/>
          <w:lang w:val="zh-CN"/>
        </w:rPr>
      </w:pPr>
      <w:r>
        <w:rPr>
          <w:rFonts w:ascii="楷体_GB2312" w:eastAsia="楷体_GB2312" w:cs="Times New Roman" w:hint="eastAsia"/>
          <w:b w:val="0"/>
          <w:bCs/>
          <w:sz w:val="32"/>
          <w:szCs w:val="32"/>
          <w:lang w:val="zh-CN"/>
        </w:rPr>
        <w:t>（三）项目监管情况。</w:t>
      </w:r>
      <w:r>
        <w:rPr>
          <w:rFonts w:ascii="仿宋_GB2312" w:eastAsia="仿宋_GB2312" w:cs="Times New Roman" w:hint="eastAsia"/>
          <w:sz w:val="32"/>
          <w:szCs w:val="32"/>
          <w:lang w:val="zh-CN"/>
        </w:rPr>
        <w:t>项目实施实施过程中，坚持制度管人、督促项目实施单位建立健全内部监督各项制度，最大限度地预防项目资金损失浪费和违法违纪行为的发生。</w:t>
      </w:r>
    </w:p>
    <w:p>
      <w:pPr>
        <w:adjustRightInd w:val="0"/>
        <w:snapToGrid w:val="0"/>
        <w:spacing w:line="600" w:lineRule="exact"/>
        <w:ind w:firstLine="720"/>
        <w:rPr>
          <w:rFonts w:ascii="仿宋_GB2312" w:eastAsia="仿宋_GB2312" w:cs="Times New Roman"/>
          <w:sz w:val="32"/>
          <w:szCs w:val="32"/>
          <w:lang w:val="zh-CN"/>
        </w:rPr>
      </w:pPr>
      <w:r>
        <w:rPr>
          <w:rFonts w:ascii="黑体" w:eastAsia="黑体" w:cs="Times New Roman" w:hint="eastAsia"/>
          <w:sz w:val="32"/>
          <w:szCs w:val="32"/>
        </w:rPr>
        <w:t>四、项目绩效情况</w:t>
      </w:r>
      <w:r>
        <w:rPr>
          <w:rFonts w:ascii="仿宋_GB2312" w:eastAsia="仿宋_GB2312" w:cs="Times New Roman" w:hint="eastAsia"/>
          <w:sz w:val="32"/>
          <w:szCs w:val="32"/>
          <w:lang w:val="zh-CN"/>
        </w:rPr>
        <w:tab/>
      </w:r>
    </w:p>
    <w:p>
      <w:pPr>
        <w:adjustRightInd w:val="0"/>
        <w:snapToGrid w:val="0"/>
        <w:spacing w:line="600" w:lineRule="exact"/>
        <w:ind w:firstLine="720"/>
        <w:rPr>
          <w:rFonts w:ascii="楷体_GB2312" w:eastAsia="楷体_GB2312" w:cs="Times New Roman"/>
          <w:b w:val="0"/>
          <w:bCs/>
          <w:sz w:val="32"/>
          <w:szCs w:val="32"/>
          <w:lang w:val="zh-CN"/>
        </w:rPr>
      </w:pPr>
      <w:r>
        <w:rPr>
          <w:rFonts w:ascii="楷体_GB2312" w:eastAsia="楷体_GB2312" w:cs="Times New Roman" w:hint="eastAsia"/>
          <w:b w:val="0"/>
          <w:bCs/>
          <w:sz w:val="32"/>
          <w:szCs w:val="32"/>
          <w:lang w:val="zh-CN"/>
        </w:rPr>
        <w:t>（一）项目完成情况</w:t>
      </w:r>
    </w:p>
    <w:p>
      <w:pPr>
        <w:adjustRightInd w:val="0"/>
        <w:snapToGrid w:val="0"/>
        <w:spacing w:line="600" w:lineRule="exact"/>
        <w:ind w:firstLineChars="200" w:firstLine="640"/>
        <w:rPr>
          <w:rFonts w:ascii="仿宋_GB2312" w:eastAsia="仿宋_GB2312" w:cs="Times New Roman" w:hint="eastAsia"/>
          <w:sz w:val="32"/>
          <w:szCs w:val="32"/>
          <w:lang w:val="zh-CN"/>
        </w:rPr>
      </w:pPr>
      <w:r>
        <w:rPr>
          <w:rFonts w:ascii="仿宋_GB2312" w:eastAsia="仿宋_GB2312" w:cs="Times New Roman" w:hint="eastAsia"/>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eastAsia="楷体_GB2312" w:cs="Times New Roman"/>
          <w:b w:val="0"/>
          <w:bCs/>
          <w:sz w:val="32"/>
          <w:szCs w:val="32"/>
          <w:lang w:val="zh-CN"/>
        </w:rPr>
      </w:pPr>
      <w:r>
        <w:rPr>
          <w:rFonts w:ascii="楷体_GB2312" w:eastAsia="楷体_GB2312" w:cs="Times New Roman" w:hint="eastAsia"/>
          <w:b w:val="0"/>
          <w:bCs/>
          <w:sz w:val="32"/>
          <w:szCs w:val="32"/>
          <w:lang w:val="zh-CN"/>
        </w:rPr>
        <w:t>（二）项目效益情况</w:t>
      </w:r>
    </w:p>
    <w:p>
      <w:pPr>
        <w:adjustRightInd w:val="0"/>
        <w:snapToGrid w:val="0"/>
        <w:spacing w:line="600" w:lineRule="exact"/>
        <w:ind w:firstLineChars="200" w:firstLine="640"/>
        <w:rPr>
          <w:rFonts w:ascii="仿宋_GB2312" w:eastAsia="仿宋_GB2312" w:cs="Times New Roman" w:hint="eastAsia"/>
          <w:sz w:val="32"/>
          <w:szCs w:val="32"/>
          <w:lang w:val="zh-CN"/>
        </w:rPr>
      </w:pPr>
      <w:r>
        <w:rPr>
          <w:rFonts w:ascii="仿宋_GB2312" w:eastAsia="仿宋_GB2312" w:cs="Times New Roman" w:hint="eastAsia"/>
          <w:sz w:val="32"/>
          <w:szCs w:val="32"/>
          <w:lang w:val="zh-CN"/>
        </w:rPr>
        <w:t>南新镇七星村扶持壮大村集体经济项目建成运行后可延长农业养殖业产业供应链转型升级，提高农特产品附加值，壮大地方龙头企业，加强农产品基地建设，推动肉禽产业化经营、结构调整具有促进作用。</w:t>
      </w:r>
    </w:p>
    <w:p>
      <w:pPr>
        <w:adjustRightInd w:val="0"/>
        <w:snapToGrid w:val="0"/>
        <w:spacing w:line="600" w:lineRule="exact"/>
        <w:ind w:firstLineChars="200" w:firstLine="640"/>
        <w:rPr>
          <w:rFonts w:ascii="仿宋_GB2312" w:eastAsia="仿宋_GB2312" w:cs="Times New Roman" w:hint="eastAsia"/>
          <w:sz w:val="32"/>
          <w:szCs w:val="32"/>
          <w:lang w:val="zh-CN"/>
        </w:rPr>
      </w:pPr>
      <w:r>
        <w:rPr>
          <w:rFonts w:ascii="仿宋_GB2312" w:eastAsia="仿宋_GB2312" w:cs="Times New Roman" w:hint="eastAsia"/>
          <w:sz w:val="32"/>
          <w:szCs w:val="32"/>
          <w:lang w:val="zh-CN"/>
        </w:rPr>
        <w:t>本项目带动力强，辐射面积广，拓宽人员分流渠道，解决低收入群体再就业。项目建设完成后，直接解决就业人数20余人。间接带动农户100余户，户均增收上千元。可带动养殖、运输、销售等相关产业的发展，年纯增经济效益百万元，项目具有较高的社会经济效益。对促进川西北高原干旱河谷生态综合治理示范地经济腾飞、带动相关产业发展及解决就业方面具有积极意义。</w:t>
      </w:r>
    </w:p>
    <w:p>
      <w:pPr>
        <w:adjustRightInd w:val="0"/>
        <w:snapToGrid w:val="0"/>
        <w:spacing w:line="600" w:lineRule="exact"/>
        <w:ind w:firstLine="720"/>
        <w:rPr>
          <w:rFonts w:ascii="黑体" w:eastAsia="黑体" w:cs="Times New Roman"/>
          <w:sz w:val="32"/>
          <w:szCs w:val="32"/>
        </w:rPr>
      </w:pPr>
      <w:r>
        <w:rPr>
          <w:rFonts w:ascii="黑体" w:eastAsia="黑体" w:cs="Times New Roman" w:hint="eastAsia"/>
          <w:sz w:val="32"/>
          <w:szCs w:val="32"/>
        </w:rPr>
        <w:t>五、评价结论及建议</w:t>
      </w:r>
    </w:p>
    <w:p>
      <w:pPr>
        <w:adjustRightInd w:val="0"/>
        <w:snapToGrid w:val="0"/>
        <w:spacing w:line="600" w:lineRule="exact"/>
        <w:ind w:firstLine="720"/>
        <w:rPr>
          <w:rFonts w:ascii="楷体_GB2312" w:eastAsia="楷体_GB2312" w:cs="Times New Roman"/>
          <w:b w:val="0"/>
          <w:bCs/>
          <w:sz w:val="32"/>
          <w:szCs w:val="32"/>
          <w:lang w:val="zh-CN"/>
        </w:rPr>
      </w:pPr>
      <w:r>
        <w:rPr>
          <w:rFonts w:ascii="楷体_GB2312" w:eastAsia="楷体_GB2312" w:cs="Times New Roman" w:hint="eastAsia"/>
          <w:b w:val="0"/>
          <w:bCs/>
          <w:sz w:val="32"/>
          <w:szCs w:val="32"/>
          <w:lang w:val="zh-CN"/>
        </w:rPr>
        <w:t>（一）评价结论</w:t>
      </w:r>
    </w:p>
    <w:p>
      <w:pPr>
        <w:adjustRightInd w:val="0"/>
        <w:snapToGrid w:val="0"/>
        <w:spacing w:line="600" w:lineRule="exact"/>
        <w:ind w:firstLineChars="200" w:firstLine="640"/>
        <w:rPr>
          <w:rFonts w:ascii="仿宋_GB2312" w:eastAsia="仿宋_GB2312" w:cs="Times New Roman" w:hint="eastAsia"/>
          <w:sz w:val="32"/>
          <w:szCs w:val="32"/>
          <w:lang w:val="zh-CN"/>
        </w:rPr>
      </w:pPr>
      <w:r>
        <w:rPr>
          <w:rFonts w:ascii="仿宋_GB2312" w:eastAsia="仿宋_GB2312" w:cs="Times New Roman" w:hint="eastAsia"/>
          <w:sz w:val="32"/>
          <w:szCs w:val="32"/>
          <w:lang w:val="zh-CN"/>
        </w:rPr>
        <w:t>项目管理做到了管理规范，操作阳光透明，运行有序高效，态度优质，群众满意度高。在项目管理上，通过逐步规范申报审批支付程序，确保了资金高效运转。在资金管理上，严格按照财务制度，确保了资金及时到位和使用。</w:t>
      </w:r>
    </w:p>
    <w:p>
      <w:pPr>
        <w:adjustRightInd w:val="0"/>
        <w:snapToGrid w:val="0"/>
        <w:spacing w:line="600" w:lineRule="exact"/>
        <w:ind w:firstLine="720"/>
        <w:rPr>
          <w:rFonts w:ascii="楷体_GB2312" w:eastAsia="楷体_GB2312" w:cs="Times New Roman"/>
          <w:b/>
          <w:sz w:val="32"/>
          <w:szCs w:val="32"/>
          <w:lang w:val="zh-CN"/>
        </w:rPr>
      </w:pPr>
      <w:r>
        <w:rPr>
          <w:rFonts w:ascii="楷体_GB2312" w:eastAsia="楷体_GB2312" w:cs="Times New Roman" w:hint="eastAsia"/>
          <w:b/>
          <w:sz w:val="32"/>
          <w:szCs w:val="32"/>
          <w:lang w:val="zh-CN"/>
        </w:rPr>
        <w:t>（二）存在的问题</w:t>
      </w:r>
    </w:p>
    <w:p>
      <w:pPr>
        <w:adjustRightInd w:val="0"/>
        <w:snapToGrid w:val="0"/>
        <w:spacing w:line="600" w:lineRule="exact"/>
        <w:ind w:firstLineChars="200" w:firstLine="640"/>
        <w:rPr>
          <w:rFonts w:ascii="仿宋_GB2312" w:eastAsia="仿宋_GB2312" w:cs="Times New Roman"/>
          <w:sz w:val="32"/>
          <w:szCs w:val="32"/>
          <w:lang w:val="zh-CN"/>
        </w:rPr>
      </w:pPr>
      <w:r>
        <w:rPr>
          <w:rFonts w:ascii="仿宋_GB2312" w:eastAsia="仿宋_GB2312" w:cs="Times New Roman" w:hint="eastAsia"/>
          <w:sz w:val="32"/>
          <w:szCs w:val="32"/>
          <w:lang w:val="zh-CN"/>
        </w:rPr>
        <w:t>无。</w:t>
        <w:tab/>
      </w:r>
    </w:p>
    <w:p>
      <w:pPr>
        <w:adjustRightInd w:val="0"/>
        <w:snapToGrid w:val="0"/>
        <w:spacing w:line="600" w:lineRule="exact"/>
        <w:ind w:firstLine="720"/>
        <w:rPr>
          <w:rFonts w:ascii="楷体_GB2312" w:eastAsia="楷体_GB2312" w:cs="Times New Roman"/>
          <w:b/>
          <w:sz w:val="32"/>
          <w:szCs w:val="32"/>
          <w:lang w:val="zh-CN"/>
        </w:rPr>
      </w:pPr>
      <w:r>
        <w:rPr>
          <w:rFonts w:ascii="楷体_GB2312" w:eastAsia="楷体_GB2312" w:cs="Times New Roman" w:hint="eastAsia"/>
          <w:b/>
          <w:sz w:val="32"/>
          <w:szCs w:val="32"/>
          <w:lang w:val="zh-CN"/>
        </w:rPr>
        <w:t>（三）相关建议</w:t>
      </w:r>
    </w:p>
    <w:p>
      <w:pPr>
        <w:adjustRightInd w:val="0"/>
        <w:snapToGrid w:val="0"/>
        <w:spacing w:line="600" w:lineRule="exact"/>
        <w:ind w:firstLineChars="200" w:firstLine="640"/>
        <w:rPr>
          <w:rFonts w:ascii="仿宋_GB2312" w:eastAsia="仿宋_GB2312" w:cs="Times New Roman"/>
          <w:sz w:val="32"/>
          <w:szCs w:val="32"/>
          <w:lang w:val="zh-CN"/>
        </w:rPr>
      </w:pPr>
      <w:r>
        <w:rPr>
          <w:rFonts w:ascii="仿宋_GB2312" w:eastAsia="仿宋_GB2312" w:cs="Times New Roman" w:hint="eastAsia"/>
          <w:sz w:val="32"/>
          <w:szCs w:val="32"/>
          <w:lang w:val="zh-CN"/>
        </w:rPr>
        <w:t>无。</w:t>
      </w:r>
    </w:p>
    <w:p>
      <w:pPr>
        <w:rPr>
          <w:rFonts w:ascii="Times New Roman" w:eastAsia="仿宋_GB2312" w:cs="Times New Roman" w:hAnsi="Times New Roman"/>
          <w:sz w:val="32"/>
          <w:szCs w:val="32"/>
        </w:rPr>
      </w:pPr>
    </w:p>
    <w:p/>
    <w:p>
      <w:pPr>
        <w:widowControl/>
        <w:adjustRightInd w:val="0"/>
        <w:snapToGrid w:val="0"/>
        <w:spacing w:line="540" w:lineRule="exact"/>
        <w:jc w:val="left"/>
        <w:rPr>
          <w:rFonts w:ascii="仿宋_GB2312" w:eastAsia="仿宋_GB2312" w:cs="仿宋" w:hint="eastAsia"/>
          <w:color w:val="000000"/>
          <w:kern w:val="0"/>
          <w:sz w:val="32"/>
          <w:szCs w:val="32"/>
        </w:rPr>
      </w:pPr>
    </w:p>
    <w:p>
      <w:pPr>
        <w:pStyle w:val="26"/>
        <w:rPr>
          <w:rFonts w:ascii="仿宋_GB2312" w:eastAsia="仿宋_GB2312" w:cs="仿宋" w:hint="eastAsia"/>
          <w:color w:val="000000"/>
          <w:kern w:val="0"/>
          <w:sz w:val="32"/>
          <w:szCs w:val="32"/>
        </w:rPr>
      </w:pPr>
    </w:p>
    <w:p>
      <w:pPr>
        <w:rPr>
          <w:rFonts w:ascii="仿宋_GB2312" w:eastAsia="仿宋_GB2312" w:cs="仿宋" w:hint="eastAsia"/>
          <w:color w:val="000000"/>
          <w:kern w:val="0"/>
          <w:sz w:val="32"/>
          <w:szCs w:val="32"/>
        </w:rPr>
      </w:pPr>
    </w:p>
    <w:p>
      <w:pPr>
        <w:pStyle w:val="26"/>
        <w:rPr>
          <w:rFonts w:ascii="仿宋_GB2312" w:eastAsia="仿宋_GB2312" w:cs="仿宋" w:hint="eastAsia"/>
          <w:color w:val="000000"/>
          <w:kern w:val="0"/>
          <w:sz w:val="32"/>
          <w:szCs w:val="32"/>
        </w:rPr>
      </w:pPr>
    </w:p>
    <w:p>
      <w:pPr>
        <w:rPr>
          <w:rFonts w:ascii="仿宋_GB2312" w:eastAsia="仿宋_GB2312" w:cs="仿宋" w:hint="eastAsia"/>
          <w:color w:val="000000"/>
          <w:kern w:val="0"/>
          <w:sz w:val="32"/>
          <w:szCs w:val="32"/>
        </w:rPr>
      </w:pPr>
    </w:p>
    <w:p>
      <w:pPr>
        <w:pStyle w:val="26"/>
        <w:rPr>
          <w:rFonts w:ascii="仿宋_GB2312" w:eastAsia="仿宋_GB2312" w:cs="仿宋" w:hint="eastAsia"/>
          <w:color w:val="000000"/>
          <w:kern w:val="0"/>
          <w:sz w:val="32"/>
          <w:szCs w:val="32"/>
        </w:rPr>
      </w:pPr>
    </w:p>
    <w:p>
      <w:pPr>
        <w:rPr>
          <w:rFonts w:ascii="仿宋_GB2312" w:eastAsia="仿宋_GB2312" w:cs="仿宋" w:hint="eastAsia"/>
          <w:color w:val="000000"/>
          <w:kern w:val="0"/>
          <w:sz w:val="32"/>
          <w:szCs w:val="32"/>
        </w:rPr>
      </w:pPr>
    </w:p>
    <w:p>
      <w:pPr>
        <w:pStyle w:val="26"/>
        <w:rPr>
          <w:rFonts w:ascii="仿宋_GB2312" w:eastAsia="仿宋_GB2312" w:cs="仿宋" w:hint="eastAsia"/>
          <w:color w:val="000000"/>
          <w:kern w:val="0"/>
          <w:sz w:val="32"/>
          <w:szCs w:val="32"/>
        </w:rPr>
      </w:pPr>
    </w:p>
    <w:p>
      <w:pPr>
        <w:rPr>
          <w:rFonts w:ascii="仿宋_GB2312" w:eastAsia="仿宋_GB2312" w:cs="仿宋" w:hint="eastAsia"/>
          <w:color w:val="000000"/>
          <w:kern w:val="0"/>
          <w:sz w:val="32"/>
          <w:szCs w:val="32"/>
        </w:rPr>
      </w:pPr>
    </w:p>
    <w:p>
      <w:pPr>
        <w:pStyle w:val="26"/>
        <w:rPr>
          <w:rFonts w:hint="eastAsia"/>
        </w:rPr>
      </w:pPr>
    </w:p>
    <w:p>
      <w:pPr>
        <w:widowControl/>
        <w:adjustRightInd w:val="0"/>
        <w:snapToGrid w:val="0"/>
        <w:spacing w:line="540" w:lineRule="exact"/>
        <w:ind w:firstLineChars="1442" w:firstLine="4614"/>
        <w:jc w:val="left"/>
        <w:rPr>
          <w:rFonts w:ascii="仿宋_GB2312" w:eastAsia="仿宋_GB2312" w:cs="仿宋"/>
          <w:color w:val="000000"/>
          <w:kern w:val="0"/>
          <w:sz w:val="32"/>
          <w:szCs w:val="32"/>
        </w:rPr>
      </w:pPr>
    </w:p>
    <w:p>
      <w:pPr>
        <w:rPr>
          <w:rFonts w:ascii="仿宋_GB2312" w:eastAsia="仿宋_GB2312" w:cs="仿宋"/>
          <w:color w:val="000000"/>
          <w:kern w:val="0"/>
          <w:sz w:val="32"/>
          <w:szCs w:val="32"/>
        </w:rPr>
      </w:pPr>
    </w:p>
    <w:tbl>
      <w:tblPr>
        <w:tblpPr w:leftFromText="180" w:rightFromText="180" w:vertAnchor="text" w:horzAnchor="page" w:tblpX="1256" w:tblpY="221"/>
        <w:tblOverlap w:val="never"/>
        <w:tblW w:w="5244"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016"/>
        <w:gridCol w:w="5323"/>
        <w:gridCol w:w="8699"/>
        <w:gridCol w:w="7194"/>
        <w:gridCol w:w="14908"/>
        <w:gridCol w:w="17158"/>
      </w:tblGrid>
      <w:tr>
        <w:trPr>
          <w:trHeight w:val="1288"/>
        </w:trPr>
        <w:tc>
          <w:tcPr>
            <w:tcW w:w="4875" w:type="pct"/>
            <w:gridSpan w:val="6"/>
            <w:tcBorders>
              <w:top w:val="nil"/>
              <w:left w:val="nil"/>
              <w:bottom w:val="nil"/>
              <w:right w:val="nil"/>
            </w:tcBorders>
            <w:shd w:val="clear" w:color="auto" w:fill="auto"/>
            <w:noWrap/>
            <w:vAlign w:val="center"/>
          </w:tcPr>
          <w:p>
            <w:pPr>
              <w:widowControl/>
              <w:jc w:val="center"/>
              <w:textAlignment w:val="center"/>
              <w:rPr>
                <w:rFonts w:ascii="宋体" w:cs="宋体"/>
                <w:b/>
                <w:color w:val="000000"/>
                <w:sz w:val="32"/>
                <w:szCs w:val="32"/>
              </w:rPr>
            </w:pPr>
            <w:r>
              <w:rPr>
                <w:rFonts w:ascii="宋体" w:cs="宋体" w:hint="eastAsia"/>
                <w:b/>
                <w:color w:val="000000"/>
                <w:sz w:val="32"/>
                <w:szCs w:val="32"/>
              </w:rPr>
              <w:t>2022年</w:t>
            </w:r>
            <w:r>
              <w:rPr>
                <w:rFonts w:ascii="宋体" w:cs="宋体" w:hint="eastAsia"/>
                <w:b/>
                <w:color w:val="000000"/>
                <w:sz w:val="32"/>
                <w:szCs w:val="32"/>
                <w:lang w:eastAsia="zh-CN"/>
              </w:rPr>
              <w:t>七星村扶持壮大集体经济项目</w:t>
            </w:r>
            <w:r>
              <w:rPr>
                <w:rFonts w:ascii="宋体" w:cs="宋体" w:hint="eastAsia"/>
                <w:b/>
                <w:color w:val="000000"/>
                <w:sz w:val="32"/>
                <w:szCs w:val="32"/>
              </w:rPr>
              <w:t>绩效目标自评</w:t>
            </w:r>
          </w:p>
        </w:tc>
      </w:tr>
      <w:tr>
        <w:trPr>
          <w:trHeight w:val="657"/>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主管部门及代码</w:t>
            </w:r>
          </w:p>
        </w:tc>
        <w:tc>
          <w:tcPr>
            <w:tcW w:w="169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南新镇人民政府618101</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实施单位</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sz w:val="24"/>
                <w:lang w:eastAsia="zh-CN"/>
              </w:rPr>
            </w:pPr>
            <w:r>
              <w:rPr>
                <w:rFonts w:ascii="宋体" w:cs="宋体" w:hint="eastAsia"/>
                <w:color w:val="000000"/>
                <w:sz w:val="24"/>
                <w:lang w:eastAsia="zh-CN"/>
              </w:rPr>
              <w:t>南新镇</w:t>
            </w:r>
          </w:p>
        </w:tc>
      </w:tr>
      <w:tr>
        <w:trPr>
          <w:trHeight w:val="776"/>
        </w:trPr>
        <w:tc>
          <w:tcPr>
            <w:tcW w:w="136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项目预算</w:t>
              <w:br/>
              <w:t>执行情况</w:t>
              <w:br/>
              <w:t>（万元）</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预算数：</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100</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执行数：</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right"/>
              <w:textAlignment w:val="center"/>
              <w:rPr>
                <w:rFonts w:ascii="宋体" w:eastAsia="宋体" w:cs="宋体"/>
                <w:color w:val="000000"/>
                <w:sz w:val="24"/>
                <w:lang w:val="en-US" w:eastAsia="zh-CN"/>
              </w:rPr>
            </w:pPr>
            <w:r>
              <w:rPr>
                <w:rFonts w:ascii="宋体" w:cs="宋体" w:hint="eastAsia"/>
                <w:color w:val="000000"/>
                <w:sz w:val="24"/>
                <w:lang w:val="en-US" w:eastAsia="zh-CN"/>
              </w:rPr>
              <w:t>100</w:t>
            </w:r>
          </w:p>
        </w:tc>
      </w:tr>
      <w:tr>
        <w:trPr>
          <w:trHeight w:val="740"/>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100</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100</w:t>
            </w:r>
          </w:p>
        </w:tc>
      </w:tr>
      <w:tr>
        <w:trPr>
          <w:trHeight w:val="786"/>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p>
        </w:tc>
      </w:tr>
      <w:tr>
        <w:trPr>
          <w:trHeight w:val="417"/>
        </w:trPr>
        <w:tc>
          <w:tcPr>
            <w:tcW w:w="79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kern w:val="0"/>
                <w:sz w:val="24"/>
              </w:rPr>
            </w:pPr>
            <w:r>
              <w:rPr>
                <w:rFonts w:ascii="宋体" w:cs="宋体" w:hint="eastAsia"/>
                <w:color w:val="000000"/>
                <w:kern w:val="0"/>
                <w:sz w:val="24"/>
              </w:rPr>
              <w:t>年度总体目标</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完成情况</w:t>
            </w: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预期目标</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目标实际完成情况</w:t>
            </w:r>
          </w:p>
        </w:tc>
      </w:tr>
      <w:tr>
        <w:trPr>
          <w:trHeight w:val="2639"/>
        </w:trPr>
        <w:tc>
          <w:tcPr>
            <w:tcW w:w="7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tcPr>
          <w:p>
            <w:pPr>
              <w:pStyle w:val="28"/>
              <w:widowControl/>
              <w:spacing w:beforeAutospacing="0" w:afterAutospacing="0" w:line="360" w:lineRule="auto"/>
              <w:ind w:firstLineChars="200" w:firstLine="560"/>
              <w:rPr>
                <w:rFonts w:ascii="仿宋_GB2312" w:eastAsia="宋体" w:cs="仿宋_GB2312" w:hAnsi="仿宋_GB2312" w:hint="eastAsia"/>
                <w:color w:val="000000"/>
                <w:kern w:val="0"/>
                <w:sz w:val="28"/>
                <w:szCs w:val="28"/>
                <w:lang w:val="en-US" w:eastAsia="zh-CN"/>
              </w:rPr>
            </w:pPr>
            <w:r>
              <w:rPr>
                <w:rFonts w:ascii="仿宋_GB2312" w:eastAsia="宋体" w:cs="仿宋_GB2312" w:hAnsi="仿宋_GB2312" w:hint="eastAsia"/>
                <w:color w:val="000000"/>
                <w:kern w:val="0"/>
                <w:sz w:val="28"/>
                <w:szCs w:val="28"/>
                <w:lang w:val="en-US" w:eastAsia="zh-CN"/>
              </w:rPr>
              <w:t>为更好的增强村经济发展，改善七星村村民生产生活条件为重点，统一规划，综合开发，通过南新镇七星村扶持壮大村集体经济项目的实施解决七星村整体经济发展。</w:t>
            </w:r>
          </w:p>
          <w:p>
            <w:pPr>
              <w:widowControl/>
              <w:spacing w:line="320" w:lineRule="exact"/>
              <w:jc w:val="left"/>
              <w:textAlignment w:val="top"/>
              <w:rPr>
                <w:rFonts w:ascii="宋体" w:cs="宋体"/>
                <w:color w:val="000000"/>
                <w:sz w:val="24"/>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left"/>
              <w:textAlignment w:val="top"/>
              <w:rPr>
                <w:rFonts w:ascii="宋体" w:cs="宋体"/>
                <w:color w:val="000000"/>
                <w:sz w:val="24"/>
              </w:rPr>
            </w:pPr>
            <w:r>
              <w:rPr>
                <w:rFonts w:ascii="仿宋_GB2312" w:eastAsia="宋体" w:cs="仿宋_GB2312" w:hAnsi="仿宋_GB2312" w:hint="eastAsia"/>
                <w:color w:val="000000"/>
                <w:kern w:val="0"/>
                <w:sz w:val="28"/>
                <w:szCs w:val="28"/>
                <w:lang w:val="en-US" w:eastAsia="zh-CN"/>
              </w:rPr>
              <w:t>本次项目总投入100万元，建设内容包括原建筑3000m2旧址，对原有建筑进行翻新、改造等修整措施。将用地分为生产管理地、生活区、无害化处理区等；对周边3000m²范围内围墙翻新、室内外排水、道路硬化、停车坪、绿化隔离带等相关构筑物建设整改。</w:t>
            </w:r>
          </w:p>
        </w:tc>
      </w:tr>
      <w:tr>
        <w:trPr>
          <w:trHeight w:val="946"/>
        </w:trPr>
        <w:tc>
          <w:tcPr>
            <w:tcW w:w="795" w:type="pct"/>
            <w:vMerge w:val="restart"/>
            <w:tcBorders>
              <w:top w:val="single" w:sz="4" w:space="0" w:color="000000"/>
              <w:left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年度绩效指标完成情况</w:t>
            </w:r>
          </w:p>
        </w:tc>
        <w:tc>
          <w:tcPr>
            <w:tcW w:w="565" w:type="pct"/>
            <w:tcBorders>
              <w:top w:val="single" w:sz="4" w:space="0" w:color="000000"/>
              <w:left w:val="nil"/>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一级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二级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三级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预期指标值</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实际完成指标值</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right w:val="single" w:sz="4" w:space="0" w:color="000000"/>
            </w:tcBorders>
            <w:shd w:val="clear" w:color="auto" w:fill="auto"/>
            <w:noWrap/>
            <w:vAlign w:val="bottom"/>
          </w:tcPr>
          <w:p>
            <w:pPr>
              <w:spacing w:line="320" w:lineRule="exact"/>
              <w:jc w:val="center"/>
              <w:rPr>
                <w:rFonts w:ascii="仿宋_GB2312" w:cs="仿宋_GB2312" w:hAnsi="仿宋_GB2312"/>
                <w:color w:val="000000"/>
                <w:sz w:val="28"/>
                <w:szCs w:val="28"/>
              </w:rPr>
            </w:p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质量指标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完成质量</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高中低</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时效指标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完成时间</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val="en-US" w:eastAsia="zh-CN"/>
              </w:rPr>
            </w:pPr>
            <w:r>
              <w:rPr>
                <w:rFonts w:ascii="仿宋_GB2312" w:cs="仿宋_GB2312" w:hAnsi="仿宋_GB2312" w:hint="eastAsia"/>
                <w:color w:val="000000"/>
                <w:sz w:val="28"/>
                <w:szCs w:val="28"/>
                <w:lang w:val="en-US" w:eastAsia="zh-CN"/>
              </w:rPr>
              <w:t>1年</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效益</w:t>
              <w:b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经济效益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eastAsia="zh-CN"/>
              </w:rPr>
              <w:t>预算资金</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val="en-US" w:eastAsia="zh-CN"/>
              </w:rPr>
              <w:t>100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kern w:val="2"/>
                <w:sz w:val="28"/>
                <w:szCs w:val="28"/>
                <w:lang w:val="en-US" w:eastAsia="zh-CN" w:bidi="ar-SA"/>
              </w:rPr>
            </w:pPr>
            <w:r>
              <w:rPr>
                <w:rFonts w:ascii="仿宋_GB2312" w:cs="仿宋_GB2312" w:hAnsi="仿宋_GB2312" w:hint="eastAsia"/>
                <w:color w:val="000000"/>
                <w:sz w:val="28"/>
                <w:szCs w:val="28"/>
                <w:lang w:val="en-US" w:eastAsia="zh-CN"/>
              </w:rPr>
              <w:t>100%</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可持续影响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可持续性</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val="en-US" w:eastAsia="zh-CN"/>
              </w:rPr>
              <w:t>90%</w:t>
            </w:r>
          </w:p>
        </w:tc>
      </w:tr>
      <w:tr>
        <w:trPr>
          <w:trHeight w:val="835"/>
        </w:trPr>
        <w:tc>
          <w:tcPr>
            <w:tcW w:w="795" w:type="pct"/>
            <w:vMerge/>
            <w:tcBorders>
              <w:left w:val="single" w:sz="4" w:space="0" w:color="000000"/>
              <w:bottom w:val="single" w:sz="4" w:space="0" w:color="000000"/>
              <w:right w:val="single" w:sz="4" w:space="0" w:color="000000"/>
            </w:tcBorders>
            <w:shd w:val="clear" w:color="auto" w:fill="auto"/>
            <w:noWrap/>
            <w:vAlign w:val="center"/>
          </w:tc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满意</w:t>
              <w:br/>
              <w:t>度指标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满意度</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满意度</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仿宋_GB2312" w:cs="仿宋_GB2312" w:hAnsi="仿宋_GB2312" w:hint="eastAsia"/>
                <w:color w:val="000000"/>
                <w:sz w:val="28"/>
                <w:szCs w:val="28"/>
                <w:lang w:val="en-US" w:eastAsia="zh-CN"/>
              </w:rPr>
              <w:t>90%</w:t>
            </w:r>
          </w:p>
        </w:tc>
      </w:tr>
    </w:tbl>
    <w:p>
      <w:pPr>
        <w:spacing w:line="600" w:lineRule="exact"/>
        <w:rPr>
          <w:rFonts w:ascii="Times New Roman" w:eastAsia="仿宋_GB2312" w:cs="Times New Roman" w:hAnsi="Times New Roman"/>
          <w:sz w:val="32"/>
          <w:szCs w:val="32"/>
        </w:rPr>
      </w:pPr>
      <w:r>
        <w:rPr>
          <w:rFonts w:ascii="黑体" w:eastAsia="黑体" w:cs="Times New Roman" w:hint="eastAsia"/>
          <w:sz w:val="32"/>
          <w:szCs w:val="32"/>
        </w:rPr>
        <w:t>附件</w:t>
      </w:r>
    </w:p>
    <w:p>
      <w:pPr>
        <w:pStyle w:val="40"/>
        <w:spacing w:line="560" w:lineRule="exact"/>
        <w:jc w:val="center"/>
        <w:rPr>
          <w:rFonts w:ascii="方正小标宋简体" w:eastAsia="方正小标宋简体" w:hint="eastAsia"/>
          <w:sz w:val="44"/>
          <w:szCs w:val="44"/>
          <w:lang w:val="en-US"/>
        </w:rPr>
      </w:pPr>
      <w:r>
        <w:rPr>
          <w:rFonts w:ascii="方正小标宋简体" w:eastAsia="方正小标宋简体" w:hint="eastAsia"/>
          <w:sz w:val="44"/>
          <w:szCs w:val="44"/>
          <w:lang w:val="en-US"/>
        </w:rPr>
        <w:t>202</w:t>
      </w:r>
      <w:r>
        <w:rPr>
          <w:rFonts w:ascii="方正小标宋简体" w:eastAsia="方正小标宋简体" w:hint="eastAsia"/>
          <w:sz w:val="44"/>
          <w:szCs w:val="44"/>
          <w:lang w:val="en-US" w:eastAsia="zh-CN"/>
        </w:rPr>
        <w:t>2</w:t>
      </w:r>
      <w:r>
        <w:rPr>
          <w:rFonts w:ascii="方正小标宋简体" w:eastAsia="方正小标宋简体" w:hint="eastAsia"/>
          <w:sz w:val="44"/>
          <w:szCs w:val="44"/>
          <w:lang w:val="en-US"/>
        </w:rPr>
        <w:t>年南新镇基层组织活动和公共服务</w:t>
      </w:r>
    </w:p>
    <w:p>
      <w:pPr>
        <w:pStyle w:val="40"/>
        <w:spacing w:line="560" w:lineRule="exact"/>
        <w:jc w:val="center"/>
        <w:rPr>
          <w:rFonts w:ascii="方正小标宋简体" w:eastAsia="方正小标宋简体"/>
          <w:sz w:val="44"/>
          <w:szCs w:val="44"/>
          <w:lang w:val="en-US"/>
        </w:rPr>
      </w:pPr>
      <w:r>
        <w:rPr>
          <w:rFonts w:ascii="方正小标宋简体" w:eastAsia="方正小标宋简体" w:hint="eastAsia"/>
          <w:sz w:val="44"/>
          <w:szCs w:val="44"/>
          <w:lang w:val="en-US"/>
        </w:rPr>
        <w:t>运行补助经费支出绩效自评报告</w:t>
      </w:r>
    </w:p>
    <w:p>
      <w:pPr>
        <w:adjustRightInd w:val="0"/>
        <w:snapToGrid w:val="0"/>
        <w:spacing w:line="600" w:lineRule="exact"/>
        <w:rPr>
          <w:rFonts w:ascii="黑体" w:eastAsia="黑体" w:cs="Times New Roman"/>
          <w:sz w:val="32"/>
          <w:szCs w:val="32"/>
          <w:lang w:val="zh-CN"/>
        </w:rPr>
      </w:pPr>
      <w:r>
        <w:rPr>
          <w:rFonts w:ascii="黑体" w:eastAsia="黑体" w:cs="Times New Roman" w:hint="eastAsia"/>
          <w:sz w:val="32"/>
          <w:szCs w:val="32"/>
        </w:rPr>
        <w:t>一、</w:t>
      </w:r>
      <w:r>
        <w:rPr>
          <w:rFonts w:ascii="黑体" w:eastAsia="黑体" w:cs="Times New Roman" w:hint="eastAsia"/>
          <w:sz w:val="32"/>
          <w:szCs w:val="32"/>
          <w:lang w:val="zh-CN"/>
        </w:rPr>
        <w:t>项目概况</w:t>
      </w:r>
    </w:p>
    <w:p>
      <w:pPr>
        <w:adjustRightInd w:val="0"/>
        <w:snapToGrid w:val="0"/>
        <w:spacing w:line="600" w:lineRule="exact"/>
        <w:ind w:firstLine="720"/>
        <w:rPr>
          <w:rFonts w:ascii="仿宋_GB2312" w:eastAsia="仿宋_GB2312" w:cs="仿宋_GB2312" w:hint="eastAsia"/>
          <w:b w:val="0"/>
          <w:bCs/>
          <w:sz w:val="32"/>
          <w:szCs w:val="32"/>
          <w:lang w:val="zh-CN"/>
        </w:rPr>
      </w:pPr>
      <w:r>
        <w:rPr>
          <w:rFonts w:ascii="仿宋_GB2312" w:eastAsia="仿宋_GB2312" w:cs="仿宋_GB2312" w:hint="eastAsia"/>
          <w:b w:val="0"/>
          <w:bCs/>
          <w:sz w:val="32"/>
          <w:szCs w:val="32"/>
          <w:lang w:val="zh-CN"/>
        </w:rPr>
        <w:t>（一）项目基本情况</w:t>
      </w:r>
    </w:p>
    <w:p>
      <w:pPr>
        <w:adjustRightInd w:val="0"/>
        <w:snapToGrid w:val="0"/>
        <w:spacing w:line="560" w:lineRule="exact"/>
        <w:ind w:firstLine="720"/>
        <w:rPr>
          <w:rFonts w:ascii="仿宋_GB2312" w:eastAsia="仿宋_GB2312" w:cs="Times New Roman"/>
          <w:sz w:val="32"/>
          <w:szCs w:val="32"/>
          <w:lang w:val="zh-CN"/>
        </w:rPr>
      </w:pPr>
      <w:r>
        <w:rPr>
          <w:rFonts w:ascii="仿宋_GB2312" w:eastAsia="仿宋_GB2312" w:cs="Times New Roman" w:hint="eastAsia"/>
          <w:sz w:val="32"/>
          <w:szCs w:val="32"/>
          <w:lang w:val="zh-CN"/>
        </w:rPr>
        <w:t>1．我镇基层组织活动和公共服务运行补助经费:一是农村基础设施和环境类项目的运行维护。包括村内户外道路、水利、供水、供电、通讯、互联网等基础设施，农村垃圾、污水集中处理，农村客运、邮政、园林绿化等。二是农业生产服务类项目的运行维护。包括农业科技推广、动植物疫病防控、农产品流通、农用生产资料供应、农业信息化、种养业良种服务、农业资源与生态保护、农村防灾减灾、农村金融服务等。三是农村生活服务类项目的运行维护。包括广播电视“村村通”、电影放映服务、报刊图书阅览服务、文体及健身活动、文艺演出和展览服务。四是农村社会管理类项目的运行维护。包括农村治安保卫、环境卫生监督管理、政策宣传、法律咨询和援助，农村土地规划管理、建筑物建设管理，农村传染病防控和食品安全保障等。五是村基层组织活动。主要包括基层党组织开展组织活动，党员干部教育培训，激励创先争优，走访慰问，群团活动开展，组织活动场所维护等。六是村日常办公运转，包括必要的办公用品费、水电费、报刊征订费等维持村正常运转以及村务监督委员会等其他形式村务机构开展工作所必需的支出。</w:t>
      </w:r>
    </w:p>
    <w:p>
      <w:pPr>
        <w:adjustRightInd w:val="0"/>
        <w:snapToGrid w:val="0"/>
        <w:spacing w:line="600" w:lineRule="exact"/>
        <w:ind w:firstLineChars="250" w:firstLine="800"/>
        <w:rPr>
          <w:rFonts w:ascii="仿宋_GB2312" w:eastAsia="仿宋_GB2312" w:cs="Times New Roman" w:hint="eastAsia"/>
          <w:sz w:val="32"/>
          <w:szCs w:val="32"/>
          <w:lang w:val="zh-CN"/>
        </w:rPr>
      </w:pPr>
      <w:r>
        <w:rPr>
          <w:rFonts w:ascii="仿宋_GB2312" w:eastAsia="仿宋_GB2312" w:cs="Times New Roman" w:hint="eastAsia"/>
          <w:sz w:val="32"/>
          <w:szCs w:val="32"/>
          <w:lang w:val="zh-CN"/>
        </w:rPr>
        <w:t>2．项目立项、资金申报的依据。</w:t>
      </w:r>
    </w:p>
    <w:p>
      <w:pPr>
        <w:adjustRightInd w:val="0"/>
        <w:snapToGrid w:val="0"/>
        <w:spacing w:line="560" w:lineRule="exact"/>
        <w:ind w:firstLineChars="200" w:firstLine="640"/>
        <w:rPr>
          <w:rFonts w:ascii="仿宋_GB2312" w:eastAsia="仿宋_GB2312" w:cs="Times New Roman" w:hint="eastAsia"/>
          <w:sz w:val="32"/>
          <w:szCs w:val="32"/>
          <w:lang w:val="zh-CN"/>
        </w:rPr>
      </w:pPr>
      <w:r>
        <w:rPr>
          <w:rFonts w:ascii="仿宋_GB2312" w:eastAsia="仿宋_GB2312" w:cs="Times New Roman" w:hint="eastAsia"/>
          <w:sz w:val="32"/>
          <w:szCs w:val="32"/>
          <w:lang w:val="zh-CN"/>
        </w:rPr>
        <w:t>我镇基层组织活动和公共服务运行补助经费应收到财政下拨110万元，按合并前每个村11万元下达，其中：省财政补助每村7万元/年；州财政补助每村2万元/年；县财政补助每村2万元/年。</w:t>
      </w:r>
    </w:p>
    <w:p>
      <w:pPr>
        <w:adjustRightInd w:val="0"/>
        <w:snapToGrid w:val="0"/>
        <w:spacing w:line="560" w:lineRule="exact"/>
        <w:ind w:firstLineChars="200" w:firstLine="640"/>
        <w:rPr>
          <w:rFonts w:ascii="仿宋_GB2312" w:eastAsia="仿宋_GB2312" w:cs="Times New Roman" w:hint="eastAsia"/>
          <w:sz w:val="32"/>
          <w:szCs w:val="32"/>
          <w:lang w:val="zh-CN"/>
        </w:rPr>
      </w:pPr>
      <w:r>
        <w:rPr>
          <w:rFonts w:ascii="仿宋_GB2312" w:eastAsia="仿宋_GB2312" w:cs="Times New Roman" w:hint="eastAsia"/>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eastAsia="仿宋_GB2312" w:cs="Times New Roman"/>
          <w:sz w:val="32"/>
          <w:szCs w:val="32"/>
          <w:lang w:val="zh-CN"/>
        </w:rPr>
      </w:pPr>
      <w:r>
        <w:rPr>
          <w:rFonts w:ascii="仿宋_GB2312" w:eastAsia="仿宋_GB2312" w:cs="Times New Roman" w:hint="eastAsia"/>
          <w:sz w:val="32"/>
          <w:szCs w:val="32"/>
          <w:lang w:val="zh-CN"/>
        </w:rPr>
        <w:t>我镇结合各村地理位置、党员人数、服务人口及半径、村集体收入、工作绩效等因数分村确定分配金额。</w:t>
      </w:r>
    </w:p>
    <w:p>
      <w:pPr>
        <w:adjustRightInd w:val="0"/>
        <w:snapToGrid w:val="0"/>
        <w:spacing w:line="600" w:lineRule="exact"/>
        <w:ind w:firstLineChars="200" w:firstLine="640"/>
        <w:rPr>
          <w:rFonts w:ascii="仿宋_GB2312" w:eastAsia="仿宋_GB2312" w:cs="Times New Roman" w:hint="eastAsia"/>
          <w:sz w:val="32"/>
          <w:szCs w:val="32"/>
          <w:lang w:val="zh-CN"/>
        </w:rPr>
      </w:pPr>
      <w:r>
        <w:rPr>
          <w:rFonts w:ascii="仿宋_GB2312" w:eastAsia="仿宋_GB2312" w:cs="Times New Roman" w:hint="eastAsia"/>
          <w:sz w:val="32"/>
          <w:szCs w:val="32"/>
          <w:lang w:val="zh-CN"/>
        </w:rPr>
        <w:t>4.资金分配的原则及考虑因素。</w:t>
      </w:r>
    </w:p>
    <w:p>
      <w:pPr>
        <w:adjustRightInd w:val="0"/>
        <w:snapToGrid w:val="0"/>
        <w:spacing w:line="600" w:lineRule="exact"/>
        <w:ind w:firstLine="720"/>
        <w:rPr>
          <w:rFonts w:ascii="仿宋_GB2312" w:eastAsia="仿宋_GB2312" w:cs="Times New Roman"/>
          <w:sz w:val="32"/>
          <w:szCs w:val="32"/>
          <w:lang w:val="zh-CN"/>
        </w:rPr>
      </w:pPr>
      <w:r>
        <w:rPr>
          <w:rFonts w:ascii="仿宋_GB2312" w:eastAsia="仿宋_GB2312" w:cs="Times New Roman" w:hint="eastAsia"/>
          <w:sz w:val="32"/>
          <w:szCs w:val="32"/>
          <w:lang w:val="zh-CN"/>
        </w:rPr>
        <w:t>我镇结合各村地理位置、党员人数、服务人口及半径、村集体收入、工作绩效等因数分村确定分配金额。</w:t>
      </w:r>
    </w:p>
    <w:p>
      <w:pPr>
        <w:adjustRightInd w:val="0"/>
        <w:snapToGrid w:val="0"/>
        <w:spacing w:line="600" w:lineRule="exact"/>
        <w:ind w:firstLine="720"/>
        <w:rPr>
          <w:rFonts w:ascii="黑体" w:eastAsia="黑体" w:cs="黑体" w:hint="eastAsia"/>
          <w:b w:val="0"/>
          <w:bCs/>
          <w:sz w:val="32"/>
          <w:szCs w:val="32"/>
          <w:lang w:val="zh-CN"/>
        </w:rPr>
      </w:pPr>
      <w:r>
        <w:rPr>
          <w:rFonts w:ascii="黑体" w:eastAsia="黑体" w:cs="黑体" w:hint="eastAsia"/>
          <w:b w:val="0"/>
          <w:bCs/>
          <w:sz w:val="32"/>
          <w:szCs w:val="32"/>
          <w:lang w:val="zh-CN"/>
        </w:rPr>
        <w:t>（二）项目绩效目标</w:t>
      </w:r>
    </w:p>
    <w:p>
      <w:pPr>
        <w:adjustRightInd w:val="0"/>
        <w:snapToGrid w:val="0"/>
        <w:spacing w:line="600" w:lineRule="exact"/>
        <w:ind w:firstLine="720"/>
        <w:rPr>
          <w:rFonts w:ascii="仿宋_GB2312" w:eastAsia="仿宋_GB2312" w:cs="Times New Roman" w:hint="eastAsia"/>
          <w:sz w:val="32"/>
          <w:szCs w:val="32"/>
          <w:lang w:val="zh-CN"/>
        </w:rPr>
      </w:pPr>
      <w:r>
        <w:rPr>
          <w:rFonts w:ascii="仿宋_GB2312" w:eastAsia="仿宋_GB2312" w:cs="Times New Roman" w:hint="eastAsia"/>
          <w:sz w:val="32"/>
          <w:szCs w:val="32"/>
          <w:lang w:val="zh-CN"/>
        </w:rPr>
        <w:t>1．项目主要内容</w:t>
      </w:r>
    </w:p>
    <w:p>
      <w:pPr>
        <w:adjustRightInd w:val="0"/>
        <w:snapToGrid w:val="0"/>
        <w:spacing w:line="560" w:lineRule="exact"/>
        <w:ind w:firstLineChars="200" w:firstLine="640"/>
        <w:rPr>
          <w:rFonts w:ascii="仿宋_GB2312" w:eastAsia="仿宋_GB2312" w:cs="Times New Roman"/>
          <w:sz w:val="32"/>
          <w:szCs w:val="32"/>
          <w:lang w:val="zh-CN"/>
        </w:rPr>
      </w:pPr>
      <w:r>
        <w:rPr>
          <w:rFonts w:ascii="仿宋_GB2312" w:eastAsia="仿宋_GB2312" w:cs="Times New Roman" w:hint="eastAsia"/>
          <w:sz w:val="32"/>
          <w:szCs w:val="32"/>
          <w:lang w:val="zh-CN"/>
        </w:rPr>
        <w:t>我镇基层组织活动和公共服务运行补助经费用于农村基础设施和环境类项目的运行维护、农业生产服务类项目的运行维护、农村生活服务类项目的运行维护、农村社会管理类项目的运行维护、村基层组织活动、村日常办公运转以及村务监督委员会等其他形式村务机构开展工作所必需的支出。</w:t>
      </w:r>
    </w:p>
    <w:p>
      <w:pPr>
        <w:adjustRightInd w:val="0"/>
        <w:snapToGrid w:val="0"/>
        <w:spacing w:line="600" w:lineRule="exact"/>
        <w:ind w:firstLineChars="250" w:firstLine="800"/>
        <w:rPr>
          <w:rFonts w:ascii="仿宋_GB2312" w:eastAsia="仿宋_GB2312" w:cs="Times New Roman" w:hint="eastAsia"/>
          <w:sz w:val="32"/>
          <w:szCs w:val="32"/>
          <w:lang w:val="zh-CN"/>
        </w:rPr>
      </w:pPr>
      <w:r>
        <w:rPr>
          <w:rFonts w:ascii="仿宋_GB2312" w:eastAsia="仿宋_GB2312" w:cs="Times New Roman" w:hint="eastAsia"/>
          <w:sz w:val="32"/>
          <w:szCs w:val="32"/>
          <w:lang w:val="zh-CN"/>
        </w:rPr>
        <w:t>2．项目应实现的具体绩效目标</w:t>
      </w:r>
    </w:p>
    <w:p>
      <w:pPr>
        <w:spacing w:line="560" w:lineRule="exact"/>
        <w:ind w:firstLineChars="250" w:firstLine="800"/>
        <w:rPr>
          <w:rFonts w:ascii="仿宋_GB2312" w:eastAsia="仿宋_GB2312" w:cs="Times New Roman"/>
          <w:sz w:val="32"/>
          <w:szCs w:val="32"/>
          <w:lang w:val="zh-CN"/>
        </w:rPr>
      </w:pPr>
      <w:r>
        <w:rPr>
          <w:rFonts w:ascii="仿宋_GB2312" w:eastAsia="仿宋_GB2312" w:cs="Times New Roman" w:hint="eastAsia"/>
          <w:sz w:val="32"/>
          <w:szCs w:val="32"/>
          <w:lang w:val="zh-CN"/>
        </w:rPr>
        <w:t>通过改革创新，实现“小改革、大机制，小资金、大舞台”的工作目标，为创新农村社会管理机制体制探索新路径。树立“自治”理念，全面推进民主决策、民主管理和民主监督，让广大农民群众直接行使民主权利，依法办理自己的事情。</w:t>
      </w:r>
    </w:p>
    <w:p>
      <w:pPr>
        <w:spacing w:line="560" w:lineRule="exact"/>
        <w:ind w:firstLineChars="200" w:firstLine="640"/>
        <w:rPr>
          <w:rFonts w:ascii="仿宋_GB2312" w:eastAsia="仿宋_GB2312" w:cs="Times New Roman"/>
          <w:sz w:val="32"/>
          <w:szCs w:val="32"/>
          <w:lang w:val="zh-CN"/>
        </w:rPr>
      </w:pPr>
      <w:r>
        <w:rPr>
          <w:rFonts w:ascii="仿宋_GB2312" w:eastAsia="仿宋_GB2312" w:cs="Times New Roman" w:hint="eastAsia"/>
          <w:sz w:val="32"/>
          <w:szCs w:val="32"/>
          <w:lang w:val="zh-CN"/>
        </w:rPr>
        <w:t>及时公开资金规模用途。年初，公示本年度资金额度、用途和要求。公开村民建议意见。在村民（代表）会议前，公示项目需求建议、排序情况、实施草案、选择条件等内容。公开村民会议决议。项目完工后，公示项目实施、资金使用、验收意见等内容。公开绩效评价结果。考评结束后，公示资金绩效评价结果。</w:t>
      </w:r>
    </w:p>
    <w:p>
      <w:pPr>
        <w:adjustRightInd w:val="0"/>
        <w:snapToGrid w:val="0"/>
        <w:spacing w:line="600" w:lineRule="exact"/>
        <w:ind w:firstLineChars="200" w:firstLine="640"/>
        <w:rPr>
          <w:rFonts w:ascii="仿宋_GB2312" w:eastAsia="仿宋_GB2312" w:cs="Times New Roman"/>
          <w:sz w:val="32"/>
          <w:szCs w:val="32"/>
          <w:lang w:val="zh-CN"/>
        </w:rPr>
      </w:pPr>
      <w:r>
        <w:rPr>
          <w:rFonts w:ascii="仿宋_GB2312" w:eastAsia="仿宋_GB2312" w:cs="Times New Roman" w:hint="eastAsia"/>
          <w:sz w:val="32"/>
          <w:szCs w:val="32"/>
          <w:lang w:val="zh-CN"/>
        </w:rPr>
        <w:t>3．我镇基层组织活动和公共服务运行补助经费申报内容是否与实际相符，申报目标合理可行。</w:t>
      </w:r>
    </w:p>
    <w:p>
      <w:pPr>
        <w:adjustRightInd w:val="0"/>
        <w:snapToGrid w:val="0"/>
        <w:spacing w:line="600" w:lineRule="exact"/>
        <w:ind w:firstLine="720"/>
        <w:rPr>
          <w:rFonts w:ascii="仿宋_GB2312" w:eastAsia="仿宋_GB2312" w:cs="仿宋_GB2312" w:hint="eastAsia"/>
          <w:b w:val="0"/>
          <w:bCs/>
          <w:sz w:val="32"/>
          <w:szCs w:val="32"/>
          <w:lang w:val="zh-CN"/>
        </w:rPr>
      </w:pPr>
      <w:r>
        <w:rPr>
          <w:rFonts w:ascii="仿宋_GB2312" w:eastAsia="仿宋_GB2312" w:cs="仿宋_GB2312" w:hint="eastAsia"/>
          <w:b w:val="0"/>
          <w:bCs/>
          <w:sz w:val="32"/>
          <w:szCs w:val="32"/>
          <w:lang w:val="zh-CN"/>
        </w:rPr>
        <w:t>（三）项目自评步骤及方法</w:t>
      </w:r>
    </w:p>
    <w:p>
      <w:pPr>
        <w:adjustRightInd w:val="0"/>
        <w:snapToGrid w:val="0"/>
        <w:spacing w:line="600" w:lineRule="exact"/>
        <w:ind w:firstLineChars="200" w:firstLine="640"/>
        <w:rPr>
          <w:rFonts w:ascii="仿宋_GB2312" w:eastAsia="仿宋_GB2312" w:cs="Times New Roman" w:hint="eastAsia"/>
          <w:sz w:val="32"/>
          <w:szCs w:val="32"/>
          <w:lang w:val="zh-CN"/>
        </w:rPr>
      </w:pPr>
      <w:r>
        <w:rPr>
          <w:rFonts w:ascii="仿宋_GB2312" w:eastAsia="仿宋_GB2312" w:cs="Times New Roman" w:hint="eastAsia"/>
          <w:sz w:val="32"/>
          <w:szCs w:val="32"/>
          <w:lang w:val="zh-CN"/>
        </w:rPr>
        <w:t>本项目采取自评与他评相结合的方式，结合评价内容，做到有计划，有安排，扎实开展本次自评工作。针对申报内容、实施情况、资金拨付、财务管理、社会效益等做出自我评价。</w:t>
      </w:r>
    </w:p>
    <w:p>
      <w:pPr>
        <w:adjustRightInd w:val="0"/>
        <w:snapToGrid w:val="0"/>
        <w:spacing w:line="600" w:lineRule="exact"/>
        <w:ind w:firstLine="720"/>
        <w:rPr>
          <w:rFonts w:ascii="黑体" w:eastAsia="黑体" w:cs="Times New Roman"/>
          <w:sz w:val="32"/>
          <w:szCs w:val="32"/>
        </w:rPr>
      </w:pPr>
      <w:r>
        <w:rPr>
          <w:rFonts w:ascii="黑体" w:eastAsia="黑体" w:cs="Times New Roman" w:hint="eastAsia"/>
          <w:sz w:val="32"/>
          <w:szCs w:val="32"/>
        </w:rPr>
        <w:t>二、项目资金申报及使用情况</w:t>
      </w:r>
    </w:p>
    <w:p>
      <w:pPr>
        <w:adjustRightInd w:val="0"/>
        <w:snapToGrid w:val="0"/>
        <w:spacing w:line="600" w:lineRule="exact"/>
        <w:ind w:firstLine="720"/>
        <w:rPr>
          <w:rFonts w:ascii="楷体_GB2312" w:eastAsia="楷体_GB2312" w:cs="Times New Roman"/>
          <w:b/>
          <w:sz w:val="32"/>
          <w:szCs w:val="32"/>
          <w:lang w:val="zh-CN"/>
        </w:rPr>
      </w:pPr>
      <w:r>
        <w:rPr>
          <w:rFonts w:ascii="仿宋_GB2312" w:eastAsia="仿宋_GB2312" w:cs="仿宋_GB2312" w:hint="eastAsia"/>
          <w:b w:val="0"/>
          <w:bCs/>
          <w:sz w:val="32"/>
          <w:szCs w:val="32"/>
          <w:lang w:val="zh-CN"/>
        </w:rPr>
        <w:t>（一）项目资金申报及批复情况。</w:t>
      </w:r>
    </w:p>
    <w:p>
      <w:pPr>
        <w:adjustRightInd w:val="0"/>
        <w:snapToGrid w:val="0"/>
        <w:spacing w:line="600" w:lineRule="exact"/>
        <w:ind w:firstLineChars="200" w:firstLine="640"/>
        <w:rPr>
          <w:rFonts w:ascii="仿宋_GB2312" w:eastAsia="仿宋_GB2312" w:cs="Times New Roman" w:hint="eastAsia"/>
          <w:sz w:val="32"/>
          <w:szCs w:val="32"/>
          <w:lang w:val="zh-CN" w:eastAsia="zh-CN"/>
        </w:rPr>
      </w:pPr>
      <w:r>
        <w:rPr>
          <w:rFonts w:ascii="仿宋_GB2312" w:eastAsia="仿宋_GB2312" w:cs="Times New Roman" w:hint="eastAsia"/>
          <w:sz w:val="32"/>
          <w:szCs w:val="32"/>
          <w:lang w:val="zh-CN"/>
        </w:rPr>
        <w:t>我镇基层组织活动和公共服务运行补助经费应收到财政下拨110万元，按合并前每个村11万元下达，其中：省财政补助每村7万元/年；州财政补助每村2万元/年；县财政补助每村2万元/年</w:t>
      </w:r>
      <w:r>
        <w:rPr>
          <w:rFonts w:ascii="仿宋_GB2312" w:eastAsia="仿宋_GB2312" w:cs="Times New Roman" w:hint="eastAsia"/>
          <w:sz w:val="32"/>
          <w:szCs w:val="32"/>
          <w:lang w:val="zh-CN" w:eastAsia="zh-CN"/>
        </w:rPr>
        <w:t>；申报资金与批复资金一致。</w:t>
      </w:r>
    </w:p>
    <w:p>
      <w:pPr>
        <w:numPr>
          <w:ilvl w:val="0"/>
          <w:numId w:val="3"/>
        </w:numPr>
        <w:adjustRightInd w:val="0"/>
        <w:snapToGrid w:val="0"/>
        <w:spacing w:line="600" w:lineRule="exact"/>
        <w:ind w:left="0" w:firstLine="720"/>
        <w:rPr>
          <w:rFonts w:ascii="仿宋_GB2312" w:eastAsia="仿宋_GB2312" w:cs="仿宋_GB2312" w:hint="eastAsia"/>
          <w:b w:val="0"/>
          <w:bCs/>
          <w:sz w:val="32"/>
          <w:szCs w:val="32"/>
          <w:lang w:val="zh-CN"/>
        </w:rPr>
      </w:pPr>
      <w:r>
        <w:rPr>
          <w:rFonts w:ascii="仿宋_GB2312" w:eastAsia="仿宋_GB2312" w:cs="仿宋_GB2312" w:hint="eastAsia"/>
          <w:b w:val="0"/>
          <w:bCs/>
          <w:sz w:val="32"/>
          <w:szCs w:val="32"/>
          <w:lang w:val="zh-CN"/>
        </w:rPr>
        <w:t>资金计划、到位及使用情况</w:t>
      </w:r>
    </w:p>
    <w:p>
      <w:pPr>
        <w:adjustRightInd w:val="0"/>
        <w:snapToGrid w:val="0"/>
        <w:spacing w:line="560" w:lineRule="exact"/>
        <w:ind w:firstLine="720"/>
        <w:rPr>
          <w:rFonts w:ascii="Calibri" w:cs="仿宋_GB2312" w:hAnsi="Calibri"/>
          <w:kern w:val="2"/>
        </w:rPr>
      </w:pPr>
      <w:r>
        <w:rPr>
          <w:rFonts w:ascii="仿宋_GB2312" w:eastAsia="仿宋_GB2312" w:cs="仿宋_GB2312" w:hint="eastAsia"/>
          <w:sz w:val="32"/>
          <w:szCs w:val="32"/>
          <w:lang w:val="zh-CN"/>
        </w:rPr>
        <w:t>1．资金计划。</w:t>
      </w:r>
      <w:r>
        <w:rPr>
          <w:rFonts w:ascii="仿宋_GB2312" w:eastAsia="仿宋_GB2312" w:cs="Times New Roman" w:hint="eastAsia"/>
          <w:sz w:val="32"/>
          <w:szCs w:val="32"/>
          <w:lang w:val="zh-CN"/>
        </w:rPr>
        <w:t>我镇基层组织活动和公共服务运行补助经费应收到财政下拨110万元，按合并前每个村11万元下达，其中：省财政补助每村7万元/年；州财政补助每村2万元/年；县财政补助每村2万元/年。</w:t>
      </w:r>
    </w:p>
    <w:p>
      <w:pPr>
        <w:adjustRightInd w:val="0"/>
        <w:snapToGrid w:val="0"/>
        <w:spacing w:line="600" w:lineRule="exact"/>
        <w:ind w:firstLineChars="200" w:firstLine="640"/>
        <w:rPr>
          <w:rFonts w:ascii="仿宋_GB2312" w:eastAsia="仿宋_GB2312" w:cs="Times New Roman" w:hint="eastAsia"/>
          <w:sz w:val="32"/>
          <w:szCs w:val="32"/>
          <w:lang w:val="zh-CN" w:eastAsia="zh-CN"/>
        </w:rPr>
      </w:pPr>
      <w:r>
        <w:rPr>
          <w:rFonts w:ascii="仿宋_GB2312" w:eastAsia="仿宋_GB2312" w:cs="仿宋_GB2312" w:hint="eastAsia"/>
          <w:sz w:val="32"/>
          <w:szCs w:val="32"/>
          <w:lang w:val="zh-CN"/>
        </w:rPr>
        <w:t>2．资金到位</w:t>
      </w:r>
      <w:r>
        <w:rPr>
          <w:rFonts w:ascii="楷体_GB2312" w:eastAsia="楷体_GB2312" w:cs="Times New Roman" w:hint="eastAsia"/>
          <w:sz w:val="32"/>
          <w:szCs w:val="32"/>
          <w:lang w:val="zh-CN"/>
        </w:rPr>
        <w:t>。</w:t>
      </w:r>
      <w:r>
        <w:rPr>
          <w:rFonts w:ascii="仿宋_GB2312" w:eastAsia="仿宋_GB2312" w:cs="Times New Roman" w:hint="eastAsia"/>
          <w:sz w:val="32"/>
          <w:szCs w:val="32"/>
          <w:lang w:val="zh-CN"/>
        </w:rPr>
        <w:t>我镇基层组织活动和公共服务运行补助经费应收到财政下拨110万元，按合并前每个村11万元下达，其中：省财政补助每村7万元/年；州财政补助每村2万元/年；县财政补助每村2万元/年</w:t>
      </w:r>
      <w:r>
        <w:rPr>
          <w:rFonts w:ascii="仿宋_GB2312" w:eastAsia="仿宋_GB2312" w:cs="Times New Roman" w:hint="eastAsia"/>
          <w:sz w:val="32"/>
          <w:szCs w:val="32"/>
          <w:lang w:val="zh-CN" w:eastAsia="zh-CN"/>
        </w:rPr>
        <w:t>；申报资金与批复资金一致。</w:t>
      </w:r>
    </w:p>
    <w:p>
      <w:pPr>
        <w:adjustRightInd w:val="0"/>
        <w:snapToGrid w:val="0"/>
        <w:spacing w:line="560" w:lineRule="exact"/>
        <w:ind w:firstLine="720"/>
        <w:rPr>
          <w:rFonts w:ascii="仿宋_GB2312" w:eastAsia="仿宋_GB2312" w:cs="Times New Roman" w:hint="eastAsia"/>
          <w:sz w:val="32"/>
          <w:szCs w:val="32"/>
          <w:lang w:val="zh-CN"/>
        </w:rPr>
      </w:pPr>
      <w:r>
        <w:rPr>
          <w:rFonts w:ascii="仿宋_GB2312" w:eastAsia="仿宋_GB2312" w:cs="仿宋_GB2312" w:hint="eastAsia"/>
          <w:sz w:val="32"/>
          <w:szCs w:val="32"/>
          <w:lang w:val="zh-CN"/>
        </w:rPr>
        <w:t>3．资金使用。</w:t>
      </w:r>
      <w:r>
        <w:rPr>
          <w:rFonts w:ascii="仿宋_GB2312" w:eastAsia="仿宋_GB2312" w:cs="Times New Roman" w:hint="eastAsia"/>
          <w:sz w:val="32"/>
          <w:szCs w:val="32"/>
          <w:lang w:val="zh-CN"/>
        </w:rPr>
        <w:t>我镇结合各村地理位置、党员人数、服务人口及半径、村集体收入、工作绩效等因数分村确定具体补助标准：七星村9.1028万元，文攀村9.0515万元，凤毛坪村5.1015万元，棉簇村5.9015万元，安乡村13.0244万元，别立村5.6315万元，罗山村10.6824万元，牟托村8.3834万元。</w:t>
      </w:r>
    </w:p>
    <w:p>
      <w:pPr>
        <w:adjustRightInd w:val="0"/>
        <w:snapToGrid w:val="0"/>
        <w:spacing w:line="600" w:lineRule="exact"/>
        <w:ind w:firstLine="720"/>
        <w:rPr>
          <w:rFonts w:ascii="仿宋_GB2312" w:eastAsia="仿宋_GB2312" w:cs="仿宋_GB2312" w:hint="eastAsia"/>
          <w:b w:val="0"/>
          <w:bCs/>
          <w:sz w:val="32"/>
          <w:szCs w:val="32"/>
          <w:lang w:val="zh-CN"/>
        </w:rPr>
      </w:pPr>
      <w:r>
        <w:rPr>
          <w:rFonts w:ascii="仿宋_GB2312" w:eastAsia="仿宋_GB2312" w:cs="仿宋_GB2312" w:hint="eastAsia"/>
          <w:b w:val="0"/>
          <w:bCs/>
          <w:sz w:val="32"/>
          <w:szCs w:val="32"/>
          <w:lang w:val="zh-CN"/>
        </w:rPr>
        <w:t>（三）项目财务管理情况。</w:t>
      </w:r>
    </w:p>
    <w:p>
      <w:pPr>
        <w:adjustRightInd w:val="0"/>
        <w:snapToGrid w:val="0"/>
        <w:spacing w:line="600" w:lineRule="exact"/>
        <w:ind w:firstLine="720"/>
        <w:rPr>
          <w:rFonts w:ascii="仿宋_GB2312" w:eastAsia="仿宋_GB2312" w:cs="Times New Roman" w:hint="eastAsia"/>
          <w:sz w:val="32"/>
          <w:szCs w:val="32"/>
          <w:lang w:val="zh-CN"/>
        </w:rPr>
      </w:pPr>
      <w:r>
        <w:rPr>
          <w:rFonts w:ascii="仿宋_GB2312" w:eastAsia="仿宋_GB2312" w:cs="Times New Roman" w:hint="eastAsia"/>
          <w:sz w:val="32"/>
          <w:szCs w:val="32"/>
          <w:lang w:val="zh-CN"/>
        </w:rPr>
        <w:t>我镇严格执行财务管理制度，及时进行账务处理。</w:t>
      </w:r>
    </w:p>
    <w:p>
      <w:pPr>
        <w:adjustRightInd w:val="0"/>
        <w:snapToGrid w:val="0"/>
        <w:spacing w:line="600" w:lineRule="exact"/>
        <w:ind w:firstLine="720"/>
        <w:rPr>
          <w:rFonts w:ascii="黑体" w:eastAsia="黑体" w:cs="Times New Roman"/>
          <w:sz w:val="32"/>
          <w:szCs w:val="32"/>
        </w:rPr>
      </w:pPr>
      <w:r>
        <w:rPr>
          <w:rFonts w:ascii="黑体" w:eastAsia="黑体" w:cs="Times New Roman" w:hint="eastAsia"/>
          <w:sz w:val="32"/>
          <w:szCs w:val="32"/>
        </w:rPr>
        <w:t>三、项目实施及管理情况</w:t>
      </w:r>
    </w:p>
    <w:p>
      <w:pPr>
        <w:adjustRightInd w:val="0"/>
        <w:snapToGrid w:val="0"/>
        <w:spacing w:line="600" w:lineRule="exact"/>
        <w:ind w:firstLine="720"/>
        <w:rPr>
          <w:rFonts w:ascii="仿宋_GB2312" w:eastAsia="仿宋_GB2312" w:cs="Times New Roman" w:hint="eastAsia"/>
          <w:sz w:val="32"/>
          <w:szCs w:val="32"/>
          <w:lang w:val="zh-CN"/>
        </w:rPr>
      </w:pPr>
      <w:r>
        <w:rPr>
          <w:rFonts w:ascii="仿宋_GB2312" w:eastAsia="仿宋_GB2312" w:cs="Times New Roman" w:hint="eastAsia"/>
          <w:sz w:val="32"/>
          <w:szCs w:val="32"/>
          <w:lang w:val="zh-CN"/>
        </w:rPr>
        <w:t>1.基层组织活动和公共服务运行补助经费时间安排。2022年</w:t>
      </w:r>
      <w:r>
        <w:rPr>
          <w:rFonts w:ascii="仿宋_GB2312" w:eastAsia="仿宋_GB2312" w:cs="Times New Roman" w:hint="eastAsia"/>
          <w:sz w:val="32"/>
          <w:szCs w:val="32"/>
          <w:lang w:val="en-US" w:eastAsia="zh-CN"/>
        </w:rPr>
        <w:t>1</w:t>
      </w:r>
      <w:r>
        <w:rPr>
          <w:rFonts w:ascii="仿宋_GB2312" w:eastAsia="仿宋_GB2312" w:cs="Times New Roman" w:hint="eastAsia"/>
          <w:sz w:val="32"/>
          <w:szCs w:val="32"/>
          <w:lang w:val="zh-CN"/>
        </w:rPr>
        <w:t>月，围绕工作要求，专题研究讨论，拟定初步计划;2022年1-12月项目实施阶段。</w:t>
      </w:r>
    </w:p>
    <w:p>
      <w:pPr>
        <w:adjustRightInd w:val="0"/>
        <w:snapToGrid w:val="0"/>
        <w:spacing w:line="600" w:lineRule="exact"/>
        <w:ind w:firstLine="720"/>
        <w:rPr>
          <w:rFonts w:ascii="仿宋_GB2312" w:eastAsia="仿宋_GB2312" w:cs="Times New Roman" w:hint="eastAsia"/>
          <w:sz w:val="32"/>
          <w:szCs w:val="32"/>
          <w:lang w:val="zh-CN"/>
        </w:rPr>
      </w:pPr>
      <w:r>
        <w:rPr>
          <w:rFonts w:ascii="仿宋_GB2312" w:eastAsia="仿宋_GB2312" w:cs="Times New Roman" w:hint="eastAsia"/>
          <w:sz w:val="32"/>
          <w:szCs w:val="32"/>
          <w:lang w:val="zh-CN"/>
        </w:rPr>
        <w:t>2.项目管理情况。项目实施过程中，严格按照相关法律法规及项目管理制度进行管理。</w:t>
      </w:r>
    </w:p>
    <w:p>
      <w:pPr>
        <w:adjustRightInd w:val="0"/>
        <w:snapToGrid w:val="0"/>
        <w:spacing w:line="600" w:lineRule="exact"/>
        <w:ind w:firstLine="720"/>
        <w:rPr>
          <w:rFonts w:ascii="仿宋_GB2312" w:eastAsia="仿宋_GB2312" w:cs="Times New Roman" w:hint="eastAsia"/>
          <w:sz w:val="32"/>
          <w:szCs w:val="32"/>
          <w:lang w:val="zh-CN"/>
        </w:rPr>
      </w:pPr>
      <w:r>
        <w:rPr>
          <w:rFonts w:ascii="仿宋_GB2312" w:eastAsia="仿宋_GB2312" w:cs="Times New Roman" w:hint="eastAsia"/>
          <w:sz w:val="32"/>
          <w:szCs w:val="32"/>
          <w:lang w:val="zh-CN"/>
        </w:rPr>
        <w:t>3.项目监管情况。项目实施实施过程中，项目主管部门坚持制度管人、督促项目实施单位建立健全内部监督各项制度，最大限度地预防工程质量安全事故，项目资金损失浪费和违法违纪行为的发生。</w:t>
      </w:r>
    </w:p>
    <w:p>
      <w:pPr>
        <w:adjustRightInd w:val="0"/>
        <w:snapToGrid w:val="0"/>
        <w:spacing w:line="600" w:lineRule="exact"/>
        <w:ind w:firstLine="720"/>
        <w:rPr>
          <w:rFonts w:ascii="仿宋_GB2312" w:eastAsia="仿宋_GB2312" w:cs="Times New Roman"/>
          <w:sz w:val="32"/>
          <w:szCs w:val="32"/>
          <w:lang w:val="zh-CN"/>
        </w:rPr>
      </w:pPr>
      <w:r>
        <w:rPr>
          <w:rFonts w:ascii="黑体" w:eastAsia="黑体" w:cs="Times New Roman" w:hint="eastAsia"/>
          <w:sz w:val="32"/>
          <w:szCs w:val="32"/>
        </w:rPr>
        <w:t>四、项目绩效情况</w:t>
      </w:r>
      <w:r>
        <w:rPr>
          <w:rFonts w:ascii="仿宋_GB2312" w:eastAsia="仿宋_GB2312" w:cs="Times New Roman" w:hint="eastAsia"/>
          <w:sz w:val="32"/>
          <w:szCs w:val="32"/>
          <w:lang w:val="zh-CN"/>
        </w:rPr>
        <w:tab/>
      </w:r>
    </w:p>
    <w:p>
      <w:pPr>
        <w:adjustRightInd w:val="0"/>
        <w:snapToGrid w:val="0"/>
        <w:spacing w:line="600" w:lineRule="exact"/>
        <w:ind w:firstLine="720"/>
        <w:rPr>
          <w:rFonts w:ascii="仿宋_GB2312" w:eastAsia="仿宋_GB2312" w:cs="仿宋_GB2312" w:hint="eastAsia"/>
          <w:b w:val="0"/>
          <w:bCs/>
          <w:sz w:val="32"/>
          <w:szCs w:val="32"/>
          <w:lang w:val="zh-CN"/>
        </w:rPr>
      </w:pPr>
      <w:r>
        <w:rPr>
          <w:rFonts w:ascii="仿宋_GB2312" w:eastAsia="仿宋_GB2312" w:cs="仿宋_GB2312" w:hint="eastAsia"/>
          <w:b w:val="0"/>
          <w:bCs/>
          <w:sz w:val="32"/>
          <w:szCs w:val="32"/>
          <w:lang w:val="zh-CN"/>
        </w:rPr>
        <w:t>（一）项目完成情况</w:t>
      </w:r>
    </w:p>
    <w:p>
      <w:pPr>
        <w:adjustRightInd w:val="0"/>
        <w:snapToGrid w:val="0"/>
        <w:spacing w:line="600" w:lineRule="exact"/>
        <w:ind w:firstLine="720"/>
        <w:rPr>
          <w:rFonts w:ascii="仿宋_GB2312" w:eastAsia="仿宋_GB2312" w:cs="Times New Roman" w:hint="eastAsia"/>
          <w:sz w:val="32"/>
          <w:szCs w:val="32"/>
          <w:lang w:val="zh-CN"/>
        </w:rPr>
      </w:pPr>
      <w:r>
        <w:rPr>
          <w:rFonts w:ascii="仿宋_GB2312" w:eastAsia="仿宋_GB2312" w:cs="Times New Roman" w:hint="eastAsia"/>
          <w:sz w:val="32"/>
          <w:szCs w:val="32"/>
          <w:lang w:val="zh-CN"/>
        </w:rPr>
        <w:t>包202</w:t>
      </w:r>
      <w:r>
        <w:rPr>
          <w:rFonts w:ascii="仿宋_GB2312" w:eastAsia="仿宋_GB2312" w:cs="Times New Roman" w:hint="eastAsia"/>
          <w:sz w:val="32"/>
          <w:szCs w:val="32"/>
          <w:lang w:val="en-US" w:eastAsia="zh-CN"/>
        </w:rPr>
        <w:t>2</w:t>
      </w:r>
      <w:r>
        <w:rPr>
          <w:rFonts w:ascii="仿宋_GB2312" w:eastAsia="仿宋_GB2312" w:cs="Times New Roman" w:hint="eastAsia"/>
          <w:sz w:val="32"/>
          <w:szCs w:val="32"/>
          <w:lang w:val="zh-CN"/>
        </w:rPr>
        <w:t>年</w:t>
      </w:r>
      <w:r>
        <w:rPr>
          <w:rFonts w:ascii="仿宋_GB2312" w:eastAsia="仿宋_GB2312" w:cs="Times New Roman" w:hint="eastAsia"/>
          <w:sz w:val="32"/>
          <w:szCs w:val="32"/>
          <w:lang w:val="en-US" w:eastAsia="zh-CN"/>
        </w:rPr>
        <w:t>1</w:t>
      </w:r>
      <w:r>
        <w:rPr>
          <w:rFonts w:ascii="仿宋_GB2312" w:eastAsia="仿宋_GB2312" w:cs="Times New Roman" w:hint="eastAsia"/>
          <w:sz w:val="32"/>
          <w:szCs w:val="32"/>
          <w:lang w:val="zh-CN"/>
        </w:rPr>
        <w:t>月，围绕工作要求，专题研究讨论，拟定计划;202</w:t>
      </w:r>
      <w:r>
        <w:rPr>
          <w:rFonts w:ascii="仿宋_GB2312" w:eastAsia="仿宋_GB2312" w:cs="Times New Roman" w:hint="eastAsia"/>
          <w:sz w:val="32"/>
          <w:szCs w:val="32"/>
          <w:lang w:val="en-US" w:eastAsia="zh-CN"/>
        </w:rPr>
        <w:t>2</w:t>
      </w:r>
      <w:r>
        <w:rPr>
          <w:rFonts w:ascii="仿宋_GB2312" w:eastAsia="仿宋_GB2312" w:cs="Times New Roman" w:hint="eastAsia"/>
          <w:sz w:val="32"/>
          <w:szCs w:val="32"/>
          <w:lang w:val="zh-CN"/>
        </w:rPr>
        <w:t>年1-12月项目实施阶段。整个项目投入资金</w:t>
      </w:r>
      <w:r>
        <w:rPr>
          <w:rFonts w:ascii="仿宋_GB2312" w:eastAsia="仿宋_GB2312" w:cs="Times New Roman" w:hint="eastAsia"/>
          <w:sz w:val="32"/>
          <w:szCs w:val="32"/>
          <w:lang w:val="en-US" w:eastAsia="zh-CN"/>
        </w:rPr>
        <w:t>66.879</w:t>
      </w:r>
      <w:r>
        <w:rPr>
          <w:rFonts w:ascii="仿宋_GB2312" w:eastAsia="仿宋_GB2312" w:cs="Times New Roman" w:hint="eastAsia"/>
          <w:sz w:val="32"/>
          <w:szCs w:val="32"/>
          <w:lang w:val="zh-CN"/>
        </w:rPr>
        <w:t>万元。</w:t>
      </w:r>
    </w:p>
    <w:p>
      <w:pPr>
        <w:adjustRightInd w:val="0"/>
        <w:snapToGrid w:val="0"/>
        <w:spacing w:line="600" w:lineRule="exact"/>
        <w:ind w:firstLine="720"/>
        <w:rPr>
          <w:rFonts w:ascii="仿宋_GB2312" w:eastAsia="仿宋_GB2312" w:cs="仿宋_GB2312" w:hint="eastAsia"/>
          <w:b w:val="0"/>
          <w:bCs/>
          <w:sz w:val="32"/>
          <w:szCs w:val="32"/>
          <w:lang w:val="zh-CN"/>
        </w:rPr>
      </w:pPr>
      <w:r>
        <w:rPr>
          <w:rFonts w:ascii="仿宋_GB2312" w:eastAsia="仿宋_GB2312" w:cs="仿宋_GB2312" w:hint="eastAsia"/>
          <w:b w:val="0"/>
          <w:bCs/>
          <w:sz w:val="32"/>
          <w:szCs w:val="32"/>
          <w:lang w:val="zh-CN"/>
        </w:rPr>
        <w:t>（二）项目效益情况</w:t>
      </w:r>
    </w:p>
    <w:p>
      <w:pPr>
        <w:adjustRightInd w:val="0"/>
        <w:snapToGrid w:val="0"/>
        <w:spacing w:line="600" w:lineRule="exact"/>
        <w:ind w:firstLine="720"/>
        <w:rPr>
          <w:rFonts w:ascii="仿宋_GB2312" w:eastAsia="仿宋_GB2312" w:cs="Times New Roman" w:hint="eastAsia"/>
          <w:sz w:val="32"/>
          <w:szCs w:val="32"/>
          <w:lang w:val="zh-CN"/>
        </w:rPr>
      </w:pPr>
      <w:r>
        <w:rPr>
          <w:rFonts w:ascii="仿宋_GB2312" w:eastAsia="仿宋_GB2312" w:cs="Times New Roman" w:hint="eastAsia"/>
          <w:sz w:val="32"/>
          <w:szCs w:val="32"/>
          <w:lang w:val="zh-CN"/>
        </w:rPr>
        <w:t>涵盖了村内户外公益事业项目，着力解决村内急需、群众最急盼、受益最直接的突出问题。</w:t>
      </w:r>
    </w:p>
    <w:p>
      <w:pPr>
        <w:adjustRightInd w:val="0"/>
        <w:snapToGrid w:val="0"/>
        <w:spacing w:line="600" w:lineRule="exact"/>
        <w:ind w:firstLine="720"/>
        <w:rPr>
          <w:rFonts w:ascii="黑体" w:eastAsia="黑体" w:cs="Times New Roman"/>
          <w:sz w:val="32"/>
          <w:szCs w:val="32"/>
        </w:rPr>
      </w:pPr>
      <w:r>
        <w:rPr>
          <w:rFonts w:ascii="黑体" w:eastAsia="黑体" w:cs="Times New Roman" w:hint="eastAsia"/>
          <w:sz w:val="32"/>
          <w:szCs w:val="32"/>
        </w:rPr>
        <w:t>五、评价结论及建议</w:t>
      </w:r>
    </w:p>
    <w:p>
      <w:pPr>
        <w:adjustRightInd w:val="0"/>
        <w:snapToGrid w:val="0"/>
        <w:spacing w:line="600" w:lineRule="exact"/>
        <w:ind w:firstLine="720"/>
        <w:rPr>
          <w:rFonts w:ascii="仿宋_GB2312" w:eastAsia="仿宋_GB2312" w:cs="仿宋_GB2312" w:hint="eastAsia"/>
          <w:b w:val="0"/>
          <w:bCs/>
          <w:sz w:val="32"/>
          <w:szCs w:val="32"/>
          <w:lang w:val="zh-CN"/>
        </w:rPr>
      </w:pPr>
      <w:r>
        <w:rPr>
          <w:rFonts w:ascii="仿宋_GB2312" w:eastAsia="仿宋_GB2312" w:cs="仿宋_GB2312" w:hint="eastAsia"/>
          <w:b w:val="0"/>
          <w:bCs/>
          <w:sz w:val="32"/>
          <w:szCs w:val="32"/>
          <w:lang w:val="zh-CN"/>
        </w:rPr>
        <w:t>（一）评价结论</w:t>
      </w:r>
    </w:p>
    <w:p>
      <w:pPr>
        <w:adjustRightInd w:val="0"/>
        <w:snapToGrid w:val="0"/>
        <w:spacing w:line="600" w:lineRule="exact"/>
        <w:ind w:firstLineChars="300" w:firstLine="960"/>
        <w:rPr>
          <w:rFonts w:ascii="仿宋_GB2312" w:eastAsia="仿宋_GB2312" w:cs="Times New Roman"/>
          <w:b w:val="0"/>
          <w:bCs/>
          <w:sz w:val="32"/>
          <w:szCs w:val="32"/>
          <w:bdr w:val="single" w:sz="4" w:space="0" w:color="auto"/>
          <w:lang w:val="zh-CN"/>
        </w:rPr>
      </w:pPr>
      <w:r>
        <w:rPr>
          <w:rFonts w:ascii="仿宋_GB2312" w:eastAsia="仿宋_GB2312" w:cs="Times New Roman" w:hint="eastAsia"/>
          <w:b w:val="0"/>
          <w:bCs/>
          <w:sz w:val="32"/>
          <w:szCs w:val="32"/>
          <w:lang w:val="zh-CN"/>
        </w:rPr>
        <w:t>无。</w:t>
      </w:r>
    </w:p>
    <w:p>
      <w:pPr>
        <w:adjustRightInd w:val="0"/>
        <w:snapToGrid w:val="0"/>
        <w:spacing w:line="600" w:lineRule="exact"/>
        <w:ind w:firstLine="720"/>
        <w:rPr>
          <w:rFonts w:ascii="仿宋_GB2312" w:eastAsia="仿宋_GB2312" w:cs="仿宋_GB2312" w:hint="eastAsia"/>
          <w:b w:val="0"/>
          <w:bCs/>
          <w:sz w:val="32"/>
          <w:szCs w:val="32"/>
          <w:lang w:val="zh-CN"/>
        </w:rPr>
      </w:pPr>
      <w:r>
        <w:rPr>
          <w:rFonts w:ascii="仿宋_GB2312" w:eastAsia="仿宋_GB2312" w:cs="仿宋_GB2312" w:hint="eastAsia"/>
          <w:b w:val="0"/>
          <w:bCs/>
          <w:sz w:val="32"/>
          <w:szCs w:val="32"/>
          <w:lang w:val="zh-CN"/>
        </w:rPr>
        <w:t>（二）存在的问题</w:t>
      </w:r>
    </w:p>
    <w:p>
      <w:pPr>
        <w:adjustRightInd w:val="0"/>
        <w:snapToGrid w:val="0"/>
        <w:spacing w:line="600" w:lineRule="exact"/>
        <w:ind w:firstLineChars="300" w:firstLine="960"/>
        <w:rPr>
          <w:rFonts w:ascii="仿宋_GB2312" w:eastAsia="仿宋_GB2312" w:cs="Times New Roman"/>
          <w:b w:val="0"/>
          <w:bCs/>
          <w:sz w:val="32"/>
          <w:szCs w:val="32"/>
          <w:bdr w:val="single" w:sz="4" w:space="0" w:color="auto"/>
          <w:lang w:val="zh-CN"/>
        </w:rPr>
      </w:pPr>
      <w:r>
        <w:rPr>
          <w:rFonts w:ascii="仿宋_GB2312" w:eastAsia="仿宋_GB2312" w:cs="Times New Roman" w:hint="eastAsia"/>
          <w:b w:val="0"/>
          <w:bCs/>
          <w:sz w:val="32"/>
          <w:szCs w:val="32"/>
          <w:lang w:val="zh-CN"/>
        </w:rPr>
        <w:t>无。</w:t>
      </w:r>
    </w:p>
    <w:p>
      <w:pPr>
        <w:adjustRightInd w:val="0"/>
        <w:snapToGrid w:val="0"/>
        <w:spacing w:line="600" w:lineRule="exact"/>
        <w:ind w:firstLineChars="200" w:firstLine="640"/>
        <w:rPr>
          <w:rFonts w:ascii="仿宋_GB2312" w:eastAsia="仿宋_GB2312" w:cs="仿宋_GB2312" w:hint="eastAsia"/>
          <w:b w:val="0"/>
          <w:bCs/>
          <w:sz w:val="32"/>
          <w:szCs w:val="32"/>
          <w:lang w:val="zh-CN"/>
        </w:rPr>
      </w:pPr>
      <w:r>
        <w:rPr>
          <w:rFonts w:ascii="仿宋_GB2312" w:eastAsia="仿宋_GB2312" w:cs="仿宋_GB2312" w:hint="eastAsia"/>
          <w:b w:val="0"/>
          <w:bCs/>
          <w:sz w:val="32"/>
          <w:szCs w:val="32"/>
          <w:lang w:val="zh-CN"/>
        </w:rPr>
        <w:tab/>
        <w:t>（三）相关建议</w:t>
      </w:r>
    </w:p>
    <w:p>
      <w:pPr>
        <w:adjustRightInd w:val="0"/>
        <w:snapToGrid w:val="0"/>
        <w:spacing w:line="600" w:lineRule="exact"/>
        <w:ind w:firstLineChars="300" w:firstLine="960"/>
        <w:rPr>
          <w:rFonts w:ascii="仿宋_GB2312" w:eastAsia="仿宋_GB2312" w:cs="Times New Roman" w:hint="eastAsia"/>
          <w:b w:val="0"/>
          <w:bCs/>
          <w:sz w:val="32"/>
          <w:szCs w:val="32"/>
          <w:lang w:val="zh-CN"/>
        </w:rPr>
      </w:pPr>
      <w:r>
        <w:rPr>
          <w:rFonts w:ascii="仿宋_GB2312" w:eastAsia="仿宋_GB2312" w:cs="Times New Roman" w:hint="eastAsia"/>
          <w:b w:val="0"/>
          <w:bCs/>
          <w:sz w:val="32"/>
          <w:szCs w:val="32"/>
          <w:lang w:val="zh-CN"/>
        </w:rPr>
        <w:t>无。</w:t>
      </w:r>
    </w:p>
    <w:p>
      <w:pPr>
        <w:pStyle w:val="26"/>
        <w:rPr>
          <w:rFonts w:ascii="仿宋_GB2312" w:eastAsia="仿宋_GB2312" w:cs="Times New Roman" w:hint="eastAsia"/>
          <w:b w:val="0"/>
          <w:bCs/>
          <w:sz w:val="32"/>
          <w:szCs w:val="32"/>
          <w:lang w:val="zh-CN"/>
        </w:rPr>
      </w:pPr>
    </w:p>
    <w:p>
      <w:pPr>
        <w:rPr>
          <w:rFonts w:ascii="仿宋_GB2312" w:eastAsia="仿宋_GB2312" w:cs="Times New Roman" w:hint="eastAsia"/>
          <w:b w:val="0"/>
          <w:bCs/>
          <w:sz w:val="32"/>
          <w:szCs w:val="32"/>
          <w:lang w:val="zh-CN"/>
        </w:rPr>
      </w:pPr>
    </w:p>
    <w:p>
      <w:pPr>
        <w:pStyle w:val="16"/>
        <w:rPr>
          <w:rFonts w:ascii="仿宋_GB2312" w:eastAsia="仿宋_GB2312" w:cs="Times New Roman" w:hint="eastAsia"/>
          <w:b w:val="0"/>
          <w:bCs/>
          <w:sz w:val="32"/>
          <w:szCs w:val="32"/>
          <w:lang w:val="zh-CN"/>
        </w:rPr>
      </w:pPr>
    </w:p>
    <w:p>
      <w:pPr>
        <w:pStyle w:val="16"/>
        <w:rPr>
          <w:rFonts w:ascii="仿宋_GB2312" w:eastAsia="仿宋_GB2312" w:cs="Times New Roman" w:hint="eastAsia"/>
          <w:b w:val="0"/>
          <w:bCs/>
          <w:sz w:val="32"/>
          <w:szCs w:val="32"/>
          <w:lang w:val="zh-CN"/>
        </w:rPr>
      </w:pPr>
    </w:p>
    <w:p>
      <w:pPr>
        <w:pStyle w:val="26"/>
        <w:ind w:leftChars="0" w:left="0" w:firstLineChars="0" w:firstLine="0"/>
        <w:rPr>
          <w:lang w:val="zh-CN"/>
        </w:rPr>
      </w:pPr>
    </w:p>
    <w:tbl>
      <w:tblPr>
        <w:tblpPr w:leftFromText="180" w:rightFromText="180" w:vertAnchor="text" w:horzAnchor="page" w:tblpX="1421" w:tblpY="201"/>
        <w:tblOverlap w:val="never"/>
        <w:tblW w:w="5285"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016"/>
        <w:gridCol w:w="4763"/>
        <w:gridCol w:w="7755"/>
        <w:gridCol w:w="6440"/>
        <w:gridCol w:w="9309"/>
        <w:gridCol w:w="12342"/>
      </w:tblGrid>
      <w:tr>
        <w:trPr>
          <w:trHeight w:val="698"/>
        </w:trPr>
        <w:tc>
          <w:tcPr>
            <w:tcW w:w="5000" w:type="pct"/>
            <w:gridSpan w:val="6"/>
            <w:tcBorders>
              <w:top w:val="nil"/>
              <w:left w:val="nil"/>
              <w:bottom w:val="nil"/>
              <w:right w:val="nil"/>
            </w:tcBorders>
            <w:shd w:val="clear" w:color="auto" w:fill="auto"/>
            <w:noWrap/>
            <w:vAlign w:val="center"/>
          </w:tcPr>
          <w:p>
            <w:pPr>
              <w:widowControl/>
              <w:jc w:val="both"/>
              <w:textAlignment w:val="center"/>
              <w:rPr>
                <w:rFonts w:ascii="宋体" w:cs="宋体"/>
                <w:b w:val="0"/>
                <w:bCs/>
                <w:color w:val="000000"/>
                <w:sz w:val="32"/>
                <w:szCs w:val="32"/>
              </w:rPr>
            </w:pPr>
            <w:r>
              <w:rPr>
                <w:rFonts w:ascii="宋体" w:cs="宋体" w:hint="eastAsia"/>
                <w:b w:val="0"/>
                <w:bCs/>
                <w:color w:val="000000"/>
                <w:sz w:val="32"/>
                <w:szCs w:val="32"/>
              </w:rPr>
              <w:t>2022年</w:t>
            </w:r>
            <w:r>
              <w:rPr>
                <w:rFonts w:ascii="宋体" w:cs="宋体" w:hint="eastAsia"/>
                <w:b w:val="0"/>
                <w:bCs/>
                <w:color w:val="000000"/>
                <w:sz w:val="32"/>
                <w:szCs w:val="32"/>
                <w:lang w:eastAsia="zh-CN"/>
              </w:rPr>
              <w:t>基层组织活动和公共服务运行补助经费</w:t>
            </w:r>
            <w:r>
              <w:rPr>
                <w:rFonts w:ascii="宋体" w:cs="宋体" w:hint="eastAsia"/>
                <w:b w:val="0"/>
                <w:bCs/>
                <w:color w:val="000000"/>
                <w:sz w:val="32"/>
                <w:szCs w:val="32"/>
              </w:rPr>
              <w:t>绩效目标自评</w:t>
            </w:r>
          </w:p>
        </w:tc>
      </w:tr>
      <w:tr>
        <w:trPr>
          <w:trHeight w:val="369"/>
        </w:trPr>
        <w:tc>
          <w:tcPr>
            <w:tcW w:w="135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主管部门及代码</w:t>
            </w:r>
          </w:p>
        </w:tc>
        <w:tc>
          <w:tcPr>
            <w:tcW w:w="168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南新镇人民政府618101</w:t>
            </w:r>
          </w:p>
        </w:tc>
        <w:tc>
          <w:tcPr>
            <w:tcW w:w="8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实施单位</w:t>
            </w:r>
          </w:p>
        </w:tc>
        <w:tc>
          <w:tcPr>
            <w:tcW w:w="11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sz w:val="24"/>
                <w:lang w:eastAsia="zh-CN"/>
              </w:rPr>
            </w:pPr>
            <w:r>
              <w:rPr>
                <w:rFonts w:ascii="宋体" w:cs="宋体" w:hint="eastAsia"/>
                <w:color w:val="000000"/>
                <w:sz w:val="24"/>
                <w:lang w:eastAsia="zh-CN"/>
              </w:rPr>
              <w:t>南新镇</w:t>
            </w:r>
          </w:p>
        </w:tc>
      </w:tr>
      <w:tr>
        <w:trPr>
          <w:trHeight w:val="369"/>
        </w:trPr>
        <w:tc>
          <w:tcPr>
            <w:tcW w:w="135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项目预算</w:t>
              <w:br/>
              <w:t>执行情况</w:t>
              <w:br/>
              <w:t>（万元）</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预算数：</w:t>
            </w:r>
          </w:p>
        </w:tc>
        <w:tc>
          <w:tcPr>
            <w:tcW w:w="7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110</w:t>
            </w:r>
          </w:p>
        </w:tc>
        <w:tc>
          <w:tcPr>
            <w:tcW w:w="8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执行数：</w:t>
            </w:r>
          </w:p>
        </w:tc>
        <w:tc>
          <w:tcPr>
            <w:tcW w:w="11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66.879</w:t>
            </w:r>
          </w:p>
        </w:tc>
      </w:tr>
      <w:tr>
        <w:trPr>
          <w:trHeight w:val="727"/>
        </w:trPr>
        <w:tc>
          <w:tcPr>
            <w:tcW w:w="1353"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7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110</w:t>
            </w:r>
          </w:p>
        </w:tc>
        <w:tc>
          <w:tcPr>
            <w:tcW w:w="8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11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66.879</w:t>
            </w:r>
          </w:p>
        </w:tc>
      </w:tr>
      <w:tr>
        <w:trPr>
          <w:trHeight w:val="369"/>
        </w:trPr>
        <w:tc>
          <w:tcPr>
            <w:tcW w:w="1353"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7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11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p>
        </w:tc>
      </w:tr>
      <w:tr>
        <w:trPr>
          <w:trHeight w:val="369"/>
        </w:trPr>
        <w:tc>
          <w:tcPr>
            <w:tcW w:w="78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kern w:val="0"/>
                <w:sz w:val="24"/>
              </w:rPr>
            </w:pPr>
            <w:r>
              <w:rPr>
                <w:rFonts w:ascii="宋体" w:cs="宋体" w:hint="eastAsia"/>
                <w:color w:val="000000"/>
                <w:kern w:val="0"/>
                <w:sz w:val="24"/>
              </w:rPr>
              <w:t>年度总体目标</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完成情况</w:t>
            </w:r>
          </w:p>
        </w:tc>
        <w:tc>
          <w:tcPr>
            <w:tcW w:w="2249"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预期目标</w:t>
            </w:r>
          </w:p>
        </w:tc>
        <w:tc>
          <w:tcPr>
            <w:tcW w:w="19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目标实际完成情况</w:t>
            </w:r>
          </w:p>
        </w:tc>
      </w:tr>
      <w:tr>
        <w:trPr>
          <w:trHeight w:val="4061"/>
        </w:trPr>
        <w:tc>
          <w:tcPr>
            <w:tcW w:w="78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249" w:type="pct"/>
            <w:gridSpan w:val="3"/>
            <w:tcBorders>
              <w:top w:val="single" w:sz="4" w:space="0" w:color="000000"/>
              <w:left w:val="single" w:sz="4" w:space="0" w:color="000000"/>
              <w:bottom w:val="single" w:sz="4" w:space="0" w:color="000000"/>
              <w:right w:val="single" w:sz="4" w:space="0" w:color="000000"/>
            </w:tcBorders>
            <w:shd w:val="clear" w:color="auto" w:fill="auto"/>
            <w:noWrap/>
          </w:tcPr>
          <w:p>
            <w:pPr>
              <w:adjustRightInd w:val="0"/>
              <w:snapToGrid w:val="0"/>
              <w:spacing w:line="560" w:lineRule="exact"/>
              <w:ind w:firstLineChars="325" w:firstLine="683"/>
              <w:rPr>
                <w:rFonts w:ascii="仿宋_GB2312" w:cs="楷体" w:hAnsi="仿宋_GB2312"/>
                <w:bCs/>
              </w:rPr>
            </w:pPr>
            <w:r>
              <w:rPr>
                <w:rFonts w:ascii="仿宋_GB2312" w:cs="楷体" w:hAnsi="仿宋_GB2312" w:hint="eastAsia"/>
                <w:bCs/>
                <w:lang w:eastAsia="zh-CN"/>
              </w:rPr>
              <w:t>资金用于各村</w:t>
            </w:r>
            <w:r>
              <w:rPr>
                <w:rFonts w:ascii="仿宋_GB2312" w:cs="楷体" w:hAnsi="仿宋_GB2312" w:hint="eastAsia"/>
                <w:bCs/>
              </w:rPr>
              <w:t>农村基础设施和环境类项目的运行维护</w:t>
            </w:r>
            <w:r>
              <w:rPr>
                <w:rFonts w:ascii="仿宋_GB2312" w:cs="楷体" w:hAnsi="仿宋_GB2312" w:hint="eastAsia"/>
                <w:bCs/>
                <w:lang w:eastAsia="zh-CN"/>
              </w:rPr>
              <w:t>、</w:t>
            </w:r>
            <w:r>
              <w:rPr>
                <w:rFonts w:ascii="仿宋_GB2312" w:cs="楷体" w:hAnsi="仿宋_GB2312" w:hint="eastAsia"/>
                <w:bCs/>
              </w:rPr>
              <w:t>农业生产服务类项目的运行维护</w:t>
            </w:r>
            <w:r>
              <w:rPr>
                <w:rFonts w:ascii="仿宋_GB2312" w:cs="楷体" w:hAnsi="仿宋_GB2312" w:hint="eastAsia"/>
                <w:bCs/>
                <w:lang w:eastAsia="zh-CN"/>
              </w:rPr>
              <w:t>、</w:t>
            </w:r>
            <w:r>
              <w:rPr>
                <w:rFonts w:ascii="仿宋_GB2312" w:cs="楷体" w:hAnsi="仿宋_GB2312" w:hint="eastAsia"/>
                <w:bCs/>
              </w:rPr>
              <w:t>农村生活服务类项目的运行维护</w:t>
            </w:r>
            <w:r>
              <w:rPr>
                <w:rFonts w:ascii="仿宋_GB2312" w:cs="楷体" w:hAnsi="仿宋_GB2312" w:hint="eastAsia"/>
                <w:bCs/>
                <w:lang w:eastAsia="zh-CN"/>
              </w:rPr>
              <w:t>、</w:t>
            </w:r>
            <w:r>
              <w:rPr>
                <w:rFonts w:ascii="仿宋_GB2312" w:cs="楷体" w:hAnsi="仿宋_GB2312" w:hint="eastAsia"/>
                <w:bCs/>
              </w:rPr>
              <w:t>农村社会管理类项目的运行维护</w:t>
            </w:r>
            <w:r>
              <w:rPr>
                <w:rFonts w:ascii="仿宋_GB2312" w:cs="楷体" w:hAnsi="仿宋_GB2312" w:hint="eastAsia"/>
                <w:bCs/>
                <w:lang w:eastAsia="zh-CN"/>
              </w:rPr>
              <w:t>、</w:t>
            </w:r>
            <w:r>
              <w:rPr>
                <w:rFonts w:ascii="仿宋_GB2312" w:cs="楷体" w:hAnsi="仿宋_GB2312" w:hint="eastAsia"/>
                <w:bCs/>
              </w:rPr>
              <w:t>村基层组织活动</w:t>
            </w:r>
            <w:r>
              <w:rPr>
                <w:rFonts w:ascii="仿宋_GB2312" w:cs="楷体" w:hAnsi="仿宋_GB2312" w:hint="eastAsia"/>
                <w:bCs/>
                <w:lang w:eastAsia="zh-CN"/>
              </w:rPr>
              <w:t>、</w:t>
            </w:r>
            <w:r>
              <w:rPr>
                <w:rFonts w:ascii="仿宋_GB2312" w:cs="楷体" w:hAnsi="仿宋_GB2312" w:hint="eastAsia"/>
                <w:bCs/>
              </w:rPr>
              <w:t>村日常办公运转</w:t>
            </w:r>
            <w:r>
              <w:rPr>
                <w:rFonts w:ascii="仿宋_GB2312" w:cs="楷体" w:hAnsi="仿宋_GB2312" w:hint="eastAsia"/>
                <w:bCs/>
                <w:lang w:eastAsia="zh-CN"/>
              </w:rPr>
              <w:t>等</w:t>
            </w:r>
            <w:r>
              <w:rPr>
                <w:rFonts w:ascii="仿宋_GB2312" w:cs="楷体" w:hAnsi="仿宋_GB2312" w:hint="eastAsia"/>
                <w:bCs/>
              </w:rPr>
              <w:t>。</w:t>
            </w:r>
          </w:p>
          <w:p>
            <w:pPr>
              <w:widowControl/>
              <w:spacing w:line="320" w:lineRule="exact"/>
              <w:jc w:val="left"/>
              <w:textAlignment w:val="top"/>
              <w:rPr>
                <w:rFonts w:ascii="宋体" w:cs="宋体"/>
                <w:color w:val="000000"/>
                <w:sz w:val="24"/>
              </w:rPr>
            </w:pPr>
          </w:p>
        </w:tc>
        <w:tc>
          <w:tcPr>
            <w:tcW w:w="1961" w:type="pct"/>
            <w:gridSpan w:val="2"/>
            <w:tcBorders>
              <w:top w:val="single" w:sz="4" w:space="0" w:color="000000"/>
              <w:left w:val="single" w:sz="4" w:space="0" w:color="000000"/>
              <w:bottom w:val="single" w:sz="4" w:space="0" w:color="000000"/>
              <w:right w:val="single" w:sz="4" w:space="0" w:color="000000"/>
            </w:tcBorders>
            <w:shd w:val="clear" w:color="auto" w:fill="auto"/>
            <w:noWrap/>
          </w:tcPr>
          <w:p>
            <w:pPr>
              <w:spacing w:line="560" w:lineRule="exact"/>
              <w:ind w:firstLine="645"/>
              <w:rPr>
                <w:rFonts w:ascii="仿宋_GB2312" w:hAnsi="仿宋_GB2312"/>
              </w:rPr>
            </w:pPr>
            <w:r>
              <w:rPr>
                <w:rFonts w:ascii="仿宋_GB2312" w:hAnsi="仿宋_GB2312" w:hint="eastAsia"/>
                <w:lang w:val="zh-CN"/>
              </w:rPr>
              <w:t>项目管理做到了管理规范，操作阳光透明，运行有序高效，态度优质，群众满意度高。在项目管理上，通过逐步规范申报审批支付程序，确保了资金高效运转。在资金管理上，严格按照财务制度，确保了资金及时到位和使用。</w:t>
            </w:r>
          </w:p>
          <w:p>
            <w:pPr>
              <w:widowControl/>
              <w:spacing w:line="320" w:lineRule="exact"/>
              <w:jc w:val="left"/>
              <w:textAlignment w:val="top"/>
              <w:rPr>
                <w:rFonts w:ascii="宋体" w:cs="宋体"/>
                <w:color w:val="000000"/>
                <w:sz w:val="24"/>
              </w:rPr>
            </w:pPr>
          </w:p>
        </w:tc>
      </w:tr>
      <w:tr>
        <w:trPr>
          <w:trHeight w:val="727"/>
        </w:trPr>
        <w:tc>
          <w:tcPr>
            <w:tcW w:w="788" w:type="pct"/>
            <w:vMerge w:val="restart"/>
            <w:tcBorders>
              <w:top w:val="single" w:sz="4" w:space="0" w:color="000000"/>
              <w:left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年度绩效指标完成情况</w:t>
            </w:r>
          </w:p>
        </w:tc>
        <w:tc>
          <w:tcPr>
            <w:tcW w:w="565" w:type="pct"/>
            <w:tcBorders>
              <w:top w:val="single" w:sz="4" w:space="0" w:color="000000"/>
              <w:left w:val="nil"/>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一级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二级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三级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8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预期指标值</w:t>
            </w:r>
          </w:p>
        </w:tc>
        <w:tc>
          <w:tcPr>
            <w:tcW w:w="11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实际完成指标值</w:t>
            </w:r>
          </w:p>
        </w:tc>
      </w:tr>
      <w:tr>
        <w:trPr>
          <w:trHeight w:val="369"/>
        </w:trPr>
        <w:tc>
          <w:tcPr>
            <w:tcW w:w="788"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right w:val="single" w:sz="4" w:space="0" w:color="000000"/>
            </w:tcBorders>
            <w:shd w:val="clear" w:color="auto" w:fill="auto"/>
            <w:noWrap/>
            <w:vAlign w:val="bottom"/>
          </w:tcPr>
          <w:p>
            <w:pPr>
              <w:spacing w:line="320" w:lineRule="exact"/>
              <w:jc w:val="center"/>
              <w:rPr>
                <w:rFonts w:ascii="仿宋_GB2312" w:cs="仿宋_GB2312" w:hAnsi="仿宋_GB2312"/>
                <w:color w:val="000000"/>
                <w:sz w:val="28"/>
                <w:szCs w:val="28"/>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质量指标</w:t>
            </w:r>
          </w:p>
        </w:tc>
        <w:tc>
          <w:tcPr>
            <w:tcW w:w="76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完成质量</w:t>
            </w:r>
          </w:p>
        </w:tc>
        <w:tc>
          <w:tcPr>
            <w:tcW w:w="84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高中低</w:t>
            </w:r>
          </w:p>
        </w:tc>
        <w:tc>
          <w:tcPr>
            <w:tcW w:w="111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w:t>
            </w:r>
          </w:p>
        </w:tc>
      </w:tr>
      <w:tr>
        <w:trPr>
          <w:trHeight w:val="369"/>
        </w:trPr>
        <w:tc>
          <w:tcPr>
            <w:tcW w:w="788"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时效指标</w:t>
            </w:r>
          </w:p>
        </w:tc>
        <w:tc>
          <w:tcPr>
            <w:tcW w:w="76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完成时间</w:t>
            </w:r>
          </w:p>
        </w:tc>
        <w:tc>
          <w:tcPr>
            <w:tcW w:w="84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val="en-US" w:eastAsia="zh-CN"/>
              </w:rPr>
            </w:pPr>
            <w:r>
              <w:rPr>
                <w:rFonts w:ascii="仿宋_GB2312" w:cs="仿宋_GB2312" w:hAnsi="仿宋_GB2312" w:hint="eastAsia"/>
                <w:color w:val="000000"/>
                <w:sz w:val="28"/>
                <w:szCs w:val="28"/>
                <w:lang w:val="en-US" w:eastAsia="zh-CN"/>
              </w:rPr>
              <w:t>1年</w:t>
            </w:r>
          </w:p>
        </w:tc>
        <w:tc>
          <w:tcPr>
            <w:tcW w:w="111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w:t>
            </w:r>
          </w:p>
        </w:tc>
      </w:tr>
      <w:tr>
        <w:trPr>
          <w:trHeight w:val="727"/>
        </w:trPr>
        <w:tc>
          <w:tcPr>
            <w:tcW w:w="788"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效益</w:t>
              <w:br/>
              <w:t>指标</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经济效益  指标</w:t>
            </w:r>
          </w:p>
        </w:tc>
        <w:tc>
          <w:tcPr>
            <w:tcW w:w="76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eastAsia="zh-CN"/>
              </w:rPr>
              <w:t>预算资金</w:t>
            </w:r>
          </w:p>
        </w:tc>
        <w:tc>
          <w:tcPr>
            <w:tcW w:w="84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lang w:val="en-US"/>
              </w:rPr>
            </w:pPr>
            <w:r>
              <w:rPr>
                <w:rFonts w:ascii="仿宋_GB2312" w:cs="仿宋_GB2312" w:hAnsi="仿宋_GB2312" w:hint="eastAsia"/>
                <w:color w:val="000000"/>
                <w:sz w:val="28"/>
                <w:szCs w:val="28"/>
                <w:lang w:val="en-US" w:eastAsia="zh-CN"/>
              </w:rPr>
              <w:t>110</w:t>
            </w:r>
          </w:p>
        </w:tc>
        <w:tc>
          <w:tcPr>
            <w:tcW w:w="111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kern w:val="2"/>
                <w:sz w:val="28"/>
                <w:szCs w:val="28"/>
                <w:lang w:val="en-US" w:eastAsia="zh-CN" w:bidi="ar-SA"/>
              </w:rPr>
            </w:pPr>
            <w:r>
              <w:rPr>
                <w:rFonts w:ascii="仿宋_GB2312" w:cs="仿宋_GB2312" w:hAnsi="仿宋_GB2312" w:hint="eastAsia"/>
                <w:color w:val="000000"/>
                <w:sz w:val="28"/>
                <w:szCs w:val="28"/>
                <w:lang w:val="en-US" w:eastAsia="zh-CN"/>
              </w:rPr>
              <w:t>60%</w:t>
            </w:r>
          </w:p>
        </w:tc>
      </w:tr>
      <w:tr>
        <w:trPr>
          <w:trHeight w:val="727"/>
        </w:trPr>
        <w:tc>
          <w:tcPr>
            <w:tcW w:w="788"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可持续影响 指标</w:t>
            </w:r>
          </w:p>
        </w:tc>
        <w:tc>
          <w:tcPr>
            <w:tcW w:w="76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可持续性</w:t>
            </w:r>
          </w:p>
        </w:tc>
        <w:tc>
          <w:tcPr>
            <w:tcW w:w="84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111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val="en-US" w:eastAsia="zh-CN"/>
              </w:rPr>
              <w:t>90%</w:t>
            </w:r>
          </w:p>
        </w:tc>
      </w:tr>
      <w:tr>
        <w:trPr>
          <w:trHeight w:val="1097"/>
        </w:trPr>
        <w:tc>
          <w:tcPr>
            <w:tcW w:w="788" w:type="pct"/>
            <w:vMerge/>
            <w:tcBorders>
              <w:left w:val="single" w:sz="4" w:space="0" w:color="000000"/>
              <w:bottom w:val="single" w:sz="4" w:space="0" w:color="000000"/>
              <w:right w:val="single" w:sz="4" w:space="0" w:color="000000"/>
            </w:tcBorders>
            <w:shd w:val="clear" w:color="auto" w:fill="auto"/>
            <w:noWrap/>
            <w:vAlign w:val="center"/>
          </w:tc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满意</w:t>
              <w:br/>
              <w:t>度指标</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满意度</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满意度</w:t>
            </w:r>
          </w:p>
        </w:tc>
        <w:tc>
          <w:tcPr>
            <w:tcW w:w="84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111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仿宋_GB2312" w:cs="仿宋_GB2312" w:hAnsi="仿宋_GB2312" w:hint="eastAsia"/>
                <w:color w:val="000000"/>
                <w:sz w:val="28"/>
                <w:szCs w:val="28"/>
                <w:lang w:val="en-US" w:eastAsia="zh-CN"/>
              </w:rPr>
              <w:t>90%</w:t>
            </w:r>
          </w:p>
        </w:tc>
      </w:tr>
    </w:tbl>
    <w:tbl>
      <w:tblPr>
        <w:tblpPr w:leftFromText="180" w:rightFromText="180" w:vertAnchor="text" w:horzAnchor="page" w:tblpX="1256" w:tblpY="221"/>
        <w:tblOverlap w:val="never"/>
        <w:tblW w:w="5285"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016"/>
        <w:gridCol w:w="8364"/>
        <w:gridCol w:w="13668"/>
        <w:gridCol w:w="11304"/>
        <w:gridCol w:w="19069"/>
        <w:gridCol w:w="21947"/>
      </w:tblGrid>
      <w:tr>
        <w:trPr>
          <w:trHeight w:val="731"/>
        </w:trPr>
        <w:tc>
          <w:tcPr>
            <w:tcW w:w="4875" w:type="pct"/>
            <w:gridSpan w:val="6"/>
            <w:tcBorders>
              <w:top w:val="nil"/>
              <w:left w:val="nil"/>
              <w:bottom w:val="nil"/>
              <w:right w:val="nil"/>
            </w:tcBorders>
            <w:shd w:val="clear" w:color="auto" w:fill="auto"/>
            <w:noWrap/>
            <w:vAlign w:val="center"/>
          </w:tcPr>
          <w:p>
            <w:pPr>
              <w:widowControl/>
              <w:jc w:val="center"/>
              <w:textAlignment w:val="center"/>
              <w:rPr>
                <w:rFonts w:hint="eastAsia"/>
              </w:rPr>
            </w:pPr>
          </w:p>
          <w:p>
            <w:pPr>
              <w:widowControl/>
              <w:jc w:val="center"/>
              <w:textAlignment w:val="center"/>
              <w:rPr>
                <w:rFonts w:hint="eastAsia"/>
              </w:rPr>
            </w:pPr>
          </w:p>
          <w:p>
            <w:pPr>
              <w:widowControl/>
              <w:jc w:val="center"/>
              <w:textAlignment w:val="center"/>
              <w:rPr>
                <w:rFonts w:hint="eastAsia"/>
              </w:rPr>
            </w:pPr>
          </w:p>
          <w:p>
            <w:pPr>
              <w:widowControl/>
              <w:jc w:val="center"/>
              <w:textAlignment w:val="center"/>
              <w:rPr>
                <w:rFonts w:hint="eastAsia"/>
              </w:rPr>
            </w:pPr>
          </w:p>
          <w:p>
            <w:pPr>
              <w:widowControl/>
              <w:jc w:val="center"/>
              <w:textAlignment w:val="center"/>
              <w:rPr>
                <w:rFonts w:hint="eastAsia"/>
              </w:rPr>
            </w:pPr>
          </w:p>
          <w:p>
            <w:pPr>
              <w:pStyle w:val="16"/>
              <w:rPr>
                <w:rFonts w:hint="eastAsia"/>
              </w:rPr>
            </w:pPr>
          </w:p>
          <w:p>
            <w:pPr>
              <w:pStyle w:val="16"/>
              <w:rPr>
                <w:rFonts w:hint="eastAsia"/>
              </w:rPr>
            </w:pPr>
          </w:p>
          <w:p>
            <w:pPr>
              <w:widowControl/>
              <w:jc w:val="center"/>
              <w:textAlignment w:val="center"/>
            </w:pPr>
            <w:r>
              <w:rPr>
                <w:rFonts w:ascii="宋体" w:eastAsia="宋体" w:cs="宋体" w:hint="eastAsia"/>
                <w:b w:val="0"/>
                <w:bCs/>
                <w:color w:val="000000"/>
                <w:sz w:val="32"/>
                <w:szCs w:val="32"/>
                <w:lang w:eastAsia="zh-CN"/>
              </w:rPr>
              <w:t>2022年居家养老项目绩效目标自评</w:t>
            </w:r>
          </w:p>
        </w:tc>
      </w:tr>
      <w:tr>
        <w:trPr>
          <w:trHeight w:val="657"/>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主管部门及代码</w:t>
            </w:r>
          </w:p>
        </w:tc>
        <w:tc>
          <w:tcPr>
            <w:tcW w:w="169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南新镇人民政府618101</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实施单位</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sz w:val="24"/>
                <w:lang w:eastAsia="zh-CN"/>
              </w:rPr>
            </w:pPr>
            <w:r>
              <w:rPr>
                <w:rFonts w:ascii="宋体" w:cs="宋体" w:hint="eastAsia"/>
                <w:color w:val="000000"/>
                <w:sz w:val="24"/>
                <w:lang w:eastAsia="zh-CN"/>
              </w:rPr>
              <w:t>南新镇</w:t>
            </w:r>
          </w:p>
        </w:tc>
      </w:tr>
      <w:tr>
        <w:trPr>
          <w:trHeight w:val="776"/>
        </w:trPr>
        <w:tc>
          <w:tcPr>
            <w:tcW w:w="136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项目预算</w:t>
            </w:r>
          </w:p>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执行情况</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（万元）</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预算数：</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6.33</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执行数：</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right"/>
              <w:textAlignment w:val="center"/>
              <w:rPr>
                <w:rFonts w:ascii="宋体" w:eastAsia="宋体" w:cs="宋体"/>
                <w:color w:val="000000"/>
                <w:sz w:val="24"/>
                <w:lang w:val="en-US" w:eastAsia="zh-CN"/>
              </w:rPr>
            </w:pPr>
            <w:r>
              <w:rPr>
                <w:rFonts w:ascii="宋体" w:cs="宋体" w:hint="eastAsia"/>
                <w:color w:val="000000"/>
                <w:sz w:val="24"/>
                <w:lang w:val="en-US" w:eastAsia="zh-CN"/>
              </w:rPr>
              <w:t>6.33</w:t>
            </w:r>
          </w:p>
        </w:tc>
      </w:tr>
      <w:tr>
        <w:trPr>
          <w:trHeight w:val="740"/>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6.33</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ind w:firstLineChars="400" w:firstLine="960"/>
              <w:textAlignment w:val="center"/>
              <w:rPr>
                <w:rFonts w:ascii="宋体" w:eastAsia="宋体" w:cs="宋体"/>
                <w:color w:val="000000"/>
                <w:sz w:val="24"/>
                <w:lang w:val="en-US" w:eastAsia="zh-CN"/>
              </w:rPr>
            </w:pPr>
            <w:r>
              <w:rPr>
                <w:rFonts w:ascii="宋体" w:cs="宋体" w:hint="eastAsia"/>
                <w:color w:val="000000"/>
                <w:sz w:val="24"/>
                <w:lang w:val="en-US" w:eastAsia="zh-CN"/>
              </w:rPr>
              <w:t>6.33</w:t>
            </w:r>
          </w:p>
        </w:tc>
      </w:tr>
      <w:tr>
        <w:trPr>
          <w:trHeight w:val="376"/>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p>
        </w:tc>
      </w:tr>
      <w:tr>
        <w:trPr>
          <w:trHeight w:val="417"/>
        </w:trPr>
        <w:tc>
          <w:tcPr>
            <w:tcW w:w="79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kern w:val="0"/>
                <w:sz w:val="24"/>
              </w:rPr>
            </w:pPr>
            <w:r>
              <w:rPr>
                <w:rFonts w:ascii="宋体" w:cs="宋体" w:hint="eastAsia"/>
                <w:color w:val="000000"/>
                <w:kern w:val="0"/>
                <w:sz w:val="24"/>
              </w:rPr>
              <w:t>年度总体目标</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完成情况</w:t>
            </w: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预期目标</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目标实际完成情况</w:t>
            </w:r>
          </w:p>
        </w:tc>
      </w:tr>
      <w:tr>
        <w:trPr>
          <w:trHeight w:val="4490"/>
        </w:trPr>
        <w:tc>
          <w:tcPr>
            <w:tcW w:w="7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lang w:val="zh-CN"/>
              </w:rPr>
            </w:pPr>
            <w:r>
              <w:rPr>
                <w:rFonts w:ascii="宋体" w:eastAsia="宋体" w:cs="宋体" w:hint="eastAsia"/>
                <w:color w:val="000000"/>
                <w:kern w:val="0"/>
                <w:sz w:val="24"/>
                <w:lang w:val="en-US" w:eastAsia="zh-CN"/>
              </w:rPr>
              <w:t>通过政府购买服务的方式，激发民间社会组织参与农村建设及农村服务的活力；通过政府+社工+志愿者的模式开展居家养老服务，提供居家照顾、义诊、义剪、精神慰藉等服务；用整合资源的方式，开展主题活动，提供老人相互交流平台，建构支持网络，促进老人居家生活质量，使老年人更幸福，社会更加和谐。</w:t>
            </w:r>
          </w:p>
          <w:p>
            <w:pPr>
              <w:widowControl/>
              <w:spacing w:line="320" w:lineRule="exact"/>
              <w:jc w:val="left"/>
              <w:textAlignment w:val="top"/>
              <w:rPr>
                <w:rFonts w:ascii="宋体" w:cs="宋体"/>
                <w:color w:val="000000"/>
                <w:sz w:val="24"/>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lang w:val="en-US" w:eastAsia="zh-CN"/>
              </w:rPr>
            </w:pPr>
            <w:r>
              <w:rPr>
                <w:rFonts w:ascii="宋体" w:eastAsia="宋体" w:cs="宋体" w:hint="eastAsia"/>
                <w:color w:val="000000"/>
                <w:kern w:val="0"/>
                <w:sz w:val="24"/>
                <w:lang w:val="en-US" w:eastAsia="zh-CN"/>
              </w:rPr>
              <w:t>建立并更新了211位老人个人服务档案，为当地党委政府在开展后续老人服务时提供了数据支持；链接和整合资源，通过“党员社工+志愿者+村医”多方联动的服务模式，充分发挥了党员社工模范先锋作用，积极调动志愿者的积极性，进一步发挥基层村干部、村医、在城乡老人居家养老服务中的积极促进作用。开展不同类型的志愿服务活动，让老人及家人感受到政府以及社会的关怀；</w:t>
            </w:r>
          </w:p>
          <w:p>
            <w:pPr>
              <w:widowControl/>
              <w:spacing w:line="320" w:lineRule="exact"/>
              <w:jc w:val="left"/>
              <w:textAlignment w:val="top"/>
              <w:rPr>
                <w:rFonts w:ascii="宋体" w:cs="宋体"/>
                <w:color w:val="000000"/>
                <w:sz w:val="24"/>
              </w:rPr>
            </w:pPr>
          </w:p>
        </w:tc>
      </w:tr>
      <w:tr>
        <w:trPr>
          <w:trHeight w:val="946"/>
        </w:trPr>
        <w:tc>
          <w:tcPr>
            <w:tcW w:w="795" w:type="pct"/>
            <w:vMerge w:val="restart"/>
            <w:tcBorders>
              <w:top w:val="single" w:sz="4" w:space="0" w:color="000000"/>
              <w:left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年度绩效指标完成情况</w:t>
            </w:r>
          </w:p>
        </w:tc>
        <w:tc>
          <w:tcPr>
            <w:tcW w:w="565" w:type="pct"/>
            <w:tcBorders>
              <w:top w:val="single" w:sz="4" w:space="0" w:color="000000"/>
              <w:left w:val="nil"/>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一级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二级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三级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预期指标值</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实际完成指标值</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right w:val="single" w:sz="4" w:space="0" w:color="000000"/>
            </w:tcBorders>
            <w:shd w:val="clear" w:color="auto" w:fill="auto"/>
            <w:noWrap/>
            <w:vAlign w:val="bottom"/>
          </w:tcPr>
          <w:p>
            <w:pPr>
              <w:spacing w:line="320" w:lineRule="exact"/>
              <w:jc w:val="center"/>
              <w:rPr>
                <w:rFonts w:ascii="仿宋_GB2312" w:cs="仿宋_GB2312" w:hAnsi="仿宋_GB2312"/>
                <w:color w:val="000000"/>
                <w:sz w:val="28"/>
                <w:szCs w:val="28"/>
              </w:rPr>
            </w:p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质量指标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完成质量</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高中低</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时效指标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完成时间</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val="en-US" w:eastAsia="zh-CN"/>
              </w:rPr>
            </w:pPr>
            <w:r>
              <w:rPr>
                <w:rFonts w:ascii="仿宋_GB2312" w:cs="仿宋_GB2312" w:hAnsi="仿宋_GB2312" w:hint="eastAsia"/>
                <w:color w:val="000000"/>
                <w:sz w:val="28"/>
                <w:szCs w:val="28"/>
                <w:lang w:val="en-US" w:eastAsia="zh-CN"/>
              </w:rPr>
              <w:t>1年</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效益</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经济效益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eastAsia="zh-CN"/>
              </w:rPr>
              <w:t>预算资金</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lang w:val="en-US"/>
              </w:rPr>
            </w:pPr>
            <w:r>
              <w:rPr>
                <w:rFonts w:ascii="仿宋_GB2312" w:cs="仿宋_GB2312" w:hAnsi="仿宋_GB2312" w:hint="eastAsia"/>
                <w:color w:val="000000"/>
                <w:sz w:val="28"/>
                <w:szCs w:val="28"/>
                <w:lang w:val="en-US" w:eastAsia="zh-CN"/>
              </w:rPr>
              <w:t>6.33</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kern w:val="2"/>
                <w:sz w:val="28"/>
                <w:szCs w:val="28"/>
                <w:lang w:val="en-US" w:eastAsia="zh-CN" w:bidi="ar-SA"/>
              </w:rPr>
            </w:pPr>
            <w:r>
              <w:rPr>
                <w:rFonts w:ascii="仿宋_GB2312" w:cs="仿宋_GB2312" w:hAnsi="仿宋_GB2312" w:hint="eastAsia"/>
                <w:color w:val="000000"/>
                <w:sz w:val="28"/>
                <w:szCs w:val="28"/>
                <w:lang w:val="en-US" w:eastAsia="zh-CN"/>
              </w:rPr>
              <w:t>100%</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可持续影响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可持续性</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val="en-US" w:eastAsia="zh-CN"/>
              </w:rPr>
              <w:t>90%</w:t>
            </w:r>
          </w:p>
        </w:tc>
      </w:tr>
      <w:tr>
        <w:trPr>
          <w:trHeight w:val="835"/>
        </w:trPr>
        <w:tc>
          <w:tcPr>
            <w:tcW w:w="795" w:type="pct"/>
            <w:vMerge/>
            <w:tcBorders>
              <w:left w:val="single" w:sz="4" w:space="0" w:color="000000"/>
              <w:bottom w:val="single" w:sz="4" w:space="0" w:color="000000"/>
              <w:right w:val="single" w:sz="4" w:space="0" w:color="000000"/>
            </w:tcBorders>
            <w:shd w:val="clear" w:color="auto" w:fill="auto"/>
            <w:noWrap/>
            <w:vAlign w:val="center"/>
          </w:tc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满意</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度指标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满意度</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满意度</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仿宋_GB2312" w:cs="仿宋_GB2312" w:hAnsi="仿宋_GB2312" w:hint="eastAsia"/>
                <w:color w:val="000000"/>
                <w:sz w:val="28"/>
                <w:szCs w:val="28"/>
                <w:lang w:val="en-US" w:eastAsia="zh-CN"/>
              </w:rPr>
              <w:t>90%</w:t>
            </w:r>
          </w:p>
        </w:tc>
      </w:tr>
    </w:tbl>
    <w:p>
      <w:pPr>
        <w:pStyle w:val="16"/>
        <w:ind w:leftChars="0" w:left="0" w:firstLineChars="0" w:firstLine="0"/>
        <w:rPr>
          <w:rFonts w:eastAsia="宋体" w:hint="eastAsia"/>
          <w:lang w:eastAsia="zh-CN"/>
        </w:rPr>
      </w:pPr>
    </w:p>
    <w:tbl>
      <w:tblPr>
        <w:tblpPr w:leftFromText="180" w:rightFromText="180" w:vertAnchor="text" w:horzAnchor="page" w:tblpX="1256" w:tblpY="221"/>
        <w:tblOverlap w:val="never"/>
        <w:tblW w:w="5244"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016"/>
        <w:gridCol w:w="3426"/>
        <w:gridCol w:w="5599"/>
        <w:gridCol w:w="4631"/>
        <w:gridCol w:w="5903"/>
        <w:gridCol w:w="6793"/>
      </w:tblGrid>
      <w:tr>
        <w:trPr>
          <w:trHeight w:val="1288"/>
        </w:trPr>
        <w:tc>
          <w:tcPr>
            <w:tcW w:w="4875" w:type="pct"/>
            <w:gridSpan w:val="6"/>
            <w:tcBorders>
              <w:top w:val="nil"/>
              <w:left w:val="nil"/>
              <w:bottom w:val="nil"/>
              <w:right w:val="nil"/>
            </w:tcBorders>
            <w:shd w:val="clear" w:color="auto" w:fill="auto"/>
            <w:noWrap/>
            <w:vAlign w:val="center"/>
          </w:tcPr>
          <w:p>
            <w:pPr>
              <w:widowControl/>
              <w:jc w:val="center"/>
              <w:textAlignment w:val="center"/>
              <w:rPr>
                <w:rFonts w:ascii="宋体" w:cs="宋体"/>
                <w:b/>
                <w:color w:val="000000"/>
                <w:sz w:val="32"/>
                <w:szCs w:val="32"/>
              </w:rPr>
            </w:pPr>
            <w:r>
              <w:rPr>
                <w:rFonts w:ascii="宋体" w:cs="宋体" w:hint="eastAsia"/>
                <w:b/>
                <w:color w:val="000000"/>
                <w:sz w:val="32"/>
                <w:szCs w:val="32"/>
              </w:rPr>
              <w:t>2022年</w:t>
            </w:r>
            <w:r>
              <w:rPr>
                <w:rFonts w:ascii="宋体" w:cs="宋体" w:hint="eastAsia"/>
                <w:b/>
                <w:color w:val="000000"/>
                <w:sz w:val="32"/>
                <w:szCs w:val="32"/>
                <w:lang w:eastAsia="zh-CN"/>
              </w:rPr>
              <w:t>残协工作经费</w:t>
            </w:r>
            <w:r>
              <w:rPr>
                <w:rFonts w:ascii="宋体" w:cs="宋体" w:hint="eastAsia"/>
                <w:b/>
                <w:color w:val="000000"/>
                <w:sz w:val="32"/>
                <w:szCs w:val="32"/>
              </w:rPr>
              <w:t>绩效目标自评</w:t>
            </w:r>
          </w:p>
        </w:tc>
      </w:tr>
      <w:tr>
        <w:trPr>
          <w:trHeight w:val="657"/>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主管部门及代码</w:t>
            </w:r>
          </w:p>
        </w:tc>
        <w:tc>
          <w:tcPr>
            <w:tcW w:w="169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南新镇人民政府618101</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实施单位</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sz w:val="24"/>
                <w:lang w:eastAsia="zh-CN"/>
              </w:rPr>
            </w:pPr>
            <w:r>
              <w:rPr>
                <w:rFonts w:ascii="宋体" w:cs="宋体" w:hint="eastAsia"/>
                <w:color w:val="000000"/>
                <w:sz w:val="24"/>
                <w:lang w:eastAsia="zh-CN"/>
              </w:rPr>
              <w:t>南新镇</w:t>
            </w:r>
          </w:p>
        </w:tc>
      </w:tr>
      <w:tr>
        <w:trPr>
          <w:trHeight w:val="599"/>
        </w:trPr>
        <w:tc>
          <w:tcPr>
            <w:tcW w:w="136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项目预算</w:t>
            </w:r>
          </w:p>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执行情况</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（万元）</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预算数：</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0.32</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执行数：</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right"/>
              <w:textAlignment w:val="center"/>
              <w:rPr>
                <w:rFonts w:ascii="宋体" w:eastAsia="宋体" w:cs="宋体"/>
                <w:color w:val="000000"/>
                <w:sz w:val="24"/>
                <w:lang w:val="en-US" w:eastAsia="zh-CN"/>
              </w:rPr>
            </w:pPr>
            <w:r>
              <w:rPr>
                <w:rFonts w:ascii="宋体" w:cs="宋体" w:hint="eastAsia"/>
                <w:color w:val="000000"/>
                <w:sz w:val="24"/>
                <w:lang w:val="en-US" w:eastAsia="zh-CN"/>
              </w:rPr>
              <w:t>0.32</w:t>
            </w:r>
          </w:p>
        </w:tc>
      </w:tr>
      <w:tr>
        <w:trPr>
          <w:trHeight w:val="580"/>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0.32</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ind w:firstLineChars="400" w:firstLine="960"/>
              <w:textAlignment w:val="center"/>
              <w:rPr>
                <w:rFonts w:ascii="宋体" w:eastAsia="宋体" w:cs="宋体"/>
                <w:color w:val="000000"/>
                <w:sz w:val="24"/>
                <w:lang w:val="en-US" w:eastAsia="zh-CN"/>
              </w:rPr>
            </w:pPr>
            <w:r>
              <w:rPr>
                <w:rFonts w:ascii="宋体" w:cs="宋体" w:hint="eastAsia"/>
                <w:color w:val="000000"/>
                <w:sz w:val="24"/>
                <w:lang w:val="en-US" w:eastAsia="zh-CN"/>
              </w:rPr>
              <w:t>0.32</w:t>
            </w:r>
          </w:p>
        </w:tc>
      </w:tr>
      <w:tr>
        <w:trPr>
          <w:trHeight w:val="493"/>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p>
        </w:tc>
      </w:tr>
      <w:tr>
        <w:trPr>
          <w:trHeight w:val="417"/>
        </w:trPr>
        <w:tc>
          <w:tcPr>
            <w:tcW w:w="79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kern w:val="0"/>
                <w:sz w:val="24"/>
              </w:rPr>
            </w:pPr>
            <w:r>
              <w:rPr>
                <w:rFonts w:ascii="宋体" w:cs="宋体" w:hint="eastAsia"/>
                <w:color w:val="000000"/>
                <w:kern w:val="0"/>
                <w:sz w:val="24"/>
              </w:rPr>
              <w:t>年度总体目标</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完成情况</w:t>
            </w: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预期目标</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目标实际完成情况</w:t>
            </w:r>
          </w:p>
        </w:tc>
      </w:tr>
      <w:tr>
        <w:trPr>
          <w:trHeight w:val="2639"/>
        </w:trPr>
        <w:tc>
          <w:tcPr>
            <w:tcW w:w="7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lang w:val="en-US" w:eastAsia="zh-CN"/>
              </w:rPr>
            </w:pPr>
            <w:r>
              <w:rPr>
                <w:rFonts w:ascii="宋体" w:eastAsia="宋体" w:cs="宋体" w:hint="eastAsia"/>
                <w:color w:val="000000"/>
                <w:kern w:val="0"/>
                <w:sz w:val="24"/>
                <w:lang w:val="en-US" w:eastAsia="zh-CN"/>
              </w:rPr>
              <w:t>进一步加强残疾人工作，全面提升基层残疾人组织服务能力和管理科学化水平，更好为残疾人做好服务，同时关心关爱残疾人。</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lang w:eastAsia="zh-CN"/>
              </w:rPr>
            </w:pPr>
            <w:r>
              <w:rPr>
                <w:rFonts w:ascii="宋体" w:eastAsia="宋体" w:cs="宋体" w:hint="eastAsia"/>
                <w:color w:val="000000"/>
                <w:kern w:val="0"/>
                <w:sz w:val="24"/>
                <w:lang w:eastAsia="zh-CN"/>
              </w:rPr>
              <w:t>加强我镇</w:t>
            </w:r>
            <w:r>
              <w:rPr>
                <w:rFonts w:ascii="宋体" w:eastAsia="宋体" w:cs="宋体" w:hint="eastAsia"/>
                <w:color w:val="000000"/>
                <w:kern w:val="0"/>
                <w:sz w:val="24"/>
                <w:lang w:val="en-US" w:eastAsia="zh-CN"/>
              </w:rPr>
              <w:t>8个</w:t>
            </w:r>
            <w:r>
              <w:rPr>
                <w:rFonts w:ascii="宋体" w:eastAsia="宋体" w:cs="宋体" w:hint="eastAsia"/>
                <w:color w:val="000000"/>
                <w:kern w:val="0"/>
                <w:sz w:val="24"/>
                <w:lang w:eastAsia="zh-CN"/>
              </w:rPr>
              <w:t>村残疾人工作，提升基层残疾人组织服务能力和管理科学化水平，更好为我镇</w:t>
            </w:r>
            <w:r>
              <w:rPr>
                <w:rFonts w:ascii="宋体" w:eastAsia="宋体" w:cs="宋体" w:hint="eastAsia"/>
                <w:color w:val="000000"/>
                <w:kern w:val="0"/>
                <w:sz w:val="24"/>
                <w:lang w:val="en-US" w:eastAsia="zh-CN"/>
              </w:rPr>
              <w:t>8个村的</w:t>
            </w:r>
            <w:r>
              <w:rPr>
                <w:rFonts w:ascii="宋体" w:eastAsia="宋体" w:cs="宋体" w:hint="eastAsia"/>
                <w:color w:val="000000"/>
                <w:kern w:val="0"/>
                <w:sz w:val="24"/>
                <w:lang w:eastAsia="zh-CN"/>
              </w:rPr>
              <w:t>残疾人做好服务。</w:t>
            </w:r>
          </w:p>
          <w:p>
            <w:pPr>
              <w:widowControl/>
              <w:spacing w:line="320" w:lineRule="exact"/>
              <w:jc w:val="left"/>
              <w:textAlignment w:val="top"/>
              <w:rPr>
                <w:rFonts w:ascii="宋体" w:cs="宋体"/>
                <w:color w:val="000000"/>
                <w:sz w:val="24"/>
              </w:rPr>
            </w:pPr>
          </w:p>
        </w:tc>
      </w:tr>
      <w:tr>
        <w:trPr>
          <w:trHeight w:val="946"/>
        </w:trPr>
        <w:tc>
          <w:tcPr>
            <w:tcW w:w="795" w:type="pct"/>
            <w:vMerge w:val="restart"/>
            <w:tcBorders>
              <w:top w:val="single" w:sz="4" w:space="0" w:color="000000"/>
              <w:left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年度绩效指标完成情况</w:t>
            </w:r>
          </w:p>
        </w:tc>
        <w:tc>
          <w:tcPr>
            <w:tcW w:w="565" w:type="pct"/>
            <w:tcBorders>
              <w:top w:val="single" w:sz="4" w:space="0" w:color="000000"/>
              <w:left w:val="nil"/>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一级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二级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三级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预期指标值</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实际完成指标值</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right w:val="single" w:sz="4" w:space="0" w:color="000000"/>
            </w:tcBorders>
            <w:shd w:val="clear" w:color="auto" w:fill="auto"/>
            <w:noWrap/>
            <w:vAlign w:val="bottom"/>
          </w:tcPr>
          <w:p>
            <w:pPr>
              <w:spacing w:line="320" w:lineRule="exact"/>
              <w:jc w:val="center"/>
              <w:rPr>
                <w:rFonts w:ascii="仿宋_GB2312" w:cs="仿宋_GB2312" w:hAnsi="仿宋_GB2312"/>
                <w:color w:val="000000"/>
                <w:sz w:val="28"/>
                <w:szCs w:val="28"/>
              </w:rPr>
            </w:p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质量指标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完成质量</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高中低</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时效指标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完成时间</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val="en-US" w:eastAsia="zh-CN"/>
              </w:rPr>
            </w:pPr>
            <w:r>
              <w:rPr>
                <w:rFonts w:ascii="仿宋_GB2312" w:cs="仿宋_GB2312" w:hAnsi="仿宋_GB2312" w:hint="eastAsia"/>
                <w:color w:val="000000"/>
                <w:sz w:val="28"/>
                <w:szCs w:val="28"/>
                <w:lang w:val="en-US" w:eastAsia="zh-CN"/>
              </w:rPr>
              <w:t>1年</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效益</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经济效益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eastAsia="zh-CN"/>
              </w:rPr>
              <w:t>预算资金</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lang w:val="en-US"/>
              </w:rPr>
            </w:pPr>
            <w:r>
              <w:rPr>
                <w:rFonts w:ascii="仿宋_GB2312" w:cs="仿宋_GB2312" w:hAnsi="仿宋_GB2312" w:hint="eastAsia"/>
                <w:color w:val="000000"/>
                <w:sz w:val="28"/>
                <w:szCs w:val="28"/>
                <w:lang w:val="en-US" w:eastAsia="zh-CN"/>
              </w:rPr>
              <w:t>0.32</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kern w:val="2"/>
                <w:sz w:val="28"/>
                <w:szCs w:val="28"/>
                <w:lang w:val="en-US" w:eastAsia="zh-CN" w:bidi="ar-SA"/>
              </w:rPr>
            </w:pPr>
            <w:r>
              <w:rPr>
                <w:rFonts w:ascii="仿宋_GB2312" w:cs="仿宋_GB2312" w:hAnsi="仿宋_GB2312" w:hint="eastAsia"/>
                <w:color w:val="000000"/>
                <w:sz w:val="28"/>
                <w:szCs w:val="28"/>
                <w:lang w:val="en-US" w:eastAsia="zh-CN"/>
              </w:rPr>
              <w:t>100%</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可持续影响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可持续性</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val="en-US" w:eastAsia="zh-CN"/>
              </w:rPr>
              <w:t>90%</w:t>
            </w:r>
          </w:p>
        </w:tc>
      </w:tr>
      <w:tr>
        <w:trPr>
          <w:trHeight w:val="835"/>
        </w:trPr>
        <w:tc>
          <w:tcPr>
            <w:tcW w:w="795" w:type="pct"/>
            <w:vMerge/>
            <w:tcBorders>
              <w:left w:val="single" w:sz="4" w:space="0" w:color="000000"/>
              <w:bottom w:val="single" w:sz="4" w:space="0" w:color="000000"/>
              <w:right w:val="single" w:sz="4" w:space="0" w:color="000000"/>
            </w:tcBorders>
            <w:shd w:val="clear" w:color="auto" w:fill="auto"/>
            <w:noWrap/>
            <w:vAlign w:val="center"/>
          </w:tc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满意</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度指标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满意度</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满意度</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仿宋_GB2312" w:cs="仿宋_GB2312" w:hAnsi="仿宋_GB2312" w:hint="eastAsia"/>
                <w:color w:val="000000"/>
                <w:sz w:val="28"/>
                <w:szCs w:val="28"/>
                <w:lang w:val="en-US" w:eastAsia="zh-CN"/>
              </w:rPr>
              <w:t>90%</w:t>
            </w:r>
          </w:p>
        </w:tc>
      </w:tr>
    </w:tbl>
    <w:p>
      <w:pPr>
        <w:pStyle w:val="16"/>
      </w:pPr>
    </w:p>
    <w:p>
      <w:pPr>
        <w:pStyle w:val="16"/>
      </w:pPr>
    </w:p>
    <w:p>
      <w:pPr>
        <w:pStyle w:val="16"/>
      </w:pPr>
    </w:p>
    <w:p>
      <w:pPr>
        <w:pStyle w:val="16"/>
      </w:pPr>
    </w:p>
    <w:tbl>
      <w:tblPr>
        <w:tblpPr w:leftFromText="180" w:rightFromText="180" w:vertAnchor="text" w:horzAnchor="page" w:tblpX="1256" w:tblpY="221"/>
        <w:tblOverlap w:val="never"/>
        <w:tblW w:w="5244"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016"/>
        <w:gridCol w:w="2523"/>
        <w:gridCol w:w="4123"/>
        <w:gridCol w:w="3410"/>
        <w:gridCol w:w="13155"/>
        <w:gridCol w:w="15141"/>
      </w:tblGrid>
      <w:tr>
        <w:trPr>
          <w:trHeight w:val="1288"/>
        </w:trPr>
        <w:tc>
          <w:tcPr>
            <w:tcW w:w="4875" w:type="pct"/>
            <w:gridSpan w:val="6"/>
            <w:tcBorders>
              <w:top w:val="nil"/>
              <w:left w:val="nil"/>
              <w:bottom w:val="nil"/>
              <w:right w:val="nil"/>
            </w:tcBorders>
            <w:shd w:val="clear" w:color="auto" w:fill="auto"/>
            <w:noWrap/>
            <w:vAlign w:val="center"/>
          </w:tcPr>
          <w:p>
            <w:pPr>
              <w:widowControl/>
              <w:jc w:val="center"/>
              <w:textAlignment w:val="center"/>
              <w:rPr>
                <w:rFonts w:ascii="宋体" w:cs="宋体"/>
                <w:b/>
                <w:color w:val="000000"/>
                <w:sz w:val="32"/>
                <w:szCs w:val="32"/>
              </w:rPr>
            </w:pPr>
            <w:r>
              <w:rPr>
                <w:rFonts w:ascii="宋体" w:cs="宋体" w:hint="eastAsia"/>
                <w:b/>
                <w:color w:val="000000"/>
                <w:sz w:val="32"/>
                <w:szCs w:val="32"/>
              </w:rPr>
              <w:t>2022年</w:t>
            </w:r>
            <w:r>
              <w:rPr>
                <w:rFonts w:ascii="宋体" w:cs="宋体" w:hint="eastAsia"/>
                <w:b/>
                <w:color w:val="000000"/>
                <w:sz w:val="32"/>
                <w:szCs w:val="32"/>
                <w:lang w:eastAsia="zh-CN"/>
              </w:rPr>
              <w:t>疫情防控工作经费</w:t>
            </w:r>
            <w:r>
              <w:rPr>
                <w:rFonts w:ascii="宋体" w:cs="宋体" w:hint="eastAsia"/>
                <w:b/>
                <w:color w:val="000000"/>
                <w:sz w:val="32"/>
                <w:szCs w:val="32"/>
              </w:rPr>
              <w:t>绩效目标自评</w:t>
            </w:r>
          </w:p>
        </w:tc>
      </w:tr>
      <w:tr>
        <w:trPr>
          <w:trHeight w:val="657"/>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主管部门及代码</w:t>
            </w:r>
          </w:p>
        </w:tc>
        <w:tc>
          <w:tcPr>
            <w:tcW w:w="169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南新镇人民政府618101</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实施单位</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sz w:val="24"/>
                <w:lang w:eastAsia="zh-CN"/>
              </w:rPr>
            </w:pPr>
            <w:r>
              <w:rPr>
                <w:rFonts w:ascii="宋体" w:cs="宋体" w:hint="eastAsia"/>
                <w:color w:val="000000"/>
                <w:sz w:val="24"/>
                <w:lang w:eastAsia="zh-CN"/>
              </w:rPr>
              <w:t>南新镇</w:t>
            </w:r>
          </w:p>
        </w:tc>
      </w:tr>
      <w:tr>
        <w:trPr>
          <w:trHeight w:val="599"/>
        </w:trPr>
        <w:tc>
          <w:tcPr>
            <w:tcW w:w="136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项目预算</w:t>
            </w:r>
          </w:p>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执行情况</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（万元）</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预算数：</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执行数：</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color w:val="000000"/>
                <w:sz w:val="24"/>
                <w:lang w:val="en-US" w:eastAsia="zh-CN"/>
              </w:rPr>
            </w:pPr>
            <w:r>
              <w:rPr>
                <w:rFonts w:ascii="宋体" w:cs="宋体" w:hint="eastAsia"/>
                <w:color w:val="000000"/>
                <w:sz w:val="24"/>
                <w:lang w:val="en-US" w:eastAsia="zh-CN"/>
              </w:rPr>
              <w:t>10</w:t>
            </w:r>
          </w:p>
        </w:tc>
      </w:tr>
      <w:tr>
        <w:trPr>
          <w:trHeight w:val="580"/>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ind w:firstLineChars="300" w:firstLine="720"/>
              <w:textAlignment w:val="center"/>
              <w:rPr>
                <w:rFonts w:ascii="宋体" w:eastAsia="宋体" w:cs="宋体"/>
                <w:color w:val="000000"/>
                <w:sz w:val="24"/>
                <w:lang w:val="en-US" w:eastAsia="zh-CN"/>
              </w:rPr>
            </w:pPr>
            <w:r>
              <w:rPr>
                <w:rFonts w:ascii="宋体" w:cs="宋体" w:hint="eastAsia"/>
                <w:color w:val="000000"/>
                <w:sz w:val="24"/>
                <w:lang w:val="en-US" w:eastAsia="zh-CN"/>
              </w:rPr>
              <w:t>10</w:t>
            </w:r>
          </w:p>
        </w:tc>
      </w:tr>
      <w:tr>
        <w:trPr>
          <w:trHeight w:val="493"/>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p>
        </w:tc>
      </w:tr>
      <w:tr>
        <w:trPr>
          <w:trHeight w:val="417"/>
        </w:trPr>
        <w:tc>
          <w:tcPr>
            <w:tcW w:w="79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kern w:val="0"/>
                <w:sz w:val="24"/>
              </w:rPr>
            </w:pPr>
            <w:r>
              <w:rPr>
                <w:rFonts w:ascii="宋体" w:cs="宋体" w:hint="eastAsia"/>
                <w:color w:val="000000"/>
                <w:kern w:val="0"/>
                <w:sz w:val="24"/>
              </w:rPr>
              <w:t>年度总体目标</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完成情况</w:t>
            </w: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预期目标</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目标实际完成情况</w:t>
            </w:r>
          </w:p>
        </w:tc>
      </w:tr>
      <w:tr>
        <w:trPr>
          <w:trHeight w:val="2639"/>
        </w:trPr>
        <w:tc>
          <w:tcPr>
            <w:tcW w:w="7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lang w:val="en-US" w:eastAsia="zh-CN"/>
              </w:rPr>
            </w:pPr>
            <w:r>
              <w:rPr>
                <w:rFonts w:ascii="宋体" w:eastAsia="宋体" w:cs="宋体" w:hint="eastAsia"/>
                <w:color w:val="000000"/>
                <w:kern w:val="0"/>
                <w:sz w:val="24"/>
                <w:lang w:val="zh-CN"/>
              </w:rPr>
              <w:t>南新镇防疫经费的使用有利于我镇开展新冠肺炎的管控工作，使人民群众更加了解防疫知识。</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left"/>
              <w:textAlignment w:val="top"/>
              <w:rPr>
                <w:rFonts w:ascii="宋体" w:cs="宋体"/>
                <w:color w:val="000000"/>
                <w:sz w:val="24"/>
              </w:rPr>
            </w:pPr>
            <w:r>
              <w:rPr>
                <w:rFonts w:ascii="宋体" w:eastAsia="宋体" w:cs="宋体" w:hint="eastAsia"/>
                <w:color w:val="000000"/>
                <w:kern w:val="0"/>
                <w:sz w:val="24"/>
              </w:rPr>
              <w:t>南新镇防疫资金</w:t>
            </w:r>
            <w:r>
              <w:rPr>
                <w:rFonts w:ascii="宋体" w:eastAsia="宋体" w:cs="宋体" w:hint="eastAsia"/>
                <w:color w:val="000000"/>
                <w:kern w:val="0"/>
                <w:sz w:val="24"/>
                <w:lang w:val="zh-CN"/>
              </w:rPr>
              <w:t>实施内容是用于南新镇购买防疫办公用品、防疫广告宣传费用、购买消毒液费用以及卡点物资</w:t>
            </w:r>
            <w:r>
              <w:rPr>
                <w:rFonts w:ascii="宋体" w:eastAsia="宋体" w:cs="宋体" w:hint="eastAsia"/>
                <w:color w:val="000000"/>
                <w:kern w:val="0"/>
                <w:sz w:val="24"/>
              </w:rPr>
              <w:t>购买</w:t>
            </w:r>
            <w:r>
              <w:rPr>
                <w:rFonts w:ascii="宋体" w:eastAsia="宋体" w:cs="宋体" w:hint="eastAsia"/>
                <w:color w:val="000000"/>
                <w:kern w:val="0"/>
                <w:sz w:val="24"/>
                <w:lang w:val="zh-CN"/>
              </w:rPr>
              <w:t>费。南新镇防疫经费使我镇在新冠肺炎疫情中，保障了辖区的环境卫生，维护了人民群众的身体健康。增强了群众对疫情防范，利于我镇对疫情的防控。</w:t>
            </w:r>
          </w:p>
        </w:tc>
      </w:tr>
      <w:tr>
        <w:trPr>
          <w:trHeight w:val="946"/>
        </w:trPr>
        <w:tc>
          <w:tcPr>
            <w:tcW w:w="795" w:type="pct"/>
            <w:vMerge w:val="restart"/>
            <w:tcBorders>
              <w:top w:val="single" w:sz="4" w:space="0" w:color="000000"/>
              <w:left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年度绩效指标完成情况</w:t>
            </w:r>
          </w:p>
        </w:tc>
        <w:tc>
          <w:tcPr>
            <w:tcW w:w="565" w:type="pct"/>
            <w:tcBorders>
              <w:top w:val="single" w:sz="4" w:space="0" w:color="000000"/>
              <w:left w:val="nil"/>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一级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二级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三级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预期指标值</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实际完成指标值</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right w:val="single" w:sz="4" w:space="0" w:color="000000"/>
            </w:tcBorders>
            <w:shd w:val="clear" w:color="auto" w:fill="auto"/>
            <w:noWrap/>
            <w:vAlign w:val="bottom"/>
          </w:tcPr>
          <w:p>
            <w:pPr>
              <w:spacing w:line="320" w:lineRule="exact"/>
              <w:jc w:val="center"/>
              <w:rPr>
                <w:rFonts w:ascii="仿宋_GB2312" w:cs="仿宋_GB2312" w:hAnsi="仿宋_GB2312"/>
                <w:color w:val="000000"/>
                <w:sz w:val="28"/>
                <w:szCs w:val="28"/>
              </w:rPr>
            </w:p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质量指标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完成质量</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高中低</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时效指标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完成时间</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val="en-US" w:eastAsia="zh-CN"/>
              </w:rPr>
            </w:pPr>
            <w:r>
              <w:rPr>
                <w:rFonts w:ascii="仿宋_GB2312" w:cs="仿宋_GB2312" w:hAnsi="仿宋_GB2312" w:hint="eastAsia"/>
                <w:color w:val="000000"/>
                <w:sz w:val="28"/>
                <w:szCs w:val="28"/>
                <w:lang w:val="en-US" w:eastAsia="zh-CN"/>
              </w:rPr>
              <w:t>1年</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效益</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经济效益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eastAsia="zh-CN"/>
              </w:rPr>
              <w:t>预算资金</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lang w:val="en-US"/>
              </w:rPr>
            </w:pPr>
            <w:r>
              <w:rPr>
                <w:rFonts w:ascii="仿宋_GB2312" w:cs="仿宋_GB2312" w:hAnsi="仿宋_GB2312" w:hint="eastAsia"/>
                <w:color w:val="000000"/>
                <w:sz w:val="28"/>
                <w:szCs w:val="28"/>
                <w:lang w:val="en-US" w:eastAsia="zh-CN"/>
              </w:rPr>
              <w:t>10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kern w:val="2"/>
                <w:sz w:val="28"/>
                <w:szCs w:val="28"/>
                <w:lang w:val="en-US" w:eastAsia="zh-CN" w:bidi="ar-SA"/>
              </w:rPr>
            </w:pPr>
            <w:r>
              <w:rPr>
                <w:rFonts w:ascii="仿宋_GB2312" w:cs="仿宋_GB2312" w:hAnsi="仿宋_GB2312" w:hint="eastAsia"/>
                <w:color w:val="000000"/>
                <w:sz w:val="28"/>
                <w:szCs w:val="28"/>
                <w:lang w:val="en-US" w:eastAsia="zh-CN"/>
              </w:rPr>
              <w:t>100%</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可持续影响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可持续性</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val="en-US" w:eastAsia="zh-CN"/>
              </w:rPr>
              <w:t>90%</w:t>
            </w:r>
          </w:p>
        </w:tc>
      </w:tr>
      <w:tr>
        <w:trPr>
          <w:trHeight w:val="835"/>
        </w:trPr>
        <w:tc>
          <w:tcPr>
            <w:tcW w:w="795" w:type="pct"/>
            <w:vMerge/>
            <w:tcBorders>
              <w:left w:val="single" w:sz="4" w:space="0" w:color="000000"/>
              <w:bottom w:val="single" w:sz="4" w:space="0" w:color="000000"/>
              <w:right w:val="single" w:sz="4" w:space="0" w:color="000000"/>
            </w:tcBorders>
            <w:shd w:val="clear" w:color="auto" w:fill="auto"/>
            <w:noWrap/>
            <w:vAlign w:val="center"/>
          </w:tc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满意</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度指标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满意度</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满意度</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仿宋_GB2312" w:cs="仿宋_GB2312" w:hAnsi="仿宋_GB2312" w:hint="eastAsia"/>
                <w:color w:val="000000"/>
                <w:sz w:val="28"/>
                <w:szCs w:val="28"/>
                <w:lang w:val="en-US" w:eastAsia="zh-CN"/>
              </w:rPr>
              <w:t>90%</w:t>
            </w:r>
          </w:p>
        </w:tc>
      </w:tr>
    </w:tbl>
    <w:p>
      <w:pPr>
        <w:pStyle w:val="16"/>
      </w:pPr>
    </w:p>
    <w:p>
      <w:pPr>
        <w:pStyle w:val="16"/>
      </w:pPr>
    </w:p>
    <w:p>
      <w:pPr>
        <w:pStyle w:val="16"/>
      </w:pPr>
    </w:p>
    <w:p>
      <w:pPr>
        <w:pStyle w:val="16"/>
      </w:pPr>
    </w:p>
    <w:tbl>
      <w:tblPr>
        <w:tblpPr w:leftFromText="180" w:rightFromText="180" w:vertAnchor="text" w:horzAnchor="page" w:tblpX="1256" w:tblpY="221"/>
        <w:tblOverlap w:val="never"/>
        <w:tblW w:w="5244"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016"/>
        <w:gridCol w:w="3185"/>
        <w:gridCol w:w="5206"/>
        <w:gridCol w:w="4305"/>
        <w:gridCol w:w="9808"/>
        <w:gridCol w:w="11288"/>
      </w:tblGrid>
      <w:tr>
        <w:trPr>
          <w:trHeight w:val="1288"/>
        </w:trPr>
        <w:tc>
          <w:tcPr>
            <w:tcW w:w="4875" w:type="pct"/>
            <w:gridSpan w:val="6"/>
            <w:tcBorders>
              <w:top w:val="nil"/>
              <w:left w:val="nil"/>
              <w:bottom w:val="nil"/>
              <w:right w:val="nil"/>
            </w:tcBorders>
            <w:shd w:val="clear" w:color="auto" w:fill="auto"/>
            <w:noWrap/>
            <w:vAlign w:val="center"/>
          </w:tcPr>
          <w:p>
            <w:pPr>
              <w:widowControl/>
              <w:jc w:val="center"/>
              <w:textAlignment w:val="center"/>
              <w:rPr>
                <w:rFonts w:ascii="宋体" w:cs="宋体"/>
                <w:b/>
                <w:color w:val="000000"/>
                <w:sz w:val="32"/>
                <w:szCs w:val="32"/>
              </w:rPr>
            </w:pPr>
            <w:r>
              <w:rPr>
                <w:rFonts w:ascii="宋体" w:cs="宋体" w:hint="eastAsia"/>
                <w:b/>
                <w:color w:val="000000"/>
                <w:sz w:val="32"/>
                <w:szCs w:val="32"/>
              </w:rPr>
              <w:t>2022年</w:t>
            </w:r>
            <w:r>
              <w:rPr>
                <w:rFonts w:ascii="宋体" w:cs="宋体" w:hint="eastAsia"/>
                <w:b/>
                <w:color w:val="000000"/>
                <w:sz w:val="32"/>
                <w:szCs w:val="32"/>
                <w:lang w:eastAsia="zh-CN"/>
              </w:rPr>
              <w:t>疫情防控工作经费</w:t>
            </w:r>
            <w:r>
              <w:rPr>
                <w:rFonts w:ascii="宋体" w:cs="宋体" w:hint="eastAsia"/>
                <w:b/>
                <w:color w:val="000000"/>
                <w:sz w:val="32"/>
                <w:szCs w:val="32"/>
              </w:rPr>
              <w:t>绩效目标自评</w:t>
            </w:r>
          </w:p>
        </w:tc>
      </w:tr>
      <w:tr>
        <w:trPr>
          <w:trHeight w:val="657"/>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主管部门及代码</w:t>
            </w:r>
          </w:p>
        </w:tc>
        <w:tc>
          <w:tcPr>
            <w:tcW w:w="169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南新镇人民政府618101</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实施单位</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sz w:val="24"/>
                <w:lang w:eastAsia="zh-CN"/>
              </w:rPr>
            </w:pPr>
            <w:r>
              <w:rPr>
                <w:rFonts w:ascii="宋体" w:cs="宋体" w:hint="eastAsia"/>
                <w:color w:val="000000"/>
                <w:sz w:val="24"/>
                <w:lang w:eastAsia="zh-CN"/>
              </w:rPr>
              <w:t>南新镇</w:t>
            </w:r>
          </w:p>
        </w:tc>
      </w:tr>
      <w:tr>
        <w:trPr>
          <w:trHeight w:val="599"/>
        </w:trPr>
        <w:tc>
          <w:tcPr>
            <w:tcW w:w="136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项目预算</w:t>
            </w:r>
          </w:p>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执行情况</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（万元）</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预算数：</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0.4</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执行数：</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color w:val="000000"/>
                <w:sz w:val="24"/>
                <w:lang w:val="en-US" w:eastAsia="zh-CN"/>
              </w:rPr>
            </w:pPr>
            <w:r>
              <w:rPr>
                <w:rFonts w:ascii="宋体" w:cs="宋体" w:hint="eastAsia"/>
                <w:color w:val="000000"/>
                <w:sz w:val="24"/>
                <w:lang w:val="en-US" w:eastAsia="zh-CN"/>
              </w:rPr>
              <w:t>0.4</w:t>
            </w:r>
          </w:p>
        </w:tc>
      </w:tr>
      <w:tr>
        <w:trPr>
          <w:trHeight w:val="580"/>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0.4</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ind w:firstLineChars="300" w:firstLine="720"/>
              <w:textAlignment w:val="center"/>
              <w:rPr>
                <w:rFonts w:ascii="宋体" w:eastAsia="宋体" w:cs="宋体"/>
                <w:color w:val="000000"/>
                <w:sz w:val="24"/>
                <w:lang w:val="en-US" w:eastAsia="zh-CN"/>
              </w:rPr>
            </w:pPr>
            <w:r>
              <w:rPr>
                <w:rFonts w:ascii="宋体" w:cs="宋体" w:hint="eastAsia"/>
                <w:color w:val="000000"/>
                <w:sz w:val="24"/>
                <w:lang w:val="en-US" w:eastAsia="zh-CN"/>
              </w:rPr>
              <w:t>0.4</w:t>
            </w:r>
          </w:p>
        </w:tc>
      </w:tr>
      <w:tr>
        <w:trPr>
          <w:trHeight w:val="493"/>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p>
        </w:tc>
      </w:tr>
      <w:tr>
        <w:trPr>
          <w:trHeight w:val="417"/>
        </w:trPr>
        <w:tc>
          <w:tcPr>
            <w:tcW w:w="79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kern w:val="0"/>
                <w:sz w:val="24"/>
              </w:rPr>
            </w:pPr>
            <w:r>
              <w:rPr>
                <w:rFonts w:ascii="宋体" w:cs="宋体" w:hint="eastAsia"/>
                <w:color w:val="000000"/>
                <w:kern w:val="0"/>
                <w:sz w:val="24"/>
              </w:rPr>
              <w:t>年度总体目标</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完成情况</w:t>
            </w: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预期目标</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目标实际完成情况</w:t>
            </w:r>
          </w:p>
        </w:tc>
      </w:tr>
      <w:tr>
        <w:trPr>
          <w:trHeight w:val="2639"/>
        </w:trPr>
        <w:tc>
          <w:tcPr>
            <w:tcW w:w="7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lang w:eastAsia="zh-CN"/>
              </w:rPr>
            </w:pPr>
            <w:r>
              <w:rPr>
                <w:rFonts w:ascii="宋体" w:eastAsia="宋体" w:cs="宋体" w:hint="eastAsia"/>
                <w:color w:val="000000"/>
                <w:kern w:val="0"/>
                <w:sz w:val="24"/>
                <w:lang w:eastAsia="zh-CN"/>
              </w:rPr>
              <w:t>为进一步增强基层人口和计划生育工作知识，提高计划生育工作者的各项服务水平，召开人口和计划生育业务培训等。</w:t>
            </w:r>
          </w:p>
          <w:p>
            <w:pPr>
              <w:widowControl/>
              <w:spacing w:line="320" w:lineRule="exact"/>
              <w:jc w:val="center"/>
              <w:textAlignment w:val="center"/>
              <w:rPr>
                <w:rFonts w:ascii="宋体" w:eastAsia="宋体" w:cs="宋体" w:hint="eastAsia"/>
                <w:color w:val="000000"/>
                <w:kern w:val="0"/>
                <w:sz w:val="24"/>
                <w:lang w:val="en-US" w:eastAsia="zh-C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lang w:eastAsia="zh-CN"/>
              </w:rPr>
            </w:pPr>
            <w:r>
              <w:rPr>
                <w:rFonts w:ascii="宋体" w:eastAsia="宋体" w:cs="宋体" w:hint="eastAsia"/>
                <w:color w:val="000000"/>
                <w:kern w:val="0"/>
                <w:sz w:val="24"/>
                <w:lang w:eastAsia="zh-CN"/>
              </w:rPr>
              <w:t>进一步加强人口和计划生育工作，此次培训主要是全面提升全镇计生干部的业务素质，进一步明确基层人口和计划生育工作者职责，进一步规范人口和计划生育服务和管理行为，提升优质服务水平。</w:t>
            </w:r>
          </w:p>
          <w:p>
            <w:pPr>
              <w:widowControl/>
              <w:spacing w:line="320" w:lineRule="exact"/>
              <w:jc w:val="center"/>
              <w:textAlignment w:val="center"/>
              <w:rPr>
                <w:rFonts w:ascii="宋体" w:cs="宋体"/>
                <w:color w:val="000000"/>
                <w:sz w:val="24"/>
              </w:rPr>
            </w:pPr>
          </w:p>
        </w:tc>
      </w:tr>
      <w:tr>
        <w:trPr>
          <w:trHeight w:val="946"/>
        </w:trPr>
        <w:tc>
          <w:tcPr>
            <w:tcW w:w="795" w:type="pct"/>
            <w:vMerge w:val="restart"/>
            <w:tcBorders>
              <w:top w:val="single" w:sz="4" w:space="0" w:color="000000"/>
              <w:left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年度绩效指标完成情况</w:t>
            </w:r>
          </w:p>
        </w:tc>
        <w:tc>
          <w:tcPr>
            <w:tcW w:w="565" w:type="pct"/>
            <w:tcBorders>
              <w:top w:val="single" w:sz="4" w:space="0" w:color="000000"/>
              <w:left w:val="nil"/>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一级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二级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三级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预期指标值</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实际完成指标值</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right w:val="single" w:sz="4" w:space="0" w:color="000000"/>
            </w:tcBorders>
            <w:shd w:val="clear" w:color="auto" w:fill="auto"/>
            <w:noWrap/>
            <w:vAlign w:val="bottom"/>
          </w:tcPr>
          <w:p>
            <w:pPr>
              <w:spacing w:line="320" w:lineRule="exact"/>
              <w:jc w:val="center"/>
              <w:rPr>
                <w:rFonts w:ascii="仿宋_GB2312" w:cs="仿宋_GB2312" w:hAnsi="仿宋_GB2312"/>
                <w:color w:val="000000"/>
                <w:sz w:val="28"/>
                <w:szCs w:val="28"/>
              </w:rPr>
            </w:p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质量指标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完成质量</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高中低</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时效指标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完成时间</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val="en-US" w:eastAsia="zh-CN"/>
              </w:rPr>
            </w:pPr>
            <w:r>
              <w:rPr>
                <w:rFonts w:ascii="仿宋_GB2312" w:cs="仿宋_GB2312" w:hAnsi="仿宋_GB2312" w:hint="eastAsia"/>
                <w:color w:val="000000"/>
                <w:sz w:val="28"/>
                <w:szCs w:val="28"/>
                <w:lang w:val="en-US" w:eastAsia="zh-CN"/>
              </w:rPr>
              <w:t>1年</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效益</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经济效益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eastAsia="zh-CN"/>
              </w:rPr>
              <w:t>预算资金</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lang w:val="en-US"/>
              </w:rPr>
            </w:pPr>
            <w:r>
              <w:rPr>
                <w:rFonts w:ascii="仿宋_GB2312" w:cs="仿宋_GB2312" w:hAnsi="仿宋_GB2312" w:hint="eastAsia"/>
                <w:color w:val="000000"/>
                <w:sz w:val="28"/>
                <w:szCs w:val="28"/>
                <w:lang w:val="en-US" w:eastAsia="zh-CN"/>
              </w:rPr>
              <w:t>0.4</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kern w:val="2"/>
                <w:sz w:val="28"/>
                <w:szCs w:val="28"/>
                <w:lang w:val="en-US" w:eastAsia="zh-CN" w:bidi="ar-SA"/>
              </w:rPr>
            </w:pPr>
            <w:r>
              <w:rPr>
                <w:rFonts w:ascii="仿宋_GB2312" w:cs="仿宋_GB2312" w:hAnsi="仿宋_GB2312" w:hint="eastAsia"/>
                <w:color w:val="000000"/>
                <w:sz w:val="28"/>
                <w:szCs w:val="28"/>
                <w:lang w:val="en-US" w:eastAsia="zh-CN"/>
              </w:rPr>
              <w:t>100%</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可持续影响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可持续性</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val="en-US" w:eastAsia="zh-CN"/>
              </w:rPr>
              <w:t>90%</w:t>
            </w:r>
          </w:p>
        </w:tc>
      </w:tr>
      <w:tr>
        <w:trPr>
          <w:trHeight w:val="835"/>
        </w:trPr>
        <w:tc>
          <w:tcPr>
            <w:tcW w:w="795" w:type="pct"/>
            <w:vMerge/>
            <w:tcBorders>
              <w:left w:val="single" w:sz="4" w:space="0" w:color="000000"/>
              <w:bottom w:val="single" w:sz="4" w:space="0" w:color="000000"/>
              <w:right w:val="single" w:sz="4" w:space="0" w:color="000000"/>
            </w:tcBorders>
            <w:shd w:val="clear" w:color="auto" w:fill="auto"/>
            <w:noWrap/>
            <w:vAlign w:val="center"/>
          </w:tc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满意</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度指标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满意度</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满意度</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仿宋_GB2312" w:cs="仿宋_GB2312" w:hAnsi="仿宋_GB2312" w:hint="eastAsia"/>
                <w:color w:val="000000"/>
                <w:sz w:val="28"/>
                <w:szCs w:val="28"/>
                <w:lang w:val="en-US" w:eastAsia="zh-CN"/>
              </w:rPr>
              <w:t>90%</w:t>
            </w:r>
          </w:p>
        </w:tc>
      </w:tr>
    </w:tbl>
    <w:p>
      <w:pPr>
        <w:pStyle w:val="16"/>
      </w:pPr>
    </w:p>
    <w:p>
      <w:pPr>
        <w:pStyle w:val="16"/>
      </w:pPr>
    </w:p>
    <w:p>
      <w:pPr>
        <w:pStyle w:val="16"/>
      </w:pPr>
    </w:p>
    <w:p>
      <w:pPr>
        <w:pStyle w:val="16"/>
      </w:pPr>
    </w:p>
    <w:p>
      <w:pPr>
        <w:pStyle w:val="16"/>
      </w:pPr>
    </w:p>
    <w:tbl>
      <w:tblPr>
        <w:tblpPr w:leftFromText="180" w:rightFromText="180" w:vertAnchor="text" w:horzAnchor="page" w:tblpX="1256" w:tblpY="221"/>
        <w:tblOverlap w:val="never"/>
        <w:tblW w:w="5244"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016"/>
        <w:gridCol w:w="3727"/>
        <w:gridCol w:w="6091"/>
        <w:gridCol w:w="5038"/>
        <w:gridCol w:w="4229"/>
        <w:gridCol w:w="4867"/>
      </w:tblGrid>
      <w:tr>
        <w:trPr>
          <w:trHeight w:val="1288"/>
        </w:trPr>
        <w:tc>
          <w:tcPr>
            <w:tcW w:w="4875" w:type="pct"/>
            <w:gridSpan w:val="6"/>
            <w:tcBorders>
              <w:top w:val="nil"/>
              <w:left w:val="nil"/>
              <w:bottom w:val="nil"/>
              <w:right w:val="nil"/>
            </w:tcBorders>
            <w:shd w:val="clear" w:color="auto" w:fill="auto"/>
            <w:noWrap/>
            <w:vAlign w:val="center"/>
          </w:tcPr>
          <w:p>
            <w:pPr>
              <w:widowControl/>
              <w:jc w:val="center"/>
              <w:textAlignment w:val="center"/>
              <w:rPr>
                <w:rFonts w:ascii="宋体" w:cs="宋体"/>
                <w:b/>
                <w:color w:val="000000"/>
                <w:sz w:val="32"/>
                <w:szCs w:val="32"/>
              </w:rPr>
            </w:pPr>
            <w:r>
              <w:rPr>
                <w:rFonts w:ascii="宋体" w:cs="宋体" w:hint="eastAsia"/>
                <w:b/>
                <w:color w:val="000000"/>
                <w:sz w:val="32"/>
                <w:szCs w:val="32"/>
              </w:rPr>
              <w:t>2022年</w:t>
            </w:r>
            <w:r>
              <w:rPr>
                <w:rFonts w:ascii="宋体" w:cs="宋体" w:hint="eastAsia"/>
                <w:b/>
                <w:color w:val="000000"/>
                <w:sz w:val="32"/>
                <w:szCs w:val="32"/>
                <w:lang w:eastAsia="zh-CN"/>
              </w:rPr>
              <w:t>驻村工作经费</w:t>
            </w:r>
            <w:r>
              <w:rPr>
                <w:rFonts w:ascii="宋体" w:cs="宋体" w:hint="eastAsia"/>
                <w:b/>
                <w:color w:val="000000"/>
                <w:sz w:val="32"/>
                <w:szCs w:val="32"/>
              </w:rPr>
              <w:t>绩效目标自评</w:t>
            </w:r>
          </w:p>
        </w:tc>
      </w:tr>
      <w:tr>
        <w:trPr>
          <w:trHeight w:val="657"/>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主管部门及代码</w:t>
            </w:r>
          </w:p>
        </w:tc>
        <w:tc>
          <w:tcPr>
            <w:tcW w:w="169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南新镇人民政府618101</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实施单位</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sz w:val="24"/>
                <w:lang w:eastAsia="zh-CN"/>
              </w:rPr>
            </w:pPr>
            <w:r>
              <w:rPr>
                <w:rFonts w:ascii="宋体" w:cs="宋体" w:hint="eastAsia"/>
                <w:color w:val="000000"/>
                <w:sz w:val="24"/>
                <w:lang w:eastAsia="zh-CN"/>
              </w:rPr>
              <w:t>南新镇</w:t>
            </w:r>
          </w:p>
        </w:tc>
      </w:tr>
      <w:tr>
        <w:trPr>
          <w:trHeight w:val="599"/>
        </w:trPr>
        <w:tc>
          <w:tcPr>
            <w:tcW w:w="136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项目预算</w:t>
            </w:r>
          </w:p>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执行情况</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（万元）</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预算数：</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1.5</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执行数：</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color w:val="000000"/>
                <w:sz w:val="24"/>
                <w:lang w:val="en-US" w:eastAsia="zh-CN"/>
              </w:rPr>
            </w:pPr>
            <w:r>
              <w:rPr>
                <w:rFonts w:ascii="宋体" w:cs="宋体" w:hint="eastAsia"/>
                <w:color w:val="000000"/>
                <w:sz w:val="24"/>
                <w:lang w:val="en-US" w:eastAsia="zh-CN"/>
              </w:rPr>
              <w:t>1.5</w:t>
            </w:r>
          </w:p>
        </w:tc>
      </w:tr>
      <w:tr>
        <w:trPr>
          <w:trHeight w:val="580"/>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1.5</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ind w:firstLineChars="300" w:firstLine="720"/>
              <w:textAlignment w:val="center"/>
              <w:rPr>
                <w:rFonts w:ascii="宋体" w:eastAsia="宋体" w:cs="宋体"/>
                <w:color w:val="000000"/>
                <w:sz w:val="24"/>
                <w:lang w:val="en-US" w:eastAsia="zh-CN"/>
              </w:rPr>
            </w:pPr>
            <w:r>
              <w:rPr>
                <w:rFonts w:ascii="宋体" w:cs="宋体" w:hint="eastAsia"/>
                <w:color w:val="000000"/>
                <w:sz w:val="24"/>
                <w:lang w:val="en-US" w:eastAsia="zh-CN"/>
              </w:rPr>
              <w:t>1.5</w:t>
            </w:r>
          </w:p>
        </w:tc>
      </w:tr>
      <w:tr>
        <w:trPr>
          <w:trHeight w:val="493"/>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p>
        </w:tc>
      </w:tr>
      <w:tr>
        <w:trPr>
          <w:trHeight w:val="417"/>
        </w:trPr>
        <w:tc>
          <w:tcPr>
            <w:tcW w:w="79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kern w:val="0"/>
                <w:sz w:val="24"/>
              </w:rPr>
            </w:pPr>
            <w:r>
              <w:rPr>
                <w:rFonts w:ascii="宋体" w:cs="宋体" w:hint="eastAsia"/>
                <w:color w:val="000000"/>
                <w:kern w:val="0"/>
                <w:sz w:val="24"/>
              </w:rPr>
              <w:t>年度总体目标</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完成情况</w:t>
            </w: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预期目标</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目标实际完成情况</w:t>
            </w:r>
          </w:p>
        </w:tc>
      </w:tr>
      <w:tr>
        <w:trPr>
          <w:trHeight w:val="2639"/>
        </w:trPr>
        <w:tc>
          <w:tcPr>
            <w:tcW w:w="7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rPr>
            </w:pPr>
            <w:r>
              <w:rPr>
                <w:rFonts w:ascii="宋体" w:eastAsia="宋体" w:cs="宋体" w:hint="eastAsia"/>
                <w:color w:val="000000"/>
                <w:kern w:val="0"/>
                <w:sz w:val="24"/>
                <w:lang w:eastAsia="zh-CN"/>
              </w:rPr>
              <w:t>驻村</w:t>
            </w:r>
            <w:r>
              <w:rPr>
                <w:rFonts w:ascii="宋体" w:eastAsia="宋体" w:cs="宋体" w:hint="eastAsia"/>
                <w:color w:val="000000"/>
                <w:kern w:val="0"/>
                <w:sz w:val="24"/>
              </w:rPr>
              <w:t>工作经费用于镇</w:t>
            </w:r>
            <w:r>
              <w:rPr>
                <w:rFonts w:ascii="宋体" w:eastAsia="宋体" w:cs="宋体" w:hint="eastAsia"/>
                <w:color w:val="000000"/>
                <w:kern w:val="0"/>
                <w:sz w:val="24"/>
                <w:lang w:eastAsia="zh-CN"/>
              </w:rPr>
              <w:t>驻村</w:t>
            </w:r>
            <w:r>
              <w:rPr>
                <w:rFonts w:ascii="宋体" w:eastAsia="宋体" w:cs="宋体" w:hint="eastAsia"/>
                <w:color w:val="000000"/>
                <w:kern w:val="0"/>
                <w:sz w:val="24"/>
              </w:rPr>
              <w:t>工作开展，</w:t>
            </w:r>
            <w:r>
              <w:rPr>
                <w:rFonts w:ascii="宋体" w:eastAsia="宋体" w:cs="宋体" w:hint="eastAsia"/>
                <w:color w:val="000000"/>
                <w:kern w:val="0"/>
                <w:sz w:val="24"/>
                <w:lang w:eastAsia="zh-CN"/>
              </w:rPr>
              <w:t>驻村</w:t>
            </w:r>
            <w:r>
              <w:rPr>
                <w:rFonts w:ascii="宋体" w:eastAsia="宋体" w:cs="宋体" w:hint="eastAsia"/>
                <w:color w:val="000000"/>
                <w:kern w:val="0"/>
                <w:sz w:val="24"/>
              </w:rPr>
              <w:t>工作经费的管理和使用，坚持公平、公开、公正的原则，确保专项工作经费的规范、安全和高效。</w:t>
            </w:r>
          </w:p>
          <w:p>
            <w:pPr>
              <w:widowControl/>
              <w:spacing w:line="320" w:lineRule="exact"/>
              <w:jc w:val="center"/>
              <w:textAlignment w:val="center"/>
              <w:rPr>
                <w:rFonts w:ascii="宋体" w:eastAsia="宋体" w:cs="宋体" w:hint="eastAsia"/>
                <w:color w:val="000000"/>
                <w:kern w:val="0"/>
                <w:sz w:val="24"/>
                <w:lang w:val="en-US" w:eastAsia="zh-C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rPr>
            </w:pPr>
            <w:r>
              <w:rPr>
                <w:rFonts w:ascii="宋体" w:eastAsia="宋体" w:cs="宋体" w:hint="eastAsia"/>
                <w:color w:val="000000"/>
                <w:kern w:val="0"/>
                <w:sz w:val="24"/>
                <w:lang w:val="zh-CN"/>
              </w:rPr>
              <w:t>我镇驻村工作经费主要用于</w:t>
            </w:r>
            <w:r>
              <w:rPr>
                <w:rFonts w:ascii="宋体" w:eastAsia="宋体" w:cs="宋体" w:hint="eastAsia"/>
                <w:color w:val="000000"/>
                <w:kern w:val="0"/>
                <w:sz w:val="24"/>
                <w:lang w:eastAsia="zh-CN"/>
              </w:rPr>
              <w:t>驻村工作</w:t>
            </w:r>
            <w:r>
              <w:rPr>
                <w:rFonts w:ascii="宋体" w:eastAsia="宋体" w:cs="宋体" w:hint="eastAsia"/>
                <w:color w:val="000000"/>
                <w:kern w:val="0"/>
                <w:sz w:val="24"/>
              </w:rPr>
              <w:t>的宣传费用、办公设施及耗材</w:t>
            </w:r>
            <w:r>
              <w:rPr>
                <w:rFonts w:ascii="宋体" w:eastAsia="宋体" w:cs="宋体" w:hint="eastAsia"/>
                <w:color w:val="000000"/>
                <w:kern w:val="0"/>
                <w:sz w:val="24"/>
                <w:lang w:eastAsia="zh-CN"/>
              </w:rPr>
              <w:t>、</w:t>
            </w:r>
            <w:r>
              <w:rPr>
                <w:rFonts w:ascii="宋体" w:eastAsia="宋体" w:cs="宋体" w:hint="eastAsia"/>
                <w:color w:val="000000"/>
                <w:kern w:val="0"/>
                <w:sz w:val="24"/>
              </w:rPr>
              <w:t>慰问金</w:t>
            </w:r>
            <w:r>
              <w:rPr>
                <w:rFonts w:ascii="宋体" w:eastAsia="宋体" w:cs="宋体" w:hint="eastAsia"/>
                <w:color w:val="000000"/>
                <w:kern w:val="0"/>
                <w:sz w:val="24"/>
                <w:lang w:eastAsia="zh-CN"/>
              </w:rPr>
              <w:t>等支出</w:t>
            </w:r>
            <w:r>
              <w:rPr>
                <w:rFonts w:ascii="宋体" w:eastAsia="宋体" w:cs="宋体" w:hint="eastAsia"/>
                <w:color w:val="000000"/>
                <w:kern w:val="0"/>
                <w:sz w:val="24"/>
              </w:rPr>
              <w:t>。</w:t>
            </w:r>
          </w:p>
          <w:p>
            <w:pPr>
              <w:widowControl/>
              <w:spacing w:line="320" w:lineRule="exact"/>
              <w:jc w:val="center"/>
              <w:textAlignment w:val="center"/>
              <w:rPr>
                <w:rFonts w:ascii="宋体" w:cs="宋体"/>
                <w:color w:val="000000"/>
                <w:sz w:val="24"/>
              </w:rPr>
            </w:pPr>
          </w:p>
        </w:tc>
      </w:tr>
      <w:tr>
        <w:trPr>
          <w:trHeight w:val="946"/>
        </w:trPr>
        <w:tc>
          <w:tcPr>
            <w:tcW w:w="795" w:type="pct"/>
            <w:vMerge w:val="restart"/>
            <w:tcBorders>
              <w:top w:val="single" w:sz="4" w:space="0" w:color="000000"/>
              <w:left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年度绩效指标完成情况</w:t>
            </w:r>
          </w:p>
        </w:tc>
        <w:tc>
          <w:tcPr>
            <w:tcW w:w="565" w:type="pct"/>
            <w:tcBorders>
              <w:top w:val="single" w:sz="4" w:space="0" w:color="000000"/>
              <w:left w:val="nil"/>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一级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二级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三级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预期指标值</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实际完成指标值</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right w:val="single" w:sz="4" w:space="0" w:color="000000"/>
            </w:tcBorders>
            <w:shd w:val="clear" w:color="auto" w:fill="auto"/>
            <w:noWrap/>
            <w:vAlign w:val="bottom"/>
          </w:tcPr>
          <w:p>
            <w:pPr>
              <w:spacing w:line="320" w:lineRule="exact"/>
              <w:jc w:val="center"/>
              <w:rPr>
                <w:rFonts w:ascii="仿宋_GB2312" w:cs="仿宋_GB2312" w:hAnsi="仿宋_GB2312"/>
                <w:color w:val="000000"/>
                <w:sz w:val="28"/>
                <w:szCs w:val="28"/>
              </w:rPr>
            </w:p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质量指标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完成质量</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高中低</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时效指标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完成时间</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val="en-US" w:eastAsia="zh-CN"/>
              </w:rPr>
            </w:pPr>
            <w:r>
              <w:rPr>
                <w:rFonts w:ascii="仿宋_GB2312" w:cs="仿宋_GB2312" w:hAnsi="仿宋_GB2312" w:hint="eastAsia"/>
                <w:color w:val="000000"/>
                <w:sz w:val="28"/>
                <w:szCs w:val="28"/>
                <w:lang w:val="en-US" w:eastAsia="zh-CN"/>
              </w:rPr>
              <w:t>1年</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效益</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经济效益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eastAsia="zh-CN"/>
              </w:rPr>
              <w:t>预算资金</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lang w:val="en-US"/>
              </w:rPr>
            </w:pPr>
            <w:r>
              <w:rPr>
                <w:rFonts w:ascii="仿宋_GB2312" w:cs="仿宋_GB2312" w:hAnsi="仿宋_GB2312" w:hint="eastAsia"/>
                <w:color w:val="000000"/>
                <w:sz w:val="28"/>
                <w:szCs w:val="28"/>
                <w:lang w:val="en-US" w:eastAsia="zh-CN"/>
              </w:rPr>
              <w:t>1.5</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kern w:val="2"/>
                <w:sz w:val="28"/>
                <w:szCs w:val="28"/>
                <w:lang w:val="en-US" w:eastAsia="zh-CN" w:bidi="ar-SA"/>
              </w:rPr>
            </w:pPr>
            <w:r>
              <w:rPr>
                <w:rFonts w:ascii="仿宋_GB2312" w:cs="仿宋_GB2312" w:hAnsi="仿宋_GB2312" w:hint="eastAsia"/>
                <w:color w:val="000000"/>
                <w:sz w:val="28"/>
                <w:szCs w:val="28"/>
                <w:lang w:val="en-US" w:eastAsia="zh-CN"/>
              </w:rPr>
              <w:t>100%</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可持续影响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可持续性</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val="en-US" w:eastAsia="zh-CN"/>
              </w:rPr>
              <w:t>90%</w:t>
            </w:r>
          </w:p>
        </w:tc>
      </w:tr>
      <w:tr>
        <w:trPr>
          <w:trHeight w:val="835"/>
        </w:trPr>
        <w:tc>
          <w:tcPr>
            <w:tcW w:w="795" w:type="pct"/>
            <w:vMerge/>
            <w:tcBorders>
              <w:left w:val="single" w:sz="4" w:space="0" w:color="000000"/>
              <w:bottom w:val="single" w:sz="4" w:space="0" w:color="000000"/>
              <w:right w:val="single" w:sz="4" w:space="0" w:color="000000"/>
            </w:tcBorders>
            <w:shd w:val="clear" w:color="auto" w:fill="auto"/>
            <w:noWrap/>
            <w:vAlign w:val="center"/>
          </w:tc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满意</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度指标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满意度</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满意度</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仿宋_GB2312" w:cs="仿宋_GB2312" w:hAnsi="仿宋_GB2312" w:hint="eastAsia"/>
                <w:color w:val="000000"/>
                <w:sz w:val="28"/>
                <w:szCs w:val="28"/>
                <w:lang w:val="en-US" w:eastAsia="zh-CN"/>
              </w:rPr>
              <w:t>90%</w:t>
            </w:r>
          </w:p>
        </w:tc>
      </w:tr>
    </w:tbl>
    <w:p>
      <w:pPr>
        <w:pStyle w:val="16"/>
        <w:ind w:leftChars="0" w:left="0" w:firstLineChars="0" w:firstLine="0"/>
      </w:pPr>
    </w:p>
    <w:p>
      <w:pPr>
        <w:pStyle w:val="16"/>
        <w:ind w:leftChars="0" w:left="0" w:firstLineChars="0" w:firstLine="0"/>
      </w:pPr>
    </w:p>
    <w:p>
      <w:pPr>
        <w:pStyle w:val="16"/>
        <w:ind w:leftChars="0" w:left="0" w:firstLineChars="0" w:firstLine="0"/>
      </w:pPr>
    </w:p>
    <w:p>
      <w:pPr>
        <w:pStyle w:val="16"/>
        <w:ind w:leftChars="0" w:left="0" w:firstLineChars="0" w:firstLine="0"/>
      </w:pPr>
    </w:p>
    <w:p>
      <w:pPr>
        <w:pStyle w:val="1"/>
        <w:jc w:val="center"/>
        <w:rPr>
          <w:rFonts w:ascii="黑体" w:eastAsia="黑体" w:cs="黑体"/>
        </w:rPr>
      </w:pPr>
      <w:bookmarkStart w:id="80" w:name="_Toc79163635"/>
      <w:bookmarkStart w:id="81" w:name="_Toc3397"/>
      <w:bookmarkStart w:id="82" w:name="_Toc111208512"/>
      <w:bookmarkStart w:id="83" w:name="_Toc79163885"/>
      <w:r>
        <w:rPr>
          <w:rFonts w:ascii="黑体" w:eastAsia="黑体" w:cs="黑体" w:hint="eastAsia"/>
        </w:rPr>
        <w:t>第五部分 附表</w:t>
      </w:r>
      <w:bookmarkEnd w:id="80"/>
      <w:bookmarkEnd w:id="81"/>
      <w:bookmarkEnd w:id="82"/>
      <w:bookmarkEnd w:id="83"/>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一、收入支出决算总表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二、收入决算表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三、支出决算表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四、财政拨款收入支出决算总表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五、财政拨款支出决算明细表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六、一般公共预算财政拨款支出决算表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七、一般公共预算财政拨款支出决算明细表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八、一般公共预算财政拨款基本支出决算表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九、一般公共预算财政拨款项目支出决算表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十、政府性基金预算财政拨款收入支出决算表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十一、国有资本经营预算财政拨款收入支出决算表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十二、国有资本经营预算财政拨款支出决算表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十三、财政拨款“三公”经费支出决算表</w:t>
      </w:r>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7A"/>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variable"/>
    <w:sig w:usb0="00000001" w:usb1="080E0000" w:usb2="00000000" w:usb3="00000000" w:csb0="00040000" w:csb1="00000000"/>
  </w:font>
  <w:font w:name="Times New Roman">
    <w:panose1 w:val="02020603050405020304"/>
    <w:charset w:val="88"/>
    <w:family w:val="auto"/>
    <w:pitch w:val="variable"/>
    <w:sig w:usb0="E0002EFF" w:usb1="C000785B" w:usb2="00000009" w:usb3="00000000" w:csb0="400001FF" w:csb1="FFFF0000"/>
  </w:font>
  <w:font w:name="仿宋">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楷体_GB2312">
    <w:panose1 w:val="02010609030101010101"/>
    <w:charset w:val="86"/>
    <w:family w:val="auto"/>
    <w:pitch w:val="variable"/>
    <w:sig w:usb0="00000001" w:usb1="080E0000" w:usb2="00000000" w:usb3="00000000" w:csb0="00040000" w:csb1="00000000"/>
  </w:font>
  <w:font w:name="Arial">
    <w:altName w:val="DejaVu Sans"/>
    <w:panose1 w:val="020B0604020202020204"/>
    <w:charset w:val="01"/>
    <w:family w:val="swiss"/>
    <w:pitch w:val="variable"/>
    <w:sig w:usb0="E0002EFF" w:usb1="C000785B" w:usb2="00000009" w:usb3="00000000" w:csb0="400001FF" w:csb1="FFFF0000"/>
  </w:font>
  <w:font w:name="Calibri">
    <w:altName w:val="Times New Roman"/>
    <w:panose1 w:val="020F0502020204030204"/>
    <w:charset w:val="00"/>
    <w:family w:val="swiss"/>
    <w:pitch w:val="variable"/>
    <w:sig w:usb0="00000000" w:usb1="00000000" w:usb2="00000001" w:usb3="00000000" w:csb0="0000019F" w:csb1="00000000"/>
  </w:font>
  <w:font w:name="楷体">
    <w:panose1 w:val="02010609060101010101"/>
    <w:charset w:val="86"/>
    <w:family w:val="auto"/>
    <w:pitch w:val="variable"/>
    <w:sig w:usb0="800002BF" w:usb1="38CF7CFA" w:usb2="00000016" w:usb3="00000000" w:csb0="00040001" w:csb1="00000000"/>
  </w:font>
  <w:font w:name="Cambria">
    <w:altName w:val="DejaVu Sans"/>
    <w:panose1 w:val="02040503050406030204"/>
    <w:charset w:val="00"/>
    <w:family w:val="roman"/>
    <w:pitch w:val="variable"/>
    <w:sig w:usb0="A00002EF" w:usb1="4000004B" w:usb2="00000000" w:usb3="00000000" w:csb0="2000009F" w:csb1="00000000"/>
  </w:font>
  <w:font w:name="??">
    <w:altName w:val="DejaVu Sans"/>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252205234"/>
    </w:sdtPr>
    <w:sdtContent>
      <w:p>
        <w:pPr>
          <w:pStyle w:val="23"/>
          <w:tabs>
            <w:tab w:val="center" w:pos="4153"/>
            <w:tab w:val="right" w:pos="8306"/>
          </w:tabs>
          <w:jc w:val="center"/>
        </w:pPr>
        <w:r>
          <w:fldChar w:fldCharType="begin"/>
        </w:r>
        <w:r>
          <w:instrText>PAGE   \* MERGEFORMAT</w:instrText>
        </w:r>
        <w:r>
          <w:fldChar w:fldCharType="separate"/>
        </w:r>
        <w:r>
          <w:rPr>
            <w:lang w:val="zh-CN"/>
          </w:rPr>
          <w:t>4</w:t>
        </w:r>
        <w:r>
          <w:fldChar w:fldCharType="end"/>
        </w:r>
      </w:p>
    </w:sdtContent>
  </w:sdt>
  <w:p>
    <w:pPr>
      <w:pStyle w:val="23"/>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4"/>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49FB9BE0"/>
    <w:multiLevelType w:val="singleLevel"/>
    <w:tmpl w:val="49FB9BE0"/>
    <w:lvl w:ilvl="0">
      <w:start w:val="1"/>
      <w:numFmt w:val="chineseCounting"/>
      <w:lvlRestart w:val="0"/>
      <w:suff w:val="space"/>
      <w:lvlText w:val="第%1部分"/>
      <w:lvlJc w:val="left"/>
      <w:pPr>
        <w:ind w:left="0" w:hanging="0"/>
      </w:pPr>
      <w:rPr>
        <w:rFonts w:hint="eastAsia"/>
      </w:rPr>
    </w:lvl>
  </w:abstractNum>
  <w:abstractNum w:abstractNumId="1">
    <w:nsid w:val="CD5F5B0A"/>
    <w:multiLevelType w:val="singleLevel"/>
    <w:tmpl w:val="CD5F5B0A"/>
    <w:lvl w:ilvl="0">
      <w:start w:val="3"/>
      <w:numFmt w:val="chineseCounting"/>
      <w:lvlRestart w:val="0"/>
      <w:suff w:val="nothing"/>
      <w:lvlText w:val="%1、"/>
      <w:lvlJc w:val="left"/>
      <w:pPr>
        <w:ind w:left="0" w:hanging="0"/>
      </w:pPr>
      <w:rPr>
        <w:rFonts w:hint="eastAsia"/>
      </w:rPr>
    </w:lvl>
  </w:abstractNum>
  <w:abstractNum w:abstractNumId="2">
    <w:nsid w:val="0053208E"/>
    <w:multiLevelType w:val="singleLevel"/>
    <w:tmpl w:val="0053208E"/>
    <w:lvl w:ilvl="0">
      <w:start w:val="2"/>
      <w:numFmt w:val="chineseCounting"/>
      <w:lvlRestart w:val="0"/>
      <w:suff w:val="nothing"/>
      <w:lvlText w:val="（%1）"/>
      <w:lvlJc w:val="left"/>
      <w:pPr>
        <w:ind w:left="0" w:hanging="0"/>
      </w:pPr>
      <w:rPr>
        <w:rFonts w:hint="eastAsia"/>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compatSetting w:name="compatibilityMode" w:uri="http://schemas.microsoft.com/office/word" w:val="15"/>
  </w:compat>
  <w:docVars>
    <w:docVar w:name="commondata" w:val="eyJoZGlkIjoiYmI1NTE3MmM5ZTIwMjIxMjBkMzE2MWVjNTIzYmY0YTk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pPr>
      <w:keepNext/>
      <w:keepLines/>
      <w:widowControl w:val="0"/>
      <w:spacing w:before="260" w:after="260" w:line="415" w:lineRule="auto"/>
      <w:outlineLvl w:val="1"/>
    </w:pPr>
    <w:rPr>
      <w:rFonts w:ascii="Cambria" w:eastAsia="宋体" w:cs="Times New Roman" w:hAnsi="Cambria"/>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Indent"/>
    <w:basedOn w:val="0"/>
    <w:pPr>
      <w:spacing w:after="120"/>
      <w:ind w:leftChars="200" w:left="200"/>
    </w:pPr>
  </w:style>
  <w:style w:type="paragraph" w:styleId="16">
    <w:name w:val="Body Text First Indent 2"/>
    <w:basedOn w:val="15"/>
    <w:pPr>
      <w:ind w:firstLineChars="200" w:firstLine="200"/>
    </w:pPr>
    <w:rPr>
      <w:szCs w:val="20"/>
    </w:rPr>
  </w:style>
  <w:style w:type="paragraph" w:styleId="17">
    <w:name w:val="Normal Indent"/>
    <w:basedOn w:val="0"/>
    <w:pPr>
      <w:ind w:firstLineChars="200" w:firstLine="200"/>
    </w:pPr>
  </w:style>
  <w:style w:type="paragraph" w:styleId="18">
    <w:name w:val="toa heading"/>
    <w:next w:val="0"/>
    <w:pPr>
      <w:spacing w:before="120"/>
      <w:jc w:val="both"/>
      <w:textAlignment w:val="baseline"/>
    </w:pPr>
    <w:rPr>
      <w:rFonts w:ascii="Arial" w:eastAsia="宋体" w:cs="Arial" w:hAnsi="Arial"/>
      <w:kern w:val="2"/>
      <w:sz w:val="24"/>
      <w:szCs w:val="24"/>
      <w:lang w:val="en-US" w:eastAsia="zh-CN" w:bidi="ar-SA"/>
    </w:rPr>
  </w:style>
  <w:style w:type="paragraph" w:styleId="19">
    <w:name w:val="annotation text"/>
    <w:basedOn w:val="0"/>
    <w:pPr>
      <w:jc w:val="left"/>
    </w:pPr>
  </w:style>
  <w:style w:type="paragraph" w:styleId="20">
    <w:name w:val="Body Text"/>
    <w:basedOn w:val="0"/>
    <w:pPr>
      <w:spacing w:beforeLines="30" w:before="30"/>
    </w:pPr>
    <w:rPr>
      <w:rFonts w:ascii="仿宋_GB2312" w:eastAsia="仿宋_GB2312"/>
      <w:kern w:val="0"/>
      <w:sz w:val="30"/>
    </w:rPr>
  </w:style>
  <w:style w:type="paragraph" w:styleId="21">
    <w:name w:val="toc 3"/>
    <w:basedOn w:val="0"/>
    <w:next w:val="0"/>
    <w:pPr>
      <w:tabs>
        <w:tab w:val="right" w:leader="dot" w:pos="8296"/>
      </w:tabs>
      <w:ind w:leftChars="400" w:left="400"/>
    </w:pPr>
  </w:style>
  <w:style w:type="paragraph" w:styleId="22">
    <w:name w:val="Balloon Text"/>
    <w:basedOn w:val="0"/>
    <w:rPr>
      <w:sz w:val="18"/>
      <w:szCs w:val="18"/>
    </w:rPr>
  </w:style>
  <w:style w:type="paragraph" w:styleId="23">
    <w:name w:val="footer"/>
    <w:basedOn w:val="0"/>
    <w:pPr>
      <w:tabs>
        <w:tab w:val="center" w:pos="4153"/>
        <w:tab w:val="right" w:pos="8306"/>
      </w:tabs>
      <w:snapToGrid w:val="0"/>
      <w:jc w:val="left"/>
    </w:pPr>
    <w:rPr>
      <w:sz w:val="18"/>
      <w:szCs w:val="18"/>
    </w:rPr>
  </w:style>
  <w:style w:type="paragraph" w:styleId="24">
    <w:name w:val="header"/>
    <w:basedOn w:val="0"/>
    <w:pPr>
      <w:pBdr>
        <w:bottom w:val="single" w:sz="6" w:space="1" w:color="auto"/>
      </w:pBdr>
      <w:tabs>
        <w:tab w:val="center" w:pos="4153"/>
        <w:tab w:val="right" w:pos="8306"/>
      </w:tabs>
      <w:snapToGrid w:val="0"/>
      <w:jc w:val="center"/>
    </w:pPr>
    <w:rPr>
      <w:sz w:val="18"/>
      <w:szCs w:val="18"/>
    </w:rPr>
  </w:style>
  <w:style w:type="paragraph" w:styleId="25">
    <w:name w:val="toc 1"/>
    <w:basedOn w:val="0"/>
    <w:next w:val="0"/>
    <w:pPr>
      <w:tabs>
        <w:tab w:val="right" w:leader="dot" w:pos="8296"/>
      </w:tabs>
      <w:spacing w:before="93"/>
      <w:jc w:val="center"/>
    </w:pPr>
    <w:rPr>
      <w:rFonts w:ascii="仿宋" w:eastAsia="仿宋"/>
      <w:sz w:val="28"/>
      <w:szCs w:val="28"/>
    </w:rPr>
  </w:style>
  <w:style w:type="paragraph" w:styleId="26">
    <w:name w:val="table of figures"/>
    <w:basedOn w:val="0"/>
    <w:next w:val="0"/>
    <w:pPr>
      <w:ind w:leftChars="200" w:left="400" w:hangingChars="200" w:hanging="200"/>
    </w:pPr>
  </w:style>
  <w:style w:type="paragraph" w:styleId="27">
    <w:name w:val="toc 2"/>
    <w:basedOn w:val="0"/>
    <w:next w:val="0"/>
    <w:pPr>
      <w:tabs>
        <w:tab w:val="right" w:leader="dot" w:pos="8296"/>
      </w:tabs>
      <w:ind w:leftChars="200" w:left="200"/>
    </w:pPr>
  </w:style>
  <w:style w:type="paragraph" w:styleId="28">
    <w:name w:val="Normal (Web)"/>
    <w:basedOn w:val="0"/>
    <w:pPr>
      <w:spacing w:beforeAutospacing="1" w:afterAutospacing="1"/>
      <w:jc w:val="left"/>
    </w:pPr>
    <w:rPr>
      <w:kern w:val="0"/>
      <w:sz w:val="24"/>
    </w:rPr>
  </w:style>
  <w:style w:type="character" w:styleId="29">
    <w:name w:val="Strong"/>
    <w:basedOn w:val="10"/>
    <w:rPr>
      <w:b/>
    </w:rPr>
  </w:style>
  <w:style w:type="character" w:styleId="30">
    <w:name w:val="Hyperlink"/>
    <w:basedOn w:val="10"/>
    <w:rPr>
      <w:color w:val="0000FF"/>
      <w:u w:val="single"/>
    </w:rPr>
  </w:style>
  <w:style w:type="character" w:styleId="31">
    <w:name w:val="annotation reference"/>
    <w:basedOn w:val="10"/>
    <w:rPr>
      <w:sz w:val="21"/>
      <w:szCs w:val="21"/>
    </w:rPr>
  </w:style>
  <w:style w:type="paragraph" w:customStyle="1" w:styleId="32">
    <w:name w:val="Default"/>
    <w:pPr>
      <w:widowControl w:val="0"/>
      <w:autoSpaceDE w:val="0"/>
      <w:autoSpaceDN w:val="0"/>
      <w:adjustRightInd w:val="0"/>
    </w:pPr>
    <w:rPr>
      <w:rFonts w:ascii="仿宋" w:eastAsia="仿宋" w:cs="仿宋"/>
      <w:color w:val="000000"/>
      <w:sz w:val="24"/>
      <w:szCs w:val="24"/>
      <w:lang w:val="en-US" w:eastAsia="zh-CN" w:bidi="ar-SA"/>
    </w:rPr>
  </w:style>
  <w:style w:type="character" w:customStyle="1" w:styleId="33">
    <w:name w:val="Header Char"/>
    <w:basedOn w:val="10"/>
    <w:rPr>
      <w:rFonts w:ascii="Times New Roman" w:hAnsi="Times New Roman"/>
      <w:sz w:val="18"/>
      <w:szCs w:val="18"/>
    </w:rPr>
  </w:style>
  <w:style w:type="character" w:customStyle="1" w:styleId="34">
    <w:name w:val="Footer Char"/>
    <w:basedOn w:val="10"/>
    <w:rPr>
      <w:rFonts w:ascii="Times New Roman" w:hAnsi="Times New Roman"/>
      <w:sz w:val="18"/>
      <w:szCs w:val="18"/>
    </w:rPr>
  </w:style>
  <w:style w:type="character" w:customStyle="1" w:styleId="35">
    <w:name w:val="Body Text Char"/>
    <w:basedOn w:val="10"/>
    <w:rPr>
      <w:rFonts w:ascii="Times New Roman" w:hAnsi="Times New Roman"/>
      <w:szCs w:val="24"/>
    </w:rPr>
  </w:style>
  <w:style w:type="paragraph" w:styleId="36">
    <w:name w:val="List Paragraph"/>
    <w:basedOn w:val="0"/>
    <w:pPr>
      <w:ind w:firstLineChars="200" w:firstLine="200"/>
    </w:pPr>
  </w:style>
  <w:style w:type="paragraph" w:customStyle="1" w:styleId="37">
    <w:name w:val="TOC 标题1"/>
    <w:basedOn w:val="1"/>
    <w:next w:val="0"/>
    <w:pPr>
      <w:keepNext/>
      <w:keepLines/>
      <w:widowControl/>
      <w:spacing w:before="480" w:after="0" w:line="276" w:lineRule="auto"/>
      <w:jc w:val="left"/>
      <w:outlineLvl w:val="9"/>
    </w:pPr>
    <w:rPr>
      <w:rFonts w:ascii="Cambria" w:eastAsia="宋体" w:cs="Times New Roman" w:hAnsi="Cambria"/>
      <w:color w:val="376092"/>
      <w:kern w:val="0"/>
      <w:sz w:val="28"/>
      <w:szCs w:val="28"/>
    </w:rPr>
  </w:style>
  <w:style w:type="paragraph" w:customStyle="1" w:styleId="38">
    <w:name w:val="TOC 标题11"/>
    <w:basedOn w:val="1"/>
    <w:next w:val="0"/>
    <w:pPr>
      <w:spacing w:before="480" w:after="0" w:line="276" w:lineRule="auto"/>
      <w:outlineLvl w:val="9"/>
    </w:pPr>
    <w:rPr>
      <w:rFonts w:ascii="仿宋" w:hAnsi="仿宋"/>
      <w:color w:val="000000"/>
      <w:kern w:val="0"/>
      <w:szCs w:val="32"/>
    </w:rPr>
  </w:style>
  <w:style w:type="paragraph" w:customStyle="1" w:styleId="39">
    <w:name w:val="TOC 标题12"/>
    <w:basedOn w:val="1"/>
    <w:next w:val="0"/>
    <w:pPr>
      <w:spacing w:before="480" w:after="0" w:line="276" w:lineRule="auto"/>
      <w:outlineLvl w:val="9"/>
    </w:pPr>
    <w:rPr>
      <w:rFonts w:ascii="仿宋" w:hAnsi="仿宋"/>
      <w:color w:val="000000"/>
      <w:kern w:val="0"/>
      <w:szCs w:val="32"/>
    </w:rPr>
  </w:style>
  <w:style w:type="paragraph" w:customStyle="1" w:styleId="40">
    <w:name w:val="四号正文"/>
    <w:pPr>
      <w:widowControl w:val="0"/>
      <w:spacing w:line="360" w:lineRule="auto"/>
      <w:jc w:val="both"/>
    </w:pPr>
    <w:rPr>
      <w:rFonts w:ascii="??" w:eastAsia="宋体" w:cs="Times New Roman" w:hAnsi="??"/>
      <w:color w:val="000000"/>
      <w:kern w:val="0"/>
      <w:sz w:val="28"/>
      <w:szCs w:val="21"/>
      <w:lang w:val="zh-CN"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chart" Target="charts/chart7.xml"/><Relationship Id="rId11" Type="http://schemas.openxmlformats.org/officeDocument/2006/relationships/styles" Target="styles.xml"/><Relationship Id="rId12" Type="http://schemas.openxmlformats.org/officeDocument/2006/relationships/numbering" Target="numbering.xml"/><Relationship Id="rId1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char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char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nchor="t" anchorCtr="0"/>
          <a:lstStyle/>
          <a:p>
            <a:pPr>
              <a:defRPr sz="1800" b="1" i="0" u="none" strike="noStrike" baseline="0">
                <a:solidFill>
                  <a:srgbClr val="000000"/>
                </a:solidFill>
                <a:latin typeface="Times New Roman"/>
                <a:ea typeface="宋体"/>
                <a:cs typeface="Lucida Sans"/>
              </a:defRPr>
            </a:pPr>
            <a:r>
              <a:rPr lang="zh-CN"/>
              <a:t>收、支决算总计变动情况图</a:t>
            </a:r>
          </a:p>
        </c:rich>
      </c:tx>
      <c:layout/>
      <c:overlay val="0"/>
      <c:spPr>
        <a:ln>
          <a:noFill/>
        </a:ln>
      </c:spPr>
    </c:title>
    <c:autoTitleDeleted val="1"/>
    <c:plotArea>
      <c:layout>
        <c:manualLayout>
          <c:layoutTarget val="inner"/>
          <c:xMode val="edge"/>
          <c:yMode val="edge"/>
          <c:x val="0.003403676"/>
          <c:y val="0.20457508"/>
          <c:w val="0.800713"/>
          <c:h val="0.65402776"/>
        </c:manualLayout>
      </c:layout>
      <c:barChart>
        <c:barDir val="col"/>
        <c:grouping val="clustered"/>
        <c:varyColors val="0"/>
        <c:ser>
          <c:idx val="1"/>
          <c:order val="0"/>
          <c:tx>
            <c:v>收入</c:v>
          </c:tx>
          <c:spPr>
            <a:solidFill>
              <a:srgbClr val="C0504D"/>
            </a:solidFill>
            <a:ln>
              <a:noFill/>
            </a:ln>
          </c:spPr>
          <c:invertIfNegative val="0"/>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General" sourceLinked="0"/>
            <c:dLblPos val="outEnd"/>
            <c:showLegendKey val="0"/>
            <c:showVal val="1"/>
            <c:showCatName val="0"/>
            <c:showSerName val="0"/>
            <c:showPercent val="0"/>
            <c:showBubbleSize val="0"/>
            <c:showLeaderLines val="0"/>
          </c:dLbls>
          <c:cat>
            <c:numRef>
              <c:numCache>
                <c:ptCount val="2"/>
                <c:pt idx="0">
                  <c:v>2021</c:v>
                </c:pt>
                <c:pt idx="1">
                  <c:v>2022</c:v>
                </c:pt>
              </c:numCache>
            </c:numRef>
          </c:cat>
          <c:val>
            <c:numRef>
              <c:f/>
              <c:numCache>
                <c:formatCode>General</c:formatCode>
                <c:ptCount val="2"/>
                <c:pt idx="0">
                  <c:v>1454.25</c:v>
                </c:pt>
                <c:pt idx="1">
                  <c:v>1218.67</c:v>
                </c:pt>
              </c:numCache>
            </c:numRef>
          </c:val>
        </c:ser>
        <c:ser>
          <c:idx val="2"/>
          <c:order val="1"/>
          <c:tx>
            <c:v>支出</c:v>
          </c:tx>
          <c:spPr>
            <a:solidFill>
              <a:srgbClr val="9BBB59"/>
            </a:solidFill>
            <a:ln>
              <a:noFill/>
            </a:ln>
          </c:spPr>
          <c:invertIfNegative val="0"/>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General" sourceLinked="0"/>
            <c:dLblPos val="outEnd"/>
            <c:showLegendKey val="0"/>
            <c:showVal val="1"/>
            <c:showCatName val="0"/>
            <c:showSerName val="0"/>
            <c:showPercent val="0"/>
            <c:showBubbleSize val="0"/>
            <c:showLeaderLines val="0"/>
          </c:dLbls>
          <c:cat>
            <c:numRef>
              <c:numCache>
                <c:ptCount val="2"/>
                <c:pt idx="0">
                  <c:v>2021</c:v>
                </c:pt>
                <c:pt idx="1">
                  <c:v>2022</c:v>
                </c:pt>
              </c:numCache>
            </c:numRef>
          </c:cat>
          <c:val>
            <c:numRef>
              <c:f/>
              <c:numCache>
                <c:formatCode>General</c:formatCode>
                <c:ptCount val="2"/>
                <c:pt idx="0">
                  <c:v>1454.25</c:v>
                </c:pt>
                <c:pt idx="1">
                  <c:v>1218.67</c:v>
                </c:pt>
              </c:numCache>
            </c:numRef>
          </c:val>
        </c:ser>
        <c:gapWidth val="41"/>
        <c:axId val="0"/>
        <c:axId val="1"/>
      </c:barChart>
      <c:catAx>
        <c:axId val="0"/>
        <c:scaling>
          <c:orientation val="minMax"/>
        </c:scaling>
        <c:delete val="0"/>
        <c:axPos val="b"/>
        <c:numFmt formatCode="General" sourceLinked="0"/>
        <c:title>
          <c:tx>
            <c:rich>
              <a:bodyPr rot="0" vert="horz" anchor="t" anchorCtr="0"/>
              <a:lstStyle/>
              <a:p>
                <a:pPr>
                  <a:defRPr sz="1000" b="1" i="0" u="none" strike="noStrike" baseline="0">
                    <a:solidFill>
                      <a:srgbClr val="000000"/>
                    </a:solidFill>
                    <a:latin typeface="Times New Roman"/>
                    <a:ea typeface="宋体"/>
                    <a:cs typeface="Lucida Sans"/>
                  </a:defRPr>
                </a:pPr>
                <a:r>
                  <a:rPr lang="zh-CN"/>
                  <a:t>单位：万元</a:t>
                </a:r>
              </a:p>
            </c:rich>
          </c:tx>
          <c:layout/>
          <c:overlay val="0"/>
          <c:spPr>
            <a:ln>
              <a:noFill/>
            </a:ln>
          </c:spPr>
        </c:title>
        <c:majorTickMark val="none"/>
        <c:minorTickMark val="none"/>
        <c:tickLblPos val="nextTo"/>
        <c:spPr>
          <a:ln>
            <a:noFill/>
          </a:ln>
        </c:spPr>
        <c:txPr>
          <a:bodyPr/>
          <a:lstStyle/>
          <a:p>
            <a:pPr>
              <a:defRPr sz="900" b="0" i="0" u="none" strike="noStrike" baseline="0">
                <a:solidFill>
                  <a:srgbClr val="595959"/>
                </a:solidFill>
                <a:latin typeface="Times New Roman"/>
                <a:ea typeface="宋体"/>
                <a:cs typeface="Lucida Sans"/>
              </a:defRPr>
            </a:pPr>
            <a:endParaRPr lang="zh-CN"/>
          </a:p>
        </c:txPr>
        <c:crosses val="autoZero"/>
        <c:auto val="1"/>
        <c:lblOffset val="100"/>
        <c:lblAlgn val="ctr"/>
        <c:noMultiLvlLbl val="0"/>
        <c:crossAx val="1"/>
      </c:catAx>
      <c:valAx>
        <c:axId val="1"/>
        <c:scaling>
          <c:orientation val="minMax"/>
        </c:scaling>
        <c:delete val="1"/>
        <c:axPos val="l"/>
        <c:title>
          <c:tx>
            <c:rich>
              <a:bodyPr rot="-5400000" vert="horz" anchor="t" anchorCtr="0"/>
              <a:lstStyle/>
              <a:p>
                <a:pPr>
                  <a:defRPr sz="1000" b="1" i="0" u="none" strike="noStrike" baseline="0">
                    <a:solidFill>
                      <a:srgbClr val="000000"/>
                    </a:solidFill>
                    <a:latin typeface="Times New Roman"/>
                    <a:ea typeface="宋体"/>
                    <a:cs typeface="Lucida Sans"/>
                  </a:defRPr>
                </a:pPr>
                <a:r>
                  <a:rPr lang="zh-CN"/>
                  <a:t> </a:t>
                </a:r>
              </a:p>
            </c:rich>
          </c:tx>
          <c:layout/>
          <c:overlay val="0"/>
          <c:spPr>
            <a:ln>
              <a:noFill/>
            </a:ln>
          </c:spPr>
        </c:title>
        <c:numFmt formatCode="General" sourceLinked="1"/>
        <c:majorTickMark val="none"/>
        <c:minorTickMark val="none"/>
        <c:tickLblPos val="none"/>
        <c:txPr>
          <a:bodyPr/>
          <a:lstStyle/>
          <a:p>
            <a:pPr>
              <a:defRPr sz="1000" b="0" i="0" u="none" strike="noStrike" baseline="0">
                <a:solidFill>
                  <a:srgbClr val="000000"/>
                </a:solidFill>
                <a:latin typeface="Times New Roman"/>
                <a:ea typeface="宋体"/>
                <a:cs typeface="Lucida Sans"/>
              </a:defRPr>
            </a:pPr>
            <a:endParaRPr lang="zh-CN"/>
          </a:p>
        </c:txPr>
        <c:crossesAt val="1.0"/>
        <c:crossBetween val="between"/>
        <c:crossAx val="0"/>
      </c:valAx>
      <c:spPr>
        <a:noFill/>
        <a:ln>
          <a:noFill/>
        </a:ln>
      </c:spPr>
    </c:plotArea>
    <c:legend>
      <c:legendPos val="r"/>
      <c:layout/>
      <c:overlay val="0"/>
      <c:spPr>
        <a:noFill/>
        <a:ln>
          <a:noFill/>
        </a:ln>
      </c:spPr>
      <c:txPr>
        <a:bodyPr/>
        <a:lstStyle/>
        <a:p>
          <a:pPr>
            <a:defRPr sz="900" b="0" i="0" u="none" strike="noStrike" baseline="0">
              <a:solidFill>
                <a:srgbClr val="595959"/>
              </a:solidFill>
              <a:latin typeface="Times New Roman"/>
              <a:ea typeface="宋体"/>
              <a:cs typeface="Lucida Sans"/>
            </a:defRPr>
          </a:pPr>
          <a:endParaRPr lang="zh-CN"/>
        </a:p>
      </c:txPr>
    </c:legend>
    <c:plotVisOnly val="1"/>
    <c:dispBlanksAs val="gap"/>
    <c:showDLblsOverMax val="0"/>
  </c:chart>
  <c:spPr>
    <a:gradFill rotWithShape="1">
      <a:gsLst>
        <a:gs pos="0">
          <a:srgbClr val="FFFFFF">
            <a:alpha val="100000"/>
          </a:srgbClr>
        </a:gs>
        <a:gs pos="68000">
          <a:srgbClr val="D9D9D9">
            <a:alpha val="100000"/>
          </a:srgbClr>
        </a:gs>
        <a:gs pos="100000">
          <a:srgbClr val="FFFFFF">
            <a:alpha val="100000"/>
          </a:srgbClr>
        </a:gs>
      </a:gsLst>
      <a:lin ang="5400000" scaled="1"/>
    </a:gradFill>
    <a:ln w="6350">
      <a:solidFill>
        <a:srgbClr val="D9D9D9"/>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nchor="t" anchorCtr="0"/>
          <a:lstStyle/>
          <a:p>
            <a:pPr>
              <a:defRPr sz="1800" b="1" i="0" u="none" strike="noStrike" baseline="0">
                <a:solidFill>
                  <a:srgbClr val="000000"/>
                </a:solidFill>
                <a:latin typeface="Times New Roman"/>
                <a:ea typeface="宋体"/>
                <a:cs typeface="Lucida Sans"/>
              </a:defRPr>
            </a:pPr>
            <a:r>
              <a:rPr lang="zh-CN"/>
              <a:t>收入决算结构图</a:t>
            </a:r>
          </a:p>
        </c:rich>
      </c:tx>
      <c:layout/>
      <c:overlay val="0"/>
      <c:spPr>
        <a:ln>
          <a:noFill/>
        </a:ln>
      </c:spPr>
    </c:title>
    <c:autoTitleDeleted val="1"/>
    <c:plotArea>
      <c:layout/>
      <c:pieChart>
        <c:varyColors val="1"/>
        <c:ser>
          <c:idx val="1"/>
          <c:order val="0"/>
          <c:spPr>
            <a:solidFill>
              <a:srgbClr val="C0504D"/>
            </a:solidFill>
            <a:ln>
              <a:noFill/>
            </a:ln>
          </c:spPr>
          <c:dPt>
            <c:idx val="0"/>
            <c:bubble3D val="0"/>
            <c:spPr>
              <a:solidFill>
                <a:srgbClr val="4572A7"/>
              </a:solidFill>
            </c:spPr>
          </c:dPt>
          <c:dPt>
            <c:idx val="1"/>
            <c:bubble3D val="0"/>
            <c:spPr>
              <a:solidFill>
                <a:srgbClr val="AA4643"/>
              </a:solidFill>
            </c:spPr>
          </c:dPt>
          <c:dPt>
            <c:idx val="2"/>
            <c:bubble3D val="0"/>
            <c:spPr>
              <a:solidFill>
                <a:srgbClr val="89A54E"/>
              </a:solidFill>
            </c:spPr>
          </c:dPt>
          <c:dPt>
            <c:idx val="3"/>
            <c:bubble3D val="0"/>
            <c:spPr>
              <a:solidFill>
                <a:srgbClr val="71588F"/>
              </a:solidFill>
            </c:spPr>
          </c:dPt>
          <c:dPt>
            <c:idx val="4"/>
            <c:bubble3D val="0"/>
            <c:spPr>
              <a:solidFill>
                <a:srgbClr val="4198AF"/>
              </a:solidFill>
            </c:spPr>
          </c:dPt>
          <c:dPt>
            <c:idx val="5"/>
            <c:bubble3D val="0"/>
            <c:spPr>
              <a:solidFill>
                <a:srgbClr val="DB843D"/>
              </a:solidFill>
            </c:spPr>
          </c:dPt>
          <c:dPt>
            <c:idx val="6"/>
            <c:bubble3D val="0"/>
            <c:spPr>
              <a:solidFill>
                <a:srgbClr val="93A9CF"/>
              </a:solidFill>
            </c:spPr>
          </c:dPt>
          <c:dPt>
            <c:idx val="7"/>
            <c:bubble3D val="0"/>
            <c:spPr>
              <a:solidFill>
                <a:srgbClr val="D19392"/>
              </a:solidFill>
            </c:spPr>
          </c:dPt>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0%" sourceLinked="0"/>
            <c:showLegendKey val="0"/>
            <c:showVal val="0"/>
            <c:showCatName val="0"/>
            <c:showSerName val="0"/>
            <c:showPercent val="1"/>
            <c:showBubbleSize val="0"/>
            <c:showLeaderLines val="1"/>
          </c:dLbls>
          <c:cat>
            <c:strLit>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Lit>
          </c:cat>
          <c:val>
            <c:numRef>
              <c:f/>
              <c:numCache>
                <c:formatCode>General</c:formatCode>
                <c:ptCount val="8"/>
                <c:pt idx="0">
                  <c:v>1.207268852E7</c:v>
                </c:pt>
                <c:pt idx="1">
                  <c:v>114000.0</c:v>
                </c:pt>
                <c:pt idx="2">
                  <c:v>0.0</c:v>
                </c:pt>
                <c:pt idx="3">
                  <c:v>0.0</c:v>
                </c:pt>
                <c:pt idx="4">
                  <c:v>0.0</c:v>
                </c:pt>
                <c:pt idx="5">
                  <c:v>0.0</c:v>
                </c:pt>
                <c:pt idx="6">
                  <c:v>0.0</c:v>
                </c:pt>
                <c:pt idx="7">
                  <c:v>0.0</c:v>
                </c:pt>
              </c:numCache>
            </c:numRef>
          </c:val>
        </c:ser>
        <c:firstSliceAng val="0"/>
      </c:pieChart>
      <c:spPr>
        <a:noFill/>
        <a:ln>
          <a:noFill/>
        </a:ln>
      </c:spPr>
    </c:plotArea>
    <c:legend>
      <c:legendPos val="r"/>
      <c:layout/>
      <c:overlay val="0"/>
      <c:spPr>
        <a:solidFill>
          <a:srgbClr val="F2F2F2">
            <a:alpha val="39000"/>
          </a:srgbClr>
        </a:solidFill>
        <a:ln>
          <a:noFill/>
        </a:ln>
      </c:spPr>
      <c:txPr>
        <a:bodyPr/>
        <a:lstStyle/>
        <a:p>
          <a:pPr>
            <a:defRPr sz="900" b="0" i="0" u="none" strike="noStrike" baseline="0">
              <a:solidFill>
                <a:srgbClr val="404040"/>
              </a:solidFill>
              <a:latin typeface="Times New Roman"/>
              <a:ea typeface="宋体"/>
              <a:cs typeface="Lucida Sans"/>
            </a:defRPr>
          </a:pPr>
          <a:endParaRPr lang="zh-CN"/>
        </a:p>
      </c:txPr>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
    <c:plotVisOnly val="1"/>
    <c:dispBlanksAs val="zero"/>
    <c:showDLblsOverMax val="0"/>
  </c:chart>
  <c:spPr>
    <a:gradFill rotWithShape="1">
      <a:gsLst>
        <a:gs pos="0">
          <a:srgbClr val="FFFFFF">
            <a:alpha val="100000"/>
          </a:srgbClr>
        </a:gs>
        <a:gs pos="39000">
          <a:srgbClr val="FFFFFF">
            <a:alpha val="100000"/>
          </a:srgbClr>
        </a:gs>
        <a:gs pos="100000">
          <a:srgbClr val="BFBFBF">
            <a:alpha val="100000"/>
          </a:srgbClr>
        </a:gs>
      </a:gsLst>
      <a:path path="circle">
        <a:fillToRect l="100000" t="100000"/>
      </a:path>
      <a:tileRect r="-100000" b="-100000"/>
    </a:gradFill>
    <a:ln w="6350">
      <a:solidFill>
        <a:srgbClr val="BFBFBF"/>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nchor="t" anchorCtr="0"/>
          <a:lstStyle/>
          <a:p>
            <a:pPr>
              <a:defRPr sz="1800" b="1" i="0" u="none" strike="noStrike" baseline="0">
                <a:solidFill>
                  <a:srgbClr val="000000"/>
                </a:solidFill>
                <a:latin typeface="Times New Roman"/>
                <a:ea typeface="宋体"/>
                <a:cs typeface="Lucida Sans"/>
              </a:defRPr>
            </a:pPr>
            <a:r>
              <a:rPr lang="zh-CN"/>
              <a:t>支出决算结构图</a:t>
            </a:r>
          </a:p>
        </c:rich>
      </c:tx>
      <c:layout/>
      <c:overlay val="0"/>
      <c:spPr>
        <a:ln>
          <a:noFill/>
        </a:ln>
      </c:spPr>
    </c:title>
    <c:autoTitleDeleted val="1"/>
    <c:plotArea>
      <c:layout/>
      <c:pieChart>
        <c:varyColors val="1"/>
        <c:ser>
          <c:idx val="1"/>
          <c:order val="0"/>
          <c:spPr>
            <a:solidFill>
              <a:srgbClr val="C0504D"/>
            </a:solidFill>
            <a:ln>
              <a:noFill/>
            </a:ln>
          </c:spPr>
          <c:dPt>
            <c:idx val="0"/>
            <c:bubble3D val="0"/>
            <c:spPr>
              <a:solidFill>
                <a:srgbClr val="4F81BD"/>
              </a:solidFill>
            </c:spPr>
          </c:dPt>
          <c:dPt>
            <c:idx val="1"/>
            <c:bubble3D val="0"/>
            <c:spPr>
              <a:solidFill>
                <a:srgbClr val="C0504D"/>
              </a:solidFill>
            </c:spPr>
          </c:dPt>
          <c:dPt>
            <c:idx val="2"/>
            <c:bubble3D val="0"/>
            <c:spPr>
              <a:solidFill>
                <a:srgbClr val="9BBB59"/>
              </a:solidFill>
            </c:spPr>
          </c:dPt>
          <c:dPt>
            <c:idx val="3"/>
            <c:bubble3D val="0"/>
            <c:spPr>
              <a:solidFill>
                <a:srgbClr val="8064A2"/>
              </a:solidFill>
            </c:spPr>
          </c:dPt>
          <c:dPt>
            <c:idx val="4"/>
            <c:bubble3D val="0"/>
            <c:spPr>
              <a:solidFill>
                <a:srgbClr val="4BACC6"/>
              </a:solidFill>
            </c:spPr>
          </c:dPt>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0%" sourceLinked="0"/>
            <c:showLegendKey val="0"/>
            <c:showVal val="0"/>
            <c:showCatName val="0"/>
            <c:showSerName val="0"/>
            <c:showPercent val="1"/>
            <c:showBubbleSize val="0"/>
            <c:showLeaderLines val="1"/>
          </c:dLbls>
          <c:cat>
            <c:strLit>
              <c:ptCount val="5"/>
              <c:pt idx="0">
                <c:v>基本支出</c:v>
              </c:pt>
              <c:pt idx="1">
                <c:v>项目支出</c:v>
              </c:pt>
              <c:pt idx="2">
                <c:v>上缴上级支出</c:v>
              </c:pt>
              <c:pt idx="3">
                <c:v>经营支出</c:v>
              </c:pt>
              <c:pt idx="4">
                <c:v>对附属单位补助支出</c:v>
              </c:pt>
            </c:strLit>
          </c:cat>
          <c:val>
            <c:numRef>
              <c:f/>
              <c:numCache>
                <c:formatCode>General</c:formatCode>
                <c:ptCount val="5"/>
                <c:pt idx="0">
                  <c:v>8759198.52</c:v>
                </c:pt>
                <c:pt idx="1">
                  <c:v>3427490.0</c:v>
                </c:pt>
                <c:pt idx="2">
                  <c:v>0.0</c:v>
                </c:pt>
                <c:pt idx="3">
                  <c:v>0.0</c:v>
                </c:pt>
                <c:pt idx="4">
                  <c:v>0.0</c:v>
                </c:pt>
              </c:numCache>
            </c:numRef>
          </c:val>
        </c:ser>
        <c:firstSliceAng val="0"/>
      </c:pieChart>
      <c:spPr>
        <a:noFill/>
        <a:ln>
          <a:noFill/>
        </a:ln>
      </c:spPr>
    </c:plotArea>
    <c:legend>
      <c:legendPos val="r"/>
      <c:layout/>
      <c:overlay val="0"/>
      <c:spPr>
        <a:solidFill>
          <a:srgbClr val="F2F2F2">
            <a:alpha val="39000"/>
          </a:srgbClr>
        </a:solidFill>
        <a:ln>
          <a:noFill/>
        </a:ln>
      </c:spPr>
      <c:txPr>
        <a:bodyPr/>
        <a:lstStyle/>
        <a:p>
          <a:pPr>
            <a:defRPr sz="900" b="0" i="0" u="none" strike="noStrike" baseline="0">
              <a:solidFill>
                <a:srgbClr val="404040"/>
              </a:solidFill>
              <a:latin typeface="Times New Roman"/>
              <a:ea typeface="宋体"/>
              <a:cs typeface="Lucida Sans"/>
            </a:defRPr>
          </a:pPr>
          <a:endParaRPr lang="zh-CN"/>
        </a:p>
      </c:txPr>
    </c:legend>
    <c:plotVisOnly val="1"/>
    <c:dispBlanksAs val="zero"/>
    <c:showDLblsOverMax val="0"/>
  </c:chart>
  <c:spPr>
    <a:gradFill rotWithShape="1">
      <a:gsLst>
        <a:gs pos="0">
          <a:srgbClr val="FFFFFF">
            <a:alpha val="100000"/>
          </a:srgbClr>
        </a:gs>
        <a:gs pos="39000">
          <a:srgbClr val="FFFFFF">
            <a:alpha val="100000"/>
          </a:srgbClr>
        </a:gs>
        <a:gs pos="100000">
          <a:srgbClr val="BFBFBF">
            <a:alpha val="100000"/>
          </a:srgbClr>
        </a:gs>
      </a:gsLst>
      <a:path path="circle">
        <a:fillToRect l="100000" t="100000"/>
      </a:path>
      <a:tileRect r="-100000" b="-100000"/>
    </a:gradFill>
    <a:ln w="6350">
      <a:solidFill>
        <a:srgbClr val="BFBFBF"/>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1F497D"/>
                </a:solidFill>
                <a:latin typeface="Times New Roman"/>
                <a:ea typeface="宋体"/>
                <a:cs typeface="Lucida Sans"/>
              </a:defRPr>
            </a:pPr>
            <a:r>
              <a:rPr lang="zh-CN"/>
              <a:t>财政拨款收、支决算总计变动情况</a:t>
            </a:r>
          </a:p>
        </c:rich>
      </c:tx>
      <c:layout/>
      <c:overlay val="0"/>
      <c:spPr>
        <a:noFill/>
        <a:ln>
          <a:noFill/>
        </a:ln>
      </c:spPr>
    </c:title>
    <c:autoTitleDeleted val="1"/>
    <c:plotArea>
      <c:layout/>
      <c:barChart>
        <c:barDir val="col"/>
        <c:grouping val="clustered"/>
        <c:varyColors val="0"/>
        <c:ser>
          <c:idx val="1"/>
          <c:order val="0"/>
          <c:tx>
            <c:v>收入</c:v>
          </c:tx>
          <c:spPr>
            <a:solidFill>
              <a:srgbClr val="C0504D"/>
            </a:solidFill>
          </c:spPr>
          <c:invertIfNegative val="0"/>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General" sourceLinked="0"/>
            <c:dLblPos val="outEnd"/>
            <c:showLegendKey val="0"/>
            <c:showVal val="1"/>
            <c:showCatName val="0"/>
            <c:showSerName val="0"/>
            <c:showPercent val="0"/>
            <c:showBubbleSize val="0"/>
            <c:showLeaderLines val="0"/>
          </c:dLbls>
          <c:cat>
            <c:numRef>
              <c:numCache>
                <c:ptCount val="2"/>
                <c:pt idx="0">
                  <c:v>2021</c:v>
                </c:pt>
                <c:pt idx="1">
                  <c:v>2022</c:v>
                </c:pt>
              </c:numCache>
            </c:numRef>
          </c:cat>
          <c:val>
            <c:numRef>
              <c:f/>
              <c:numCache>
                <c:formatCode>General</c:formatCode>
                <c:ptCount val="2"/>
                <c:pt idx="0">
                  <c:v>1454.25</c:v>
                </c:pt>
                <c:pt idx="1">
                  <c:v>1218.67</c:v>
                </c:pt>
              </c:numCache>
            </c:numRef>
          </c:val>
        </c:ser>
        <c:ser>
          <c:idx val="2"/>
          <c:order val="1"/>
          <c:tx>
            <c:v>支出</c:v>
          </c:tx>
          <c:spPr>
            <a:solidFill>
              <a:srgbClr val="9BBB59"/>
            </a:solidFill>
          </c:spPr>
          <c:invertIfNegative val="0"/>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General" sourceLinked="0"/>
            <c:dLblPos val="outEnd"/>
            <c:showLegendKey val="0"/>
            <c:showVal val="1"/>
            <c:showCatName val="0"/>
            <c:showSerName val="0"/>
            <c:showPercent val="0"/>
            <c:showBubbleSize val="0"/>
            <c:showLeaderLines val="0"/>
          </c:dLbls>
          <c:cat>
            <c:numRef>
              <c:numCache>
                <c:ptCount val="2"/>
                <c:pt idx="0">
                  <c:v>2021</c:v>
                </c:pt>
                <c:pt idx="1">
                  <c:v>2022</c:v>
                </c:pt>
              </c:numCache>
            </c:numRef>
          </c:cat>
          <c:val>
            <c:numRef>
              <c:f/>
              <c:numCache>
                <c:formatCode>General</c:formatCode>
                <c:ptCount val="2"/>
                <c:pt idx="0">
                  <c:v>1454.25</c:v>
                </c:pt>
                <c:pt idx="1">
                  <c:v>1218.67</c:v>
                </c:pt>
              </c:numCache>
            </c:numRef>
          </c:val>
        </c:ser>
        <c:overlap val="-24"/>
        <c:gapWidth val="100"/>
        <c:axId val="0"/>
        <c:axId val="1"/>
      </c:barChart>
      <c:catAx>
        <c:axId val="0"/>
        <c:scaling>
          <c:orientation val="minMax"/>
        </c:scaling>
        <c:delete val="0"/>
        <c:axPos val="b"/>
        <c:numFmt formatCode="General" sourceLinked="0"/>
        <c:title>
          <c:tx>
            <c:rich>
              <a:bodyPr rot="0" vert="horz" anchor="t" anchorCtr="0"/>
              <a:lstStyle/>
              <a:p>
                <a:pPr>
                  <a:defRPr sz="1000" b="1" i="0" u="none" strike="noStrike" baseline="0">
                    <a:solidFill>
                      <a:srgbClr val="000000"/>
                    </a:solidFill>
                    <a:latin typeface="Times New Roman"/>
                    <a:ea typeface="宋体"/>
                    <a:cs typeface="Lucida Sans"/>
                  </a:defRPr>
                </a:pPr>
                <a:r>
                  <a:rPr lang="zh-CN"/>
                  <a:t>单位：万元</a:t>
                </a:r>
              </a:p>
            </c:rich>
          </c:tx>
          <c:layout/>
          <c:overlay val="0"/>
          <c:spPr>
            <a:ln>
              <a:noFill/>
            </a:ln>
          </c:spPr>
        </c:title>
        <c:majorTickMark val="none"/>
        <c:minorTickMark val="none"/>
        <c:tickLblPos val="nextTo"/>
        <c:spPr>
          <a:ln w="6350">
            <a:solidFill>
              <a:srgbClr val="D4E3F4"/>
            </a:solidFill>
            <a:prstDash val="solid"/>
          </a:ln>
        </c:spPr>
        <c:txPr>
          <a:bodyPr/>
          <a:lstStyle/>
          <a:p>
            <a:pPr>
              <a:defRPr sz="900" b="0" i="0" u="none" strike="noStrike" baseline="0">
                <a:solidFill>
                  <a:srgbClr val="1F497D"/>
                </a:solidFill>
                <a:latin typeface="Times New Roman"/>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D4E3F4"/>
              </a:solidFill>
              <a:prstDash val="solid"/>
            </a:ln>
          </c:spPr>
        </c:majorGridlines>
        <c:title>
          <c:tx>
            <c:rich>
              <a:bodyPr rot="-5400000" vert="horz" anchor="t" anchorCtr="0"/>
              <a:lstStyle/>
              <a:p>
                <a:pPr>
                  <a:defRPr sz="1000" b="1" i="0" u="none" strike="noStrike" baseline="0">
                    <a:solidFill>
                      <a:srgbClr val="000000"/>
                    </a:solidFill>
                    <a:latin typeface="Times New Roman"/>
                    <a:ea typeface="宋体"/>
                    <a:cs typeface="Lucida Sans"/>
                  </a:defRPr>
                </a:pPr>
                <a:r>
                  <a:rPr lang="zh-CN"/>
                  <a:t> </a:t>
                </a:r>
              </a:p>
            </c:rich>
          </c:tx>
          <c:layout/>
          <c:overlay val="0"/>
          <c:spPr>
            <a:ln>
              <a:noFill/>
            </a:ln>
          </c:spPr>
        </c:title>
        <c:numFmt formatCode="General" sourceLinked="1"/>
        <c:majorTickMark val="none"/>
        <c:minorTickMark val="none"/>
        <c:tickLblPos val="nextTo"/>
        <c:spPr>
          <a:ln>
            <a:noFill/>
          </a:ln>
        </c:spPr>
        <c:txPr>
          <a:bodyPr/>
          <a:lstStyle/>
          <a:p>
            <a:pPr>
              <a:defRPr sz="900" b="0" i="0" u="none" strike="noStrike" baseline="0">
                <a:solidFill>
                  <a:srgbClr val="1F497D"/>
                </a:solidFill>
                <a:latin typeface="Times New Roman"/>
                <a:ea typeface="宋体"/>
                <a:cs typeface="Lucida Sans"/>
              </a:defRPr>
            </a:pPr>
            <a:endParaRPr lang="zh-CN"/>
          </a:p>
        </c:txPr>
        <c:crossesAt val="1.0"/>
        <c:crossBetween val="between"/>
        <c:crossAx val="0"/>
      </c:valAx>
      <c:spPr>
        <a:noFill/>
        <a:ln>
          <a:noFill/>
        </a:ln>
      </c:spPr>
    </c:plotArea>
    <c:legend>
      <c:legendPos val="r"/>
      <c:layout/>
      <c:overlay val="0"/>
      <c:spPr>
        <a:noFill/>
        <a:ln>
          <a:noFill/>
        </a:ln>
      </c:spPr>
      <c:txPr>
        <a:bodyPr/>
        <a:lstStyle/>
        <a:p>
          <a:pPr>
            <a:defRPr sz="900" b="0" i="0" u="none" strike="noStrike" baseline="0">
              <a:solidFill>
                <a:srgbClr val="1F497D"/>
              </a:solidFill>
              <a:latin typeface="Times New Roman"/>
              <a:ea typeface="宋体"/>
              <a:cs typeface="Lucida Sans"/>
            </a:defRPr>
          </a:pPr>
          <a:endParaRPr lang="zh-CN"/>
        </a:p>
      </c:txPr>
    </c:legend>
    <c:plotVisOnly val="1"/>
    <c:dispBlanksAs val="gap"/>
    <c:showDLblsOverMax val="0"/>
  </c:chart>
  <c:spPr>
    <a:solidFill>
      <a:srgbClr val="FFFFFF"/>
    </a:solidFill>
    <a:ln w="6350">
      <a:solidFill>
        <a:srgbClr val="D4E3F4"/>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595959"/>
                </a:solidFill>
                <a:latin typeface="Times New Roman"/>
                <a:ea typeface="宋体"/>
                <a:cs typeface="Lucida Sans"/>
              </a:defRPr>
            </a:pPr>
            <a:r>
              <a:rPr lang="zh-CN"/>
              <a:t>一般公共预算财政拨款支出</a:t>
            </a:r>
          </a:p>
        </c:rich>
      </c:tx>
      <c:layout/>
      <c:overlay val="0"/>
      <c:spPr>
        <a:noFill/>
        <a:ln>
          <a:noFill/>
        </a:ln>
      </c:spPr>
    </c:title>
    <c:autoTitleDeleted val="1"/>
    <c:plotArea>
      <c:layout>
        <c:manualLayout>
          <c:layoutTarget val="inner"/>
          <c:xMode val="edge"/>
          <c:yMode val="edge"/>
          <c:x val="0.07363331"/>
          <c:y val="0.19958287"/>
          <c:w val="0.76762366"/>
          <c:h val="0.7085065"/>
        </c:manualLayout>
      </c:layout>
      <c:barChart>
        <c:barDir val="col"/>
        <c:grouping val="clustered"/>
        <c:varyColors val="0"/>
        <c:ser>
          <c:idx val="1"/>
          <c:order val="0"/>
          <c:tx>
            <c:v>2021</c:v>
          </c:tx>
          <c:spPr>
            <a:solidFill>
              <a:srgbClr val="C0504D"/>
            </a:solidFill>
          </c:spPr>
          <c:invertIfNegative val="0"/>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General" sourceLinked="0"/>
            <c:dLblPos val="outEnd"/>
            <c:showLegendKey val="0"/>
            <c:showVal val="1"/>
            <c:showCatName val="0"/>
            <c:showSerName val="0"/>
            <c:showPercent val="0"/>
            <c:showBubbleSize val="0"/>
            <c:showLeaderLines val="0"/>
          </c:dLbls>
          <c:cat>
            <c:strLit>
              <c:ptCount val="1"/>
              <c:pt idx="0">
                <c:v>一般公共预算财政拨款支出</c:v>
              </c:pt>
            </c:strLit>
          </c:cat>
          <c:val>
            <c:numRef>
              <c:f/>
              <c:numCache>
                <c:formatCode>General</c:formatCode>
                <c:ptCount val="1"/>
                <c:pt idx="0">
                  <c:v>1277.55</c:v>
                </c:pt>
              </c:numCache>
            </c:numRef>
          </c:val>
        </c:ser>
        <c:ser>
          <c:idx val="2"/>
          <c:order val="1"/>
          <c:tx>
            <c:v>2022</c:v>
          </c:tx>
          <c:spPr>
            <a:solidFill>
              <a:srgbClr val="9BBB59"/>
            </a:solidFill>
          </c:spPr>
          <c:invertIfNegative val="0"/>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General" sourceLinked="0"/>
            <c:dLblPos val="outEnd"/>
            <c:showLegendKey val="0"/>
            <c:showVal val="1"/>
            <c:showCatName val="0"/>
            <c:showSerName val="0"/>
            <c:showPercent val="0"/>
            <c:showBubbleSize val="0"/>
            <c:showLeaderLines val="0"/>
          </c:dLbls>
          <c:cat>
            <c:strLit>
              <c:ptCount val="1"/>
              <c:pt idx="0">
                <c:v>一般公共预算财政拨款支出</c:v>
              </c:pt>
            </c:strLit>
          </c:cat>
          <c:val>
            <c:numRef>
              <c:f/>
              <c:numCache>
                <c:formatCode>General</c:formatCode>
                <c:ptCount val="1"/>
                <c:pt idx="0">
                  <c:v>1207.27</c:v>
                </c:pt>
              </c:numCache>
            </c:numRef>
          </c:val>
        </c:ser>
        <c:overlap val="-24"/>
        <c:gapWidth val="100"/>
        <c:axId val="0"/>
        <c:axId val="1"/>
      </c:barChart>
      <c:catAx>
        <c:axId val="0"/>
        <c:scaling>
          <c:orientation val="minMax"/>
        </c:scaling>
        <c:delete val="1"/>
        <c:axPos val="b"/>
        <c:numFmt formatCode="General" sourceLinked="0"/>
        <c:title>
          <c:tx>
            <c:rich>
              <a:bodyPr rot="0" vert="horz" anchor="t" anchorCtr="0"/>
              <a:lstStyle/>
              <a:p>
                <a:pPr>
                  <a:defRPr sz="1000" b="1" i="0" u="none" strike="noStrike" baseline="0">
                    <a:solidFill>
                      <a:srgbClr val="000000"/>
                    </a:solidFill>
                    <a:latin typeface="Times New Roman"/>
                    <a:ea typeface="宋体"/>
                    <a:cs typeface="Lucida Sans"/>
                  </a:defRPr>
                </a:pPr>
                <a:r>
                  <a:rPr lang="zh-CN"/>
                  <a:t>单位：万元</a:t>
                </a:r>
              </a:p>
            </c:rich>
          </c:tx>
          <c:layout/>
          <c:overlay val="0"/>
          <c:spPr>
            <a:ln>
              <a:noFill/>
            </a:ln>
          </c:spPr>
        </c:title>
        <c:majorTickMark val="none"/>
        <c:minorTickMark val="none"/>
        <c:tickLblPos val="none"/>
        <c:txPr>
          <a:bodyPr/>
          <a:lstStyle/>
          <a:p>
            <a:pPr>
              <a:defRPr sz="1000" b="0" i="0" u="none" strike="noStrike" baseline="0">
                <a:solidFill>
                  <a:srgbClr val="000000"/>
                </a:solidFill>
                <a:latin typeface="Times New Roman"/>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D9D9D9"/>
              </a:solidFill>
              <a:prstDash val="solid"/>
            </a:ln>
          </c:spPr>
        </c:majorGridlines>
        <c:title>
          <c:tx>
            <c:rich>
              <a:bodyPr rot="-5400000" vert="horz" anchor="t" anchorCtr="0"/>
              <a:lstStyle/>
              <a:p>
                <a:pPr>
                  <a:defRPr sz="1000" b="1" i="0" u="none" strike="noStrike" baseline="0">
                    <a:solidFill>
                      <a:srgbClr val="000000"/>
                    </a:solidFill>
                    <a:latin typeface="Times New Roman"/>
                    <a:ea typeface="宋体"/>
                    <a:cs typeface="Lucida Sans"/>
                  </a:defRPr>
                </a:pPr>
                <a:r>
                  <a:rPr lang="zh-CN"/>
                  <a:t> </a:t>
                </a:r>
              </a:p>
            </c:rich>
          </c:tx>
          <c:layout/>
          <c:overlay val="0"/>
          <c:spPr>
            <a:ln>
              <a:noFill/>
            </a:ln>
          </c:spPr>
        </c:title>
        <c:numFmt formatCode="General" sourceLinked="1"/>
        <c:majorTickMark val="none"/>
        <c:minorTickMark val="none"/>
        <c:tickLblPos val="nextTo"/>
        <c:spPr>
          <a:ln>
            <a:noFill/>
          </a:ln>
        </c:spPr>
        <c:txPr>
          <a:bodyPr/>
          <a:lstStyle/>
          <a:p>
            <a:pPr>
              <a:defRPr sz="900" b="0" i="0" u="none" strike="noStrike" baseline="0">
                <a:solidFill>
                  <a:srgbClr val="595959"/>
                </a:solidFill>
                <a:latin typeface="Times New Roman"/>
                <a:ea typeface="宋体"/>
                <a:cs typeface="Lucida Sans"/>
              </a:defRPr>
            </a:pPr>
            <a:endParaRPr lang="zh-CN"/>
          </a:p>
        </c:txPr>
        <c:crossesAt val="1.0"/>
        <c:crossBetween val="between"/>
        <c:crossAx val="0"/>
      </c:valAx>
      <c:spPr>
        <a:noFill/>
        <a:ln>
          <a:noFill/>
        </a:ln>
      </c:spPr>
    </c:plotArea>
    <c:legend>
      <c:legendPos val="r"/>
      <c:layout/>
      <c:overlay val="0"/>
      <c:spPr>
        <a:noFill/>
        <a:ln>
          <a:noFill/>
        </a:ln>
      </c:spPr>
      <c:txPr>
        <a:bodyPr/>
        <a:lstStyle/>
        <a:p>
          <a:pPr>
            <a:defRPr sz="900" b="0" i="0" u="none" strike="noStrike" baseline="0">
              <a:solidFill>
                <a:srgbClr val="595959"/>
              </a:solidFill>
              <a:latin typeface="Times New Roman"/>
              <a:ea typeface="宋体"/>
              <a:cs typeface="Lucida Sans"/>
            </a:defRPr>
          </a:pPr>
          <a:endParaRPr lang="zh-CN"/>
        </a:p>
      </c:txPr>
    </c:legend>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nchor="t" anchorCtr="0"/>
          <a:lstStyle/>
          <a:p>
            <a:pPr>
              <a:defRPr sz="1800" b="1" i="0" u="none" strike="noStrike" baseline="0">
                <a:solidFill>
                  <a:srgbClr val="000000"/>
                </a:solidFill>
                <a:latin typeface="Times New Roman"/>
                <a:ea typeface="宋体"/>
                <a:cs typeface="Lucida Sans"/>
              </a:defRPr>
            </a:pPr>
            <a:r>
              <a:rPr lang="zh-CN"/>
              <a:t>一般公共预算财政拨款支出</a:t>
            </a:r>
          </a:p>
        </c:rich>
      </c:tx>
      <c:layout/>
      <c:overlay val="0"/>
      <c:spPr>
        <a:ln>
          <a:noFill/>
        </a:ln>
      </c:spPr>
    </c:title>
    <c:autoTitleDeleted val="1"/>
    <c:plotArea>
      <c:layout/>
      <c:pieChart>
        <c:varyColors val="1"/>
        <c:ser>
          <c:idx val="1"/>
          <c:order val="0"/>
          <c:spPr>
            <a:solidFill>
              <a:srgbClr val="C0504D"/>
            </a:solidFill>
          </c:spPr>
          <c:dPt>
            <c:idx val="0"/>
            <c:bubble3D val="0"/>
            <c:spPr>
              <a:solidFill>
                <a:srgbClr val="4F81BD"/>
              </a:solidFill>
            </c:spPr>
          </c:dPt>
          <c:dPt>
            <c:idx val="1"/>
            <c:bubble3D val="0"/>
            <c:spPr>
              <a:solidFill>
                <a:srgbClr val="C0504D"/>
              </a:solidFill>
            </c:spPr>
          </c:dPt>
          <c:dPt>
            <c:idx val="2"/>
            <c:bubble3D val="0"/>
            <c:spPr>
              <a:solidFill>
                <a:srgbClr val="9BBB59"/>
              </a:solidFill>
            </c:spPr>
          </c:dPt>
          <c:dPt>
            <c:idx val="3"/>
            <c:bubble3D val="0"/>
            <c:spPr>
              <a:solidFill>
                <a:srgbClr val="8064A2"/>
              </a:solidFill>
            </c:spPr>
          </c:dPt>
          <c:dPt>
            <c:idx val="4"/>
            <c:bubble3D val="0"/>
            <c:spPr>
              <a:solidFill>
                <a:srgbClr val="4BACC6"/>
              </a:solidFill>
            </c:spPr>
          </c:dPt>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General" sourceLinked="0"/>
            <c:showLegendKey val="0"/>
            <c:showVal val="1"/>
            <c:showCatName val="0"/>
            <c:showSerName val="0"/>
            <c:showPercent val="0"/>
            <c:showBubbleSize val="0"/>
            <c:showLeaderLines val="1"/>
          </c:dLbls>
          <c:cat>
            <c:strLit>
              <c:ptCount val="5"/>
              <c:pt idx="0">
                <c:v>一般公共服务支出</c:v>
              </c:pt>
              <c:pt idx="1">
                <c:v>社会保障和就业支出</c:v>
              </c:pt>
              <c:pt idx="2">
                <c:v>卫生健康支出</c:v>
              </c:pt>
              <c:pt idx="3">
                <c:v>农林水支出</c:v>
              </c:pt>
              <c:pt idx="4">
                <c:v>住房保障支出</c:v>
              </c:pt>
            </c:strLit>
          </c:cat>
          <c:val>
            <c:numRef>
              <c:f/>
              <c:numCache>
                <c:formatCode>General</c:formatCode>
                <c:ptCount val="5"/>
                <c:pt idx="0">
                  <c:v>441.06</c:v>
                </c:pt>
                <c:pt idx="1">
                  <c:v>113.58</c:v>
                </c:pt>
                <c:pt idx="2">
                  <c:v>58.21</c:v>
                </c:pt>
                <c:pt idx="3">
                  <c:v>533.96</c:v>
                </c:pt>
                <c:pt idx="4">
                  <c:v>60.46</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zero"/>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nchor="t" anchorCtr="0"/>
          <a:lstStyle/>
          <a:p>
            <a:pPr>
              <a:defRPr sz="1800" b="1" i="0" u="none" strike="noStrike" baseline="0">
                <a:solidFill>
                  <a:srgbClr val="000000"/>
                </a:solidFill>
                <a:latin typeface="Times New Roman"/>
                <a:ea typeface="宋体"/>
                <a:cs typeface="Lucida Sans"/>
              </a:defRPr>
            </a:pPr>
            <a:r>
              <a:rPr lang="zh-CN"/>
              <a:t>三公经费</a:t>
            </a:r>
          </a:p>
        </c:rich>
      </c:tx>
      <c:layout/>
      <c:overlay val="0"/>
      <c:spPr>
        <a:ln>
          <a:noFill/>
        </a:ln>
      </c:spPr>
    </c:title>
    <c:autoTitleDeleted val="1"/>
    <c:plotArea>
      <c:layout/>
      <c:pieChart>
        <c:varyColors val="1"/>
        <c:ser>
          <c:idx val="1"/>
          <c:order val="0"/>
          <c:spPr>
            <a:solidFill>
              <a:srgbClr val="C0504D"/>
            </a:solidFill>
          </c:spPr>
          <c:dPt>
            <c:idx val="0"/>
            <c:bubble3D val="0"/>
            <c:spPr>
              <a:solidFill>
                <a:srgbClr val="4F81BD"/>
              </a:solidFill>
            </c:spPr>
          </c:dPt>
          <c:dPt>
            <c:idx val="1"/>
            <c:bubble3D val="0"/>
            <c:spPr>
              <a:solidFill>
                <a:srgbClr val="C0504D"/>
              </a:solidFill>
            </c:spPr>
          </c:dPt>
          <c:dPt>
            <c:idx val="2"/>
            <c:bubble3D val="0"/>
            <c:spPr>
              <a:solidFill>
                <a:srgbClr val="9BBB59"/>
              </a:solidFill>
            </c:spPr>
          </c:dPt>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General" sourceLinked="0"/>
            <c:showLegendKey val="0"/>
            <c:showVal val="1"/>
            <c:showCatName val="0"/>
            <c:showSerName val="0"/>
            <c:showPercent val="0"/>
            <c:showBubbleSize val="0"/>
            <c:showLeaderLines val="1"/>
          </c:dLbls>
          <c:cat>
            <c:strLit>
              <c:ptCount val="3"/>
              <c:pt idx="0">
                <c:v>因公出国（境）费</c:v>
              </c:pt>
              <c:pt idx="1">
                <c:v>公务用车购置及运行维护费</c:v>
              </c:pt>
              <c:pt idx="2">
                <c:v>公务接待费</c:v>
              </c:pt>
            </c:strLit>
          </c:cat>
          <c:val>
            <c:numRef>
              <c:f/>
              <c:numCache>
                <c:formatCode>General</c:formatCode>
                <c:ptCount val="3"/>
                <c:pt idx="0">
                  <c:v>0.0</c:v>
                </c:pt>
                <c:pt idx="1">
                  <c:v>5.0</c:v>
                </c:pt>
                <c:pt idx="2">
                  <c:v>0.0</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zero"/>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3</TotalTime>
  <Application>Yozo_Office27021597764231179</Application>
  <Pages>46</Pages>
  <Words>16774</Words>
  <Characters>18380</Characters>
  <Lines>1273</Lines>
  <Paragraphs>659</Paragraphs>
  <CharactersWithSpaces>18652</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四川省决算编制说明</dc:title>
  <dc:creator>pjf</dc:creator>
  <cp:lastModifiedBy>user</cp:lastModifiedBy>
  <cp:revision>42</cp:revision>
  <cp:lastPrinted>2023-09-11T06:23:00Z</cp:lastPrinted>
  <dcterms:created xsi:type="dcterms:W3CDTF">2023-08-18T07:28:00Z</dcterms:created>
  <dcterms:modified xsi:type="dcterms:W3CDTF">2023-09-11T09:56:26Z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2052-12.1.0.15374</vt:lpwstr>
  </property>
  <property fmtid="{D5CDD505-2E9C-101B-9397-08002B2CF9AE}" pid="3" name="ICV">
    <vt:lpwstr>B93CA6F4BEAD4F359769D1203595D585</vt:lpwstr>
  </property>
</Properties>
</file>