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宋体" w:eastAsia="宋体"/>
          <w:b/>
          <w:sz w:val="72"/>
          <w:szCs w:val="72"/>
        </w:rPr>
      </w:pPr>
      <w:bookmarkStart w:id="0" w:name="_Toc15396475"/>
      <w:bookmarkStart w:id="1" w:name="_Toc15377425"/>
      <w:bookmarkStart w:id="2" w:name="_Toc15396597"/>
      <w:bookmarkStart w:id="3" w:name="_Toc15377193"/>
      <w:bookmarkStart w:id="4" w:name="_Toc15378441"/>
      <w:bookmarkStart w:id="5" w:name="_Toc15306267"/>
    </w:p>
    <w:p>
      <w:pPr>
        <w:pStyle w:val="17"/>
      </w:pPr>
    </w:p>
    <w:p>
      <w:pPr>
        <w:jc w:val="center"/>
        <w:rPr>
          <w:rFonts w:ascii="宋体" w:eastAsia="宋体"/>
          <w:b/>
          <w:sz w:val="72"/>
          <w:szCs w:val="72"/>
        </w:rPr>
      </w:pPr>
      <w:r>
        <w:rPr>
          <w:rFonts w:ascii="黑体" w:eastAsia="黑体" w:cs="黑体" w:hint="eastAsia"/>
          <w:b/>
          <w:sz w:val="72"/>
          <w:szCs w:val="72"/>
        </w:rPr>
        <w:t>2022</w:t>
      </w:r>
      <w:r>
        <w:rPr>
          <w:rFonts w:ascii="黑体" w:eastAsia="黑体" w:cs="黑体" w:hint="eastAsia"/>
          <w:b/>
          <w:sz w:val="72"/>
          <w:u w:color="auto"/>
        </w:rPr>
        <w:t>年度</w:t>
      </w:r>
      <w:bookmarkEnd w:id="0"/>
      <w:bookmarkEnd w:id="1"/>
      <w:bookmarkEnd w:id="2"/>
      <w:bookmarkEnd w:id="3"/>
      <w:bookmarkEnd w:id="4"/>
    </w:p>
    <w:p>
      <w:pPr>
        <w:jc w:val="center"/>
        <w:rPr>
          <w:rFonts w:ascii="方正小标宋简体" w:eastAsia="方正小标宋简体" w:cs="方正小标宋简体" w:hint="eastAsia"/>
          <w:b/>
          <w:sz w:val="72"/>
          <w:szCs w:val="72"/>
        </w:rPr>
      </w:pPr>
      <w:bookmarkStart w:id="6" w:name="_Toc15377194"/>
      <w:bookmarkStart w:id="7" w:name="_Toc15306268"/>
      <w:bookmarkStart w:id="8" w:name="_Toc15396476"/>
      <w:bookmarkStart w:id="9" w:name="_Toc15377426"/>
      <w:bookmarkStart w:id="10" w:name="_Toc15378442"/>
      <w:bookmarkStart w:id="11" w:name="_Toc15396598"/>
      <w:bookmarkEnd w:id="5"/>
      <w:r>
        <w:rPr>
          <w:rFonts w:ascii="方正小标宋简体" w:eastAsia="方正小标宋简体" w:cs="方正小标宋简体" w:hint="eastAsia"/>
          <w:b/>
          <w:sz w:val="72"/>
          <w:szCs w:val="72"/>
          <w:lang w:val="en-US" w:eastAsia="zh-CN"/>
        </w:rPr>
        <w:t>四川省</w:t>
      </w:r>
      <w:r>
        <w:rPr>
          <w:rFonts w:ascii="方正小标宋简体" w:eastAsia="方正小标宋简体" w:cs="方正小标宋简体" w:hint="eastAsia"/>
          <w:b/>
          <w:sz w:val="72"/>
          <w:szCs w:val="72"/>
        </w:rPr>
        <w:t>阿坝州茂县南新镇人民政府（本级）</w:t>
      </w:r>
    </w:p>
    <w:p>
      <w:pPr>
        <w:jc w:val="center"/>
        <w:rPr>
          <w:rFonts w:ascii="方正小标宋简体" w:eastAsia="方正小标宋简体" w:cs="方正小标宋简体" w:hint="eastAsia"/>
          <w:sz w:val="72"/>
          <w:szCs w:val="72"/>
          <w:lang w:eastAsia="zh-CN"/>
        </w:rPr>
      </w:pPr>
      <w:r>
        <w:rPr>
          <w:rFonts w:ascii="方正小标宋简体" w:eastAsia="方正小标宋简体" w:cs="方正小标宋简体" w:hint="eastAsia"/>
          <w:b/>
          <w:sz w:val="72"/>
          <w:szCs w:val="72"/>
        </w:rPr>
        <w:t>决算</w:t>
      </w:r>
      <w:bookmarkEnd w:id="6"/>
      <w:bookmarkEnd w:id="7"/>
      <w:bookmarkEnd w:id="8"/>
      <w:bookmarkEnd w:id="9"/>
      <w:bookmarkEnd w:id="10"/>
      <w:bookmarkEnd w:id="11"/>
      <w:r>
        <w:rPr>
          <w:rFonts w:ascii="方正小标宋简体" w:eastAsia="方正小标宋简体" w:cs="方正小标宋简体" w:hint="eastAsia"/>
          <w:b/>
          <w:sz w:val="72"/>
          <w:szCs w:val="72"/>
          <w:lang w:val="en-US" w:eastAsia="zh-CN"/>
        </w:rPr>
        <w:t>公开</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tabs>
          <w:tab w:val="left" w:pos="3600"/>
        </w:tabs>
      </w:pPr>
      <w:r>
        <w:tab/>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widowControl/>
        <w:jc w:val="center"/>
        <w:rPr>
          <w:rFonts w:ascii="黑体" w:eastAsia="黑体" w:hint="eastAsia"/>
          <w:color w:val="000000"/>
          <w:sz w:val="48"/>
          <w:szCs w:val="48"/>
        </w:rPr>
      </w:pPr>
    </w:p>
    <w:p>
      <w:pPr>
        <w:widowControl/>
        <w:jc w:val="center"/>
        <w:rPr>
          <w:rFonts w:ascii="黑体" w:eastAsia="黑体" w:hint="eastAsia"/>
          <w:color w:val="000000"/>
          <w:sz w:val="48"/>
          <w:szCs w:val="48"/>
        </w:rPr>
      </w:pPr>
    </w:p>
    <w:p>
      <w:pPr>
        <w:widowControl/>
        <w:jc w:val="center"/>
        <w:rPr>
          <w:rFonts w:ascii="黑体" w:eastAsia="黑体" w:hint="eastAsia"/>
          <w:color w:val="000000"/>
          <w:sz w:val="48"/>
          <w:szCs w:val="48"/>
        </w:rPr>
      </w:pPr>
    </w:p>
    <w:p>
      <w:pPr>
        <w:pStyle w:val="18"/>
        <w:rPr>
          <w:rFonts w:hint="eastAsia"/>
        </w:rPr>
      </w:pPr>
    </w:p>
    <w:p>
      <w:pPr>
        <w:widowControl/>
        <w:jc w:val="center"/>
        <w:rPr>
          <w:rFonts w:ascii="黑体" w:eastAsia="黑体" w:hint="eastAsia"/>
          <w:color w:val="000000"/>
          <w:sz w:val="48"/>
          <w:szCs w:val="48"/>
        </w:rPr>
      </w:pPr>
    </w:p>
    <w:p>
      <w:pPr>
        <w:widowControl/>
        <w:jc w:val="center"/>
        <w:rPr>
          <w:rFonts w:ascii="黑体" w:eastAsia="黑体"/>
          <w:color w:val="000000"/>
          <w:sz w:val="44"/>
          <w:szCs w:val="44"/>
        </w:rPr>
      </w:pPr>
      <w:r>
        <w:rPr>
          <w:rFonts w:ascii="黑体" w:eastAsia="黑体" w:hint="eastAsia"/>
          <w:color w:val="000000"/>
          <w:sz w:val="44"/>
          <w:szCs w:val="44"/>
        </w:rPr>
        <w:t>目</w:t>
      </w:r>
      <w:r>
        <w:rPr>
          <w:rFonts w:ascii="黑体" w:eastAsia="黑体" w:hint="eastAsia"/>
          <w:color w:val="000000"/>
          <w:sz w:val="44"/>
          <w:szCs w:val="44"/>
          <w:lang w:val="en-US" w:eastAsia="zh-CN"/>
        </w:rPr>
        <w:t xml:space="preserve">  </w:t>
      </w:r>
      <w:r>
        <w:rPr>
          <w:rFonts w:ascii="黑体" w:eastAsia="黑体" w:hint="eastAsia"/>
          <w:color w:val="000000"/>
          <w:sz w:val="44"/>
          <w:szCs w:val="44"/>
        </w:rPr>
        <w:t>录</w:t>
      </w:r>
      <w:bookmarkStart w:id="12" w:name="_Toc15377196"/>
    </w:p>
    <w:p>
      <w:pPr>
        <w:pStyle w:val="25"/>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TOC \o "1-2" \h \z \u </w:instrText>
      </w:r>
      <w:r>
        <w:rPr>
          <w:rFonts w:ascii="宋体" w:eastAsia="宋体" w:cs="宋体" w:hint="eastAsia"/>
          <w:caps w:val="0"/>
          <w:smallCaps/>
          <w:sz w:val="24"/>
          <w:szCs w:val="24"/>
        </w:rPr>
        <w:fldChar w:fldCharType="separate"/>
      </w: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_Toc28280 </w:instrText>
      </w:r>
      <w:r>
        <w:rPr>
          <w:rFonts w:ascii="宋体" w:eastAsia="宋体" w:cs="宋体" w:hint="eastAsia"/>
          <w:caps w:val="0"/>
          <w:smallCaps/>
          <w:sz w:val="24"/>
          <w:szCs w:val="24"/>
        </w:rPr>
        <w:fldChar w:fldCharType="separate"/>
      </w:r>
      <w:r>
        <w:rPr>
          <w:rFonts w:ascii="宋体" w:eastAsia="宋体" w:cs="宋体" w:hint="eastAsia"/>
          <w:sz w:val="24"/>
          <w:szCs w:val="24"/>
        </w:rPr>
        <w:t xml:space="preserve">第一部分 </w:t>
      </w:r>
      <w:r>
        <w:rPr>
          <w:rFonts w:ascii="宋体" w:eastAsia="宋体" w:cs="宋体" w:hint="eastAsia"/>
          <w:bCs w:val="0"/>
          <w:sz w:val="24"/>
          <w:szCs w:val="24"/>
        </w:rPr>
        <w:t>部门概况</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_Toc28280 \h </w:instrText>
      </w:r>
      <w:r>
        <w:rPr>
          <w:rFonts w:ascii="宋体" w:eastAsia="宋体" w:cs="宋体" w:hint="eastAsia"/>
          <w:sz w:val="24"/>
          <w:szCs w:val="24"/>
        </w:rPr>
        <w:fldChar w:fldCharType="separate"/>
      </w:r>
      <w:r>
        <w:rPr>
          <w:rFonts w:ascii="宋体" w:eastAsia="宋体" w:cs="宋体" w:hint="eastAsia"/>
          <w:sz w:val="24"/>
          <w:szCs w:val="24"/>
        </w:rPr>
        <w:t>3</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_Toc29382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一、部门职责</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_Toc29382 \h </w:instrText>
      </w:r>
      <w:r>
        <w:rPr>
          <w:rFonts w:ascii="宋体" w:eastAsia="宋体" w:cs="宋体" w:hint="eastAsia"/>
          <w:sz w:val="24"/>
          <w:szCs w:val="24"/>
        </w:rPr>
        <w:fldChar w:fldCharType="separate"/>
      </w:r>
      <w:r>
        <w:rPr>
          <w:rFonts w:ascii="宋体" w:eastAsia="宋体" w:cs="宋体" w:hint="eastAsia"/>
          <w:sz w:val="24"/>
          <w:szCs w:val="24"/>
        </w:rPr>
        <w:t>3</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_Toc7982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二、机构设置</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_Toc7982 \h </w:instrText>
      </w:r>
      <w:r>
        <w:rPr>
          <w:rFonts w:ascii="宋体" w:eastAsia="宋体" w:cs="宋体" w:hint="eastAsia"/>
          <w:sz w:val="24"/>
          <w:szCs w:val="24"/>
        </w:rPr>
        <w:fldChar w:fldCharType="separate"/>
      </w:r>
      <w:r>
        <w:rPr>
          <w:rFonts w:ascii="宋体" w:eastAsia="宋体" w:cs="宋体" w:hint="eastAsia"/>
          <w:sz w:val="24"/>
          <w:szCs w:val="24"/>
        </w:rPr>
        <w:t>7</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5"/>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_Toc3119 </w:instrText>
      </w:r>
      <w:r>
        <w:rPr>
          <w:rFonts w:ascii="宋体" w:eastAsia="宋体" w:cs="宋体" w:hint="eastAsia"/>
          <w:caps w:val="0"/>
          <w:smallCaps/>
          <w:sz w:val="24"/>
          <w:szCs w:val="24"/>
        </w:rPr>
        <w:fldChar w:fldCharType="separate"/>
      </w:r>
      <w:r>
        <w:rPr>
          <w:rFonts w:ascii="宋体" w:eastAsia="宋体" w:cs="宋体" w:hint="eastAsia"/>
          <w:sz w:val="24"/>
          <w:szCs w:val="24"/>
        </w:rPr>
        <w:t>第二部分 2022</w:t>
      </w:r>
      <w:r>
        <w:rPr>
          <w:rFonts w:ascii="宋体" w:eastAsia="宋体" w:cs="宋体" w:hint="eastAsia"/>
          <w:sz w:val="24"/>
          <w:szCs w:val="24"/>
          <w:u w:color="auto"/>
        </w:rPr>
        <w:t>年度部门决算情况说明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_Toc3119 \h </w:instrText>
      </w:r>
      <w:r>
        <w:rPr>
          <w:rFonts w:ascii="宋体" w:eastAsia="宋体" w:cs="宋体" w:hint="eastAsia"/>
          <w:sz w:val="24"/>
          <w:szCs w:val="24"/>
        </w:rPr>
        <w:fldChar w:fldCharType="separate"/>
      </w:r>
      <w:r>
        <w:rPr>
          <w:rFonts w:ascii="宋体" w:eastAsia="宋体" w:cs="宋体" w:hint="eastAsia"/>
          <w:sz w:val="24"/>
          <w:szCs w:val="24"/>
        </w:rPr>
        <w:t>8</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_Toc21486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一、收入支出决算总体情况说明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_Toc21486 \h </w:instrText>
      </w:r>
      <w:r>
        <w:rPr>
          <w:rFonts w:ascii="宋体" w:eastAsia="宋体" w:cs="宋体" w:hint="eastAsia"/>
          <w:sz w:val="24"/>
          <w:szCs w:val="24"/>
        </w:rPr>
        <w:fldChar w:fldCharType="separate"/>
      </w:r>
      <w:r>
        <w:rPr>
          <w:rFonts w:ascii="宋体" w:eastAsia="宋体" w:cs="宋体" w:hint="eastAsia"/>
          <w:sz w:val="24"/>
          <w:szCs w:val="24"/>
        </w:rPr>
        <w:t>8</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_Toc24609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二、收入决算情况说明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_Toc24609 \h </w:instrText>
      </w:r>
      <w:r>
        <w:rPr>
          <w:rFonts w:ascii="宋体" w:eastAsia="宋体" w:cs="宋体" w:hint="eastAsia"/>
          <w:sz w:val="24"/>
          <w:szCs w:val="24"/>
        </w:rPr>
        <w:fldChar w:fldCharType="separate"/>
      </w:r>
      <w:r>
        <w:rPr>
          <w:rFonts w:ascii="宋体" w:eastAsia="宋体" w:cs="宋体" w:hint="eastAsia"/>
          <w:sz w:val="24"/>
          <w:szCs w:val="24"/>
        </w:rPr>
        <w:t>8</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_Toc8745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三、支出决算情况说明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_Toc8745 \h </w:instrText>
      </w:r>
      <w:r>
        <w:rPr>
          <w:rFonts w:ascii="宋体" w:eastAsia="宋体" w:cs="宋体" w:hint="eastAsia"/>
          <w:sz w:val="24"/>
          <w:szCs w:val="24"/>
        </w:rPr>
        <w:fldChar w:fldCharType="separate"/>
      </w:r>
      <w:r>
        <w:rPr>
          <w:rFonts w:ascii="宋体" w:eastAsia="宋体" w:cs="宋体" w:hint="eastAsia"/>
          <w:sz w:val="24"/>
          <w:szCs w:val="24"/>
        </w:rPr>
        <w:t>9</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_Toc13661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四、财政拨款收入支出决算总体情况说明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_Toc13661 \h </w:instrText>
      </w:r>
      <w:r>
        <w:rPr>
          <w:rFonts w:ascii="宋体" w:eastAsia="宋体" w:cs="宋体" w:hint="eastAsia"/>
          <w:sz w:val="24"/>
          <w:szCs w:val="24"/>
        </w:rPr>
        <w:fldChar w:fldCharType="separate"/>
      </w:r>
      <w:r>
        <w:rPr>
          <w:rFonts w:ascii="宋体" w:eastAsia="宋体" w:cs="宋体" w:hint="eastAsia"/>
          <w:sz w:val="24"/>
          <w:szCs w:val="24"/>
        </w:rPr>
        <w:t>10</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_Toc2126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五、一般公共预算财政拨款支出决算情况说明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_Toc2126 \h </w:instrText>
      </w:r>
      <w:r>
        <w:rPr>
          <w:rFonts w:ascii="宋体" w:eastAsia="宋体" w:cs="宋体" w:hint="eastAsia"/>
          <w:sz w:val="24"/>
          <w:szCs w:val="24"/>
        </w:rPr>
        <w:fldChar w:fldCharType="separate"/>
      </w:r>
      <w:r>
        <w:rPr>
          <w:rFonts w:ascii="宋体" w:eastAsia="宋体" w:cs="宋体" w:hint="eastAsia"/>
          <w:sz w:val="24"/>
          <w:szCs w:val="24"/>
        </w:rPr>
        <w:t>10</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_Toc24703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六、一般公共预算财政拨款基本支出决算情况说明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_Toc24703 \h </w:instrText>
      </w:r>
      <w:r>
        <w:rPr>
          <w:rFonts w:ascii="宋体" w:eastAsia="宋体" w:cs="宋体" w:hint="eastAsia"/>
          <w:sz w:val="24"/>
          <w:szCs w:val="24"/>
        </w:rPr>
        <w:fldChar w:fldCharType="separate"/>
      </w:r>
      <w:r>
        <w:rPr>
          <w:rFonts w:ascii="宋体" w:eastAsia="宋体" w:cs="宋体" w:hint="eastAsia"/>
          <w:sz w:val="24"/>
          <w:szCs w:val="24"/>
        </w:rPr>
        <w:t>14</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_Toc16585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七、“三公”经费财政拨款支出决算情况说明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_Toc16585 \h </w:instrText>
      </w:r>
      <w:r>
        <w:rPr>
          <w:rFonts w:ascii="宋体" w:eastAsia="宋体" w:cs="宋体" w:hint="eastAsia"/>
          <w:sz w:val="24"/>
          <w:szCs w:val="24"/>
        </w:rPr>
        <w:fldChar w:fldCharType="separate"/>
      </w:r>
      <w:r>
        <w:rPr>
          <w:rFonts w:ascii="宋体" w:eastAsia="宋体" w:cs="宋体" w:hint="eastAsia"/>
          <w:sz w:val="24"/>
          <w:szCs w:val="24"/>
        </w:rPr>
        <w:t>14</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_Toc4484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八、政府性基金预算支出决算情况说明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_Toc4484 \h </w:instrText>
      </w:r>
      <w:r>
        <w:rPr>
          <w:rFonts w:ascii="宋体" w:eastAsia="宋体" w:cs="宋体" w:hint="eastAsia"/>
          <w:sz w:val="24"/>
          <w:szCs w:val="24"/>
        </w:rPr>
        <w:fldChar w:fldCharType="separate"/>
      </w:r>
      <w:r>
        <w:rPr>
          <w:rFonts w:ascii="宋体" w:eastAsia="宋体" w:cs="宋体" w:hint="eastAsia"/>
          <w:sz w:val="24"/>
          <w:szCs w:val="24"/>
        </w:rPr>
        <w:t>16</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_Toc1532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九、国有资本经营预算支出决算情况说明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_Toc1532 \h </w:instrText>
      </w:r>
      <w:r>
        <w:rPr>
          <w:rFonts w:ascii="宋体" w:eastAsia="宋体" w:cs="宋体" w:hint="eastAsia"/>
          <w:sz w:val="24"/>
          <w:szCs w:val="24"/>
        </w:rPr>
        <w:fldChar w:fldCharType="separate"/>
      </w:r>
      <w:r>
        <w:rPr>
          <w:rFonts w:ascii="宋体" w:eastAsia="宋体" w:cs="宋体" w:hint="eastAsia"/>
          <w:sz w:val="24"/>
          <w:szCs w:val="24"/>
        </w:rPr>
        <w:t>16</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_Toc587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十、其他重要事项的情况说明</w:t>
      </w:r>
      <w:r>
        <w:rPr>
          <w:rFonts w:ascii="宋体" w:eastAsia="宋体" w:cs="宋体" w:hint="eastAsia"/>
          <w:sz w:val="24"/>
          <w:szCs w:val="24"/>
        </w:rPr>
        <w:tab/>
      </w:r>
      <w:r>
        <w:rPr>
          <w:rFonts w:ascii="宋体" w:eastAsia="宋体" w:cs="宋体" w:hint="eastAsia"/>
          <w:sz w:val="24"/>
          <w:szCs w:val="24"/>
        </w:rPr>
        <w:fldChar w:fldCharType="begin"/>
      </w:r>
      <w:r>
        <w:rPr>
          <w:rFonts w:ascii="宋体" w:eastAsia="宋体" w:cs="宋体" w:hint="eastAsia"/>
          <w:sz w:val="24"/>
          <w:szCs w:val="24"/>
        </w:rPr>
        <w:instrText xml:space="preserve"> PAGEREF _Toc587 \h </w:instrText>
      </w:r>
      <w:r>
        <w:rPr>
          <w:rFonts w:ascii="宋体" w:eastAsia="宋体" w:cs="宋体" w:hint="eastAsia"/>
          <w:sz w:val="24"/>
          <w:szCs w:val="24"/>
        </w:rPr>
        <w:fldChar w:fldCharType="separate"/>
      </w:r>
      <w:r>
        <w:rPr>
          <w:rFonts w:ascii="宋体" w:eastAsia="宋体" w:cs="宋体" w:hint="eastAsia"/>
          <w:sz w:val="24"/>
          <w:szCs w:val="24"/>
        </w:rPr>
        <w:t>16</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5"/>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_Toc5924 </w:instrText>
      </w:r>
      <w:r>
        <w:rPr>
          <w:rFonts w:ascii="宋体" w:eastAsia="宋体" w:cs="宋体" w:hint="eastAsia"/>
          <w:caps w:val="0"/>
          <w:smallCaps/>
          <w:sz w:val="24"/>
          <w:szCs w:val="24"/>
        </w:rPr>
        <w:fldChar w:fldCharType="separate"/>
      </w:r>
      <w:r>
        <w:rPr>
          <w:rFonts w:ascii="宋体" w:eastAsia="宋体" w:cs="宋体" w:hint="eastAsia"/>
          <w:sz w:val="24"/>
          <w:szCs w:val="24"/>
        </w:rPr>
        <w:t>第三部分 名词解释</w:t>
        <w:tab/>
      </w:r>
      <w:r>
        <w:rPr>
          <w:rFonts w:ascii="宋体" w:eastAsia="宋体" w:cs="宋体" w:hint="eastAsia"/>
          <w:sz w:val="24"/>
          <w:szCs w:val="24"/>
        </w:rPr>
        <w:fldChar w:fldCharType="begin"/>
      </w:r>
      <w:r>
        <w:rPr>
          <w:rFonts w:ascii="宋体" w:eastAsia="宋体" w:cs="宋体" w:hint="eastAsia"/>
          <w:sz w:val="24"/>
          <w:szCs w:val="24"/>
        </w:rPr>
        <w:instrText xml:space="preserve"> PAGEREF _Toc5924 \h </w:instrText>
      </w:r>
      <w:r>
        <w:rPr>
          <w:rFonts w:ascii="宋体" w:eastAsia="宋体" w:cs="宋体" w:hint="eastAsia"/>
          <w:sz w:val="24"/>
          <w:szCs w:val="24"/>
        </w:rPr>
        <w:fldChar w:fldCharType="separate"/>
      </w:r>
      <w:r>
        <w:rPr>
          <w:rFonts w:ascii="宋体" w:eastAsia="宋体" w:cs="宋体" w:hint="eastAsia"/>
          <w:sz w:val="24"/>
          <w:szCs w:val="24"/>
        </w:rPr>
        <w:t>19</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5"/>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_Toc13946 </w:instrText>
      </w:r>
      <w:r>
        <w:rPr>
          <w:rFonts w:ascii="宋体" w:eastAsia="宋体" w:cs="宋体" w:hint="eastAsia"/>
          <w:caps w:val="0"/>
          <w:smallCaps/>
          <w:sz w:val="24"/>
          <w:szCs w:val="24"/>
        </w:rPr>
        <w:fldChar w:fldCharType="separate"/>
      </w:r>
      <w:r>
        <w:rPr>
          <w:rFonts w:ascii="宋体" w:eastAsia="宋体" w:cs="宋体" w:hint="eastAsia"/>
          <w:sz w:val="24"/>
          <w:szCs w:val="24"/>
        </w:rPr>
        <w:t>第四部分 附件</w:t>
        <w:tab/>
      </w:r>
      <w:r>
        <w:rPr>
          <w:rFonts w:ascii="宋体" w:eastAsia="宋体" w:cs="宋体" w:hint="eastAsia"/>
          <w:sz w:val="24"/>
          <w:szCs w:val="24"/>
        </w:rPr>
        <w:fldChar w:fldCharType="begin"/>
      </w:r>
      <w:r>
        <w:rPr>
          <w:rFonts w:ascii="宋体" w:eastAsia="宋体" w:cs="宋体" w:hint="eastAsia"/>
          <w:sz w:val="24"/>
          <w:szCs w:val="24"/>
        </w:rPr>
        <w:instrText xml:space="preserve"> PAGEREF _Toc13946 \h </w:instrText>
      </w:r>
      <w:r>
        <w:rPr>
          <w:rFonts w:ascii="宋体" w:eastAsia="宋体" w:cs="宋体" w:hint="eastAsia"/>
          <w:sz w:val="24"/>
          <w:szCs w:val="24"/>
        </w:rPr>
        <w:fldChar w:fldCharType="separate"/>
      </w:r>
      <w:r>
        <w:rPr>
          <w:rFonts w:ascii="宋体" w:eastAsia="宋体" w:cs="宋体" w:hint="eastAsia"/>
          <w:sz w:val="24"/>
          <w:szCs w:val="24"/>
        </w:rPr>
        <w:t>24</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5"/>
        <w:tabs>
          <w:tab w:val="clear" w:pos="8296"/>
          <w:tab w:val="right" w:leader="dot" w:pos="8306"/>
        </w:tabs>
        <w:rPr>
          <w:rFonts w:ascii="宋体" w:eastAsia="宋体" w:cs="宋体" w:hint="eastAsia"/>
          <w:sz w:val="24"/>
          <w:szCs w:val="24"/>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_Toc3397 </w:instrText>
      </w:r>
      <w:r>
        <w:rPr>
          <w:rFonts w:ascii="宋体" w:eastAsia="宋体" w:cs="宋体" w:hint="eastAsia"/>
          <w:caps w:val="0"/>
          <w:smallCaps/>
          <w:sz w:val="24"/>
          <w:szCs w:val="24"/>
        </w:rPr>
        <w:fldChar w:fldCharType="separate"/>
      </w:r>
      <w:r>
        <w:rPr>
          <w:rFonts w:ascii="宋体" w:eastAsia="宋体" w:cs="宋体" w:hint="eastAsia"/>
          <w:sz w:val="24"/>
          <w:szCs w:val="24"/>
        </w:rPr>
        <w:t>第五部分 附表</w:t>
        <w:tab/>
      </w:r>
      <w:r>
        <w:rPr>
          <w:rFonts w:ascii="宋体" w:eastAsia="宋体" w:cs="宋体" w:hint="eastAsia"/>
          <w:sz w:val="24"/>
          <w:szCs w:val="24"/>
        </w:rPr>
        <w:fldChar w:fldCharType="begin"/>
      </w:r>
      <w:r>
        <w:rPr>
          <w:rFonts w:ascii="宋体" w:eastAsia="宋体" w:cs="宋体" w:hint="eastAsia"/>
          <w:sz w:val="24"/>
          <w:szCs w:val="24"/>
        </w:rPr>
        <w:instrText xml:space="preserve"> PAGEREF _Toc3397 \h </w:instrText>
      </w:r>
      <w:r>
        <w:rPr>
          <w:rFonts w:ascii="宋体" w:eastAsia="宋体" w:cs="宋体" w:hint="eastAsia"/>
          <w:sz w:val="24"/>
          <w:szCs w:val="24"/>
        </w:rPr>
        <w:fldChar w:fldCharType="separate"/>
      </w:r>
      <w:r>
        <w:rPr>
          <w:rFonts w:ascii="宋体" w:eastAsia="宋体" w:cs="宋体" w:hint="eastAsia"/>
          <w:sz w:val="24"/>
          <w:szCs w:val="24"/>
        </w:rPr>
        <w:t>31</w:t>
      </w:r>
      <w:r>
        <w:rPr>
          <w:rFonts w:ascii="宋体" w:eastAsia="宋体" w:cs="宋体" w:hint="eastAsia"/>
          <w:sz w:val="24"/>
          <w:szCs w:val="24"/>
        </w:rPr>
        <w:fldChar w:fldCharType="end"/>
      </w:r>
      <w:r>
        <w:rPr>
          <w:rFonts w:ascii="宋体" w:eastAsia="宋体" w:cs="宋体" w:hint="eastAsia"/>
          <w:caps w:val="0"/>
          <w:smallCaps/>
          <w:sz w:val="24"/>
          <w:szCs w:val="24"/>
        </w:rPr>
        <w:fldChar w:fldCharType="end"/>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_Toc16172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一、收入支出决算总表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_Toc18577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二、收入决算表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_Toc18759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三、支出决算表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_Toc16869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四、财政拨款收入支出决算总表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_Toc13179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五、财政拨款支出决算明细表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_Toc10578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六、一般公共预算财政拨款支出决算表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_Toc4404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七、一般公共预算财政拨款支出决算明细表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_Toc16845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八、一般公共预算财政拨款基本支出决算表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_Toc27130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九、一般公共预算财政拨款项目支出决算表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_Toc11127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十、一般公共预算财政拨款“三公”经费支出决算表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_Toc16676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十一、政府性基金预算财政拨款收入支出决算表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_Toc6435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十二、政府性基金预算财政拨款“三公”经费支出决算表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_Toc4035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十三、国有资本经营预算财政拨款收入支出决算表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27"/>
        <w:tabs>
          <w:tab w:val="clear" w:pos="8296"/>
          <w:tab w:val="right" w:leader="dot" w:pos="8306"/>
        </w:tabs>
        <w:rPr>
          <w:rFonts w:ascii="宋体" w:eastAsia="宋体" w:cs="宋体" w:hint="eastAsia"/>
          <w:sz w:val="24"/>
          <w:szCs w:val="24"/>
          <w:lang w:val="en-US" w:eastAsia="zh-CN"/>
        </w:rPr>
      </w:pPr>
      <w:r>
        <w:rPr>
          <w:rFonts w:ascii="宋体" w:eastAsia="宋体" w:cs="宋体" w:hint="eastAsia"/>
          <w:caps w:val="0"/>
          <w:smallCaps/>
          <w:sz w:val="24"/>
          <w:szCs w:val="24"/>
        </w:rPr>
        <w:fldChar w:fldCharType="begin"/>
      </w:r>
      <w:r>
        <w:rPr>
          <w:rFonts w:ascii="宋体" w:eastAsia="宋体" w:cs="宋体" w:hint="eastAsia"/>
          <w:caps w:val="0"/>
          <w:smallCaps/>
          <w:sz w:val="24"/>
          <w:szCs w:val="24"/>
        </w:rPr>
        <w:instrText xml:space="preserve"> HYPERLINK \l _Toc4862 </w:instrText>
      </w:r>
      <w:r>
        <w:rPr>
          <w:rFonts w:ascii="宋体" w:eastAsia="宋体" w:cs="宋体" w:hint="eastAsia"/>
          <w:caps w:val="0"/>
          <w:smallCaps/>
          <w:sz w:val="24"/>
          <w:szCs w:val="24"/>
        </w:rPr>
        <w:fldChar w:fldCharType="separate"/>
      </w:r>
      <w:r>
        <w:rPr>
          <w:rFonts w:ascii="宋体" w:eastAsia="宋体" w:cs="宋体" w:hint="eastAsia"/>
          <w:bCs w:val="0"/>
          <w:sz w:val="24"/>
          <w:szCs w:val="24"/>
        </w:rPr>
        <w:t>十四、国有资本经营预算财政拨款支出决算表</w:t>
      </w:r>
      <w:r>
        <w:rPr>
          <w:rFonts w:ascii="宋体" w:eastAsia="宋体" w:cs="宋体" w:hint="eastAsia"/>
          <w:sz w:val="24"/>
          <w:szCs w:val="24"/>
        </w:rPr>
        <w:tab/>
      </w:r>
      <w:r>
        <w:rPr>
          <w:rFonts w:ascii="宋体" w:eastAsia="宋体" w:cs="宋体" w:hint="eastAsia"/>
          <w:sz w:val="24"/>
          <w:szCs w:val="24"/>
          <w:lang w:val="en-US" w:eastAsia="zh-CN"/>
        </w:rPr>
        <w:t>3</w:t>
      </w:r>
      <w:r>
        <w:rPr>
          <w:rFonts w:ascii="宋体" w:eastAsia="宋体" w:cs="宋体" w:hint="eastAsia"/>
          <w:caps w:val="0"/>
          <w:smallCaps/>
          <w:sz w:val="24"/>
          <w:szCs w:val="24"/>
        </w:rPr>
        <w:fldChar w:fldCharType="end"/>
      </w:r>
      <w:r>
        <w:rPr>
          <w:rFonts w:ascii="宋体" w:eastAsia="宋体" w:cs="宋体" w:hint="eastAsia"/>
          <w:caps w:val="0"/>
          <w:smallCaps/>
          <w:sz w:val="24"/>
          <w:szCs w:val="24"/>
          <w:lang w:val="en-US" w:eastAsia="zh-CN"/>
        </w:rPr>
        <w:t>1</w:t>
      </w:r>
    </w:p>
    <w:p>
      <w:pPr>
        <w:pStyle w:val="17"/>
        <w:rPr>
          <w:rFonts w:ascii="宋体" w:eastAsia="宋体" w:cs="宋体" w:hint="eastAsia"/>
          <w:sz w:val="24"/>
          <w:szCs w:val="24"/>
        </w:rPr>
      </w:pPr>
      <w:r>
        <w:rPr>
          <w:rFonts w:ascii="宋体" w:eastAsia="宋体" w:cs="宋体" w:hint="eastAsia"/>
          <w:caps w:val="0"/>
          <w:smallCaps/>
          <w:sz w:val="24"/>
          <w:szCs w:val="24"/>
        </w:rPr>
        <w:fldChar w:fldCharType="end"/>
      </w:r>
    </w:p>
    <w:p>
      <w:pPr>
        <w:pStyle w:val="1"/>
        <w:jc w:val="center"/>
        <w:rPr>
          <w:rFonts w:ascii="黑体" w:eastAsia="黑体" w:cs="黑体"/>
          <w:b w:val="0"/>
          <w:bCs w:val="0"/>
        </w:rPr>
      </w:pPr>
      <w:bookmarkStart w:id="13" w:name="_Toc28280"/>
      <w:bookmarkStart w:id="14" w:name="_Toc111208495"/>
      <w:r>
        <w:rPr>
          <w:rFonts w:ascii="黑体" w:eastAsia="黑体" w:cs="黑体" w:hint="eastAsia"/>
        </w:rPr>
        <w:t xml:space="preserve">第一部分 </w:t>
      </w:r>
      <w:r>
        <w:rPr>
          <w:rStyle w:val="1Char"/>
          <w:rFonts w:ascii="黑体" w:eastAsia="黑体" w:cs="黑体" w:hint="eastAsia"/>
          <w:b/>
          <w:bCs w:val="0"/>
        </w:rPr>
        <w:t>部门概况</w:t>
      </w:r>
      <w:bookmarkEnd w:id="12"/>
      <w:bookmarkEnd w:id="13"/>
      <w:bookmarkEnd w:id="14"/>
    </w:p>
    <w:p>
      <w:pPr>
        <w:pStyle w:val="2"/>
        <w:ind w:firstLineChars="200" w:firstLine="640"/>
        <w:rPr>
          <w:rFonts w:ascii="黑体" w:eastAsia="黑体" w:cs="Times New Roman"/>
          <w:bCs w:val="0"/>
          <w:color w:val="000000"/>
          <w:lang w:val="en-US" w:eastAsia="zh-CN"/>
        </w:rPr>
      </w:pPr>
      <w:bookmarkStart w:id="15" w:name="_Toc15377197"/>
      <w:bookmarkStart w:id="16" w:name="_Toc29382"/>
      <w:bookmarkStart w:id="17" w:name="_Toc111208496"/>
      <w:r>
        <w:rPr>
          <w:rFonts w:ascii="黑体" w:eastAsia="黑体" w:cs="Times New Roman" w:hint="eastAsia"/>
          <w:b w:val="0"/>
          <w:bCs/>
          <w:color w:val="000000"/>
        </w:rPr>
        <w:t>一、</w:t>
      </w:r>
      <w:bookmarkStart w:id="18" w:name="_Toc15377198"/>
      <w:bookmarkStart w:id="19" w:name="_Toc15378445"/>
      <w:bookmarkEnd w:id="15"/>
      <w:bookmarkEnd w:id="16"/>
      <w:bookmarkEnd w:id="17"/>
      <w:r>
        <w:rPr>
          <w:rFonts w:ascii="黑体" w:eastAsia="黑体" w:cs="Times New Roman" w:hint="eastAsia"/>
          <w:b w:val="0"/>
          <w:bCs/>
          <w:color w:val="000000"/>
          <w:lang w:val="en-US" w:eastAsia="zh-CN"/>
        </w:rPr>
        <w:t>基本职能及主要工作</w:t>
      </w:r>
    </w:p>
    <w:p>
      <w:pPr>
        <w:keepNext w:val="0"/>
        <w:keepLines w:val="0"/>
        <w:pageBreakBefore w:val="0"/>
        <w:widowControl w:val="0"/>
        <w:tabs>
          <w:tab w:val="center" w:pos="4153"/>
        </w:tabs>
        <w:kinsoku/>
        <w:wordWrap/>
        <w:overflowPunct/>
        <w:topLinePunct w:val="0"/>
        <w:autoSpaceDE/>
        <w:autoSpaceDN/>
        <w:bidi w:val="0"/>
        <w:spacing w:line="576" w:lineRule="exact"/>
        <w:ind w:leftChars="152" w:left="639" w:hangingChars="100" w:hanging="320"/>
        <w:jc w:val="left"/>
        <w:textAlignment w:val="auto"/>
        <w:rPr>
          <w:rFonts w:ascii="仿宋" w:eastAsia="仿宋" w:cs="仿宋" w:hint="eastAsia"/>
          <w:sz w:val="32"/>
          <w:szCs w:val="32"/>
          <w:lang w:eastAsia="zh-CN"/>
        </w:rPr>
      </w:pPr>
      <w:bookmarkEnd w:id="18"/>
      <w:bookmarkEnd w:id="19"/>
      <w:r>
        <w:rPr>
          <w:rFonts w:ascii="仿宋" w:eastAsia="仿宋" w:cs="仿宋" w:hint="eastAsia"/>
          <w:sz w:val="32"/>
          <w:szCs w:val="32"/>
          <w:lang w:eastAsia="zh-CN"/>
        </w:rPr>
        <w:t>（</w:t>
      </w:r>
      <w:r>
        <w:rPr>
          <w:rFonts w:ascii="仿宋" w:eastAsia="仿宋" w:cs="仿宋" w:hint="eastAsia"/>
          <w:sz w:val="32"/>
          <w:szCs w:val="32"/>
          <w:lang w:val="en-US" w:eastAsia="zh-CN"/>
        </w:rPr>
        <w:t>一</w:t>
      </w:r>
      <w:r>
        <w:rPr>
          <w:rFonts w:ascii="仿宋" w:eastAsia="仿宋" w:cs="仿宋" w:hint="eastAsia"/>
          <w:sz w:val="32"/>
          <w:szCs w:val="32"/>
          <w:lang w:eastAsia="zh-CN"/>
        </w:rPr>
        <w:t>）部门职责</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1.党政办公室。负责党委、人大、政府日常事务性工作；负责文电、会务、档案、保密、绩效管理、后勤保障、综合协调等机关日常事务性工作，组织办理人大代表建议等工作；负责抓好机关的自身建设和各项规章制度的建设、落实；完成镇党委和镇人民政府交办的其他工作。</w:t>
        <w:cr/>
        <w:t xml:space="preserve">    2.党建工作办公室。落实全面从严治党要求，负责意识形态、基层党建、党风廉政建设工作；承担宣传、统战、民族宗教、干部人事、机构编制、群团、党史、地方志等工作；完成镇党委和镇人民政府交办的其他工作。</w:t>
        <w:cr/>
        <w:t xml:space="preserve">    3.维护稳定和综合行政执法办公室。负责综合治理、群众工作、平安建设、信访稳定、社会治安、矛盾纠纷化解、禁毒整治等工作；组织开展防范和处理邪教问题工作，做好预防、教育等工作；全面落实依法行政工作，负责统筹协调辖区内依法授权或委托授权的各类行政执法工作，负责综合行政执法有关组织协调、指挥调度工作；负责日常巡查，及时发现、制止违法行为并移送违法线索，接受县综合行政执法局和行业主管部门的业务指导；完成镇党委和镇人民政府交办的其他工作。</w:t>
        <w:cr/>
        <w:t xml:space="preserve">    4.经济发展和乡村振兴办公室。负责对国家及上级有关部门制定的经济法规、经济政策及各项指标、任务的传达、贯彻及执行，提供政策性的咨询诠释等服务，指导、发展全镇经济；负责农村经营管理体系建设工作；承担促进经济发展，培育新型农业经营主体，促进农民增收等职责；履行镇人民政府综合统计和农村经济统计职能，指导村级统计工作；负责人口普查、农业普查、经济普查等重大国情国力普查任务；负责指导农村经济发展、农业生产和农田基本建设；开展农村集体产权制度改革工作，负责辖区内农村集体经济组织管理；负责农村土地承包和流转管理工作；负责统筹协调乡村振兴战略实施有关工作；负责拟订全镇乡村振兴发展规划和年度计划并组织实施；负责防止返贫动态监测和帮扶工作，促进巩固拓展脱贫攻坚成果同乡村振兴有效衔接；负责推动乡风文明建设；负责宣传贯彻规划、村镇建设、农房建设管理、农村宅基地管理、耕地保护等方面政策法规并组织实施；组织编制镇（村）规划及审查报批工作;负责土地空间、镇(村)规划建设管理工作；协助做好基础设施建设、农业产业发展、新村聚集点建设等项目的选址、用地等工作；完成镇党委和镇人民政府交办的其他工作。</w:t>
        <w:cr/>
        <w:t xml:space="preserve">    5.社会事务办公室。负责拟订并组织实施社会发展规划,负责教育、卫生健康、社会保障、武装、民政优抚、基层政权建设、社会救助、科技、文化、体育、残联、慈善、退役军人、农民工等社会事务的行政管理工作；完成镇党委和镇人民政府交办的其他工作。</w:t>
        <w:cr/>
        <w:t xml:space="preserve">    6.生态环境和应急管理办公室。负责贯彻落实上级关于生态环境保护方面的政策法规，拟订并组织落实镇生态环境保护规划；负责生态环境保护、河（湖）长制、森林（草原）资源管理，城乡环境综合整治、农村垃圾治理、生活污水处理、“厕所革命”、农村面源污染防治等相关工作；负责农村人居环境整治相关工作；协助做好区域内环境监测和环境保护的行政执法工作；负责应急管理工作，做好突发事件的应急管理和处置工作；负责安全生产、防震减灾、消防和集中式饮用水水源地环境保护与应急等工作；宣传贯彻安全生产、防震减灾和消防有关法律、法规、政策，落实安全生产和消防监管责任，健全并严格执行本辖区安全生产事故应急救援预案，推进镇安全生产监管规范化建设，组织开展安全生产检查和安全生产专项整治活动,督促问题整改,消除事故隐患;负责职</w:t>
        <w:cr/>
        <w:t>责范围内的食品安全监督管理工作；完成镇党委和镇人民政府交办的其他工作。</w:t>
        <w:cr/>
        <w:t xml:space="preserve">    7.财经审查工作办公室。负责贯彻上级财经各项政策，严格执行财政法规和财经制度；负责组织和管理镇财政收入和支出，编制并执行年度预决算，管理、审查镇行政事业单位各类资金、财务会计工作;负责国有资产监督管理;组织实施内部审计工作；指导、管理、审查村级财务和集体资产；指导、审查镇村其他经济组织资金；完成镇党委和镇人民政府交办的其他工作。</w:t>
      </w:r>
      <w:bookmarkStart w:id="20" w:name="_Toc15377200"/>
    </w:p>
    <w:p>
      <w:pPr>
        <w:keepNext w:val="0"/>
        <w:keepLines w:val="0"/>
        <w:pageBreakBefore w:val="0"/>
        <w:widowControl w:val="0"/>
        <w:tabs>
          <w:tab w:val="center" w:pos="4153"/>
        </w:tabs>
        <w:kinsoku/>
        <w:wordWrap/>
        <w:overflowPunct/>
        <w:topLinePunct w:val="0"/>
        <w:autoSpaceDE/>
        <w:autoSpaceDN/>
        <w:bidi w:val="0"/>
        <w:spacing w:line="576" w:lineRule="exact"/>
        <w:ind w:firstLineChars="100" w:firstLine="320"/>
        <w:jc w:val="left"/>
        <w:textAlignment w:val="auto"/>
        <w:rPr>
          <w:rFonts w:ascii="黑体" w:eastAsia="黑体" w:cs="黑体" w:hint="eastAsia"/>
          <w:sz w:val="32"/>
          <w:szCs w:val="32"/>
          <w:lang w:eastAsia="zh-CN"/>
        </w:rPr>
      </w:pPr>
      <w:r>
        <w:rPr>
          <w:rFonts w:ascii="仿宋" w:eastAsia="仿宋" w:cs="仿宋" w:hint="eastAsia"/>
          <w:sz w:val="32"/>
          <w:szCs w:val="32"/>
          <w:lang w:eastAsia="zh-CN"/>
        </w:rPr>
        <w:t>（</w:t>
      </w:r>
      <w:r>
        <w:rPr>
          <w:rFonts w:ascii="仿宋" w:eastAsia="仿宋" w:cs="仿宋" w:hint="eastAsia"/>
          <w:sz w:val="32"/>
          <w:szCs w:val="32"/>
          <w:lang w:val="en-US" w:eastAsia="zh-CN"/>
        </w:rPr>
        <w:t>二</w:t>
      </w:r>
      <w:r>
        <w:rPr>
          <w:rFonts w:ascii="仿宋" w:eastAsia="仿宋" w:cs="仿宋" w:hint="eastAsia"/>
          <w:sz w:val="32"/>
          <w:szCs w:val="32"/>
          <w:lang w:eastAsia="zh-CN"/>
        </w:rPr>
        <w:t>）</w:t>
      </w:r>
      <w:r>
        <w:rPr>
          <w:rFonts w:ascii="仿宋" w:eastAsia="仿宋" w:cs="仿宋" w:hint="eastAsia"/>
          <w:sz w:val="32"/>
          <w:szCs w:val="32"/>
        </w:rPr>
        <w:t>202</w:t>
      </w:r>
      <w:r>
        <w:rPr>
          <w:rFonts w:ascii="仿宋" w:eastAsia="仿宋" w:cs="仿宋" w:hint="eastAsia"/>
          <w:sz w:val="32"/>
          <w:szCs w:val="32"/>
          <w:lang w:val="en-US" w:eastAsia="zh-CN"/>
        </w:rPr>
        <w:t>2</w:t>
      </w:r>
      <w:r>
        <w:rPr>
          <w:rFonts w:ascii="仿宋" w:eastAsia="仿宋" w:cs="仿宋" w:hint="eastAsia"/>
          <w:sz w:val="32"/>
          <w:szCs w:val="32"/>
        </w:rPr>
        <w:t>年</w:t>
      </w:r>
      <w:r>
        <w:rPr>
          <w:rFonts w:ascii="仿宋" w:eastAsia="仿宋" w:cs="仿宋" w:hint="eastAsia"/>
          <w:sz w:val="32"/>
          <w:szCs w:val="32"/>
          <w:lang w:val="en-US" w:eastAsia="zh-CN"/>
        </w:rPr>
        <w:t>重点</w:t>
      </w:r>
      <w:r>
        <w:rPr>
          <w:rFonts w:ascii="仿宋" w:eastAsia="仿宋" w:cs="仿宋" w:hint="eastAsia"/>
          <w:sz w:val="32"/>
          <w:szCs w:val="32"/>
        </w:rPr>
        <w:t>工作</w:t>
      </w:r>
      <w:r>
        <w:rPr>
          <w:rFonts w:ascii="仿宋" w:eastAsia="仿宋" w:cs="仿宋" w:hint="eastAsia"/>
          <w:sz w:val="32"/>
          <w:szCs w:val="32"/>
          <w:lang w:val="en-US" w:eastAsia="zh-CN"/>
        </w:rPr>
        <w:t>完成</w:t>
      </w:r>
      <w:r>
        <w:rPr>
          <w:rFonts w:ascii="仿宋" w:eastAsia="仿宋" w:cs="仿宋" w:hint="eastAsia"/>
          <w:sz w:val="32"/>
          <w:szCs w:val="32"/>
        </w:rPr>
        <w:t>情况</w:t>
      </w:r>
      <w:r>
        <w:rPr>
          <w:rFonts w:ascii="黑体" w:eastAsia="黑体" w:cs="黑体" w:hint="eastAsia"/>
          <w:sz w:val="32"/>
          <w:szCs w:val="32"/>
          <w:lang w:eastAsia="zh-CN"/>
        </w:rPr>
        <w:tab/>
      </w:r>
    </w:p>
    <w:p>
      <w:pPr>
        <w:keepNext w:val="0"/>
        <w:keepLines w:val="0"/>
        <w:pageBreakBefore w:val="0"/>
        <w:widowControl w:val="0"/>
        <w:kinsoku/>
        <w:wordWrap/>
        <w:overflowPunct/>
        <w:topLinePunct w:val="0"/>
        <w:autoSpaceDE/>
        <w:autoSpaceDN/>
        <w:adjustRightInd w:val="0"/>
        <w:snapToGrid w:val="0"/>
        <w:spacing w:line="576" w:lineRule="exact"/>
        <w:ind w:left="0" w:firstLineChars="200" w:firstLine="640"/>
        <w:jc w:val="left"/>
        <w:rPr>
          <w:rFonts w:ascii="仿宋_GB2312" w:eastAsia="仿宋_GB2312" w:cs="仿宋_GB2312" w:hint="eastAsia"/>
          <w:sz w:val="32"/>
          <w:szCs w:val="32"/>
        </w:rPr>
      </w:pPr>
      <w:r>
        <w:rPr>
          <w:rFonts w:ascii="仿宋_GB2312" w:eastAsia="仿宋_GB2312" w:cs="仿宋_GB2312" w:hint="eastAsia"/>
          <w:color w:val="auto"/>
          <w:sz w:val="32"/>
          <w:szCs w:val="32"/>
          <w:lang w:val="en-US" w:eastAsia="zh-CN"/>
        </w:rPr>
        <w:t>1.</w:t>
      </w:r>
      <w:r>
        <w:rPr>
          <w:rFonts w:ascii="仿宋_GB2312" w:eastAsia="仿宋_GB2312" w:cs="仿宋_GB2312" w:hint="eastAsia"/>
          <w:color w:val="auto"/>
          <w:sz w:val="32"/>
          <w:szCs w:val="32"/>
        </w:rPr>
        <w:t>坚持“两学一做”常态化，加强队伍思想政治建设</w:t>
      </w:r>
      <w:r>
        <w:rPr>
          <w:rFonts w:ascii="仿宋_GB2312" w:eastAsia="仿宋_GB2312" w:cs="仿宋_GB2312"/>
          <w:color w:val="auto"/>
          <w:sz w:val="32"/>
          <w:szCs w:val="32"/>
        </w:rPr>
        <w:t>。</w:t>
      </w:r>
      <w:r>
        <w:rPr>
          <w:rFonts w:ascii="仿宋_GB2312" w:eastAsia="仿宋_GB2312" w:cs="仿宋_GB2312" w:hint="eastAsia"/>
          <w:color w:val="auto"/>
          <w:sz w:val="32"/>
          <w:szCs w:val="32"/>
        </w:rPr>
        <w:t>依</w:t>
      </w:r>
      <w:r>
        <w:rPr>
          <w:rFonts w:ascii="仿宋_GB2312" w:eastAsia="仿宋_GB2312" w:cs="仿宋_GB2312" w:hint="eastAsia"/>
          <w:b w:val="0"/>
          <w:bCs w:val="0"/>
          <w:color w:val="auto"/>
          <w:sz w:val="32"/>
          <w:szCs w:val="32"/>
        </w:rPr>
        <w:t>托镇党委中心组学习、宣讲会、学习强国平台等多形式深入学习习近平新时代中国特色社会主义思想，贯彻落实省第十二次党代会精神</w:t>
      </w:r>
      <w:r>
        <w:rPr>
          <w:rFonts w:ascii="仿宋_GB2312" w:eastAsia="仿宋_GB2312" w:cs="仿宋_GB2312" w:hint="eastAsia"/>
          <w:b w:val="0"/>
          <w:bCs w:val="0"/>
          <w:color w:val="auto"/>
          <w:sz w:val="32"/>
          <w:szCs w:val="32"/>
          <w:lang w:eastAsia="zh-CN"/>
        </w:rPr>
        <w:t>和习近平总书记来川重要指示精神</w:t>
      </w:r>
      <w:r>
        <w:rPr>
          <w:rFonts w:ascii="仿宋_GB2312" w:eastAsia="仿宋_GB2312" w:cs="仿宋_GB2312" w:hint="eastAsia"/>
          <w:b w:val="0"/>
          <w:bCs w:val="0"/>
          <w:color w:val="auto"/>
          <w:sz w:val="32"/>
          <w:szCs w:val="32"/>
        </w:rPr>
        <w:t>及州、县重要会议精神，进一步提升党员干部政治理论水平。</w:t>
      </w:r>
    </w:p>
    <w:p>
      <w:pPr>
        <w:keepNext w:val="0"/>
        <w:keepLines w:val="0"/>
        <w:pageBreakBefore w:val="0"/>
        <w:widowControl w:val="0"/>
        <w:kinsoku/>
        <w:wordWrap/>
        <w:overflowPunct/>
        <w:topLinePunct w:val="0"/>
        <w:autoSpaceDE/>
        <w:autoSpaceDN/>
        <w:adjustRightInd w:val="0"/>
        <w:snapToGrid w:val="0"/>
        <w:spacing w:line="576" w:lineRule="exact"/>
        <w:ind w:left="0" w:firstLineChars="200" w:firstLine="640"/>
        <w:rPr>
          <w:rFonts w:ascii="仿宋_GB2312" w:eastAsia="仿宋_GB2312" w:cs="仿宋_GB2312" w:hint="eastAsia"/>
          <w:sz w:val="32"/>
          <w:szCs w:val="32"/>
        </w:rPr>
      </w:pPr>
      <w:r>
        <w:rPr>
          <w:rFonts w:ascii="仿宋_GB2312" w:eastAsia="仿宋_GB2312" w:cs="仿宋_GB2312" w:hint="eastAsia"/>
          <w:b w:val="0"/>
          <w:bCs w:val="0"/>
          <w:color w:val="auto"/>
          <w:sz w:val="32"/>
          <w:szCs w:val="32"/>
          <w:lang w:val="en-US" w:eastAsia="zh-CN"/>
        </w:rPr>
        <w:t>2.</w:t>
      </w:r>
      <w:r>
        <w:rPr>
          <w:rFonts w:ascii="仿宋_GB2312" w:eastAsia="仿宋_GB2312" w:cs="仿宋_GB2312" w:hint="eastAsia"/>
          <w:b w:val="0"/>
          <w:bCs w:val="0"/>
          <w:color w:val="auto"/>
          <w:sz w:val="32"/>
          <w:szCs w:val="32"/>
        </w:rPr>
        <w:t>深入开展“联户联情”，确保群众联系全覆盖</w:t>
      </w:r>
      <w:r>
        <w:rPr>
          <w:rFonts w:ascii="仿宋_GB2312" w:eastAsia="仿宋_GB2312" w:cs="仿宋_GB2312"/>
          <w:b w:val="0"/>
          <w:bCs w:val="0"/>
          <w:color w:val="auto"/>
          <w:sz w:val="32"/>
          <w:szCs w:val="32"/>
        </w:rPr>
        <w:t>。</w:t>
      </w:r>
      <w:r>
        <w:rPr>
          <w:rFonts w:ascii="仿宋_GB2312" w:eastAsia="仿宋_GB2312" w:cs="仿宋_GB2312" w:hint="eastAsia"/>
          <w:b w:val="0"/>
          <w:bCs w:val="0"/>
          <w:color w:val="auto"/>
          <w:sz w:val="32"/>
          <w:szCs w:val="32"/>
        </w:rPr>
        <w:t>按照“联户联情”“一季一主题，一月一清单”的工作要求，结合今年重点工作，我镇通过“四联”“四包”“四化”“四有”的工作方式认真开展“联户联情”工作，明确领导党员干部共</w:t>
      </w:r>
      <w:r>
        <w:rPr>
          <w:rFonts w:ascii="仿宋_GB2312" w:eastAsia="仿宋_GB2312" w:cs="仿宋_GB2312" w:hint="eastAsia"/>
          <w:b w:val="0"/>
          <w:bCs w:val="0"/>
          <w:color w:val="auto"/>
          <w:sz w:val="32"/>
          <w:szCs w:val="32"/>
          <w:highlight w:val="auto"/>
        </w:rPr>
        <w:t>266人，结对1915</w:t>
      </w:r>
      <w:r>
        <w:rPr>
          <w:rFonts w:ascii="仿宋_GB2312" w:eastAsia="仿宋_GB2312" w:cs="仿宋_GB2312" w:hint="eastAsia"/>
          <w:b w:val="0"/>
          <w:bCs w:val="0"/>
          <w:color w:val="auto"/>
          <w:sz w:val="32"/>
          <w:szCs w:val="32"/>
        </w:rPr>
        <w:t>户</w:t>
      </w:r>
      <w:r>
        <w:rPr>
          <w:rFonts w:ascii="仿宋_GB2312" w:eastAsia="仿宋_GB2312" w:cs="仿宋_GB2312" w:hint="eastAsia"/>
          <w:b w:val="0"/>
          <w:bCs w:val="0"/>
          <w:color w:val="auto"/>
          <w:sz w:val="32"/>
          <w:szCs w:val="32"/>
          <w:lang w:eastAsia="zh-CN"/>
        </w:rPr>
        <w:t>。共</w:t>
      </w:r>
      <w:r>
        <w:rPr>
          <w:rFonts w:ascii="仿宋_GB2312" w:eastAsia="仿宋_GB2312" w:cs="仿宋_GB2312" w:hint="eastAsia"/>
          <w:b w:val="0"/>
          <w:bCs w:val="0"/>
          <w:color w:val="auto"/>
          <w:sz w:val="32"/>
          <w:szCs w:val="32"/>
        </w:rPr>
        <w:t>走访群众</w:t>
      </w:r>
      <w:r>
        <w:rPr>
          <w:rFonts w:ascii="仿宋_GB2312" w:eastAsia="仿宋_GB2312" w:cs="仿宋_GB2312" w:hint="eastAsia"/>
          <w:b w:val="0"/>
          <w:bCs w:val="0"/>
          <w:color w:val="auto"/>
          <w:sz w:val="32"/>
          <w:szCs w:val="32"/>
          <w:lang w:val="en-US" w:eastAsia="zh-CN"/>
          <w:highlight w:val="auto"/>
        </w:rPr>
        <w:t>5000</w:t>
      </w:r>
      <w:r>
        <w:rPr>
          <w:rFonts w:ascii="仿宋_GB2312" w:eastAsia="仿宋_GB2312" w:cs="仿宋_GB2312" w:hint="eastAsia"/>
          <w:b w:val="0"/>
          <w:bCs w:val="0"/>
          <w:color w:val="auto"/>
          <w:sz w:val="32"/>
          <w:szCs w:val="32"/>
        </w:rPr>
        <w:t>余次，收集解决问题</w:t>
      </w:r>
      <w:r>
        <w:rPr>
          <w:rFonts w:ascii="仿宋_GB2312" w:eastAsia="仿宋_GB2312" w:cs="仿宋_GB2312" w:hint="eastAsia"/>
          <w:b w:val="0"/>
          <w:bCs w:val="0"/>
          <w:color w:val="auto"/>
          <w:sz w:val="32"/>
          <w:szCs w:val="32"/>
          <w:lang w:val="en-US" w:eastAsia="zh-CN"/>
          <w:highlight w:val="auto"/>
        </w:rPr>
        <w:t>90</w:t>
      </w:r>
      <w:r>
        <w:rPr>
          <w:rFonts w:ascii="仿宋_GB2312" w:eastAsia="仿宋_GB2312" w:cs="仿宋_GB2312" w:hint="eastAsia"/>
          <w:b w:val="0"/>
          <w:bCs w:val="0"/>
          <w:color w:val="auto"/>
          <w:sz w:val="32"/>
          <w:szCs w:val="32"/>
        </w:rPr>
        <w:t>余条。</w:t>
      </w:r>
    </w:p>
    <w:p>
      <w:pPr>
        <w:keepNext w:val="0"/>
        <w:keepLines w:val="0"/>
        <w:pageBreakBefore w:val="0"/>
        <w:widowControl w:val="0"/>
        <w:kinsoku/>
        <w:wordWrap/>
        <w:overflowPunct/>
        <w:topLinePunct w:val="0"/>
        <w:autoSpaceDE/>
        <w:autoSpaceDN/>
        <w:spacing w:line="576" w:lineRule="exact"/>
        <w:ind w:left="0" w:firstLineChars="200" w:firstLine="640"/>
        <w:rPr>
          <w:rFonts w:eastAsia="仿宋_GB2312"/>
          <w:szCs w:val="22"/>
        </w:rPr>
      </w:pPr>
      <w:r>
        <w:rPr>
          <w:rFonts w:ascii="仿宋_GB2312" w:eastAsia="仿宋_GB2312" w:cs="仿宋_GB2312" w:hint="eastAsia"/>
          <w:b w:val="0"/>
          <w:bCs w:val="0"/>
          <w:color w:val="auto"/>
          <w:sz w:val="32"/>
          <w:szCs w:val="32"/>
          <w:lang w:val="en-US" w:eastAsia="zh-CN"/>
        </w:rPr>
        <w:t>3.</w:t>
      </w:r>
      <w:r>
        <w:rPr>
          <w:rFonts w:ascii="仿宋_GB2312" w:eastAsia="仿宋_GB2312" w:cs="仿宋_GB2312" w:hint="eastAsia"/>
          <w:b w:val="0"/>
          <w:bCs w:val="0"/>
          <w:color w:val="auto"/>
          <w:sz w:val="32"/>
          <w:szCs w:val="32"/>
        </w:rPr>
        <w:t>细润干群思想教育，守好意识形态阵地</w:t>
      </w:r>
      <w:r>
        <w:rPr>
          <w:rFonts w:ascii="仿宋_GB2312" w:eastAsia="仿宋_GB2312" w:cs="仿宋_GB2312"/>
          <w:b w:val="0"/>
          <w:bCs w:val="0"/>
          <w:color w:val="auto"/>
          <w:sz w:val="32"/>
          <w:szCs w:val="32"/>
        </w:rPr>
        <w:t>。</w:t>
      </w:r>
      <w:r>
        <w:rPr>
          <w:rFonts w:ascii="仿宋_GB2312" w:eastAsia="仿宋_GB2312" w:cs="Times New Roman" w:hint="eastAsia"/>
          <w:b w:val="0"/>
          <w:bCs w:val="0"/>
          <w:color w:val="auto"/>
          <w:sz w:val="32"/>
          <w:szCs w:val="32"/>
        </w:rPr>
        <w:t>结合“两联一进”、</w:t>
      </w:r>
      <w:r>
        <w:rPr>
          <w:rFonts w:ascii="仿宋_GB2312" w:eastAsia="仿宋_GB2312" w:cs="Times New Roman" w:hint="eastAsia"/>
          <w:b w:val="0"/>
          <w:bCs w:val="0"/>
          <w:color w:val="auto"/>
          <w:sz w:val="32"/>
          <w:szCs w:val="32"/>
          <w:lang w:eastAsia="zh-CN"/>
        </w:rPr>
        <w:t>乡村振兴</w:t>
      </w:r>
      <w:r>
        <w:rPr>
          <w:rFonts w:ascii="仿宋_GB2312" w:eastAsia="仿宋_GB2312" w:cs="Times New Roman" w:hint="eastAsia"/>
          <w:b w:val="0"/>
          <w:bCs w:val="0"/>
          <w:color w:val="auto"/>
          <w:sz w:val="32"/>
          <w:szCs w:val="32"/>
        </w:rPr>
        <w:t>及网格化管理工作，入户宣讲政策，制作张贴《文明祭祀倡议书》</w:t>
      </w:r>
      <w:r>
        <w:rPr>
          <w:rFonts w:ascii="仿宋_GB2312" w:eastAsia="仿宋_GB2312" w:cs="Times New Roman" w:hint="eastAsia"/>
          <w:b w:val="0"/>
          <w:bCs w:val="0"/>
          <w:color w:val="auto"/>
          <w:sz w:val="32"/>
          <w:szCs w:val="32"/>
          <w:lang w:eastAsia="zh-CN"/>
        </w:rPr>
        <w:t>、发放《疫情防控工作指南》等</w:t>
      </w:r>
      <w:r>
        <w:rPr>
          <w:rFonts w:ascii="仿宋_GB2312" w:eastAsia="仿宋_GB2312" w:cs="Times New Roman" w:hint="eastAsia"/>
          <w:b w:val="0"/>
          <w:bCs w:val="0"/>
          <w:color w:val="auto"/>
          <w:sz w:val="32"/>
          <w:szCs w:val="32"/>
        </w:rPr>
        <w:t>，引导老百姓养成好习惯</w:t>
      </w:r>
      <w:r>
        <w:rPr>
          <w:rFonts w:ascii="仿宋_GB2312" w:eastAsia="仿宋_GB2312" w:cs="Times New Roman" w:hint="eastAsia"/>
          <w:b w:val="0"/>
          <w:bCs w:val="0"/>
          <w:color w:val="auto"/>
          <w:sz w:val="32"/>
          <w:szCs w:val="32"/>
          <w:lang w:eastAsia="zh-CN"/>
        </w:rPr>
        <w:t>、</w:t>
      </w:r>
      <w:r>
        <w:rPr>
          <w:rFonts w:ascii="仿宋_GB2312" w:eastAsia="仿宋_GB2312" w:cs="Times New Roman" w:hint="eastAsia"/>
          <w:b w:val="0"/>
          <w:bCs w:val="0"/>
          <w:color w:val="auto"/>
          <w:sz w:val="32"/>
          <w:szCs w:val="32"/>
        </w:rPr>
        <w:t>形成好风气</w:t>
      </w:r>
      <w:r>
        <w:rPr>
          <w:rFonts w:ascii="仿宋_GB2312" w:eastAsia="仿宋_GB2312" w:cs="Times New Roman" w:hint="eastAsia"/>
          <w:b w:val="0"/>
          <w:bCs w:val="0"/>
          <w:color w:val="auto"/>
          <w:sz w:val="32"/>
          <w:szCs w:val="32"/>
          <w:lang w:eastAsia="zh-CN"/>
        </w:rPr>
        <w:t>；坚持</w:t>
      </w:r>
      <w:r>
        <w:rPr>
          <w:rFonts w:ascii="仿宋_GB2312" w:eastAsia="仿宋_GB2312" w:cs="仿宋_GB2312" w:hint="eastAsia"/>
          <w:b w:val="0"/>
          <w:bCs w:val="0"/>
          <w:color w:val="000000"/>
          <w:kern w:val="0"/>
          <w:sz w:val="32"/>
          <w:szCs w:val="32"/>
          <w:lang w:val="en-US" w:eastAsia="zh-CN" w:bidi="ar-SA"/>
        </w:rPr>
        <w:t>由村民推选，村议事会成员组成评审团进行审议，对照评选标准，共推选出</w:t>
      </w:r>
      <w:r>
        <w:rPr>
          <w:rFonts w:ascii="仿宋_GB2312" w:eastAsia="仿宋_GB2312" w:cs="仿宋_GB2312" w:hint="eastAsia"/>
          <w:b w:val="0"/>
          <w:bCs w:val="0"/>
          <w:color w:val="000000"/>
          <w:kern w:val="0"/>
          <w:sz w:val="32"/>
          <w:szCs w:val="32"/>
          <w:lang w:val="en-US" w:eastAsia="zh-CN" w:bidi="ar-SA"/>
          <w:highlight w:val="auto"/>
        </w:rPr>
        <w:t>15户“五好家庭户”，10</w:t>
      </w:r>
      <w:r>
        <w:rPr>
          <w:rFonts w:ascii="仿宋_GB2312" w:eastAsia="仿宋_GB2312" w:cs="仿宋_GB2312" w:hint="eastAsia"/>
          <w:b w:val="0"/>
          <w:bCs w:val="0"/>
          <w:color w:val="000000"/>
          <w:kern w:val="0"/>
          <w:sz w:val="32"/>
          <w:szCs w:val="32"/>
          <w:lang w:val="en-US" w:eastAsia="zh-CN" w:bidi="ar-SA"/>
        </w:rPr>
        <w:t>户“环境卫生模范户”。</w:t>
      </w:r>
    </w:p>
    <w:p>
      <w:pPr>
        <w:keepNext w:val="0"/>
        <w:keepLines w:val="0"/>
        <w:pageBreakBefore w:val="0"/>
        <w:widowControl w:val="0"/>
        <w:kinsoku/>
        <w:wordWrap/>
        <w:overflowPunct/>
        <w:topLinePunct w:val="0"/>
        <w:autoSpaceDE/>
        <w:autoSpaceDN/>
        <w:spacing w:line="576" w:lineRule="exact"/>
        <w:ind w:firstLineChars="200" w:firstLine="640"/>
        <w:rPr>
          <w:rFonts w:ascii="仿宋_GB2312" w:eastAsia="仿宋_GB2312" w:cs="仿宋_GB2312" w:hint="eastAsia"/>
          <w:sz w:val="32"/>
          <w:szCs w:val="32"/>
        </w:rPr>
      </w:pPr>
      <w:r>
        <w:rPr>
          <w:rFonts w:ascii="仿宋_GB2312" w:eastAsia="仿宋_GB2312" w:cs="仿宋_GB2312" w:hint="eastAsia"/>
          <w:b w:val="0"/>
          <w:bCs w:val="0"/>
          <w:color w:val="000000"/>
          <w:kern w:val="0"/>
          <w:sz w:val="32"/>
          <w:szCs w:val="32"/>
          <w:lang w:val="en-US" w:eastAsia="zh-CN" w:bidi="ar-SA"/>
        </w:rPr>
        <w:t>4.</w:t>
      </w:r>
      <w:r>
        <w:rPr>
          <w:rFonts w:ascii="仿宋_GB2312" w:eastAsia="仿宋_GB2312" w:cs="仿宋_GB2312" w:hint="eastAsia"/>
          <w:b w:val="0"/>
          <w:bCs w:val="0"/>
          <w:color w:val="auto"/>
          <w:sz w:val="32"/>
          <w:szCs w:val="32"/>
        </w:rPr>
        <w:t>创新推动党建工作，提升基层治理水平</w:t>
      </w:r>
      <w:r>
        <w:rPr>
          <w:rFonts w:ascii="仿宋_GB2312" w:eastAsia="仿宋_GB2312" w:cs="仿宋_GB2312"/>
          <w:b w:val="0"/>
          <w:bCs w:val="0"/>
          <w:color w:val="auto"/>
          <w:sz w:val="32"/>
          <w:szCs w:val="32"/>
        </w:rPr>
        <w:t>。</w:t>
      </w:r>
      <w:r>
        <w:rPr>
          <w:rFonts w:ascii="仿宋_GB2312" w:eastAsia="仿宋_GB2312" w:cs="仿宋_GB2312" w:hint="eastAsia"/>
          <w:b w:val="0"/>
          <w:bCs w:val="0"/>
          <w:color w:val="auto"/>
          <w:sz w:val="32"/>
          <w:szCs w:val="32"/>
        </w:rPr>
        <w:t>按照县委“六个茂县”建设目标，南新镇创新推动“六化六同步”、“返乡创业四式工作法”的党建工作机制，全面提升基层党组织的战斗力、引领力、凝聚力、向心力和号召力</w:t>
      </w:r>
      <w:r>
        <w:rPr>
          <w:rFonts w:ascii="仿宋_GB2312" w:eastAsia="仿宋_GB2312" w:cs="仿宋_GB2312" w:hint="eastAsia"/>
          <w:b w:val="0"/>
          <w:bCs w:val="0"/>
          <w:color w:val="auto"/>
          <w:sz w:val="32"/>
          <w:szCs w:val="32"/>
          <w:lang w:eastAsia="zh-CN"/>
        </w:rPr>
        <w:t>。</w:t>
      </w:r>
    </w:p>
    <w:p>
      <w:pPr>
        <w:keepNext w:val="0"/>
        <w:keepLines w:val="0"/>
        <w:pageBreakBefore w:val="0"/>
        <w:widowControl w:val="0"/>
        <w:tabs>
          <w:tab w:val="left" w:pos="312"/>
        </w:tabs>
        <w:kinsoku/>
        <w:wordWrap/>
        <w:overflowPunct/>
        <w:topLinePunct w:val="0"/>
        <w:autoSpaceDE/>
        <w:autoSpaceDN/>
        <w:bidi w:val="0"/>
        <w:adjustRightInd/>
        <w:snapToGrid/>
        <w:spacing w:line="576" w:lineRule="exact"/>
        <w:ind w:left="0" w:firstLineChars="200" w:firstLine="640"/>
        <w:jc w:val="left"/>
        <w:textAlignment w:val="auto"/>
        <w:rPr>
          <w:rFonts w:ascii="仿宋" w:eastAsia="仿宋" w:cs="仿宋" w:hint="eastAsia"/>
          <w:b w:val="0"/>
          <w:bCs w:val="0"/>
          <w:kern w:val="2"/>
          <w:sz w:val="32"/>
          <w:szCs w:val="32"/>
          <w:lang w:val="en-US" w:eastAsia="zh-CN" w:bidi="ar-SA"/>
        </w:rPr>
      </w:pPr>
      <w:r>
        <w:rPr>
          <w:rFonts w:ascii="仿宋" w:eastAsia="仿宋" w:cs="仿宋" w:hint="eastAsia"/>
          <w:b w:val="0"/>
          <w:bCs w:val="0"/>
          <w:kern w:val="2"/>
          <w:sz w:val="32"/>
          <w:szCs w:val="32"/>
          <w:lang w:val="en-US" w:eastAsia="zh-CN" w:bidi="ar-SA"/>
        </w:rPr>
        <w:t>5.以推进“3+10+N”为抓手，不断提升政府行政力</w:t>
      </w:r>
      <w:r>
        <w:rPr>
          <w:rFonts w:ascii="仿宋" w:eastAsia="仿宋" w:cs="仿宋"/>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color w:val="auto"/>
          <w:sz w:val="32"/>
          <w:szCs w:val="32"/>
          <w:highlight w:val="auto"/>
        </w:rPr>
      </w:pPr>
      <w:r>
        <w:rPr>
          <w:rFonts w:ascii="仿宋_GB2312" w:eastAsia="仿宋_GB2312" w:cs="仿宋_GB2312" w:hint="eastAsia"/>
          <w:b w:val="0"/>
          <w:bCs w:val="0"/>
          <w:color w:val="auto"/>
          <w:sz w:val="32"/>
          <w:szCs w:val="32"/>
          <w:lang w:eastAsia="zh-CN"/>
        </w:rPr>
        <w:t>我镇</w:t>
      </w:r>
      <w:r>
        <w:rPr>
          <w:rFonts w:ascii="仿宋_GB2312" w:eastAsia="仿宋_GB2312" w:cs="仿宋_GB2312" w:hint="eastAsia"/>
          <w:b w:val="0"/>
          <w:bCs w:val="0"/>
          <w:color w:val="auto"/>
          <w:sz w:val="32"/>
          <w:szCs w:val="32"/>
        </w:rPr>
        <w:t>根据2022年全年工作，提出“3+10+N”工作思路。</w:t>
      </w:r>
      <w:r>
        <w:rPr>
          <w:rFonts w:ascii="仿宋_GB2312" w:eastAsia="仿宋_GB2312" w:cs="仿宋_GB2312" w:hint="eastAsia"/>
          <w:b w:val="0"/>
          <w:bCs w:val="0"/>
          <w:color w:val="auto"/>
          <w:sz w:val="32"/>
          <w:szCs w:val="32"/>
          <w:lang w:eastAsia="zh-CN"/>
        </w:rPr>
        <w:t>高度重视三大重点工作</w:t>
      </w:r>
      <w:r>
        <w:rPr>
          <w:rFonts w:ascii="仿宋_GB2312" w:eastAsia="仿宋_GB2312" w:cs="Times New Roman" w:hint="eastAsia"/>
          <w:b w:val="0"/>
          <w:bCs w:val="0"/>
          <w:color w:val="auto"/>
          <w:sz w:val="32"/>
          <w:szCs w:val="32"/>
        </w:rPr>
        <w:t>、</w:t>
      </w:r>
      <w:r>
        <w:rPr>
          <w:rFonts w:ascii="仿宋_GB2312" w:eastAsia="仿宋_GB2312" w:cs="仿宋_GB2312" w:hint="eastAsia"/>
          <w:b w:val="0"/>
          <w:bCs w:val="0"/>
          <w:color w:val="auto"/>
          <w:sz w:val="32"/>
          <w:szCs w:val="32"/>
          <w:lang w:eastAsia="zh-CN"/>
        </w:rPr>
        <w:t>十项常态化工作的推进、开展情况，成立了项目建设专项工作小组，分区分类、强化职能职责，细化工作任务，实行台账管理和工作进度周报制，以确保按时完成建设任务。</w:t>
      </w:r>
      <w:r>
        <w:rPr>
          <w:rFonts w:ascii="仿宋_GB2312" w:eastAsia="仿宋_GB2312" w:cs="仿宋_GB2312" w:hint="eastAsia"/>
          <w:b w:val="0"/>
          <w:bCs w:val="0"/>
          <w:color w:val="auto"/>
          <w:sz w:val="32"/>
          <w:szCs w:val="32"/>
          <w:highlight w:val="auto"/>
        </w:rPr>
        <w:t>扎实有效推进N项阶段性工作，</w:t>
      </w:r>
      <w:r>
        <w:rPr>
          <w:rFonts w:ascii="仿宋_GB2312" w:eastAsia="仿宋_GB2312" w:cs="仿宋_GB2312" w:hint="eastAsia"/>
          <w:b w:val="0"/>
          <w:bCs w:val="0"/>
          <w:color w:val="auto"/>
          <w:sz w:val="32"/>
          <w:szCs w:val="32"/>
          <w:lang w:val="en-US" w:eastAsia="zh-CN"/>
          <w:highlight w:val="auto"/>
        </w:rPr>
        <w:t>2022年</w:t>
      </w:r>
      <w:r>
        <w:rPr>
          <w:rFonts w:ascii="仿宋_GB2312" w:eastAsia="仿宋_GB2312" w:cs="仿宋_GB2312" w:hint="eastAsia"/>
          <w:b w:val="0"/>
          <w:bCs w:val="0"/>
          <w:color w:val="auto"/>
          <w:sz w:val="32"/>
          <w:szCs w:val="32"/>
          <w:highlight w:val="auto"/>
        </w:rPr>
        <w:t>按照县级各个部门相</w:t>
      </w:r>
      <w:r>
        <w:rPr>
          <w:rFonts w:ascii="仿宋_GB2312" w:eastAsia="仿宋_GB2312" w:cs="仿宋_GB2312" w:hint="eastAsia"/>
          <w:color w:val="auto"/>
          <w:sz w:val="32"/>
          <w:szCs w:val="32"/>
          <w:highlight w:val="auto"/>
        </w:rPr>
        <w:t>关要求，完成了农村及城镇房屋安全隐患排查、县政协委员现场会、全州人大</w:t>
      </w:r>
      <w:r>
        <w:rPr>
          <w:rFonts w:ascii="仿宋_GB2312" w:eastAsia="仿宋_GB2312" w:cs="仿宋_GB2312" w:hint="eastAsia"/>
          <w:color w:val="auto"/>
          <w:sz w:val="32"/>
          <w:szCs w:val="32"/>
          <w:lang w:eastAsia="zh-CN"/>
          <w:highlight w:val="auto"/>
        </w:rPr>
        <w:t>常委会</w:t>
      </w:r>
      <w:r>
        <w:rPr>
          <w:rFonts w:ascii="仿宋_GB2312" w:eastAsia="仿宋_GB2312" w:cs="仿宋_GB2312" w:hint="eastAsia"/>
          <w:color w:val="auto"/>
          <w:sz w:val="32"/>
          <w:szCs w:val="32"/>
          <w:highlight w:val="auto"/>
        </w:rPr>
        <w:t>主任现场会</w:t>
      </w:r>
      <w:r>
        <w:rPr>
          <w:rFonts w:ascii="仿宋_GB2312" w:eastAsia="仿宋_GB2312" w:cs="仿宋_GB2312" w:hint="eastAsia"/>
          <w:color w:val="auto"/>
          <w:sz w:val="32"/>
          <w:szCs w:val="32"/>
          <w:lang w:eastAsia="zh-CN"/>
          <w:highlight w:val="auto"/>
        </w:rPr>
        <w:t>、</w:t>
      </w:r>
      <w:r>
        <w:rPr>
          <w:rFonts w:ascii="仿宋_GB2312" w:eastAsia="仿宋_GB2312" w:cs="仿宋_GB2312" w:hint="eastAsia"/>
          <w:color w:val="auto"/>
          <w:sz w:val="32"/>
          <w:szCs w:val="32"/>
          <w:highlight w:val="auto"/>
        </w:rPr>
        <w:t>退役军人申领证书、征兵、迎接各级检查等工作。</w:t>
      </w:r>
    </w:p>
    <w:p>
      <w:pPr>
        <w:pStyle w:val="17"/>
      </w:pPr>
    </w:p>
    <w:p>
      <w:pPr>
        <w:pStyle w:val="18"/>
      </w:pPr>
    </w:p>
    <w:p>
      <w:pPr>
        <w:pStyle w:val="2"/>
        <w:ind w:firstLineChars="200" w:firstLine="640"/>
        <w:rPr>
          <w:rFonts w:ascii="黑体" w:eastAsia="黑体" w:cs="Times New Roman"/>
          <w:b w:val="0"/>
          <w:bCs/>
          <w:color w:val="000000"/>
        </w:rPr>
      </w:pPr>
      <w:bookmarkStart w:id="21" w:name="_Toc7982"/>
      <w:bookmarkStart w:id="22" w:name="_Toc111208497"/>
      <w:r>
        <w:rPr>
          <w:rFonts w:ascii="黑体" w:eastAsia="黑体" w:cs="Times New Roman" w:hint="eastAsia"/>
          <w:b w:val="0"/>
          <w:bCs/>
          <w:color w:val="000000"/>
        </w:rPr>
        <w:t>二、机构设置</w:t>
      </w:r>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茂县南新镇人民政府属于行政单位，下设行政单位0个，其中内设机构7个(茂县南新镇党政办公室、党建工作办公室、维护稳定和综合行政执法办公室、经济发展和乡村振兴办公室、社会事务办公室、生态环境和应急管理办公室、财经审查工作办公室)。</w:t>
      </w:r>
    </w:p>
    <w:p>
      <w:pPr>
        <w:widowControl/>
        <w:jc w:val="left"/>
        <w:rPr>
          <w:rFonts w:ascii="仿宋_GB2312" w:eastAsia="仿宋_GB2312"/>
          <w:b/>
          <w:bCs/>
          <w:color w:val="000000"/>
          <w:kern w:val="44"/>
          <w:sz w:val="44"/>
          <w:szCs w:val="44"/>
        </w:rPr>
      </w:pPr>
      <w:bookmarkStart w:id="23" w:name="_Toc15377204"/>
      <w:r>
        <w:rPr>
          <w:rFonts w:ascii="仿宋_GB2312" w:eastAsia="仿宋_GB2312"/>
          <w:color w:val="000000"/>
        </w:rPr>
        <w:br w:type="page"/>
      </w:r>
    </w:p>
    <w:p>
      <w:pPr>
        <w:pStyle w:val="1"/>
        <w:jc w:val="center"/>
        <w:rPr>
          <w:rFonts w:ascii="黑体" w:eastAsia="黑体" w:cs="黑体"/>
        </w:rPr>
      </w:pPr>
      <w:bookmarkStart w:id="24" w:name="_Toc3119"/>
      <w:bookmarkStart w:id="25" w:name="_Toc111208498"/>
      <w:r>
        <w:rPr>
          <w:rFonts w:ascii="黑体" w:eastAsia="黑体" w:cs="黑体" w:hint="eastAsia"/>
        </w:rPr>
        <w:t>第二部分</w:t>
      </w:r>
      <w:r>
        <w:rPr>
          <w:rFonts w:ascii="黑体" w:eastAsia="黑体" w:cs="黑体"/>
        </w:rPr>
        <w:t xml:space="preserve"> </w:t>
      </w:r>
      <w:r>
        <w:rPr>
          <w:rFonts w:ascii="黑体" w:eastAsia="黑体" w:cs="黑体" w:hint="eastAsia"/>
        </w:rPr>
        <w:t>2022</w:t>
      </w:r>
      <w:r>
        <w:rPr>
          <w:rFonts w:ascii="黑体" w:eastAsia="黑体" w:cs="黑体"/>
          <w:u w:color="auto"/>
        </w:rPr>
        <w:t>年度部门决算情况说明</w:t>
      </w:r>
      <w:bookmarkEnd w:id="23"/>
      <w:bookmarkEnd w:id="24"/>
      <w:bookmarkEnd w:id="25"/>
    </w:p>
    <w:p>
      <w:pPr>
        <w:pStyle w:val="2"/>
        <w:ind w:firstLineChars="200" w:firstLine="640"/>
        <w:rPr>
          <w:rFonts w:ascii="黑体" w:eastAsia="黑体" w:cs="Times New Roman"/>
          <w:b w:val="0"/>
          <w:bCs/>
          <w:color w:val="000000"/>
        </w:rPr>
      </w:pPr>
      <w:bookmarkStart w:id="26" w:name="_Toc15377205"/>
      <w:bookmarkStart w:id="27" w:name="_Toc21486"/>
      <w:bookmarkStart w:id="28" w:name="_Toc111208499"/>
      <w:r>
        <w:rPr>
          <w:rFonts w:ascii="黑体" w:eastAsia="黑体" w:cs="Times New Roman" w:hint="eastAsia"/>
          <w:b w:val="0"/>
          <w:bCs/>
          <w:color w:val="000000"/>
        </w:rPr>
        <w:t>一、收入支出决算总体情况说</w:t>
      </w:r>
      <w:bookmarkEnd w:id="26"/>
      <w:r>
        <w:rPr>
          <w:rFonts w:ascii="黑体" w:eastAsia="黑体" w:cs="Times New Roman" w:hint="eastAsia"/>
          <w:b w:val="0"/>
          <w:bCs/>
          <w:color w:val="000000"/>
        </w:rPr>
        <w:t>明</w:t>
      </w:r>
      <w:bookmarkEnd w:id="27"/>
      <w:bookmarkEnd w:id="28"/>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2022年度收、支总计919.72万元。与2021年相比，收、支总计各减少534.52万元，减少36.76 %。主要变动原因是</w:t>
      </w:r>
      <w:r>
        <w:rPr>
          <w:rFonts w:ascii="仿宋_GB2312" w:eastAsia="仿宋_GB2312" w:cs="仿宋_GB2312" w:hint="eastAsia"/>
          <w:b w:val="0"/>
          <w:bCs w:val="0"/>
          <w:color w:val="auto"/>
          <w:sz w:val="32"/>
          <w:szCs w:val="32"/>
          <w:lang w:val="en-US" w:eastAsia="zh-CN"/>
        </w:rPr>
        <w:t>决算口径调整，上年决算未分行政、事业填报</w:t>
      </w:r>
      <w:r>
        <w:rPr>
          <w:rFonts w:ascii="仿宋_GB2312" w:eastAsia="仿宋_GB2312" w:cs="仿宋_GB2312" w:hint="eastAsia"/>
          <w:b w:val="0"/>
          <w:bCs w:val="0"/>
          <w:color w:val="auto"/>
          <w:sz w:val="32"/>
          <w:szCs w:val="32"/>
        </w:rPr>
        <w:t>导致。</w:t>
      </w:r>
    </w:p>
    <w:p>
      <w:pPr>
        <w:pStyle w:val="16"/>
      </w:pPr>
    </w:p>
    <w:p>
      <w:pPr>
        <w:pStyle w:val="17"/>
        <w:ind w:left="0" w:firstLineChars="0" w:firstLine="0"/>
        <w:jc w:val="center"/>
      </w:pPr>
      <w:r>
        <w:drawing>
          <wp:inline distT="0" distB="0" distL="114300" distR="114300">
            <wp:extent cx="5343525" cy="2933700"/>
            <wp:effectExtent l="0" t="0" r="0" b="0"/>
            <wp:docPr id="1" name="图表 1"/>
            <wp:cNvGraphicFramePr>
              <a:graphicFrameLocks noChangeAspect="0"/>
            </wp:cNvGraphicFramePr>
            <a:graphic>
              <a:graphicData uri="http://schemas.openxmlformats.org/drawingml/2006/chart">
                <c:chart xmlns:c="http://schemas.openxmlformats.org/drawingml/2006/chart" r:id="rId4"/>
              </a:graphicData>
            </a:graphic>
          </wp:inline>
        </w:drawing>
      </w:r>
    </w:p>
    <w:p>
      <w:pPr>
        <w:spacing w:line="600" w:lineRule="exact"/>
        <w:ind w:firstLineChars="200" w:firstLine="640"/>
        <w:jc w:val="center"/>
      </w:pPr>
      <w:r>
        <w:rPr>
          <w:rFonts w:ascii="仿宋" w:eastAsia="仿宋" w:hint="eastAsia"/>
          <w:color w:val="000000"/>
          <w:sz w:val="32"/>
          <w:szCs w:val="32"/>
        </w:rPr>
        <w:t>（图1：收、支决算总计变动情况图）</w:t>
      </w:r>
    </w:p>
    <w:p>
      <w:pPr>
        <w:pStyle w:val="2"/>
        <w:ind w:firstLineChars="200" w:firstLine="640"/>
        <w:rPr>
          <w:rFonts w:ascii="黑体" w:eastAsia="黑体" w:cs="Times New Roman"/>
          <w:b w:val="0"/>
          <w:bCs/>
          <w:color w:val="000000"/>
        </w:rPr>
      </w:pPr>
      <w:bookmarkStart w:id="29" w:name="_Toc24609"/>
      <w:bookmarkStart w:id="30" w:name="_Toc111208500"/>
      <w:bookmarkStart w:id="31" w:name="_Toc15377206"/>
      <w:r>
        <w:rPr>
          <w:rFonts w:ascii="黑体" w:eastAsia="黑体" w:cs="Times New Roman" w:hint="eastAsia"/>
          <w:b w:val="0"/>
          <w:bCs/>
          <w:color w:val="000000"/>
        </w:rPr>
        <w:t>二、收入决算情况说明</w:t>
      </w:r>
      <w:bookmarkEnd w:id="29"/>
      <w:bookmarkEnd w:id="30"/>
      <w:bookmarkEnd w:id="31"/>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2022年本年收入合计919.72万元，其中：一般公共预算财政拨款收入908.32万元，占98.76%；政府性基金预算财政拨款收入11.40万元，占1.24%</w:t>
      </w:r>
      <w:r>
        <w:rPr>
          <w:rFonts w:ascii="仿宋_GB2312" w:eastAsia="仿宋_GB2312" w:cs="仿宋_GB2312"/>
          <w:b w:val="0"/>
          <w:bCs w:val="0"/>
          <w:color w:val="auto"/>
          <w:sz w:val="32"/>
          <w:szCs w:val="32"/>
        </w:rPr>
        <w:t>。</w:t>
      </w:r>
    </w:p>
    <w:p>
      <w:pPr>
        <w:pStyle w:val="26"/>
        <w:ind w:leftChars="0" w:left="419" w:hangingChars="131" w:hanging="419"/>
        <w:jc w:val="center"/>
        <w:rPr>
          <w:rFonts w:ascii="仿宋_GB2312" w:eastAsia="仿宋_GB2312" w:hint="eastAsia"/>
          <w:color w:val="FF0000"/>
          <w:sz w:val="32"/>
          <w:szCs w:val="32"/>
        </w:rPr>
      </w:pPr>
      <w:r>
        <w:rPr>
          <w:rFonts w:ascii="仿宋_GB2312" w:eastAsia="仿宋_GB2312" w:hint="eastAsia"/>
          <w:color w:val="FF0000"/>
          <w:sz w:val="32"/>
          <w:szCs w:val="32"/>
        </w:rPr>
        <w:drawing>
          <wp:inline distT="0" distB="0" distL="114300" distR="114300">
            <wp:extent cx="5332730" cy="3220720"/>
            <wp:effectExtent l="0" t="0" r="0" b="0"/>
            <wp:docPr id="2" name="图表 2"/>
            <wp:cNvGraphicFramePr>
              <a:graphicFrameLocks noChangeAspect="0"/>
            </wp:cNvGraphicFramePr>
            <a:graphic>
              <a:graphicData uri="http://schemas.openxmlformats.org/drawingml/2006/chart">
                <c:chart xmlns:c="http://schemas.openxmlformats.org/drawingml/2006/chart" r:id="rId5"/>
              </a:graphicData>
            </a:graphic>
          </wp:inline>
        </w:drawing>
      </w:r>
      <w:bookmarkStart w:id="32" w:name="_Toc15377207"/>
      <w:bookmarkStart w:id="33" w:name="_Toc8745"/>
      <w:bookmarkStart w:id="34" w:name="_Toc111208501"/>
    </w:p>
    <w:p>
      <w:pPr>
        <w:spacing w:line="600" w:lineRule="exact"/>
        <w:ind w:firstLineChars="200" w:firstLine="640"/>
        <w:jc w:val="center"/>
        <w:rPr>
          <w:rFonts w:ascii="仿宋" w:eastAsia="仿宋"/>
          <w:color w:val="000000"/>
          <w:sz w:val="32"/>
          <w:szCs w:val="32"/>
        </w:rPr>
      </w:pPr>
      <w:r>
        <w:rPr>
          <w:rFonts w:ascii="仿宋" w:eastAsia="仿宋" w:hint="eastAsia"/>
          <w:color w:val="000000"/>
          <w:sz w:val="32"/>
          <w:szCs w:val="32"/>
        </w:rPr>
        <w:t>（图2：收入决算结构图）</w:t>
      </w:r>
    </w:p>
    <w:p>
      <w:pPr>
        <w:pStyle w:val="2"/>
        <w:numPr>
          <w:ilvl w:val="0"/>
          <w:numId w:val="1"/>
        </w:numPr>
        <w:ind w:left="0" w:firstLineChars="200" w:firstLine="640"/>
        <w:rPr>
          <w:rFonts w:ascii="黑体" w:eastAsia="黑体" w:cs="Times New Roman" w:hint="eastAsia"/>
          <w:b w:val="0"/>
          <w:bCs/>
          <w:color w:val="000000"/>
        </w:rPr>
      </w:pPr>
      <w:r>
        <w:rPr>
          <w:rFonts w:ascii="黑体" w:eastAsia="黑体" w:cs="Times New Roman" w:hint="eastAsia"/>
          <w:b w:val="0"/>
          <w:bCs/>
          <w:color w:val="000000"/>
        </w:rPr>
        <w:t>支出决算情况说明</w:t>
      </w:r>
      <w:bookmarkEnd w:id="32"/>
      <w:bookmarkEnd w:id="33"/>
      <w:bookmarkEnd w:id="34"/>
    </w:p>
    <w:p>
      <w:pPr>
        <w:pStyle w:val="2"/>
        <w:ind w:left="0" w:firstLineChars="200" w:firstLine="640"/>
        <w:rPr>
          <w:rFonts w:ascii="仿宋" w:eastAsia="仿宋"/>
          <w:color w:val="000000"/>
          <w:sz w:val="32"/>
          <w:szCs w:val="32"/>
        </w:rPr>
      </w:pPr>
      <w:r>
        <w:rPr>
          <w:rFonts w:ascii="仿宋" w:eastAsia="仿宋" w:hint="eastAsia"/>
          <w:b w:val="0"/>
          <w:bCs w:val="0"/>
          <w:color w:val="000000"/>
          <w:sz w:val="32"/>
          <w:szCs w:val="32"/>
        </w:rPr>
        <w:t>2</w:t>
      </w:r>
      <w:r>
        <w:rPr>
          <w:rFonts w:ascii="仿宋_GB2312" w:eastAsia="仿宋_GB2312" w:cs="仿宋_GB2312" w:hint="eastAsia"/>
          <w:b w:val="0"/>
          <w:bCs w:val="0"/>
          <w:color w:val="auto"/>
          <w:kern w:val="2"/>
          <w:sz w:val="32"/>
          <w:szCs w:val="32"/>
          <w:lang w:val="en-US" w:eastAsia="zh-CN" w:bidi="ar-SA"/>
        </w:rPr>
        <w:t>022年本年支出合计919.72万元，其中：基本支出576.97万元，占62.73%；项目支出342.75万元，占37.27%</w:t>
      </w:r>
      <w:r>
        <w:rPr>
          <w:rFonts w:ascii="仿宋_GB2312" w:eastAsia="仿宋_GB2312" w:cs="仿宋_GB2312"/>
          <w:b w:val="0"/>
          <w:bCs w:val="0"/>
          <w:color w:val="auto"/>
          <w:kern w:val="2"/>
          <w:sz w:val="32"/>
          <w:szCs w:val="32"/>
          <w:lang w:val="en-US" w:eastAsia="zh-CN" w:bidi="ar-SA"/>
        </w:rPr>
        <w:t>。</w:t>
      </w:r>
      <w:bookmarkStart w:id="35" w:name="_GoBack"/>
      <w:bookmarkEnd w:id="35"/>
    </w:p>
    <w:p>
      <w:pPr>
        <w:jc w:val="center"/>
        <w:rPr>
          <w:rFonts w:ascii="仿宋_GB2312" w:eastAsia="仿宋_GB2312"/>
          <w:color w:val="FF0000"/>
          <w:sz w:val="32"/>
          <w:szCs w:val="32"/>
        </w:rPr>
      </w:pPr>
      <w:r>
        <w:rPr>
          <w:rFonts w:ascii="仿宋_GB2312" w:eastAsia="仿宋_GB2312" w:hint="eastAsia"/>
          <w:color w:val="FF0000"/>
          <w:sz w:val="32"/>
          <w:szCs w:val="32"/>
        </w:rPr>
        <w:drawing>
          <wp:inline distT="0" distB="0" distL="114300" distR="114300">
            <wp:extent cx="5304154" cy="2794635"/>
            <wp:effectExtent l="0" t="0" r="0" b="0"/>
            <wp:docPr id="3" name="图表 3"/>
            <wp:cNvGraphicFramePr>
              <a:graphicFrameLocks noChangeAspect="0"/>
            </wp:cNvGraphicFramePr>
            <a:graphic>
              <a:graphicData uri="http://schemas.openxmlformats.org/drawingml/2006/chart">
                <c:chart xmlns:c="http://schemas.openxmlformats.org/drawingml/2006/chart" r:id="rId6"/>
              </a:graphicData>
            </a:graphic>
          </wp:inline>
        </w:drawing>
      </w:r>
    </w:p>
    <w:p>
      <w:pPr>
        <w:pStyle w:val="17"/>
        <w:jc w:val="center"/>
      </w:pPr>
      <w:r>
        <w:rPr>
          <w:rFonts w:ascii="仿宋" w:eastAsia="仿宋" w:hint="eastAsia"/>
          <w:color w:val="000000"/>
          <w:sz w:val="32"/>
          <w:szCs w:val="32"/>
        </w:rPr>
        <w:t>（图3：支出决算结构图）</w:t>
      </w:r>
    </w:p>
    <w:p>
      <w:pPr>
        <w:pStyle w:val="2"/>
        <w:ind w:firstLineChars="200" w:firstLine="640"/>
        <w:rPr>
          <w:rFonts w:ascii="黑体" w:eastAsia="黑体" w:cs="Times New Roman"/>
          <w:b w:val="0"/>
          <w:bCs/>
          <w:color w:val="000000"/>
        </w:rPr>
      </w:pPr>
      <w:bookmarkStart w:id="36" w:name="_Toc13661"/>
      <w:bookmarkStart w:id="37" w:name="_Toc111208502"/>
      <w:bookmarkStart w:id="38" w:name="_Toc15377208"/>
      <w:r>
        <w:rPr>
          <w:rFonts w:ascii="黑体" w:eastAsia="黑体" w:cs="Times New Roman" w:hint="eastAsia"/>
          <w:b w:val="0"/>
          <w:bCs/>
          <w:color w:val="000000"/>
        </w:rPr>
        <w:t>四、财政拨款收入支出决算总体情况说明</w:t>
      </w:r>
      <w:bookmarkEnd w:id="36"/>
      <w:bookmarkEnd w:id="37"/>
      <w:bookmarkEnd w:id="38"/>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2022年财政拨款收、支总计919.72万元。与2021年相比，财政拨款收、支总计各减少534.52万元，减少36.76 %。主要变动原因是</w:t>
      </w:r>
      <w:r>
        <w:rPr>
          <w:rFonts w:ascii="仿宋_GB2312" w:eastAsia="仿宋_GB2312" w:cs="仿宋_GB2312" w:hint="eastAsia"/>
          <w:b w:val="0"/>
          <w:bCs w:val="0"/>
          <w:color w:val="auto"/>
          <w:sz w:val="32"/>
          <w:szCs w:val="32"/>
          <w:lang w:val="en-US" w:eastAsia="zh-CN"/>
        </w:rPr>
        <w:t>决算口径调整，上年决算未分行政、事业填报</w:t>
      </w:r>
      <w:r>
        <w:rPr>
          <w:rFonts w:ascii="仿宋_GB2312" w:eastAsia="仿宋_GB2312" w:cs="仿宋_GB2312" w:hint="eastAsia"/>
          <w:b w:val="0"/>
          <w:bCs w:val="0"/>
          <w:color w:val="auto"/>
          <w:sz w:val="32"/>
          <w:szCs w:val="32"/>
        </w:rPr>
        <w:t>导致。</w:t>
      </w:r>
    </w:p>
    <w:p>
      <w:pPr>
        <w:pStyle w:val="17"/>
      </w:pPr>
    </w:p>
    <w:p>
      <w:pPr>
        <w:pStyle w:val="17"/>
        <w:jc w:val="left"/>
      </w:pPr>
      <w:r>
        <w:rPr>
          <w:rFonts w:ascii="仿宋_GB2312" w:eastAsia="仿宋_GB2312" w:hint="eastAsia"/>
          <w:color w:val="000000"/>
          <w:sz w:val="32"/>
          <w:szCs w:val="32"/>
        </w:rPr>
        <w:drawing>
          <wp:inline distT="0" distB="0" distL="0" distR="0">
            <wp:extent cx="4981575" cy="3171825"/>
            <wp:effectExtent l="0" t="0" r="0" b="0"/>
            <wp:docPr id="4" name="图表 12"/>
            <wp:cNvGraphicFramePr>
              <a:graphicFrameLocks noChangeAspect="0"/>
            </wp:cNvGraphicFramePr>
            <a:graphic>
              <a:graphicData uri="http://schemas.openxmlformats.org/drawingml/2006/chart">
                <c:chart xmlns:c="http://schemas.openxmlformats.org/drawingml/2006/chart" r:id="rId7"/>
              </a:graphicData>
            </a:graphic>
          </wp:inline>
        </w:drawing>
      </w:r>
    </w:p>
    <w:p>
      <w:pPr>
        <w:spacing w:line="600" w:lineRule="exact"/>
        <w:ind w:firstLineChars="200" w:firstLine="640"/>
        <w:jc w:val="center"/>
      </w:pPr>
      <w:r>
        <w:rPr>
          <w:rFonts w:ascii="仿宋" w:eastAsia="仿宋" w:hint="eastAsia"/>
          <w:color w:val="000000"/>
          <w:sz w:val="32"/>
          <w:szCs w:val="32"/>
        </w:rPr>
        <w:t>（图4：财政拨款收、支决算总计变动情况）</w:t>
      </w:r>
    </w:p>
    <w:p>
      <w:pPr>
        <w:pStyle w:val="2"/>
        <w:ind w:firstLineChars="200" w:firstLine="640"/>
        <w:rPr>
          <w:rFonts w:ascii="黑体" w:eastAsia="黑体" w:cs="Times New Roman"/>
          <w:b w:val="0"/>
          <w:bCs/>
          <w:color w:val="000000"/>
        </w:rPr>
      </w:pPr>
      <w:bookmarkStart w:id="39" w:name="_Toc15377209"/>
      <w:bookmarkStart w:id="40" w:name="_Toc111208503"/>
      <w:bookmarkStart w:id="41" w:name="_Toc2126"/>
      <w:r>
        <w:rPr>
          <w:rFonts w:ascii="黑体" w:eastAsia="黑体" w:cs="Times New Roman" w:hint="eastAsia"/>
          <w:b w:val="0"/>
          <w:bCs/>
          <w:color w:val="000000"/>
        </w:rPr>
        <w:t>五、一般公共预算财政拨款支出决算情况说</w:t>
      </w:r>
      <w:bookmarkEnd w:id="39"/>
      <w:r>
        <w:rPr>
          <w:rFonts w:ascii="黑体" w:eastAsia="黑体" w:cs="Times New Roman" w:hint="eastAsia"/>
          <w:b w:val="0"/>
          <w:bCs/>
          <w:color w:val="000000"/>
        </w:rPr>
        <w:t>明</w:t>
      </w:r>
      <w:bookmarkEnd w:id="40"/>
      <w:bookmarkEnd w:id="41"/>
    </w:p>
    <w:p>
      <w:pPr>
        <w:spacing w:line="600" w:lineRule="exact"/>
        <w:ind w:firstLineChars="200" w:firstLine="640"/>
        <w:outlineLvl w:val="2"/>
        <w:rPr>
          <w:rFonts w:ascii="仿宋" w:eastAsia="仿宋"/>
          <w:b/>
          <w:color w:val="000000"/>
          <w:sz w:val="32"/>
          <w:szCs w:val="32"/>
        </w:rPr>
      </w:pPr>
      <w:bookmarkStart w:id="42" w:name="_Toc15377210"/>
      <w:r>
        <w:rPr>
          <w:rFonts w:ascii="仿宋" w:eastAsia="仿宋" w:hint="eastAsia"/>
          <w:b/>
          <w:color w:val="000000"/>
          <w:sz w:val="32"/>
          <w:szCs w:val="32"/>
        </w:rPr>
        <w:t>（一）一般公共预算财政拨款支出决算总体情况</w:t>
      </w:r>
      <w:bookmarkEnd w:id="42"/>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bookmarkStart w:id="43" w:name="_Toc15377211"/>
      <w:r>
        <w:rPr>
          <w:rFonts w:ascii="仿宋_GB2312" w:eastAsia="仿宋_GB2312" w:cs="仿宋_GB2312" w:hint="eastAsia"/>
          <w:b w:val="0"/>
          <w:bCs w:val="0"/>
          <w:color w:val="auto"/>
          <w:sz w:val="32"/>
          <w:szCs w:val="32"/>
        </w:rPr>
        <w:t>2022年一般公共预算财政拨款支出908.32万元，占本年支出合计的98.76%。与2021相比，一般公共预算财政拨款减少369.23万元，减少28.90 %。主要变动原因是</w:t>
      </w:r>
      <w:r>
        <w:rPr>
          <w:rFonts w:ascii="仿宋_GB2312" w:eastAsia="仿宋_GB2312" w:cs="仿宋_GB2312" w:hint="eastAsia"/>
          <w:b w:val="0"/>
          <w:bCs w:val="0"/>
          <w:color w:val="auto"/>
          <w:sz w:val="32"/>
          <w:szCs w:val="32"/>
          <w:lang w:val="en-US" w:eastAsia="zh-CN"/>
        </w:rPr>
        <w:t>决算口径调整，上年决算未分行政、事业填报</w:t>
      </w:r>
      <w:r>
        <w:rPr>
          <w:rFonts w:ascii="仿宋_GB2312" w:eastAsia="仿宋_GB2312" w:cs="仿宋_GB2312" w:hint="eastAsia"/>
          <w:b w:val="0"/>
          <w:bCs w:val="0"/>
          <w:color w:val="auto"/>
          <w:sz w:val="32"/>
          <w:szCs w:val="32"/>
        </w:rPr>
        <w:t>导致。</w:t>
      </w:r>
    </w:p>
    <w:p>
      <w:pPr>
        <w:pStyle w:val="17"/>
        <w:rPr>
          <w:rFonts w:ascii="仿宋_GB2312" w:eastAsia="仿宋_GB2312"/>
          <w:b/>
          <w:color w:val="000000"/>
          <w:sz w:val="32"/>
          <w:szCs w:val="32"/>
        </w:rPr>
      </w:pPr>
    </w:p>
    <w:p>
      <w:pPr>
        <w:pStyle w:val="17"/>
        <w:rPr>
          <w:rFonts w:ascii="仿宋_GB2312" w:eastAsia="仿宋_GB2312"/>
          <w:b/>
          <w:color w:val="000000"/>
          <w:sz w:val="32"/>
          <w:szCs w:val="32"/>
        </w:rPr>
      </w:pPr>
      <w:r>
        <w:rPr>
          <w:rFonts w:ascii="仿宋_GB2312" w:eastAsia="仿宋_GB2312" w:hint="eastAsia"/>
          <w:b/>
          <w:color w:val="000000"/>
          <w:sz w:val="32"/>
          <w:szCs w:val="32"/>
        </w:rPr>
        <w:drawing>
          <wp:inline distT="0" distB="0" distL="0" distR="0">
            <wp:extent cx="4905374" cy="3569970"/>
            <wp:effectExtent l="0" t="0" r="0" b="0"/>
            <wp:docPr id="5" name="图表 4"/>
            <wp:cNvGraphicFramePr>
              <a:graphicFrameLocks noChangeAspect="0"/>
            </wp:cNvGraphicFramePr>
            <a:graphic>
              <a:graphicData uri="http://schemas.openxmlformats.org/drawingml/2006/chart">
                <c:chart xmlns:c="http://schemas.openxmlformats.org/drawingml/2006/chart" r:id="rId8"/>
              </a:graphicData>
            </a:graphic>
          </wp:inline>
        </w:drawing>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center"/>
        <w:textAlignment w:val="auto"/>
        <w:rPr>
          <w:rFonts w:ascii="仿宋" w:eastAsia="仿宋" w:cs="仿宋" w:hint="eastAsia"/>
          <w:b w:val="0"/>
          <w:bCs w:val="0"/>
          <w:color w:val="auto"/>
          <w:sz w:val="32"/>
          <w:szCs w:val="32"/>
        </w:rPr>
      </w:pPr>
      <w:r>
        <w:rPr>
          <w:rFonts w:ascii="仿宋" w:eastAsia="仿宋" w:cs="仿宋" w:hint="eastAsia"/>
          <w:b w:val="0"/>
          <w:bCs w:val="0"/>
          <w:color w:val="auto"/>
          <w:sz w:val="32"/>
          <w:szCs w:val="32"/>
        </w:rPr>
        <w:t>（图5：一般公共预算财政拨款支出决算变动情况）</w:t>
      </w:r>
    </w:p>
    <w:p>
      <w:pPr>
        <w:pStyle w:val="17"/>
        <w:jc w:val="center"/>
        <w:rPr>
          <w:rFonts w:ascii="仿宋_GB2312" w:eastAsia="仿宋_GB2312"/>
          <w:b/>
          <w:color w:val="000000"/>
          <w:sz w:val="32"/>
          <w:szCs w:val="32"/>
        </w:rPr>
      </w:pP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（二）一般公共预算财政拨款支出决算结构情况</w:t>
      </w:r>
      <w:bookmarkEnd w:id="43"/>
      <w:r>
        <w:rPr>
          <w:rFonts w:ascii="仿宋" w:eastAsia="仿宋" w:hint="eastAsia"/>
          <w:b/>
          <w:color w:val="000000"/>
          <w:sz w:val="32"/>
          <w:szCs w:val="32"/>
        </w:rPr>
        <w:t>（一般公共预算收支表）</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 w:eastAsia="仿宋" w:hint="eastAsia"/>
          <w:color w:val="000000"/>
          <w:sz w:val="32"/>
          <w:szCs w:val="32"/>
        </w:rPr>
        <w:t>2</w:t>
      </w:r>
      <w:r>
        <w:rPr>
          <w:rFonts w:ascii="仿宋_GB2312" w:eastAsia="仿宋_GB2312" w:cs="仿宋_GB2312" w:hint="eastAsia"/>
          <w:b w:val="0"/>
          <w:bCs w:val="0"/>
          <w:color w:val="auto"/>
          <w:sz w:val="32"/>
          <w:szCs w:val="32"/>
        </w:rPr>
        <w:t>022年一般公共预算财政拨款支出908.32万元，主要用于以下方面: 一般公共服务支出441.06万元，占48.56%；社会保障和就业支出75.86万元，占8.35%；卫生健康支出41.36万元，占4.55%；农林水支出314.30万元，占34.60%；住房保障支出35.75万元，占3.94%。</w:t>
      </w:r>
    </w:p>
    <w:p>
      <w:pPr>
        <w:pStyle w:val="17"/>
      </w:pPr>
      <w:bookmarkStart w:id="44" w:name="_Toc15377212"/>
      <w:r>
        <w:drawing>
          <wp:inline distT="0" distB="0" distL="0" distR="0">
            <wp:extent cx="4333240" cy="2886075"/>
            <wp:effectExtent l="0" t="0" r="0" b="0"/>
            <wp:docPr id="6" name="图表 1"/>
            <wp:cNvGraphicFramePr>
              <a:graphicFrameLocks noChangeAspect="0"/>
            </wp:cNvGraphicFramePr>
            <a:graphic>
              <a:graphicData uri="http://schemas.openxmlformats.org/drawingml/2006/chart">
                <c:chart xmlns:c="http://schemas.openxmlformats.org/drawingml/2006/chart" r:id="rId9"/>
              </a:graphicData>
            </a:graphic>
          </wp:inline>
        </w:drawing>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pPr>
      <w:r>
        <w:rPr>
          <w:rFonts w:ascii="仿宋" w:eastAsia="仿宋" w:cs="仿宋" w:hint="eastAsia"/>
          <w:b w:val="0"/>
          <w:bCs w:val="0"/>
          <w:color w:val="auto"/>
          <w:sz w:val="32"/>
          <w:szCs w:val="32"/>
        </w:rPr>
        <w:t>（图6：一般公共预算财政拨款支出决算结构）</w:t>
      </w: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（三）一般公共预算财政拨款支出决算具体情况</w:t>
      </w:r>
      <w:bookmarkEnd w:id="44"/>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bCs/>
          <w:color w:val="auto"/>
          <w:sz w:val="32"/>
          <w:szCs w:val="32"/>
        </w:rPr>
      </w:pPr>
      <w:bookmarkStart w:id="45" w:name="_Toc15377213"/>
      <w:bookmarkStart w:id="46" w:name="_Toc15377444"/>
      <w:bookmarkStart w:id="47" w:name="_Toc15378460"/>
      <w:r>
        <w:rPr>
          <w:rFonts w:ascii="仿宋_GB2312" w:eastAsia="仿宋_GB2312" w:cs="仿宋_GB2312" w:hint="eastAsia"/>
          <w:b/>
          <w:bCs/>
          <w:color w:val="auto"/>
          <w:sz w:val="32"/>
          <w:szCs w:val="32"/>
        </w:rPr>
        <w:t>2022年一般公共预算支出决算数为908.32万</w:t>
      </w:r>
      <w:r>
        <w:rPr>
          <w:rFonts w:ascii="仿宋_GB2312" w:eastAsia="仿宋_GB2312" w:cs="仿宋_GB2312" w:hint="eastAsia"/>
          <w:b/>
          <w:bCs/>
          <w:color w:val="auto"/>
          <w:sz w:val="32"/>
          <w:szCs w:val="32"/>
          <w:lang w:eastAsia="zh-CN"/>
        </w:rPr>
        <w:t>元</w:t>
      </w:r>
      <w:r>
        <w:rPr>
          <w:rFonts w:ascii="仿宋_GB2312" w:eastAsia="仿宋_GB2312" w:cs="仿宋_GB2312" w:hint="eastAsia"/>
          <w:b/>
          <w:bCs/>
          <w:color w:val="auto"/>
          <w:sz w:val="32"/>
          <w:szCs w:val="32"/>
        </w:rPr>
        <w:t>，完成预算100%。其中：</w:t>
      </w:r>
      <w:bookmarkEnd w:id="45"/>
      <w:bookmarkEnd w:id="46"/>
      <w:bookmarkEnd w:id="47"/>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rPr>
      </w:pPr>
      <w:r>
        <w:rPr>
          <w:rFonts w:ascii="仿宋_GB2312" w:eastAsia="仿宋_GB2312" w:cs="仿宋_GB2312" w:hint="eastAsia"/>
          <w:b w:val="0"/>
          <w:bCs w:val="0"/>
          <w:color w:val="auto"/>
          <w:sz w:val="32"/>
          <w:szCs w:val="32"/>
        </w:rPr>
        <w:t>1.一般公共服务支出（201）政府办公厅（室）及相关机构事务（20103）行政运行（2010301）支出决算439.90万元，完成预算100%。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2.一般公共服务支出（201）党委办公厅（室）及相关机构事务（20131）行政运行（2013101）支出决算1.16万元，完成预算100%。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3.社会保障和就业支出（208）行政事业单位养老支出（20805）机关事业单位基本养老保险缴费支出（2080505）支出决算46.14万元，完成预算100%。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4.社会保障和就业支出（208）行政事业单位养老支出（20805）机关事业单位职业年金缴费支出（2080506）支出决算23.07万元，完成预算100%。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5.社会保障和就业支出（208）社会福利（20810）老年福利（2081002）支出决算2.15万元，完成预算100%。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6.社会保障和就业支出（208）社会福利（20810）养老服务（2081006）支出决算4.18万元，完成预算100%。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7.社会保障和就业支出（208）残疾人事业（20811）其他残疾人事业支出（2081199）支出决算0.32万元，完成预算100%。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8.卫生健康支出（210）公共卫生（21004）重大公共卫生服务（2100409）支出决算10.00万元，完成预算100%。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9.卫生健康支出（210）计划生育事务（21007）其他计划生育事务支出（2100799）支出决算0.40万元，完成预算100%。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10.卫生健康支出（210）行政事业单位医疗（21011）行政单位医疗（2101101）支出决算30.96万元，完成预算100%。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11.农林水支出（213）巩固脱贫衔接乡村振兴（21305）其他巩固脱贫衔接乡村振兴支出（2130599）支出决算101.50万元，完成预算100%。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12.农林水支出（213）农村综合改革（21307）对村民委员会和村党支部的补助（2130705）支出决算212.80万元，完成预算100%。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13.住房保障支出（221）住房改革支出（22102）住房公积金（2210201）支出决算33.32万元，完成预算100%。</w:t>
        <w:cr/>
      </w:r>
      <w:r>
        <w:rPr>
          <w:rFonts w:ascii="仿宋_GB2312" w:eastAsia="仿宋_GB2312" w:cs="仿宋_GB2312" w:hint="eastAsia"/>
          <w:b w:val="0"/>
          <w:bCs w:val="0"/>
          <w:color w:val="auto"/>
          <w:sz w:val="32"/>
          <w:szCs w:val="32"/>
          <w:lang w:val="en-US" w:eastAsia="zh-CN"/>
        </w:rPr>
        <w:t xml:space="preserve">    </w:t>
      </w:r>
      <w:r>
        <w:rPr>
          <w:rFonts w:ascii="仿宋_GB2312" w:eastAsia="仿宋_GB2312" w:cs="仿宋_GB2312" w:hint="eastAsia"/>
          <w:b w:val="0"/>
          <w:bCs w:val="0"/>
          <w:color w:val="auto"/>
          <w:sz w:val="32"/>
          <w:szCs w:val="32"/>
        </w:rPr>
        <w:t>14.住房保障支出（221）住房改革支出（22102）购房补贴（2210203）支出决算2.43万元，完成预算100%。</w:t>
      </w:r>
    </w:p>
    <w:p>
      <w:pPr>
        <w:pStyle w:val="2"/>
        <w:ind w:firstLineChars="200" w:firstLine="640"/>
        <w:rPr>
          <w:rFonts w:ascii="黑体" w:eastAsia="黑体" w:cs="Times New Roman"/>
          <w:b w:val="0"/>
          <w:bCs/>
          <w:color w:val="000000"/>
        </w:rPr>
      </w:pPr>
      <w:bookmarkStart w:id="48" w:name="_Toc15377214"/>
      <w:bookmarkStart w:id="49" w:name="_Toc111208504"/>
      <w:bookmarkStart w:id="50" w:name="_Toc24703"/>
      <w:r>
        <w:rPr>
          <w:rFonts w:ascii="黑体" w:eastAsia="黑体" w:cs="Times New Roman" w:hint="eastAsia"/>
          <w:b w:val="0"/>
          <w:bCs/>
          <w:color w:val="000000"/>
        </w:rPr>
        <w:t>六、一般公共预算财政拨款基本支出决算情况说</w:t>
      </w:r>
      <w:bookmarkEnd w:id="48"/>
      <w:r>
        <w:rPr>
          <w:rFonts w:ascii="黑体" w:eastAsia="黑体" w:cs="Times New Roman" w:hint="eastAsia"/>
          <w:b w:val="0"/>
          <w:bCs/>
          <w:color w:val="000000"/>
        </w:rPr>
        <w:t>明</w:t>
      </w:r>
      <w:bookmarkEnd w:id="49"/>
      <w:bookmarkEnd w:id="50"/>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2022年一般公共预算财政拨款基本支出576.97万元，其中：</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人员经费555.85万元，主要包括：基本工资121.35万元、津贴补贴119.47万元、奖金142.86万元、机关事业单位基本养老保险缴费46.14万元、职业年金缴费23.07万元、职工基本医疗保险缴费30.96万元、其他社会保障缴费12.73万元、住房公积金33.32万元、医疗费0.25万元、抚恤金18.54万元、生活补助7.04万元、医疗费补助0.10万元、奖励金0.03万元。</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公用经费21.12万元，主要包括：办公费9.00万元、电费0.63万元、邮电费1.11万元、差旅费5.38万元、公务用车运行维护费5.00万元。</w:t>
      </w:r>
    </w:p>
    <w:p>
      <w:pPr>
        <w:pStyle w:val="2"/>
        <w:ind w:firstLineChars="200" w:firstLine="640"/>
        <w:rPr>
          <w:rFonts w:ascii="黑体" w:eastAsia="黑体" w:cs="Times New Roman"/>
          <w:b w:val="0"/>
          <w:bCs/>
          <w:color w:val="000000"/>
        </w:rPr>
      </w:pPr>
      <w:bookmarkStart w:id="51" w:name="_Toc16585"/>
      <w:bookmarkStart w:id="52" w:name="_Toc111208505"/>
      <w:bookmarkStart w:id="53" w:name="_Toc15377215"/>
      <w:r>
        <w:rPr>
          <w:rFonts w:ascii="黑体" w:eastAsia="黑体" w:cs="Times New Roman" w:hint="eastAsia"/>
          <w:b w:val="0"/>
          <w:bCs/>
          <w:color w:val="000000"/>
        </w:rPr>
        <w:t>七、“三公”经费财政拨款支出决算情况说明</w:t>
      </w:r>
      <w:bookmarkEnd w:id="51"/>
      <w:bookmarkEnd w:id="52"/>
      <w:bookmarkEnd w:id="53"/>
    </w:p>
    <w:p>
      <w:pPr>
        <w:spacing w:line="600" w:lineRule="exact"/>
        <w:ind w:firstLineChars="200" w:firstLine="640"/>
        <w:outlineLvl w:val="2"/>
        <w:rPr>
          <w:rFonts w:ascii="仿宋" w:eastAsia="仿宋"/>
          <w:b/>
          <w:color w:val="000000"/>
          <w:sz w:val="32"/>
          <w:szCs w:val="32"/>
        </w:rPr>
      </w:pPr>
      <w:bookmarkStart w:id="54" w:name="_Toc15377216"/>
      <w:r>
        <w:rPr>
          <w:rFonts w:ascii="仿宋" w:eastAsia="仿宋" w:hint="eastAsia"/>
          <w:b/>
          <w:color w:val="000000"/>
          <w:sz w:val="32"/>
          <w:szCs w:val="32"/>
        </w:rPr>
        <w:t>（一）“三公”经费财政拨款支出决算总体情况说明</w:t>
      </w:r>
      <w:bookmarkEnd w:id="54"/>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 xml:space="preserve">2022年“三公”经费财政拨款支出决算为5.00万元，完成预算100.00%，较上年增加1.49万元，增加42.47 %；主要变动原因是新增护林防火专用消防车。 </w:t>
      </w:r>
    </w:p>
    <w:p>
      <w:pPr>
        <w:spacing w:line="600" w:lineRule="exact"/>
        <w:ind w:firstLineChars="200" w:firstLine="640"/>
        <w:outlineLvl w:val="2"/>
        <w:rPr>
          <w:rFonts w:ascii="仿宋" w:eastAsia="仿宋"/>
          <w:b/>
          <w:color w:val="000000"/>
          <w:sz w:val="32"/>
          <w:szCs w:val="32"/>
        </w:rPr>
      </w:pPr>
      <w:bookmarkStart w:id="55" w:name="_Toc15377217"/>
      <w:r>
        <w:rPr>
          <w:rFonts w:ascii="仿宋" w:eastAsia="仿宋" w:hint="eastAsia"/>
          <w:b/>
          <w:color w:val="000000"/>
          <w:sz w:val="32"/>
          <w:szCs w:val="32"/>
        </w:rPr>
        <w:t>（二）“三公”经费财政拨款支出决算具体情况说明</w:t>
      </w:r>
      <w:bookmarkEnd w:id="55"/>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2022年“三公”经费财政拨款支出5.00万元，因公出国（境）费支出决算0万元；公务用车购置及运行维护费支出决算5.00万元，占100.00%；公务接待费支出决算0万元。具体情况如下：</w:t>
      </w:r>
    </w:p>
    <w:p>
      <w:pPr>
        <w:pStyle w:val="17"/>
        <w:ind w:left="0" w:firstLineChars="0" w:firstLine="0"/>
      </w:pPr>
      <w:r>
        <w:drawing>
          <wp:inline distT="0" distB="0" distL="0" distR="0">
            <wp:extent cx="4935855" cy="2886075"/>
            <wp:effectExtent l="0" t="0" r="0" b="0"/>
            <wp:docPr id="7" name="图表 6"/>
            <wp:cNvGraphicFramePr>
              <a:graphicFrameLocks noChangeAspect="0"/>
            </wp:cNvGraphicFramePr>
            <a:graphic>
              <a:graphicData uri="http://schemas.openxmlformats.org/drawingml/2006/chart">
                <c:chart xmlns:c="http://schemas.openxmlformats.org/drawingml/2006/chart" r:id="rId10"/>
              </a:graphicData>
            </a:graphic>
          </wp:inline>
        </w:drawing>
      </w:r>
    </w:p>
    <w:p>
      <w:pPr>
        <w:spacing w:line="600" w:lineRule="exact"/>
        <w:ind w:firstLineChars="200" w:firstLine="640"/>
        <w:jc w:val="center"/>
      </w:pPr>
      <w:r>
        <w:rPr>
          <w:rFonts w:ascii="仿宋" w:eastAsia="仿宋" w:hint="eastAsia"/>
          <w:color w:val="000000"/>
          <w:sz w:val="32"/>
          <w:szCs w:val="32"/>
        </w:rPr>
        <w:t>（图7：“三公”经费财政拨款支出结构）</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 xml:space="preserve">1.因公出国（境）经费支出0万元。全年安排因公出国（境）团组0次，出国（境）0人。因公出国（境）支出决算比2021年增加0万元。 </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2.公务用车购置及运行维护费支出5.00万元,完成预算100.00%。公务用车购置及运行维护费支出决算比2021年增加1.49万元，增加42.47%。主要原因是经核实，因为今年新增消防车数据。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其中：公务用车购置支出0.00万元。全年按规定新增公务用车1辆，其中：消防车1辆、金额21.67万元，越野车0辆、金额0万元，载客汽车0辆、金额0万元。截至2022年12月底，单位共有公务用车3辆，其中：轿车1辆、越野车1辆、消防车1辆。公务用车运行维护费支出5.00万元，主要用于辖区内及各村开展工作、燃料费、维修费、过路过桥保险费等支出。</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3.公务接待费支出0万元。公务接待费支出决算比2021年减少0.52万元。</w:t>
      </w:r>
      <w:bookmarkStart w:id="56" w:name="_Toc15377218"/>
      <w:r>
        <w:rPr>
          <w:rFonts w:ascii="仿宋_GB2312" w:eastAsia="仿宋_GB2312" w:cs="仿宋_GB2312" w:hint="eastAsia"/>
          <w:b w:val="0"/>
          <w:bCs w:val="0"/>
          <w:color w:val="auto"/>
          <w:sz w:val="32"/>
          <w:szCs w:val="32"/>
          <w:lang w:val="en-US" w:eastAsia="zh-CN"/>
        </w:rPr>
        <w:t>主要原因是经核实，今年未支付接待费。 国内公务接待支出0万元。国内公务接待0批次，0人次（不包括陪同人员），共计支出0万元。外事接待支出0万元，外事接待0批次，0人，共计支出0万元。</w:t>
      </w:r>
    </w:p>
    <w:p>
      <w:pPr>
        <w:pStyle w:val="2"/>
        <w:ind w:firstLineChars="200" w:firstLine="640"/>
        <w:rPr>
          <w:rFonts w:ascii="黑体" w:eastAsia="黑体" w:cs="Times New Roman"/>
          <w:b w:val="0"/>
          <w:bCs/>
          <w:color w:val="000000"/>
        </w:rPr>
      </w:pPr>
      <w:bookmarkStart w:id="57" w:name="_Toc4484"/>
      <w:bookmarkStart w:id="58" w:name="_Toc111208506"/>
      <w:r>
        <w:rPr>
          <w:rFonts w:ascii="黑体" w:eastAsia="黑体" w:cs="Times New Roman" w:hint="eastAsia"/>
          <w:b w:val="0"/>
          <w:bCs/>
          <w:color w:val="000000"/>
        </w:rPr>
        <w:t>八、政府性基金预算支出决算情况说明</w:t>
      </w:r>
      <w:bookmarkEnd w:id="56"/>
      <w:bookmarkEnd w:id="57"/>
      <w:bookmarkEnd w:id="58"/>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2022年政府性基金预算拨款支出11.40万元。</w:t>
      </w:r>
      <w:bookmarkStart w:id="59" w:name="_Toc15377219"/>
    </w:p>
    <w:p>
      <w:pPr>
        <w:pStyle w:val="2"/>
        <w:ind w:firstLineChars="200" w:firstLine="640"/>
        <w:rPr>
          <w:rFonts w:ascii="黑体" w:eastAsia="黑体" w:cs="Times New Roman"/>
          <w:b w:val="0"/>
          <w:bCs/>
          <w:color w:val="000000"/>
        </w:rPr>
      </w:pPr>
      <w:bookmarkStart w:id="60" w:name="_Toc111208507"/>
      <w:bookmarkStart w:id="61" w:name="_Toc1532"/>
      <w:r>
        <w:rPr>
          <w:rFonts w:ascii="黑体" w:eastAsia="黑体" w:cs="Times New Roman" w:hint="eastAsia"/>
          <w:b w:val="0"/>
          <w:bCs/>
          <w:color w:val="000000"/>
        </w:rPr>
        <w:t>九、国有资本经营预算支出决算情况说明</w:t>
      </w:r>
      <w:bookmarkEnd w:id="59"/>
      <w:bookmarkEnd w:id="60"/>
      <w:bookmarkEnd w:id="61"/>
    </w:p>
    <w:p>
      <w:pPr>
        <w:keepNext w:val="0"/>
        <w:keepLines w:val="0"/>
        <w:pageBreakBefore w:val="0"/>
        <w:widowControl w:val="0"/>
        <w:kinsoku/>
        <w:wordWrap/>
        <w:overflowPunct/>
        <w:topLinePunct w:val="0"/>
        <w:autoSpaceDE/>
        <w:autoSpaceDN/>
        <w:bidi w:val="0"/>
        <w:adjustRightInd w:val="0"/>
        <w:snapToGrid w:val="0"/>
        <w:spacing w:line="576" w:lineRule="exact"/>
        <w:ind w:left="0" w:firstLineChars="200" w:firstLine="640"/>
        <w:jc w:val="both"/>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2022年国有资本经营预算拨款支出0.00万元。</w:t>
      </w:r>
    </w:p>
    <w:p>
      <w:pPr>
        <w:pStyle w:val="2"/>
        <w:ind w:firstLineChars="200" w:firstLine="640"/>
        <w:rPr>
          <w:rFonts w:ascii="黑体" w:eastAsia="黑体" w:cs="Times New Roman"/>
          <w:b w:val="0"/>
          <w:bCs/>
          <w:color w:val="000000"/>
        </w:rPr>
      </w:pPr>
      <w:bookmarkStart w:id="62" w:name="_Toc587"/>
      <w:bookmarkStart w:id="63" w:name="_Toc15377221"/>
      <w:bookmarkStart w:id="64" w:name="_Toc111208508"/>
      <w:r>
        <w:rPr>
          <w:rFonts w:ascii="黑体" w:eastAsia="黑体" w:cs="Times New Roman" w:hint="eastAsia"/>
          <w:b w:val="0"/>
          <w:bCs/>
          <w:color w:val="000000"/>
        </w:rPr>
        <w:t>十、其他重要事项的情况说明</w:t>
      </w:r>
      <w:bookmarkEnd w:id="62"/>
      <w:bookmarkEnd w:id="63"/>
      <w:bookmarkEnd w:id="64"/>
    </w:p>
    <w:p>
      <w:pPr>
        <w:spacing w:line="600" w:lineRule="exact"/>
        <w:ind w:firstLineChars="200" w:firstLine="640"/>
        <w:outlineLvl w:val="2"/>
        <w:rPr>
          <w:rFonts w:ascii="仿宋" w:eastAsia="仿宋"/>
          <w:b/>
          <w:color w:val="000000"/>
          <w:sz w:val="32"/>
          <w:szCs w:val="32"/>
        </w:rPr>
      </w:pPr>
      <w:bookmarkStart w:id="65" w:name="_Toc15377222"/>
      <w:r>
        <w:rPr>
          <w:rFonts w:ascii="仿宋" w:eastAsia="仿宋" w:hint="eastAsia"/>
          <w:b/>
          <w:color w:val="000000"/>
          <w:sz w:val="32"/>
          <w:szCs w:val="32"/>
        </w:rPr>
        <w:t>（一）机关运行经费支出情况</w:t>
      </w:r>
      <w:bookmarkEnd w:id="65"/>
    </w:p>
    <w:p>
      <w:pPr>
        <w:spacing w:line="600" w:lineRule="exact"/>
        <w:ind w:firstLine="640"/>
        <w:rPr>
          <w:rFonts w:ascii="仿宋" w:eastAsia="仿宋"/>
          <w:color w:val="000000"/>
          <w:sz w:val="32"/>
          <w:szCs w:val="32"/>
        </w:rPr>
      </w:pPr>
      <w:r>
        <w:rPr>
          <w:rFonts w:ascii="仿宋_GB2312" w:eastAsia="仿宋_GB2312" w:cs="仿宋_GB2312" w:hint="eastAsia"/>
          <w:b w:val="0"/>
          <w:bCs w:val="0"/>
          <w:color w:val="auto"/>
          <w:sz w:val="32"/>
          <w:szCs w:val="32"/>
          <w:lang w:val="en-US" w:eastAsia="zh-CN"/>
        </w:rPr>
        <w:t>2022年，机关运行经费支出21.12万元，比2021年增加21.12万元，增加100 %，主要变动原因是决算口径调整。</w:t>
      </w:r>
      <w:r>
        <w:rPr>
          <w:rFonts w:ascii="仿宋" w:eastAsia="仿宋"/>
          <w:color w:val="000000"/>
          <w:sz w:val="32"/>
          <w:u w:color="auto"/>
        </w:rPr>
        <w:t xml:space="preserve"> </w:t>
      </w:r>
    </w:p>
    <w:p>
      <w:pPr>
        <w:spacing w:line="600" w:lineRule="exact"/>
        <w:ind w:firstLineChars="200" w:firstLine="640"/>
        <w:outlineLvl w:val="2"/>
        <w:rPr>
          <w:rFonts w:ascii="仿宋" w:eastAsia="仿宋"/>
          <w:b/>
          <w:color w:val="000000"/>
          <w:sz w:val="32"/>
          <w:szCs w:val="32"/>
        </w:rPr>
      </w:pPr>
      <w:bookmarkStart w:id="66" w:name="_Toc15377223"/>
      <w:r>
        <w:rPr>
          <w:rFonts w:ascii="仿宋" w:eastAsia="仿宋" w:hint="eastAsia"/>
          <w:b/>
          <w:color w:val="000000"/>
          <w:sz w:val="32"/>
          <w:szCs w:val="32"/>
        </w:rPr>
        <w:t>（二）政府采购支出情况</w:t>
      </w:r>
      <w:bookmarkEnd w:id="66"/>
      <w:r>
        <w:rPr>
          <w:rFonts w:ascii="仿宋" w:eastAsia="仿宋" w:hint="eastAsia"/>
          <w:b/>
          <w:color w:val="000000"/>
          <w:sz w:val="32"/>
          <w:szCs w:val="32"/>
        </w:rPr>
        <w:t>(机构运行信息表)</w:t>
      </w:r>
    </w:p>
    <w:p>
      <w:pPr>
        <w:spacing w:line="600" w:lineRule="exact"/>
        <w:ind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2022年，政府采购支出总额0万元，其中：政府采购货物支出0万元、政府采购工程支出0万元、政府采购服务支出0万元。授予中小企业合同金额0万元，其中：授予小微企业合同金额0万元。</w:t>
      </w:r>
    </w:p>
    <w:p>
      <w:pPr>
        <w:spacing w:line="600" w:lineRule="exact"/>
        <w:ind w:firstLineChars="200" w:firstLine="640"/>
        <w:outlineLvl w:val="2"/>
        <w:rPr>
          <w:rFonts w:ascii="仿宋" w:eastAsia="仿宋"/>
          <w:b/>
          <w:color w:val="000000"/>
          <w:sz w:val="32"/>
          <w:szCs w:val="32"/>
        </w:rPr>
      </w:pPr>
      <w:bookmarkStart w:id="67" w:name="_Toc15377224"/>
      <w:r>
        <w:rPr>
          <w:rFonts w:ascii="仿宋" w:eastAsia="仿宋" w:hint="eastAsia"/>
          <w:b/>
          <w:color w:val="000000"/>
          <w:sz w:val="32"/>
          <w:szCs w:val="32"/>
        </w:rPr>
        <w:t>（三）国有资产占有使用情况</w:t>
      </w:r>
      <w:bookmarkEnd w:id="67"/>
    </w:p>
    <w:p>
      <w:pPr>
        <w:spacing w:line="600" w:lineRule="exact"/>
        <w:ind w:firstLine="640"/>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en-US" w:eastAsia="zh-CN"/>
        </w:rPr>
        <w:t>截至2022年12月31日，共有车辆3辆，其中：主要领导干部用车0辆、机要通信用车0辆、应急保障用车3辆、其他用车0辆。单价50万元以上通用设备0台（套），单价100万元以上专用设备—台（套）。</w:t>
      </w: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Chars="200" w:firstLine="640"/>
        <w:jc w:val="left"/>
        <w:textAlignment w:val="auto"/>
        <w:rPr>
          <w:rFonts w:ascii="仿宋_GB2312" w:eastAsia="仿宋_GB2312" w:cs="仿宋_GB2312" w:hint="eastAsia"/>
          <w:sz w:val="32"/>
          <w:szCs w:val="32"/>
        </w:rPr>
      </w:pPr>
      <w:r>
        <w:rPr>
          <w:rFonts w:ascii="仿宋_GB2312" w:eastAsia="仿宋_GB2312" w:cs="仿宋_GB2312" w:hint="eastAsia"/>
          <w:b w:val="0"/>
          <w:bCs w:val="0"/>
          <w:color w:val="auto"/>
          <w:sz w:val="32"/>
          <w:szCs w:val="32"/>
          <w:lang w:val="en-US" w:eastAsia="zh-CN"/>
        </w:rPr>
        <w:t>根据预算绩效管理要求，本部门在2022年度预算编制阶段，组织对居家养老补助经费、残协工作经费、疫情防控经费、计划生育事业费、公路养护资金、七星村集体经济补助资金、驻村工作经费、村级运行维护费、村级办公经费、村干部生活补助等</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个项目开展了预算事前绩效评估，对</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个项目编制了绩效目标。</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Chars="200" w:firstLine="640"/>
        <w:jc w:val="left"/>
        <w:textAlignment w:val="auto"/>
        <w:rPr>
          <w:rFonts w:ascii="仿宋_GB2312" w:eastAsia="仿宋_GB2312" w:cs="仿宋_GB2312" w:hint="eastAsia"/>
          <w:b w:val="0"/>
          <w:bCs w:val="0"/>
          <w:color w:val="auto"/>
          <w:sz w:val="32"/>
          <w:szCs w:val="32"/>
          <w:lang w:val="zh-CN" w:eastAsia="zh-CN"/>
        </w:rPr>
      </w:pPr>
      <w:r>
        <w:rPr>
          <w:rFonts w:ascii="仿宋_GB2312" w:eastAsia="仿宋_GB2312" w:cs="仿宋_GB2312" w:hint="eastAsia"/>
          <w:b w:val="0"/>
          <w:bCs w:val="0"/>
          <w:color w:val="auto"/>
          <w:sz w:val="32"/>
          <w:szCs w:val="32"/>
          <w:lang w:val="en-US" w:eastAsia="zh-CN"/>
        </w:rPr>
        <w:t>组织对 2022 年度一般公共预算、政府性基金预算等全面开展绩效自评，形成南新镇部门整 体绩效自评报告、组织对居家养老补助经费、残协工作经费、疫情防控经费、计划生育事业费、公路养护资金、七星村集体经济补助资金、驻村工作经费、村级运行维护费等专项预算项目绩效自评报告，其中，南新镇部门整体(含部门预算项目)绩效自评得分为90分，绩效自评综述： 通过上级部门及本级财政部门的评估检査，本单位财务职责履行结果良好，重点项目绩效评佔良好，服务对象及满意度得到上级部门及本級部门的肯定，整体结果良好。2022年全年，我单位共计支出项目资金342.75万元。七星村集体经济补助资金专项预算项目绩效自评得分为 90分，绩效自评综述：</w:t>
      </w:r>
      <w:r>
        <w:rPr>
          <w:rFonts w:ascii="仿宋_GB2312" w:eastAsia="仿宋_GB2312" w:cs="仿宋_GB2312" w:hint="eastAsia"/>
          <w:b w:val="0"/>
          <w:bCs w:val="0"/>
          <w:color w:val="auto"/>
          <w:sz w:val="32"/>
          <w:szCs w:val="32"/>
          <w:lang w:val="zh-CN" w:eastAsia="zh-CN"/>
        </w:rPr>
        <w:t>南新镇七星村扶持壮大村集体经济项目建成运行后可延长农业养殖业产业供应链转型升级，提高农特产品附加值，壮大地方龙头企业，加强农产品基地建设，推动肉禽产业化经营、结构调整具有促进作用。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Chars="200" w:firstLine="640"/>
        <w:jc w:val="left"/>
        <w:textAlignment w:val="auto"/>
        <w:rPr>
          <w:rFonts w:ascii="仿宋_GB2312" w:eastAsia="仿宋_GB2312" w:cs="仿宋_GB2312" w:hint="eastAsia"/>
          <w:b w:val="0"/>
          <w:bCs w:val="0"/>
          <w:color w:val="auto"/>
          <w:sz w:val="32"/>
          <w:szCs w:val="32"/>
          <w:lang w:val="zh-CN" w:eastAsia="zh-CN"/>
        </w:rPr>
      </w:pPr>
      <w:r>
        <w:rPr>
          <w:rFonts w:ascii="仿宋_GB2312" w:eastAsia="仿宋_GB2312" w:cs="仿宋_GB2312" w:hint="eastAsia"/>
          <w:b w:val="0"/>
          <w:bCs w:val="0"/>
          <w:color w:val="auto"/>
          <w:sz w:val="32"/>
          <w:szCs w:val="32"/>
          <w:lang w:val="zh-CN" w:eastAsia="zh-CN"/>
        </w:rPr>
        <w:t>本项目带动力强，辐射面积广，拓宽人员分流渠道，解决低收入群体再就业。项目建设完成后，直接解决就业人数20余人。间接带动农户100余户，户均增收上千元。可带动养殖、运输、销售等相关产业的发展，年纯增经济效益百万元，项目具有较高的社会经济效益。对促进川西北高原干旱河谷生态综合治理示范地经济腾飞、带动相关产业发展及解决就业方面具有积极意义。</w:t>
      </w:r>
      <w:r>
        <w:rPr>
          <w:rFonts w:ascii="仿宋_GB2312" w:eastAsia="仿宋_GB2312" w:cs="仿宋_GB2312" w:hint="eastAsia"/>
          <w:b w:val="0"/>
          <w:bCs w:val="0"/>
          <w:color w:val="auto"/>
          <w:sz w:val="32"/>
          <w:szCs w:val="32"/>
          <w:lang w:val="en-US" w:eastAsia="zh-CN"/>
        </w:rPr>
        <w:t>村级运行维护费专项预算项目绩效自评得分为 90分，绩效自评综述：</w:t>
      </w:r>
      <w:r>
        <w:rPr>
          <w:rFonts w:ascii="仿宋_GB2312" w:eastAsia="仿宋_GB2312" w:cs="仿宋_GB2312" w:hint="eastAsia"/>
          <w:b w:val="0"/>
          <w:bCs w:val="0"/>
          <w:color w:val="auto"/>
          <w:sz w:val="32"/>
          <w:szCs w:val="32"/>
          <w:lang w:val="zh-CN" w:eastAsia="zh-CN"/>
        </w:rPr>
        <w:t>基层组织活动和公共服务运行补助经费时间安排。2022年</w:t>
      </w:r>
      <w:r>
        <w:rPr>
          <w:rFonts w:ascii="仿宋_GB2312" w:eastAsia="仿宋_GB2312" w:cs="仿宋_GB2312" w:hint="eastAsia"/>
          <w:b w:val="0"/>
          <w:bCs w:val="0"/>
          <w:color w:val="auto"/>
          <w:sz w:val="32"/>
          <w:szCs w:val="32"/>
          <w:lang w:val="en-US" w:eastAsia="zh-CN"/>
        </w:rPr>
        <w:t>1</w:t>
      </w:r>
      <w:r>
        <w:rPr>
          <w:rFonts w:ascii="仿宋_GB2312" w:eastAsia="仿宋_GB2312" w:cs="仿宋_GB2312" w:hint="eastAsia"/>
          <w:b w:val="0"/>
          <w:bCs w:val="0"/>
          <w:color w:val="auto"/>
          <w:sz w:val="32"/>
          <w:szCs w:val="32"/>
          <w:lang w:val="zh-CN" w:eastAsia="zh-CN"/>
        </w:rPr>
        <w:t>月，围绕工作要求，专题研究讨论，拟定初步计划;2022年1-12月项目实施阶段。</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Chars="200" w:firstLine="640"/>
        <w:jc w:val="left"/>
        <w:textAlignment w:val="auto"/>
        <w:rPr>
          <w:rFonts w:ascii="仿宋_GB2312" w:eastAsia="仿宋_GB2312" w:cs="仿宋_GB2312" w:hint="eastAsia"/>
          <w:b w:val="0"/>
          <w:bCs w:val="0"/>
          <w:color w:val="auto"/>
          <w:sz w:val="32"/>
          <w:szCs w:val="32"/>
          <w:lang w:val="en-US" w:eastAsia="zh-CN"/>
        </w:rPr>
      </w:pPr>
      <w:r>
        <w:rPr>
          <w:rFonts w:ascii="仿宋_GB2312" w:eastAsia="仿宋_GB2312" w:cs="仿宋_GB2312" w:hint="eastAsia"/>
          <w:b w:val="0"/>
          <w:bCs w:val="0"/>
          <w:color w:val="auto"/>
          <w:sz w:val="32"/>
          <w:szCs w:val="32"/>
          <w:lang w:val="zh-CN" w:eastAsia="zh-CN"/>
        </w:rPr>
        <w:t>项目管理情况。项目实施过程中，严格按照相关法律法规及项目管理制度进行管理。项目监管情况。项目实施实施过程中，项目主管部门坚持制度管人、督促项目实施单位建立健全内部监督各项制度，最大限度地预防工程质量安全事故，项目资金损失浪费和违法违纪行为的发生。</w:t>
      </w:r>
      <w:r>
        <w:rPr>
          <w:rFonts w:ascii="仿宋_GB2312" w:eastAsia="仿宋_GB2312" w:cs="仿宋_GB2312" w:hint="eastAsia"/>
          <w:b w:val="0"/>
          <w:bCs w:val="0"/>
          <w:color w:val="auto"/>
          <w:sz w:val="32"/>
          <w:szCs w:val="32"/>
          <w:lang w:val="en-US" w:eastAsia="zh-CN"/>
        </w:rPr>
        <w:t>绩效自评报告详见附件。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Style w:val="1"/>
        <w:jc w:val="center"/>
        <w:rPr>
          <w:rFonts w:ascii="黑体" w:eastAsia="黑体" w:cs="黑体"/>
        </w:rPr>
      </w:pPr>
      <w:bookmarkStart w:id="68" w:name="_Toc15377225"/>
      <w:bookmarkStart w:id="69" w:name="_Toc111208509"/>
      <w:bookmarkStart w:id="70" w:name="_Toc5924"/>
      <w:r>
        <w:rPr>
          <w:rFonts w:ascii="黑体" w:eastAsia="黑体" w:cs="黑体" w:hint="eastAsia"/>
        </w:rPr>
        <w:t>第三部分 名词解释</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1.</w:t>
      </w:r>
      <w:r>
        <w:rPr>
          <w:rFonts w:ascii="仿宋" w:eastAsia="仿宋" w:hint="eastAsia"/>
          <w:color w:val="000000"/>
          <w:sz w:val="32"/>
          <w:szCs w:val="32"/>
        </w:rPr>
        <w:t>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2.</w:t>
      </w:r>
      <w:r>
        <w:rPr>
          <w:rFonts w:ascii="仿宋" w:eastAsia="仿宋" w:hint="eastAsia"/>
          <w:color w:val="000000"/>
          <w:sz w:val="32"/>
          <w:szCs w:val="32"/>
        </w:rPr>
        <w:t>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3.</w:t>
      </w:r>
      <w:r>
        <w:rPr>
          <w:rFonts w:ascii="仿宋" w:eastAsia="仿宋" w:hint="eastAsia"/>
          <w:color w:val="000000"/>
          <w:sz w:val="32"/>
          <w:szCs w:val="32"/>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4.</w:t>
      </w:r>
      <w:r>
        <w:rPr>
          <w:rFonts w:ascii="仿宋" w:eastAsia="仿宋" w:hint="eastAsia"/>
          <w:color w:val="000000"/>
          <w:sz w:val="32"/>
          <w:szCs w:val="32"/>
        </w:rPr>
        <w:t>其他收入：指单位取得的除上述收入以外的各项收入。</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5.</w:t>
      </w:r>
      <w:r>
        <w:rPr>
          <w:rFonts w:ascii="仿宋" w:eastAsia="仿宋" w:hint="eastAsia"/>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6.</w:t>
      </w:r>
      <w:r>
        <w:rPr>
          <w:rFonts w:ascii="仿宋" w:eastAsia="仿宋" w:hint="eastAsia"/>
          <w:color w:val="000000"/>
          <w:sz w:val="32"/>
          <w:szCs w:val="32"/>
        </w:rPr>
        <w:t>年初结转和结余：指以前年度尚未完成、结转到本年按有关规定继续使用的资金。</w:t>
      </w:r>
      <w:r>
        <w:rPr>
          <w:rFonts w:asci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7.</w:t>
      </w:r>
      <w:r>
        <w:rPr>
          <w:rFonts w:ascii="仿宋" w:eastAsia="仿宋" w:hint="eastAsia"/>
          <w:color w:val="000000"/>
          <w:sz w:val="32"/>
          <w:szCs w:val="32"/>
        </w:rPr>
        <w:t>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color w:val="000000"/>
          <w:sz w:val="32"/>
          <w:szCs w:val="32"/>
        </w:rPr>
        <w:t>8</w:t>
      </w:r>
      <w:r>
        <w:rPr>
          <w:rFonts w:ascii="仿宋" w:eastAsia="仿宋" w:hint="eastAsia"/>
          <w:color w:val="000000"/>
          <w:sz w:val="32"/>
          <w:szCs w:val="32"/>
        </w:rPr>
        <w:t>.年末结转和结余：指单位按有关规定结转到下年或以后年度继续使用的资金。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leftChars="8" w:left="17" w:firstLineChars="193" w:firstLine="618"/>
        <w:textAlignment w:val="auto"/>
        <w:rPr>
          <w:rFonts w:ascii="仿宋" w:eastAsia="仿宋" w:hint="eastAsia"/>
          <w:color w:val="000000"/>
          <w:sz w:val="32"/>
          <w:szCs w:val="32"/>
        </w:rPr>
      </w:pPr>
      <w:r>
        <w:rPr>
          <w:rFonts w:ascii="仿宋" w:eastAsia="仿宋" w:hint="eastAsia"/>
          <w:color w:val="000000"/>
          <w:sz w:val="32"/>
          <w:szCs w:val="32"/>
        </w:rPr>
        <w:t>9.一般公共服务支出（201）政府办公厅（室）及相关机构事务（20103）行政运行（2010301）：反映行政单位（包括实行公务员管理的事业单位）的基本支出。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10.一般公共服务支出（201）党委办公厅（室）及相关机构事务（20131）行政运行（2013101）：反映行政单位（包括实行公务员管理的事业单位）的基本支出。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11.社会保障和就业支出（208）行政事业单位养老支出（20805）机关事业单位基本养老保险缴费支出（2080505）：反映机关事业单位实施养老保险制度由单位缴纳的基本养老保险费支出。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12.社会保障和就业支出（208）行政事业单位养老支出（20805）机关事业单位职业年金缴费支出（2080506）：反映机关事业单位实施养老保险制度由单位实际缴纳的职业年金支出。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13.社会保障和就业支出（208）社会福利（20810）老年福利（2081002）：反映对老年人提供福利服务方面的支出，包括为经济困难的高龄、失能等老年人提供基本养老服务保障的资金补助等支出。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14.社会保障和就业支出（208）社会福利（20810）养老服务（2081006）：反映财政在养老服务方面的补助支出，包括支持居家养老服务、社区养老服务和机构养老服务的支出，对养老服务机构的运营、建设补助支出等，不包括对社会福利事业单位的补助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hint="eastAsia"/>
          <w:color w:val="000000"/>
          <w:sz w:val="32"/>
          <w:szCs w:val="32"/>
        </w:rPr>
      </w:pPr>
      <w:r>
        <w:rPr>
          <w:rFonts w:ascii="仿宋" w:eastAsia="仿宋" w:hint="eastAsia"/>
          <w:color w:val="auto"/>
          <w:sz w:val="32"/>
          <w:szCs w:val="32"/>
        </w:rPr>
        <w:t>15.社会保障和就业支出（208）残疾人事业（20811）其他残疾人事业支出（2081199）：反映除上述项目以外其他用于残疾人事业方面的支出。</w:t>
        <w:cr/>
      </w:r>
      <w:r>
        <w:rPr>
          <w:rFonts w:ascii="仿宋" w:eastAsia="仿宋" w:hint="eastAsia"/>
          <w:color w:val="0000FF"/>
          <w:sz w:val="32"/>
          <w:szCs w:val="32"/>
          <w:lang w:val="en-US" w:eastAsia="zh-CN"/>
        </w:rPr>
        <w:t xml:space="preserve">    </w:t>
      </w:r>
      <w:r>
        <w:rPr>
          <w:rFonts w:ascii="仿宋" w:eastAsia="仿宋" w:hint="eastAsia"/>
          <w:color w:val="000000"/>
          <w:sz w:val="32"/>
          <w:szCs w:val="32"/>
        </w:rPr>
        <w:t>16.卫生健康支出（210）公共卫生（21004）重大公共卫生服务（2100409）：反映重大疾病、重大传染病预防控制等重大公共卫生服务项目支出。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17.卫生健康支出（210）计划生育事务（21007）其他计划生育事务支出（2100799）：反映除上述项目以外其他用于计划生育管理事务方面的支出。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18.卫生健康支出（210）行政事业单位医疗（21011）行政单位医疗（2101101）：反映财政部门安排的行政单位（包括实行公务员管理的事业单位，下同）基本医疗保险缴费经费，未参加医疗保险的行政单位的公费医疗经费，按国家规定享受离休人员、红军老战士待遇人员的医疗经费。</w:t>
        <w:cr/>
      </w:r>
      <w:r>
        <w:rPr>
          <w:rFonts w:ascii="仿宋" w:eastAsia="仿宋" w:hint="eastAsia"/>
          <w:color w:val="000000"/>
          <w:sz w:val="32"/>
          <w:szCs w:val="32"/>
          <w:lang w:val="en-US" w:eastAsia="zh-CN"/>
        </w:rPr>
        <w:t xml:space="preserve">    </w:t>
      </w:r>
      <w:r>
        <w:rPr>
          <w:rFonts w:ascii="仿宋" w:eastAsia="仿宋" w:hint="eastAsia"/>
          <w:color w:val="000000"/>
          <w:sz w:val="32"/>
          <w:szCs w:val="32"/>
        </w:rPr>
        <w:t>19.农林水支出（213）巩固脱贫衔接乡村振兴（21305）其他巩固脱贫衔接乡村振兴支出（2130599）：反映除上述项目以外其他用于扶贫方面的支出。</w:t>
        <w:cr/>
      </w:r>
      <w:r>
        <w:rPr>
          <w:rFonts w:ascii="仿宋" w:eastAsia="仿宋" w:hint="eastAsia"/>
          <w:color w:val="000000"/>
          <w:sz w:val="32"/>
          <w:szCs w:val="32"/>
          <w:lang w:val="en-US" w:eastAsia="zh-CN"/>
        </w:rPr>
        <w:t xml:space="preserve">    </w:t>
      </w:r>
      <w:r>
        <w:rPr>
          <w:rFonts w:ascii="仿宋" w:eastAsia="仿宋" w:hint="eastAsia"/>
          <w:color w:val="000000"/>
          <w:sz w:val="32"/>
          <w:szCs w:val="32"/>
        </w:rPr>
        <w:t>20.农林水支出（213）农村综合改革（21307）对村民委员会和村党支部的补助（2130705）：反映各级财政对村民委员会和村党支部的补助支出，以及支持建立县级基本财力保障机制安排的村级组织运转奖补资金。</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仿宋" w:eastAsia="仿宋"/>
          <w:color w:val="000000"/>
          <w:sz w:val="32"/>
          <w:szCs w:val="32"/>
        </w:rPr>
      </w:pPr>
      <w:r>
        <w:rPr>
          <w:rFonts w:ascii="仿宋" w:eastAsia="仿宋" w:hint="eastAsia"/>
          <w:color w:val="000000"/>
          <w:sz w:val="32"/>
          <w:szCs w:val="32"/>
        </w:rPr>
        <w:t>21.住房保障支出（221）住房改革支出（22102）住房公积金（2210201）：反映行政事业单位按人力资源和社会保障部、财政部规定的基本工资和津贴补贴以及规定比例为职工缴纳的住房公积金。</w:t>
        <w:cr/>
      </w:r>
      <w:r>
        <w:rPr>
          <w:rFonts w:ascii="仿宋" w:eastAsia="仿宋" w:hint="eastAsia"/>
          <w:color w:val="000000"/>
          <w:sz w:val="32"/>
          <w:szCs w:val="32"/>
          <w:lang w:val="en-US" w:eastAsia="zh-CN"/>
        </w:rPr>
        <w:t xml:space="preserve">    </w:t>
      </w:r>
      <w:r>
        <w:rPr>
          <w:rFonts w:ascii="仿宋" w:eastAsia="仿宋" w:hint="eastAsia"/>
          <w:color w:val="000000"/>
          <w:sz w:val="32"/>
          <w:szCs w:val="32"/>
        </w:rPr>
        <w:t>22.住房保障支出（221）住房改革支出（22102）购房补贴（2210203）：反映按房改政策规定，行政事业单位向符合条件职工（含离退休人员）、军队（含武警）向转役复员离退休人员发放的用于购买住房的补贴。</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hint="eastAsia"/>
          <w:color w:val="000000"/>
          <w:sz w:val="32"/>
          <w:szCs w:val="32"/>
        </w:rPr>
        <w:t>23.基本支出：指为保障机构正常运转、完成日常工作任务而发生的人员支出和公用支出。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hint="eastAsia"/>
          <w:color w:val="000000"/>
          <w:sz w:val="32"/>
          <w:szCs w:val="32"/>
        </w:rPr>
        <w:t>2</w:t>
      </w:r>
      <w:r>
        <w:rPr>
          <w:rFonts w:ascii="仿宋" w:eastAsia="仿宋" w:hint="eastAsia"/>
          <w:color w:val="000000"/>
          <w:sz w:val="32"/>
          <w:szCs w:val="32"/>
          <w:lang w:val="en-US" w:eastAsia="zh-CN"/>
        </w:rPr>
        <w:t>4</w:t>
      </w:r>
      <w:r>
        <w:rPr>
          <w:rFonts w:ascii="仿宋" w:eastAsia="仿宋" w:hint="eastAsia"/>
          <w:color w:val="000000"/>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color w:val="000000"/>
          <w:sz w:val="32"/>
          <w:szCs w:val="32"/>
        </w:rPr>
      </w:pPr>
      <w:r>
        <w:rPr>
          <w:rFonts w:ascii="仿宋" w:eastAsia="仿宋" w:hint="eastAsia"/>
          <w:color w:val="000000"/>
          <w:sz w:val="32"/>
          <w:szCs w:val="32"/>
        </w:rPr>
        <w:t>2</w:t>
      </w:r>
      <w:r>
        <w:rPr>
          <w:rFonts w:ascii="仿宋" w:eastAsia="仿宋" w:hint="eastAsia"/>
          <w:color w:val="000000"/>
          <w:sz w:val="32"/>
          <w:szCs w:val="32"/>
          <w:lang w:val="en-US" w:eastAsia="zh-CN"/>
        </w:rPr>
        <w:t>5</w:t>
      </w:r>
      <w:r>
        <w:rPr>
          <w:rFonts w:ascii="仿宋" w:eastAsia="仿宋" w:hint="eastAsia"/>
          <w:color w:val="000000"/>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2</w:t>
      </w:r>
      <w:r>
        <w:rPr>
          <w:rFonts w:ascii="仿宋" w:eastAsia="仿宋" w:hint="eastAsia"/>
          <w:color w:val="000000"/>
          <w:sz w:val="32"/>
          <w:szCs w:val="32"/>
          <w:lang w:val="en-US" w:eastAsia="zh-CN"/>
        </w:rPr>
        <w:t>6</w:t>
      </w:r>
      <w:r>
        <w:rPr>
          <w:rFonts w:ascii="仿宋" w:eastAsia="仿宋" w:hint="eastAsia"/>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 w:eastAsia="仿宋" w:hint="eastAsia"/>
          <w:color w:val="000000"/>
          <w:sz w:val="32"/>
          <w:szCs w:val="32"/>
        </w:rPr>
      </w:pPr>
      <w:r>
        <w:rPr>
          <w:rFonts w:ascii="仿宋" w:eastAsia="仿宋" w:hint="eastAsia"/>
          <w:color w:val="000000"/>
          <w:sz w:val="32"/>
          <w:szCs w:val="32"/>
        </w:rPr>
        <w:t>2</w:t>
      </w:r>
      <w:r>
        <w:rPr>
          <w:rFonts w:ascii="仿宋" w:eastAsia="仿宋" w:hint="eastAsia"/>
          <w:color w:val="000000"/>
          <w:sz w:val="32"/>
          <w:szCs w:val="32"/>
          <w:lang w:val="en-US" w:eastAsia="zh-CN"/>
        </w:rPr>
        <w:t>7</w:t>
      </w:r>
      <w:r>
        <w:rPr>
          <w:rFonts w:ascii="仿宋" w:eastAsia="仿宋" w:hint="eastAsia"/>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黑体"/>
          <w:sz w:val="32"/>
          <w:szCs w:val="32"/>
        </w:rPr>
      </w:pPr>
      <w:r>
        <w:rPr>
          <w:rFonts w:ascii="仿宋" w:eastAsia="仿宋" w:hint="eastAsia"/>
          <w:color w:val="000000"/>
          <w:sz w:val="32"/>
          <w:szCs w:val="32"/>
        </w:rPr>
        <w:t>2</w:t>
      </w:r>
      <w:r>
        <w:rPr>
          <w:rFonts w:ascii="仿宋" w:eastAsia="仿宋" w:hint="eastAsia"/>
          <w:color w:val="000000"/>
          <w:sz w:val="32"/>
          <w:szCs w:val="32"/>
          <w:lang w:val="en-US" w:eastAsia="zh-CN"/>
        </w:rPr>
        <w:t>8</w:t>
      </w:r>
      <w:r>
        <w:rPr>
          <w:rFonts w:ascii="仿宋" w:eastAsia="仿宋" w:hint="eastAsia"/>
          <w:color w:val="000000"/>
          <w:sz w:val="32"/>
          <w:szCs w:val="32"/>
        </w:rPr>
        <w:t>.财政应返还额度：为行政事业单位会计核算科目，用于核算实行国库集中支付的行政事业单位应收财政返还的资金额度。</w:t>
      </w:r>
    </w:p>
    <w:p>
      <w:pPr>
        <w:widowControl/>
        <w:jc w:val="left"/>
        <w:rPr>
          <w:rStyle w:val="1Char"/>
          <w:rFonts w:ascii="黑体" w:eastAsia="黑体"/>
        </w:rPr>
      </w:pPr>
      <w:r>
        <w:rPr>
          <w:rStyle w:val="1Char"/>
          <w:rFonts w:ascii="黑体" w:eastAsia="黑体"/>
        </w:rPr>
        <w:br w:type="page"/>
      </w:r>
    </w:p>
    <w:p>
      <w:pPr>
        <w:pStyle w:val="1"/>
        <w:numPr>
          <w:ilvl w:val="0"/>
          <w:numId w:val="2"/>
        </w:numPr>
        <w:jc w:val="center"/>
        <w:rPr>
          <w:rFonts w:ascii="黑体" w:eastAsia="黑体" w:cs="黑体" w:hint="eastAsia"/>
        </w:rPr>
      </w:pPr>
      <w:bookmarkStart w:id="71" w:name="_Toc111208510"/>
      <w:bookmarkStart w:id="72" w:name="_Toc13946"/>
      <w:r>
        <w:rPr>
          <w:rFonts w:ascii="黑体" w:eastAsia="黑体" w:cs="黑体" w:hint="eastAsia"/>
        </w:rPr>
        <w:t>附件</w:t>
      </w:r>
      <w:bookmarkEnd w:id="71"/>
      <w:bookmarkEnd w:id="72"/>
    </w:p>
    <w:tbl>
      <w:tblPr>
        <w:tblpPr w:leftFromText="180" w:rightFromText="180" w:vertAnchor="text" w:horzAnchor="page" w:tblpX="1256" w:tblpY="221"/>
        <w:tblOverlap w:val="never"/>
        <w:tblW w:w="538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4754"/>
        <w:gridCol w:w="7767"/>
        <w:gridCol w:w="6437"/>
        <w:gridCol w:w="9353"/>
        <w:gridCol w:w="12298"/>
      </w:tblGrid>
      <w:tr>
        <w:trPr>
          <w:trHeight w:val="698"/>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cs="宋体" w:hint="eastAsia"/>
                <w:b/>
                <w:color w:val="000000"/>
                <w:sz w:val="32"/>
                <w:szCs w:val="32"/>
              </w:rPr>
            </w:pPr>
          </w:p>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基层组织活动和公共服务运行补助经费</w:t>
            </w:r>
            <w:r>
              <w:rPr>
                <w:rFonts w:ascii="宋体" w:cs="宋体" w:hint="eastAsia"/>
                <w:b/>
                <w:color w:val="000000"/>
                <w:sz w:val="32"/>
                <w:szCs w:val="32"/>
              </w:rPr>
              <w:t>绩效目标自评</w:t>
            </w:r>
          </w:p>
        </w:tc>
      </w:tr>
      <w:tr>
        <w:trPr>
          <w:trHeight w:val="369"/>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8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369"/>
        </w:trPr>
        <w:tc>
          <w:tcPr>
            <w:tcW w:w="135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项目预算</w:t>
              <w:br/>
              <w:t>执行情况</w:t>
              <w:br/>
              <w:t>（万元）</w:t>
            </w: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110</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66.879</w:t>
            </w:r>
          </w:p>
        </w:tc>
      </w:tr>
      <w:tr>
        <w:trPr>
          <w:trHeight w:val="727"/>
        </w:trPr>
        <w:tc>
          <w:tcPr>
            <w:tcW w:w="1356"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110</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66.879</w:t>
            </w:r>
          </w:p>
        </w:tc>
      </w:tr>
      <w:tr>
        <w:trPr>
          <w:trHeight w:val="369"/>
        </w:trPr>
        <w:tc>
          <w:tcPr>
            <w:tcW w:w="1356"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369"/>
        </w:trPr>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567"/>
        </w:trPr>
        <w:tc>
          <w:tcPr>
            <w:tcW w:w="791"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3"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adjustRightInd w:val="0"/>
              <w:snapToGrid w:val="0"/>
              <w:spacing w:line="560" w:lineRule="exact"/>
              <w:ind w:firstLineChars="325" w:firstLine="683"/>
              <w:rPr>
                <w:rFonts w:ascii="仿宋_GB2312" w:cs="楷体" w:hAnsi="仿宋_GB2312"/>
                <w:bCs/>
              </w:rPr>
            </w:pPr>
            <w:r>
              <w:rPr>
                <w:rFonts w:ascii="仿宋_GB2312" w:cs="楷体" w:hAnsi="仿宋_GB2312" w:hint="eastAsia"/>
                <w:bCs/>
                <w:lang w:eastAsia="zh-CN"/>
              </w:rPr>
              <w:t>资金用于各村</w:t>
            </w:r>
            <w:r>
              <w:rPr>
                <w:rFonts w:ascii="仿宋_GB2312" w:cs="楷体" w:hAnsi="仿宋_GB2312" w:hint="eastAsia"/>
                <w:bCs/>
              </w:rPr>
              <w:t>农村基础设施和环境类项目的运行维护</w:t>
            </w:r>
            <w:r>
              <w:rPr>
                <w:rFonts w:ascii="仿宋_GB2312" w:cs="楷体" w:hAnsi="仿宋_GB2312" w:hint="eastAsia"/>
                <w:bCs/>
                <w:lang w:eastAsia="zh-CN"/>
              </w:rPr>
              <w:t>、</w:t>
            </w:r>
            <w:r>
              <w:rPr>
                <w:rFonts w:ascii="仿宋_GB2312" w:cs="楷体" w:hAnsi="仿宋_GB2312" w:hint="eastAsia"/>
                <w:bCs/>
              </w:rPr>
              <w:t>农业生产服务类项目的运行维护</w:t>
            </w:r>
            <w:r>
              <w:rPr>
                <w:rFonts w:ascii="仿宋_GB2312" w:cs="楷体" w:hAnsi="仿宋_GB2312" w:hint="eastAsia"/>
                <w:bCs/>
                <w:lang w:eastAsia="zh-CN"/>
              </w:rPr>
              <w:t>、</w:t>
            </w:r>
            <w:r>
              <w:rPr>
                <w:rFonts w:ascii="仿宋_GB2312" w:cs="楷体" w:hAnsi="仿宋_GB2312" w:hint="eastAsia"/>
                <w:bCs/>
              </w:rPr>
              <w:t>农村生活服务类项目的运行维护</w:t>
            </w:r>
            <w:r>
              <w:rPr>
                <w:rFonts w:ascii="仿宋_GB2312" w:cs="楷体" w:hAnsi="仿宋_GB2312" w:hint="eastAsia"/>
                <w:bCs/>
                <w:lang w:eastAsia="zh-CN"/>
              </w:rPr>
              <w:t>、</w:t>
            </w:r>
            <w:r>
              <w:rPr>
                <w:rFonts w:ascii="仿宋_GB2312" w:cs="楷体" w:hAnsi="仿宋_GB2312" w:hint="eastAsia"/>
                <w:bCs/>
              </w:rPr>
              <w:t>农村社会管理类项目的运行维护</w:t>
            </w:r>
            <w:r>
              <w:rPr>
                <w:rFonts w:ascii="仿宋_GB2312" w:cs="楷体" w:hAnsi="仿宋_GB2312" w:hint="eastAsia"/>
                <w:bCs/>
                <w:lang w:eastAsia="zh-CN"/>
              </w:rPr>
              <w:t>、</w:t>
            </w:r>
            <w:r>
              <w:rPr>
                <w:rFonts w:ascii="仿宋_GB2312" w:cs="楷体" w:hAnsi="仿宋_GB2312" w:hint="eastAsia"/>
                <w:bCs/>
              </w:rPr>
              <w:t>村基层组织活动</w:t>
            </w:r>
            <w:r>
              <w:rPr>
                <w:rFonts w:ascii="仿宋_GB2312" w:cs="楷体" w:hAnsi="仿宋_GB2312" w:hint="eastAsia"/>
                <w:bCs/>
                <w:lang w:eastAsia="zh-CN"/>
              </w:rPr>
              <w:t>、</w:t>
            </w:r>
            <w:r>
              <w:rPr>
                <w:rFonts w:ascii="仿宋_GB2312" w:cs="楷体" w:hAnsi="仿宋_GB2312" w:hint="eastAsia"/>
                <w:bCs/>
              </w:rPr>
              <w:t>村日常办公运转</w:t>
            </w:r>
            <w:r>
              <w:rPr>
                <w:rFonts w:ascii="仿宋_GB2312" w:cs="楷体" w:hAnsi="仿宋_GB2312" w:hint="eastAsia"/>
                <w:bCs/>
                <w:lang w:eastAsia="zh-CN"/>
              </w:rPr>
              <w:t>等</w:t>
            </w:r>
            <w:r>
              <w:rPr>
                <w:rFonts w:ascii="仿宋_GB2312" w:cs="楷体" w:hAnsi="仿宋_GB2312" w:hint="eastAsia"/>
                <w:bCs/>
              </w:rPr>
              <w:t>。</w:t>
            </w:r>
          </w:p>
          <w:p>
            <w:pPr>
              <w:widowControl/>
              <w:spacing w:line="320" w:lineRule="exact"/>
              <w:jc w:val="left"/>
              <w:textAlignment w:val="top"/>
              <w:rPr>
                <w:rFonts w:ascii="宋体" w:cs="宋体"/>
                <w:color w:val="000000"/>
                <w:sz w:val="24"/>
              </w:rPr>
            </w:pPr>
          </w:p>
        </w:tc>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spacing w:line="560" w:lineRule="exact"/>
              <w:ind w:firstLine="645"/>
              <w:rPr>
                <w:rFonts w:ascii="仿宋_GB2312" w:hAnsi="仿宋_GB2312"/>
              </w:rPr>
            </w:pPr>
            <w:r>
              <w:rPr>
                <w:rFonts w:ascii="仿宋_GB2312" w:hAnsi="仿宋_GB2312" w:hint="eastAsia"/>
                <w:lang w:val="zh-CN"/>
              </w:rPr>
              <w:t>项目管理做到了管理规范，操作阳光透明，运行有序高效，态度优质，群众满意度高。在项目管理上，通过逐步规范申报审批支付程序，确保了资金高效运转。在资金管理上，严格按照财务制度，确保了资金及时到位和使用。</w:t>
            </w:r>
          </w:p>
          <w:p>
            <w:pPr>
              <w:widowControl/>
              <w:spacing w:line="320" w:lineRule="exact"/>
              <w:jc w:val="left"/>
              <w:textAlignment w:val="top"/>
              <w:rPr>
                <w:rFonts w:ascii="宋体" w:cs="宋体"/>
                <w:color w:val="000000"/>
                <w:sz w:val="24"/>
              </w:rPr>
            </w:pPr>
          </w:p>
        </w:tc>
      </w:tr>
      <w:tr>
        <w:trPr>
          <w:trHeight w:val="727"/>
        </w:trPr>
        <w:tc>
          <w:tcPr>
            <w:tcW w:w="791"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369"/>
        </w:trPr>
        <w:tc>
          <w:tcPr>
            <w:tcW w:w="791"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369"/>
        </w:trPr>
        <w:tc>
          <w:tcPr>
            <w:tcW w:w="791"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727"/>
        </w:trPr>
        <w:tc>
          <w:tcPr>
            <w:tcW w:w="791"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效益</w:t>
              <w:br/>
              <w:t>指标</w:t>
            </w: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110</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60%</w:t>
            </w:r>
          </w:p>
        </w:tc>
      </w:tr>
      <w:tr>
        <w:trPr>
          <w:trHeight w:val="727"/>
        </w:trPr>
        <w:tc>
          <w:tcPr>
            <w:tcW w:w="791"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90"/>
        </w:trPr>
        <w:tc>
          <w:tcPr>
            <w:tcW w:w="791"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满意</w:t>
              <w:br/>
              <w:t>度指标</w:t>
            </w: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111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tbl>
      <w:tblPr>
        <w:tblpPr w:leftFromText="180" w:rightFromText="180" w:vertAnchor="text" w:horzAnchor="page" w:tblpX="1256" w:tblpY="221"/>
        <w:tblOverlap w:val="never"/>
        <w:tblW w:w="5383"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48"/>
        <w:gridCol w:w="5"/>
        <w:gridCol w:w="955"/>
        <w:gridCol w:w="10"/>
        <w:gridCol w:w="1564"/>
        <w:gridCol w:w="14"/>
        <w:gridCol w:w="1291"/>
        <w:gridCol w:w="14"/>
        <w:gridCol w:w="2173"/>
        <w:gridCol w:w="29"/>
        <w:gridCol w:w="2534"/>
        <w:gridCol w:w="0"/>
      </w:tblGrid>
      <w:tr>
        <w:trPr>
          <w:trHeight w:val="90"/>
        </w:trPr>
        <w:tc>
          <w:tcPr>
            <w:tcW w:w="5000" w:type="pct"/>
            <w:gridSpan w:val="12"/>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七星村扶持壮大集体经济项目</w:t>
            </w:r>
            <w:r>
              <w:rPr>
                <w:rFonts w:ascii="宋体" w:cs="宋体" w:hint="eastAsia"/>
                <w:b/>
                <w:color w:val="000000"/>
                <w:sz w:val="32"/>
                <w:szCs w:val="32"/>
              </w:rPr>
              <w:t>绩效目标自评</w:t>
            </w:r>
          </w:p>
        </w:tc>
      </w:tr>
      <w:tr>
        <w:trPr>
          <w:trHeight w:val="657"/>
        </w:trPr>
        <w:tc>
          <w:tcPr>
            <w:tcW w:w="135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88"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776"/>
        </w:trPr>
        <w:tc>
          <w:tcPr>
            <w:tcW w:w="135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项目预算</w:t>
              <w:br/>
              <w:t>执行情况</w:t>
              <w:br/>
              <w:t>（万元）</w:t>
            </w: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righ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r>
      <w:tr>
        <w:trPr>
          <w:trHeight w:val="740"/>
        </w:trPr>
        <w:tc>
          <w:tcPr>
            <w:tcW w:w="1355"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100</w:t>
            </w:r>
          </w:p>
        </w:tc>
      </w:tr>
      <w:tr>
        <w:trPr>
          <w:trHeight w:val="786"/>
        </w:trPr>
        <w:tc>
          <w:tcPr>
            <w:tcW w:w="1355"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3"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956"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3" w:type="pct"/>
            <w:gridSpan w:val="6"/>
            <w:tcBorders>
              <w:top w:val="single" w:sz="4" w:space="0" w:color="000000"/>
              <w:left w:val="single" w:sz="4" w:space="0" w:color="000000"/>
              <w:bottom w:val="single" w:sz="4" w:space="0" w:color="000000"/>
              <w:right w:val="single" w:sz="4" w:space="0" w:color="000000"/>
            </w:tcBorders>
            <w:shd w:val="clear" w:color="auto" w:fill="auto"/>
            <w:noWrap/>
          </w:tcPr>
          <w:p>
            <w:pPr>
              <w:pStyle w:val="28"/>
              <w:widowControl/>
              <w:spacing w:beforeAutospacing="0" w:afterAutospacing="0" w:line="360" w:lineRule="auto"/>
              <w:ind w:firstLineChars="200" w:firstLine="560"/>
              <w:rPr>
                <w:rFonts w:ascii="仿宋_GB2312" w:eastAsia="宋体" w:cs="仿宋_GB2312" w:hAnsi="仿宋_GB2312" w:hint="eastAsia"/>
                <w:color w:val="000000"/>
                <w:kern w:val="0"/>
                <w:sz w:val="28"/>
                <w:szCs w:val="28"/>
                <w:lang w:val="en-US" w:eastAsia="zh-CN"/>
              </w:rPr>
            </w:pPr>
            <w:r>
              <w:rPr>
                <w:rFonts w:ascii="仿宋_GB2312" w:eastAsia="宋体" w:cs="仿宋_GB2312" w:hAnsi="仿宋_GB2312" w:hint="eastAsia"/>
                <w:color w:val="000000"/>
                <w:kern w:val="0"/>
                <w:sz w:val="28"/>
                <w:szCs w:val="28"/>
                <w:lang w:val="en-US" w:eastAsia="zh-CN"/>
              </w:rPr>
              <w:t>为更好的增强村经济发展，改善七星村村民生产生活条件为重点，统一规划，综合开发，通过南新镇七星村扶持壮大村集体经济项目的实施解决七星村整体经济发展。</w:t>
            </w:r>
          </w:p>
          <w:p>
            <w:pPr>
              <w:widowControl/>
              <w:spacing w:line="320" w:lineRule="exact"/>
              <w:jc w:val="left"/>
              <w:textAlignment w:val="top"/>
              <w:rPr>
                <w:rFonts w:ascii="宋体" w:cs="宋体"/>
                <w:color w:val="000000"/>
                <w:sz w:val="24"/>
              </w:rPr>
            </w:pPr>
          </w:p>
        </w:tc>
        <w:tc>
          <w:tcPr>
            <w:tcW w:w="1956" w:type="pct"/>
            <w:gridSpan w:val="5"/>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left"/>
              <w:textAlignment w:val="top"/>
              <w:rPr>
                <w:rFonts w:ascii="宋体" w:cs="宋体"/>
                <w:color w:val="000000"/>
                <w:sz w:val="24"/>
              </w:rPr>
            </w:pPr>
            <w:r>
              <w:rPr>
                <w:rFonts w:ascii="仿宋_GB2312" w:eastAsia="宋体" w:cs="仿宋_GB2312" w:hAnsi="仿宋_GB2312" w:hint="eastAsia"/>
                <w:color w:val="000000"/>
                <w:kern w:val="0"/>
                <w:sz w:val="28"/>
                <w:szCs w:val="28"/>
                <w:lang w:val="en-US" w:eastAsia="zh-CN"/>
              </w:rPr>
              <w:t>本次项目总投入100万元，建设内容包括原建筑3000m2旧址，对原有建筑进行翻新、改造等修整措施。将用地分为生产管理地、生活区、无害化处理区等；对周边3000m²范围内围墙翻新、室内外排水、道路硬化、停车坪、绿化隔离带等相关构筑物建设整改。</w:t>
            </w:r>
          </w:p>
        </w:tc>
      </w:tr>
      <w:tr>
        <w:trPr>
          <w:trHeight w:val="946"/>
        </w:trPr>
        <w:tc>
          <w:tcPr>
            <w:tcW w:w="790"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0" w:type="pct"/>
            <w:vMerge/>
            <w:tcBorders>
              <w:left w:val="single" w:sz="4" w:space="0" w:color="000000"/>
              <w:right w:val="single" w:sz="4" w:space="0" w:color="000000"/>
            </w:tcBorders>
            <w:shd w:val="clear" w:color="auto" w:fill="auto"/>
            <w:noWrap/>
            <w:vAlign w:val="center"/>
          </w:tcPr>
          <w:p/>
        </w:tc>
        <w:tc>
          <w:tcPr>
            <w:tcW w:w="565" w:type="pct"/>
            <w:gridSpan w:val="2"/>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0" w:type="pct"/>
            <w:vMerge/>
            <w:tcBorders>
              <w:left w:val="single" w:sz="4" w:space="0" w:color="000000"/>
              <w:right w:val="single" w:sz="4" w:space="0" w:color="000000"/>
            </w:tcBorders>
            <w:shd w:val="clear" w:color="auto" w:fill="auto"/>
            <w:noWrap/>
            <w:vAlign w:val="center"/>
          </w:tcPr>
          <w:p/>
        </w:tc>
        <w:tc>
          <w:tcPr>
            <w:tcW w:w="565"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0" w:type="pct"/>
            <w:vMerge/>
            <w:tcBorders>
              <w:left w:val="single" w:sz="4" w:space="0" w:color="000000"/>
              <w:right w:val="single" w:sz="4" w:space="0" w:color="000000"/>
            </w:tcBorders>
            <w:shd w:val="clear" w:color="auto" w:fill="auto"/>
            <w:noWrap/>
            <w:vAlign w:val="center"/>
          </w:tcPr>
          <w:p/>
        </w:tc>
        <w:tc>
          <w:tcPr>
            <w:tcW w:w="56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效益</w:t>
              <w:br/>
              <w:t>指标</w:t>
            </w: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100</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0" w:type="pct"/>
            <w:vMerge/>
            <w:tcBorders>
              <w:left w:val="single" w:sz="4" w:space="0" w:color="000000"/>
              <w:right w:val="single" w:sz="4" w:space="0" w:color="000000"/>
            </w:tcBorders>
            <w:shd w:val="clear" w:color="auto" w:fill="auto"/>
            <w:noWrap/>
            <w:vAlign w:val="center"/>
          </w:tcPr>
          <w:p/>
        </w:tc>
        <w:tc>
          <w:tcPr>
            <w:tcW w:w="565"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0" w:type="pct"/>
            <w:vMerge/>
            <w:tcBorders>
              <w:left w:val="single" w:sz="4" w:space="0" w:color="000000"/>
              <w:bottom w:val="single" w:sz="4" w:space="0" w:color="000000"/>
              <w:right w:val="single" w:sz="4" w:space="0" w:color="000000"/>
            </w:tcBorders>
            <w:shd w:val="clear" w:color="auto" w:fill="auto"/>
            <w:noWrap/>
            <w:vAlign w:val="center"/>
          </w:tcPr>
          <w:p/>
        </w:tc>
        <w:tc>
          <w:tcPr>
            <w:tcW w:w="5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满意</w:t>
              <w:br/>
              <w:t>度指标</w:t>
            </w:r>
          </w:p>
        </w:tc>
        <w:tc>
          <w:tcPr>
            <w:tcW w:w="923"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1111"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r>
        <w:trPr>
          <w:trHeight w:val="698"/>
        </w:trPr>
        <w:tc>
          <w:tcPr>
            <w:tcW w:w="5000" w:type="pct"/>
            <w:gridSpan w:val="12"/>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p>
        </w:tc>
      </w:tr>
      <w:tr>
        <w:trPr>
          <w:trHeight w:val="731"/>
          <w:gridAfter w:val="1"/>
          <w:wAfter w:w="0" w:type="dxa"/>
        </w:trPr>
        <w:tc>
          <w:tcPr>
            <w:tcW w:w="4875" w:type="pct"/>
            <w:gridSpan w:val="11"/>
            <w:tcBorders>
              <w:top w:val="nil"/>
              <w:left w:val="nil"/>
              <w:bottom w:val="nil"/>
              <w:right w:val="nil"/>
            </w:tcBorders>
            <w:shd w:val="clear" w:color="auto" w:fill="auto"/>
            <w:noWrap/>
            <w:vAlign w:val="center"/>
          </w:tcPr>
          <w:p>
            <w:pPr>
              <w:widowControl/>
              <w:jc w:val="center"/>
              <w:textAlignment w:val="center"/>
            </w:pPr>
            <w:r>
              <w:rPr>
                <w:rFonts w:ascii="宋体" w:eastAsia="宋体" w:cs="宋体" w:hint="eastAsia"/>
                <w:b w:val="0"/>
                <w:bCs/>
                <w:color w:val="000000"/>
                <w:sz w:val="32"/>
                <w:szCs w:val="32"/>
                <w:lang w:eastAsia="zh-CN"/>
              </w:rPr>
              <w:t>2022年居家养老项目绩效目标自评</w:t>
            </w:r>
          </w:p>
        </w:tc>
      </w:tr>
      <w:tr>
        <w:trPr>
          <w:trHeight w:val="657"/>
          <w:gridAfter w:val="1"/>
          <w:wAfter w:w="0" w:type="dxa"/>
        </w:trPr>
        <w:tc>
          <w:tcPr>
            <w:tcW w:w="136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776"/>
          <w:gridAfter w:val="1"/>
          <w:wAfter w:w="0" w:type="dxa"/>
        </w:trPr>
        <w:tc>
          <w:tcPr>
            <w:tcW w:w="1361" w:type="pct"/>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right"/>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r>
      <w:tr>
        <w:trPr>
          <w:trHeight w:val="740"/>
          <w:gridAfter w:val="1"/>
          <w:wAfter w:w="0" w:type="dxa"/>
        </w:trPr>
        <w:tc>
          <w:tcPr>
            <w:tcW w:w="1361" w:type="pct"/>
            <w:gridSpan w:val="4"/>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400" w:firstLine="960"/>
              <w:textAlignment w:val="center"/>
              <w:rPr>
                <w:rFonts w:ascii="宋体" w:eastAsia="宋体" w:cs="宋体"/>
                <w:color w:val="000000"/>
                <w:sz w:val="24"/>
                <w:lang w:val="en-US" w:eastAsia="zh-CN"/>
              </w:rPr>
            </w:pPr>
            <w:r>
              <w:rPr>
                <w:rFonts w:ascii="宋体" w:cs="宋体" w:hint="eastAsia"/>
                <w:color w:val="000000"/>
                <w:sz w:val="24"/>
                <w:lang w:val="en-US" w:eastAsia="zh-CN"/>
              </w:rPr>
              <w:t>6.33</w:t>
            </w:r>
          </w:p>
        </w:tc>
      </w:tr>
      <w:tr>
        <w:trPr>
          <w:trHeight w:val="376"/>
          <w:gridAfter w:val="1"/>
          <w:wAfter w:w="0" w:type="dxa"/>
        </w:trPr>
        <w:tc>
          <w:tcPr>
            <w:tcW w:w="1361" w:type="pct"/>
            <w:gridSpan w:val="4"/>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gridAfter w:val="1"/>
          <w:wAfter w:w="0" w:type="dxa"/>
        </w:trPr>
        <w:tc>
          <w:tcPr>
            <w:tcW w:w="79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4490"/>
          <w:gridAfter w:val="1"/>
          <w:wAfter w:w="0" w:type="dxa"/>
        </w:trPr>
        <w:tc>
          <w:tcPr>
            <w:tcW w:w="795"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6"/>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zh-CN"/>
              </w:rPr>
            </w:pPr>
            <w:r>
              <w:rPr>
                <w:rFonts w:ascii="宋体" w:eastAsia="宋体" w:cs="宋体" w:hint="eastAsia"/>
                <w:color w:val="000000"/>
                <w:kern w:val="0"/>
                <w:sz w:val="24"/>
                <w:lang w:val="en-US" w:eastAsia="zh-CN"/>
              </w:rPr>
              <w:t>通过政府购买服务的方式，激发民间社会组织参与农村建设及农村服务的活力；通过政府+社工+志愿者的模式开展居家养老服务，提供居家照顾、义诊、义剪、精神慰藉等服务；用整合资源的方式，开展主题活动，提供老人相互交流平台，建构支持网络，促进老人居家生活质量，使老年人更幸福，社会更加和谐。</w:t>
            </w:r>
          </w:p>
          <w:p>
            <w:pPr>
              <w:widowControl/>
              <w:spacing w:line="320" w:lineRule="exact"/>
              <w:jc w:val="left"/>
              <w:textAlignment w:val="top"/>
              <w:rPr>
                <w:rFonts w:ascii="宋体" w:cs="宋体"/>
                <w:color w:val="000000"/>
                <w:sz w:val="24"/>
              </w:rPr>
            </w:pPr>
          </w:p>
        </w:tc>
        <w:tc>
          <w:tcPr>
            <w:tcW w:w="1824"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en-US" w:eastAsia="zh-CN"/>
              </w:rPr>
            </w:pPr>
            <w:r>
              <w:rPr>
                <w:rFonts w:ascii="宋体" w:eastAsia="宋体" w:cs="宋体" w:hint="eastAsia"/>
                <w:color w:val="000000"/>
                <w:kern w:val="0"/>
                <w:sz w:val="24"/>
                <w:lang w:val="en-US" w:eastAsia="zh-CN"/>
              </w:rPr>
              <w:t>建立并更新了211位老人个人服务档案，为当地党委政府在开展后续老人服务时提供了数据支持；链接和整合资源，通过“党员社工+志愿者+村医”多方联动的服务模式，充分发挥了党员社工模范先锋作用，积极调动志愿者的积极性，进一步发挥基层村干部、村医、在城乡老人居家养老服务中的积极促进作用。开展不同类型的志愿服务活动，让老人及家人感受到政府以及社会的关怀；</w:t>
            </w:r>
          </w:p>
          <w:p>
            <w:pPr>
              <w:widowControl/>
              <w:spacing w:line="320" w:lineRule="exact"/>
              <w:jc w:val="left"/>
              <w:textAlignment w:val="top"/>
              <w:rPr>
                <w:rFonts w:ascii="宋体" w:cs="宋体"/>
                <w:color w:val="000000"/>
                <w:sz w:val="24"/>
              </w:rPr>
            </w:pPr>
          </w:p>
        </w:tc>
      </w:tr>
      <w:tr>
        <w:trPr>
          <w:trHeight w:val="946"/>
          <w:gridAfter w:val="1"/>
          <w:wAfter w:w="0" w:type="dxa"/>
        </w:trPr>
        <w:tc>
          <w:tcPr>
            <w:tcW w:w="795" w:type="pct"/>
            <w:gridSpan w:val="2"/>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gridSpan w:val="2"/>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gridAfter w:val="1"/>
          <w:wAfter w:w="0" w:type="dxa"/>
        </w:trPr>
        <w:tc>
          <w:tcPr>
            <w:tcW w:w="795" w:type="pct"/>
            <w:gridSpan w:val="2"/>
            <w:vMerge/>
            <w:tcBorders>
              <w:left w:val="single" w:sz="4" w:space="0" w:color="000000"/>
              <w:right w:val="single" w:sz="4" w:space="0" w:color="000000"/>
            </w:tcBorders>
            <w:shd w:val="clear" w:color="auto" w:fill="auto"/>
            <w:noWrap/>
            <w:vAlign w:val="center"/>
          </w:tcPr>
          <w:p/>
        </w:tc>
        <w:tc>
          <w:tcPr>
            <w:tcW w:w="565" w:type="pct"/>
            <w:gridSpan w:val="2"/>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gridAfter w:val="1"/>
          <w:wAfter w:w="0" w:type="dxa"/>
        </w:trPr>
        <w:tc>
          <w:tcPr>
            <w:tcW w:w="795" w:type="pct"/>
            <w:gridSpan w:val="2"/>
            <w:vMerge/>
            <w:tcBorders>
              <w:left w:val="single" w:sz="4" w:space="0" w:color="000000"/>
              <w:right w:val="single" w:sz="4" w:space="0" w:color="000000"/>
            </w:tcBorders>
            <w:shd w:val="clear" w:color="auto" w:fill="auto"/>
            <w:noWrap/>
            <w:vAlign w:val="center"/>
          </w:tcPr>
          <w:p/>
        </w:tc>
        <w:tc>
          <w:tcPr>
            <w:tcW w:w="565"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gridAfter w:val="1"/>
          <w:wAfter w:w="0" w:type="dxa"/>
        </w:trPr>
        <w:tc>
          <w:tcPr>
            <w:tcW w:w="795" w:type="pct"/>
            <w:gridSpan w:val="2"/>
            <w:vMerge/>
            <w:tcBorders>
              <w:left w:val="single" w:sz="4" w:space="0" w:color="000000"/>
              <w:right w:val="single" w:sz="4" w:space="0" w:color="000000"/>
            </w:tcBorders>
            <w:shd w:val="clear" w:color="auto" w:fill="auto"/>
            <w:noWrap/>
            <w:vAlign w:val="center"/>
          </w:tcPr>
          <w:p/>
        </w:tc>
        <w:tc>
          <w:tcPr>
            <w:tcW w:w="56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6.33</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gridAfter w:val="1"/>
          <w:wAfter w:w="0" w:type="dxa"/>
        </w:trPr>
        <w:tc>
          <w:tcPr>
            <w:tcW w:w="795" w:type="pct"/>
            <w:gridSpan w:val="2"/>
            <w:vMerge/>
            <w:tcBorders>
              <w:left w:val="single" w:sz="4" w:space="0" w:color="000000"/>
              <w:right w:val="single" w:sz="4" w:space="0" w:color="000000"/>
            </w:tcBorders>
            <w:shd w:val="clear" w:color="auto" w:fill="auto"/>
            <w:noWrap/>
            <w:vAlign w:val="center"/>
          </w:tcPr>
          <w:p/>
        </w:tc>
        <w:tc>
          <w:tcPr>
            <w:tcW w:w="565"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gridAfter w:val="1"/>
          <w:wAfter w:w="0" w:type="dxa"/>
        </w:trPr>
        <w:tc>
          <w:tcPr>
            <w:tcW w:w="795" w:type="pct"/>
            <w:gridSpan w:val="2"/>
            <w:vMerge/>
            <w:tcBorders>
              <w:left w:val="single" w:sz="4" w:space="0" w:color="000000"/>
              <w:bottom w:val="single" w:sz="4" w:space="0" w:color="000000"/>
              <w:right w:val="single" w:sz="4" w:space="0" w:color="000000"/>
            </w:tcBorders>
            <w:shd w:val="clear" w:color="auto" w:fill="auto"/>
            <w:noWrap/>
            <w:vAlign w:val="center"/>
          </w:tcPr>
          <w:p/>
        </w:tc>
        <w:tc>
          <w:tcPr>
            <w:tcW w:w="5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ind w:leftChars="0" w:left="0" w:firstLineChars="0" w:firstLine="0"/>
        <w:rPr>
          <w:rFonts w:eastAsia="宋体" w:hint="eastAsia"/>
          <w:lang w:eastAsia="zh-CN"/>
        </w:rPr>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3426"/>
        <w:gridCol w:w="5599"/>
        <w:gridCol w:w="4631"/>
        <w:gridCol w:w="5903"/>
        <w:gridCol w:w="6793"/>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残协工作经费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right"/>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400" w:firstLine="960"/>
              <w:textAlignment w:val="center"/>
              <w:rPr>
                <w:rFonts w:ascii="宋体" w:eastAsia="宋体" w:cs="宋体"/>
                <w:color w:val="000000"/>
                <w:sz w:val="24"/>
                <w:lang w:val="en-US" w:eastAsia="zh-CN"/>
              </w:rPr>
            </w:pPr>
            <w:r>
              <w:rPr>
                <w:rFonts w:ascii="宋体" w:cs="宋体" w:hint="eastAsia"/>
                <w:color w:val="000000"/>
                <w:sz w:val="24"/>
                <w:lang w:val="en-US" w:eastAsia="zh-CN"/>
              </w:rPr>
              <w:t>0.32</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en-US" w:eastAsia="zh-CN"/>
              </w:rPr>
            </w:pPr>
            <w:r>
              <w:rPr>
                <w:rFonts w:ascii="宋体" w:eastAsia="宋体" w:cs="宋体" w:hint="eastAsia"/>
                <w:color w:val="000000"/>
                <w:kern w:val="0"/>
                <w:sz w:val="24"/>
                <w:lang w:val="en-US" w:eastAsia="zh-CN"/>
              </w:rPr>
              <w:t>进一步加强残疾人工作，全面提升基层残疾人组织服务能力和管理科学化水平，更好为残疾人做好服务，同时关心关爱残疾人。</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eastAsia="zh-CN"/>
              </w:rPr>
            </w:pPr>
            <w:r>
              <w:rPr>
                <w:rFonts w:ascii="宋体" w:eastAsia="宋体" w:cs="宋体" w:hint="eastAsia"/>
                <w:color w:val="000000"/>
                <w:kern w:val="0"/>
                <w:sz w:val="24"/>
                <w:lang w:eastAsia="zh-CN"/>
              </w:rPr>
              <w:t>加强我镇</w:t>
            </w:r>
            <w:r>
              <w:rPr>
                <w:rFonts w:ascii="宋体" w:eastAsia="宋体" w:cs="宋体" w:hint="eastAsia"/>
                <w:color w:val="000000"/>
                <w:kern w:val="0"/>
                <w:sz w:val="24"/>
                <w:lang w:val="en-US" w:eastAsia="zh-CN"/>
              </w:rPr>
              <w:t>8个</w:t>
            </w:r>
            <w:r>
              <w:rPr>
                <w:rFonts w:ascii="宋体" w:eastAsia="宋体" w:cs="宋体" w:hint="eastAsia"/>
                <w:color w:val="000000"/>
                <w:kern w:val="0"/>
                <w:sz w:val="24"/>
                <w:lang w:eastAsia="zh-CN"/>
              </w:rPr>
              <w:t>村残疾人工作，提升基层残疾人组织服务能力和管理科学化水平，更好为我镇</w:t>
            </w:r>
            <w:r>
              <w:rPr>
                <w:rFonts w:ascii="宋体" w:eastAsia="宋体" w:cs="宋体" w:hint="eastAsia"/>
                <w:color w:val="000000"/>
                <w:kern w:val="0"/>
                <w:sz w:val="24"/>
                <w:lang w:val="en-US" w:eastAsia="zh-CN"/>
              </w:rPr>
              <w:t>8个村的</w:t>
            </w:r>
            <w:r>
              <w:rPr>
                <w:rFonts w:ascii="宋体" w:eastAsia="宋体" w:cs="宋体" w:hint="eastAsia"/>
                <w:color w:val="000000"/>
                <w:kern w:val="0"/>
                <w:sz w:val="24"/>
                <w:lang w:eastAsia="zh-CN"/>
              </w:rPr>
              <w:t>残疾人做好服务。</w:t>
            </w:r>
          </w:p>
          <w:p>
            <w:pPr>
              <w:widowControl/>
              <w:spacing w:line="320" w:lineRule="exact"/>
              <w:jc w:val="left"/>
              <w:textAlignment w:val="top"/>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0.32</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pPr>
    </w:p>
    <w:p>
      <w:pPr>
        <w:pStyle w:val="16"/>
      </w:pPr>
    </w:p>
    <w:p>
      <w:pPr>
        <w:pStyle w:val="16"/>
      </w:pPr>
    </w:p>
    <w:p>
      <w:pPr>
        <w:pStyle w:val="16"/>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2523"/>
        <w:gridCol w:w="4123"/>
        <w:gridCol w:w="3410"/>
        <w:gridCol w:w="13155"/>
        <w:gridCol w:w="15141"/>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疫情防控工作经费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300" w:firstLine="720"/>
              <w:textAlignment w:val="center"/>
              <w:rPr>
                <w:rFonts w:ascii="宋体" w:eastAsia="宋体" w:cs="宋体"/>
                <w:color w:val="000000"/>
                <w:sz w:val="24"/>
                <w:lang w:val="en-US" w:eastAsia="zh-CN"/>
              </w:rPr>
            </w:pPr>
            <w:r>
              <w:rPr>
                <w:rFonts w:ascii="宋体" w:cs="宋体" w:hint="eastAsia"/>
                <w:color w:val="000000"/>
                <w:sz w:val="24"/>
                <w:lang w:val="en-US" w:eastAsia="zh-CN"/>
              </w:rPr>
              <w:t>10</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val="en-US" w:eastAsia="zh-CN"/>
              </w:rPr>
            </w:pPr>
            <w:r>
              <w:rPr>
                <w:rFonts w:ascii="宋体" w:eastAsia="宋体" w:cs="宋体" w:hint="eastAsia"/>
                <w:color w:val="000000"/>
                <w:kern w:val="0"/>
                <w:sz w:val="24"/>
                <w:lang w:val="zh-CN"/>
              </w:rPr>
              <w:t>南新镇防疫经费的使用有利于我镇开展新冠肺炎的管控工作，使人民群众更加了解防疫知识。</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left"/>
              <w:textAlignment w:val="top"/>
              <w:rPr>
                <w:rFonts w:ascii="宋体" w:cs="宋体"/>
                <w:color w:val="000000"/>
                <w:sz w:val="24"/>
              </w:rPr>
            </w:pPr>
            <w:r>
              <w:rPr>
                <w:rFonts w:ascii="宋体" w:eastAsia="宋体" w:cs="宋体" w:hint="eastAsia"/>
                <w:color w:val="000000"/>
                <w:kern w:val="0"/>
                <w:sz w:val="24"/>
              </w:rPr>
              <w:t>南新镇防疫资金</w:t>
            </w:r>
            <w:r>
              <w:rPr>
                <w:rFonts w:ascii="宋体" w:eastAsia="宋体" w:cs="宋体" w:hint="eastAsia"/>
                <w:color w:val="000000"/>
                <w:kern w:val="0"/>
                <w:sz w:val="24"/>
                <w:lang w:val="zh-CN"/>
              </w:rPr>
              <w:t>实施内容是用于南新镇购买防疫办公用品、防疫广告宣传费用、购买消毒液费用以及卡点物资</w:t>
            </w:r>
            <w:r>
              <w:rPr>
                <w:rFonts w:ascii="宋体" w:eastAsia="宋体" w:cs="宋体" w:hint="eastAsia"/>
                <w:color w:val="000000"/>
                <w:kern w:val="0"/>
                <w:sz w:val="24"/>
              </w:rPr>
              <w:t>购买</w:t>
            </w:r>
            <w:r>
              <w:rPr>
                <w:rFonts w:ascii="宋体" w:eastAsia="宋体" w:cs="宋体" w:hint="eastAsia"/>
                <w:color w:val="000000"/>
                <w:kern w:val="0"/>
                <w:sz w:val="24"/>
                <w:lang w:val="zh-CN"/>
              </w:rPr>
              <w:t>费。南新镇防疫经费使我镇在新冠肺炎疫情中，保障了辖区的环境卫生，维护了人民群众的身体健康。增强了群众对疫情防范，利于我镇对疫情的防控。</w:t>
            </w: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10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pPr>
    </w:p>
    <w:p>
      <w:pPr>
        <w:pStyle w:val="16"/>
      </w:pPr>
    </w:p>
    <w:p>
      <w:pPr>
        <w:pStyle w:val="16"/>
      </w:pPr>
    </w:p>
    <w:p>
      <w:pPr>
        <w:pStyle w:val="16"/>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3185"/>
        <w:gridCol w:w="5206"/>
        <w:gridCol w:w="4305"/>
        <w:gridCol w:w="9808"/>
        <w:gridCol w:w="11288"/>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疫情防控工作经费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300" w:firstLine="720"/>
              <w:textAlignment w:val="center"/>
              <w:rPr>
                <w:rFonts w:ascii="宋体" w:eastAsia="宋体" w:cs="宋体"/>
                <w:color w:val="000000"/>
                <w:sz w:val="24"/>
                <w:lang w:val="en-US" w:eastAsia="zh-CN"/>
              </w:rPr>
            </w:pPr>
            <w:r>
              <w:rPr>
                <w:rFonts w:ascii="宋体" w:cs="宋体" w:hint="eastAsia"/>
                <w:color w:val="000000"/>
                <w:sz w:val="24"/>
                <w:lang w:val="en-US" w:eastAsia="zh-CN"/>
              </w:rPr>
              <w:t>0.4</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eastAsia="zh-CN"/>
              </w:rPr>
            </w:pPr>
            <w:r>
              <w:rPr>
                <w:rFonts w:ascii="宋体" w:eastAsia="宋体" w:cs="宋体" w:hint="eastAsia"/>
                <w:color w:val="000000"/>
                <w:kern w:val="0"/>
                <w:sz w:val="24"/>
                <w:lang w:eastAsia="zh-CN"/>
              </w:rPr>
              <w:t>为进一步增强基层人口和计划生育工作知识，提高计划生育工作者的各项服务水平，召开人口和计划生育业务培训等。</w:t>
            </w:r>
          </w:p>
          <w:p>
            <w:pPr>
              <w:widowControl/>
              <w:spacing w:line="320" w:lineRule="exact"/>
              <w:jc w:val="center"/>
              <w:textAlignment w:val="center"/>
              <w:rPr>
                <w:rFonts w:ascii="宋体" w:eastAsia="宋体" w:cs="宋体" w:hint="eastAsia"/>
                <w:color w:val="000000"/>
                <w:kern w:val="0"/>
                <w:sz w:val="24"/>
                <w:lang w:val="en-US" w:eastAsia="zh-C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lang w:eastAsia="zh-CN"/>
              </w:rPr>
            </w:pPr>
            <w:r>
              <w:rPr>
                <w:rFonts w:ascii="宋体" w:eastAsia="宋体" w:cs="宋体" w:hint="eastAsia"/>
                <w:color w:val="000000"/>
                <w:kern w:val="0"/>
                <w:sz w:val="24"/>
                <w:lang w:eastAsia="zh-CN"/>
              </w:rPr>
              <w:t>进一步加强人口和计划生育工作，此次培训主要是全面提升全镇计生干部的业务素质，进一步明确基层人口和计划生育工作者职责，进一步规范人口和计划生育服务和管理行为，提升优质服务水平。</w:t>
            </w:r>
          </w:p>
          <w:p>
            <w:pPr>
              <w:widowControl/>
              <w:spacing w:line="320" w:lineRule="exact"/>
              <w:jc w:val="center"/>
              <w:textAlignment w:val="center"/>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0.4</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pPr>
    </w:p>
    <w:p>
      <w:pPr>
        <w:pStyle w:val="16"/>
      </w:pPr>
    </w:p>
    <w:p>
      <w:pPr>
        <w:pStyle w:val="16"/>
      </w:pPr>
    </w:p>
    <w:p>
      <w:pPr>
        <w:pStyle w:val="16"/>
      </w:pPr>
    </w:p>
    <w:p>
      <w:pPr>
        <w:pStyle w:val="16"/>
      </w:pPr>
    </w:p>
    <w:tbl>
      <w:tblPr>
        <w:tblpPr w:leftFromText="180" w:rightFromText="180" w:vertAnchor="text" w:horzAnchor="page" w:tblpX="1256" w:tblpY="221"/>
        <w:tblOverlap w:val="never"/>
        <w:tblW w:w="5244"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016"/>
        <w:gridCol w:w="3727"/>
        <w:gridCol w:w="6091"/>
        <w:gridCol w:w="5038"/>
        <w:gridCol w:w="4229"/>
        <w:gridCol w:w="4867"/>
      </w:tblGrid>
      <w:tr>
        <w:trPr>
          <w:trHeight w:val="1288"/>
        </w:trPr>
        <w:tc>
          <w:tcPr>
            <w:tcW w:w="4875" w:type="pct"/>
            <w:gridSpan w:val="6"/>
            <w:tcBorders>
              <w:top w:val="nil"/>
              <w:left w:val="nil"/>
              <w:bottom w:val="nil"/>
              <w:right w:val="nil"/>
            </w:tcBorders>
            <w:shd w:val="clear" w:color="auto" w:fill="auto"/>
            <w:noWrap/>
            <w:vAlign w:val="center"/>
          </w:tcPr>
          <w:p>
            <w:pPr>
              <w:widowControl/>
              <w:jc w:val="center"/>
              <w:textAlignment w:val="center"/>
              <w:rPr>
                <w:rFonts w:ascii="宋体" w:cs="宋体"/>
                <w:b/>
                <w:color w:val="000000"/>
                <w:sz w:val="32"/>
                <w:szCs w:val="32"/>
              </w:rPr>
            </w:pPr>
            <w:r>
              <w:rPr>
                <w:rFonts w:ascii="宋体" w:cs="宋体" w:hint="eastAsia"/>
                <w:b/>
                <w:color w:val="000000"/>
                <w:sz w:val="32"/>
                <w:szCs w:val="32"/>
              </w:rPr>
              <w:t>2022年</w:t>
            </w:r>
            <w:r>
              <w:rPr>
                <w:rFonts w:ascii="宋体" w:cs="宋体" w:hint="eastAsia"/>
                <w:b/>
                <w:color w:val="000000"/>
                <w:sz w:val="32"/>
                <w:szCs w:val="32"/>
                <w:lang w:eastAsia="zh-CN"/>
              </w:rPr>
              <w:t>驻村工作经费</w:t>
            </w:r>
            <w:r>
              <w:rPr>
                <w:rFonts w:ascii="宋体" w:cs="宋体" w:hint="eastAsia"/>
                <w:b/>
                <w:color w:val="000000"/>
                <w:sz w:val="32"/>
                <w:szCs w:val="32"/>
              </w:rPr>
              <w:t>绩效目标自评</w:t>
            </w:r>
          </w:p>
        </w:tc>
      </w:tr>
      <w:tr>
        <w:trPr>
          <w:trHeight w:val="657"/>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主管部门及代码</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textAlignment w:val="center"/>
              <w:rPr>
                <w:rFonts w:ascii="宋体" w:eastAsia="宋体" w:cs="宋体"/>
                <w:color w:val="000000"/>
                <w:sz w:val="24"/>
                <w:lang w:val="en-US" w:eastAsia="zh-CN"/>
              </w:rPr>
            </w:pPr>
            <w:r>
              <w:rPr>
                <w:rFonts w:ascii="宋体" w:cs="宋体" w:hint="eastAsia"/>
                <w:color w:val="000000"/>
                <w:sz w:val="24"/>
                <w:lang w:val="en-US" w:eastAsia="zh-CN"/>
              </w:rPr>
              <w:t>南新镇人民政府618101</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实施单位</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sz w:val="24"/>
                <w:lang w:eastAsia="zh-CN"/>
              </w:rPr>
            </w:pPr>
            <w:r>
              <w:rPr>
                <w:rFonts w:ascii="宋体" w:cs="宋体" w:hint="eastAsia"/>
                <w:color w:val="000000"/>
                <w:sz w:val="24"/>
                <w:lang w:eastAsia="zh-CN"/>
              </w:rPr>
              <w:t>南新镇</w:t>
            </w:r>
          </w:p>
        </w:tc>
      </w:tr>
      <w:tr>
        <w:trPr>
          <w:trHeight w:val="599"/>
        </w:trPr>
        <w:tc>
          <w:tcPr>
            <w:tcW w:w="136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项目预算</w:t>
            </w:r>
          </w:p>
          <w:p>
            <w:pPr>
              <w:widowControl/>
              <w:spacing w:line="320" w:lineRule="exact"/>
              <w:jc w:val="center"/>
              <w:textAlignment w:val="center"/>
              <w:rPr>
                <w:rFonts w:ascii="宋体" w:eastAsia="宋体" w:cs="宋体" w:hint="eastAsia"/>
                <w:color w:val="000000"/>
                <w:kern w:val="0"/>
                <w:sz w:val="24"/>
                <w:lang w:eastAsia="zh-CN"/>
              </w:rPr>
            </w:pPr>
            <w:r>
              <w:rPr>
                <w:rFonts w:ascii="宋体" w:cs="宋体" w:hint="eastAsia"/>
                <w:color w:val="000000"/>
                <w:kern w:val="0"/>
                <w:sz w:val="24"/>
              </w:rPr>
              <w:t>执行情况</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（万元）</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预算数：</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 xml:space="preserve"> 执行数：</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r>
      <w:tr>
        <w:trPr>
          <w:trHeight w:val="580"/>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kern w:val="0"/>
                <w:sz w:val="24"/>
              </w:rPr>
            </w:pPr>
            <w:r>
              <w:rPr>
                <w:rFonts w:ascii="宋体" w:cs="宋体" w:hint="eastAsia"/>
                <w:color w:val="000000"/>
                <w:kern w:val="0"/>
                <w:sz w:val="24"/>
              </w:rPr>
              <w:t>其中：</w:t>
            </w:r>
          </w:p>
          <w:p>
            <w:pPr>
              <w:widowControl/>
              <w:spacing w:line="320" w:lineRule="exact"/>
              <w:jc w:val="left"/>
              <w:textAlignment w:val="center"/>
              <w:rPr>
                <w:rFonts w:ascii="宋体" w:cs="宋体"/>
                <w:color w:val="000000"/>
                <w:sz w:val="24"/>
              </w:rPr>
            </w:pPr>
            <w:r>
              <w:rPr>
                <w:rFonts w:ascii="宋体" w:cs="宋体" w:hint="eastAsia"/>
                <w:color w:val="000000"/>
                <w:kern w:val="0"/>
                <w:sz w:val="24"/>
              </w:rPr>
              <w:t>财政拨款</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ind w:firstLineChars="300" w:firstLine="720"/>
              <w:textAlignment w:val="center"/>
              <w:rPr>
                <w:rFonts w:ascii="宋体" w:eastAsia="宋体" w:cs="宋体"/>
                <w:color w:val="000000"/>
                <w:sz w:val="24"/>
                <w:lang w:val="en-US" w:eastAsia="zh-CN"/>
              </w:rPr>
            </w:pPr>
            <w:r>
              <w:rPr>
                <w:rFonts w:ascii="宋体" w:cs="宋体" w:hint="eastAsia"/>
                <w:color w:val="000000"/>
                <w:sz w:val="24"/>
                <w:lang w:val="en-US" w:eastAsia="zh-CN"/>
              </w:rPr>
              <w:t>1.5</w:t>
            </w:r>
          </w:p>
        </w:tc>
      </w:tr>
      <w:tr>
        <w:trPr>
          <w:trHeight w:val="493"/>
        </w:trPr>
        <w:tc>
          <w:tcPr>
            <w:tcW w:w="1361"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left"/>
              <w:textAlignment w:val="center"/>
              <w:rPr>
                <w:rFonts w:ascii="宋体" w:cs="宋体"/>
                <w:color w:val="000000"/>
                <w:sz w:val="24"/>
              </w:rPr>
            </w:pPr>
            <w:r>
              <w:rPr>
                <w:rFonts w:ascii="宋体" w:cs="宋体" w:hint="eastAsia"/>
                <w:color w:val="000000"/>
                <w:kern w:val="0"/>
                <w:sz w:val="24"/>
              </w:rPr>
              <w:t>其他资金</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p>
        </w:tc>
      </w:tr>
      <w:tr>
        <w:trPr>
          <w:trHeight w:val="417"/>
        </w:trPr>
        <w:tc>
          <w:tcPr>
            <w:tcW w:w="79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kern w:val="0"/>
                <w:sz w:val="24"/>
              </w:rPr>
            </w:pPr>
            <w:r>
              <w:rPr>
                <w:rFonts w:ascii="宋体" w:cs="宋体" w:hint="eastAsia"/>
                <w:color w:val="000000"/>
                <w:kern w:val="0"/>
                <w:sz w:val="24"/>
              </w:rPr>
              <w:t>年度总体目标</w:t>
            </w:r>
          </w:p>
          <w:p>
            <w:pPr>
              <w:widowControl/>
              <w:spacing w:line="320" w:lineRule="exact"/>
              <w:jc w:val="center"/>
              <w:textAlignment w:val="center"/>
              <w:rPr>
                <w:rFonts w:ascii="宋体" w:cs="宋体"/>
                <w:color w:val="000000"/>
                <w:sz w:val="24"/>
              </w:rPr>
            </w:pPr>
            <w:r>
              <w:rPr>
                <w:rFonts w:ascii="宋体" w:cs="宋体" w:hint="eastAsia"/>
                <w:color w:val="000000"/>
                <w:kern w:val="0"/>
                <w:sz w:val="24"/>
              </w:rPr>
              <w:t>完成情况</w:t>
            </w: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预期目标</w:t>
            </w: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宋体" w:cs="宋体"/>
                <w:color w:val="000000"/>
                <w:sz w:val="24"/>
              </w:rPr>
            </w:pPr>
            <w:r>
              <w:rPr>
                <w:rFonts w:ascii="宋体" w:cs="宋体" w:hint="eastAsia"/>
                <w:color w:val="000000"/>
                <w:kern w:val="0"/>
                <w:sz w:val="24"/>
              </w:rPr>
              <w:t>目标实际完成情况</w:t>
            </w:r>
          </w:p>
        </w:tc>
      </w:tr>
      <w:tr>
        <w:trPr>
          <w:trHeight w:val="2639"/>
        </w:trPr>
        <w:tc>
          <w:tcPr>
            <w:tcW w:w="79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256" w:type="pct"/>
            <w:gridSpan w:val="3"/>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rPr>
            </w:pPr>
            <w:r>
              <w:rPr>
                <w:rFonts w:ascii="宋体" w:eastAsia="宋体" w:cs="宋体" w:hint="eastAsia"/>
                <w:color w:val="000000"/>
                <w:kern w:val="0"/>
                <w:sz w:val="24"/>
                <w:lang w:eastAsia="zh-CN"/>
              </w:rPr>
              <w:t>驻村</w:t>
            </w:r>
            <w:r>
              <w:rPr>
                <w:rFonts w:ascii="宋体" w:eastAsia="宋体" w:cs="宋体" w:hint="eastAsia"/>
                <w:color w:val="000000"/>
                <w:kern w:val="0"/>
                <w:sz w:val="24"/>
              </w:rPr>
              <w:t>工作经费用于镇</w:t>
            </w:r>
            <w:r>
              <w:rPr>
                <w:rFonts w:ascii="宋体" w:eastAsia="宋体" w:cs="宋体" w:hint="eastAsia"/>
                <w:color w:val="000000"/>
                <w:kern w:val="0"/>
                <w:sz w:val="24"/>
                <w:lang w:eastAsia="zh-CN"/>
              </w:rPr>
              <w:t>驻村</w:t>
            </w:r>
            <w:r>
              <w:rPr>
                <w:rFonts w:ascii="宋体" w:eastAsia="宋体" w:cs="宋体" w:hint="eastAsia"/>
                <w:color w:val="000000"/>
                <w:kern w:val="0"/>
                <w:sz w:val="24"/>
              </w:rPr>
              <w:t>工作开展，</w:t>
            </w:r>
            <w:r>
              <w:rPr>
                <w:rFonts w:ascii="宋体" w:eastAsia="宋体" w:cs="宋体" w:hint="eastAsia"/>
                <w:color w:val="000000"/>
                <w:kern w:val="0"/>
                <w:sz w:val="24"/>
                <w:lang w:eastAsia="zh-CN"/>
              </w:rPr>
              <w:t>驻村</w:t>
            </w:r>
            <w:r>
              <w:rPr>
                <w:rFonts w:ascii="宋体" w:eastAsia="宋体" w:cs="宋体" w:hint="eastAsia"/>
                <w:color w:val="000000"/>
                <w:kern w:val="0"/>
                <w:sz w:val="24"/>
              </w:rPr>
              <w:t>工作经费的管理和使用，坚持公平、公开、公正的原则，确保专项工作经费的规范、安全和高效。</w:t>
            </w:r>
          </w:p>
          <w:p>
            <w:pPr>
              <w:widowControl/>
              <w:spacing w:line="320" w:lineRule="exact"/>
              <w:jc w:val="center"/>
              <w:textAlignment w:val="center"/>
              <w:rPr>
                <w:rFonts w:ascii="宋体" w:eastAsia="宋体" w:cs="宋体" w:hint="eastAsia"/>
                <w:color w:val="000000"/>
                <w:kern w:val="0"/>
                <w:sz w:val="24"/>
                <w:lang w:val="en-US" w:eastAsia="zh-C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auto"/>
            <w:noWrap/>
          </w:tcPr>
          <w:p>
            <w:pPr>
              <w:widowControl/>
              <w:spacing w:line="320" w:lineRule="exact"/>
              <w:jc w:val="center"/>
              <w:textAlignment w:val="center"/>
              <w:rPr>
                <w:rFonts w:ascii="宋体" w:eastAsia="宋体" w:cs="宋体" w:hint="eastAsia"/>
                <w:color w:val="000000"/>
                <w:kern w:val="0"/>
                <w:sz w:val="24"/>
              </w:rPr>
            </w:pPr>
            <w:r>
              <w:rPr>
                <w:rFonts w:ascii="宋体" w:eastAsia="宋体" w:cs="宋体" w:hint="eastAsia"/>
                <w:color w:val="000000"/>
                <w:kern w:val="0"/>
                <w:sz w:val="24"/>
                <w:lang w:val="zh-CN"/>
              </w:rPr>
              <w:t>我镇驻村工作经费主要用于</w:t>
            </w:r>
            <w:r>
              <w:rPr>
                <w:rFonts w:ascii="宋体" w:eastAsia="宋体" w:cs="宋体" w:hint="eastAsia"/>
                <w:color w:val="000000"/>
                <w:kern w:val="0"/>
                <w:sz w:val="24"/>
                <w:lang w:eastAsia="zh-CN"/>
              </w:rPr>
              <w:t>驻村工作</w:t>
            </w:r>
            <w:r>
              <w:rPr>
                <w:rFonts w:ascii="宋体" w:eastAsia="宋体" w:cs="宋体" w:hint="eastAsia"/>
                <w:color w:val="000000"/>
                <w:kern w:val="0"/>
                <w:sz w:val="24"/>
              </w:rPr>
              <w:t>的宣传费用、办公设施及耗材</w:t>
            </w:r>
            <w:r>
              <w:rPr>
                <w:rFonts w:ascii="宋体" w:eastAsia="宋体" w:cs="宋体" w:hint="eastAsia"/>
                <w:color w:val="000000"/>
                <w:kern w:val="0"/>
                <w:sz w:val="24"/>
                <w:lang w:eastAsia="zh-CN"/>
              </w:rPr>
              <w:t>、</w:t>
            </w:r>
            <w:r>
              <w:rPr>
                <w:rFonts w:ascii="宋体" w:eastAsia="宋体" w:cs="宋体" w:hint="eastAsia"/>
                <w:color w:val="000000"/>
                <w:kern w:val="0"/>
                <w:sz w:val="24"/>
              </w:rPr>
              <w:t>慰问金</w:t>
            </w:r>
            <w:r>
              <w:rPr>
                <w:rFonts w:ascii="宋体" w:eastAsia="宋体" w:cs="宋体" w:hint="eastAsia"/>
                <w:color w:val="000000"/>
                <w:kern w:val="0"/>
                <w:sz w:val="24"/>
                <w:lang w:eastAsia="zh-CN"/>
              </w:rPr>
              <w:t>等支出</w:t>
            </w:r>
            <w:r>
              <w:rPr>
                <w:rFonts w:ascii="宋体" w:eastAsia="宋体" w:cs="宋体" w:hint="eastAsia"/>
                <w:color w:val="000000"/>
                <w:kern w:val="0"/>
                <w:sz w:val="24"/>
              </w:rPr>
              <w:t>。</w:t>
            </w:r>
          </w:p>
          <w:p>
            <w:pPr>
              <w:widowControl/>
              <w:spacing w:line="320" w:lineRule="exact"/>
              <w:jc w:val="center"/>
              <w:textAlignment w:val="center"/>
              <w:rPr>
                <w:rFonts w:ascii="宋体" w:cs="宋体"/>
                <w:color w:val="000000"/>
                <w:sz w:val="24"/>
              </w:rPr>
            </w:pPr>
          </w:p>
        </w:tc>
      </w:tr>
      <w:tr>
        <w:trPr>
          <w:trHeight w:val="946"/>
        </w:trPr>
        <w:tc>
          <w:tcPr>
            <w:tcW w:w="795" w:type="pct"/>
            <w:vMerge w:val="restart"/>
            <w:tcBorders>
              <w:top w:val="single" w:sz="4" w:space="0" w:color="000000"/>
              <w:left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年度绩效指标完成情况</w:t>
            </w:r>
          </w:p>
        </w:tc>
        <w:tc>
          <w:tcPr>
            <w:tcW w:w="565" w:type="pct"/>
            <w:tcBorders>
              <w:top w:val="single" w:sz="4" w:space="0" w:color="000000"/>
              <w:left w:val="nil"/>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一级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二级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三级</w:t>
            </w:r>
          </w:p>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预期指标值</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center"/>
              <w:rPr>
                <w:rFonts w:ascii="仿宋_GB2312" w:cs="仿宋_GB2312" w:hAnsi="仿宋_GB2312"/>
                <w:color w:val="000000"/>
                <w:sz w:val="28"/>
                <w:szCs w:val="28"/>
              </w:rPr>
            </w:pPr>
            <w:r>
              <w:rPr>
                <w:rFonts w:ascii="仿宋_GB2312" w:cs="仿宋_GB2312" w:hAnsi="仿宋_GB2312" w:hint="eastAsia"/>
                <w:color w:val="000000"/>
                <w:kern w:val="0"/>
                <w:sz w:val="28"/>
                <w:szCs w:val="28"/>
              </w:rPr>
              <w:t>实际完成指标值</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right w:val="single" w:sz="4" w:space="0" w:color="000000"/>
            </w:tcBorders>
            <w:shd w:val="clear" w:color="auto" w:fill="auto"/>
            <w:noWrap/>
            <w:vAlign w:val="bottom"/>
          </w:tcPr>
          <w:p>
            <w:pPr>
              <w:spacing w:line="320" w:lineRule="exact"/>
              <w:jc w:val="center"/>
              <w:rPr>
                <w:rFonts w:ascii="仿宋_GB2312" w:cs="仿宋_GB2312" w:hAnsi="仿宋_GB2312"/>
                <w:color w:val="000000"/>
                <w:sz w:val="28"/>
                <w:szCs w:val="28"/>
              </w:rPr>
            </w:p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质量指标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完成质量</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高中低</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高</w:t>
            </w:r>
          </w:p>
        </w:tc>
      </w:tr>
      <w:tr>
        <w:trPr>
          <w:trHeight w:val="620"/>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时效指标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完成时间</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val="en-US" w:eastAsia="zh-CN"/>
              </w:rPr>
            </w:pPr>
            <w:r>
              <w:rPr>
                <w:rFonts w:ascii="仿宋_GB2312" w:cs="仿宋_GB2312" w:hAnsi="仿宋_GB2312" w:hint="eastAsia"/>
                <w:color w:val="000000"/>
                <w:sz w:val="28"/>
                <w:szCs w:val="28"/>
                <w:lang w:val="en-US" w:eastAsia="zh-CN"/>
              </w:rPr>
              <w:t>1年</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完成</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效益</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经济效益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eastAsia="zh-CN"/>
              </w:rPr>
              <w:t>预算资金</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lang w:val="en-US"/>
              </w:rPr>
            </w:pPr>
            <w:r>
              <w:rPr>
                <w:rFonts w:ascii="仿宋_GB2312" w:cs="仿宋_GB2312" w:hAnsi="仿宋_GB2312" w:hint="eastAsia"/>
                <w:color w:val="000000"/>
                <w:sz w:val="28"/>
                <w:szCs w:val="28"/>
                <w:lang w:val="en-US" w:eastAsia="zh-CN"/>
              </w:rPr>
              <w:t>1.5</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kern w:val="2"/>
                <w:sz w:val="28"/>
                <w:szCs w:val="28"/>
                <w:lang w:val="en-US" w:eastAsia="zh-CN" w:bidi="ar-SA"/>
              </w:rPr>
            </w:pPr>
            <w:r>
              <w:rPr>
                <w:rFonts w:ascii="仿宋_GB2312" w:cs="仿宋_GB2312" w:hAnsi="仿宋_GB2312" w:hint="eastAsia"/>
                <w:color w:val="000000"/>
                <w:sz w:val="28"/>
                <w:szCs w:val="28"/>
                <w:lang w:val="en-US" w:eastAsia="zh-CN"/>
              </w:rPr>
              <w:t>100%</w:t>
            </w:r>
          </w:p>
        </w:tc>
      </w:tr>
      <w:tr>
        <w:trPr>
          <w:trHeight w:val="822"/>
        </w:trPr>
        <w:tc>
          <w:tcPr>
            <w:tcW w:w="795" w:type="pct"/>
            <w:vMerge/>
            <w:tcBorders>
              <w:left w:val="single" w:sz="4" w:space="0" w:color="000000"/>
              <w:right w:val="single" w:sz="4" w:space="0" w:color="000000"/>
            </w:tcBorders>
            <w:shd w:val="clear" w:color="auto" w:fill="auto"/>
            <w:noWrap/>
            <w:vAlign w:val="center"/>
          </w:tcPr>
          <w:p/>
        </w:tc>
        <w:tc>
          <w:tcPr>
            <w:tcW w:w="565" w:type="pct"/>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可持续影响 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可持续性</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sz w:val="28"/>
                <w:szCs w:val="28"/>
                <w:lang w:val="en-US" w:eastAsia="zh-CN"/>
              </w:rPr>
              <w:t>90%</w:t>
            </w:r>
          </w:p>
        </w:tc>
      </w:tr>
      <w:tr>
        <w:trPr>
          <w:trHeight w:val="835"/>
        </w:trPr>
        <w:tc>
          <w:tcPr>
            <w:tcW w:w="795" w:type="pct"/>
            <w:vMerge/>
            <w:tcBorders>
              <w:left w:val="single" w:sz="4" w:space="0" w:color="000000"/>
              <w:bottom w:val="single" w:sz="4" w:space="0" w:color="000000"/>
              <w:right w:val="single" w:sz="4" w:space="0" w:color="000000"/>
            </w:tcBorders>
            <w:shd w:val="clear" w:color="auto" w:fill="auto"/>
            <w:noWrap/>
            <w:vAlign w:val="center"/>
          </w:tcPr>
          <w:p/>
        </w:tc>
        <w:tc>
          <w:tcPr>
            <w:tcW w:w="5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kern w:val="0"/>
                <w:sz w:val="28"/>
                <w:szCs w:val="28"/>
                <w:lang w:eastAsia="zh-CN"/>
              </w:rPr>
            </w:pPr>
            <w:r>
              <w:rPr>
                <w:rFonts w:ascii="仿宋_GB2312" w:cs="仿宋_GB2312" w:hAnsi="仿宋_GB2312" w:hint="eastAsia"/>
                <w:color w:val="000000"/>
                <w:kern w:val="0"/>
                <w:sz w:val="28"/>
                <w:szCs w:val="28"/>
              </w:rPr>
              <w:t>满意</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度指标</w:t>
            </w:r>
          </w:p>
        </w:tc>
        <w:tc>
          <w:tcPr>
            <w:tcW w:w="9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cs="仿宋_GB2312" w:hAnsi="仿宋_GB2312"/>
                <w:color w:val="000000"/>
                <w:kern w:val="0"/>
                <w:sz w:val="28"/>
                <w:szCs w:val="28"/>
              </w:rPr>
            </w:pPr>
            <w:r>
              <w:rPr>
                <w:rFonts w:ascii="仿宋_GB2312" w:cs="仿宋_GB2312" w:hAnsi="仿宋_GB2312" w:hint="eastAsia"/>
                <w:color w:val="000000"/>
                <w:kern w:val="0"/>
                <w:sz w:val="28"/>
                <w:szCs w:val="28"/>
              </w:rPr>
              <w:t>满意度</w:t>
            </w:r>
          </w:p>
          <w:p>
            <w:pPr>
              <w:widowControl/>
              <w:spacing w:line="320" w:lineRule="exact"/>
              <w:jc w:val="center"/>
              <w:textAlignment w:val="bottom"/>
              <w:rPr>
                <w:rFonts w:ascii="仿宋_GB2312" w:cs="仿宋_GB2312" w:hAnsi="仿宋_GB2312"/>
                <w:color w:val="000000"/>
                <w:sz w:val="28"/>
                <w:szCs w:val="28"/>
              </w:rPr>
            </w:pPr>
            <w:r>
              <w:rPr>
                <w:rFonts w:ascii="仿宋_GB2312" w:cs="仿宋_GB2312" w:hAnsi="仿宋_GB2312" w:hint="eastAsia"/>
                <w:color w:val="000000"/>
                <w:kern w:val="0"/>
                <w:sz w:val="28"/>
                <w:szCs w:val="28"/>
              </w:rPr>
              <w:t>指标</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hint="eastAsia"/>
                <w:color w:val="000000"/>
                <w:sz w:val="28"/>
                <w:szCs w:val="28"/>
                <w:lang w:eastAsia="zh-CN"/>
              </w:rPr>
            </w:pPr>
            <w:r>
              <w:rPr>
                <w:rFonts w:ascii="仿宋_GB2312" w:cs="仿宋_GB2312" w:hAnsi="仿宋_GB2312" w:hint="eastAsia"/>
                <w:color w:val="000000"/>
                <w:sz w:val="28"/>
                <w:szCs w:val="28"/>
                <w:lang w:eastAsia="zh-CN"/>
              </w:rPr>
              <w:t>满意度</w:t>
            </w:r>
          </w:p>
        </w:tc>
        <w:tc>
          <w:tcPr>
            <w:tcW w:w="8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Arial" w:cs="Arial" w:hAnsi="Arial"/>
                <w:color w:val="000000"/>
                <w:sz w:val="28"/>
                <w:szCs w:val="28"/>
              </w:rPr>
              <w:t>≥</w:t>
            </w:r>
            <w:r>
              <w:rPr>
                <w:rFonts w:ascii="仿宋_GB2312" w:cs="仿宋_GB2312" w:hAnsi="仿宋_GB2312" w:hint="eastAsia"/>
                <w:color w:val="000000"/>
                <w:sz w:val="28"/>
                <w:szCs w:val="28"/>
                <w:lang w:val="en-US" w:eastAsia="zh-CN"/>
              </w:rPr>
              <w:t>90</w:t>
            </w:r>
          </w:p>
        </w:tc>
        <w:tc>
          <w:tcPr>
            <w:tcW w:w="97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pPr>
              <w:widowControl/>
              <w:spacing w:line="320" w:lineRule="exact"/>
              <w:jc w:val="center"/>
              <w:textAlignment w:val="bottom"/>
              <w:rPr>
                <w:rFonts w:ascii="仿宋_GB2312" w:eastAsia="宋体" w:cs="仿宋_GB2312" w:hAnsi="仿宋_GB2312"/>
                <w:color w:val="000000"/>
                <w:sz w:val="28"/>
                <w:szCs w:val="28"/>
                <w:lang w:val="en-US" w:eastAsia="zh-CN"/>
              </w:rPr>
            </w:pPr>
            <w:r>
              <w:rPr>
                <w:rFonts w:ascii="仿宋_GB2312" w:cs="仿宋_GB2312" w:hAnsi="仿宋_GB2312" w:hint="eastAsia"/>
                <w:color w:val="000000"/>
                <w:sz w:val="28"/>
                <w:szCs w:val="28"/>
                <w:lang w:val="en-US" w:eastAsia="zh-CN"/>
              </w:rPr>
              <w:t>90%</w:t>
            </w:r>
          </w:p>
        </w:tc>
      </w:tr>
    </w:tbl>
    <w:p>
      <w:pPr>
        <w:pStyle w:val="16"/>
        <w:rPr>
          <w:rFonts w:eastAsia="宋体"/>
          <w:lang w:val="en-US" w:eastAsia="zh-CN"/>
        </w:rPr>
      </w:pPr>
    </w:p>
    <w:p>
      <w:pPr>
        <w:pStyle w:val="16"/>
        <w:rPr>
          <w:rFonts w:eastAsia="宋体"/>
          <w:lang w:val="en-US" w:eastAsia="zh-CN"/>
        </w:rPr>
      </w:pPr>
    </w:p>
    <w:p>
      <w:pPr>
        <w:pStyle w:val="16"/>
        <w:rPr>
          <w:rFonts w:eastAsia="宋体"/>
          <w:lang w:val="en-US" w:eastAsia="zh-CN"/>
        </w:rPr>
      </w:pPr>
    </w:p>
    <w:p>
      <w:pPr>
        <w:pStyle w:val="16"/>
        <w:rPr>
          <w:rFonts w:eastAsia="宋体"/>
          <w:lang w:val="en-US" w:eastAsia="zh-CN"/>
        </w:rPr>
      </w:pPr>
    </w:p>
    <w:p>
      <w:pPr>
        <w:pStyle w:val="16"/>
        <w:ind w:leftChars="0" w:left="0" w:firstLineChars="0" w:firstLine="0"/>
        <w:rPr>
          <w:rFonts w:eastAsia="宋体"/>
          <w:lang w:val="en-US" w:eastAsia="zh-CN"/>
        </w:rPr>
      </w:pPr>
    </w:p>
    <w:p>
      <w:pPr>
        <w:pStyle w:val="1"/>
        <w:jc w:val="center"/>
        <w:rPr>
          <w:rFonts w:ascii="黑体" w:eastAsia="黑体" w:cs="黑体"/>
        </w:rPr>
      </w:pPr>
      <w:bookmarkStart w:id="73" w:name="_Toc79163885"/>
      <w:bookmarkStart w:id="74" w:name="_Toc79163635"/>
      <w:bookmarkStart w:id="75" w:name="_Toc3397"/>
      <w:bookmarkStart w:id="76" w:name="_Toc111208512"/>
      <w:r>
        <w:rPr>
          <w:rFonts w:ascii="黑体" w:eastAsia="黑体" w:cs="黑体" w:hint="eastAsia"/>
        </w:rPr>
        <w:t>第五部分 附表</w:t>
      </w:r>
      <w:bookmarkEnd w:id="73"/>
      <w:bookmarkEnd w:id="74"/>
      <w:bookmarkEnd w:id="75"/>
      <w:bookmarkEnd w:id="76"/>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一、收入支出决算总表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二、收入决算表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三、支出决算表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四、财政拨款收入支出决算总表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五、财政拨款支出决算明细表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六、一般公共预算财政拨款支出决算表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七、一般公共预算财政拨款支出决算明细表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八、一般公共预算财政拨款基本支出决算表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九、一般公共预算财政拨款项目支出决算表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十、政府性基金预算财政拨款收入支出决算表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十一、国有资本经营预算财政拨款收入支出决算表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十二、国有资本经营预算财政拨款支出决算表</w:t>
      </w:r>
    </w:p>
    <w:p>
      <w:pPr>
        <w:pStyle w:val="2"/>
        <w:ind w:firstLineChars="200" w:firstLine="640"/>
        <w:rPr>
          <w:rFonts w:ascii="仿宋" w:eastAsia="仿宋" w:cs="仿宋" w:hint="eastAsia"/>
          <w:b w:val="0"/>
          <w:bCs/>
          <w:color w:val="000000"/>
        </w:rPr>
      </w:pPr>
      <w:r>
        <w:rPr>
          <w:rFonts w:ascii="仿宋" w:eastAsia="仿宋" w:cs="仿宋" w:hint="eastAsia"/>
          <w:b w:val="0"/>
          <w:bCs/>
          <w:color w:val="000000"/>
        </w:rPr>
        <w:t>十三、财政拨款“三公”经费支出决算表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00" w:usb3="00000000" w:csb0="00040000" w:csb1="00000000"/>
  </w:font>
  <w:font w:name="Times New Roman">
    <w:panose1 w:val="02020603050405020304"/>
    <w:charset w:val="88"/>
    <w:family w:val="auto"/>
    <w:pitch w:val="variable"/>
    <w:sig w:usb0="E0002EFF" w:usb1="C000785B" w:usb2="00000009" w:usb3="00000000" w:csb0="400001FF" w:csb1="FFFF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楷体">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EFF" w:usb1="C000785B" w:usb2="00000009" w:usb3="00000000" w:csb0="400001FF" w:csb1="FFFF0000"/>
  </w:font>
  <w:font w:name="Cambria">
    <w:altName w:val="DejaVu Sans"/>
    <w:panose1 w:val="02040503050406030204"/>
    <w:charset w:val="00"/>
    <w:family w:val="roman"/>
    <w:pitch w:val="variable"/>
    <w:sig w:usb0="A00002EF" w:usb1="4000004B" w:usb2="00000000" w:usb3="00000000" w:csb0="2000009F" w:csb1="00000000"/>
  </w:font>
  <w:font w:name="??">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668041050"/>
    </w:sdtPr>
    <w:sdtContent>
      <w:p>
        <w:pPr>
          <w:pStyle w:val="23"/>
          <w:tabs>
            <w:tab w:val="center" w:pos="4153"/>
            <w:tab w:val="right" w:pos="8306"/>
          </w:tabs>
          <w:jc w:val="center"/>
        </w:pPr>
        <w:r>
          <w:fldChar w:fldCharType="begin"/>
        </w:r>
        <w:r>
          <w:instrText>PAGE   \* MERGEFORMAT</w:instrText>
        </w:r>
        <w:r>
          <w:fldChar w:fldCharType="separate"/>
        </w:r>
        <w:r>
          <w:rPr>
            <w:lang w:val="zh-CN"/>
          </w:rPr>
          <w:t>4</w:t>
        </w:r>
        <w:r>
          <w:fldChar w:fldCharType="end"/>
        </w:r>
      </w:p>
    </w:sdtContent>
  </w:sdt>
  <w:p>
    <w:pPr>
      <w:pStyle w:val="23"/>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4"/>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9EE130AC"/>
    <w:multiLevelType w:val="singleLevel"/>
    <w:tmpl w:val="9EE130AC"/>
    <w:lvl w:ilvl="0">
      <w:start w:val="3"/>
      <w:numFmt w:val="chineseCounting"/>
      <w:lvlRestart w:val="0"/>
      <w:suff w:val="nothing"/>
      <w:lvlText w:val="%1、"/>
      <w:lvlJc w:val="left"/>
      <w:pPr>
        <w:ind w:left="0" w:hanging="0"/>
      </w:pPr>
      <w:rPr>
        <w:rFonts w:hint="eastAsia"/>
      </w:rPr>
    </w:lvl>
  </w:abstractNum>
  <w:abstractNum w:abstractNumId="1">
    <w:nsid w:val="00ADF0D4"/>
    <w:multiLevelType w:val="singleLevel"/>
    <w:tmpl w:val="00ADF0D4"/>
    <w:lvl w:ilvl="0">
      <w:start w:val="4"/>
      <w:numFmt w:val="chineseCounting"/>
      <w:lvlRestart w:val="0"/>
      <w:suff w:val="space"/>
      <w:lvlText w:val="第%1部分"/>
      <w:lvlJc w:val="left"/>
      <w:pPr>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5"/>
  </w:compat>
  <w:docVars>
    <w:docVar w:name="commondata" w:val="eyJoZGlkIjoiYmI1NTE3MmM5ZTIwMjIxMjBkMzE2MWVjNTIzYmY0YTk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pPr>
      <w:keepNext/>
      <w:keepLines/>
      <w:widowControl w:val="0"/>
      <w:spacing w:before="260" w:after="260" w:line="415" w:lineRule="auto"/>
      <w:outlineLvl w:val="1"/>
    </w:pPr>
    <w:rPr>
      <w:rFonts w:ascii="Cambria" w:eastAsia="宋体" w:cs="Times New Roman" w:hAnsi="Cambria"/>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Indent"/>
    <w:basedOn w:val="0"/>
    <w:pPr>
      <w:spacing w:after="120"/>
      <w:ind w:leftChars="200" w:left="200"/>
    </w:pPr>
  </w:style>
  <w:style w:type="paragraph" w:styleId="16">
    <w:name w:val="Body Text First Indent 2"/>
    <w:basedOn w:val="15"/>
    <w:pPr>
      <w:ind w:firstLineChars="200" w:firstLine="200"/>
    </w:pPr>
    <w:rPr>
      <w:szCs w:val="20"/>
    </w:rPr>
  </w:style>
  <w:style w:type="paragraph" w:styleId="17">
    <w:name w:val="Normal Indent"/>
    <w:basedOn w:val="0"/>
    <w:pPr>
      <w:ind w:firstLineChars="200" w:firstLine="200"/>
    </w:pPr>
  </w:style>
  <w:style w:type="paragraph" w:styleId="18">
    <w:name w:val="toa heading"/>
    <w:next w:val="0"/>
    <w:pPr>
      <w:spacing w:before="120"/>
      <w:jc w:val="both"/>
      <w:textAlignment w:val="baseline"/>
    </w:pPr>
    <w:rPr>
      <w:rFonts w:ascii="Arial" w:eastAsia="宋体" w:cs="Arial" w:hAnsi="Arial"/>
      <w:kern w:val="2"/>
      <w:sz w:val="24"/>
      <w:szCs w:val="24"/>
      <w:lang w:val="en-US" w:eastAsia="zh-CN" w:bidi="ar-SA"/>
    </w:rPr>
  </w:style>
  <w:style w:type="paragraph" w:styleId="19">
    <w:name w:val="annotation text"/>
    <w:basedOn w:val="0"/>
    <w:pPr>
      <w:jc w:val="left"/>
    </w:pPr>
  </w:style>
  <w:style w:type="paragraph" w:styleId="20">
    <w:name w:val="Body Text"/>
    <w:basedOn w:val="0"/>
    <w:pPr>
      <w:spacing w:beforeLines="30" w:before="30"/>
    </w:pPr>
    <w:rPr>
      <w:rFonts w:ascii="仿宋_GB2312" w:eastAsia="仿宋_GB2312"/>
      <w:kern w:val="0"/>
      <w:sz w:val="30"/>
    </w:rPr>
  </w:style>
  <w:style w:type="paragraph" w:styleId="21">
    <w:name w:val="toc 3"/>
    <w:basedOn w:val="0"/>
    <w:next w:val="0"/>
    <w:pPr>
      <w:tabs>
        <w:tab w:val="right" w:leader="dot" w:pos="8296"/>
      </w:tabs>
      <w:ind w:leftChars="400" w:left="400"/>
    </w:pPr>
  </w:style>
  <w:style w:type="paragraph" w:styleId="22">
    <w:name w:val="Balloon Text"/>
    <w:basedOn w:val="0"/>
    <w:rPr>
      <w:sz w:val="18"/>
      <w:szCs w:val="18"/>
    </w:rPr>
  </w:style>
  <w:style w:type="paragraph" w:styleId="23">
    <w:name w:val="footer"/>
    <w:basedOn w:val="0"/>
    <w:pPr>
      <w:tabs>
        <w:tab w:val="center" w:pos="4153"/>
        <w:tab w:val="right" w:pos="8306"/>
      </w:tabs>
      <w:snapToGrid w:val="0"/>
      <w:jc w:val="left"/>
    </w:pPr>
    <w:rPr>
      <w:sz w:val="18"/>
      <w:szCs w:val="18"/>
    </w:rPr>
  </w:style>
  <w:style w:type="paragraph" w:styleId="24">
    <w:name w:val="header"/>
    <w:basedOn w:val="0"/>
    <w:pPr>
      <w:pBdr>
        <w:bottom w:val="single" w:sz="6" w:space="1" w:color="auto"/>
      </w:pBdr>
      <w:tabs>
        <w:tab w:val="center" w:pos="4153"/>
        <w:tab w:val="right" w:pos="8306"/>
      </w:tabs>
      <w:snapToGrid w:val="0"/>
      <w:jc w:val="center"/>
    </w:pPr>
    <w:rPr>
      <w:sz w:val="18"/>
      <w:szCs w:val="18"/>
    </w:rPr>
  </w:style>
  <w:style w:type="paragraph" w:styleId="25">
    <w:name w:val="toc 1"/>
    <w:basedOn w:val="0"/>
    <w:next w:val="0"/>
    <w:pPr>
      <w:tabs>
        <w:tab w:val="right" w:leader="dot" w:pos="8296"/>
      </w:tabs>
      <w:spacing w:before="93"/>
      <w:jc w:val="center"/>
    </w:pPr>
    <w:rPr>
      <w:rFonts w:ascii="仿宋" w:eastAsia="仿宋"/>
      <w:sz w:val="28"/>
      <w:szCs w:val="28"/>
    </w:rPr>
  </w:style>
  <w:style w:type="paragraph" w:styleId="26">
    <w:name w:val="table of figures"/>
    <w:basedOn w:val="0"/>
    <w:next w:val="0"/>
    <w:pPr>
      <w:ind w:leftChars="200" w:left="400" w:hangingChars="200" w:hanging="200"/>
    </w:pPr>
  </w:style>
  <w:style w:type="paragraph" w:styleId="27">
    <w:name w:val="toc 2"/>
    <w:basedOn w:val="0"/>
    <w:next w:val="0"/>
    <w:pPr>
      <w:tabs>
        <w:tab w:val="right" w:leader="dot" w:pos="8296"/>
      </w:tabs>
      <w:ind w:leftChars="200" w:left="200"/>
    </w:pPr>
  </w:style>
  <w:style w:type="paragraph" w:styleId="28">
    <w:name w:val="Normal (Web)"/>
    <w:basedOn w:val="0"/>
    <w:pPr>
      <w:spacing w:beforeAutospacing="1" w:afterAutospacing="1"/>
      <w:jc w:val="left"/>
    </w:pPr>
    <w:rPr>
      <w:kern w:val="0"/>
      <w:sz w:val="24"/>
    </w:rPr>
  </w:style>
  <w:style w:type="character" w:styleId="29">
    <w:name w:val="Strong"/>
    <w:basedOn w:val="10"/>
    <w:rPr>
      <w:b/>
    </w:rPr>
  </w:style>
  <w:style w:type="character" w:styleId="30">
    <w:name w:val="Hyperlink"/>
    <w:basedOn w:val="10"/>
    <w:rPr>
      <w:color w:val="0000FF"/>
      <w:u w:val="single"/>
    </w:rPr>
  </w:style>
  <w:style w:type="character" w:styleId="31">
    <w:name w:val="annotation reference"/>
    <w:basedOn w:val="10"/>
    <w:rPr>
      <w:sz w:val="21"/>
      <w:szCs w:val="21"/>
    </w:rPr>
  </w:style>
  <w:style w:type="paragraph" w:customStyle="1" w:styleId="32">
    <w:name w:val="Default"/>
    <w:pPr>
      <w:widowControl w:val="0"/>
      <w:autoSpaceDE w:val="0"/>
      <w:autoSpaceDN w:val="0"/>
      <w:adjustRightInd w:val="0"/>
    </w:pPr>
    <w:rPr>
      <w:rFonts w:ascii="仿宋" w:eastAsia="仿宋" w:cs="仿宋"/>
      <w:color w:val="000000"/>
      <w:sz w:val="24"/>
      <w:szCs w:val="24"/>
      <w:lang w:val="en-US" w:eastAsia="zh-CN" w:bidi="ar-SA"/>
    </w:rPr>
  </w:style>
  <w:style w:type="character" w:customStyle="1" w:styleId="33">
    <w:name w:val="Header Char"/>
    <w:basedOn w:val="10"/>
    <w:rPr>
      <w:rFonts w:ascii="Times New Roman" w:hAnsi="Times New Roman"/>
      <w:sz w:val="18"/>
      <w:szCs w:val="18"/>
    </w:rPr>
  </w:style>
  <w:style w:type="character" w:customStyle="1" w:styleId="34">
    <w:name w:val="Footer Char"/>
    <w:basedOn w:val="10"/>
    <w:rPr>
      <w:rFonts w:ascii="Times New Roman" w:hAnsi="Times New Roman"/>
      <w:sz w:val="18"/>
      <w:szCs w:val="18"/>
    </w:rPr>
  </w:style>
  <w:style w:type="character" w:customStyle="1" w:styleId="35">
    <w:name w:val="Body Text Char"/>
    <w:basedOn w:val="10"/>
    <w:rPr>
      <w:rFonts w:ascii="Times New Roman" w:hAnsi="Times New Roman"/>
      <w:szCs w:val="24"/>
    </w:rPr>
  </w:style>
  <w:style w:type="paragraph" w:styleId="36">
    <w:name w:val="List Paragraph"/>
    <w:basedOn w:val="0"/>
    <w:pPr>
      <w:ind w:firstLineChars="200" w:firstLine="200"/>
    </w:pPr>
  </w:style>
  <w:style w:type="paragraph" w:customStyle="1" w:styleId="37">
    <w:name w:val="TOC 标题1"/>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 w:type="paragraph" w:customStyle="1" w:styleId="38">
    <w:name w:val="TOC 标题11"/>
    <w:basedOn w:val="1"/>
    <w:next w:val="0"/>
    <w:pPr>
      <w:spacing w:before="480" w:after="0" w:line="276" w:lineRule="auto"/>
      <w:outlineLvl w:val="9"/>
    </w:pPr>
    <w:rPr>
      <w:rFonts w:ascii="仿宋" w:hAnsi="仿宋"/>
      <w:color w:val="000000"/>
      <w:kern w:val="0"/>
      <w:szCs w:val="32"/>
    </w:rPr>
  </w:style>
  <w:style w:type="paragraph" w:customStyle="1" w:styleId="39">
    <w:name w:val="TOC 标题12"/>
    <w:basedOn w:val="1"/>
    <w:next w:val="0"/>
    <w:pPr>
      <w:spacing w:before="480" w:after="0" w:line="276" w:lineRule="auto"/>
      <w:outlineLvl w:val="9"/>
    </w:pPr>
    <w:rPr>
      <w:rFonts w:ascii="仿宋" w:hAnsi="仿宋"/>
      <w:color w:val="000000"/>
      <w:kern w:val="0"/>
      <w:szCs w:val="32"/>
    </w:rPr>
  </w:style>
  <w:style w:type="paragraph" w:customStyle="1" w:styleId="40">
    <w:name w:val="四号正文"/>
    <w:pPr>
      <w:widowControl w:val="0"/>
      <w:spacing w:line="360" w:lineRule="auto"/>
      <w:jc w:val="both"/>
    </w:pPr>
    <w:rPr>
      <w:rFonts w:ascii="??" w:eastAsia="宋体" w:cs="Times New Roman" w:hAnsi="??"/>
      <w:color w:val="000000"/>
      <w:kern w:val="0"/>
      <w:sz w:val="28"/>
      <w:szCs w:val="21"/>
      <w:lang w:val="zh-CN"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收、支决算总计变动情况图</a:t>
            </a:r>
          </a:p>
        </c:rich>
      </c:tx>
      <c:layout/>
      <c:overlay val="0"/>
      <c:spPr>
        <a:ln>
          <a:noFill/>
        </a:ln>
      </c:spPr>
    </c:title>
    <c:autoTitleDeleted val="1"/>
    <c:plotArea>
      <c:layout>
        <c:manualLayout>
          <c:layoutTarget val="inner"/>
          <c:xMode val="edge"/>
          <c:yMode val="edge"/>
          <c:x val="0.05598162"/>
          <c:y val="0.24786511"/>
          <c:w val="0.800713"/>
          <c:h val="0.65402776"/>
        </c:manualLayout>
      </c:layout>
      <c:barChart>
        <c:barDir val="col"/>
        <c:grouping val="clustered"/>
        <c:varyColors val="0"/>
        <c:ser>
          <c:idx val="1"/>
          <c:order val="0"/>
          <c:tx>
            <c:v>收入</c:v>
          </c:tx>
          <c:spPr>
            <a:solidFill>
              <a:srgbClr val="C0504D"/>
            </a:solidFill>
            <a:ln>
              <a:noFill/>
            </a:ln>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919.72</c:v>
                </c:pt>
              </c:numCache>
            </c:numRef>
          </c:val>
        </c:ser>
        <c:ser>
          <c:idx val="2"/>
          <c:order val="1"/>
          <c:tx>
            <c:v>支出</c:v>
          </c:tx>
          <c:spPr>
            <a:solidFill>
              <a:srgbClr val="9BBB59"/>
            </a:solidFill>
            <a:ln>
              <a:noFill/>
            </a:ln>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919.72</c:v>
                </c:pt>
              </c:numCache>
            </c:numRef>
          </c:val>
        </c:ser>
        <c:gapWidth val="41"/>
        <c:axId val="0"/>
        <c:axId val="1"/>
      </c:barChart>
      <c:catAx>
        <c:axId val="0"/>
        <c:scaling>
          <c:orientation val="minMax"/>
        </c:scaling>
        <c:delete val="0"/>
        <c:axPos val="b"/>
        <c:numFmt formatCode="General" sourceLinked="0"/>
        <c:title>
          <c:tx>
            <c:rich>
              <a:bodyPr rot="0" vert="horz" anchor="t" anchorCtr="0"/>
              <a:lstStyle/>
              <a:p>
                <a:pPr>
                  <a:defRPr sz="1000" b="1" i="0" u="none" strike="noStrike" baseline="0">
                    <a:solidFill>
                      <a:srgbClr val="000000"/>
                    </a:solidFill>
                    <a:latin typeface="Times New Roman"/>
                    <a:ea typeface="宋体"/>
                    <a:cs typeface="Lucida Sans"/>
                  </a:defRPr>
                </a:pPr>
                <a:r>
                  <a:rPr lang="zh-CN"/>
                  <a:t>单位：万元</a:t>
                </a:r>
              </a:p>
            </c:rich>
          </c:tx>
          <c:layout/>
          <c:overlay val="0"/>
          <c:spPr>
            <a:ln>
              <a:noFill/>
            </a:ln>
          </c:spPr>
        </c:title>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1"/>
        <c:axPos val="l"/>
        <c:title>
          <c:tx>
            <c:rich>
              <a:bodyPr rot="-5400000" vert="horz" anchor="t" anchorCtr="0"/>
              <a:lstStyle/>
              <a:p>
                <a:pPr>
                  <a:defRPr sz="1000" b="1" i="0" u="none" strike="noStrike" baseline="0">
                    <a:solidFill>
                      <a:srgbClr val="000000"/>
                    </a:solidFill>
                    <a:latin typeface="Times New Roman"/>
                    <a:ea typeface="宋体"/>
                    <a:cs typeface="Lucida Sans"/>
                  </a:defRPr>
                </a:pPr>
                <a:r>
                  <a:rPr lang="zh-CN"/>
                  <a:t> </a:t>
                </a:r>
              </a:p>
            </c:rich>
          </c:tx>
          <c:layout/>
          <c:overlay val="0"/>
          <c:spPr>
            <a:ln>
              <a:noFill/>
            </a:ln>
          </c:spPr>
        </c:title>
        <c:numFmt formatCode="General" sourceLinked="1"/>
        <c:majorTickMark val="none"/>
        <c:minorTickMark val="none"/>
        <c:tickLblPos val="none"/>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a:ln>
          <a:noFill/>
        </a:ln>
      </c:spPr>
    </c:plotArea>
    <c:legend>
      <c:legendPos val="r"/>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gradFill rotWithShape="1">
      <a:gsLst>
        <a:gs pos="0">
          <a:srgbClr val="FFFFFF">
            <a:alpha val="100000"/>
          </a:srgbClr>
        </a:gs>
        <a:gs pos="68000">
          <a:srgbClr val="D9D9D9">
            <a:alpha val="100000"/>
          </a:srgbClr>
        </a:gs>
        <a:gs pos="100000">
          <a:srgbClr val="FFFFFF">
            <a:alpha val="100000"/>
          </a:srgbClr>
        </a:gs>
      </a:gsLst>
      <a:lin ang="5400000" scaled="1"/>
    </a:gra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收入决算结构图</a:t>
            </a:r>
          </a:p>
        </c:rich>
      </c:tx>
      <c:layout/>
      <c:overlay val="0"/>
      <c:spPr>
        <a:ln>
          <a:noFill/>
        </a:ln>
      </c:spPr>
    </c:title>
    <c:autoTitleDeleted val="1"/>
    <c:plotArea>
      <c:layout/>
      <c:pieChart>
        <c:varyColors val="1"/>
        <c:ser>
          <c:idx val="1"/>
          <c:order val="0"/>
          <c:spPr>
            <a:ln>
              <a:noFill/>
            </a:ln>
          </c:spPr>
          <c:dPt>
            <c:idx val="0"/>
            <c:bubble3D val="0"/>
            <c:spPr>
              <a:solidFill>
                <a:srgbClr val="4572A7"/>
              </a:solidFill>
            </c:spPr>
          </c:dPt>
          <c:dPt>
            <c:idx val="1"/>
            <c:bubble3D val="0"/>
            <c:spPr>
              <a:solidFill>
                <a:srgbClr val="AA4643"/>
              </a:solidFill>
            </c:spPr>
          </c:dPt>
          <c:dPt>
            <c:idx val="2"/>
            <c:bubble3D val="0"/>
            <c:spPr>
              <a:solidFill>
                <a:srgbClr val="89A54E"/>
              </a:solidFill>
            </c:spPr>
          </c:dPt>
          <c:dPt>
            <c:idx val="3"/>
            <c:bubble3D val="0"/>
            <c:spPr>
              <a:solidFill>
                <a:srgbClr val="71588F"/>
              </a:solidFill>
            </c:spPr>
          </c:dPt>
          <c:dPt>
            <c:idx val="4"/>
            <c:bubble3D val="0"/>
            <c:spPr>
              <a:solidFill>
                <a:srgbClr val="4198AF"/>
              </a:solidFill>
            </c:spPr>
          </c:dPt>
          <c:dPt>
            <c:idx val="5"/>
            <c:bubble3D val="0"/>
            <c:spPr>
              <a:solidFill>
                <a:srgbClr val="DB843D"/>
              </a:solidFill>
            </c:spPr>
          </c:dPt>
          <c:dPt>
            <c:idx val="6"/>
            <c:bubble3D val="0"/>
            <c:spPr>
              <a:solidFill>
                <a:srgbClr val="93A9CF"/>
              </a:solidFill>
            </c:spPr>
          </c:dPt>
          <c:dPt>
            <c:idx val="7"/>
            <c:bubble3D val="0"/>
            <c:spPr>
              <a:solidFill>
                <a:srgbClr val="D19392"/>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0%" sourceLinked="0"/>
            <c:showLegendKey val="0"/>
            <c:showVal val="0"/>
            <c:showCatName val="0"/>
            <c:showSerName val="0"/>
            <c:showPercent val="1"/>
            <c:showBubbleSize val="0"/>
            <c:showLeaderLines val="1"/>
          </c:dLbls>
          <c:cat>
            <c:strLit>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Lit>
          </c:cat>
          <c:val>
            <c:numRef>
              <c:f/>
              <c:numCache>
                <c:formatCode>General</c:formatCode>
                <c:ptCount val="8"/>
                <c:pt idx="0">
                  <c:v>9083228.24</c:v>
                </c:pt>
                <c:pt idx="1">
                  <c:v>114000.0</c:v>
                </c:pt>
                <c:pt idx="2">
                  <c:v>0.0</c:v>
                </c:pt>
                <c:pt idx="3">
                  <c:v>0.0</c:v>
                </c:pt>
                <c:pt idx="4">
                  <c:v>0.0</c:v>
                </c:pt>
                <c:pt idx="5">
                  <c:v>0.0</c:v>
                </c:pt>
                <c:pt idx="6">
                  <c:v>0.0</c:v>
                </c:pt>
                <c:pt idx="7">
                  <c:v>0.0</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Times New Roman"/>
              <a:ea typeface="宋体"/>
              <a:cs typeface="Lucida Sans"/>
            </a:defRPr>
          </a:pPr>
          <a:endParaRPr lang="zh-CN"/>
        </a:p>
      </c:txP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
    <c:plotVisOnly val="1"/>
    <c:dispBlanksAs val="zero"/>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支出决算结构图</a:t>
            </a:r>
          </a:p>
        </c:rich>
      </c:tx>
      <c:layout/>
      <c:overlay val="0"/>
      <c:spPr>
        <a:ln>
          <a:noFill/>
        </a:ln>
      </c:spPr>
    </c:title>
    <c:autoTitleDeleted val="1"/>
    <c:plotArea>
      <c:layout/>
      <c:pieChart>
        <c:varyColors val="1"/>
        <c:ser>
          <c:idx val="1"/>
          <c:order val="0"/>
          <c:spPr>
            <a:ln>
              <a:noFill/>
            </a:ln>
          </c:spPr>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0%" sourceLinked="0"/>
            <c:showLegendKey val="0"/>
            <c:showVal val="0"/>
            <c:showCatName val="0"/>
            <c:showSerName val="0"/>
            <c:showPercent val="1"/>
            <c:showBubbleSize val="0"/>
            <c:showLeaderLines val="1"/>
          </c:dLbls>
          <c:cat>
            <c:strLit>
              <c:ptCount val="5"/>
              <c:pt idx="0">
                <c:v>基本支出</c:v>
              </c:pt>
              <c:pt idx="1">
                <c:v>项目支出</c:v>
              </c:pt>
              <c:pt idx="2">
                <c:v>上缴上级支出</c:v>
              </c:pt>
              <c:pt idx="3">
                <c:v>经营支出</c:v>
              </c:pt>
              <c:pt idx="4">
                <c:v>对附属单位补助支出</c:v>
              </c:pt>
            </c:strLit>
          </c:cat>
          <c:val>
            <c:numRef>
              <c:f/>
              <c:numCache>
                <c:formatCode>General</c:formatCode>
                <c:ptCount val="5"/>
                <c:pt idx="0">
                  <c:v>5769738.24</c:v>
                </c:pt>
                <c:pt idx="1">
                  <c:v>3427490.0</c:v>
                </c:pt>
                <c:pt idx="2">
                  <c:v>0.0</c:v>
                </c:pt>
                <c:pt idx="3">
                  <c:v>0.0</c:v>
                </c:pt>
                <c:pt idx="4">
                  <c:v>0.0</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Times New Roman"/>
              <a:ea typeface="宋体"/>
              <a:cs typeface="Lucida Sans"/>
            </a:defRPr>
          </a:pPr>
          <a:endParaRPr lang="zh-CN"/>
        </a:p>
      </c:txPr>
      <c:legendEntry>
        <c:idx val="2"/>
        <c:delete val="1"/>
      </c:legendEntry>
      <c:legendEntry>
        <c:idx val="3"/>
        <c:delete val="1"/>
      </c:legendEntry>
      <c:legendEntry>
        <c:idx val="4"/>
        <c:delete val="1"/>
      </c:legendEntry>
    </c:legend>
    <c:plotVisOnly val="1"/>
    <c:dispBlanksAs val="zero"/>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1F497D"/>
                </a:solidFill>
                <a:latin typeface="Times New Roman"/>
                <a:ea typeface="宋体"/>
                <a:cs typeface="Lucida Sans"/>
              </a:defRPr>
            </a:pPr>
            <a:r>
              <a:rPr lang="zh-CN"/>
              <a:t>财政拨款收、支决算总计变动情况</a:t>
            </a:r>
          </a:p>
        </c:rich>
      </c:tx>
      <c:layout/>
      <c:overlay val="0"/>
      <c:spPr>
        <a:noFill/>
        <a:ln>
          <a:noFill/>
        </a:ln>
      </c:spPr>
    </c:title>
    <c:autoTitleDeleted val="1"/>
    <c:plotArea>
      <c:layout/>
      <c:barChart>
        <c:barDir val="col"/>
        <c:grouping val="clustered"/>
        <c:varyColors val="0"/>
        <c:ser>
          <c:idx val="1"/>
          <c:order val="0"/>
          <c:tx>
            <c:v>收入</c:v>
          </c:tx>
          <c:spPr>
            <a:solidFill>
              <a:srgbClr val="C0504D"/>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919.72</c:v>
                </c:pt>
              </c:numCache>
            </c:numRef>
          </c:val>
        </c:ser>
        <c:ser>
          <c:idx val="2"/>
          <c:order val="1"/>
          <c:tx>
            <c:v>支出</c:v>
          </c:tx>
          <c:spPr>
            <a:solidFill>
              <a:srgbClr val="9BBB59"/>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numRef>
              <c:numCache>
                <c:ptCount val="2"/>
                <c:pt idx="0">
                  <c:v>2021</c:v>
                </c:pt>
                <c:pt idx="1">
                  <c:v>2022</c:v>
                </c:pt>
              </c:numCache>
            </c:numRef>
          </c:cat>
          <c:val>
            <c:numRef>
              <c:f/>
              <c:numCache>
                <c:formatCode>General</c:formatCode>
                <c:ptCount val="2"/>
                <c:pt idx="0">
                  <c:v>1454.25</c:v>
                </c:pt>
                <c:pt idx="1">
                  <c:v>919.72</c:v>
                </c:pt>
              </c:numCache>
            </c:numRef>
          </c:val>
        </c:ser>
        <c:overlap val="-24"/>
        <c:gapWidth val="100"/>
        <c:axId val="0"/>
        <c:axId val="1"/>
      </c:barChart>
      <c:catAx>
        <c:axId val="0"/>
        <c:scaling>
          <c:orientation val="minMax"/>
        </c:scaling>
        <c:delete val="0"/>
        <c:axPos val="b"/>
        <c:numFmt formatCode="General" sourceLinked="0"/>
        <c:title>
          <c:tx>
            <c:rich>
              <a:bodyPr rot="0" vert="horz" anchor="t" anchorCtr="0"/>
              <a:lstStyle/>
              <a:p>
                <a:pPr>
                  <a:defRPr sz="1000" b="1" i="0" u="none" strike="noStrike" baseline="0">
                    <a:solidFill>
                      <a:srgbClr val="000000"/>
                    </a:solidFill>
                    <a:latin typeface="Times New Roman"/>
                    <a:ea typeface="宋体"/>
                    <a:cs typeface="Lucida Sans"/>
                  </a:defRPr>
                </a:pPr>
                <a:r>
                  <a:rPr lang="zh-CN"/>
                  <a:t>单位：万元</a:t>
                </a:r>
              </a:p>
            </c:rich>
          </c:tx>
          <c:layout/>
          <c:overlay val="0"/>
          <c:spPr>
            <a:ln>
              <a:noFill/>
            </a:ln>
          </c:spPr>
        </c:title>
        <c:majorTickMark val="none"/>
        <c:minorTickMark val="none"/>
        <c:tickLblPos val="nextTo"/>
        <c:spPr>
          <a:ln w="6350">
            <a:solidFill>
              <a:srgbClr val="D4E3F4"/>
            </a:solidFill>
            <a:prstDash val="solid"/>
          </a:ln>
        </c:spPr>
        <c:txPr>
          <a:bodyPr/>
          <a:lstStyle/>
          <a:p>
            <a:pPr>
              <a:defRPr sz="900" b="0" i="0" u="none" strike="noStrike" baseline="0">
                <a:solidFill>
                  <a:srgbClr val="1F497D"/>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4E3F4"/>
              </a:solidFill>
              <a:prstDash val="solid"/>
            </a:ln>
          </c:spPr>
        </c:majorGridlines>
        <c:title>
          <c:tx>
            <c:rich>
              <a:bodyPr rot="-5400000" vert="horz" anchor="t" anchorCtr="0"/>
              <a:lstStyle/>
              <a:p>
                <a:pPr>
                  <a:defRPr sz="1000" b="1" i="0" u="none" strike="noStrike" baseline="0">
                    <a:solidFill>
                      <a:srgbClr val="000000"/>
                    </a:solidFill>
                    <a:latin typeface="Times New Roman"/>
                    <a:ea typeface="宋体"/>
                    <a:cs typeface="Lucida Sans"/>
                  </a:defRPr>
                </a:pPr>
                <a:r>
                  <a:rPr lang="zh-CN"/>
                  <a:t> </a:t>
                </a:r>
              </a:p>
            </c:rich>
          </c:tx>
          <c:layout/>
          <c:overlay val="0"/>
          <c:spPr>
            <a:ln>
              <a:noFill/>
            </a:ln>
          </c:spPr>
        </c:title>
        <c:numFmt formatCode="General" sourceLinked="1"/>
        <c:majorTickMark val="none"/>
        <c:minorTickMark val="none"/>
        <c:tickLblPos val="nextTo"/>
        <c:spPr>
          <a:ln>
            <a:noFill/>
          </a:ln>
        </c:spPr>
        <c:txPr>
          <a:bodyPr/>
          <a:lstStyle/>
          <a:p>
            <a:pPr>
              <a:defRPr sz="900" b="0" i="0" u="none" strike="noStrike" baseline="0">
                <a:solidFill>
                  <a:srgbClr val="1F497D"/>
                </a:solidFill>
                <a:latin typeface="Times New Roman"/>
                <a:ea typeface="宋体"/>
                <a:cs typeface="Lucida Sans"/>
              </a:defRPr>
            </a:pPr>
            <a:endParaRPr lang="zh-CN"/>
          </a:p>
        </c:txPr>
        <c:crossesAt val="1.0"/>
        <c:crossBetween val="between"/>
        <c:crossAx val="0"/>
      </c:valAx>
      <c:spPr>
        <a:noFill/>
        <a:ln>
          <a:noFill/>
        </a:ln>
      </c:spPr>
    </c:plotArea>
    <c:legend>
      <c:legendPos val="r"/>
      <c:layout/>
      <c:overlay val="0"/>
      <c:spPr>
        <a:noFill/>
        <a:ln>
          <a:noFill/>
        </a:ln>
      </c:spPr>
      <c:txPr>
        <a:bodyPr/>
        <a:lstStyle/>
        <a:p>
          <a:pPr>
            <a:defRPr sz="900" b="0" i="0" u="none" strike="noStrike" baseline="0">
              <a:solidFill>
                <a:srgbClr val="1F497D"/>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4E3F4"/>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595959"/>
                </a:solidFill>
                <a:latin typeface="Times New Roman"/>
                <a:ea typeface="宋体"/>
                <a:cs typeface="Lucida Sans"/>
              </a:defRPr>
            </a:pPr>
            <a:r>
              <a:rPr lang="zh-CN"/>
              <a:t>一般公共预算财政拨款支出</a:t>
            </a:r>
          </a:p>
        </c:rich>
      </c:tx>
      <c:layout/>
      <c:overlay val="0"/>
      <c:spPr>
        <a:noFill/>
        <a:ln>
          <a:noFill/>
        </a:ln>
      </c:spPr>
    </c:title>
    <c:autoTitleDeleted val="1"/>
    <c:plotArea>
      <c:layout>
        <c:manualLayout>
          <c:layoutTarget val="inner"/>
          <c:xMode val="edge"/>
          <c:yMode val="edge"/>
          <c:x val="0.07363331"/>
          <c:y val="0.19958287"/>
          <c:w val="0.76762366"/>
          <c:h val="0.7085065"/>
        </c:manualLayout>
      </c:layout>
      <c:barChart>
        <c:barDir val="col"/>
        <c:grouping val="clustered"/>
        <c:varyColors val="0"/>
        <c:ser>
          <c:idx val="1"/>
          <c:order val="0"/>
          <c:tx>
            <c:v>2021</c:v>
          </c:tx>
          <c:spPr>
            <a:solidFill>
              <a:srgbClr val="C0504D"/>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strLit>
              <c:ptCount val="1"/>
              <c:pt idx="0">
                <c:v>一般公共预算财政拨款支出</c:v>
              </c:pt>
            </c:strLit>
          </c:cat>
          <c:val>
            <c:numRef>
              <c:f/>
              <c:numCache>
                <c:formatCode>General</c:formatCode>
                <c:ptCount val="1"/>
                <c:pt idx="0">
                  <c:v>1277.55</c:v>
                </c:pt>
              </c:numCache>
            </c:numRef>
          </c:val>
        </c:ser>
        <c:ser>
          <c:idx val="2"/>
          <c:order val="1"/>
          <c:tx>
            <c:v>2022</c:v>
          </c:tx>
          <c:spPr>
            <a:solidFill>
              <a:srgbClr val="9BBB59"/>
            </a:solidFill>
          </c:spPr>
          <c:invertIfNegative val="0"/>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dLblPos val="outEnd"/>
            <c:showLegendKey val="0"/>
            <c:showVal val="1"/>
            <c:showCatName val="0"/>
            <c:showSerName val="0"/>
            <c:showPercent val="0"/>
            <c:showBubbleSize val="0"/>
            <c:showLeaderLines val="0"/>
          </c:dLbls>
          <c:cat>
            <c:strLit>
              <c:ptCount val="1"/>
              <c:pt idx="0">
                <c:v>一般公共预算财政拨款支出</c:v>
              </c:pt>
            </c:strLit>
          </c:cat>
          <c:val>
            <c:numRef>
              <c:f/>
              <c:numCache>
                <c:formatCode>General</c:formatCode>
                <c:ptCount val="1"/>
                <c:pt idx="0">
                  <c:v>908.32</c:v>
                </c:pt>
              </c:numCache>
            </c:numRef>
          </c:val>
        </c:ser>
        <c:overlap val="-24"/>
        <c:gapWidth val="100"/>
        <c:axId val="0"/>
        <c:axId val="1"/>
      </c:barChart>
      <c:catAx>
        <c:axId val="0"/>
        <c:scaling>
          <c:orientation val="minMax"/>
        </c:scaling>
        <c:delete val="1"/>
        <c:axPos val="b"/>
        <c:numFmt formatCode="General" sourceLinked="0"/>
        <c:title>
          <c:tx>
            <c:rich>
              <a:bodyPr rot="0" vert="horz" anchor="t" anchorCtr="0"/>
              <a:lstStyle/>
              <a:p>
                <a:pPr>
                  <a:defRPr sz="1000" b="1" i="0" u="none" strike="noStrike" baseline="0">
                    <a:solidFill>
                      <a:srgbClr val="000000"/>
                    </a:solidFill>
                    <a:latin typeface="Times New Roman"/>
                    <a:ea typeface="宋体"/>
                    <a:cs typeface="Lucida Sans"/>
                  </a:defRPr>
                </a:pPr>
                <a:r>
                  <a:rPr lang="zh-CN"/>
                  <a:t>单位：万元</a:t>
                </a:r>
              </a:p>
            </c:rich>
          </c:tx>
          <c:layout/>
          <c:overlay val="0"/>
          <c:spPr>
            <a:ln>
              <a:noFill/>
            </a:ln>
          </c:spPr>
        </c:title>
        <c:majorTickMark val="none"/>
        <c:minorTickMark val="none"/>
        <c:tickLblPos val="none"/>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title>
          <c:tx>
            <c:rich>
              <a:bodyPr rot="-5400000" vert="horz" anchor="t" anchorCtr="0"/>
              <a:lstStyle/>
              <a:p>
                <a:pPr>
                  <a:defRPr sz="1000" b="1" i="0" u="none" strike="noStrike" baseline="0">
                    <a:solidFill>
                      <a:srgbClr val="000000"/>
                    </a:solidFill>
                    <a:latin typeface="Times New Roman"/>
                    <a:ea typeface="宋体"/>
                    <a:cs typeface="Lucida Sans"/>
                  </a:defRPr>
                </a:pPr>
                <a:r>
                  <a:rPr lang="zh-CN"/>
                  <a:t> </a:t>
                </a:r>
              </a:p>
            </c:rich>
          </c:tx>
          <c:layout/>
          <c:overlay val="0"/>
          <c:spPr>
            <a:ln>
              <a:noFill/>
            </a:ln>
          </c:spPr>
        </c:title>
        <c:numFmt formatCode="General" sourceLinked="1"/>
        <c:majorTickMark val="none"/>
        <c:minorTickMark val="none"/>
        <c:tickLblPos val="nextTo"/>
        <c:spPr>
          <a:ln>
            <a:noFill/>
          </a:ln>
        </c:spPr>
        <c:txPr>
          <a:bodyPr/>
          <a:lstStyle/>
          <a:p>
            <a:pPr>
              <a:defRPr sz="900" b="0" i="0" u="none" strike="noStrike" baseline="0">
                <a:solidFill>
                  <a:srgbClr val="595959"/>
                </a:solidFill>
                <a:latin typeface="Times New Roman"/>
                <a:ea typeface="宋体"/>
                <a:cs typeface="Lucida Sans"/>
              </a:defRPr>
            </a:pPr>
            <a:endParaRPr lang="zh-CN"/>
          </a:p>
        </c:txPr>
        <c:crossesAt val="1.0"/>
        <c:crossBetween val="between"/>
        <c:crossAx val="0"/>
      </c:valAx>
      <c:spPr>
        <a:noFill/>
        <a:ln>
          <a:noFill/>
        </a:ln>
      </c:spPr>
    </c:plotArea>
    <c:legend>
      <c:legendPos val="r"/>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一般公共预算财政拨款支出</a:t>
            </a:r>
          </a:p>
        </c:rich>
      </c:tx>
      <c:layout/>
      <c:overlay val="0"/>
      <c:spPr>
        <a:ln>
          <a:noFill/>
        </a:ln>
      </c:spPr>
    </c:title>
    <c:autoTitleDeleted val="1"/>
    <c:plotArea>
      <c:layout/>
      <c:pieChart>
        <c:varyColors val="1"/>
        <c:ser>
          <c:idx val="1"/>
          <c:order val="0"/>
          <c:spPr>
            <a:solidFill>
              <a:srgbClr val="C0504D"/>
            </a:solidFill>
          </c:spPr>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5"/>
              <c:pt idx="0">
                <c:v>一般公共服务支出</c:v>
              </c:pt>
              <c:pt idx="1">
                <c:v>社会保障和就业支出</c:v>
              </c:pt>
              <c:pt idx="2">
                <c:v>卫生健康支出</c:v>
              </c:pt>
              <c:pt idx="3">
                <c:v>农林水支出</c:v>
              </c:pt>
              <c:pt idx="4">
                <c:v>住房保障支出</c:v>
              </c:pt>
            </c:strLit>
          </c:cat>
          <c:val>
            <c:numRef>
              <c:f/>
              <c:numCache>
                <c:formatCode>General</c:formatCode>
                <c:ptCount val="5"/>
                <c:pt idx="0">
                  <c:v>441.06</c:v>
                </c:pt>
                <c:pt idx="1">
                  <c:v>75.86</c:v>
                </c:pt>
                <c:pt idx="2">
                  <c:v>41.36</c:v>
                </c:pt>
                <c:pt idx="3">
                  <c:v>314.3</c:v>
                </c:pt>
                <c:pt idx="4">
                  <c:v>35.75</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zero"/>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t" anchorCtr="0"/>
          <a:lstStyle/>
          <a:p>
            <a:pPr>
              <a:defRPr sz="1800" b="1" i="0" u="none" strike="noStrike" baseline="0">
                <a:solidFill>
                  <a:srgbClr val="000000"/>
                </a:solidFill>
                <a:latin typeface="Times New Roman"/>
                <a:ea typeface="宋体"/>
                <a:cs typeface="Lucida Sans"/>
              </a:defRPr>
            </a:pPr>
            <a:r>
              <a:rPr lang="zh-CN"/>
              <a:t>三公经费</a:t>
            </a:r>
          </a:p>
        </c:rich>
      </c:tx>
      <c:layout/>
      <c:overlay val="0"/>
      <c:spPr>
        <a:ln>
          <a:noFill/>
        </a:ln>
      </c:spPr>
    </c:title>
    <c:autoTitleDeleted val="1"/>
    <c:plotArea>
      <c:layout/>
      <c:pieChart>
        <c:varyColors val="1"/>
        <c:ser>
          <c:idx val="1"/>
          <c:order val="0"/>
          <c:spPr>
            <a:solidFill>
              <a:srgbClr val="C0504D"/>
            </a:solidFill>
          </c:spPr>
          <c:dPt>
            <c:idx val="0"/>
            <c:bubble3D val="0"/>
            <c:spPr>
              <a:solidFill>
                <a:srgbClr val="4F81BD"/>
              </a:solidFill>
            </c:spPr>
          </c:dPt>
          <c:dPt>
            <c:idx val="1"/>
            <c:bubble3D val="0"/>
            <c:spPr>
              <a:solidFill>
                <a:srgbClr val="C0504D"/>
              </a:solidFill>
            </c:spPr>
          </c:dPt>
          <c:dPt>
            <c:idx val="2"/>
            <c:bubble3D val="0"/>
            <c:spPr>
              <a:solidFill>
                <a:srgbClr val="9BBB59"/>
              </a:solidFill>
            </c:spPr>
          </c:dPt>
          <c:dLbls>
            <c:spPr>
              <a:noFill/>
              <a:ln>
                <a:noFill/>
              </a:ln>
            </c:spPr>
            <c:txPr>
              <a:bodyPr vert="horz"/>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3"/>
              <c:pt idx="0">
                <c:v>因公出国（境）费</c:v>
              </c:pt>
              <c:pt idx="1">
                <c:v>公务用车购置及运行维护费</c:v>
              </c:pt>
              <c:pt idx="2">
                <c:v>公务接待费</c:v>
              </c:pt>
            </c:strLit>
          </c:cat>
          <c:val>
            <c:numRef>
              <c:f/>
              <c:numCache>
                <c:formatCode>General</c:formatCode>
                <c:ptCount val="3"/>
                <c:pt idx="0">
                  <c:v>0.0</c:v>
                </c:pt>
                <c:pt idx="1">
                  <c:v>5.0</c:v>
                </c:pt>
                <c:pt idx="2">
                  <c:v>0.0</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zero"/>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15</TotalTime>
  <Application>Yozo_Office27021597764231179</Application>
  <Pages>31</Pages>
  <Words>11302</Words>
  <Characters>12505</Characters>
  <Lines>1023</Lines>
  <Paragraphs>546</Paragraphs>
  <CharactersWithSpaces>12732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四川省决算编制说明</dc:title>
  <dc:creator>pjf</dc:creator>
  <cp:lastModifiedBy>user</cp:lastModifiedBy>
  <cp:revision>42</cp:revision>
  <cp:lastPrinted>2023-09-11T06:49:00Z</cp:lastPrinted>
  <dcterms:created xsi:type="dcterms:W3CDTF">2023-08-18T07:28:00Z</dcterms:created>
  <dcterms:modified xsi:type="dcterms:W3CDTF">2023-09-11T09:55:49Z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2052-12.1.0.15374</vt:lpwstr>
  </property>
  <property fmtid="{D5CDD505-2E9C-101B-9397-08002B2CF9AE}" pid="3" name="ICV">
    <vt:lpwstr>B93CA6F4BEAD4F359769D1203595D585</vt:lpwstr>
  </property>
</Properties>
</file>