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CBFBA">
      <w:pPr>
        <w:rPr>
          <w:rFonts w:ascii="宋体"/>
          <w:b/>
          <w:sz w:val="72"/>
          <w:szCs w:val="72"/>
        </w:rPr>
      </w:pPr>
      <w:bookmarkStart w:id="0" w:name="_Toc15378441"/>
      <w:bookmarkStart w:id="1" w:name="_Toc15396597"/>
      <w:bookmarkStart w:id="2" w:name="_Toc15377425"/>
      <w:bookmarkStart w:id="3" w:name="_Toc15306267"/>
      <w:bookmarkStart w:id="4" w:name="_Toc15377193"/>
      <w:bookmarkStart w:id="5" w:name="_Toc15396475"/>
    </w:p>
    <w:p w14:paraId="21C7B070">
      <w:pPr>
        <w:pStyle w:val="6"/>
        <w:ind w:firstLine="0"/>
      </w:pPr>
    </w:p>
    <w:bookmarkEnd w:id="0"/>
    <w:bookmarkEnd w:id="1"/>
    <w:bookmarkEnd w:id="2"/>
    <w:bookmarkEnd w:id="3"/>
    <w:bookmarkEnd w:id="4"/>
    <w:bookmarkEnd w:id="5"/>
    <w:p w14:paraId="5FC9F022">
      <w:pPr>
        <w:pStyle w:val="8"/>
        <w:spacing w:before="93"/>
        <w:jc w:val="center"/>
        <w:rPr>
          <w:rFonts w:ascii="方正小标宋简体" w:hAnsi="宋体" w:eastAsia="方正小标宋简体"/>
          <w:kern w:val="2"/>
          <w:sz w:val="44"/>
          <w:szCs w:val="44"/>
        </w:rPr>
      </w:pPr>
      <w:r>
        <w:rPr>
          <w:rFonts w:hint="eastAsia" w:ascii="方正小标宋简体" w:hAnsi="宋体" w:eastAsia="方正小标宋简体"/>
          <w:kern w:val="2"/>
          <w:sz w:val="44"/>
          <w:szCs w:val="44"/>
        </w:rPr>
        <w:t>202</w:t>
      </w:r>
      <w:r>
        <w:rPr>
          <w:rFonts w:hint="eastAsia" w:ascii="方正小标宋简体" w:hAnsi="宋体" w:eastAsia="方正小标宋简体"/>
          <w:kern w:val="2"/>
          <w:sz w:val="44"/>
          <w:szCs w:val="44"/>
          <w:lang w:val="en-US" w:eastAsia="zh-CN"/>
        </w:rPr>
        <w:t>5</w:t>
      </w:r>
      <w:r>
        <w:rPr>
          <w:rFonts w:hint="eastAsia" w:ascii="方正小标宋简体" w:hAnsi="宋体" w:eastAsia="方正小标宋简体"/>
          <w:kern w:val="2"/>
          <w:sz w:val="44"/>
          <w:szCs w:val="44"/>
        </w:rPr>
        <w:t>年度四川省阿坝州茂县南新镇（行政）单位决算</w:t>
      </w:r>
    </w:p>
    <w:p w14:paraId="36E5CBD3">
      <w:pPr>
        <w:pStyle w:val="6"/>
      </w:pPr>
    </w:p>
    <w:p w14:paraId="39C5C472">
      <w:pPr>
        <w:pStyle w:val="6"/>
      </w:pPr>
    </w:p>
    <w:p w14:paraId="1D6F8428">
      <w:pPr>
        <w:pStyle w:val="6"/>
      </w:pPr>
    </w:p>
    <w:p w14:paraId="581BC22A">
      <w:pPr>
        <w:pStyle w:val="6"/>
      </w:pPr>
    </w:p>
    <w:p w14:paraId="0F3C7DBA">
      <w:pPr>
        <w:pStyle w:val="6"/>
      </w:pPr>
    </w:p>
    <w:p w14:paraId="716EDA25">
      <w:pPr>
        <w:pStyle w:val="6"/>
      </w:pPr>
    </w:p>
    <w:p w14:paraId="3DF975E6">
      <w:pPr>
        <w:pStyle w:val="6"/>
      </w:pPr>
    </w:p>
    <w:p w14:paraId="65BDBDE6">
      <w:pPr>
        <w:pStyle w:val="6"/>
      </w:pPr>
    </w:p>
    <w:p w14:paraId="06FB707B">
      <w:pPr>
        <w:pStyle w:val="6"/>
        <w:tabs>
          <w:tab w:val="left" w:pos="3600"/>
        </w:tabs>
      </w:pPr>
      <w:r>
        <w:tab/>
      </w:r>
    </w:p>
    <w:p w14:paraId="136FD539">
      <w:pPr>
        <w:pStyle w:val="6"/>
      </w:pPr>
    </w:p>
    <w:p w14:paraId="077700F5">
      <w:pPr>
        <w:pStyle w:val="6"/>
        <w:ind w:left="0" w:leftChars="0" w:firstLine="0" w:firstLineChars="0"/>
        <w:jc w:val="both"/>
        <w:rPr>
          <w:rFonts w:hint="eastAsia" w:eastAsia="宋体"/>
          <w:color w:val="FF0000"/>
          <w:sz w:val="84"/>
          <w:szCs w:val="84"/>
          <w:lang w:val="en-US" w:eastAsia="zh-CN"/>
        </w:rPr>
      </w:pPr>
    </w:p>
    <w:p w14:paraId="7E582CC7">
      <w:pPr>
        <w:pStyle w:val="6"/>
        <w:rPr>
          <w:color w:val="FF0000"/>
          <w:sz w:val="84"/>
          <w:szCs w:val="84"/>
        </w:rPr>
      </w:pPr>
    </w:p>
    <w:p w14:paraId="068CE072">
      <w:pPr>
        <w:pStyle w:val="6"/>
      </w:pPr>
    </w:p>
    <w:p w14:paraId="365EDFC7">
      <w:pPr>
        <w:pStyle w:val="6"/>
      </w:pPr>
    </w:p>
    <w:p w14:paraId="1FE722B1">
      <w:pPr>
        <w:pStyle w:val="6"/>
      </w:pPr>
    </w:p>
    <w:p w14:paraId="3E8E749B">
      <w:pPr>
        <w:autoSpaceDE w:val="0"/>
        <w:autoSpaceDN w:val="0"/>
        <w:adjustRightInd w:val="0"/>
        <w:ind w:left="420" w:leftChars="200"/>
        <w:jc w:val="left"/>
        <w:rPr>
          <w:rFonts w:ascii="宋体"/>
          <w:sz w:val="32"/>
          <w:szCs w:val="32"/>
        </w:rPr>
      </w:pPr>
    </w:p>
    <w:p w14:paraId="1AC5D76D">
      <w:pPr>
        <w:widowControl/>
        <w:jc w:val="center"/>
        <w:rPr>
          <w:rFonts w:ascii="黑体" w:eastAsia="黑体"/>
          <w:color w:val="000000"/>
          <w:sz w:val="48"/>
          <w:szCs w:val="48"/>
        </w:rPr>
      </w:pPr>
      <w:r>
        <w:rPr>
          <w:rFonts w:ascii="方正小标宋简体" w:eastAsia="方正小标宋简体"/>
          <w:color w:val="000000"/>
          <w:sz w:val="36"/>
          <w:szCs w:val="36"/>
        </w:rPr>
        <w:br w:type="page"/>
      </w:r>
      <w:r>
        <w:rPr>
          <w:rFonts w:hint="eastAsia" w:ascii="黑体" w:eastAsia="黑体"/>
          <w:color w:val="000000"/>
          <w:sz w:val="48"/>
          <w:szCs w:val="48"/>
        </w:rPr>
        <w:t>目</w:t>
      </w:r>
      <w:r>
        <w:rPr>
          <w:rFonts w:ascii="黑体" w:eastAsia="黑体"/>
          <w:color w:val="000000"/>
          <w:sz w:val="48"/>
          <w:szCs w:val="48"/>
        </w:rPr>
        <w:t xml:space="preserve"> </w:t>
      </w:r>
      <w:r>
        <w:rPr>
          <w:rFonts w:hint="eastAsia" w:ascii="黑体" w:eastAsia="黑体"/>
          <w:color w:val="000000"/>
          <w:sz w:val="48"/>
          <w:szCs w:val="48"/>
        </w:rPr>
        <w:t>录</w:t>
      </w:r>
      <w:bookmarkStart w:id="6" w:name="_Toc15377196"/>
    </w:p>
    <w:p w14:paraId="199F3138">
      <w:pPr>
        <w:pStyle w:val="17"/>
        <w:ind w:left="840" w:hanging="420"/>
      </w:pPr>
    </w:p>
    <w:p w14:paraId="45FB91A5">
      <w:pPr>
        <w:pStyle w:val="15"/>
        <w:suppressAutoHyphens/>
        <w:rPr>
          <w:rFonts w:ascii="仿宋_GB2312" w:hAnsi="仿宋_GB2312" w:eastAsia="仿宋_GB2312" w:cs="仿宋_GB2312"/>
          <w:sz w:val="32"/>
          <w:szCs w:val="32"/>
        </w:rPr>
      </w:pPr>
      <w:r>
        <w:rPr>
          <w:rFonts w:hint="eastAsia" w:ascii="仿宋_GB2312" w:hAnsi="仿宋_GB2312" w:eastAsia="仿宋_GB2312" w:cs="仿宋_GB2312"/>
          <w:sz w:val="32"/>
          <w:szCs w:val="32"/>
        </w:rPr>
        <w:t>公开时间：2025年9月</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w:t>
      </w:r>
    </w:p>
    <w:p w14:paraId="6087389B">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bookmarkStart w:id="7" w:name="_Toc111208495"/>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TOC \o "1-2" \h \u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_Toc1692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第一部分</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bCs w:val="0"/>
          <w:sz w:val="32"/>
          <w:szCs w:val="32"/>
          <w:highlight w:val="none"/>
        </w:rPr>
        <w:t>部门概况</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_Toc1692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4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02BC66D">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_Toc9165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一、</w:t>
      </w:r>
      <w:r>
        <w:rPr>
          <w:rFonts w:hint="default" w:ascii="Times New Roman" w:hAnsi="Times New Roman" w:eastAsia="仿宋_GB2312" w:cs="Times New Roman"/>
          <w:sz w:val="32"/>
          <w:szCs w:val="32"/>
          <w:highlight w:val="none"/>
          <w:lang w:eastAsia="zh-CN"/>
        </w:rPr>
        <w:t>部门职责</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_Toc9165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4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B8DF7C6">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_Toc31262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二、机</w:t>
      </w:r>
      <w:r>
        <w:rPr>
          <w:rFonts w:hint="default" w:ascii="Times New Roman" w:hAnsi="Times New Roman" w:eastAsia="仿宋_GB2312" w:cs="Times New Roman"/>
          <w:bCs w:val="0"/>
          <w:sz w:val="32"/>
          <w:szCs w:val="32"/>
          <w:highlight w:val="none"/>
        </w:rPr>
        <w:t>构设置</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_Toc31262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9FB3FF5">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_Toc8747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第二部分</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sz w:val="32"/>
          <w:szCs w:val="32"/>
          <w:highlight w:val="none"/>
          <w:lang w:val="en-US" w:eastAsia="zh-CN"/>
        </w:rPr>
        <w:t>2025年度</w:t>
      </w:r>
      <w:r>
        <w:rPr>
          <w:rFonts w:hint="default" w:ascii="Times New Roman" w:hAnsi="Times New Roman" w:eastAsia="仿宋_GB2312" w:cs="Times New Roman"/>
          <w:sz w:val="32"/>
          <w:szCs w:val="32"/>
          <w:highlight w:val="none"/>
        </w:rPr>
        <w:t>部门决算情况说明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_Toc8747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6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24DF306E">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_Toc19189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_Toc19189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6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29D19F85">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_Toc26870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二、收入决算情况说明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_Toc26870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6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25395DC">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_Toc21525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_Toc21525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69B820D1">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_Toc25564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四、财政拨款收入支出决算总体情况说明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_Toc25564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7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7ECAF6D0">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_Toc28844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五、一般公共预算财政拨款支出决算情况说明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_Toc28844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7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1240EE9">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_Toc4625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六、一般公共预算财政拨款基本支出决算情况说明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_Toc4625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9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79BA583D">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_Toc14429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七、财政拨款“三公”经费支出决算情况说明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_Toc14429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10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58E09B38">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_Toc5946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八、政府性基金预算支出决算情况说明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_Toc5946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CFA7FE3">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_Toc3644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九、</w:t>
      </w:r>
      <w:r>
        <w:rPr>
          <w:rFonts w:hint="default" w:ascii="Times New Roman" w:hAnsi="Times New Roman" w:eastAsia="仿宋_GB2312" w:cs="Times New Roman"/>
          <w:sz w:val="32"/>
          <w:szCs w:val="32"/>
          <w:highlight w:val="none"/>
        </w:rPr>
        <w:t>国有资本经营预算支出决算情况说明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_Toc3644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 xml:space="preserve"> 11 </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71EE12F">
      <w:pPr>
        <w:pStyle w:val="18"/>
        <w:keepNext w:val="0"/>
        <w:keepLines w:val="0"/>
        <w:pageBreakBefore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_Toc22960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eastAsia="zh-CN"/>
        </w:rPr>
        <w:t>十、</w:t>
      </w:r>
      <w:r>
        <w:rPr>
          <w:rFonts w:hint="default" w:ascii="Times New Roman" w:hAnsi="Times New Roman" w:eastAsia="仿宋_GB2312" w:cs="Times New Roman"/>
          <w:sz w:val="32"/>
          <w:szCs w:val="32"/>
          <w:highlight w:val="none"/>
        </w:rPr>
        <w:t>其他重要事项的情况说明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_Toc22960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1F3327D0">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_Toc25961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第</w:t>
      </w: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部分</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名词解释</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_Toc25961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eastAsia" w:ascii="Times New Roman" w:eastAsia="仿宋_GB2312" w:cs="Times New Roman"/>
          <w:sz w:val="32"/>
          <w:szCs w:val="32"/>
          <w:lang w:val="en-US" w:eastAsia="zh-CN"/>
        </w:rPr>
        <w:t>7</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C632FA6">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第四部分</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 xml:space="preserve"> 附件</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2</w:t>
      </w:r>
      <w:r>
        <w:rPr>
          <w:rFonts w:hint="eastAsia" w:ascii="Times New Roman" w:eastAsia="仿宋_GB2312" w:cs="Times New Roman"/>
          <w:sz w:val="32"/>
          <w:szCs w:val="32"/>
          <w:lang w:val="en-US" w:eastAsia="zh-CN"/>
        </w:rPr>
        <w:t>2</w:t>
      </w:r>
    </w:p>
    <w:p w14:paraId="150E1D8F">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kern w:val="2"/>
          <w:sz w:val="32"/>
          <w:szCs w:val="32"/>
          <w:highlight w:val="none"/>
          <w:lang w:val="en-US" w:eastAsia="zh-CN" w:bidi="ar-SA"/>
        </w:rPr>
        <w:t>第五部分  附表</w:t>
      </w:r>
      <w:r>
        <w:rPr>
          <w:rFonts w:hint="default" w:ascii="Times New Roman" w:hAnsi="Times New Roman" w:eastAsia="仿宋_GB2312" w:cs="Times New Roman"/>
          <w:kern w:val="2"/>
          <w:sz w:val="32"/>
          <w:szCs w:val="32"/>
          <w:highlight w:val="none"/>
          <w:lang w:val="en-US" w:eastAsia="zh-CN" w:bidi="ar-SA"/>
        </w:rPr>
        <w:tab/>
      </w:r>
      <w:r>
        <w:rPr>
          <w:rFonts w:hint="eastAsia" w:ascii="Times New Roman" w:eastAsia="仿宋_GB2312" w:cs="Times New Roman"/>
          <w:sz w:val="32"/>
          <w:szCs w:val="32"/>
          <w:lang w:val="en-US" w:eastAsia="zh-CN"/>
        </w:rPr>
        <w:t>27</w:t>
      </w:r>
    </w:p>
    <w:p w14:paraId="3D52C749">
      <w:pPr>
        <w:pStyle w:val="15"/>
        <w:keepNext w:val="0"/>
        <w:keepLines w:val="0"/>
        <w:pageBreakBefore w:val="0"/>
        <w:numPr>
          <w:ilvl w:val="0"/>
          <w:numId w:val="1"/>
        </w:numPr>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lang w:eastAsia="zh-CN"/>
        </w:rPr>
        <w:t>收入支出决算总表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42BF13A4">
      <w:pPr>
        <w:pStyle w:val="15"/>
        <w:keepNext w:val="0"/>
        <w:keepLines w:val="0"/>
        <w:pageBreakBefore w:val="0"/>
        <w:numPr>
          <w:ilvl w:val="0"/>
          <w:numId w:val="1"/>
        </w:numPr>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收入决算表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5D53689C">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三、支出决算表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6FA7B0DB">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四、财政拨款收入支出决算总表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3A8B8E8C">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五、财政拨款支出决算明细表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5E4F0AB2">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六、一般公共预算财政拨款支出决算表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0D176E5F">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七、一般公共预算财政拨款支出决算明细表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01C8CE64">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八、一般公共预算财政拨款基本支出决算表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3F2F5376">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九、一般公共预算财政拨款项目支出决算表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5479DF85">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十、政府性基金预算财政拨款收入支出决算表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7567F05A">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十一、国有资本经营预算财政拨款收入支出决算表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7CC538F7">
      <w:pPr>
        <w:pStyle w:val="15"/>
        <w:keepNext w:val="0"/>
        <w:keepLines w:val="0"/>
        <w:pageBreakBefore w:val="0"/>
        <w:tabs>
          <w:tab w:val="right" w:leader="dot" w:pos="8306"/>
          <w:tab w:val="clear" w:pos="8296"/>
        </w:tabs>
        <w:kinsoku/>
        <w:wordWrap/>
        <w:overflowPunct/>
        <w:topLinePunct w:val="0"/>
        <w:autoSpaceDE/>
        <w:autoSpaceDN/>
        <w:bidi w:val="0"/>
        <w:adjustRightInd/>
        <w:snapToGrid/>
        <w:spacing w:before="0" w:line="576" w:lineRule="exact"/>
        <w:ind w:firstLine="320" w:firstLineChars="1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十二、国有资本经营预算财政拨款支出决算表</w:t>
      </w:r>
      <w:r>
        <w:rPr>
          <w:rFonts w:hint="default" w:ascii="Times New Roman" w:hAnsi="Times New Roman" w:eastAsia="仿宋_GB2312" w:cs="Times New Roman"/>
          <w:sz w:val="32"/>
          <w:szCs w:val="32"/>
        </w:rPr>
        <w:tab/>
      </w:r>
      <w:r>
        <w:rPr>
          <w:rFonts w:hint="eastAsia" w:ascii="Times New Roman" w:eastAsia="仿宋_GB2312" w:cs="Times New Roman"/>
          <w:sz w:val="32"/>
          <w:szCs w:val="32"/>
          <w:lang w:val="en-US" w:eastAsia="zh-CN"/>
        </w:rPr>
        <w:t>27</w:t>
      </w:r>
    </w:p>
    <w:p w14:paraId="2BF159C5">
      <w:pPr>
        <w:ind w:firstLine="320" w:firstLineChars="100"/>
        <w:rPr>
          <w:rFonts w:hint="default"/>
          <w:lang w:val="en-US"/>
        </w:rPr>
      </w:pPr>
      <w:r>
        <w:rPr>
          <w:rFonts w:hint="default" w:ascii="Times New Roman" w:hAnsi="Times New Roman" w:eastAsia="仿宋_GB2312" w:cs="Times New Roman"/>
          <w:sz w:val="32"/>
          <w:szCs w:val="32"/>
          <w:highlight w:val="none"/>
          <w:lang w:eastAsia="zh-CN"/>
        </w:rPr>
        <w:t>十三、财政拨款“三公”经费支出决算表</w:t>
      </w:r>
      <w:r>
        <w:rPr>
          <w:rFonts w:hint="eastAsia" w:ascii="Times New Roman" w:hAnsi="Times New Roman" w:eastAsia="仿宋_GB2312" w:cs="Times New Roman"/>
          <w:sz w:val="32"/>
          <w:szCs w:val="32"/>
          <w:highlight w:val="none"/>
          <w:lang w:val="en-US" w:eastAsia="zh-CN"/>
        </w:rPr>
        <w:t>.............................</w:t>
      </w:r>
      <w:r>
        <w:rPr>
          <w:rFonts w:hint="eastAsia" w:eastAsia="仿宋_GB2312" w:cs="Times New Roman"/>
          <w:sz w:val="32"/>
          <w:szCs w:val="32"/>
          <w:lang w:val="en-US" w:eastAsia="zh-CN"/>
        </w:rPr>
        <w:t>27</w:t>
      </w:r>
    </w:p>
    <w:p w14:paraId="2C7EB87F">
      <w:pPr>
        <w:rPr>
          <w:rFonts w:ascii="黑体" w:eastAsia="黑体" w:cs="黑体"/>
        </w:rPr>
      </w:pPr>
      <w:r>
        <w:rPr>
          <w:rFonts w:hint="eastAsia" w:ascii="黑体" w:eastAsia="黑体" w:cs="黑体"/>
        </w:rPr>
        <w:br w:type="page"/>
      </w:r>
    </w:p>
    <w:bookmarkEnd w:id="6"/>
    <w:bookmarkEnd w:id="7"/>
    <w:p w14:paraId="6024984D">
      <w:pPr>
        <w:pStyle w:val="3"/>
        <w:jc w:val="center"/>
        <w:rPr>
          <w:rFonts w:ascii="黑体" w:eastAsia="黑体" w:cs="黑体"/>
          <w:b w:val="0"/>
          <w:bCs w:val="0"/>
        </w:rPr>
      </w:pPr>
      <w:bookmarkStart w:id="8" w:name="_Toc24032"/>
      <w:bookmarkStart w:id="9" w:name="_Toc111208498"/>
      <w:bookmarkStart w:id="10" w:name="_Toc15377204"/>
      <w:r>
        <w:rPr>
          <w:rFonts w:hint="eastAsia" w:ascii="黑体" w:eastAsia="黑体" w:cs="黑体"/>
        </w:rPr>
        <w:t xml:space="preserve">第一部分 </w:t>
      </w:r>
      <w:r>
        <w:rPr>
          <w:rStyle w:val="24"/>
          <w:rFonts w:hint="eastAsia" w:ascii="黑体" w:eastAsia="黑体" w:cs="黑体"/>
          <w:b/>
          <w:bCs w:val="0"/>
        </w:rPr>
        <w:t>部门概况</w:t>
      </w:r>
      <w:bookmarkEnd w:id="8"/>
    </w:p>
    <w:p w14:paraId="41B614C1">
      <w:pPr>
        <w:pStyle w:val="4"/>
        <w:spacing w:after="0" w:line="400" w:lineRule="exact"/>
        <w:ind w:firstLine="643" w:firstLineChars="200"/>
        <w:rPr>
          <w:rFonts w:ascii="黑体" w:eastAsia="黑体"/>
          <w:bCs w:val="0"/>
          <w:color w:val="000000"/>
        </w:rPr>
      </w:pPr>
      <w:bookmarkStart w:id="11" w:name="_Toc15377197"/>
      <w:bookmarkStart w:id="12" w:name="_Toc111208496"/>
      <w:bookmarkStart w:id="13" w:name="_Toc25013"/>
      <w:r>
        <w:rPr>
          <w:rFonts w:hint="eastAsia" w:ascii="黑体" w:eastAsia="黑体"/>
          <w:bCs w:val="0"/>
          <w:color w:val="000000"/>
        </w:rPr>
        <w:t>一、</w:t>
      </w:r>
      <w:bookmarkEnd w:id="11"/>
      <w:bookmarkEnd w:id="12"/>
      <w:bookmarkStart w:id="14" w:name="_Toc15377198"/>
      <w:bookmarkStart w:id="15" w:name="_Toc15378445"/>
      <w:r>
        <w:rPr>
          <w:rFonts w:hint="eastAsia" w:ascii="黑体" w:eastAsia="黑体"/>
          <w:bCs w:val="0"/>
          <w:color w:val="000000"/>
          <w:lang w:val="en-US" w:eastAsia="zh-CN"/>
        </w:rPr>
        <w:t>主要</w:t>
      </w:r>
      <w:r>
        <w:rPr>
          <w:rFonts w:hint="eastAsia" w:ascii="黑体" w:eastAsia="黑体"/>
          <w:bCs w:val="0"/>
          <w:color w:val="000000"/>
        </w:rPr>
        <w:t>职责</w:t>
      </w:r>
      <w:bookmarkEnd w:id="13"/>
    </w:p>
    <w:bookmarkEnd w:id="14"/>
    <w:bookmarkEnd w:id="15"/>
    <w:p w14:paraId="0BFF7AD7">
      <w:pPr>
        <w:spacing w:line="576" w:lineRule="exact"/>
        <w:ind w:firstLine="640" w:firstLineChars="200"/>
        <w:rPr>
          <w:rFonts w:ascii="仿宋_GB2312" w:hAnsi="仿宋_GB2312" w:eastAsia="仿宋_GB2312" w:cs="仿宋_GB2312"/>
          <w:sz w:val="32"/>
          <w:szCs w:val="32"/>
        </w:rPr>
      </w:pPr>
      <w:bookmarkStart w:id="16" w:name="_Toc15377200"/>
      <w:bookmarkStart w:id="17" w:name="_Toc111208497"/>
      <w:r>
        <w:rPr>
          <w:rFonts w:hint="eastAsia" w:ascii="仿宋_GB2312" w:hAnsi="仿宋_GB2312" w:eastAsia="仿宋_GB2312" w:cs="仿宋_GB2312"/>
          <w:sz w:val="32"/>
          <w:szCs w:val="32"/>
        </w:rPr>
        <w:t>1.贯彻执行党和国家的路线方针政策和上级党委、政府各项决策部署，以及本级党员代表大会（党员大会）、人民代表大会的决议决定。</w:t>
      </w:r>
    </w:p>
    <w:p w14:paraId="30A3A5A3">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14:paraId="2BFC41D2">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3.领导镇政权机关、群团组织和其他各类组织，加强指导和规范，支持和保证这些机关和组织依照国家法律法规以及各自章程履行职责。</w:t>
      </w:r>
    </w:p>
    <w:p w14:paraId="126A8535">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加强党的建设。坚持全面从严治党，落实管党治党主体责任，全面加强党的政治建设、思想建设、组织建设、作风建设、纪律建设、制度建设等工作。不断强化自身建设和村党组织建设，以及其他隶属镇党委的党组织建设，抓好发展党员工作，加强党员队伍建设。维护和执行党的纪律,监督党员干部和其他工作人员严格遵守国家法律法规。</w:t>
      </w:r>
    </w:p>
    <w:p w14:paraId="388F314A">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5.按照干部管理权限，负责对干部的教育、培训、选拔、考核和监督工作。协助管理上级有关部门驻镇单位的干部。做好人才服务和引进工作。</w:t>
      </w:r>
    </w:p>
    <w:p w14:paraId="66386970">
      <w:pPr>
        <w:spacing w:line="576" w:lineRule="exact"/>
        <w:ind w:firstLine="640" w:firstLineChars="200"/>
        <w:rPr>
          <w:rFonts w:ascii="仿宋_GB2312" w:eastAsia="仿宋_GB2312" w:cs="仿宋"/>
          <w:color w:val="000000"/>
          <w:kern w:val="0"/>
          <w:sz w:val="32"/>
          <w:szCs w:val="32"/>
        </w:rPr>
      </w:pPr>
      <w:r>
        <w:rPr>
          <w:rFonts w:hint="eastAsia" w:ascii="仿宋_GB2312" w:hAnsi="仿宋_GB2312" w:eastAsia="仿宋_GB2312" w:cs="仿宋_GB2312"/>
          <w:sz w:val="32"/>
          <w:szCs w:val="32"/>
        </w:rPr>
        <w:t>6.统筹区域发展。负责实施创新驱动发展、可持续发展战略目标任务，落实新发展理念，推动经济高质量发展；落实关于辖区发展的重大决策，制定辖区经济和社会发展规划、公共服务设施布局;负责乡村振兴工作，做好民生保障、返贫监测和帮扶、民族宗教等工作，推动辖区经济社会健康、有序、可持续发展；负责指导辖区基层供销合作社工作。</w:t>
      </w:r>
    </w:p>
    <w:p w14:paraId="15323229">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7.强化基层治理。负责本辖区社会治理，加强社会主义民主法治建设和精神文明建设，加快推进基层社会治理体系和治理能力现代化；指导村委会建设，健全自治平台，组织群众和单位参与村委会建设和管理。</w:t>
      </w:r>
    </w:p>
    <w:p w14:paraId="3F2448E2">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8.优化公共服务。推进服务型政府建设，组织实施并优化教育、卫生健康、文化、民政、社会保障、退役军人事务等各项公共服务。</w:t>
      </w:r>
    </w:p>
    <w:p w14:paraId="1EE2CB92">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9.负责辖区范围内的应急管理、社会稳定、安全生产、生态环境保护、社会信用体系建设和审批服务便民化等工作。</w:t>
      </w:r>
    </w:p>
    <w:p w14:paraId="0E4CC826">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10.负责辖区农村经营管理体系建设工作。</w:t>
      </w:r>
    </w:p>
    <w:p w14:paraId="4A9E6D5D">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11.完成县委、县政府交办的其他任务。</w:t>
      </w:r>
    </w:p>
    <w:p w14:paraId="13E246CF">
      <w:pPr>
        <w:pStyle w:val="4"/>
        <w:spacing w:after="0" w:line="300" w:lineRule="exact"/>
        <w:ind w:firstLine="643" w:firstLineChars="200"/>
        <w:rPr>
          <w:rFonts w:ascii="黑体" w:eastAsia="黑体"/>
          <w:bCs w:val="0"/>
          <w:color w:val="000000"/>
        </w:rPr>
      </w:pPr>
      <w:bookmarkStart w:id="18" w:name="_Toc25757"/>
      <w:r>
        <w:rPr>
          <w:rFonts w:hint="eastAsia" w:ascii="黑体" w:eastAsia="黑体"/>
          <w:bCs w:val="0"/>
          <w:color w:val="000000"/>
        </w:rPr>
        <w:t>二、机构设置</w:t>
      </w:r>
      <w:bookmarkEnd w:id="16"/>
      <w:bookmarkEnd w:id="17"/>
      <w:bookmarkEnd w:id="18"/>
    </w:p>
    <w:p w14:paraId="4471BE93">
      <w:pPr>
        <w:spacing w:line="576" w:lineRule="exact"/>
        <w:ind w:firstLine="643" w:firstLineChars="200"/>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（一）机构组成</w:t>
      </w:r>
    </w:p>
    <w:p w14:paraId="030CAC48">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zh-CN"/>
        </w:rPr>
        <w:t>茂县南新镇人民政府属二级预算单位2个，其中行政单位</w:t>
      </w:r>
      <w:r>
        <w:rPr>
          <w:rFonts w:hint="eastAsia" w:ascii="仿宋_GB2312" w:hAnsi="仿宋_GB2312" w:eastAsia="仿宋_GB2312" w:cs="仿宋_GB2312"/>
          <w:sz w:val="32"/>
          <w:szCs w:val="32"/>
        </w:rPr>
        <w:t>1个，参照公务员法管理的事业单位0个，其他事业单位1个。</w:t>
      </w:r>
    </w:p>
    <w:p w14:paraId="31EA1BEB">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纳入茂县南新镇人民政府202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年度部门决算编制范围的二级预算单位包括：</w:t>
      </w:r>
    </w:p>
    <w:p w14:paraId="746001B4">
      <w:pPr>
        <w:spacing w:line="57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茂县南新镇人民政府（行政）</w:t>
      </w:r>
    </w:p>
    <w:p w14:paraId="311E1E92">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茂县南新镇</w:t>
      </w:r>
      <w:r>
        <w:rPr>
          <w:rFonts w:hint="eastAsia" w:ascii="仿宋_GB2312" w:hAnsi="仿宋_GB2312" w:eastAsia="仿宋_GB2312" w:cs="仿宋_GB2312"/>
          <w:sz w:val="32"/>
          <w:szCs w:val="32"/>
          <w:lang w:val="en-US" w:eastAsia="zh-CN"/>
        </w:rPr>
        <w:t>便民服务中心</w:t>
      </w:r>
      <w:r>
        <w:rPr>
          <w:rFonts w:hint="eastAsia" w:ascii="仿宋_GB2312" w:hAnsi="仿宋_GB2312" w:eastAsia="仿宋_GB2312" w:cs="仿宋_GB2312"/>
          <w:sz w:val="32"/>
          <w:szCs w:val="32"/>
        </w:rPr>
        <w:t>（事业）</w:t>
      </w:r>
      <w:r>
        <w:rPr>
          <w:rFonts w:hint="eastAsia" w:ascii="仿宋_GB2312" w:hAnsi="仿宋_GB2312" w:eastAsia="仿宋_GB2312" w:cs="仿宋_GB2312"/>
          <w:sz w:val="32"/>
          <w:szCs w:val="32"/>
        </w:rPr>
        <w:br w:type="page"/>
      </w:r>
    </w:p>
    <w:p w14:paraId="47B1AD60">
      <w:pPr>
        <w:pStyle w:val="3"/>
        <w:jc w:val="center"/>
        <w:rPr>
          <w:rFonts w:ascii="黑体" w:eastAsia="黑体" w:cs="黑体"/>
        </w:rPr>
      </w:pPr>
      <w:bookmarkStart w:id="19" w:name="_Toc26654"/>
      <w:r>
        <w:rPr>
          <w:rFonts w:hint="eastAsia" w:ascii="黑体" w:eastAsia="黑体" w:cs="黑体"/>
        </w:rPr>
        <w:t>第二部分</w:t>
      </w:r>
      <w:r>
        <w:rPr>
          <w:rFonts w:ascii="黑体" w:eastAsia="黑体" w:cs="黑体"/>
        </w:rPr>
        <w:t xml:space="preserve"> </w:t>
      </w:r>
      <w:r>
        <w:rPr>
          <w:rFonts w:hint="eastAsia" w:ascii="黑体" w:eastAsia="黑体" w:cs="黑体"/>
        </w:rPr>
        <w:t>202</w:t>
      </w:r>
      <w:r>
        <w:rPr>
          <w:rFonts w:hint="eastAsia" w:ascii="黑体" w:eastAsia="黑体" w:cs="黑体"/>
          <w:lang w:val="en-US" w:eastAsia="zh-CN"/>
        </w:rPr>
        <w:t>5</w:t>
      </w:r>
      <w:r>
        <w:rPr>
          <w:rFonts w:ascii="黑体" w:eastAsia="黑体" w:cs="黑体"/>
        </w:rPr>
        <w:t>年度</w:t>
      </w:r>
      <w:r>
        <w:rPr>
          <w:rFonts w:hint="eastAsia" w:ascii="黑体" w:eastAsia="黑体" w:cs="黑体"/>
        </w:rPr>
        <w:t>单位</w:t>
      </w:r>
      <w:r>
        <w:rPr>
          <w:rFonts w:ascii="黑体" w:eastAsia="黑体" w:cs="黑体"/>
        </w:rPr>
        <w:t>决算情况说明</w:t>
      </w:r>
      <w:bookmarkEnd w:id="9"/>
      <w:bookmarkEnd w:id="10"/>
      <w:bookmarkEnd w:id="19"/>
    </w:p>
    <w:p w14:paraId="6FBBE73E">
      <w:pPr>
        <w:pStyle w:val="4"/>
        <w:spacing w:after="0" w:line="400" w:lineRule="exact"/>
        <w:ind w:firstLine="643" w:firstLineChars="200"/>
        <w:rPr>
          <w:rFonts w:ascii="黑体" w:eastAsia="黑体"/>
          <w:bCs w:val="0"/>
          <w:color w:val="000000"/>
        </w:rPr>
      </w:pPr>
      <w:bookmarkStart w:id="20" w:name="_Toc15377205"/>
      <w:bookmarkStart w:id="21" w:name="_Toc21147"/>
      <w:bookmarkStart w:id="22" w:name="_Toc111208499"/>
      <w:r>
        <w:rPr>
          <w:rFonts w:hint="eastAsia" w:ascii="黑体" w:eastAsia="黑体"/>
          <w:bCs w:val="0"/>
          <w:color w:val="000000"/>
        </w:rPr>
        <w:t>一、收入支出决算总体情况说</w:t>
      </w:r>
      <w:bookmarkEnd w:id="20"/>
      <w:r>
        <w:rPr>
          <w:rFonts w:hint="eastAsia" w:ascii="黑体" w:eastAsia="黑体"/>
          <w:bCs w:val="0"/>
          <w:color w:val="000000"/>
        </w:rPr>
        <w:t>明</w:t>
      </w:r>
      <w:bookmarkEnd w:id="21"/>
      <w:bookmarkEnd w:id="22"/>
    </w:p>
    <w:p w14:paraId="13CD70B9">
      <w:pPr>
        <w:spacing w:line="600" w:lineRule="exact"/>
        <w:ind w:firstLine="640" w:firstLineChars="200"/>
        <w:rPr>
          <w:rFonts w:ascii="仿宋_GB2312" w:eastAsia="仿宋_GB2312"/>
          <w:color w:val="000000"/>
          <w:sz w:val="28"/>
          <w:szCs w:val="28"/>
        </w:rPr>
      </w:pPr>
      <w:r>
        <w:rPr>
          <w:rFonts w:hint="eastAsia" w:ascii="仿宋_GB2312" w:hAnsi="仿宋_GB2312" w:eastAsia="仿宋_GB2312" w:cs="仿宋_GB2312"/>
          <w:color w:val="000000"/>
          <w:sz w:val="32"/>
          <w:szCs w:val="32"/>
        </w:rPr>
        <w:t>2025年度收入、支出总计均为1,949万元。与2024年度相比，收入、支出总计各增加761.71万元，增长64.2%。主要变动原因是</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项目较上年增加。</w:t>
      </w:r>
    </w:p>
    <w:p w14:paraId="51325DFE">
      <w:pPr>
        <w:pStyle w:val="6"/>
        <w:rPr>
          <w:rFonts w:hint="eastAsia" w:eastAsia="仿宋"/>
        </w:rPr>
      </w:pPr>
      <w:r>
        <w:rPr>
          <w:rFonts w:hint="eastAsia" w:eastAsia="仿宋"/>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F2CAC1A">
      <w:pPr>
        <w:pStyle w:val="4"/>
        <w:spacing w:after="0" w:line="300" w:lineRule="exact"/>
        <w:ind w:firstLine="643" w:firstLineChars="200"/>
        <w:rPr>
          <w:rFonts w:ascii="黑体" w:eastAsia="黑体"/>
          <w:bCs w:val="0"/>
          <w:color w:val="000000"/>
        </w:rPr>
      </w:pPr>
      <w:bookmarkStart w:id="23" w:name="_Toc111208500"/>
      <w:bookmarkStart w:id="24" w:name="_Toc10004"/>
      <w:bookmarkStart w:id="25" w:name="_Toc15377206"/>
      <w:r>
        <w:rPr>
          <w:rFonts w:hint="eastAsia" w:ascii="黑体" w:eastAsia="黑体"/>
          <w:bCs w:val="0"/>
          <w:color w:val="000000"/>
        </w:rPr>
        <w:t>二、收入决算情况说明</w:t>
      </w:r>
      <w:bookmarkEnd w:id="23"/>
      <w:bookmarkEnd w:id="24"/>
      <w:bookmarkEnd w:id="25"/>
    </w:p>
    <w:p w14:paraId="33502B77">
      <w:pPr>
        <w:spacing w:line="600" w:lineRule="exact"/>
        <w:ind w:firstLine="640" w:firstLineChars="200"/>
        <w:rPr>
          <w:rFonts w:ascii="仿宋" w:eastAsia="仿宋"/>
          <w:color w:val="000000"/>
          <w:sz w:val="32"/>
          <w:szCs w:val="32"/>
        </w:rPr>
      </w:pPr>
      <w:r>
        <w:rPr>
          <w:rFonts w:hint="eastAsia" w:ascii="仿宋_GB2312" w:hAnsi="仿宋_GB2312" w:eastAsia="仿宋_GB2312" w:cs="仿宋_GB2312"/>
          <w:color w:val="000000"/>
          <w:sz w:val="32"/>
          <w:szCs w:val="32"/>
        </w:rPr>
        <w:t>2025年度本年收入合计1,949万元，其中：一般公共预算财政拨款收入1,633.01万元，占83.8%；政府性基金预算财政拨款收入32.5万元，占1.7%；其他收入283.5万元，占14.6%。</w:t>
      </w:r>
    </w:p>
    <w:p w14:paraId="5465EA0A">
      <w:pPr>
        <w:pStyle w:val="17"/>
        <w:ind w:left="1060" w:hanging="640"/>
        <w:jc w:val="center"/>
        <w:rPr>
          <w:rFonts w:hint="eastAsia" w:ascii="仿宋_GB2312" w:eastAsia="仿宋_GB2312"/>
          <w:color w:val="FF0000"/>
          <w:sz w:val="32"/>
          <w:szCs w:val="32"/>
        </w:rPr>
      </w:pPr>
      <w:r>
        <w:rPr>
          <w:rFonts w:hint="eastAsia" w:ascii="仿宋_GB2312" w:eastAsia="仿宋_GB2312"/>
          <w:color w:val="FF0000"/>
          <w:sz w:val="32"/>
          <w:szCs w:val="32"/>
        </w:rPr>
        <w:drawing>
          <wp:inline distT="0" distB="0" distL="114300" distR="114300">
            <wp:extent cx="5332730" cy="3400425"/>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F759F5F">
      <w:pPr>
        <w:pStyle w:val="4"/>
        <w:spacing w:after="0" w:line="300" w:lineRule="exact"/>
        <w:ind w:firstLine="643" w:firstLineChars="200"/>
        <w:rPr>
          <w:rFonts w:ascii="黑体" w:eastAsia="黑体"/>
          <w:bCs w:val="0"/>
          <w:color w:val="000000"/>
        </w:rPr>
      </w:pPr>
      <w:bookmarkStart w:id="26" w:name="_Toc111208501"/>
      <w:bookmarkStart w:id="27" w:name="_Toc15377207"/>
      <w:bookmarkStart w:id="28" w:name="_Toc21771"/>
      <w:r>
        <w:rPr>
          <w:rFonts w:hint="eastAsia" w:ascii="黑体" w:eastAsia="黑体"/>
          <w:bCs w:val="0"/>
          <w:color w:val="000000"/>
        </w:rPr>
        <w:t>三、支出决算情况说明</w:t>
      </w:r>
      <w:bookmarkEnd w:id="26"/>
      <w:bookmarkEnd w:id="27"/>
      <w:bookmarkEnd w:id="28"/>
    </w:p>
    <w:p w14:paraId="5C5E7BC8">
      <w:pPr>
        <w:pStyle w:val="6"/>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2025年度本年支出合计1,918.66万元，其中：基本支出699.21万元，占36.4%；项目支出1,219.45万元，占63.6%</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auto"/>
          <w:sz w:val="32"/>
          <w:szCs w:val="32"/>
          <w:lang w:val="en-US" w:eastAsia="zh-CN"/>
        </w:rPr>
        <w:t>年末结转30.35万元。</w:t>
      </w:r>
    </w:p>
    <w:p w14:paraId="761652C5">
      <w:pPr>
        <w:jc w:val="center"/>
        <w:rPr>
          <w:rFonts w:hint="eastAsia" w:ascii="仿宋" w:hAnsi="仿宋" w:eastAsia="仿宋"/>
          <w:sz w:val="32"/>
          <w:szCs w:val="32"/>
          <w:shd w:val="pct10" w:color="auto" w:fill="FFFFFF"/>
        </w:rPr>
      </w:pPr>
      <w:r>
        <w:rPr>
          <w:rFonts w:hint="eastAsia" w:ascii="仿宋" w:hAnsi="仿宋" w:eastAsia="仿宋"/>
          <w:sz w:val="32"/>
          <w:szCs w:val="32"/>
          <w:shd w:val="pct10" w:color="auto" w:fill="FFFFFF"/>
        </w:rPr>
        <w:drawing>
          <wp:inline distT="0" distB="0" distL="114300" distR="114300">
            <wp:extent cx="5256530" cy="2988310"/>
            <wp:effectExtent l="5080" t="4445" r="15240" b="17145"/>
            <wp:docPr id="10" name="图表 10"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3657A11">
      <w:pPr>
        <w:pStyle w:val="4"/>
        <w:spacing w:after="0" w:line="400" w:lineRule="exact"/>
        <w:ind w:firstLine="643" w:firstLineChars="200"/>
        <w:rPr>
          <w:rFonts w:ascii="黑体" w:eastAsia="黑体"/>
          <w:bCs w:val="0"/>
          <w:color w:val="000000"/>
        </w:rPr>
      </w:pPr>
      <w:bookmarkStart w:id="29" w:name="_Toc111208502"/>
      <w:bookmarkStart w:id="30" w:name="_Toc21366"/>
      <w:bookmarkStart w:id="31" w:name="_Toc15377208"/>
      <w:r>
        <w:rPr>
          <w:rFonts w:hint="eastAsia" w:ascii="黑体" w:eastAsia="黑体"/>
          <w:bCs w:val="0"/>
          <w:color w:val="000000"/>
        </w:rPr>
        <w:t>四、财政拨款收入支出决算总体情况说明</w:t>
      </w:r>
      <w:bookmarkEnd w:id="29"/>
      <w:bookmarkEnd w:id="30"/>
      <w:bookmarkEnd w:id="31"/>
    </w:p>
    <w:p w14:paraId="482AC4E7">
      <w:pPr>
        <w:spacing w:line="600" w:lineRule="exact"/>
        <w:ind w:firstLine="640" w:firstLineChars="200"/>
      </w:pPr>
      <w:r>
        <w:rPr>
          <w:rFonts w:hint="eastAsia" w:ascii="仿宋_GB2312" w:hAnsi="仿宋_GB2312" w:eastAsia="仿宋_GB2312" w:cs="仿宋_GB2312"/>
          <w:color w:val="000000"/>
          <w:sz w:val="32"/>
          <w:szCs w:val="32"/>
        </w:rPr>
        <w:t>2025年度财政拨款收入、支出总计均为1,665.5万元。与2024年度相比，财政拨款收入、支出总计各增加478.21万元，增长40.3%。主要变动原因是</w:t>
      </w:r>
      <w:r>
        <w:rPr>
          <w:rFonts w:hint="eastAsia" w:ascii="仿宋_GB2312" w:hAnsi="仿宋_GB2312" w:eastAsia="仿宋_GB2312" w:cs="仿宋_GB2312"/>
          <w:color w:val="000000"/>
          <w:sz w:val="32"/>
          <w:szCs w:val="32"/>
          <w:lang w:val="en-US" w:eastAsia="zh-CN"/>
        </w:rPr>
        <w:t>:公</w:t>
      </w:r>
      <w:r>
        <w:rPr>
          <w:rFonts w:hint="eastAsia" w:ascii="仿宋_GB2312" w:hAnsi="仿宋_GB2312" w:eastAsia="仿宋_GB2312" w:cs="仿宋_GB2312"/>
          <w:color w:val="000000"/>
          <w:sz w:val="32"/>
          <w:szCs w:val="32"/>
        </w:rPr>
        <w:t>用经费较上年增加。</w:t>
      </w:r>
    </w:p>
    <w:p w14:paraId="21E8AB8C">
      <w:pPr>
        <w:pStyle w:val="6"/>
        <w:jc w:val="left"/>
      </w:pPr>
      <w:r>
        <w:rPr>
          <w:rFonts w:hint="eastAsia" w:eastAsia="仿宋"/>
        </w:rPr>
        <w:drawing>
          <wp:inline distT="0" distB="0" distL="114300" distR="114300">
            <wp:extent cx="5256530" cy="2988310"/>
            <wp:effectExtent l="5080" t="4445" r="15240" b="1714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163BF46">
      <w:pPr>
        <w:pStyle w:val="4"/>
        <w:spacing w:after="0" w:line="300" w:lineRule="exact"/>
        <w:ind w:firstLine="643" w:firstLineChars="200"/>
        <w:rPr>
          <w:rFonts w:ascii="黑体" w:eastAsia="黑体"/>
          <w:bCs w:val="0"/>
          <w:color w:val="000000"/>
        </w:rPr>
      </w:pPr>
      <w:bookmarkStart w:id="32" w:name="_Toc15377209"/>
      <w:bookmarkStart w:id="33" w:name="_Toc111208503"/>
      <w:bookmarkStart w:id="34" w:name="_Toc24563"/>
      <w:r>
        <w:rPr>
          <w:rFonts w:hint="eastAsia" w:ascii="黑体" w:eastAsia="黑体"/>
          <w:bCs w:val="0"/>
          <w:color w:val="000000"/>
        </w:rPr>
        <w:t>五、一般公共预算财政拨款支出决算情况说</w:t>
      </w:r>
      <w:bookmarkEnd w:id="32"/>
      <w:r>
        <w:rPr>
          <w:rFonts w:hint="eastAsia" w:ascii="黑体" w:eastAsia="黑体"/>
          <w:bCs w:val="0"/>
          <w:color w:val="000000"/>
        </w:rPr>
        <w:t>明</w:t>
      </w:r>
      <w:bookmarkEnd w:id="33"/>
      <w:bookmarkEnd w:id="34"/>
    </w:p>
    <w:p w14:paraId="008467DD">
      <w:pPr>
        <w:spacing w:line="600" w:lineRule="exact"/>
        <w:ind w:firstLine="643" w:firstLineChars="200"/>
        <w:outlineLvl w:val="2"/>
        <w:rPr>
          <w:rFonts w:ascii="仿宋_GB2312" w:hAnsi="仿宋_GB2312" w:eastAsia="仿宋_GB2312" w:cs="仿宋_GB2312"/>
          <w:b/>
          <w:color w:val="000000"/>
          <w:sz w:val="32"/>
          <w:szCs w:val="32"/>
        </w:rPr>
      </w:pPr>
      <w:bookmarkStart w:id="35" w:name="_Toc15377210"/>
      <w:r>
        <w:rPr>
          <w:rFonts w:hint="eastAsia" w:ascii="仿宋_GB2312" w:hAnsi="仿宋_GB2312" w:eastAsia="仿宋_GB2312" w:cs="仿宋_GB2312"/>
          <w:b/>
          <w:color w:val="000000"/>
          <w:sz w:val="32"/>
          <w:szCs w:val="32"/>
        </w:rPr>
        <w:t>（一）一般公共预算财政拨款支出决算总体情况</w:t>
      </w:r>
      <w:bookmarkEnd w:id="35"/>
    </w:p>
    <w:p w14:paraId="1979605A">
      <w:pPr>
        <w:spacing w:line="600" w:lineRule="exact"/>
        <w:ind w:firstLine="640" w:firstLineChars="200"/>
        <w:rPr>
          <w:rFonts w:ascii="仿宋_GB2312" w:eastAsia="仿宋_GB2312"/>
          <w:b/>
          <w:color w:val="000000"/>
          <w:sz w:val="32"/>
          <w:szCs w:val="32"/>
        </w:rPr>
      </w:pPr>
      <w:bookmarkStart w:id="36" w:name="_Toc15377211"/>
      <w:r>
        <w:rPr>
          <w:rFonts w:hint="eastAsia" w:ascii="仿宋_GB2312" w:hAnsi="仿宋_GB2312" w:eastAsia="仿宋_GB2312" w:cs="仿宋_GB2312"/>
          <w:color w:val="000000"/>
          <w:sz w:val="32"/>
          <w:szCs w:val="32"/>
        </w:rPr>
        <w:t>2025年度一般公共预算财政拨款支出1,633.01万元，占本年支出合计的85.1%。与2024年度相比，一般公共预算财政拨款增加445.72万元，增长37.5%。主要变动原因是</w:t>
      </w:r>
      <w:r>
        <w:rPr>
          <w:rFonts w:hint="eastAsia" w:ascii="仿宋_GB2312" w:hAnsi="仿宋_GB2312" w:eastAsia="仿宋_GB2312" w:cs="仿宋_GB2312"/>
          <w:color w:val="000000"/>
          <w:sz w:val="32"/>
          <w:szCs w:val="32"/>
          <w:lang w:val="en-US" w:eastAsia="zh-CN"/>
        </w:rPr>
        <w:t>:公</w:t>
      </w:r>
      <w:r>
        <w:rPr>
          <w:rFonts w:hint="eastAsia" w:ascii="仿宋_GB2312" w:hAnsi="仿宋_GB2312" w:eastAsia="仿宋_GB2312" w:cs="仿宋_GB2312"/>
          <w:color w:val="000000"/>
          <w:sz w:val="32"/>
          <w:szCs w:val="32"/>
        </w:rPr>
        <w:t>用经费较上年增加。</w:t>
      </w:r>
    </w:p>
    <w:p w14:paraId="6B071022">
      <w:pPr>
        <w:pStyle w:val="6"/>
        <w:ind w:firstLine="0"/>
        <w:rPr>
          <w:rFonts w:ascii="仿宋_GB2312" w:eastAsia="仿宋_GB2312"/>
          <w:b/>
          <w:color w:val="000000"/>
          <w:sz w:val="32"/>
          <w:szCs w:val="32"/>
        </w:rPr>
      </w:pPr>
      <w:r>
        <w:rPr>
          <w:rFonts w:hint="eastAsia" w:eastAsia="仿宋"/>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6314C7E">
      <w:pPr>
        <w:spacing w:line="600" w:lineRule="exact"/>
        <w:ind w:firstLine="643" w:firstLineChars="200"/>
        <w:outlineLvl w:val="2"/>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（二）一般公共预算财政拨款支出决算结构情况</w:t>
      </w:r>
      <w:bookmarkEnd w:id="36"/>
    </w:p>
    <w:p w14:paraId="0F9616EF">
      <w:pPr>
        <w:spacing w:line="600" w:lineRule="exact"/>
        <w:ind w:firstLine="640" w:firstLineChars="200"/>
        <w:rPr>
          <w:rFonts w:hint="eastAsia" w:ascii="仿宋_GB2312" w:hAnsi="仿宋_GB2312" w:eastAsia="仿宋_GB2312" w:cs="仿宋_GB2312"/>
          <w:color w:val="000000"/>
          <w:sz w:val="32"/>
          <w:szCs w:val="32"/>
        </w:rPr>
      </w:pPr>
      <w:bookmarkStart w:id="37" w:name="_Toc15377212"/>
      <w:r>
        <w:rPr>
          <w:rFonts w:hint="eastAsia" w:ascii="仿宋_GB2312" w:hAnsi="仿宋_GB2312" w:eastAsia="仿宋_GB2312" w:cs="仿宋_GB2312"/>
          <w:color w:val="000000"/>
          <w:sz w:val="32"/>
          <w:szCs w:val="32"/>
        </w:rPr>
        <w:t>2025年度一般公共预算财政拨款支出1,633.01万元，主要用于以下方面：</w:t>
      </w:r>
    </w:p>
    <w:p w14:paraId="53840644">
      <w:pPr>
        <w:spacing w:line="600" w:lineRule="exact"/>
        <w:ind w:firstLine="640" w:firstLineChars="200"/>
        <w:rPr>
          <w:rFonts w:ascii="仿宋_GB2312" w:hAnsi="仿宋" w:eastAsia="仿宋"/>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rPr>
        <w:t>一般公共服务支出664.05万元，占40.7%；社会保障和就业支出186.25万元，占11.4%；卫生健康支出33.51万元，占2%；节能环保支出119.22万元，占7.3%；农林水支出579.73万元，占35.5%；住房保障支出50.26万元，占3.1%。</w:t>
      </w:r>
    </w:p>
    <w:p w14:paraId="7105DEF9">
      <w:pPr>
        <w:pStyle w:val="6"/>
        <w:ind w:left="0" w:leftChars="0" w:firstLine="0" w:firstLineChars="0"/>
        <w:rPr>
          <w:rFonts w:hint="eastAsia" w:ascii="仿宋" w:hAnsi="仿宋" w:eastAsia="仿宋"/>
          <w:sz w:val="32"/>
          <w:szCs w:val="32"/>
        </w:rPr>
      </w:pPr>
      <w:r>
        <w:rPr>
          <w:rFonts w:hint="eastAsia" w:ascii="仿宋" w:hAnsi="仿宋" w:eastAsia="仿宋"/>
          <w:sz w:val="32"/>
          <w:szCs w:val="32"/>
        </w:rPr>
        <w:drawing>
          <wp:inline distT="0" distB="0" distL="114300" distR="114300">
            <wp:extent cx="5256530" cy="2988310"/>
            <wp:effectExtent l="5080" t="4445" r="15240" b="1714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B8D886">
      <w:pPr>
        <w:spacing w:line="600" w:lineRule="exact"/>
        <w:ind w:firstLine="643" w:firstLineChars="200"/>
        <w:outlineLvl w:val="2"/>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（三）一般公共预算财政拨款支出决算具体情况</w:t>
      </w:r>
      <w:bookmarkEnd w:id="37"/>
    </w:p>
    <w:p w14:paraId="57CAC181">
      <w:pPr>
        <w:spacing w:line="600" w:lineRule="exact"/>
        <w:ind w:firstLine="640" w:firstLineChars="200"/>
        <w:rPr>
          <w:rFonts w:hint="eastAsia" w:ascii="仿宋_GB2312" w:hAnsi="仿宋_GB2312" w:eastAsia="仿宋_GB2312" w:cs="仿宋_GB2312"/>
          <w:color w:val="000000"/>
          <w:sz w:val="32"/>
          <w:szCs w:val="32"/>
        </w:rPr>
      </w:pPr>
      <w:bookmarkStart w:id="38" w:name="_Toc15377444"/>
      <w:bookmarkStart w:id="39" w:name="_Toc15378460"/>
      <w:bookmarkStart w:id="40" w:name="_Toc15377213"/>
      <w:r>
        <w:rPr>
          <w:rFonts w:hint="eastAsia" w:ascii="仿宋_GB2312" w:hAnsi="仿宋_GB2312" w:eastAsia="仿宋_GB2312" w:cs="仿宋_GB2312"/>
          <w:color w:val="000000"/>
          <w:sz w:val="32"/>
          <w:szCs w:val="32"/>
        </w:rPr>
        <w:t>2</w:t>
      </w:r>
      <w:bookmarkEnd w:id="38"/>
      <w:bookmarkEnd w:id="39"/>
      <w:bookmarkEnd w:id="40"/>
      <w:r>
        <w:rPr>
          <w:rFonts w:hint="eastAsia" w:ascii="仿宋_GB2312" w:hAnsi="仿宋_GB2312" w:eastAsia="仿宋_GB2312" w:cs="仿宋_GB2312"/>
          <w:color w:val="000000"/>
          <w:sz w:val="32"/>
          <w:szCs w:val="32"/>
        </w:rPr>
        <w:t>025年度一般公共预算支出决算数为1,633.01万元，完成预算100%。其中：</w:t>
      </w:r>
    </w:p>
    <w:p w14:paraId="7310F686">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1.一般公共服务支出（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）人大事务（</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）代表工作（</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）：支出决算10万元，完成预算100%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25BEC7DF">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2.一般公共服务支出（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）政府办公厅（室）及相关机构事务（</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）行政运行（</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）：支出决算503.99万元，完成预算100%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38E86126">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3.一般公共服务支出（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）政府办公厅（室）及相关机构事务（</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）其他政府办公厅（室）及相关机构事务支出（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）：支出决算150.05万元，完成预算100%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4558672E">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）：支出决算51.5万元，完成预算100%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775D9A9A">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）：支出决算25.75万元，完成预算100%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472BBE7A">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）公益性岗位补贴（</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）：支出决算3.2万元，完成预算100%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2CE17326">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）残疾人事业（</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）其他残疾人事业支出（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）：支出决算0.8万元，完成预算100%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62AFD28F">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）其他社会保障和就业支出（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）其他社会保障和就业支出（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）：支出决算105万元，完成预算100%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200501E5">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9.卫生健康支出（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）行政单位医疗（</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）：支出决算33.51万元，完成预算100%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6BB2CAC2">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10.节能环保支出（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）自然生态保护（</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）生态保护（</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）：支出决算119.22万元，完成预算100%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601E3E83">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11.农林水支出（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）农业农村（</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）其他农业农村支出（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）：支出决算19.4万元，完成预算100%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444D85F8">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12.农林水支出（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）巩固脱贫攻坚成果衔接乡村振兴（</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）农村基础设施建设（</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）：支出决算25万元，完成预算100%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5EC4D57D">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13.农林水支出（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）巩固脱贫攻坚成果衔接乡村振兴（</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）其他巩固脱贫攻坚成果衔接乡村振兴支出（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）：支出决算272.31万元，完成预算100%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610ABA3E">
      <w:p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14.农林水支出（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）农村综合改革（</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）对村民委员会和村党支部的补助（</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）：支出决算263.02万元，完成预算100%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071117D9">
      <w:pPr>
        <w:spacing w:line="600" w:lineRule="exact"/>
        <w:ind w:firstLine="640" w:firstLineChars="200"/>
      </w:pPr>
      <w:r>
        <w:rPr>
          <w:rFonts w:hint="eastAsia" w:ascii="仿宋_GB2312" w:hAnsi="仿宋_GB2312" w:eastAsia="仿宋_GB2312" w:cs="仿宋_GB2312"/>
          <w:color w:val="000000"/>
          <w:sz w:val="32"/>
          <w:szCs w:val="32"/>
        </w:rPr>
        <w:t>15.住房保障支出（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）：支出决算50.26万元，完成预算100%</w:t>
      </w:r>
      <w:r>
        <w:rPr>
          <w:rFonts w:hint="eastAsia" w:ascii="仿宋_GB2312" w:eastAsia="仿宋_GB2312" w:cs="仿宋"/>
          <w:kern w:val="0"/>
          <w:sz w:val="32"/>
          <w:szCs w:val="32"/>
          <w:lang w:val="zh-CN"/>
        </w:rPr>
        <w:t>，决算数与预算数持平</w:t>
      </w:r>
      <w:r>
        <w:rPr>
          <w:rFonts w:hint="eastAsia" w:ascii="仿宋_GB2312" w:hAnsi="仿宋_GB2312" w:eastAsia="仿宋_GB2312" w:cs="仿宋_GB2312"/>
          <w:color w:val="000000"/>
          <w:sz w:val="32"/>
          <w:szCs w:val="32"/>
        </w:rPr>
        <w:t>。</w:t>
      </w:r>
    </w:p>
    <w:p w14:paraId="788F4525">
      <w:pPr>
        <w:pStyle w:val="4"/>
        <w:spacing w:after="0" w:line="300" w:lineRule="exact"/>
        <w:ind w:firstLine="643" w:firstLineChars="200"/>
        <w:rPr>
          <w:rFonts w:ascii="黑体" w:eastAsia="黑体"/>
          <w:bCs w:val="0"/>
          <w:color w:val="000000"/>
        </w:rPr>
      </w:pPr>
      <w:bookmarkStart w:id="41" w:name="_Toc15377214"/>
      <w:bookmarkStart w:id="42" w:name="_Toc302"/>
      <w:bookmarkStart w:id="43" w:name="_Toc111208504"/>
      <w:r>
        <w:rPr>
          <w:rFonts w:hint="eastAsia" w:ascii="黑体" w:eastAsia="黑体"/>
          <w:bCs w:val="0"/>
          <w:color w:val="000000"/>
        </w:rPr>
        <w:t>六、一般公共预算财政拨款基本支出决算情况说</w:t>
      </w:r>
      <w:bookmarkEnd w:id="41"/>
      <w:r>
        <w:rPr>
          <w:rFonts w:hint="eastAsia" w:ascii="黑体" w:eastAsia="黑体"/>
          <w:bCs w:val="0"/>
          <w:color w:val="000000"/>
        </w:rPr>
        <w:t>明</w:t>
      </w:r>
      <w:bookmarkEnd w:id="42"/>
      <w:bookmarkEnd w:id="43"/>
    </w:p>
    <w:p w14:paraId="55A7E3AB">
      <w:pPr>
        <w:spacing w:line="60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2025年度一般公共预算财政拨款基本支出665.01万元，其中：</w:t>
      </w:r>
    </w:p>
    <w:p w14:paraId="7522004D">
      <w:pPr>
        <w:spacing w:line="60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人员经费618.29万元，主要包括：基本工资149.54万元、津贴补贴132.39万元、奖金160.45万元、机关事业单位基本养老保险缴费51.5万元、职业年金缴费25.75万元、职工基本医疗保险缴费33.51万元、其他社会保障缴费0.77万元、住房公积金50.26万元、医疗费5.71万元、生活补助8.38万元、奖励金0.03万元。</w:t>
      </w:r>
    </w:p>
    <w:p w14:paraId="25077F7A">
      <w:pPr>
        <w:spacing w:line="60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公用经费46.73万元，主要包括：办公费12.7万元、电费2万元、邮电费3.2万元、差旅费4.7万元、培训费0.1万元、委托业务费1.6万元、福利费7.89万元、公务用车运行维护费8万元、其他商品和服务支出6.54万元。</w:t>
      </w:r>
    </w:p>
    <w:p w14:paraId="3C93AFF1">
      <w:pPr>
        <w:pStyle w:val="4"/>
        <w:spacing w:after="0" w:line="300" w:lineRule="exact"/>
        <w:ind w:firstLine="643" w:firstLineChars="200"/>
        <w:rPr>
          <w:rFonts w:ascii="黑体" w:eastAsia="黑体"/>
          <w:bCs w:val="0"/>
          <w:color w:val="000000"/>
        </w:rPr>
      </w:pPr>
      <w:bookmarkStart w:id="44" w:name="_Toc28562"/>
      <w:bookmarkStart w:id="45" w:name="_Toc15377215"/>
      <w:bookmarkStart w:id="46" w:name="_Toc111208505"/>
      <w:bookmarkStart w:id="47" w:name="_Toc111208506"/>
      <w:bookmarkStart w:id="48" w:name="_Toc15377218"/>
      <w:r>
        <w:rPr>
          <w:rFonts w:hint="eastAsia" w:ascii="黑体" w:eastAsia="黑体"/>
          <w:bCs w:val="0"/>
          <w:color w:val="000000"/>
        </w:rPr>
        <w:t>七、</w:t>
      </w:r>
      <w:r>
        <w:rPr>
          <w:rFonts w:hint="eastAsia" w:ascii="黑体" w:eastAsia="黑体"/>
          <w:b w:val="0"/>
          <w:bCs/>
          <w:color w:val="000000"/>
        </w:rPr>
        <w:t>“</w:t>
      </w:r>
      <w:r>
        <w:rPr>
          <w:rFonts w:hint="eastAsia" w:ascii="黑体" w:eastAsia="黑体"/>
          <w:bCs w:val="0"/>
          <w:color w:val="000000"/>
        </w:rPr>
        <w:t>三公</w:t>
      </w:r>
      <w:r>
        <w:rPr>
          <w:rFonts w:hint="eastAsia" w:ascii="黑体" w:eastAsia="黑体"/>
          <w:b w:val="0"/>
          <w:bCs/>
          <w:color w:val="000000"/>
        </w:rPr>
        <w:t>”</w:t>
      </w:r>
      <w:r>
        <w:rPr>
          <w:rFonts w:hint="eastAsia" w:ascii="黑体" w:eastAsia="黑体"/>
          <w:bCs w:val="0"/>
          <w:color w:val="000000"/>
        </w:rPr>
        <w:t>经费财政拨款支出决算情况说明</w:t>
      </w:r>
      <w:bookmarkEnd w:id="44"/>
      <w:bookmarkEnd w:id="45"/>
      <w:bookmarkEnd w:id="46"/>
    </w:p>
    <w:p w14:paraId="73247DA0">
      <w:pPr>
        <w:spacing w:line="600" w:lineRule="exact"/>
        <w:ind w:firstLine="643" w:firstLineChars="200"/>
        <w:outlineLvl w:val="2"/>
        <w:rPr>
          <w:rFonts w:ascii="仿宋_GB2312" w:hAnsi="仿宋_GB2312" w:eastAsia="仿宋_GB2312" w:cs="仿宋_GB2312"/>
          <w:b/>
          <w:color w:val="000000"/>
          <w:sz w:val="32"/>
          <w:szCs w:val="32"/>
        </w:rPr>
      </w:pPr>
      <w:bookmarkStart w:id="49" w:name="_Toc15377216"/>
      <w:r>
        <w:rPr>
          <w:rFonts w:hint="eastAsia" w:ascii="仿宋_GB2312" w:hAnsi="仿宋_GB2312" w:eastAsia="仿宋_GB2312" w:cs="仿宋_GB2312"/>
          <w:b/>
          <w:color w:val="000000"/>
          <w:sz w:val="32"/>
          <w:szCs w:val="32"/>
        </w:rPr>
        <w:t>（一）</w:t>
      </w:r>
      <w:r>
        <w:rPr>
          <w:rFonts w:hint="eastAsia" w:ascii="仿宋_GB2312" w:hAnsi="仿宋_GB2312" w:eastAsia="仿宋_GB2312" w:cs="仿宋_GB2312"/>
          <w:b w:val="0"/>
          <w:bCs/>
          <w:color w:val="000000"/>
          <w:sz w:val="32"/>
          <w:szCs w:val="32"/>
        </w:rPr>
        <w:t>“</w:t>
      </w:r>
      <w:r>
        <w:rPr>
          <w:rFonts w:hint="eastAsia" w:ascii="仿宋_GB2312" w:hAnsi="仿宋_GB2312" w:eastAsia="仿宋_GB2312" w:cs="仿宋_GB2312"/>
          <w:b/>
          <w:color w:val="000000"/>
          <w:sz w:val="32"/>
          <w:szCs w:val="32"/>
        </w:rPr>
        <w:t>三公</w:t>
      </w:r>
      <w:r>
        <w:rPr>
          <w:rFonts w:hint="eastAsia" w:ascii="仿宋_GB2312" w:hAnsi="仿宋_GB2312" w:eastAsia="仿宋_GB2312" w:cs="仿宋_GB2312"/>
          <w:b w:val="0"/>
          <w:bCs/>
          <w:color w:val="000000"/>
          <w:sz w:val="32"/>
          <w:szCs w:val="32"/>
        </w:rPr>
        <w:t>”</w:t>
      </w:r>
      <w:r>
        <w:rPr>
          <w:rFonts w:hint="eastAsia" w:ascii="仿宋_GB2312" w:hAnsi="仿宋_GB2312" w:eastAsia="仿宋_GB2312" w:cs="仿宋_GB2312"/>
          <w:b/>
          <w:color w:val="000000"/>
          <w:sz w:val="32"/>
          <w:szCs w:val="32"/>
        </w:rPr>
        <w:t>经费财政拨款支出决算总体情况说明</w:t>
      </w:r>
      <w:bookmarkEnd w:id="49"/>
    </w:p>
    <w:p w14:paraId="3BD995ED">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bookmarkStart w:id="50" w:name="_Toc15377217"/>
      <w:r>
        <w:rPr>
          <w:rFonts w:hint="eastAsia" w:ascii="仿宋_GB2312" w:hAnsi="仿宋_GB2312" w:eastAsia="仿宋_GB2312" w:cs="仿宋_GB2312"/>
          <w:color w:val="000000"/>
          <w:sz w:val="32"/>
          <w:szCs w:val="32"/>
        </w:rPr>
        <w:t>025年度"三公"经费财政拨款支出决算为8万元，完成预算100%，较上年度增加1万元，增长14.3%</w:t>
      </w:r>
      <w:r>
        <w:rPr>
          <w:rFonts w:hint="eastAsia" w:ascii="仿宋_GB2312" w:hAnsi="仿宋_GB2312" w:eastAsia="仿宋_GB2312" w:cs="仿宋_GB2312"/>
          <w:color w:val="000000"/>
          <w:sz w:val="32"/>
          <w:szCs w:val="32"/>
          <w:lang w:eastAsia="zh-CN"/>
        </w:rPr>
        <w:t>，</w:t>
      </w:r>
      <w:r>
        <w:rPr>
          <w:rFonts w:hint="eastAsia" w:ascii="仿宋_GB2312" w:eastAsia="仿宋_GB2312" w:cs="仿宋"/>
          <w:color w:val="000000"/>
          <w:kern w:val="0"/>
          <w:sz w:val="32"/>
          <w:szCs w:val="32"/>
          <w:lang w:val="en-US" w:eastAsia="zh-CN"/>
        </w:rPr>
        <w:t>主要原因是:</w:t>
      </w:r>
      <w:r>
        <w:rPr>
          <w:rFonts w:hint="eastAsia" w:ascii="仿宋_GB2312" w:hAnsi="仿宋_GB2312" w:eastAsia="仿宋_GB2312" w:cs="仿宋_GB2312"/>
          <w:color w:val="000000"/>
          <w:sz w:val="32"/>
          <w:szCs w:val="32"/>
        </w:rPr>
        <w:t>下村</w:t>
      </w:r>
      <w:r>
        <w:rPr>
          <w:rFonts w:hint="eastAsia" w:ascii="仿宋_GB2312" w:hAnsi="仿宋_GB2312" w:eastAsia="仿宋_GB2312" w:cs="仿宋_GB2312"/>
          <w:color w:val="000000"/>
          <w:sz w:val="32"/>
          <w:szCs w:val="32"/>
          <w:lang w:val="en-US" w:eastAsia="zh-CN"/>
        </w:rPr>
        <w:t>开展</w:t>
      </w:r>
      <w:r>
        <w:rPr>
          <w:rFonts w:hint="eastAsia" w:ascii="仿宋_GB2312" w:hAnsi="仿宋_GB2312" w:eastAsia="仿宋_GB2312" w:cs="仿宋_GB2312"/>
          <w:color w:val="000000"/>
          <w:sz w:val="32"/>
          <w:szCs w:val="32"/>
        </w:rPr>
        <w:t>工作</w:t>
      </w:r>
      <w:r>
        <w:rPr>
          <w:rFonts w:hint="eastAsia" w:ascii="仿宋_GB2312" w:eastAsia="仿宋_GB2312" w:cs="仿宋"/>
          <w:color w:val="000000"/>
          <w:kern w:val="0"/>
          <w:sz w:val="32"/>
          <w:szCs w:val="32"/>
          <w:lang w:val="en-US" w:eastAsia="zh-CN"/>
        </w:rPr>
        <w:t>增加</w:t>
      </w:r>
      <w:r>
        <w:rPr>
          <w:rFonts w:hint="eastAsia" w:ascii="仿宋_GB2312" w:eastAsia="仿宋_GB2312" w:cs="仿宋"/>
          <w:color w:val="000000"/>
          <w:kern w:val="0"/>
          <w:sz w:val="32"/>
          <w:szCs w:val="32"/>
          <w:lang w:val="zh-CN"/>
        </w:rPr>
        <w:t>。</w:t>
      </w:r>
    </w:p>
    <w:p w14:paraId="5B5026B2">
      <w:pPr>
        <w:spacing w:line="600" w:lineRule="exact"/>
        <w:ind w:firstLine="643" w:firstLineChars="200"/>
        <w:outlineLvl w:val="2"/>
        <w:rPr>
          <w:rFonts w:ascii="仿宋" w:eastAsia="仿宋"/>
          <w:b/>
          <w:color w:val="000000"/>
          <w:sz w:val="32"/>
          <w:szCs w:val="32"/>
        </w:rPr>
      </w:pPr>
      <w:r>
        <w:rPr>
          <w:rFonts w:hint="eastAsia" w:ascii="仿宋" w:eastAsia="仿宋"/>
          <w:b/>
          <w:color w:val="000000"/>
          <w:sz w:val="32"/>
          <w:szCs w:val="32"/>
        </w:rPr>
        <w:t>（二）</w:t>
      </w:r>
      <w:r>
        <w:rPr>
          <w:rFonts w:hint="eastAsia" w:ascii="仿宋" w:eastAsia="仿宋"/>
          <w:b w:val="0"/>
          <w:bCs/>
          <w:color w:val="000000"/>
          <w:sz w:val="32"/>
          <w:szCs w:val="32"/>
        </w:rPr>
        <w:t>“</w:t>
      </w:r>
      <w:r>
        <w:rPr>
          <w:rFonts w:hint="eastAsia" w:ascii="仿宋" w:eastAsia="仿宋"/>
          <w:b/>
          <w:color w:val="000000"/>
          <w:sz w:val="32"/>
          <w:szCs w:val="32"/>
        </w:rPr>
        <w:t>三公</w:t>
      </w:r>
      <w:bookmarkStart w:id="83" w:name="_GoBack"/>
      <w:r>
        <w:rPr>
          <w:rFonts w:hint="eastAsia" w:ascii="仿宋" w:eastAsia="仿宋"/>
          <w:b w:val="0"/>
          <w:bCs/>
          <w:color w:val="000000"/>
          <w:sz w:val="32"/>
          <w:szCs w:val="32"/>
        </w:rPr>
        <w:t>”</w:t>
      </w:r>
      <w:bookmarkEnd w:id="83"/>
      <w:r>
        <w:rPr>
          <w:rFonts w:hint="eastAsia" w:ascii="仿宋" w:eastAsia="仿宋"/>
          <w:b/>
          <w:color w:val="000000"/>
          <w:sz w:val="32"/>
          <w:szCs w:val="32"/>
        </w:rPr>
        <w:t>经费财政拨款支出决算具体情况说明</w:t>
      </w:r>
      <w:bookmarkEnd w:id="50"/>
    </w:p>
    <w:p w14:paraId="19ADD343">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2025年度"三公"经费财政拨款支出8万元，公务用车购置及运行维护费支出决算8万元，占100%。具体情况如下：</w:t>
      </w:r>
    </w:p>
    <w:p w14:paraId="630E44CC">
      <w:pPr>
        <w:pStyle w:val="6"/>
        <w:rPr>
          <w:rFonts w:hint="eastAsia" w:eastAsia="仿宋"/>
        </w:rPr>
      </w:pPr>
      <w:r>
        <w:rPr>
          <w:rFonts w:hint="eastAsia" w:eastAsia="仿宋"/>
        </w:rPr>
        <w:drawing>
          <wp:inline distT="0" distB="0" distL="114300" distR="114300">
            <wp:extent cx="5256530" cy="2988310"/>
            <wp:effectExtent l="5080" t="4445" r="15240" b="17145"/>
            <wp:docPr id="5" name="图表 5" descr="7b0a202020202263686172745265734964223a202232303437353534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FC3C677">
      <w:pPr>
        <w:numPr>
          <w:ilvl w:val="0"/>
          <w:numId w:val="2"/>
        </w:num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因公出国（境）经费支出</w:t>
      </w:r>
      <w:r>
        <w:rPr>
          <w:rFonts w:hint="eastAsia" w:ascii="仿宋_GB2312" w:hAnsi="仿宋_GB2312" w:eastAsia="仿宋_GB2312" w:cs="仿宋_GB2312"/>
          <w:color w:val="000000"/>
          <w:sz w:val="32"/>
        </w:rPr>
        <w:t>0</w:t>
      </w:r>
      <w:r>
        <w:rPr>
          <w:rFonts w:hint="eastAsia" w:ascii="仿宋_GB2312" w:hAnsi="仿宋_GB2312" w:eastAsia="仿宋_GB2312" w:cs="仿宋_GB2312"/>
          <w:color w:val="000000"/>
          <w:sz w:val="32"/>
          <w:szCs w:val="32"/>
        </w:rPr>
        <w:t>万元。</w:t>
      </w:r>
    </w:p>
    <w:p w14:paraId="45A1D159">
      <w:pPr>
        <w:numPr>
          <w:ilvl w:val="0"/>
          <w:numId w:val="0"/>
        </w:num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2.公务用车购置及运行维护费支出</w:t>
      </w:r>
      <w:r>
        <w:rPr>
          <w:rFonts w:hint="eastAsia" w:ascii="仿宋_GB2312" w:hAnsi="仿宋_GB2312" w:eastAsia="仿宋_GB2312" w:cs="仿宋_GB2312"/>
          <w:color w:val="000000"/>
          <w:sz w:val="32"/>
          <w:lang w:val="en-US" w:eastAsia="zh-CN"/>
        </w:rPr>
        <w:t>8</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000000"/>
          <w:sz w:val="32"/>
        </w:rPr>
        <w:t>100</w:t>
      </w:r>
      <w:r>
        <w:rPr>
          <w:rFonts w:hint="eastAsia" w:ascii="仿宋_GB2312" w:hAnsi="仿宋_GB2312" w:eastAsia="仿宋_GB2312" w:cs="仿宋_GB2312"/>
          <w:color w:val="000000"/>
          <w:sz w:val="32"/>
          <w:szCs w:val="32"/>
        </w:rPr>
        <w:t>%。公务用车购置及运行维护费支出决算</w:t>
      </w:r>
      <w:r>
        <w:rPr>
          <w:rFonts w:hint="eastAsia" w:ascii="仿宋_GB2312" w:hAnsi="仿宋_GB2312" w:eastAsia="仿宋_GB2312" w:cs="仿宋_GB2312"/>
          <w:color w:val="000000"/>
          <w:sz w:val="32"/>
          <w:szCs w:val="32"/>
          <w:lang w:eastAsia="zh-CN"/>
        </w:rPr>
        <w:t>与上年度相</w:t>
      </w:r>
      <w:r>
        <w:rPr>
          <w:rFonts w:hint="eastAsia" w:ascii="仿宋_GB2312" w:hAnsi="仿宋_GB2312" w:eastAsia="仿宋_GB2312" w:cs="仿宋_GB2312"/>
          <w:color w:val="000000"/>
          <w:sz w:val="32"/>
          <w:szCs w:val="32"/>
        </w:rPr>
        <w:t>比增加1万元，增长14.3%。主要原因是</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下村</w:t>
      </w:r>
      <w:r>
        <w:rPr>
          <w:rFonts w:hint="eastAsia" w:ascii="仿宋_GB2312" w:hAnsi="仿宋_GB2312" w:eastAsia="仿宋_GB2312" w:cs="仿宋_GB2312"/>
          <w:color w:val="000000"/>
          <w:sz w:val="32"/>
          <w:szCs w:val="32"/>
          <w:lang w:val="en-US" w:eastAsia="zh-CN"/>
        </w:rPr>
        <w:t>开展</w:t>
      </w:r>
      <w:r>
        <w:rPr>
          <w:rFonts w:hint="eastAsia" w:ascii="仿宋_GB2312" w:hAnsi="仿宋_GB2312" w:eastAsia="仿宋_GB2312" w:cs="仿宋_GB2312"/>
          <w:color w:val="000000"/>
          <w:sz w:val="32"/>
          <w:szCs w:val="32"/>
        </w:rPr>
        <w:t>工作增加。</w:t>
      </w:r>
    </w:p>
    <w:p w14:paraId="4FA3AD2C">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其中：公务用车购置支出</w:t>
      </w:r>
      <w:r>
        <w:rPr>
          <w:rFonts w:hint="eastAsia" w:ascii="仿宋_GB2312" w:hAnsi="仿宋_GB2312" w:eastAsia="仿宋_GB2312" w:cs="仿宋_GB2312"/>
          <w:color w:val="000000"/>
          <w:sz w:val="32"/>
        </w:rPr>
        <w:t>0万元。全年按规定更新购置公务用车0辆，其中：轿车0辆、金额0万元，越野车0辆、金额0万元，载客汽车0辆、金额0万元。截至</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年，单位共有公务用车2辆，其中：轿车</w:t>
      </w:r>
      <w:r>
        <w:rPr>
          <w:rFonts w:hint="eastAsia" w:ascii="仿宋_GB2312" w:hAnsi="仿宋_GB2312" w:eastAsia="仿宋_GB2312" w:cs="仿宋_GB2312"/>
          <w:color w:val="000000"/>
          <w:sz w:val="32"/>
        </w:rPr>
        <w:t>1辆、消防车1辆、载客汽车0辆。</w:t>
      </w:r>
    </w:p>
    <w:p w14:paraId="331A4DE0">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公务用车运行维护费支出</w:t>
      </w:r>
      <w:r>
        <w:rPr>
          <w:rFonts w:hint="eastAsia" w:ascii="仿宋_GB2312" w:hAnsi="仿宋_GB2312" w:eastAsia="仿宋_GB2312" w:cs="仿宋_GB2312"/>
          <w:color w:val="000000"/>
          <w:sz w:val="32"/>
          <w:lang w:val="en-US" w:eastAsia="zh-CN"/>
        </w:rPr>
        <w:t>8</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rPr>
        <w:t>主要用于下村等工作所需的公务用车燃料费、维修费、过路过桥费、保险费等支出。</w:t>
      </w:r>
    </w:p>
    <w:p w14:paraId="6F0DBB93">
      <w:pPr>
        <w:pStyle w:val="6"/>
        <w:numPr>
          <w:ilvl w:val="0"/>
          <w:numId w:val="0"/>
        </w:numPr>
        <w:ind w:left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公务接待费</w:t>
      </w:r>
    </w:p>
    <w:p w14:paraId="1FFC6BE3">
      <w:pPr>
        <w:pStyle w:val="6"/>
        <w:ind w:left="420" w:leftChars="200" w:firstLine="0"/>
        <w:rPr>
          <w:rFonts w:ascii="仿宋" w:eastAsia="仿宋"/>
          <w:color w:val="000000"/>
          <w:sz w:val="32"/>
          <w:szCs w:val="32"/>
        </w:rPr>
      </w:pPr>
      <w:r>
        <w:rPr>
          <w:rFonts w:hint="eastAsia" w:ascii="仿宋_GB2312" w:eastAsia="仿宋_GB2312" w:cs="仿宋"/>
          <w:color w:val="000000"/>
          <w:kern w:val="0"/>
          <w:sz w:val="32"/>
          <w:szCs w:val="32"/>
          <w:lang w:val="zh-CN"/>
        </w:rPr>
        <w:t>202</w:t>
      </w:r>
      <w:r>
        <w:rPr>
          <w:rFonts w:hint="eastAsia" w:ascii="仿宋_GB2312" w:eastAsia="仿宋_GB2312" w:cs="仿宋"/>
          <w:color w:val="000000"/>
          <w:kern w:val="0"/>
          <w:sz w:val="32"/>
          <w:szCs w:val="32"/>
          <w:lang w:val="en-US" w:eastAsia="zh-CN"/>
        </w:rPr>
        <w:t>5</w:t>
      </w:r>
      <w:r>
        <w:rPr>
          <w:rFonts w:hint="eastAsia" w:ascii="仿宋_GB2312" w:eastAsia="仿宋_GB2312" w:cs="仿宋"/>
          <w:color w:val="000000"/>
          <w:kern w:val="0"/>
          <w:sz w:val="32"/>
          <w:szCs w:val="32"/>
          <w:lang w:val="zh-CN"/>
        </w:rPr>
        <w:t>年</w:t>
      </w:r>
      <w:r>
        <w:rPr>
          <w:rFonts w:hint="eastAsia" w:ascii="仿宋_GB2312" w:eastAsia="仿宋_GB2312" w:cs="仿宋"/>
          <w:color w:val="000000"/>
          <w:kern w:val="0"/>
          <w:sz w:val="32"/>
          <w:szCs w:val="32"/>
          <w:lang w:val="en-US" w:eastAsia="zh-CN"/>
        </w:rPr>
        <w:t>度</w:t>
      </w:r>
      <w:r>
        <w:rPr>
          <w:rFonts w:hint="eastAsia" w:ascii="仿宋_GB2312" w:hAnsi="仿宋_GB2312" w:eastAsia="仿宋_GB2312" w:cs="仿宋_GB2312"/>
          <w:color w:val="000000"/>
          <w:sz w:val="32"/>
          <w:szCs w:val="32"/>
        </w:rPr>
        <w:t>公务接待费支出0万元。</w:t>
      </w:r>
    </w:p>
    <w:p w14:paraId="144D2D50">
      <w:pPr>
        <w:pStyle w:val="4"/>
        <w:spacing w:before="0" w:after="0" w:line="500" w:lineRule="exact"/>
        <w:ind w:firstLine="643" w:firstLineChars="200"/>
        <w:rPr>
          <w:rFonts w:ascii="黑体" w:eastAsia="黑体"/>
          <w:bCs w:val="0"/>
          <w:color w:val="000000"/>
        </w:rPr>
      </w:pPr>
      <w:bookmarkStart w:id="51" w:name="_Toc31641"/>
      <w:r>
        <w:rPr>
          <w:rFonts w:hint="eastAsia" w:ascii="黑体" w:eastAsia="黑体"/>
          <w:bCs w:val="0"/>
          <w:color w:val="000000"/>
        </w:rPr>
        <w:t>八、政府性基金预算支出决算情况说明</w:t>
      </w:r>
      <w:bookmarkEnd w:id="47"/>
      <w:bookmarkEnd w:id="48"/>
      <w:bookmarkEnd w:id="51"/>
    </w:p>
    <w:p w14:paraId="030127A5">
      <w:pPr>
        <w:spacing w:line="15" w:lineRule="auto"/>
        <w:ind w:firstLine="640" w:firstLineChars="200"/>
        <w:rPr>
          <w:rFonts w:ascii="仿宋_GB2312" w:eastAsia="仿宋_GB2312" w:cs="仿宋"/>
          <w:color w:val="000000"/>
          <w:kern w:val="0"/>
          <w:sz w:val="32"/>
          <w:szCs w:val="32"/>
          <w:lang w:val="zh-CN"/>
        </w:rPr>
      </w:pPr>
      <w:bookmarkStart w:id="52" w:name="_Toc15377219"/>
      <w:bookmarkStart w:id="53" w:name="_Toc111208507"/>
      <w:r>
        <w:rPr>
          <w:rFonts w:hint="eastAsia" w:ascii="仿宋_GB2312" w:eastAsia="仿宋_GB2312" w:cs="仿宋"/>
          <w:color w:val="000000"/>
          <w:kern w:val="0"/>
          <w:sz w:val="32"/>
          <w:szCs w:val="32"/>
          <w:lang w:val="zh-CN"/>
        </w:rPr>
        <w:t>2025年度政府性基金预算拨款支出32.5万元，占本年</w:t>
      </w:r>
      <w:r>
        <w:rPr>
          <w:rFonts w:hint="eastAsia" w:ascii="仿宋_GB2312" w:eastAsia="仿宋_GB2312" w:cs="仿宋"/>
          <w:color w:val="000000"/>
          <w:kern w:val="0"/>
          <w:sz w:val="32"/>
          <w:szCs w:val="32"/>
          <w:lang w:val="en-US" w:eastAsia="zh-CN"/>
        </w:rPr>
        <w:t>度</w:t>
      </w:r>
      <w:r>
        <w:rPr>
          <w:rFonts w:hint="eastAsia" w:ascii="仿宋_GB2312" w:eastAsia="仿宋_GB2312" w:cs="仿宋"/>
          <w:color w:val="000000"/>
          <w:kern w:val="0"/>
          <w:sz w:val="32"/>
          <w:szCs w:val="32"/>
          <w:lang w:val="zh-CN"/>
        </w:rPr>
        <w:t>支出合计的1.7%。与上年度相比，政府性基金预算财政拨款支出增加32.49万元，</w:t>
      </w:r>
      <w:r>
        <w:rPr>
          <w:rFonts w:hint="eastAsia" w:ascii="仿宋_GB2312" w:eastAsia="仿宋_GB2312" w:cs="仿宋"/>
          <w:color w:val="auto"/>
          <w:kern w:val="0"/>
          <w:sz w:val="32"/>
          <w:szCs w:val="32"/>
          <w:lang w:val="zh-CN"/>
        </w:rPr>
        <w:t>增长</w:t>
      </w:r>
      <w:r>
        <w:rPr>
          <w:rFonts w:hint="eastAsia" w:ascii="仿宋_GB2312" w:eastAsia="仿宋_GB2312" w:cs="仿宋"/>
          <w:color w:val="auto"/>
          <w:kern w:val="0"/>
          <w:sz w:val="32"/>
          <w:szCs w:val="32"/>
          <w:lang w:val="en-US" w:eastAsia="zh-CN"/>
        </w:rPr>
        <w:t>99</w:t>
      </w:r>
      <w:r>
        <w:rPr>
          <w:rFonts w:hint="eastAsia" w:ascii="仿宋_GB2312" w:eastAsia="仿宋_GB2312" w:cs="仿宋"/>
          <w:color w:val="000000"/>
          <w:kern w:val="0"/>
          <w:sz w:val="32"/>
          <w:szCs w:val="32"/>
          <w:lang w:val="en-US" w:eastAsia="zh-CN"/>
        </w:rPr>
        <w:t>%</w:t>
      </w:r>
      <w:r>
        <w:rPr>
          <w:rFonts w:hint="eastAsia" w:ascii="仿宋_GB2312" w:eastAsia="仿宋_GB2312" w:cs="仿宋"/>
          <w:color w:val="000000"/>
          <w:kern w:val="0"/>
          <w:sz w:val="32"/>
          <w:szCs w:val="32"/>
          <w:lang w:val="zh-CN"/>
        </w:rPr>
        <w:t>。主要变动原因是：项目较上年增加。</w:t>
      </w:r>
    </w:p>
    <w:p w14:paraId="7F60B72A">
      <w:pPr>
        <w:pStyle w:val="4"/>
        <w:spacing w:before="0" w:after="0" w:line="500" w:lineRule="exact"/>
        <w:ind w:firstLine="643" w:firstLineChars="200"/>
        <w:rPr>
          <w:rFonts w:ascii="黑体" w:eastAsia="黑体"/>
          <w:bCs w:val="0"/>
          <w:color w:val="000000"/>
        </w:rPr>
      </w:pPr>
      <w:bookmarkStart w:id="54" w:name="_Toc10655"/>
      <w:r>
        <w:rPr>
          <w:rFonts w:hint="eastAsia" w:ascii="黑体" w:eastAsia="黑体"/>
          <w:bCs w:val="0"/>
          <w:color w:val="000000"/>
        </w:rPr>
        <w:t>九、国有资本经营预算支出决算情况说明</w:t>
      </w:r>
      <w:bookmarkEnd w:id="52"/>
      <w:bookmarkEnd w:id="53"/>
      <w:bookmarkEnd w:id="54"/>
    </w:p>
    <w:p w14:paraId="2C8F28E4">
      <w:pPr>
        <w:spacing w:line="500" w:lineRule="exact"/>
        <w:ind w:firstLine="640"/>
        <w:rPr>
          <w:rFonts w:ascii="仿宋_GB2312" w:hAnsi="仿宋_GB2312" w:eastAsia="仿宋_GB2312" w:cs="仿宋_GB2312"/>
          <w:color w:val="000000"/>
          <w:sz w:val="32"/>
          <w:szCs w:val="32"/>
        </w:rPr>
      </w:pPr>
      <w:r>
        <w:rPr>
          <w:rFonts w:hint="eastAsia" w:ascii="仿宋_GB2312" w:eastAsia="仿宋_GB2312" w:cs="仿宋"/>
          <w:color w:val="000000"/>
          <w:kern w:val="0"/>
          <w:sz w:val="32"/>
          <w:szCs w:val="32"/>
          <w:lang w:val="zh-CN"/>
        </w:rPr>
        <w:t>202</w:t>
      </w:r>
      <w:r>
        <w:rPr>
          <w:rFonts w:hint="eastAsia" w:ascii="仿宋_GB2312" w:eastAsia="仿宋_GB2312" w:cs="仿宋"/>
          <w:color w:val="000000"/>
          <w:kern w:val="0"/>
          <w:sz w:val="32"/>
          <w:szCs w:val="32"/>
          <w:lang w:val="en-US" w:eastAsia="zh-CN"/>
        </w:rPr>
        <w:t>5</w:t>
      </w:r>
      <w:r>
        <w:rPr>
          <w:rFonts w:hint="eastAsia" w:ascii="仿宋_GB2312" w:eastAsia="仿宋_GB2312" w:cs="仿宋"/>
          <w:color w:val="000000"/>
          <w:kern w:val="0"/>
          <w:sz w:val="32"/>
          <w:szCs w:val="32"/>
          <w:lang w:val="zh-CN"/>
        </w:rPr>
        <w:t>年</w:t>
      </w:r>
      <w:r>
        <w:rPr>
          <w:rFonts w:hint="eastAsia" w:ascii="仿宋_GB2312" w:eastAsia="仿宋_GB2312" w:cs="仿宋"/>
          <w:color w:val="000000"/>
          <w:kern w:val="0"/>
          <w:sz w:val="32"/>
          <w:szCs w:val="32"/>
          <w:lang w:val="en-US" w:eastAsia="zh-CN"/>
        </w:rPr>
        <w:t>度</w:t>
      </w:r>
      <w:r>
        <w:rPr>
          <w:rFonts w:hint="eastAsia" w:ascii="仿宋_GB2312" w:hAnsi="仿宋_GB2312" w:eastAsia="仿宋_GB2312" w:cs="仿宋_GB2312"/>
          <w:color w:val="000000"/>
          <w:sz w:val="32"/>
          <w:szCs w:val="32"/>
        </w:rPr>
        <w:t>国有资本经营预算拨款支出0万元。</w:t>
      </w:r>
    </w:p>
    <w:p w14:paraId="61A9C8E8">
      <w:pPr>
        <w:pStyle w:val="4"/>
        <w:spacing w:before="0" w:after="0" w:line="500" w:lineRule="exact"/>
        <w:ind w:firstLine="643" w:firstLineChars="200"/>
        <w:rPr>
          <w:rFonts w:hint="eastAsia" w:ascii="黑体" w:eastAsia="黑体"/>
          <w:bCs w:val="0"/>
          <w:color w:val="000000"/>
        </w:rPr>
      </w:pPr>
      <w:bookmarkStart w:id="55" w:name="_Toc25135"/>
      <w:bookmarkStart w:id="56" w:name="_Toc15377221"/>
      <w:bookmarkStart w:id="57" w:name="_Toc111208508"/>
      <w:r>
        <w:rPr>
          <w:rFonts w:hint="eastAsia" w:ascii="黑体" w:eastAsia="黑体"/>
          <w:bCs w:val="0"/>
          <w:color w:val="000000"/>
        </w:rPr>
        <w:t>十、其他重要事项的情况说明</w:t>
      </w:r>
      <w:bookmarkEnd w:id="55"/>
      <w:bookmarkEnd w:id="56"/>
      <w:bookmarkEnd w:id="57"/>
    </w:p>
    <w:p w14:paraId="513EBEC1">
      <w:pPr>
        <w:spacing w:line="400" w:lineRule="exact"/>
        <w:ind w:firstLine="643" w:firstLineChars="200"/>
        <w:outlineLvl w:val="2"/>
        <w:rPr>
          <w:rFonts w:ascii="仿宋_GB2312" w:hAnsi="仿宋_GB2312" w:eastAsia="仿宋_GB2312" w:cs="仿宋_GB2312"/>
          <w:b/>
          <w:color w:val="000000"/>
          <w:sz w:val="32"/>
          <w:szCs w:val="32"/>
        </w:rPr>
      </w:pPr>
      <w:bookmarkStart w:id="58" w:name="_Toc15377222"/>
      <w:r>
        <w:rPr>
          <w:rFonts w:hint="eastAsia" w:ascii="仿宋_GB2312" w:hAnsi="仿宋_GB2312" w:eastAsia="仿宋_GB2312" w:cs="仿宋_GB2312"/>
          <w:b/>
          <w:color w:val="000000"/>
          <w:sz w:val="32"/>
          <w:szCs w:val="32"/>
        </w:rPr>
        <w:t>（一）机关运行经费支出情况</w:t>
      </w:r>
      <w:bookmarkEnd w:id="58"/>
    </w:p>
    <w:p w14:paraId="2FD3576D">
      <w:pPr>
        <w:spacing w:line="5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2025年度，茂县南新镇人民政府（本级）机关运行经费支出46.73万元，</w:t>
      </w:r>
      <w:r>
        <w:rPr>
          <w:rFonts w:hint="eastAsia" w:ascii="仿宋_GB2312" w:hAnsi="仿宋_GB2312" w:eastAsia="仿宋_GB2312" w:cs="仿宋_GB2312"/>
          <w:color w:val="000000"/>
          <w:sz w:val="32"/>
          <w:szCs w:val="32"/>
          <w:lang w:eastAsia="zh-CN"/>
        </w:rPr>
        <w:t>与上年度相</w:t>
      </w:r>
      <w:r>
        <w:rPr>
          <w:rFonts w:hint="eastAsia" w:ascii="仿宋_GB2312" w:hAnsi="仿宋_GB2312" w:eastAsia="仿宋_GB2312" w:cs="仿宋_GB2312"/>
          <w:color w:val="000000"/>
          <w:sz w:val="32"/>
          <w:szCs w:val="32"/>
        </w:rPr>
        <w:t>比增加17.64万元，增长37.8%。主要原因是</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公</w:t>
      </w:r>
      <w:r>
        <w:rPr>
          <w:rFonts w:hint="eastAsia" w:ascii="仿宋_GB2312" w:hAnsi="仿宋_GB2312" w:eastAsia="仿宋_GB2312" w:cs="仿宋_GB2312"/>
          <w:color w:val="000000"/>
          <w:sz w:val="32"/>
          <w:szCs w:val="32"/>
        </w:rPr>
        <w:t>用经费较上年增加。</w:t>
      </w:r>
    </w:p>
    <w:p w14:paraId="5DD050DB">
      <w:pPr>
        <w:spacing w:line="600" w:lineRule="exact"/>
        <w:ind w:firstLine="643" w:firstLineChars="200"/>
        <w:outlineLvl w:val="2"/>
        <w:rPr>
          <w:rFonts w:ascii="仿宋_GB2312" w:hAnsi="仿宋_GB2312" w:eastAsia="仿宋_GB2312" w:cs="仿宋_GB2312"/>
          <w:b/>
          <w:color w:val="000000"/>
          <w:sz w:val="32"/>
          <w:szCs w:val="32"/>
        </w:rPr>
      </w:pPr>
      <w:bookmarkStart w:id="59" w:name="_Toc15377223"/>
      <w:r>
        <w:rPr>
          <w:rFonts w:hint="eastAsia" w:ascii="仿宋_GB2312" w:hAnsi="仿宋_GB2312" w:eastAsia="仿宋_GB2312" w:cs="仿宋_GB2312"/>
          <w:b/>
          <w:color w:val="000000"/>
          <w:sz w:val="32"/>
          <w:szCs w:val="32"/>
        </w:rPr>
        <w:t>（二）政府采购支出情况</w:t>
      </w:r>
      <w:bookmarkEnd w:id="59"/>
    </w:p>
    <w:p w14:paraId="7441D501">
      <w:pPr>
        <w:spacing w:line="15" w:lineRule="auto"/>
        <w:ind w:firstLine="640" w:firstLineChars="200"/>
        <w:rPr>
          <w:rFonts w:hint="eastAsia" w:ascii="仿宋_GB2312" w:eastAsia="仿宋_GB2312" w:cs="仿宋"/>
          <w:color w:val="000000"/>
          <w:kern w:val="0"/>
          <w:sz w:val="32"/>
          <w:szCs w:val="32"/>
          <w:lang w:val="zh-CN"/>
        </w:rPr>
      </w:pPr>
      <w:bookmarkStart w:id="60" w:name="_Toc15377224"/>
      <w:r>
        <w:rPr>
          <w:rFonts w:hint="eastAsia" w:ascii="仿宋_GB2312" w:eastAsia="仿宋_GB2312" w:cs="仿宋"/>
          <w:color w:val="000000"/>
          <w:kern w:val="0"/>
          <w:sz w:val="32"/>
          <w:szCs w:val="32"/>
          <w:lang w:val="zh-CN"/>
        </w:rPr>
        <w:t>2025年度，茂县南新镇人民政府（本级）政府采购支出总额120.86万元，其中：政府采购货物支出0万元、政府采购工程支出120.86万元、政府采购服务支出0万元。授予中小企业合同金额0万元，占政府采购支出总额的0%，其中：授予小微企业合同金额0万元，占政府采购支出总额的0%。</w:t>
      </w:r>
    </w:p>
    <w:p w14:paraId="6FCCA40A">
      <w:pPr>
        <w:spacing w:line="600" w:lineRule="exact"/>
        <w:ind w:firstLine="643" w:firstLineChars="200"/>
        <w:outlineLvl w:val="2"/>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（三）国有资产占有使用情况</w:t>
      </w:r>
      <w:bookmarkEnd w:id="60"/>
    </w:p>
    <w:p w14:paraId="396CC042">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rPr>
        <w:t>202</w:t>
      </w:r>
      <w:r>
        <w:rPr>
          <w:rFonts w:hint="eastAsia" w:ascii="仿宋_GB2312" w:hAnsi="仿宋_GB2312" w:eastAsia="仿宋_GB2312" w:cs="仿宋_GB2312"/>
          <w:color w:val="000000"/>
          <w:sz w:val="32"/>
          <w:lang w:val="en-US" w:eastAsia="zh-CN"/>
        </w:rPr>
        <w:t>5</w:t>
      </w:r>
      <w:r>
        <w:rPr>
          <w:rFonts w:hint="eastAsia" w:ascii="仿宋_GB2312" w:hAnsi="仿宋_GB2312" w:eastAsia="仿宋_GB2312" w:cs="仿宋_GB2312"/>
          <w:color w:val="000000"/>
          <w:sz w:val="32"/>
        </w:rPr>
        <w:t>年</w:t>
      </w:r>
      <w:r>
        <w:rPr>
          <w:rFonts w:hint="eastAsia" w:ascii="仿宋_GB2312" w:hAnsi="仿宋_GB2312" w:eastAsia="仿宋_GB2312" w:cs="仿宋_GB2312"/>
          <w:color w:val="000000"/>
          <w:sz w:val="32"/>
          <w:szCs w:val="32"/>
        </w:rPr>
        <w:t>12月31日，共有车辆</w:t>
      </w:r>
      <w:r>
        <w:rPr>
          <w:rFonts w:hint="eastAsia" w:ascii="仿宋_GB2312" w:hAnsi="仿宋_GB2312" w:eastAsia="仿宋_GB2312" w:cs="仿宋_GB2312"/>
          <w:color w:val="000000"/>
          <w:sz w:val="32"/>
        </w:rPr>
        <w:t>2辆，其中：主要领导干部用车0</w:t>
      </w:r>
      <w:r>
        <w:rPr>
          <w:rFonts w:hint="eastAsia" w:ascii="仿宋_GB2312" w:hAnsi="仿宋_GB2312" w:eastAsia="仿宋_GB2312" w:cs="仿宋_GB2312"/>
          <w:color w:val="000000"/>
          <w:sz w:val="32"/>
          <w:szCs w:val="32"/>
        </w:rPr>
        <w:t>辆、机要通信用车</w:t>
      </w:r>
      <w:r>
        <w:rPr>
          <w:rFonts w:hint="eastAsia" w:ascii="仿宋_GB2312" w:hAnsi="仿宋_GB2312" w:eastAsia="仿宋_GB2312" w:cs="仿宋_GB2312"/>
          <w:color w:val="000000"/>
          <w:sz w:val="32"/>
        </w:rPr>
        <w:t>0</w:t>
      </w:r>
      <w:r>
        <w:rPr>
          <w:rFonts w:hint="eastAsia" w:ascii="仿宋_GB2312" w:hAnsi="仿宋_GB2312" w:eastAsia="仿宋_GB2312" w:cs="仿宋_GB2312"/>
          <w:color w:val="000000"/>
          <w:sz w:val="32"/>
          <w:szCs w:val="32"/>
        </w:rPr>
        <w:t>辆、应急保障用车</w:t>
      </w:r>
      <w:r>
        <w:rPr>
          <w:rFonts w:hint="eastAsia" w:ascii="仿宋_GB2312" w:hAnsi="仿宋_GB2312" w:eastAsia="仿宋_GB2312" w:cs="仿宋_GB2312"/>
          <w:color w:val="000000"/>
          <w:sz w:val="32"/>
        </w:rPr>
        <w:t>2</w:t>
      </w:r>
      <w:r>
        <w:rPr>
          <w:rFonts w:hint="eastAsia" w:ascii="仿宋_GB2312" w:hAnsi="仿宋_GB2312" w:eastAsia="仿宋_GB2312" w:cs="仿宋_GB2312"/>
          <w:color w:val="000000"/>
          <w:sz w:val="32"/>
          <w:szCs w:val="32"/>
        </w:rPr>
        <w:t>辆、其他用车</w:t>
      </w:r>
      <w:r>
        <w:rPr>
          <w:rFonts w:hint="eastAsia" w:ascii="仿宋_GB2312" w:hAnsi="仿宋_GB2312" w:eastAsia="仿宋_GB2312" w:cs="仿宋_GB2312"/>
          <w:color w:val="000000"/>
          <w:sz w:val="32"/>
        </w:rPr>
        <w:t>0</w:t>
      </w:r>
      <w:r>
        <w:rPr>
          <w:rFonts w:hint="eastAsia" w:ascii="仿宋_GB2312" w:hAnsi="仿宋_GB2312" w:eastAsia="仿宋_GB2312" w:cs="仿宋_GB2312"/>
          <w:color w:val="000000"/>
          <w:sz w:val="32"/>
          <w:szCs w:val="32"/>
        </w:rPr>
        <w:t>辆。单价50万元以上通用设备</w:t>
      </w:r>
      <w:r>
        <w:rPr>
          <w:rFonts w:hint="eastAsia" w:ascii="仿宋_GB2312" w:hAnsi="仿宋_GB2312" w:eastAsia="仿宋_GB2312" w:cs="仿宋_GB2312"/>
          <w:color w:val="000000"/>
          <w:sz w:val="32"/>
        </w:rPr>
        <w:t>0</w:t>
      </w:r>
      <w:r>
        <w:rPr>
          <w:rFonts w:hint="eastAsia" w:ascii="仿宋_GB2312" w:hAnsi="仿宋_GB2312" w:eastAsia="仿宋_GB2312" w:cs="仿宋_GB2312"/>
          <w:color w:val="000000"/>
          <w:sz w:val="32"/>
          <w:szCs w:val="32"/>
        </w:rPr>
        <w:t>台（套），单价100万元以上专用设备0台（套）。</w:t>
      </w:r>
    </w:p>
    <w:p w14:paraId="09428E68">
      <w:pPr>
        <w:spacing w:line="600" w:lineRule="exact"/>
        <w:ind w:firstLine="643" w:firstLineChars="200"/>
        <w:outlineLvl w:val="2"/>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（四）预算绩效管理情况</w:t>
      </w:r>
    </w:p>
    <w:p w14:paraId="79D00E25">
      <w:pPr>
        <w:spacing w:line="14" w:lineRule="auto"/>
        <w:ind w:firstLine="640" w:firstLineChars="200"/>
        <w:rPr>
          <w:rFonts w:ascii="仿宋_GB2312" w:eastAsia="仿宋_GB2312" w:cs="仿宋"/>
          <w:color w:val="000000"/>
          <w:kern w:val="0"/>
          <w:sz w:val="32"/>
          <w:szCs w:val="32"/>
        </w:rPr>
      </w:pPr>
      <w:r>
        <w:rPr>
          <w:rFonts w:hint="eastAsia" w:ascii="仿宋_GB2312" w:eastAsia="仿宋_GB2312" w:cs="仿宋"/>
          <w:color w:val="000000"/>
          <w:kern w:val="0"/>
          <w:sz w:val="32"/>
          <w:szCs w:val="32"/>
        </w:rPr>
        <w:t>根据预算绩效管理要求，茂县南新镇人民政府在202</w:t>
      </w:r>
      <w:r>
        <w:rPr>
          <w:rFonts w:hint="eastAsia" w:ascii="仿宋_GB2312" w:eastAsia="仿宋_GB2312" w:cs="仿宋"/>
          <w:color w:val="000000"/>
          <w:kern w:val="0"/>
          <w:sz w:val="32"/>
          <w:szCs w:val="32"/>
          <w:lang w:val="en-US" w:eastAsia="zh-CN"/>
        </w:rPr>
        <w:t>5</w:t>
      </w:r>
      <w:r>
        <w:rPr>
          <w:rFonts w:hint="eastAsia" w:ascii="仿宋_GB2312" w:eastAsia="仿宋_GB2312" w:cs="仿宋"/>
          <w:color w:val="000000"/>
          <w:kern w:val="0"/>
          <w:sz w:val="32"/>
          <w:szCs w:val="32"/>
        </w:rPr>
        <w:t>年度预算编制阶段，组织对村干部工资、村干部体检费、村级运行维护费、残协经费、公共文化服务建设资金等项目开展了预算事前绩效评估，选取5个项目开展绩效监控,绩效自评报告详见第四部分附件。</w:t>
      </w:r>
    </w:p>
    <w:p w14:paraId="609FF517">
      <w:pPr>
        <w:spacing w:line="14" w:lineRule="auto"/>
        <w:ind w:firstLine="420" w:firstLineChars="200"/>
        <w:rPr>
          <w:rFonts w:hint="eastAsia"/>
        </w:rPr>
      </w:pPr>
    </w:p>
    <w:p w14:paraId="1CEE5FEA">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539884F5">
      <w:pPr>
        <w:numPr>
          <w:ilvl w:val="0"/>
          <w:numId w:val="3"/>
        </w:numPr>
        <w:spacing w:line="600" w:lineRule="exact"/>
        <w:ind w:firstLine="660" w:firstLineChars="150"/>
        <w:jc w:val="center"/>
        <w:outlineLvl w:val="0"/>
        <w:rPr>
          <w:rStyle w:val="31"/>
          <w:rFonts w:ascii="黑体" w:hAnsi="黑体" w:eastAsia="黑体"/>
          <w:b w:val="0"/>
        </w:rPr>
      </w:pPr>
      <w:bookmarkStart w:id="61" w:name="_Toc15396613"/>
      <w:bookmarkStart w:id="62" w:name="_Toc1475"/>
      <w:bookmarkStart w:id="63" w:name="_Toc15377225"/>
      <w:bookmarkStart w:id="64" w:name="_Toc111208510"/>
      <w:r>
        <w:rPr>
          <w:rFonts w:hint="eastAsia" w:ascii="黑体" w:hAnsi="黑体" w:eastAsia="黑体"/>
          <w:sz w:val="44"/>
          <w:szCs w:val="44"/>
        </w:rPr>
        <w:t>名</w:t>
      </w:r>
      <w:r>
        <w:rPr>
          <w:rStyle w:val="31"/>
          <w:rFonts w:hint="eastAsia" w:ascii="黑体" w:hAnsi="黑体" w:eastAsia="黑体"/>
          <w:b w:val="0"/>
        </w:rPr>
        <w:t>词解释</w:t>
      </w:r>
      <w:bookmarkEnd w:id="61"/>
      <w:bookmarkEnd w:id="62"/>
      <w:bookmarkEnd w:id="63"/>
    </w:p>
    <w:p w14:paraId="6E703FC4">
      <w:pPr>
        <w:spacing w:line="600" w:lineRule="exact"/>
        <w:jc w:val="left"/>
        <w:rPr>
          <w:rFonts w:ascii="宋体"/>
          <w:b/>
          <w:sz w:val="44"/>
          <w:szCs w:val="44"/>
        </w:rPr>
      </w:pPr>
    </w:p>
    <w:p w14:paraId="0FDB9A3E">
      <w:pPr>
        <w:pStyle w:val="25"/>
        <w:spacing w:line="576" w:lineRule="atLeast"/>
        <w:ind w:firstLine="640" w:firstLineChars="200"/>
        <w:jc w:val="both"/>
        <w:rPr>
          <w:rFonts w:hint="eastAsia"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财1.政拨款收入：指单位从同级财政部门取得的财政预算资金。</w:t>
      </w:r>
    </w:p>
    <w:p w14:paraId="7AA0810E">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2.事业收入：指事业单位开展专业业务活动及辅助活动取得的收入。</w:t>
      </w:r>
    </w:p>
    <w:p w14:paraId="52F66778">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3.经营收入：指事业单位在专业业务活动及其辅助活动之外开展非独立核算经营活动取得的收入。</w:t>
      </w:r>
    </w:p>
    <w:p w14:paraId="394AB0F5">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4.其他收入：指单位取得的除上述收入以外的各项收入。</w:t>
      </w:r>
    </w:p>
    <w:p w14:paraId="7B70058D">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5.使用非财政拨款结余（含专用结余）：指事业单位使用以前年度积累的非财政拨款结余弥补当年收支差额的金额。</w:t>
      </w:r>
    </w:p>
    <w:p w14:paraId="0A8B38B6">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6.年初结转和结余：指以前年度尚未完成、结转到本年按有关规定继续使用的资金。</w:t>
      </w:r>
    </w:p>
    <w:p w14:paraId="4F0B363F">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7.结余分配：指事业单位按照会计制度规定缴纳的所得税、提取的专用结余以及转入非财政拨款结余的金额等。</w:t>
      </w:r>
    </w:p>
    <w:p w14:paraId="23CA6BCD">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8.年末结转和结余：指单位按有关规定结转到下年或以后年度继续使用的资金。</w:t>
      </w:r>
    </w:p>
    <w:p w14:paraId="17B9725C">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9.一般公共服务支出（</w:t>
      </w:r>
      <w:r>
        <w:rPr>
          <w:rFonts w:hint="eastAsia" w:ascii="仿宋_GB2312" w:eastAsia="仿宋_GB2312"/>
          <w:sz w:val="32"/>
          <w:szCs w:val="32"/>
          <w:lang w:val="en-US" w:eastAsia="zh-CN"/>
        </w:rPr>
        <w:t>类</w:t>
      </w:r>
      <w:r>
        <w:rPr>
          <w:rFonts w:hint="eastAsia" w:ascii="仿宋_GB2312" w:eastAsia="仿宋_GB2312"/>
          <w:sz w:val="32"/>
          <w:szCs w:val="32"/>
        </w:rPr>
        <w:t>）人大事务（</w:t>
      </w:r>
      <w:r>
        <w:rPr>
          <w:rFonts w:hint="eastAsia" w:ascii="仿宋_GB2312" w:eastAsia="仿宋_GB2312"/>
          <w:sz w:val="32"/>
          <w:szCs w:val="32"/>
          <w:lang w:val="en-US" w:eastAsia="zh-CN"/>
        </w:rPr>
        <w:t>款</w:t>
      </w:r>
      <w:r>
        <w:rPr>
          <w:rFonts w:hint="eastAsia" w:ascii="仿宋_GB2312" w:eastAsia="仿宋_GB2312"/>
          <w:sz w:val="32"/>
          <w:szCs w:val="32"/>
        </w:rPr>
        <w:t>）代表工作（</w:t>
      </w:r>
      <w:r>
        <w:rPr>
          <w:rFonts w:hint="eastAsia" w:ascii="仿宋_GB2312" w:eastAsia="仿宋_GB2312"/>
          <w:sz w:val="32"/>
          <w:szCs w:val="32"/>
          <w:lang w:val="en-US" w:eastAsia="zh-CN"/>
        </w:rPr>
        <w:t>项</w:t>
      </w:r>
      <w:r>
        <w:rPr>
          <w:rFonts w:hint="eastAsia" w:ascii="仿宋_GB2312" w:eastAsia="仿宋_GB2312"/>
          <w:sz w:val="32"/>
          <w:szCs w:val="32"/>
        </w:rPr>
        <w:t>）：反映人大代表开展各类视察等方面的支出。</w:t>
      </w:r>
    </w:p>
    <w:p w14:paraId="11CA5A04">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10.一般公共服务支出（</w:t>
      </w:r>
      <w:r>
        <w:rPr>
          <w:rFonts w:hint="eastAsia" w:ascii="仿宋_GB2312" w:eastAsia="仿宋_GB2312"/>
          <w:sz w:val="32"/>
          <w:szCs w:val="32"/>
          <w:lang w:val="en-US" w:eastAsia="zh-CN"/>
        </w:rPr>
        <w:t>类</w:t>
      </w:r>
      <w:r>
        <w:rPr>
          <w:rFonts w:hint="eastAsia" w:ascii="仿宋_GB2312" w:eastAsia="仿宋_GB2312"/>
          <w:sz w:val="32"/>
          <w:szCs w:val="32"/>
        </w:rPr>
        <w:t>）政府办公厅（室）及相关机构事务（</w:t>
      </w:r>
      <w:r>
        <w:rPr>
          <w:rFonts w:hint="eastAsia" w:ascii="仿宋_GB2312" w:eastAsia="仿宋_GB2312"/>
          <w:sz w:val="32"/>
          <w:szCs w:val="32"/>
          <w:lang w:val="en-US" w:eastAsia="zh-CN"/>
        </w:rPr>
        <w:t>款</w:t>
      </w:r>
      <w:r>
        <w:rPr>
          <w:rFonts w:hint="eastAsia" w:ascii="仿宋_GB2312" w:eastAsia="仿宋_GB2312"/>
          <w:sz w:val="32"/>
          <w:szCs w:val="32"/>
        </w:rPr>
        <w:t>）行政运行（</w:t>
      </w:r>
      <w:r>
        <w:rPr>
          <w:rFonts w:hint="eastAsia" w:ascii="仿宋_GB2312" w:eastAsia="仿宋_GB2312"/>
          <w:sz w:val="32"/>
          <w:szCs w:val="32"/>
          <w:lang w:val="en-US" w:eastAsia="zh-CN"/>
        </w:rPr>
        <w:t>项</w:t>
      </w:r>
      <w:r>
        <w:rPr>
          <w:rFonts w:hint="eastAsia" w:ascii="仿宋_GB2312" w:eastAsia="仿宋_GB2312"/>
          <w:sz w:val="32"/>
          <w:szCs w:val="32"/>
        </w:rPr>
        <w:t>）：反映行政单位（包括实行公务员管理的事业单位）的基本支出。</w:t>
      </w:r>
    </w:p>
    <w:p w14:paraId="6A30C2E2">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11.一般公共服务支出（</w:t>
      </w:r>
      <w:r>
        <w:rPr>
          <w:rFonts w:hint="eastAsia" w:ascii="仿宋_GB2312" w:eastAsia="仿宋_GB2312"/>
          <w:sz w:val="32"/>
          <w:szCs w:val="32"/>
          <w:lang w:val="en-US" w:eastAsia="zh-CN"/>
        </w:rPr>
        <w:t>类</w:t>
      </w:r>
      <w:r>
        <w:rPr>
          <w:rFonts w:hint="eastAsia" w:ascii="仿宋_GB2312" w:eastAsia="仿宋_GB2312"/>
          <w:sz w:val="32"/>
          <w:szCs w:val="32"/>
        </w:rPr>
        <w:t>）政府办公厅（室）及相关机构事务（</w:t>
      </w:r>
      <w:r>
        <w:rPr>
          <w:rFonts w:hint="eastAsia" w:ascii="仿宋_GB2312" w:eastAsia="仿宋_GB2312"/>
          <w:sz w:val="32"/>
          <w:szCs w:val="32"/>
          <w:lang w:val="en-US" w:eastAsia="zh-CN"/>
        </w:rPr>
        <w:t>款</w:t>
      </w:r>
      <w:r>
        <w:rPr>
          <w:rFonts w:hint="eastAsia" w:ascii="仿宋_GB2312" w:eastAsia="仿宋_GB2312"/>
          <w:sz w:val="32"/>
          <w:szCs w:val="32"/>
        </w:rPr>
        <w:t>）其他政府办公厅（室）及相关机构事务支出（</w:t>
      </w:r>
      <w:r>
        <w:rPr>
          <w:rFonts w:hint="eastAsia" w:ascii="仿宋_GB2312" w:eastAsia="仿宋_GB2312"/>
          <w:sz w:val="32"/>
          <w:szCs w:val="32"/>
          <w:lang w:val="en-US" w:eastAsia="zh-CN"/>
        </w:rPr>
        <w:t>项</w:t>
      </w:r>
      <w:r>
        <w:rPr>
          <w:rFonts w:hint="eastAsia" w:ascii="仿宋_GB2312" w:eastAsia="仿宋_GB2312"/>
          <w:sz w:val="32"/>
          <w:szCs w:val="32"/>
        </w:rPr>
        <w:t>）：反映除上述项目以外的其他政府办公厅（室）及相关机构事务支出。</w:t>
      </w:r>
    </w:p>
    <w:p w14:paraId="47B30F53">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12.社会保障和就业支出（</w:t>
      </w:r>
      <w:r>
        <w:rPr>
          <w:rFonts w:hint="eastAsia" w:ascii="仿宋_GB2312" w:eastAsia="仿宋_GB2312"/>
          <w:sz w:val="32"/>
          <w:szCs w:val="32"/>
          <w:lang w:val="en-US" w:eastAsia="zh-CN"/>
        </w:rPr>
        <w:t>类</w:t>
      </w:r>
      <w:r>
        <w:rPr>
          <w:rFonts w:hint="eastAsia" w:ascii="仿宋_GB2312" w:eastAsia="仿宋_GB2312"/>
          <w:sz w:val="32"/>
          <w:szCs w:val="32"/>
        </w:rPr>
        <w:t>）行政事业单位养老支出（</w:t>
      </w:r>
      <w:r>
        <w:rPr>
          <w:rFonts w:hint="eastAsia" w:ascii="仿宋_GB2312" w:eastAsia="仿宋_GB2312"/>
          <w:sz w:val="32"/>
          <w:szCs w:val="32"/>
          <w:lang w:val="en-US" w:eastAsia="zh-CN"/>
        </w:rPr>
        <w:t>款</w:t>
      </w:r>
      <w:r>
        <w:rPr>
          <w:rFonts w:hint="eastAsia" w:ascii="仿宋_GB2312" w:eastAsia="仿宋_GB2312"/>
          <w:sz w:val="32"/>
          <w:szCs w:val="32"/>
        </w:rPr>
        <w:t>）机关事业单位基本养老保险缴费支出（</w:t>
      </w:r>
      <w:r>
        <w:rPr>
          <w:rFonts w:hint="eastAsia" w:ascii="仿宋_GB2312" w:eastAsia="仿宋_GB2312"/>
          <w:sz w:val="32"/>
          <w:szCs w:val="32"/>
          <w:lang w:val="en-US" w:eastAsia="zh-CN"/>
        </w:rPr>
        <w:t>项</w:t>
      </w:r>
      <w:r>
        <w:rPr>
          <w:rFonts w:hint="eastAsia" w:ascii="仿宋_GB2312" w:eastAsia="仿宋_GB2312"/>
          <w:sz w:val="32"/>
          <w:szCs w:val="32"/>
        </w:rPr>
        <w:t>）：反映机关事业单位实施养老保险制度由单位缴纳的基本养老保险费支出。</w:t>
      </w:r>
    </w:p>
    <w:p w14:paraId="76ED23AD">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13.社会保障和就业支出（</w:t>
      </w:r>
      <w:r>
        <w:rPr>
          <w:rFonts w:hint="eastAsia" w:ascii="仿宋_GB2312" w:eastAsia="仿宋_GB2312"/>
          <w:sz w:val="32"/>
          <w:szCs w:val="32"/>
          <w:lang w:val="en-US" w:eastAsia="zh-CN"/>
        </w:rPr>
        <w:t>类</w:t>
      </w:r>
      <w:r>
        <w:rPr>
          <w:rFonts w:hint="eastAsia" w:ascii="仿宋_GB2312" w:eastAsia="仿宋_GB2312"/>
          <w:sz w:val="32"/>
          <w:szCs w:val="32"/>
        </w:rPr>
        <w:t>）行政事业单位养老支出（</w:t>
      </w:r>
      <w:r>
        <w:rPr>
          <w:rFonts w:hint="eastAsia" w:ascii="仿宋_GB2312" w:eastAsia="仿宋_GB2312"/>
          <w:sz w:val="32"/>
          <w:szCs w:val="32"/>
          <w:lang w:val="en-US" w:eastAsia="zh-CN"/>
        </w:rPr>
        <w:t>款</w:t>
      </w:r>
      <w:r>
        <w:rPr>
          <w:rFonts w:hint="eastAsia" w:ascii="仿宋_GB2312" w:eastAsia="仿宋_GB2312"/>
          <w:sz w:val="32"/>
          <w:szCs w:val="32"/>
        </w:rPr>
        <w:t>）机关事业单位职业年金缴费支出（</w:t>
      </w:r>
      <w:r>
        <w:rPr>
          <w:rFonts w:hint="eastAsia" w:ascii="仿宋_GB2312" w:eastAsia="仿宋_GB2312"/>
          <w:sz w:val="32"/>
          <w:szCs w:val="32"/>
          <w:lang w:val="en-US" w:eastAsia="zh-CN"/>
        </w:rPr>
        <w:t>项</w:t>
      </w:r>
      <w:r>
        <w:rPr>
          <w:rFonts w:hint="eastAsia" w:ascii="仿宋_GB2312" w:eastAsia="仿宋_GB2312"/>
          <w:sz w:val="32"/>
          <w:szCs w:val="32"/>
        </w:rPr>
        <w:t>）：反映机关事业单位实施养老保险制度由单位实际缴纳的职业年金支出。</w:t>
      </w:r>
    </w:p>
    <w:p w14:paraId="50746703">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14.社会保障和就业支出（</w:t>
      </w:r>
      <w:r>
        <w:rPr>
          <w:rFonts w:hint="eastAsia" w:ascii="仿宋_GB2312" w:eastAsia="仿宋_GB2312"/>
          <w:sz w:val="32"/>
          <w:szCs w:val="32"/>
          <w:lang w:val="en-US" w:eastAsia="zh-CN"/>
        </w:rPr>
        <w:t>类</w:t>
      </w:r>
      <w:r>
        <w:rPr>
          <w:rFonts w:hint="eastAsia" w:ascii="仿宋_GB2312" w:eastAsia="仿宋_GB2312"/>
          <w:sz w:val="32"/>
          <w:szCs w:val="32"/>
        </w:rPr>
        <w:t>）就业补助（</w:t>
      </w:r>
      <w:r>
        <w:rPr>
          <w:rFonts w:hint="eastAsia" w:ascii="仿宋_GB2312" w:eastAsia="仿宋_GB2312"/>
          <w:sz w:val="32"/>
          <w:szCs w:val="32"/>
          <w:lang w:val="en-US" w:eastAsia="zh-CN"/>
        </w:rPr>
        <w:t>款</w:t>
      </w:r>
      <w:r>
        <w:rPr>
          <w:rFonts w:hint="eastAsia" w:ascii="仿宋_GB2312" w:eastAsia="仿宋_GB2312"/>
          <w:sz w:val="32"/>
          <w:szCs w:val="32"/>
        </w:rPr>
        <w:t>）公益性岗位补贴（</w:t>
      </w:r>
      <w:r>
        <w:rPr>
          <w:rFonts w:hint="eastAsia" w:ascii="仿宋_GB2312" w:eastAsia="仿宋_GB2312"/>
          <w:sz w:val="32"/>
          <w:szCs w:val="32"/>
          <w:lang w:val="en-US" w:eastAsia="zh-CN"/>
        </w:rPr>
        <w:t>项</w:t>
      </w:r>
      <w:r>
        <w:rPr>
          <w:rFonts w:hint="eastAsia" w:ascii="仿宋_GB2312" w:eastAsia="仿宋_GB2312"/>
          <w:sz w:val="32"/>
          <w:szCs w:val="32"/>
        </w:rPr>
        <w:t>）：反映财政对符合条件的就业困难人员在公益性岗位就业给予的岗位补贴支出。</w:t>
      </w:r>
    </w:p>
    <w:p w14:paraId="3C7841FF">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15.社会保障和就业支出（</w:t>
      </w:r>
      <w:r>
        <w:rPr>
          <w:rFonts w:hint="eastAsia" w:ascii="仿宋_GB2312" w:eastAsia="仿宋_GB2312"/>
          <w:sz w:val="32"/>
          <w:szCs w:val="32"/>
          <w:lang w:val="en-US" w:eastAsia="zh-CN"/>
        </w:rPr>
        <w:t>类</w:t>
      </w:r>
      <w:r>
        <w:rPr>
          <w:rFonts w:hint="eastAsia" w:ascii="仿宋_GB2312" w:eastAsia="仿宋_GB2312"/>
          <w:sz w:val="32"/>
          <w:szCs w:val="32"/>
        </w:rPr>
        <w:t>）残疾人事业（</w:t>
      </w:r>
      <w:r>
        <w:rPr>
          <w:rFonts w:hint="eastAsia" w:ascii="仿宋_GB2312" w:eastAsia="仿宋_GB2312"/>
          <w:sz w:val="32"/>
          <w:szCs w:val="32"/>
          <w:lang w:val="en-US" w:eastAsia="zh-CN"/>
        </w:rPr>
        <w:t>款</w:t>
      </w:r>
      <w:r>
        <w:rPr>
          <w:rFonts w:hint="eastAsia" w:ascii="仿宋_GB2312" w:eastAsia="仿宋_GB2312"/>
          <w:sz w:val="32"/>
          <w:szCs w:val="32"/>
        </w:rPr>
        <w:t>）其他残疾人事业支出（</w:t>
      </w:r>
      <w:r>
        <w:rPr>
          <w:rFonts w:hint="eastAsia" w:ascii="仿宋_GB2312" w:eastAsia="仿宋_GB2312"/>
          <w:sz w:val="32"/>
          <w:szCs w:val="32"/>
          <w:lang w:val="en-US" w:eastAsia="zh-CN"/>
        </w:rPr>
        <w:t>项</w:t>
      </w:r>
      <w:r>
        <w:rPr>
          <w:rFonts w:hint="eastAsia" w:ascii="仿宋_GB2312" w:eastAsia="仿宋_GB2312"/>
          <w:sz w:val="32"/>
          <w:szCs w:val="32"/>
        </w:rPr>
        <w:t>）：反映除上述项目以外其他用于残疾人事业方面的支出。</w:t>
      </w:r>
    </w:p>
    <w:p w14:paraId="171BF60C">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16.社会保障和就业支出（</w:t>
      </w:r>
      <w:r>
        <w:rPr>
          <w:rFonts w:hint="eastAsia" w:ascii="仿宋_GB2312" w:eastAsia="仿宋_GB2312"/>
          <w:sz w:val="32"/>
          <w:szCs w:val="32"/>
          <w:lang w:val="en-US" w:eastAsia="zh-CN"/>
        </w:rPr>
        <w:t>类</w:t>
      </w:r>
      <w:r>
        <w:rPr>
          <w:rFonts w:hint="eastAsia" w:ascii="仿宋_GB2312" w:eastAsia="仿宋_GB2312"/>
          <w:sz w:val="32"/>
          <w:szCs w:val="32"/>
        </w:rPr>
        <w:t>）其他社会保障和就业支出（</w:t>
      </w:r>
      <w:r>
        <w:rPr>
          <w:rFonts w:hint="eastAsia" w:ascii="仿宋_GB2312" w:eastAsia="仿宋_GB2312"/>
          <w:sz w:val="32"/>
          <w:szCs w:val="32"/>
          <w:lang w:val="en-US" w:eastAsia="zh-CN"/>
        </w:rPr>
        <w:t>款</w:t>
      </w:r>
      <w:r>
        <w:rPr>
          <w:rFonts w:hint="eastAsia" w:ascii="仿宋_GB2312" w:eastAsia="仿宋_GB2312"/>
          <w:sz w:val="32"/>
          <w:szCs w:val="32"/>
        </w:rPr>
        <w:t>）其他社会保障和就业支出（</w:t>
      </w:r>
      <w:r>
        <w:rPr>
          <w:rFonts w:hint="eastAsia" w:ascii="仿宋_GB2312" w:eastAsia="仿宋_GB2312"/>
          <w:sz w:val="32"/>
          <w:szCs w:val="32"/>
          <w:lang w:val="en-US" w:eastAsia="zh-CN"/>
        </w:rPr>
        <w:t>项</w:t>
      </w:r>
      <w:r>
        <w:rPr>
          <w:rFonts w:hint="eastAsia" w:ascii="仿宋_GB2312" w:eastAsia="仿宋_GB2312"/>
          <w:sz w:val="32"/>
          <w:szCs w:val="32"/>
        </w:rPr>
        <w:t>）：反映除上述项目以外其他用于社会保障和就业方面的支出。</w:t>
      </w:r>
    </w:p>
    <w:p w14:paraId="1F7C2580">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17.卫生健康支出（</w:t>
      </w:r>
      <w:r>
        <w:rPr>
          <w:rFonts w:hint="eastAsia" w:ascii="仿宋_GB2312" w:eastAsia="仿宋_GB2312"/>
          <w:sz w:val="32"/>
          <w:szCs w:val="32"/>
          <w:lang w:val="en-US" w:eastAsia="zh-CN"/>
        </w:rPr>
        <w:t>类</w:t>
      </w:r>
      <w:r>
        <w:rPr>
          <w:rFonts w:hint="eastAsia" w:ascii="仿宋_GB2312" w:eastAsia="仿宋_GB2312"/>
          <w:sz w:val="32"/>
          <w:szCs w:val="32"/>
        </w:rPr>
        <w:t>）行政事业单位医疗（</w:t>
      </w:r>
      <w:r>
        <w:rPr>
          <w:rFonts w:hint="eastAsia" w:ascii="仿宋_GB2312" w:eastAsia="仿宋_GB2312"/>
          <w:sz w:val="32"/>
          <w:szCs w:val="32"/>
          <w:lang w:val="en-US" w:eastAsia="zh-CN"/>
        </w:rPr>
        <w:t>款</w:t>
      </w:r>
      <w:r>
        <w:rPr>
          <w:rFonts w:hint="eastAsia" w:ascii="仿宋_GB2312" w:eastAsia="仿宋_GB2312"/>
          <w:sz w:val="32"/>
          <w:szCs w:val="32"/>
        </w:rPr>
        <w:t>）行政单位医疗（</w:t>
      </w:r>
      <w:r>
        <w:rPr>
          <w:rFonts w:hint="eastAsia" w:ascii="仿宋_GB2312" w:eastAsia="仿宋_GB2312"/>
          <w:sz w:val="32"/>
          <w:szCs w:val="32"/>
          <w:lang w:val="en-US" w:eastAsia="zh-CN"/>
        </w:rPr>
        <w:t>项</w:t>
      </w:r>
      <w:r>
        <w:rPr>
          <w:rFonts w:hint="eastAsia" w:ascii="仿宋_GB2312" w:eastAsia="仿宋_GB2312"/>
          <w:sz w:val="32"/>
          <w:szCs w:val="32"/>
        </w:rPr>
        <w:t>）：反映财政部门安排的行政单位（包括实行公务员管理的事业单位）基本医疗保险缴费经费，未参加医疗保险的行政单位的公费医疗经费，按国家规定享受离休人员、红军老战士待遇人员的医疗经费。</w:t>
      </w:r>
    </w:p>
    <w:p w14:paraId="7A6FCCC3">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18.节能环保支出（</w:t>
      </w:r>
      <w:r>
        <w:rPr>
          <w:rFonts w:hint="eastAsia" w:ascii="仿宋_GB2312" w:eastAsia="仿宋_GB2312"/>
          <w:sz w:val="32"/>
          <w:szCs w:val="32"/>
          <w:lang w:val="en-US" w:eastAsia="zh-CN"/>
        </w:rPr>
        <w:t>类</w:t>
      </w:r>
      <w:r>
        <w:rPr>
          <w:rFonts w:hint="eastAsia" w:ascii="仿宋_GB2312" w:eastAsia="仿宋_GB2312"/>
          <w:sz w:val="32"/>
          <w:szCs w:val="32"/>
        </w:rPr>
        <w:t>）自然生态保护（</w:t>
      </w:r>
      <w:r>
        <w:rPr>
          <w:rFonts w:hint="eastAsia" w:ascii="仿宋_GB2312" w:eastAsia="仿宋_GB2312"/>
          <w:sz w:val="32"/>
          <w:szCs w:val="32"/>
          <w:lang w:val="en-US" w:eastAsia="zh-CN"/>
        </w:rPr>
        <w:t>款</w:t>
      </w:r>
      <w:r>
        <w:rPr>
          <w:rFonts w:hint="eastAsia" w:ascii="仿宋_GB2312" w:eastAsia="仿宋_GB2312"/>
          <w:sz w:val="32"/>
          <w:szCs w:val="32"/>
        </w:rPr>
        <w:t>）生态保护（</w:t>
      </w:r>
      <w:r>
        <w:rPr>
          <w:rFonts w:hint="eastAsia" w:ascii="仿宋_GB2312" w:eastAsia="仿宋_GB2312"/>
          <w:sz w:val="32"/>
          <w:szCs w:val="32"/>
          <w:lang w:val="en-US" w:eastAsia="zh-CN"/>
        </w:rPr>
        <w:t>项</w:t>
      </w:r>
      <w:r>
        <w:rPr>
          <w:rFonts w:hint="eastAsia" w:ascii="仿宋_GB2312" w:eastAsia="仿宋_GB2312"/>
          <w:sz w:val="32"/>
          <w:szCs w:val="32"/>
        </w:rPr>
        <w:t>）：反映用于生态功能区、生态示范区、生态省（市、县）管理及能力建设、日常管护、宣教、试点示范等支出，生态修复支出，资源开发生态监管支出，生态护林员的劳务报酬等支出。</w:t>
      </w:r>
    </w:p>
    <w:p w14:paraId="437B6721">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19.农林水支出（</w:t>
      </w:r>
      <w:r>
        <w:rPr>
          <w:rFonts w:hint="eastAsia" w:ascii="仿宋_GB2312" w:eastAsia="仿宋_GB2312"/>
          <w:sz w:val="32"/>
          <w:szCs w:val="32"/>
          <w:lang w:val="en-US" w:eastAsia="zh-CN"/>
        </w:rPr>
        <w:t>类</w:t>
      </w:r>
      <w:r>
        <w:rPr>
          <w:rFonts w:hint="eastAsia" w:ascii="仿宋_GB2312" w:eastAsia="仿宋_GB2312"/>
          <w:sz w:val="32"/>
          <w:szCs w:val="32"/>
        </w:rPr>
        <w:t>）农业农村（</w:t>
      </w:r>
      <w:r>
        <w:rPr>
          <w:rFonts w:hint="eastAsia" w:ascii="仿宋_GB2312" w:eastAsia="仿宋_GB2312"/>
          <w:sz w:val="32"/>
          <w:szCs w:val="32"/>
          <w:lang w:val="en-US" w:eastAsia="zh-CN"/>
        </w:rPr>
        <w:t>款</w:t>
      </w:r>
      <w:r>
        <w:rPr>
          <w:rFonts w:hint="eastAsia" w:ascii="仿宋_GB2312" w:eastAsia="仿宋_GB2312"/>
          <w:sz w:val="32"/>
          <w:szCs w:val="32"/>
        </w:rPr>
        <w:t>）其他农业农村支出（</w:t>
      </w:r>
      <w:r>
        <w:rPr>
          <w:rFonts w:hint="eastAsia" w:ascii="仿宋_GB2312" w:eastAsia="仿宋_GB2312"/>
          <w:sz w:val="32"/>
          <w:szCs w:val="32"/>
          <w:lang w:val="en-US" w:eastAsia="zh-CN"/>
        </w:rPr>
        <w:t>项</w:t>
      </w:r>
      <w:r>
        <w:rPr>
          <w:rFonts w:hint="eastAsia" w:ascii="仿宋_GB2312" w:eastAsia="仿宋_GB2312"/>
          <w:sz w:val="32"/>
          <w:szCs w:val="32"/>
        </w:rPr>
        <w:t>）：反映除上述项目以外其他用于农业农村方面的支出。</w:t>
      </w:r>
    </w:p>
    <w:p w14:paraId="6803EE28">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20.农林水支出（</w:t>
      </w:r>
      <w:r>
        <w:rPr>
          <w:rFonts w:hint="eastAsia" w:ascii="仿宋_GB2312" w:eastAsia="仿宋_GB2312"/>
          <w:sz w:val="32"/>
          <w:szCs w:val="32"/>
          <w:lang w:val="en-US" w:eastAsia="zh-CN"/>
        </w:rPr>
        <w:t>类</w:t>
      </w:r>
      <w:r>
        <w:rPr>
          <w:rFonts w:hint="eastAsia" w:ascii="仿宋_GB2312" w:eastAsia="仿宋_GB2312"/>
          <w:sz w:val="32"/>
          <w:szCs w:val="32"/>
        </w:rPr>
        <w:t>）巩固脱贫攻坚成果衔接乡村振兴（</w:t>
      </w:r>
      <w:r>
        <w:rPr>
          <w:rFonts w:hint="eastAsia" w:ascii="仿宋_GB2312" w:eastAsia="仿宋_GB2312"/>
          <w:sz w:val="32"/>
          <w:szCs w:val="32"/>
          <w:lang w:val="en-US" w:eastAsia="zh-CN"/>
        </w:rPr>
        <w:t>款</w:t>
      </w:r>
      <w:r>
        <w:rPr>
          <w:rFonts w:hint="eastAsia" w:ascii="仿宋_GB2312" w:eastAsia="仿宋_GB2312"/>
          <w:sz w:val="32"/>
          <w:szCs w:val="32"/>
        </w:rPr>
        <w:t>）农村基础设施建设（</w:t>
      </w:r>
      <w:r>
        <w:rPr>
          <w:rFonts w:hint="eastAsia" w:ascii="仿宋_GB2312" w:eastAsia="仿宋_GB2312"/>
          <w:sz w:val="32"/>
          <w:szCs w:val="32"/>
          <w:lang w:val="en-US" w:eastAsia="zh-CN"/>
        </w:rPr>
        <w:t>项</w:t>
      </w:r>
      <w:r>
        <w:rPr>
          <w:rFonts w:hint="eastAsia" w:ascii="仿宋_GB2312" w:eastAsia="仿宋_GB2312"/>
          <w:sz w:val="32"/>
          <w:szCs w:val="32"/>
        </w:rPr>
        <w:t>）：反映用于农村贫困地区乡村道路、住房、基本农田、水利设施、人畜饮水、生态环境保护等生产生活条件改善方面的支出。</w:t>
      </w:r>
    </w:p>
    <w:p w14:paraId="2C387779">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21.农林水支出（</w:t>
      </w:r>
      <w:r>
        <w:rPr>
          <w:rFonts w:hint="eastAsia" w:ascii="仿宋_GB2312" w:eastAsia="仿宋_GB2312"/>
          <w:sz w:val="32"/>
          <w:szCs w:val="32"/>
          <w:lang w:val="en-US" w:eastAsia="zh-CN"/>
        </w:rPr>
        <w:t>类</w:t>
      </w:r>
      <w:r>
        <w:rPr>
          <w:rFonts w:hint="eastAsia" w:ascii="仿宋_GB2312" w:eastAsia="仿宋_GB2312"/>
          <w:sz w:val="32"/>
          <w:szCs w:val="32"/>
        </w:rPr>
        <w:t>）巩固脱贫攻坚成果衔接乡村振兴（</w:t>
      </w:r>
      <w:r>
        <w:rPr>
          <w:rFonts w:hint="eastAsia" w:ascii="仿宋_GB2312" w:eastAsia="仿宋_GB2312"/>
          <w:sz w:val="32"/>
          <w:szCs w:val="32"/>
          <w:lang w:val="en-US" w:eastAsia="zh-CN"/>
        </w:rPr>
        <w:t>款</w:t>
      </w:r>
      <w:r>
        <w:rPr>
          <w:rFonts w:hint="eastAsia" w:ascii="仿宋_GB2312" w:eastAsia="仿宋_GB2312"/>
          <w:sz w:val="32"/>
          <w:szCs w:val="32"/>
        </w:rPr>
        <w:t>）其他巩固脱贫攻坚成果衔接乡村振兴支出（</w:t>
      </w:r>
      <w:r>
        <w:rPr>
          <w:rFonts w:hint="eastAsia" w:ascii="仿宋_GB2312" w:eastAsia="仿宋_GB2312"/>
          <w:sz w:val="32"/>
          <w:szCs w:val="32"/>
          <w:lang w:val="en-US" w:eastAsia="zh-CN"/>
        </w:rPr>
        <w:t>项</w:t>
      </w:r>
      <w:r>
        <w:rPr>
          <w:rFonts w:hint="eastAsia" w:ascii="仿宋_GB2312" w:eastAsia="仿宋_GB2312"/>
          <w:sz w:val="32"/>
          <w:szCs w:val="32"/>
        </w:rPr>
        <w:t>）：反映除上述项目以外其他用于扶贫方面的支出。</w:t>
      </w:r>
    </w:p>
    <w:p w14:paraId="60BCEEFD">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22.农林水支出（</w:t>
      </w:r>
      <w:r>
        <w:rPr>
          <w:rFonts w:hint="eastAsia" w:ascii="仿宋_GB2312" w:eastAsia="仿宋_GB2312"/>
          <w:sz w:val="32"/>
          <w:szCs w:val="32"/>
          <w:lang w:val="en-US" w:eastAsia="zh-CN"/>
        </w:rPr>
        <w:t>类</w:t>
      </w:r>
      <w:r>
        <w:rPr>
          <w:rFonts w:hint="eastAsia" w:ascii="仿宋_GB2312" w:eastAsia="仿宋_GB2312"/>
          <w:sz w:val="32"/>
          <w:szCs w:val="32"/>
        </w:rPr>
        <w:t>）农村综合改革（</w:t>
      </w:r>
      <w:r>
        <w:rPr>
          <w:rFonts w:hint="eastAsia" w:ascii="仿宋_GB2312" w:eastAsia="仿宋_GB2312"/>
          <w:sz w:val="32"/>
          <w:szCs w:val="32"/>
          <w:lang w:val="en-US" w:eastAsia="zh-CN"/>
        </w:rPr>
        <w:t>款</w:t>
      </w:r>
      <w:r>
        <w:rPr>
          <w:rFonts w:hint="eastAsia" w:ascii="仿宋_GB2312" w:eastAsia="仿宋_GB2312"/>
          <w:sz w:val="32"/>
          <w:szCs w:val="32"/>
        </w:rPr>
        <w:t>）对村民委员会和村党支部的补助（</w:t>
      </w:r>
      <w:r>
        <w:rPr>
          <w:rFonts w:hint="eastAsia" w:ascii="仿宋_GB2312" w:eastAsia="仿宋_GB2312"/>
          <w:sz w:val="32"/>
          <w:szCs w:val="32"/>
          <w:lang w:val="en-US" w:eastAsia="zh-CN"/>
        </w:rPr>
        <w:t>项</w:t>
      </w:r>
      <w:r>
        <w:rPr>
          <w:rFonts w:hint="eastAsia" w:ascii="仿宋_GB2312" w:eastAsia="仿宋_GB2312"/>
          <w:sz w:val="32"/>
          <w:szCs w:val="32"/>
        </w:rPr>
        <w:t>）：反映各级财政对村民委员会和村党支部的补助支出，以及支持建立县级基本财力保障机制安排的村级组织运转奖补资金。</w:t>
      </w:r>
    </w:p>
    <w:p w14:paraId="632FC3DC">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23.住房保障支出（</w:t>
      </w:r>
      <w:r>
        <w:rPr>
          <w:rFonts w:hint="eastAsia" w:ascii="仿宋_GB2312" w:eastAsia="仿宋_GB2312"/>
          <w:sz w:val="32"/>
          <w:szCs w:val="32"/>
          <w:lang w:val="en-US" w:eastAsia="zh-CN"/>
        </w:rPr>
        <w:t>类</w:t>
      </w:r>
      <w:r>
        <w:rPr>
          <w:rFonts w:hint="eastAsia" w:ascii="仿宋_GB2312" w:eastAsia="仿宋_GB2312"/>
          <w:sz w:val="32"/>
          <w:szCs w:val="32"/>
        </w:rPr>
        <w:t>）住房改革支出（</w:t>
      </w:r>
      <w:r>
        <w:rPr>
          <w:rFonts w:hint="eastAsia" w:ascii="仿宋_GB2312" w:eastAsia="仿宋_GB2312"/>
          <w:sz w:val="32"/>
          <w:szCs w:val="32"/>
          <w:lang w:val="en-US" w:eastAsia="zh-CN"/>
        </w:rPr>
        <w:t>款</w:t>
      </w:r>
      <w:r>
        <w:rPr>
          <w:rFonts w:hint="eastAsia" w:ascii="仿宋_GB2312" w:eastAsia="仿宋_GB2312"/>
          <w:sz w:val="32"/>
          <w:szCs w:val="32"/>
        </w:rPr>
        <w:t>）住房公积金（</w:t>
      </w:r>
      <w:r>
        <w:rPr>
          <w:rFonts w:hint="eastAsia" w:ascii="仿宋_GB2312" w:eastAsia="仿宋_GB2312"/>
          <w:sz w:val="32"/>
          <w:szCs w:val="32"/>
          <w:lang w:val="en-US" w:eastAsia="zh-CN"/>
        </w:rPr>
        <w:t>项</w:t>
      </w:r>
      <w:r>
        <w:rPr>
          <w:rFonts w:hint="eastAsia" w:ascii="仿宋_GB2312" w:eastAsia="仿宋_GB2312"/>
          <w:sz w:val="32"/>
          <w:szCs w:val="32"/>
        </w:rPr>
        <w:t>）：反映行政事业单位按国家规定为职工缴纳的住房公积金。</w:t>
      </w:r>
    </w:p>
    <w:p w14:paraId="11C7FE84">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24.基本支出：指为保障机构正常运转、完成日常工作任务而发生的人员支出和公用支出。</w:t>
      </w:r>
    </w:p>
    <w:p w14:paraId="16ED0666">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25.项目支出：指在基本支出之外为完成特定行政任务和事业发展目标所发生的支出。</w:t>
      </w:r>
    </w:p>
    <w:p w14:paraId="56965013">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26.经营支出：指事业单位在专业业务活动及其辅助活动之外开展非独立核算经营活动发生的支出。</w:t>
      </w:r>
    </w:p>
    <w:p w14:paraId="42B5D025">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38DF607">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C2B731">
      <w:pPr>
        <w:pStyle w:val="25"/>
        <w:spacing w:line="576" w:lineRule="atLeast"/>
        <w:ind w:firstLine="640" w:firstLineChars="200"/>
        <w:jc w:val="both"/>
        <w:rPr>
          <w:rFonts w:hint="eastAsia" w:ascii="仿宋_GB2312" w:eastAsia="仿宋_GB2312"/>
          <w:sz w:val="32"/>
          <w:szCs w:val="32"/>
        </w:rPr>
      </w:pPr>
      <w:r>
        <w:rPr>
          <w:rFonts w:hint="eastAsia" w:ascii="仿宋_GB2312" w:eastAsia="仿宋_GB2312"/>
          <w:sz w:val="32"/>
          <w:szCs w:val="32"/>
        </w:rPr>
        <w:t>29.财政应返还额度：为行政事业单位会计核算科目，用于核算实行国库集中支付的行政事业单位应收财政返还的资金额度。</w:t>
      </w:r>
    </w:p>
    <w:p w14:paraId="7B5B8043">
      <w:pPr>
        <w:rPr>
          <w:rFonts w:hint="eastAsia" w:ascii="仿宋_GB2312" w:eastAsia="仿宋_GB2312"/>
          <w:sz w:val="32"/>
          <w:szCs w:val="32"/>
        </w:rPr>
      </w:pPr>
      <w:r>
        <w:rPr>
          <w:rFonts w:hint="eastAsia" w:ascii="仿宋_GB2312" w:eastAsia="仿宋_GB2312"/>
          <w:sz w:val="32"/>
          <w:szCs w:val="32"/>
        </w:rPr>
        <w:br w:type="page"/>
      </w:r>
    </w:p>
    <w:p w14:paraId="4AB80010">
      <w:pPr>
        <w:pStyle w:val="3"/>
        <w:jc w:val="center"/>
        <w:rPr>
          <w:rFonts w:hint="eastAsia" w:ascii="仿宋" w:eastAsia="仿宋"/>
          <w:color w:val="000000"/>
          <w:sz w:val="32"/>
          <w:szCs w:val="32"/>
        </w:rPr>
      </w:pPr>
      <w:bookmarkStart w:id="65" w:name="_Toc13224"/>
      <w:r>
        <w:rPr>
          <w:rFonts w:hint="eastAsia" w:ascii="黑体" w:eastAsia="黑体" w:cs="黑体"/>
        </w:rPr>
        <w:t>第四部分 附件</w:t>
      </w:r>
      <w:bookmarkEnd w:id="64"/>
      <w:bookmarkEnd w:id="65"/>
    </w:p>
    <w:tbl>
      <w:tblPr>
        <w:tblStyle w:val="19"/>
        <w:tblW w:w="9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03"/>
        <w:gridCol w:w="816"/>
        <w:gridCol w:w="1167"/>
        <w:gridCol w:w="1226"/>
        <w:gridCol w:w="1052"/>
        <w:gridCol w:w="907"/>
        <w:gridCol w:w="991"/>
        <w:gridCol w:w="876"/>
        <w:gridCol w:w="1722"/>
      </w:tblGrid>
      <w:tr w14:paraId="1CCB7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7" w:hRule="atLeast"/>
          <w:jc w:val="center"/>
        </w:trPr>
        <w:tc>
          <w:tcPr>
            <w:tcW w:w="9560" w:type="dxa"/>
            <w:gridSpan w:val="9"/>
            <w:tcBorders>
              <w:top w:val="nil"/>
              <w:left w:val="nil"/>
              <w:bottom w:val="nil"/>
              <w:right w:val="nil"/>
              <w:tl2br w:val="nil"/>
              <w:tr2bl w:val="nil"/>
            </w:tcBorders>
            <w:noWrap w:val="0"/>
            <w:vAlign w:val="center"/>
          </w:tcPr>
          <w:p w14:paraId="2D4B5B33">
            <w:pPr>
              <w:widowControl/>
              <w:spacing w:beforeLines="0" w:afterLines="0" w:line="600" w:lineRule="exact"/>
              <w:jc w:val="both"/>
              <w:textAlignment w:val="center"/>
              <w:rPr>
                <w:rFonts w:hint="default" w:eastAsia="黑体"/>
                <w:color w:val="000000"/>
                <w:sz w:val="30"/>
                <w:szCs w:val="30"/>
              </w:rPr>
            </w:pPr>
            <w:r>
              <w:rPr>
                <w:rFonts w:hint="eastAsia" w:eastAsia="方正小标宋简体"/>
                <w:color w:val="000000"/>
                <w:kern w:val="0"/>
                <w:sz w:val="40"/>
                <w:szCs w:val="40"/>
              </w:rPr>
              <w:t>专项预算项目绩效目标完成情况自评表</w:t>
            </w:r>
          </w:p>
        </w:tc>
      </w:tr>
      <w:tr w14:paraId="2BB3A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4012"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2117DB">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项目名称</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7EFB0F">
            <w:pPr>
              <w:spacing w:beforeLines="0" w:afterLines="0" w:line="300" w:lineRule="exact"/>
              <w:rPr>
                <w:rFonts w:hint="default"/>
                <w:color w:val="000000"/>
                <w:sz w:val="18"/>
                <w:szCs w:val="18"/>
              </w:rPr>
            </w:pPr>
            <w:r>
              <w:rPr>
                <w:rFonts w:hint="eastAsia"/>
                <w:color w:val="000000"/>
                <w:sz w:val="18"/>
                <w:szCs w:val="18"/>
              </w:rPr>
              <w:t>51322323T000009212835-基层组织活动和公共服务运行经费</w:t>
            </w:r>
          </w:p>
        </w:tc>
      </w:tr>
      <w:tr w14:paraId="28CB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6" w:hRule="atLeast"/>
          <w:jc w:val="center"/>
        </w:trPr>
        <w:tc>
          <w:tcPr>
            <w:tcW w:w="4012"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620FD8">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预算单位</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26B5DE">
            <w:pPr>
              <w:spacing w:beforeLines="0" w:afterLines="0" w:line="300" w:lineRule="exact"/>
              <w:rPr>
                <w:rFonts w:hint="default"/>
                <w:color w:val="000000"/>
                <w:sz w:val="18"/>
                <w:szCs w:val="18"/>
              </w:rPr>
            </w:pPr>
            <w:r>
              <w:rPr>
                <w:rFonts w:hint="eastAsia"/>
                <w:color w:val="000000"/>
                <w:sz w:val="18"/>
                <w:szCs w:val="18"/>
              </w:rPr>
              <w:t>茂县南新镇人民政府（行政）</w:t>
            </w:r>
          </w:p>
        </w:tc>
      </w:tr>
      <w:tr w14:paraId="73AAA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4012"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87DCF5">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项目类型</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C764BF">
            <w:pPr>
              <w:spacing w:beforeLines="0" w:afterLines="0" w:line="300" w:lineRule="exact"/>
              <w:jc w:val="left"/>
              <w:rPr>
                <w:rFonts w:hint="default"/>
                <w:color w:val="000000"/>
                <w:sz w:val="18"/>
                <w:szCs w:val="18"/>
              </w:rPr>
            </w:pPr>
          </w:p>
        </w:tc>
      </w:tr>
      <w:tr w14:paraId="4844B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7" w:hRule="atLeast"/>
          <w:jc w:val="center"/>
        </w:trPr>
        <w:tc>
          <w:tcPr>
            <w:tcW w:w="80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490434">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 xml:space="preserve">项目 </w:t>
            </w:r>
          </w:p>
          <w:p w14:paraId="0E048EE3">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概况</w:t>
            </w:r>
          </w:p>
        </w:tc>
        <w:tc>
          <w:tcPr>
            <w:tcW w:w="3209"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311A63">
            <w:pPr>
              <w:widowControl/>
              <w:spacing w:beforeLines="0" w:afterLines="0" w:line="300" w:lineRule="exact"/>
              <w:jc w:val="left"/>
              <w:textAlignment w:val="center"/>
              <w:rPr>
                <w:rFonts w:hint="default"/>
                <w:color w:val="000000"/>
                <w:kern w:val="0"/>
                <w:sz w:val="18"/>
                <w:szCs w:val="18"/>
              </w:rPr>
            </w:pPr>
            <w:r>
              <w:rPr>
                <w:rFonts w:hint="eastAsia"/>
                <w:color w:val="000000"/>
                <w:kern w:val="0"/>
                <w:sz w:val="18"/>
                <w:szCs w:val="18"/>
              </w:rPr>
              <w:t>中长期规划（名称、文号，仅指</w:t>
            </w:r>
          </w:p>
          <w:p w14:paraId="74D4903C">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常年项目）</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766CDF">
            <w:pPr>
              <w:spacing w:beforeLines="0" w:afterLines="0" w:line="300" w:lineRule="exact"/>
              <w:jc w:val="left"/>
              <w:rPr>
                <w:rFonts w:hint="default"/>
                <w:color w:val="000000"/>
                <w:sz w:val="18"/>
                <w:szCs w:val="18"/>
              </w:rPr>
            </w:pPr>
          </w:p>
        </w:tc>
      </w:tr>
      <w:tr w14:paraId="1F9BC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EEB980">
            <w:pPr>
              <w:spacing w:beforeLines="0" w:afterLines="0" w:line="300" w:lineRule="exact"/>
              <w:rPr>
                <w:rFonts w:hint="default"/>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ECE6A8">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资金管理办法（名称、文号）</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4A0016">
            <w:pPr>
              <w:spacing w:beforeLines="0" w:afterLines="0" w:line="300" w:lineRule="exact"/>
              <w:jc w:val="left"/>
              <w:rPr>
                <w:rFonts w:hint="default"/>
                <w:color w:val="000000"/>
                <w:sz w:val="18"/>
                <w:szCs w:val="18"/>
              </w:rPr>
            </w:pPr>
          </w:p>
        </w:tc>
      </w:tr>
      <w:tr w14:paraId="0524F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7" w:hRule="atLeast"/>
          <w:jc w:val="center"/>
        </w:trPr>
        <w:tc>
          <w:tcPr>
            <w:tcW w:w="80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FDDCC1">
            <w:pPr>
              <w:spacing w:beforeLines="0" w:afterLines="0" w:line="300" w:lineRule="exact"/>
              <w:rPr>
                <w:rFonts w:hint="default"/>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7CBCF0">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绩效分配方式</w:t>
            </w:r>
          </w:p>
        </w:tc>
        <w:tc>
          <w:tcPr>
            <w:tcW w:w="10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C9D999">
            <w:pPr>
              <w:widowControl/>
              <w:spacing w:beforeLines="0" w:afterLines="0" w:line="300" w:lineRule="exact"/>
              <w:jc w:val="left"/>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w:t>
            </w:r>
          </w:p>
        </w:tc>
        <w:tc>
          <w:tcPr>
            <w:tcW w:w="1898"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926E13">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default" w:ascii="Wingdings 2" w:hAnsi="Wingdings 2" w:eastAsia="Wingdings 2"/>
                <w:color w:val="000000"/>
                <w:kern w:val="0"/>
                <w:sz w:val="18"/>
                <w:szCs w:val="18"/>
              </w:rPr>
              <w:t>项目法</w:t>
            </w:r>
          </w:p>
        </w:tc>
        <w:tc>
          <w:tcPr>
            <w:tcW w:w="8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0515A0F">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据实据效</w:t>
            </w:r>
          </w:p>
        </w:tc>
        <w:tc>
          <w:tcPr>
            <w:tcW w:w="172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53FE34">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因素法与项目法相结合</w:t>
            </w:r>
          </w:p>
        </w:tc>
      </w:tr>
      <w:tr w14:paraId="75E8A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1B076B">
            <w:pPr>
              <w:spacing w:beforeLines="0" w:afterLines="0" w:line="300" w:lineRule="exact"/>
              <w:rPr>
                <w:rFonts w:hint="default"/>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4479C0">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立项依据</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332BAD">
            <w:pPr>
              <w:spacing w:beforeLines="0" w:afterLines="0" w:line="300" w:lineRule="exact"/>
              <w:jc w:val="left"/>
              <w:rPr>
                <w:rFonts w:hint="default"/>
                <w:color w:val="000000"/>
                <w:sz w:val="18"/>
                <w:szCs w:val="18"/>
              </w:rPr>
            </w:pPr>
          </w:p>
        </w:tc>
      </w:tr>
      <w:tr w14:paraId="3B7E0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2499CC">
            <w:pPr>
              <w:spacing w:beforeLines="0" w:afterLines="0" w:line="300" w:lineRule="exact"/>
              <w:rPr>
                <w:rFonts w:hint="default"/>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90AB84">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使用范围</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C8CF27">
            <w:pPr>
              <w:spacing w:beforeLines="0" w:afterLines="0" w:line="300" w:lineRule="exact"/>
              <w:jc w:val="left"/>
              <w:rPr>
                <w:rFonts w:hint="default"/>
                <w:color w:val="000000"/>
                <w:sz w:val="18"/>
                <w:szCs w:val="18"/>
              </w:rPr>
            </w:pPr>
          </w:p>
        </w:tc>
      </w:tr>
      <w:tr w14:paraId="21B01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8655CA">
            <w:pPr>
              <w:spacing w:beforeLines="0" w:afterLines="0" w:line="300" w:lineRule="exact"/>
              <w:rPr>
                <w:rFonts w:hint="default"/>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0ED1F6">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申报（补助）条件</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BA325D">
            <w:pPr>
              <w:spacing w:beforeLines="0" w:afterLines="0" w:line="300" w:lineRule="exact"/>
              <w:jc w:val="left"/>
              <w:rPr>
                <w:rFonts w:hint="default"/>
                <w:color w:val="000000"/>
                <w:sz w:val="18"/>
                <w:szCs w:val="18"/>
              </w:rPr>
            </w:pPr>
          </w:p>
        </w:tc>
      </w:tr>
      <w:tr w14:paraId="58ACC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A622F1">
            <w:pPr>
              <w:spacing w:beforeLines="0" w:afterLines="0" w:line="300" w:lineRule="exact"/>
              <w:rPr>
                <w:rFonts w:hint="default"/>
                <w:color w:val="000000"/>
                <w:sz w:val="18"/>
                <w:szCs w:val="18"/>
              </w:rPr>
            </w:pPr>
          </w:p>
        </w:tc>
        <w:tc>
          <w:tcPr>
            <w:tcW w:w="3209"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72FD36">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项目起止年限</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21FA72">
            <w:pPr>
              <w:spacing w:beforeLines="0" w:afterLines="0" w:line="300" w:lineRule="exact"/>
              <w:rPr>
                <w:rFonts w:hint="default"/>
                <w:color w:val="000000"/>
                <w:sz w:val="18"/>
                <w:szCs w:val="18"/>
              </w:rPr>
            </w:pPr>
            <w:r>
              <w:rPr>
                <w:rFonts w:hint="eastAsia"/>
                <w:color w:val="000000"/>
                <w:sz w:val="18"/>
                <w:szCs w:val="18"/>
              </w:rPr>
              <w:t>205.1-2025.12</w:t>
            </w:r>
          </w:p>
        </w:tc>
      </w:tr>
      <w:tr w14:paraId="2DFE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1619"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C019BD">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项目资金</w:t>
            </w:r>
          </w:p>
          <w:p w14:paraId="3D6190E4">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（万元）</w:t>
            </w:r>
          </w:p>
        </w:tc>
        <w:tc>
          <w:tcPr>
            <w:tcW w:w="239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736713">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年度资金总额：</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FE2669">
            <w:pPr>
              <w:tabs>
                <w:tab w:val="left" w:pos="1110"/>
                <w:tab w:val="right" w:pos="6028"/>
              </w:tabs>
              <w:spacing w:beforeLines="0" w:afterLines="0" w:line="300" w:lineRule="exact"/>
              <w:jc w:val="center"/>
              <w:rPr>
                <w:rFonts w:hint="default"/>
                <w:color w:val="000000"/>
                <w:sz w:val="18"/>
                <w:szCs w:val="18"/>
              </w:rPr>
            </w:pPr>
            <w:r>
              <w:rPr>
                <w:rFonts w:hint="eastAsia"/>
                <w:color w:val="000000"/>
                <w:sz w:val="18"/>
                <w:szCs w:val="18"/>
              </w:rPr>
              <w:t xml:space="preserve">    120.00</w:t>
            </w:r>
            <w:r>
              <w:rPr>
                <w:rFonts w:hint="eastAsia"/>
                <w:color w:val="000000"/>
                <w:sz w:val="18"/>
                <w:szCs w:val="18"/>
              </w:rPr>
              <w:tab/>
            </w:r>
          </w:p>
        </w:tc>
      </w:tr>
      <w:tr w14:paraId="3B4B1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1619"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324DE8">
            <w:pPr>
              <w:spacing w:beforeLines="0" w:afterLines="0" w:line="300" w:lineRule="exact"/>
              <w:rPr>
                <w:rFonts w:hint="default"/>
                <w:color w:val="000000"/>
                <w:sz w:val="18"/>
                <w:szCs w:val="18"/>
              </w:rPr>
            </w:pPr>
          </w:p>
        </w:tc>
        <w:tc>
          <w:tcPr>
            <w:tcW w:w="239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C61EF4">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其中：财政拨款</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99A1E7">
            <w:pPr>
              <w:tabs>
                <w:tab w:val="left" w:pos="1305"/>
                <w:tab w:val="right" w:pos="6028"/>
              </w:tabs>
              <w:spacing w:beforeLines="0" w:afterLines="0" w:line="300" w:lineRule="exact"/>
              <w:ind w:firstLine="2700" w:firstLineChars="1500"/>
              <w:rPr>
                <w:rFonts w:hint="default"/>
                <w:color w:val="000000"/>
                <w:sz w:val="18"/>
                <w:szCs w:val="18"/>
              </w:rPr>
            </w:pPr>
            <w:r>
              <w:rPr>
                <w:rFonts w:hint="eastAsia"/>
                <w:color w:val="000000"/>
                <w:sz w:val="18"/>
                <w:szCs w:val="18"/>
              </w:rPr>
              <w:t>120.00</w:t>
            </w:r>
          </w:p>
        </w:tc>
      </w:tr>
      <w:tr w14:paraId="43AA7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1619"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27BC45">
            <w:pPr>
              <w:spacing w:beforeLines="0" w:afterLines="0" w:line="300" w:lineRule="exact"/>
              <w:rPr>
                <w:rFonts w:hint="default"/>
                <w:color w:val="000000"/>
                <w:sz w:val="18"/>
                <w:szCs w:val="18"/>
              </w:rPr>
            </w:pPr>
          </w:p>
        </w:tc>
        <w:tc>
          <w:tcPr>
            <w:tcW w:w="239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1FB85E">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其他资金</w:t>
            </w:r>
          </w:p>
        </w:tc>
        <w:tc>
          <w:tcPr>
            <w:tcW w:w="554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5B844A">
            <w:pPr>
              <w:spacing w:beforeLines="0" w:afterLines="0" w:line="300" w:lineRule="exact"/>
              <w:jc w:val="right"/>
              <w:rPr>
                <w:rFonts w:hint="default"/>
                <w:color w:val="000000"/>
                <w:sz w:val="18"/>
                <w:szCs w:val="18"/>
              </w:rPr>
            </w:pPr>
          </w:p>
        </w:tc>
      </w:tr>
      <w:tr w14:paraId="0311E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7CF61E8">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 xml:space="preserve">总体 </w:t>
            </w:r>
          </w:p>
          <w:p w14:paraId="21664F0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目标</w:t>
            </w:r>
          </w:p>
        </w:tc>
        <w:tc>
          <w:tcPr>
            <w:tcW w:w="8757"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B6EBAF">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年度目标</w:t>
            </w:r>
          </w:p>
        </w:tc>
      </w:tr>
      <w:tr w14:paraId="4DFFB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36" w:hRule="atLeast"/>
          <w:jc w:val="center"/>
        </w:trPr>
        <w:tc>
          <w:tcPr>
            <w:tcW w:w="80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B8069C">
            <w:pPr>
              <w:spacing w:beforeLines="0" w:afterLines="0" w:line="300" w:lineRule="exact"/>
              <w:rPr>
                <w:rFonts w:hint="default"/>
                <w:color w:val="000000"/>
                <w:sz w:val="18"/>
                <w:szCs w:val="18"/>
              </w:rPr>
            </w:pPr>
          </w:p>
        </w:tc>
        <w:tc>
          <w:tcPr>
            <w:tcW w:w="8757"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1D1A41">
            <w:pPr>
              <w:spacing w:beforeLines="0" w:afterLines="0" w:line="300" w:lineRule="exact"/>
              <w:rPr>
                <w:rFonts w:hint="default"/>
                <w:color w:val="000000"/>
                <w:sz w:val="18"/>
                <w:szCs w:val="18"/>
              </w:rPr>
            </w:pPr>
            <w:r>
              <w:rPr>
                <w:rFonts w:hint="eastAsia"/>
                <w:color w:val="000000"/>
                <w:sz w:val="18"/>
                <w:szCs w:val="18"/>
              </w:rPr>
              <w:t>严格执行相关政策，及时足额完成村级运行维护费资金支付；各村运行维护费,共计120万元预算.</w:t>
            </w:r>
          </w:p>
        </w:tc>
      </w:tr>
      <w:tr w14:paraId="428E9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restart"/>
            <w:tcBorders>
              <w:top w:val="single" w:color="000000" w:sz="4" w:space="0"/>
              <w:left w:val="single" w:color="000000" w:sz="4" w:space="0"/>
              <w:bottom w:val="single" w:color="000000" w:sz="4" w:space="0"/>
              <w:right w:val="nil"/>
              <w:tl2br w:val="nil"/>
              <w:tr2bl w:val="nil"/>
            </w:tcBorders>
            <w:noWrap w:val="0"/>
            <w:vAlign w:val="center"/>
          </w:tcPr>
          <w:p w14:paraId="7E0FD361">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绩效</w:t>
            </w:r>
          </w:p>
          <w:p w14:paraId="6E32C952">
            <w:pPr>
              <w:widowControl/>
              <w:spacing w:beforeLines="0" w:afterLines="0" w:line="300" w:lineRule="exact"/>
              <w:jc w:val="center"/>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指标</w:t>
            </w:r>
          </w:p>
        </w:tc>
        <w:tc>
          <w:tcPr>
            <w:tcW w:w="8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F202B3">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一级指标</w:t>
            </w:r>
          </w:p>
        </w:tc>
        <w:tc>
          <w:tcPr>
            <w:tcW w:w="116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E0E11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二级指标</w:t>
            </w:r>
          </w:p>
        </w:tc>
        <w:tc>
          <w:tcPr>
            <w:tcW w:w="12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CB46D5">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三级指标</w:t>
            </w:r>
          </w:p>
        </w:tc>
        <w:tc>
          <w:tcPr>
            <w:tcW w:w="10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5DA0E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指标性质</w:t>
            </w:r>
          </w:p>
        </w:tc>
        <w:tc>
          <w:tcPr>
            <w:tcW w:w="9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106BDC">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指标值</w:t>
            </w:r>
          </w:p>
        </w:tc>
        <w:tc>
          <w:tcPr>
            <w:tcW w:w="99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9BFB0B">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度量单位</w:t>
            </w:r>
          </w:p>
        </w:tc>
        <w:tc>
          <w:tcPr>
            <w:tcW w:w="8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BEE5FD">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权重</w:t>
            </w:r>
          </w:p>
        </w:tc>
        <w:tc>
          <w:tcPr>
            <w:tcW w:w="172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EABCF3">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实际完成指标值</w:t>
            </w:r>
          </w:p>
        </w:tc>
      </w:tr>
      <w:tr w14:paraId="6F5A9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6638122E">
            <w:pPr>
              <w:spacing w:beforeLines="0" w:afterLines="0" w:line="300" w:lineRule="exact"/>
              <w:jc w:val="center"/>
              <w:rPr>
                <w:rFonts w:hint="default"/>
                <w:color w:val="000000"/>
                <w:sz w:val="18"/>
                <w:szCs w:val="18"/>
              </w:rPr>
            </w:pPr>
          </w:p>
        </w:tc>
        <w:tc>
          <w:tcPr>
            <w:tcW w:w="816"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ADBBEC">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产出指标</w:t>
            </w:r>
          </w:p>
        </w:tc>
        <w:tc>
          <w:tcPr>
            <w:tcW w:w="116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5AC164">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数量指标</w:t>
            </w:r>
          </w:p>
        </w:tc>
        <w:tc>
          <w:tcPr>
            <w:tcW w:w="12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B78E2B">
            <w:pPr>
              <w:spacing w:beforeLines="0" w:afterLines="0" w:line="300" w:lineRule="exact"/>
              <w:rPr>
                <w:rFonts w:hint="default"/>
                <w:color w:val="000000"/>
                <w:sz w:val="18"/>
                <w:szCs w:val="18"/>
              </w:rPr>
            </w:pPr>
            <w:r>
              <w:rPr>
                <w:rFonts w:hint="eastAsia"/>
                <w:color w:val="000000"/>
                <w:sz w:val="18"/>
                <w:szCs w:val="18"/>
              </w:rPr>
              <w:t>涉及村个数</w:t>
            </w:r>
          </w:p>
        </w:tc>
        <w:tc>
          <w:tcPr>
            <w:tcW w:w="10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0C84AC">
            <w:pPr>
              <w:spacing w:beforeLines="0" w:afterLines="0" w:line="300" w:lineRule="exact"/>
              <w:jc w:val="center"/>
              <w:rPr>
                <w:rFonts w:hint="default"/>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7C003E">
            <w:pPr>
              <w:spacing w:beforeLines="0" w:afterLines="0" w:line="300" w:lineRule="exact"/>
              <w:jc w:val="center"/>
              <w:rPr>
                <w:rFonts w:hint="default"/>
                <w:color w:val="000000"/>
                <w:sz w:val="18"/>
                <w:szCs w:val="18"/>
              </w:rPr>
            </w:pPr>
            <w:r>
              <w:rPr>
                <w:rFonts w:hint="eastAsia"/>
                <w:color w:val="000000"/>
                <w:sz w:val="18"/>
                <w:szCs w:val="18"/>
              </w:rPr>
              <w:t>8</w:t>
            </w:r>
          </w:p>
        </w:tc>
        <w:tc>
          <w:tcPr>
            <w:tcW w:w="99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FB30F1">
            <w:pPr>
              <w:spacing w:beforeLines="0" w:afterLines="0" w:line="300" w:lineRule="exact"/>
              <w:jc w:val="center"/>
              <w:rPr>
                <w:rFonts w:hint="default"/>
                <w:color w:val="000000"/>
                <w:sz w:val="18"/>
                <w:szCs w:val="18"/>
              </w:rPr>
            </w:pPr>
            <w:r>
              <w:rPr>
                <w:rFonts w:hint="eastAsia"/>
                <w:color w:val="000000"/>
                <w:sz w:val="18"/>
                <w:szCs w:val="18"/>
              </w:rPr>
              <w:t>个</w:t>
            </w:r>
          </w:p>
        </w:tc>
        <w:tc>
          <w:tcPr>
            <w:tcW w:w="8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744E28">
            <w:pPr>
              <w:spacing w:beforeLines="0" w:afterLines="0" w:line="300" w:lineRule="exact"/>
              <w:jc w:val="center"/>
              <w:rPr>
                <w:rFonts w:hint="default"/>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0A82D7">
            <w:pPr>
              <w:spacing w:beforeLines="0" w:afterLines="0" w:line="300" w:lineRule="exact"/>
              <w:jc w:val="center"/>
              <w:rPr>
                <w:rFonts w:hint="default"/>
                <w:color w:val="000000"/>
                <w:sz w:val="18"/>
                <w:szCs w:val="18"/>
              </w:rPr>
            </w:pPr>
            <w:r>
              <w:rPr>
                <w:rFonts w:hint="eastAsia"/>
                <w:color w:val="000000"/>
                <w:sz w:val="18"/>
                <w:szCs w:val="18"/>
              </w:rPr>
              <w:t>8</w:t>
            </w:r>
          </w:p>
        </w:tc>
      </w:tr>
      <w:tr w14:paraId="54B68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7" w:hRule="atLeast"/>
          <w:jc w:val="center"/>
        </w:trPr>
        <w:tc>
          <w:tcPr>
            <w:tcW w:w="80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4C71B519">
            <w:pPr>
              <w:spacing w:beforeLines="0" w:afterLines="0" w:line="300" w:lineRule="exact"/>
              <w:jc w:val="center"/>
              <w:rPr>
                <w:rFonts w:hint="default"/>
                <w:color w:val="000000"/>
                <w:sz w:val="18"/>
                <w:szCs w:val="18"/>
              </w:rPr>
            </w:pPr>
          </w:p>
        </w:tc>
        <w:tc>
          <w:tcPr>
            <w:tcW w:w="81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AD63DE">
            <w:pPr>
              <w:spacing w:beforeLines="0" w:afterLines="0" w:line="300" w:lineRule="exact"/>
              <w:jc w:val="center"/>
              <w:rPr>
                <w:rFonts w:hint="default"/>
                <w:color w:val="000000"/>
                <w:sz w:val="18"/>
                <w:szCs w:val="18"/>
              </w:rPr>
            </w:pPr>
          </w:p>
        </w:tc>
        <w:tc>
          <w:tcPr>
            <w:tcW w:w="1167"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AEBFEC">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质量指标</w:t>
            </w:r>
          </w:p>
        </w:tc>
        <w:tc>
          <w:tcPr>
            <w:tcW w:w="12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743C9B">
            <w:pPr>
              <w:spacing w:beforeLines="0" w:afterLines="0" w:line="300" w:lineRule="exact"/>
              <w:rPr>
                <w:rFonts w:hint="default"/>
                <w:color w:val="000000"/>
                <w:sz w:val="18"/>
                <w:szCs w:val="18"/>
              </w:rPr>
            </w:pPr>
            <w:r>
              <w:rPr>
                <w:rFonts w:hint="eastAsia"/>
                <w:color w:val="000000"/>
                <w:sz w:val="18"/>
                <w:szCs w:val="18"/>
              </w:rPr>
              <w:t>项目资金使用合格率</w:t>
            </w:r>
          </w:p>
        </w:tc>
        <w:tc>
          <w:tcPr>
            <w:tcW w:w="10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4457F0">
            <w:pPr>
              <w:spacing w:beforeLines="0" w:afterLines="0" w:line="300" w:lineRule="exact"/>
              <w:jc w:val="center"/>
              <w:rPr>
                <w:rFonts w:hint="default"/>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821381">
            <w:pPr>
              <w:spacing w:beforeLines="0" w:afterLines="0" w:line="300" w:lineRule="exact"/>
              <w:jc w:val="center"/>
              <w:rPr>
                <w:rFonts w:hint="default"/>
                <w:color w:val="000000"/>
                <w:sz w:val="18"/>
                <w:szCs w:val="18"/>
              </w:rPr>
            </w:pPr>
            <w:r>
              <w:rPr>
                <w:rFonts w:hint="eastAsia"/>
                <w:color w:val="000000"/>
                <w:sz w:val="18"/>
                <w:szCs w:val="18"/>
              </w:rPr>
              <w:t>100</w:t>
            </w:r>
          </w:p>
        </w:tc>
        <w:tc>
          <w:tcPr>
            <w:tcW w:w="99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07AFA4">
            <w:pPr>
              <w:spacing w:beforeLines="0" w:afterLines="0" w:line="300" w:lineRule="exact"/>
              <w:jc w:val="center"/>
              <w:rPr>
                <w:rFonts w:hint="default"/>
                <w:color w:val="000000"/>
                <w:sz w:val="18"/>
                <w:szCs w:val="18"/>
              </w:rPr>
            </w:pPr>
            <w:r>
              <w:rPr>
                <w:rFonts w:hint="eastAsia"/>
                <w:color w:val="000000"/>
                <w:sz w:val="18"/>
                <w:szCs w:val="18"/>
              </w:rPr>
              <w:t>%</w:t>
            </w:r>
          </w:p>
        </w:tc>
        <w:tc>
          <w:tcPr>
            <w:tcW w:w="8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8480FA">
            <w:pPr>
              <w:spacing w:beforeLines="0" w:afterLines="0" w:line="300" w:lineRule="exact"/>
              <w:jc w:val="center"/>
              <w:rPr>
                <w:rFonts w:hint="default"/>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97A81B">
            <w:pPr>
              <w:spacing w:beforeLines="0" w:afterLines="0" w:line="300" w:lineRule="exact"/>
              <w:jc w:val="center"/>
              <w:rPr>
                <w:rFonts w:hint="default"/>
                <w:color w:val="000000"/>
                <w:sz w:val="18"/>
                <w:szCs w:val="18"/>
              </w:rPr>
            </w:pPr>
            <w:r>
              <w:rPr>
                <w:rFonts w:hint="eastAsia"/>
                <w:color w:val="000000"/>
                <w:sz w:val="18"/>
                <w:szCs w:val="18"/>
              </w:rPr>
              <w:t>100</w:t>
            </w:r>
          </w:p>
        </w:tc>
      </w:tr>
      <w:tr w14:paraId="09C56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7" w:hRule="atLeast"/>
          <w:jc w:val="center"/>
        </w:trPr>
        <w:tc>
          <w:tcPr>
            <w:tcW w:w="80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6BB441BF">
            <w:pPr>
              <w:spacing w:beforeLines="0" w:afterLines="0" w:line="300" w:lineRule="exact"/>
              <w:jc w:val="center"/>
              <w:rPr>
                <w:rFonts w:hint="default"/>
                <w:color w:val="000000"/>
                <w:sz w:val="18"/>
                <w:szCs w:val="18"/>
              </w:rPr>
            </w:pPr>
          </w:p>
        </w:tc>
        <w:tc>
          <w:tcPr>
            <w:tcW w:w="81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E90523">
            <w:pPr>
              <w:spacing w:beforeLines="0" w:afterLines="0" w:line="300" w:lineRule="exact"/>
              <w:jc w:val="center"/>
              <w:rPr>
                <w:rFonts w:hint="default"/>
                <w:color w:val="000000"/>
                <w:sz w:val="18"/>
                <w:szCs w:val="18"/>
              </w:rPr>
            </w:pPr>
          </w:p>
        </w:tc>
        <w:tc>
          <w:tcPr>
            <w:tcW w:w="1167"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F4F4C4">
            <w:pPr>
              <w:spacing w:beforeLines="0" w:afterLines="0" w:line="300" w:lineRule="exact"/>
              <w:jc w:val="center"/>
              <w:rPr>
                <w:rFonts w:hint="default"/>
                <w:color w:val="000000"/>
                <w:sz w:val="18"/>
                <w:szCs w:val="18"/>
              </w:rPr>
            </w:pPr>
          </w:p>
        </w:tc>
        <w:tc>
          <w:tcPr>
            <w:tcW w:w="12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B2E92B">
            <w:pPr>
              <w:spacing w:beforeLines="0" w:afterLines="0" w:line="300" w:lineRule="exact"/>
              <w:rPr>
                <w:rFonts w:hint="default"/>
                <w:color w:val="000000"/>
                <w:sz w:val="18"/>
                <w:szCs w:val="18"/>
              </w:rPr>
            </w:pPr>
            <w:r>
              <w:rPr>
                <w:rFonts w:hint="eastAsia"/>
                <w:color w:val="000000"/>
                <w:sz w:val="18"/>
                <w:szCs w:val="18"/>
              </w:rPr>
              <w:t>项目竣工验收合格率</w:t>
            </w:r>
          </w:p>
        </w:tc>
        <w:tc>
          <w:tcPr>
            <w:tcW w:w="10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1EF3C0">
            <w:pPr>
              <w:spacing w:beforeLines="0" w:afterLines="0" w:line="300" w:lineRule="exact"/>
              <w:jc w:val="center"/>
              <w:rPr>
                <w:rFonts w:hint="default"/>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98C6B4">
            <w:pPr>
              <w:spacing w:beforeLines="0" w:afterLines="0" w:line="300" w:lineRule="exact"/>
              <w:jc w:val="center"/>
              <w:rPr>
                <w:rFonts w:hint="default"/>
                <w:color w:val="000000"/>
                <w:sz w:val="18"/>
                <w:szCs w:val="18"/>
              </w:rPr>
            </w:pPr>
            <w:r>
              <w:rPr>
                <w:rFonts w:hint="eastAsia"/>
                <w:color w:val="000000"/>
                <w:sz w:val="18"/>
                <w:szCs w:val="18"/>
              </w:rPr>
              <w:t>100</w:t>
            </w:r>
          </w:p>
        </w:tc>
        <w:tc>
          <w:tcPr>
            <w:tcW w:w="99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AF7390">
            <w:pPr>
              <w:spacing w:beforeLines="0" w:afterLines="0" w:line="300" w:lineRule="exact"/>
              <w:jc w:val="center"/>
              <w:rPr>
                <w:rFonts w:hint="default"/>
                <w:color w:val="000000"/>
                <w:sz w:val="18"/>
                <w:szCs w:val="18"/>
              </w:rPr>
            </w:pPr>
            <w:r>
              <w:rPr>
                <w:rFonts w:hint="eastAsia"/>
                <w:color w:val="000000"/>
                <w:sz w:val="18"/>
                <w:szCs w:val="18"/>
              </w:rPr>
              <w:t>%</w:t>
            </w:r>
          </w:p>
        </w:tc>
        <w:tc>
          <w:tcPr>
            <w:tcW w:w="8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9D3884">
            <w:pPr>
              <w:spacing w:beforeLines="0" w:afterLines="0" w:line="300" w:lineRule="exact"/>
              <w:jc w:val="center"/>
              <w:rPr>
                <w:rFonts w:hint="default"/>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48F677">
            <w:pPr>
              <w:spacing w:beforeLines="0" w:afterLines="0" w:line="300" w:lineRule="exact"/>
              <w:jc w:val="center"/>
              <w:rPr>
                <w:rFonts w:hint="default"/>
                <w:color w:val="000000"/>
                <w:sz w:val="18"/>
                <w:szCs w:val="18"/>
              </w:rPr>
            </w:pPr>
            <w:r>
              <w:rPr>
                <w:rFonts w:hint="eastAsia"/>
                <w:color w:val="000000"/>
                <w:sz w:val="18"/>
                <w:szCs w:val="18"/>
              </w:rPr>
              <w:t>100</w:t>
            </w:r>
          </w:p>
        </w:tc>
      </w:tr>
      <w:tr w14:paraId="6016D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4592EF8A">
            <w:pPr>
              <w:spacing w:beforeLines="0" w:afterLines="0" w:line="300" w:lineRule="exact"/>
              <w:jc w:val="center"/>
              <w:rPr>
                <w:rFonts w:hint="default"/>
                <w:color w:val="000000"/>
                <w:sz w:val="18"/>
                <w:szCs w:val="18"/>
              </w:rPr>
            </w:pPr>
          </w:p>
        </w:tc>
        <w:tc>
          <w:tcPr>
            <w:tcW w:w="81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3866D0">
            <w:pPr>
              <w:spacing w:beforeLines="0" w:afterLines="0" w:line="300" w:lineRule="exact"/>
              <w:jc w:val="center"/>
              <w:rPr>
                <w:rFonts w:hint="default"/>
                <w:color w:val="000000"/>
                <w:sz w:val="18"/>
                <w:szCs w:val="18"/>
              </w:rPr>
            </w:pPr>
          </w:p>
        </w:tc>
        <w:tc>
          <w:tcPr>
            <w:tcW w:w="116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66EB3E">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时效指标</w:t>
            </w:r>
          </w:p>
        </w:tc>
        <w:tc>
          <w:tcPr>
            <w:tcW w:w="12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9D00E6">
            <w:pPr>
              <w:spacing w:beforeLines="0" w:afterLines="0" w:line="300" w:lineRule="exact"/>
              <w:rPr>
                <w:rFonts w:hint="default"/>
                <w:color w:val="000000"/>
                <w:sz w:val="18"/>
                <w:szCs w:val="18"/>
              </w:rPr>
            </w:pPr>
            <w:r>
              <w:rPr>
                <w:rFonts w:hint="eastAsia"/>
                <w:color w:val="000000"/>
                <w:sz w:val="18"/>
                <w:szCs w:val="18"/>
              </w:rPr>
              <w:t>完成时效</w:t>
            </w:r>
          </w:p>
        </w:tc>
        <w:tc>
          <w:tcPr>
            <w:tcW w:w="10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53CD09">
            <w:pPr>
              <w:spacing w:beforeLines="0" w:afterLines="0" w:line="300" w:lineRule="exact"/>
              <w:jc w:val="center"/>
              <w:rPr>
                <w:rFonts w:hint="default"/>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66B5AB">
            <w:pPr>
              <w:spacing w:beforeLines="0" w:afterLines="0" w:line="300" w:lineRule="exact"/>
              <w:jc w:val="center"/>
              <w:rPr>
                <w:rFonts w:hint="default"/>
                <w:color w:val="000000"/>
                <w:sz w:val="18"/>
                <w:szCs w:val="18"/>
              </w:rPr>
            </w:pPr>
            <w:r>
              <w:rPr>
                <w:rFonts w:hint="eastAsia"/>
                <w:color w:val="000000"/>
                <w:sz w:val="18"/>
                <w:szCs w:val="18"/>
              </w:rPr>
              <w:t>1</w:t>
            </w:r>
          </w:p>
        </w:tc>
        <w:tc>
          <w:tcPr>
            <w:tcW w:w="99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416F16">
            <w:pPr>
              <w:spacing w:beforeLines="0" w:afterLines="0" w:line="300" w:lineRule="exact"/>
              <w:jc w:val="center"/>
              <w:rPr>
                <w:rFonts w:hint="default"/>
                <w:color w:val="000000"/>
                <w:sz w:val="18"/>
                <w:szCs w:val="18"/>
              </w:rPr>
            </w:pPr>
            <w:r>
              <w:rPr>
                <w:rFonts w:hint="eastAsia"/>
                <w:color w:val="000000"/>
                <w:sz w:val="18"/>
                <w:szCs w:val="18"/>
              </w:rPr>
              <w:t>年</w:t>
            </w:r>
          </w:p>
        </w:tc>
        <w:tc>
          <w:tcPr>
            <w:tcW w:w="8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649CB4">
            <w:pPr>
              <w:spacing w:beforeLines="0" w:afterLines="0" w:line="300" w:lineRule="exact"/>
              <w:jc w:val="center"/>
              <w:rPr>
                <w:rFonts w:hint="default"/>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59A031">
            <w:pPr>
              <w:spacing w:beforeLines="0" w:afterLines="0" w:line="300" w:lineRule="exact"/>
              <w:jc w:val="center"/>
              <w:rPr>
                <w:rFonts w:hint="default"/>
                <w:color w:val="000000"/>
                <w:sz w:val="18"/>
                <w:szCs w:val="18"/>
              </w:rPr>
            </w:pPr>
            <w:r>
              <w:rPr>
                <w:rFonts w:hint="eastAsia"/>
                <w:color w:val="000000"/>
                <w:sz w:val="18"/>
                <w:szCs w:val="18"/>
              </w:rPr>
              <w:t>1</w:t>
            </w:r>
          </w:p>
        </w:tc>
      </w:tr>
      <w:tr w14:paraId="1AE01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jc w:val="center"/>
        </w:trPr>
        <w:tc>
          <w:tcPr>
            <w:tcW w:w="80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5B2AAED4">
            <w:pPr>
              <w:spacing w:beforeLines="0" w:afterLines="0" w:line="300" w:lineRule="exact"/>
              <w:jc w:val="center"/>
              <w:rPr>
                <w:rFonts w:hint="default"/>
                <w:color w:val="000000"/>
                <w:sz w:val="18"/>
                <w:szCs w:val="18"/>
              </w:rPr>
            </w:pPr>
          </w:p>
        </w:tc>
        <w:tc>
          <w:tcPr>
            <w:tcW w:w="8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E15130">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效益指标</w:t>
            </w:r>
          </w:p>
        </w:tc>
        <w:tc>
          <w:tcPr>
            <w:tcW w:w="116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345D7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生态效益指标</w:t>
            </w:r>
          </w:p>
        </w:tc>
        <w:tc>
          <w:tcPr>
            <w:tcW w:w="12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2B62BE">
            <w:pPr>
              <w:spacing w:beforeLines="0" w:afterLines="0" w:line="300" w:lineRule="exact"/>
              <w:rPr>
                <w:rFonts w:hint="default"/>
                <w:color w:val="000000"/>
                <w:sz w:val="18"/>
                <w:szCs w:val="18"/>
              </w:rPr>
            </w:pPr>
            <w:r>
              <w:rPr>
                <w:rFonts w:hint="eastAsia"/>
                <w:color w:val="000000"/>
                <w:sz w:val="18"/>
                <w:szCs w:val="18"/>
              </w:rPr>
              <w:t>绿色可持续</w:t>
            </w:r>
          </w:p>
        </w:tc>
        <w:tc>
          <w:tcPr>
            <w:tcW w:w="10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C6D5ED">
            <w:pPr>
              <w:spacing w:beforeLines="0" w:afterLines="0" w:line="300" w:lineRule="exact"/>
              <w:jc w:val="center"/>
              <w:rPr>
                <w:rFonts w:hint="default"/>
                <w:color w:val="000000"/>
                <w:sz w:val="18"/>
                <w:szCs w:val="18"/>
              </w:rPr>
            </w:pPr>
            <w:r>
              <w:rPr>
                <w:rFonts w:hint="eastAsia"/>
                <w:color w:val="000000"/>
                <w:sz w:val="18"/>
                <w:szCs w:val="18"/>
              </w:rPr>
              <w:t>定性</w:t>
            </w:r>
          </w:p>
        </w:tc>
        <w:tc>
          <w:tcPr>
            <w:tcW w:w="9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0333E6">
            <w:pPr>
              <w:spacing w:beforeLines="0" w:afterLines="0" w:line="300" w:lineRule="exact"/>
              <w:jc w:val="center"/>
              <w:rPr>
                <w:rFonts w:hint="default"/>
                <w:color w:val="000000"/>
                <w:sz w:val="18"/>
                <w:szCs w:val="18"/>
              </w:rPr>
            </w:pPr>
            <w:r>
              <w:rPr>
                <w:rFonts w:hint="eastAsia"/>
                <w:color w:val="000000"/>
                <w:sz w:val="18"/>
                <w:szCs w:val="18"/>
              </w:rPr>
              <w:t>高中低</w:t>
            </w:r>
          </w:p>
        </w:tc>
        <w:tc>
          <w:tcPr>
            <w:tcW w:w="99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0789F1">
            <w:pPr>
              <w:spacing w:beforeLines="0" w:afterLines="0" w:line="300" w:lineRule="exact"/>
              <w:jc w:val="center"/>
              <w:rPr>
                <w:rFonts w:hint="default"/>
                <w:color w:val="000000"/>
                <w:sz w:val="18"/>
                <w:szCs w:val="18"/>
              </w:rPr>
            </w:pPr>
            <w:r>
              <w:rPr>
                <w:rFonts w:hint="eastAsia"/>
                <w:color w:val="000000"/>
                <w:sz w:val="18"/>
                <w:szCs w:val="18"/>
              </w:rPr>
              <w:t>其他</w:t>
            </w:r>
          </w:p>
        </w:tc>
        <w:tc>
          <w:tcPr>
            <w:tcW w:w="8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E07A41">
            <w:pPr>
              <w:spacing w:beforeLines="0" w:afterLines="0" w:line="300" w:lineRule="exact"/>
              <w:jc w:val="center"/>
              <w:rPr>
                <w:rFonts w:hint="default"/>
                <w:color w:val="000000"/>
                <w:sz w:val="18"/>
                <w:szCs w:val="18"/>
              </w:rPr>
            </w:pPr>
            <w:r>
              <w:rPr>
                <w:rFonts w:hint="eastAsia"/>
                <w:color w:val="000000"/>
                <w:sz w:val="18"/>
                <w:szCs w:val="18"/>
              </w:rPr>
              <w:t>30</w:t>
            </w:r>
          </w:p>
        </w:tc>
        <w:tc>
          <w:tcPr>
            <w:tcW w:w="172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4F2178">
            <w:pPr>
              <w:spacing w:beforeLines="0" w:afterLines="0" w:line="300" w:lineRule="exact"/>
              <w:jc w:val="center"/>
              <w:rPr>
                <w:rFonts w:hint="default"/>
                <w:color w:val="000000"/>
                <w:sz w:val="18"/>
                <w:szCs w:val="18"/>
              </w:rPr>
            </w:pPr>
            <w:r>
              <w:rPr>
                <w:rFonts w:hint="eastAsia"/>
                <w:color w:val="000000"/>
                <w:sz w:val="18"/>
                <w:szCs w:val="18"/>
              </w:rPr>
              <w:t>中</w:t>
            </w:r>
          </w:p>
        </w:tc>
      </w:tr>
      <w:tr w14:paraId="79470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7" w:hRule="atLeast"/>
          <w:jc w:val="center"/>
        </w:trPr>
        <w:tc>
          <w:tcPr>
            <w:tcW w:w="80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775280D5">
            <w:pPr>
              <w:spacing w:beforeLines="0" w:afterLines="0" w:line="300" w:lineRule="exact"/>
              <w:jc w:val="center"/>
              <w:rPr>
                <w:rFonts w:hint="default"/>
                <w:color w:val="000000"/>
                <w:sz w:val="18"/>
                <w:szCs w:val="18"/>
              </w:rPr>
            </w:pPr>
          </w:p>
        </w:tc>
        <w:tc>
          <w:tcPr>
            <w:tcW w:w="816" w:type="dxa"/>
            <w:tcBorders>
              <w:top w:val="single" w:color="000000" w:sz="4" w:space="0"/>
              <w:left w:val="single" w:color="000000" w:sz="4" w:space="0"/>
              <w:bottom w:val="nil"/>
              <w:right w:val="single" w:color="000000" w:sz="4" w:space="0"/>
              <w:tl2br w:val="nil"/>
              <w:tr2bl w:val="nil"/>
            </w:tcBorders>
            <w:noWrap w:val="0"/>
            <w:vAlign w:val="center"/>
          </w:tcPr>
          <w:p w14:paraId="4BB3E213">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满意度</w:t>
            </w:r>
          </w:p>
          <w:p w14:paraId="72C724C5">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w:t>
            </w:r>
          </w:p>
        </w:tc>
        <w:tc>
          <w:tcPr>
            <w:tcW w:w="1167" w:type="dxa"/>
            <w:tcBorders>
              <w:top w:val="single" w:color="000000" w:sz="4" w:space="0"/>
              <w:left w:val="single" w:color="000000" w:sz="4" w:space="0"/>
              <w:bottom w:val="nil"/>
              <w:right w:val="single" w:color="000000" w:sz="4" w:space="0"/>
              <w:tl2br w:val="nil"/>
              <w:tr2bl w:val="nil"/>
            </w:tcBorders>
            <w:noWrap w:val="0"/>
            <w:vAlign w:val="center"/>
          </w:tcPr>
          <w:p w14:paraId="6FEF98C5">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服务对象</w:t>
            </w:r>
          </w:p>
          <w:p w14:paraId="4FA933D0">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满意度指标</w:t>
            </w:r>
          </w:p>
        </w:tc>
        <w:tc>
          <w:tcPr>
            <w:tcW w:w="12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CE08D5">
            <w:pPr>
              <w:spacing w:beforeLines="0" w:afterLines="0" w:line="300" w:lineRule="exact"/>
              <w:rPr>
                <w:rFonts w:hint="default"/>
                <w:color w:val="000000"/>
                <w:sz w:val="18"/>
                <w:szCs w:val="18"/>
              </w:rPr>
            </w:pPr>
            <w:r>
              <w:rPr>
                <w:rFonts w:hint="eastAsia"/>
                <w:color w:val="000000"/>
                <w:sz w:val="18"/>
                <w:szCs w:val="18"/>
              </w:rPr>
              <w:t>群众满意度</w:t>
            </w:r>
          </w:p>
        </w:tc>
        <w:tc>
          <w:tcPr>
            <w:tcW w:w="10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9C7C73">
            <w:pPr>
              <w:spacing w:beforeLines="0" w:afterLines="0" w:line="300" w:lineRule="exact"/>
              <w:jc w:val="center"/>
              <w:rPr>
                <w:rFonts w:hint="default"/>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15CAFA">
            <w:pPr>
              <w:spacing w:beforeLines="0" w:afterLines="0" w:line="300" w:lineRule="exact"/>
              <w:jc w:val="center"/>
              <w:rPr>
                <w:rFonts w:hint="default"/>
                <w:color w:val="000000"/>
                <w:sz w:val="18"/>
                <w:szCs w:val="18"/>
              </w:rPr>
            </w:pPr>
            <w:r>
              <w:rPr>
                <w:rFonts w:hint="eastAsia"/>
                <w:color w:val="000000"/>
                <w:sz w:val="18"/>
                <w:szCs w:val="18"/>
              </w:rPr>
              <w:t>85</w:t>
            </w:r>
          </w:p>
        </w:tc>
        <w:tc>
          <w:tcPr>
            <w:tcW w:w="99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11C2CB">
            <w:pPr>
              <w:spacing w:beforeLines="0" w:afterLines="0" w:line="300" w:lineRule="exact"/>
              <w:jc w:val="center"/>
              <w:rPr>
                <w:rFonts w:hint="default"/>
                <w:color w:val="000000"/>
                <w:sz w:val="18"/>
                <w:szCs w:val="18"/>
              </w:rPr>
            </w:pPr>
            <w:r>
              <w:rPr>
                <w:rFonts w:hint="eastAsia"/>
                <w:color w:val="000000"/>
                <w:sz w:val="18"/>
                <w:szCs w:val="18"/>
              </w:rPr>
              <w:t>%</w:t>
            </w:r>
          </w:p>
        </w:tc>
        <w:tc>
          <w:tcPr>
            <w:tcW w:w="8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AC005F">
            <w:pPr>
              <w:spacing w:beforeLines="0" w:afterLines="0" w:line="300" w:lineRule="exact"/>
              <w:jc w:val="center"/>
              <w:rPr>
                <w:rFonts w:hint="default"/>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57E81F">
            <w:pPr>
              <w:spacing w:beforeLines="0" w:afterLines="0" w:line="300" w:lineRule="exact"/>
              <w:jc w:val="center"/>
              <w:rPr>
                <w:rFonts w:hint="default"/>
                <w:color w:val="000000"/>
                <w:sz w:val="18"/>
                <w:szCs w:val="18"/>
              </w:rPr>
            </w:pPr>
            <w:r>
              <w:rPr>
                <w:rFonts w:hint="eastAsia"/>
                <w:color w:val="000000"/>
                <w:sz w:val="18"/>
                <w:szCs w:val="18"/>
              </w:rPr>
              <w:t>85</w:t>
            </w:r>
          </w:p>
        </w:tc>
      </w:tr>
      <w:tr w14:paraId="7712F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7" w:hRule="atLeast"/>
          <w:jc w:val="center"/>
        </w:trPr>
        <w:tc>
          <w:tcPr>
            <w:tcW w:w="80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4DE2967E">
            <w:pPr>
              <w:spacing w:beforeLines="0" w:afterLines="0" w:line="300" w:lineRule="exact"/>
              <w:jc w:val="center"/>
              <w:rPr>
                <w:rFonts w:hint="default"/>
                <w:color w:val="000000"/>
                <w:sz w:val="18"/>
                <w:szCs w:val="18"/>
              </w:rPr>
            </w:pPr>
          </w:p>
        </w:tc>
        <w:tc>
          <w:tcPr>
            <w:tcW w:w="81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AE6F1E">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成本指标</w:t>
            </w:r>
          </w:p>
        </w:tc>
        <w:tc>
          <w:tcPr>
            <w:tcW w:w="116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E0B7F7">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经济成本</w:t>
            </w:r>
          </w:p>
          <w:p w14:paraId="34B56A8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w:t>
            </w:r>
          </w:p>
        </w:tc>
        <w:tc>
          <w:tcPr>
            <w:tcW w:w="1226" w:type="dxa"/>
            <w:tcBorders>
              <w:top w:val="single" w:color="000000" w:sz="4" w:space="0"/>
              <w:left w:val="nil"/>
              <w:bottom w:val="single" w:color="000000" w:sz="4" w:space="0"/>
              <w:right w:val="single" w:color="000000" w:sz="4" w:space="0"/>
              <w:tl2br w:val="nil"/>
              <w:tr2bl w:val="nil"/>
            </w:tcBorders>
            <w:noWrap w:val="0"/>
            <w:vAlign w:val="center"/>
          </w:tcPr>
          <w:p w14:paraId="74AA117A">
            <w:pPr>
              <w:spacing w:beforeLines="0" w:afterLines="0" w:line="300" w:lineRule="exact"/>
              <w:rPr>
                <w:rFonts w:hint="default"/>
                <w:color w:val="000000"/>
                <w:sz w:val="18"/>
                <w:szCs w:val="18"/>
              </w:rPr>
            </w:pPr>
            <w:r>
              <w:rPr>
                <w:rFonts w:hint="eastAsia"/>
                <w:color w:val="000000"/>
                <w:sz w:val="18"/>
                <w:szCs w:val="18"/>
              </w:rPr>
              <w:t>预算资金</w:t>
            </w:r>
          </w:p>
        </w:tc>
        <w:tc>
          <w:tcPr>
            <w:tcW w:w="105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526D56">
            <w:pPr>
              <w:spacing w:beforeLines="0" w:afterLines="0" w:line="300" w:lineRule="exact"/>
              <w:jc w:val="center"/>
              <w:rPr>
                <w:rFonts w:hint="default"/>
                <w:color w:val="000000"/>
                <w:sz w:val="18"/>
                <w:szCs w:val="18"/>
              </w:rPr>
            </w:pPr>
            <w:r>
              <w:rPr>
                <w:rFonts w:hint="eastAsia"/>
                <w:color w:val="000000"/>
                <w:sz w:val="18"/>
                <w:szCs w:val="18"/>
              </w:rPr>
              <w:t>＝</w:t>
            </w:r>
          </w:p>
        </w:tc>
        <w:tc>
          <w:tcPr>
            <w:tcW w:w="90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AAA211">
            <w:pPr>
              <w:spacing w:beforeLines="0" w:afterLines="0" w:line="300" w:lineRule="exact"/>
              <w:jc w:val="center"/>
              <w:rPr>
                <w:rFonts w:hint="default"/>
                <w:color w:val="000000"/>
                <w:sz w:val="18"/>
                <w:szCs w:val="18"/>
              </w:rPr>
            </w:pPr>
            <w:r>
              <w:rPr>
                <w:rFonts w:hint="eastAsia"/>
                <w:color w:val="000000"/>
                <w:sz w:val="18"/>
                <w:szCs w:val="18"/>
              </w:rPr>
              <w:t>120.00</w:t>
            </w:r>
          </w:p>
        </w:tc>
        <w:tc>
          <w:tcPr>
            <w:tcW w:w="99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3FF274">
            <w:pPr>
              <w:spacing w:beforeLines="0" w:afterLines="0" w:line="300" w:lineRule="exact"/>
              <w:jc w:val="center"/>
              <w:rPr>
                <w:rFonts w:hint="default"/>
                <w:color w:val="000000"/>
                <w:sz w:val="18"/>
                <w:szCs w:val="18"/>
              </w:rPr>
            </w:pPr>
            <w:r>
              <w:rPr>
                <w:rFonts w:hint="eastAsia"/>
                <w:color w:val="000000"/>
                <w:sz w:val="18"/>
                <w:szCs w:val="18"/>
              </w:rPr>
              <w:t>万元</w:t>
            </w:r>
          </w:p>
        </w:tc>
        <w:tc>
          <w:tcPr>
            <w:tcW w:w="87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DDCAFB">
            <w:pPr>
              <w:spacing w:beforeLines="0" w:afterLines="0" w:line="300" w:lineRule="exact"/>
              <w:jc w:val="center"/>
              <w:rPr>
                <w:rFonts w:hint="default"/>
                <w:color w:val="000000"/>
                <w:sz w:val="18"/>
                <w:szCs w:val="18"/>
              </w:rPr>
            </w:pPr>
            <w:r>
              <w:rPr>
                <w:rFonts w:hint="eastAsia"/>
                <w:color w:val="000000"/>
                <w:sz w:val="18"/>
                <w:szCs w:val="18"/>
              </w:rPr>
              <w:t>10</w:t>
            </w:r>
          </w:p>
        </w:tc>
        <w:tc>
          <w:tcPr>
            <w:tcW w:w="172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8FE2B2">
            <w:pPr>
              <w:spacing w:beforeLines="0" w:afterLines="0" w:line="300" w:lineRule="exact"/>
              <w:jc w:val="center"/>
              <w:rPr>
                <w:rFonts w:hint="default"/>
                <w:color w:val="000000"/>
                <w:sz w:val="18"/>
                <w:szCs w:val="18"/>
              </w:rPr>
            </w:pPr>
            <w:r>
              <w:rPr>
                <w:rFonts w:hint="eastAsia"/>
                <w:color w:val="000000"/>
                <w:sz w:val="18"/>
                <w:szCs w:val="18"/>
              </w:rPr>
              <w:t>120.00</w:t>
            </w:r>
          </w:p>
        </w:tc>
      </w:tr>
    </w:tbl>
    <w:p w14:paraId="08E13FF3">
      <w:pPr>
        <w:pStyle w:val="13"/>
        <w:spacing w:beforeLines="0" w:afterLines="0"/>
        <w:rPr>
          <w:rFonts w:hint="default"/>
          <w:sz w:val="18"/>
          <w:szCs w:val="18"/>
        </w:rPr>
      </w:pPr>
    </w:p>
    <w:p w14:paraId="3E791D93">
      <w:pPr>
        <w:pStyle w:val="13"/>
        <w:spacing w:beforeLines="0" w:afterLines="0"/>
        <w:rPr>
          <w:rFonts w:hint="default"/>
          <w:sz w:val="18"/>
          <w:szCs w:val="18"/>
        </w:rPr>
      </w:pPr>
    </w:p>
    <w:p w14:paraId="1C7B6B37">
      <w:pPr>
        <w:pStyle w:val="13"/>
        <w:spacing w:beforeLines="0" w:afterLines="0"/>
        <w:rPr>
          <w:rFonts w:hint="default"/>
          <w:sz w:val="18"/>
          <w:szCs w:val="18"/>
        </w:rPr>
      </w:pPr>
    </w:p>
    <w:p w14:paraId="2096F183">
      <w:pPr>
        <w:pStyle w:val="13"/>
        <w:spacing w:beforeLines="0" w:afterLines="0"/>
        <w:rPr>
          <w:rFonts w:hint="default"/>
          <w:sz w:val="18"/>
          <w:szCs w:val="18"/>
        </w:rPr>
      </w:pPr>
    </w:p>
    <w:p w14:paraId="02B52F4E">
      <w:pPr>
        <w:pStyle w:val="13"/>
        <w:spacing w:beforeLines="0" w:afterLines="0"/>
        <w:rPr>
          <w:rFonts w:hint="default"/>
          <w:sz w:val="18"/>
          <w:szCs w:val="18"/>
        </w:rPr>
      </w:pPr>
    </w:p>
    <w:p w14:paraId="06320064">
      <w:pPr>
        <w:pStyle w:val="13"/>
        <w:spacing w:beforeLines="0" w:afterLines="0"/>
        <w:rPr>
          <w:rFonts w:hint="default"/>
          <w:sz w:val="18"/>
          <w:szCs w:val="18"/>
        </w:rPr>
      </w:pPr>
    </w:p>
    <w:p w14:paraId="080A4AD4">
      <w:pPr>
        <w:pStyle w:val="13"/>
        <w:spacing w:beforeLines="0" w:afterLines="0"/>
        <w:rPr>
          <w:rFonts w:hint="default"/>
          <w:sz w:val="18"/>
          <w:szCs w:val="18"/>
        </w:rPr>
      </w:pPr>
    </w:p>
    <w:tbl>
      <w:tblPr>
        <w:tblStyle w:val="19"/>
        <w:tblW w:w="96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296"/>
      </w:tblGrid>
      <w:tr w14:paraId="526E3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9688" w:type="dxa"/>
            <w:gridSpan w:val="9"/>
            <w:tcBorders>
              <w:top w:val="nil"/>
              <w:left w:val="nil"/>
              <w:bottom w:val="nil"/>
              <w:right w:val="nil"/>
              <w:tl2br w:val="nil"/>
              <w:tr2bl w:val="nil"/>
            </w:tcBorders>
            <w:noWrap w:val="0"/>
            <w:vAlign w:val="center"/>
          </w:tcPr>
          <w:p w14:paraId="2548157A">
            <w:pPr>
              <w:widowControl/>
              <w:spacing w:beforeLines="0" w:afterLines="0" w:line="600" w:lineRule="exact"/>
              <w:jc w:val="center"/>
              <w:textAlignment w:val="center"/>
              <w:rPr>
                <w:rFonts w:hint="default" w:eastAsia="黑体"/>
                <w:color w:val="000000"/>
                <w:sz w:val="30"/>
                <w:szCs w:val="30"/>
              </w:rPr>
            </w:pPr>
            <w:r>
              <w:rPr>
                <w:rFonts w:hint="eastAsia" w:eastAsia="方正小标宋简体"/>
                <w:color w:val="000000"/>
                <w:kern w:val="0"/>
                <w:sz w:val="40"/>
                <w:szCs w:val="40"/>
              </w:rPr>
              <w:t>专项预算项目绩效目标完成情况自评表</w:t>
            </w:r>
          </w:p>
        </w:tc>
      </w:tr>
      <w:tr w14:paraId="28FFB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7CFE2C">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项目名称</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1BB622">
            <w:pPr>
              <w:spacing w:beforeLines="0" w:afterLines="0" w:line="300" w:lineRule="exact"/>
              <w:rPr>
                <w:rFonts w:hint="default"/>
                <w:color w:val="000000"/>
                <w:sz w:val="18"/>
                <w:szCs w:val="18"/>
              </w:rPr>
            </w:pPr>
            <w:r>
              <w:rPr>
                <w:rFonts w:hint="eastAsia"/>
                <w:color w:val="000000"/>
                <w:sz w:val="18"/>
                <w:szCs w:val="18"/>
              </w:rPr>
              <w:t>51322322T000007156231-残协工作经费</w:t>
            </w:r>
          </w:p>
        </w:tc>
      </w:tr>
      <w:tr w14:paraId="2EE9C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FA9D89">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预算单位</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A8F76F">
            <w:pPr>
              <w:spacing w:beforeLines="0" w:afterLines="0" w:line="300" w:lineRule="exact"/>
              <w:rPr>
                <w:rFonts w:hint="default"/>
                <w:color w:val="000000"/>
                <w:sz w:val="18"/>
                <w:szCs w:val="18"/>
              </w:rPr>
            </w:pPr>
            <w:r>
              <w:rPr>
                <w:rFonts w:hint="eastAsia"/>
                <w:color w:val="000000"/>
                <w:sz w:val="18"/>
                <w:szCs w:val="18"/>
              </w:rPr>
              <w:t>茂县南新镇人民政府（行政）</w:t>
            </w:r>
          </w:p>
        </w:tc>
      </w:tr>
      <w:tr w14:paraId="1F8F6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B4C116">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项目类型</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77AB0E">
            <w:pPr>
              <w:spacing w:beforeLines="0" w:afterLines="0" w:line="300" w:lineRule="exact"/>
              <w:jc w:val="left"/>
              <w:rPr>
                <w:rFonts w:hint="default"/>
                <w:color w:val="000000"/>
                <w:sz w:val="18"/>
                <w:szCs w:val="18"/>
              </w:rPr>
            </w:pPr>
          </w:p>
        </w:tc>
      </w:tr>
      <w:tr w14:paraId="75E4D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423E71">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项目 概况</w:t>
            </w: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CED255">
            <w:pPr>
              <w:widowControl/>
              <w:spacing w:beforeLines="0" w:afterLines="0" w:line="300" w:lineRule="exact"/>
              <w:jc w:val="left"/>
              <w:textAlignment w:val="center"/>
              <w:rPr>
                <w:rFonts w:hint="default"/>
                <w:color w:val="000000"/>
                <w:kern w:val="0"/>
                <w:sz w:val="18"/>
                <w:szCs w:val="18"/>
              </w:rPr>
            </w:pPr>
            <w:r>
              <w:rPr>
                <w:rFonts w:hint="eastAsia"/>
                <w:color w:val="000000"/>
                <w:kern w:val="0"/>
                <w:sz w:val="18"/>
                <w:szCs w:val="18"/>
              </w:rPr>
              <w:t>中长期规划（名称、文号，仅指</w:t>
            </w:r>
          </w:p>
          <w:p w14:paraId="1ABF9FA0">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常年项目）</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267EEC">
            <w:pPr>
              <w:spacing w:beforeLines="0" w:afterLines="0" w:line="300" w:lineRule="exact"/>
              <w:jc w:val="left"/>
              <w:rPr>
                <w:rFonts w:hint="default"/>
                <w:color w:val="000000"/>
                <w:sz w:val="18"/>
                <w:szCs w:val="18"/>
              </w:rPr>
            </w:pPr>
          </w:p>
        </w:tc>
      </w:tr>
      <w:tr w14:paraId="17802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0296AF">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B2A4C9">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资金管理办法（名称、文号）</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98D59A">
            <w:pPr>
              <w:spacing w:beforeLines="0" w:afterLines="0" w:line="300" w:lineRule="exact"/>
              <w:jc w:val="left"/>
              <w:rPr>
                <w:rFonts w:hint="default"/>
                <w:color w:val="000000"/>
                <w:sz w:val="18"/>
                <w:szCs w:val="18"/>
              </w:rPr>
            </w:pPr>
          </w:p>
        </w:tc>
      </w:tr>
      <w:tr w14:paraId="10BB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722669">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52E5A2">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绩效分配方式</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91636A">
            <w:pPr>
              <w:widowControl/>
              <w:spacing w:beforeLines="0" w:afterLines="0" w:line="300" w:lineRule="exact"/>
              <w:jc w:val="left"/>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w:t>
            </w:r>
          </w:p>
        </w:tc>
        <w:tc>
          <w:tcPr>
            <w:tcW w:w="203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22BD26">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default" w:ascii="Wingdings 2" w:hAnsi="Wingdings 2" w:eastAsia="Wingdings 2"/>
                <w:color w:val="000000"/>
                <w:kern w:val="0"/>
                <w:sz w:val="18"/>
                <w:szCs w:val="18"/>
              </w:rPr>
              <w:t>项目法</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4EBCCF">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据实据效</w:t>
            </w:r>
          </w:p>
        </w:tc>
        <w:tc>
          <w:tcPr>
            <w:tcW w:w="129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265EB7">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因素法与项目法相结合</w:t>
            </w:r>
          </w:p>
        </w:tc>
      </w:tr>
      <w:tr w14:paraId="5B02B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3351AF">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926328">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立项依据</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88BC79">
            <w:pPr>
              <w:spacing w:beforeLines="0" w:afterLines="0" w:line="300" w:lineRule="exact"/>
              <w:jc w:val="left"/>
              <w:rPr>
                <w:rFonts w:hint="default"/>
                <w:color w:val="000000"/>
                <w:sz w:val="18"/>
                <w:szCs w:val="18"/>
              </w:rPr>
            </w:pPr>
          </w:p>
        </w:tc>
      </w:tr>
      <w:tr w14:paraId="208BA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AFCA63">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EE880E">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使用范围</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EE66F7">
            <w:pPr>
              <w:spacing w:beforeLines="0" w:afterLines="0" w:line="300" w:lineRule="exact"/>
              <w:jc w:val="left"/>
              <w:rPr>
                <w:rFonts w:hint="default"/>
                <w:color w:val="000000"/>
                <w:sz w:val="18"/>
                <w:szCs w:val="18"/>
              </w:rPr>
            </w:pPr>
          </w:p>
        </w:tc>
      </w:tr>
      <w:tr w14:paraId="4CBC7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7C2700">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FBE839">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申报（补助）条件</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7B5B40">
            <w:pPr>
              <w:spacing w:beforeLines="0" w:afterLines="0" w:line="300" w:lineRule="exact"/>
              <w:jc w:val="left"/>
              <w:rPr>
                <w:rFonts w:hint="default"/>
                <w:color w:val="000000"/>
                <w:sz w:val="18"/>
                <w:szCs w:val="18"/>
              </w:rPr>
            </w:pPr>
          </w:p>
        </w:tc>
      </w:tr>
      <w:tr w14:paraId="0E754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C061FC">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0702CC">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项目起止年限</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C35583">
            <w:pPr>
              <w:spacing w:beforeLines="0" w:afterLines="0" w:line="300" w:lineRule="exact"/>
              <w:rPr>
                <w:rFonts w:hint="default"/>
                <w:color w:val="000000"/>
                <w:sz w:val="18"/>
                <w:szCs w:val="18"/>
              </w:rPr>
            </w:pPr>
            <w:r>
              <w:rPr>
                <w:rFonts w:hint="eastAsia"/>
                <w:color w:val="000000"/>
                <w:sz w:val="18"/>
                <w:szCs w:val="18"/>
              </w:rPr>
              <w:t>2024.1-2024.12</w:t>
            </w:r>
          </w:p>
        </w:tc>
      </w:tr>
      <w:tr w14:paraId="3CD79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020875">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项目资金</w:t>
            </w:r>
          </w:p>
          <w:p w14:paraId="4DBF7CC3">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（万元）</w:t>
            </w: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DE4ACE">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年度资金总额：</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8C9874">
            <w:pPr>
              <w:spacing w:beforeLines="0" w:afterLines="0" w:line="300" w:lineRule="exact"/>
              <w:jc w:val="center"/>
              <w:rPr>
                <w:rFonts w:hint="default"/>
                <w:color w:val="000000"/>
                <w:sz w:val="18"/>
                <w:szCs w:val="18"/>
              </w:rPr>
            </w:pPr>
            <w:r>
              <w:rPr>
                <w:rFonts w:hint="eastAsia"/>
                <w:color w:val="000000"/>
                <w:sz w:val="18"/>
                <w:szCs w:val="18"/>
              </w:rPr>
              <w:t>0.8</w:t>
            </w:r>
          </w:p>
        </w:tc>
      </w:tr>
      <w:tr w14:paraId="2C41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A9001B">
            <w:pPr>
              <w:spacing w:beforeLines="0" w:afterLines="0" w:line="300" w:lineRule="exact"/>
              <w:rPr>
                <w:rFonts w:hint="default"/>
                <w:color w:val="000000"/>
                <w:sz w:val="18"/>
                <w:szCs w:val="18"/>
              </w:rPr>
            </w:pP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0E5419">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其中：财政拨款</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1598EB">
            <w:pPr>
              <w:spacing w:beforeLines="0" w:afterLines="0" w:line="300" w:lineRule="exact"/>
              <w:jc w:val="center"/>
              <w:rPr>
                <w:rFonts w:hint="eastAsia"/>
                <w:color w:val="000000"/>
                <w:sz w:val="18"/>
                <w:szCs w:val="18"/>
              </w:rPr>
            </w:pPr>
            <w:r>
              <w:rPr>
                <w:rFonts w:hint="eastAsia"/>
                <w:color w:val="000000"/>
                <w:sz w:val="18"/>
                <w:szCs w:val="18"/>
              </w:rPr>
              <w:t>0.8</w:t>
            </w:r>
          </w:p>
        </w:tc>
      </w:tr>
      <w:tr w14:paraId="0113D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CD453E">
            <w:pPr>
              <w:spacing w:beforeLines="0" w:afterLines="0" w:line="300" w:lineRule="exact"/>
              <w:rPr>
                <w:rFonts w:hint="default"/>
                <w:color w:val="000000"/>
                <w:sz w:val="18"/>
                <w:szCs w:val="18"/>
              </w:rPr>
            </w:pP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BC77DE">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其他资金</w:t>
            </w:r>
          </w:p>
        </w:tc>
        <w:tc>
          <w:tcPr>
            <w:tcW w:w="539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502C30">
            <w:pPr>
              <w:spacing w:beforeLines="0" w:afterLines="0" w:line="300" w:lineRule="exact"/>
              <w:jc w:val="right"/>
              <w:rPr>
                <w:rFonts w:hint="default"/>
                <w:color w:val="000000"/>
                <w:sz w:val="18"/>
                <w:szCs w:val="18"/>
              </w:rPr>
            </w:pPr>
          </w:p>
        </w:tc>
      </w:tr>
      <w:tr w14:paraId="75EF8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1F4874">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总体 目标</w:t>
            </w:r>
          </w:p>
        </w:tc>
        <w:tc>
          <w:tcPr>
            <w:tcW w:w="9036"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9FDAB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年度目标</w:t>
            </w:r>
          </w:p>
        </w:tc>
      </w:tr>
      <w:tr w14:paraId="32861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55"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0945E4">
            <w:pPr>
              <w:spacing w:beforeLines="0" w:afterLines="0" w:line="300" w:lineRule="exact"/>
              <w:rPr>
                <w:rFonts w:hint="default"/>
                <w:color w:val="000000"/>
                <w:sz w:val="18"/>
                <w:szCs w:val="18"/>
              </w:rPr>
            </w:pPr>
          </w:p>
        </w:tc>
        <w:tc>
          <w:tcPr>
            <w:tcW w:w="9036"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E75B1A">
            <w:pPr>
              <w:spacing w:beforeLines="0" w:afterLines="0" w:line="300" w:lineRule="exact"/>
              <w:rPr>
                <w:rFonts w:hint="default"/>
                <w:color w:val="000000"/>
                <w:sz w:val="18"/>
                <w:szCs w:val="18"/>
              </w:rPr>
            </w:pPr>
            <w:r>
              <w:rPr>
                <w:rFonts w:hint="eastAsia"/>
                <w:color w:val="000000"/>
                <w:sz w:val="18"/>
                <w:szCs w:val="18"/>
              </w:rPr>
              <w:t>加强残疾人工作，更好的为残疾人服务。</w:t>
            </w:r>
          </w:p>
        </w:tc>
      </w:tr>
      <w:tr w14:paraId="5DFA8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l2br w:val="nil"/>
              <w:tr2bl w:val="nil"/>
            </w:tcBorders>
            <w:noWrap w:val="0"/>
            <w:vAlign w:val="center"/>
          </w:tcPr>
          <w:p w14:paraId="694D2FF1">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绩效 指标</w:t>
            </w:r>
          </w:p>
        </w:tc>
        <w:tc>
          <w:tcPr>
            <w:tcW w:w="108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171DF0">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一级指标</w:t>
            </w: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DDB3FC">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二级指标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37767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三级指标</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17BBE0">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指标性质</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C60105">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指标值</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5A3688">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度量单位</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B1B2F8">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权重</w:t>
            </w:r>
          </w:p>
        </w:tc>
        <w:tc>
          <w:tcPr>
            <w:tcW w:w="129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2404BC">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实际完成指标值</w:t>
            </w:r>
          </w:p>
        </w:tc>
      </w:tr>
      <w:tr w14:paraId="577D2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2CF62624">
            <w:pPr>
              <w:spacing w:beforeLines="0" w:afterLines="0" w:line="300" w:lineRule="exact"/>
              <w:jc w:val="center"/>
              <w:rPr>
                <w:rFonts w:hint="default"/>
                <w:color w:val="000000"/>
                <w:sz w:val="18"/>
                <w:szCs w:val="18"/>
              </w:rPr>
            </w:pPr>
          </w:p>
        </w:tc>
        <w:tc>
          <w:tcPr>
            <w:tcW w:w="1081"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61C444">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产出指标</w:t>
            </w: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D9B398">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8BAB12">
            <w:pPr>
              <w:spacing w:beforeLines="0" w:afterLines="0" w:line="300" w:lineRule="exact"/>
              <w:rPr>
                <w:rFonts w:hint="default"/>
                <w:color w:val="000000"/>
                <w:sz w:val="18"/>
                <w:szCs w:val="18"/>
              </w:rPr>
            </w:pPr>
            <w:r>
              <w:rPr>
                <w:rFonts w:hint="eastAsia"/>
                <w:color w:val="000000"/>
                <w:sz w:val="18"/>
                <w:szCs w:val="18"/>
              </w:rPr>
              <w:t>下拨资金</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91C1D5">
            <w:pPr>
              <w:tabs>
                <w:tab w:val="left" w:pos="515"/>
              </w:tabs>
              <w:spacing w:beforeLines="0" w:afterLines="0" w:line="300" w:lineRule="exact"/>
              <w:jc w:val="left"/>
              <w:rPr>
                <w:rFonts w:hint="default"/>
                <w:color w:val="000000"/>
                <w:sz w:val="18"/>
                <w:szCs w:val="18"/>
              </w:rPr>
            </w:pPr>
            <w:r>
              <w:rPr>
                <w:rFonts w:hint="eastAsia"/>
                <w:color w:val="000000"/>
                <w:sz w:val="18"/>
                <w:szCs w:val="18"/>
              </w:rPr>
              <w:tab/>
            </w: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D278B5">
            <w:pPr>
              <w:spacing w:beforeLines="0" w:afterLines="0" w:line="300" w:lineRule="exact"/>
              <w:jc w:val="center"/>
              <w:rPr>
                <w:rFonts w:hint="eastAsia"/>
                <w:color w:val="000000"/>
                <w:sz w:val="18"/>
                <w:szCs w:val="18"/>
              </w:rPr>
            </w:pPr>
            <w:r>
              <w:rPr>
                <w:rFonts w:hint="eastAsia"/>
                <w:color w:val="000000"/>
                <w:sz w:val="18"/>
                <w:szCs w:val="18"/>
              </w:rPr>
              <w:t>0.8</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C9BB7E">
            <w:pPr>
              <w:spacing w:beforeLines="0" w:afterLines="0" w:line="300" w:lineRule="exact"/>
              <w:jc w:val="center"/>
              <w:rPr>
                <w:rFonts w:hint="default"/>
                <w:color w:val="000000"/>
                <w:sz w:val="18"/>
                <w:szCs w:val="18"/>
              </w:rPr>
            </w:pPr>
            <w:r>
              <w:rPr>
                <w:rFonts w:hint="eastAsia"/>
                <w:color w:val="000000"/>
                <w:sz w:val="18"/>
                <w:szCs w:val="18"/>
              </w:rPr>
              <w:t>万元</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3E43C2">
            <w:pPr>
              <w:spacing w:beforeLines="0" w:afterLines="0" w:line="300" w:lineRule="exact"/>
              <w:jc w:val="center"/>
              <w:rPr>
                <w:rFonts w:hint="default"/>
                <w:color w:val="000000"/>
                <w:sz w:val="18"/>
                <w:szCs w:val="18"/>
              </w:rPr>
            </w:pPr>
            <w:r>
              <w:rPr>
                <w:rFonts w:hint="eastAsia"/>
                <w:color w:val="000000"/>
                <w:sz w:val="18"/>
                <w:szCs w:val="18"/>
              </w:rPr>
              <w:t>20</w:t>
            </w:r>
          </w:p>
        </w:tc>
        <w:tc>
          <w:tcPr>
            <w:tcW w:w="129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313C7E">
            <w:pPr>
              <w:spacing w:beforeLines="0" w:afterLines="0" w:line="300" w:lineRule="exact"/>
              <w:jc w:val="center"/>
              <w:rPr>
                <w:rFonts w:hint="eastAsia"/>
                <w:color w:val="000000"/>
                <w:sz w:val="18"/>
                <w:szCs w:val="18"/>
              </w:rPr>
            </w:pPr>
            <w:r>
              <w:rPr>
                <w:rFonts w:hint="eastAsia"/>
                <w:color w:val="000000"/>
                <w:sz w:val="18"/>
                <w:szCs w:val="18"/>
              </w:rPr>
              <w:t>0.8</w:t>
            </w:r>
          </w:p>
        </w:tc>
      </w:tr>
      <w:tr w14:paraId="3DEF5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3BBFED3E">
            <w:pPr>
              <w:spacing w:beforeLines="0" w:afterLines="0" w:line="300" w:lineRule="exact"/>
              <w:jc w:val="center"/>
              <w:rPr>
                <w:rFonts w:hint="default"/>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F8BB5F">
            <w:pPr>
              <w:spacing w:beforeLines="0" w:afterLines="0" w:line="300" w:lineRule="exact"/>
              <w:jc w:val="center"/>
              <w:rPr>
                <w:rFonts w:hint="default"/>
                <w:color w:val="000000"/>
                <w:sz w:val="18"/>
                <w:szCs w:val="18"/>
              </w:rPr>
            </w:pP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E5C96F">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质量指标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773FAF">
            <w:pPr>
              <w:spacing w:beforeLines="0" w:afterLines="0" w:line="300" w:lineRule="exact"/>
              <w:rPr>
                <w:rFonts w:hint="default"/>
                <w:color w:val="000000"/>
                <w:sz w:val="18"/>
                <w:szCs w:val="18"/>
              </w:rPr>
            </w:pPr>
            <w:r>
              <w:rPr>
                <w:rFonts w:hint="eastAsia"/>
                <w:color w:val="000000"/>
                <w:sz w:val="18"/>
                <w:szCs w:val="18"/>
              </w:rPr>
              <w:t>项目完工合格率</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9859E91">
            <w:pPr>
              <w:spacing w:beforeLines="0" w:afterLines="0" w:line="300" w:lineRule="exact"/>
              <w:jc w:val="center"/>
              <w:rPr>
                <w:rFonts w:hint="default"/>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4AB07B">
            <w:pPr>
              <w:spacing w:beforeLines="0" w:afterLines="0" w:line="300" w:lineRule="exact"/>
              <w:jc w:val="center"/>
              <w:rPr>
                <w:rFonts w:hint="default"/>
                <w:color w:val="000000"/>
                <w:sz w:val="18"/>
                <w:szCs w:val="18"/>
              </w:rPr>
            </w:pPr>
            <w:r>
              <w:rPr>
                <w:rFonts w:hint="eastAsia"/>
                <w:color w:val="000000"/>
                <w:sz w:val="18"/>
                <w:szCs w:val="18"/>
              </w:rPr>
              <w:t>100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F678E4">
            <w:pPr>
              <w:spacing w:beforeLines="0" w:afterLines="0" w:line="300" w:lineRule="exact"/>
              <w:jc w:val="center"/>
              <w:rPr>
                <w:rFonts w:hint="default"/>
                <w:color w:val="000000"/>
                <w:sz w:val="18"/>
                <w:szCs w:val="18"/>
              </w:rPr>
            </w:pPr>
            <w:r>
              <w:rPr>
                <w:rFonts w:hint="eastAsia"/>
                <w:color w:val="00000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76B5D4">
            <w:pPr>
              <w:spacing w:beforeLines="0" w:afterLines="0" w:line="300" w:lineRule="exact"/>
              <w:jc w:val="center"/>
              <w:rPr>
                <w:rFonts w:hint="default"/>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E4A36F">
            <w:pPr>
              <w:spacing w:beforeLines="0" w:afterLines="0" w:line="300" w:lineRule="exact"/>
              <w:jc w:val="center"/>
              <w:rPr>
                <w:rFonts w:hint="default"/>
                <w:color w:val="000000"/>
                <w:sz w:val="18"/>
                <w:szCs w:val="18"/>
              </w:rPr>
            </w:pPr>
            <w:r>
              <w:rPr>
                <w:rFonts w:hint="eastAsia"/>
                <w:color w:val="000000"/>
                <w:sz w:val="18"/>
                <w:szCs w:val="18"/>
              </w:rPr>
              <w:t>100</w:t>
            </w:r>
          </w:p>
        </w:tc>
      </w:tr>
      <w:tr w14:paraId="61412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73306169">
            <w:pPr>
              <w:spacing w:beforeLines="0" w:afterLines="0" w:line="300" w:lineRule="exact"/>
              <w:jc w:val="center"/>
              <w:rPr>
                <w:rFonts w:hint="default"/>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6B046A">
            <w:pPr>
              <w:spacing w:beforeLines="0" w:afterLines="0" w:line="300" w:lineRule="exact"/>
              <w:jc w:val="center"/>
              <w:rPr>
                <w:rFonts w:hint="default"/>
                <w:color w:val="000000"/>
                <w:sz w:val="18"/>
                <w:szCs w:val="18"/>
              </w:rPr>
            </w:pP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A9682D">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时效指标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09E1D4">
            <w:pPr>
              <w:spacing w:beforeLines="0" w:afterLines="0" w:line="300" w:lineRule="exact"/>
              <w:rPr>
                <w:rFonts w:hint="default"/>
                <w:color w:val="000000"/>
                <w:sz w:val="18"/>
                <w:szCs w:val="18"/>
              </w:rPr>
            </w:pPr>
            <w:r>
              <w:rPr>
                <w:rFonts w:hint="eastAsia"/>
                <w:color w:val="000000"/>
                <w:sz w:val="18"/>
                <w:szCs w:val="18"/>
              </w:rPr>
              <w:t>项目完成及时率</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A99F77">
            <w:pPr>
              <w:spacing w:beforeLines="0" w:afterLines="0" w:line="300" w:lineRule="exact"/>
              <w:jc w:val="center"/>
              <w:rPr>
                <w:rFonts w:hint="default"/>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53B16C">
            <w:pPr>
              <w:spacing w:beforeLines="0" w:afterLines="0" w:line="300" w:lineRule="exact"/>
              <w:jc w:val="center"/>
              <w:rPr>
                <w:rFonts w:hint="default"/>
                <w:color w:val="000000"/>
                <w:sz w:val="18"/>
                <w:szCs w:val="18"/>
              </w:rPr>
            </w:pPr>
            <w:r>
              <w:rPr>
                <w:rFonts w:hint="eastAsia"/>
                <w:color w:val="000000"/>
                <w:sz w:val="18"/>
                <w:szCs w:val="18"/>
              </w:rPr>
              <w:t>1</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A99638">
            <w:pPr>
              <w:spacing w:beforeLines="0" w:afterLines="0" w:line="300" w:lineRule="exact"/>
              <w:jc w:val="center"/>
              <w:rPr>
                <w:rFonts w:hint="default"/>
                <w:color w:val="000000"/>
                <w:sz w:val="18"/>
                <w:szCs w:val="18"/>
              </w:rPr>
            </w:pPr>
            <w:r>
              <w:rPr>
                <w:rFonts w:hint="eastAsia"/>
                <w:color w:val="000000"/>
                <w:sz w:val="18"/>
                <w:szCs w:val="18"/>
              </w:rPr>
              <w:t>年</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354343">
            <w:pPr>
              <w:spacing w:beforeLines="0" w:afterLines="0" w:line="300" w:lineRule="exact"/>
              <w:jc w:val="center"/>
              <w:rPr>
                <w:rFonts w:hint="default"/>
                <w:color w:val="000000"/>
                <w:sz w:val="18"/>
                <w:szCs w:val="18"/>
              </w:rPr>
            </w:pPr>
            <w:r>
              <w:rPr>
                <w:rFonts w:hint="eastAsia"/>
                <w:color w:val="000000"/>
                <w:sz w:val="18"/>
                <w:szCs w:val="18"/>
              </w:rPr>
              <w:t>20</w:t>
            </w:r>
          </w:p>
        </w:tc>
        <w:tc>
          <w:tcPr>
            <w:tcW w:w="129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A46552">
            <w:pPr>
              <w:spacing w:beforeLines="0" w:afterLines="0" w:line="300" w:lineRule="exact"/>
              <w:jc w:val="center"/>
              <w:rPr>
                <w:rFonts w:hint="default"/>
                <w:color w:val="000000"/>
                <w:sz w:val="18"/>
                <w:szCs w:val="18"/>
              </w:rPr>
            </w:pPr>
            <w:r>
              <w:rPr>
                <w:rFonts w:hint="eastAsia"/>
                <w:color w:val="000000"/>
                <w:sz w:val="18"/>
                <w:szCs w:val="18"/>
              </w:rPr>
              <w:t>1</w:t>
            </w:r>
          </w:p>
        </w:tc>
      </w:tr>
      <w:tr w14:paraId="0AD99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1552FC32">
            <w:pPr>
              <w:spacing w:beforeLines="0" w:afterLines="0" w:line="300" w:lineRule="exact"/>
              <w:jc w:val="center"/>
              <w:rPr>
                <w:rFonts w:hint="default"/>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CDE95A">
            <w:pPr>
              <w:spacing w:beforeLines="0" w:afterLines="0" w:line="300" w:lineRule="exact"/>
              <w:jc w:val="center"/>
              <w:rPr>
                <w:rFonts w:hint="default"/>
                <w:color w:val="000000"/>
                <w:sz w:val="18"/>
                <w:szCs w:val="18"/>
              </w:rPr>
            </w:pPr>
          </w:p>
        </w:tc>
        <w:tc>
          <w:tcPr>
            <w:tcW w:w="1250" w:type="dxa"/>
            <w:tcBorders>
              <w:top w:val="single" w:color="000000" w:sz="4" w:space="0"/>
              <w:left w:val="single" w:color="000000" w:sz="4" w:space="0"/>
              <w:bottom w:val="nil"/>
              <w:right w:val="single" w:color="000000" w:sz="4" w:space="0"/>
              <w:tl2br w:val="nil"/>
              <w:tr2bl w:val="nil"/>
            </w:tcBorders>
            <w:noWrap w:val="0"/>
            <w:vAlign w:val="center"/>
          </w:tcPr>
          <w:p w14:paraId="76B75FA1">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社会效益</w:t>
            </w:r>
          </w:p>
          <w:p w14:paraId="0C7976D8">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E86222">
            <w:pPr>
              <w:spacing w:beforeLines="0" w:afterLines="0" w:line="300" w:lineRule="exact"/>
              <w:rPr>
                <w:rFonts w:hint="default"/>
                <w:color w:val="000000"/>
                <w:sz w:val="18"/>
                <w:szCs w:val="18"/>
              </w:rPr>
            </w:pPr>
            <w:r>
              <w:rPr>
                <w:rFonts w:hint="eastAsia"/>
                <w:color w:val="000000"/>
                <w:sz w:val="18"/>
                <w:szCs w:val="18"/>
              </w:rPr>
              <w:t>辐射南新镇村个数</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F66E2E">
            <w:pPr>
              <w:spacing w:beforeLines="0" w:afterLines="0" w:line="300" w:lineRule="exact"/>
              <w:jc w:val="center"/>
              <w:rPr>
                <w:rFonts w:hint="default"/>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56D10D">
            <w:pPr>
              <w:spacing w:beforeLines="0" w:afterLines="0" w:line="300" w:lineRule="exact"/>
              <w:jc w:val="center"/>
              <w:rPr>
                <w:rFonts w:hint="default"/>
                <w:color w:val="000000"/>
                <w:sz w:val="18"/>
                <w:szCs w:val="18"/>
              </w:rPr>
            </w:pPr>
            <w:r>
              <w:rPr>
                <w:rFonts w:hint="eastAsia"/>
                <w:color w:val="000000"/>
                <w:sz w:val="18"/>
                <w:szCs w:val="18"/>
              </w:rPr>
              <w:t>8</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582C57">
            <w:pPr>
              <w:spacing w:beforeLines="0" w:afterLines="0" w:line="300" w:lineRule="exact"/>
              <w:jc w:val="center"/>
              <w:rPr>
                <w:rFonts w:hint="default"/>
                <w:color w:val="000000"/>
                <w:sz w:val="18"/>
                <w:szCs w:val="18"/>
              </w:rPr>
            </w:pPr>
            <w:r>
              <w:rPr>
                <w:rFonts w:hint="eastAsia"/>
                <w:color w:val="000000"/>
                <w:sz w:val="18"/>
                <w:szCs w:val="18"/>
              </w:rPr>
              <w:t>个</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A02E2E">
            <w:pPr>
              <w:spacing w:beforeLines="0" w:afterLines="0" w:line="300" w:lineRule="exact"/>
              <w:jc w:val="center"/>
              <w:rPr>
                <w:rFonts w:hint="default"/>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B86303">
            <w:pPr>
              <w:spacing w:beforeLines="0" w:afterLines="0" w:line="300" w:lineRule="exact"/>
              <w:jc w:val="center"/>
              <w:rPr>
                <w:rFonts w:hint="default"/>
                <w:color w:val="000000"/>
                <w:sz w:val="18"/>
                <w:szCs w:val="18"/>
              </w:rPr>
            </w:pPr>
            <w:r>
              <w:rPr>
                <w:rFonts w:hint="eastAsia"/>
                <w:color w:val="000000"/>
                <w:sz w:val="18"/>
                <w:szCs w:val="18"/>
              </w:rPr>
              <w:t>8</w:t>
            </w:r>
          </w:p>
        </w:tc>
      </w:tr>
      <w:tr w14:paraId="32A4E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6E182D64">
            <w:pPr>
              <w:spacing w:beforeLines="0" w:afterLines="0" w:line="300" w:lineRule="exact"/>
              <w:jc w:val="center"/>
              <w:rPr>
                <w:rFonts w:hint="default"/>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00F825">
            <w:pPr>
              <w:spacing w:beforeLines="0" w:afterLines="0" w:line="300" w:lineRule="exact"/>
              <w:jc w:val="center"/>
              <w:rPr>
                <w:rFonts w:hint="default"/>
                <w:color w:val="000000"/>
                <w:sz w:val="18"/>
                <w:szCs w:val="18"/>
              </w:rPr>
            </w:pP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06BBAF">
            <w:pPr>
              <w:widowControl/>
              <w:spacing w:beforeLines="0" w:afterLines="0" w:line="300" w:lineRule="exact"/>
              <w:textAlignment w:val="center"/>
              <w:rPr>
                <w:rFonts w:hint="default"/>
                <w:color w:val="000000"/>
                <w:sz w:val="18"/>
                <w:szCs w:val="18"/>
              </w:rPr>
            </w:pPr>
            <w:r>
              <w:rPr>
                <w:rFonts w:hint="eastAsia"/>
                <w:color w:val="000000"/>
                <w:kern w:val="0"/>
                <w:sz w:val="18"/>
                <w:szCs w:val="18"/>
              </w:rPr>
              <w:t>可持续影响指标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EF54F6">
            <w:pPr>
              <w:spacing w:beforeLines="0" w:afterLines="0" w:line="300" w:lineRule="exact"/>
              <w:rPr>
                <w:rFonts w:hint="default"/>
                <w:color w:val="000000"/>
                <w:sz w:val="18"/>
                <w:szCs w:val="18"/>
              </w:rPr>
            </w:pPr>
            <w:r>
              <w:rPr>
                <w:rFonts w:hint="eastAsia"/>
                <w:color w:val="000000"/>
                <w:sz w:val="18"/>
                <w:szCs w:val="18"/>
              </w:rPr>
              <w:t>进一步保障各村残疾人权益</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BF7FFB">
            <w:pPr>
              <w:spacing w:beforeLines="0" w:afterLines="0" w:line="300" w:lineRule="exact"/>
              <w:jc w:val="center"/>
              <w:rPr>
                <w:rFonts w:hint="default"/>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891617">
            <w:pPr>
              <w:spacing w:beforeLines="0" w:afterLines="0" w:line="300" w:lineRule="exact"/>
              <w:jc w:val="center"/>
              <w:rPr>
                <w:rFonts w:hint="default"/>
                <w:color w:val="000000"/>
                <w:sz w:val="18"/>
                <w:szCs w:val="18"/>
              </w:rPr>
            </w:pPr>
            <w:r>
              <w:rPr>
                <w:rFonts w:hint="eastAsia"/>
                <w:color w:val="000000"/>
                <w:sz w:val="18"/>
                <w:szCs w:val="18"/>
              </w:rPr>
              <w:t>85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93E3A6">
            <w:pPr>
              <w:spacing w:beforeLines="0" w:afterLines="0" w:line="300" w:lineRule="exact"/>
              <w:jc w:val="center"/>
              <w:rPr>
                <w:rFonts w:hint="default"/>
                <w:color w:val="000000"/>
                <w:sz w:val="18"/>
                <w:szCs w:val="18"/>
              </w:rPr>
            </w:pPr>
            <w:r>
              <w:rPr>
                <w:rFonts w:hint="eastAsia"/>
                <w:color w:val="00000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4FDF8C">
            <w:pPr>
              <w:spacing w:beforeLines="0" w:afterLines="0" w:line="300" w:lineRule="exact"/>
              <w:jc w:val="center"/>
              <w:rPr>
                <w:rFonts w:hint="default"/>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F8EADB">
            <w:pPr>
              <w:spacing w:beforeLines="0" w:afterLines="0" w:line="300" w:lineRule="exact"/>
              <w:jc w:val="center"/>
              <w:rPr>
                <w:rFonts w:hint="default"/>
                <w:color w:val="000000"/>
                <w:sz w:val="18"/>
                <w:szCs w:val="18"/>
              </w:rPr>
            </w:pPr>
            <w:r>
              <w:rPr>
                <w:rFonts w:hint="eastAsia"/>
                <w:color w:val="000000"/>
                <w:sz w:val="18"/>
                <w:szCs w:val="18"/>
              </w:rPr>
              <w:t>85</w:t>
            </w:r>
          </w:p>
        </w:tc>
      </w:tr>
      <w:tr w14:paraId="39635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30469FA1">
            <w:pPr>
              <w:spacing w:beforeLines="0" w:afterLines="0" w:line="300" w:lineRule="exact"/>
              <w:jc w:val="center"/>
              <w:rPr>
                <w:rFonts w:hint="default"/>
                <w:color w:val="000000"/>
                <w:sz w:val="18"/>
                <w:szCs w:val="18"/>
              </w:rPr>
            </w:pPr>
          </w:p>
        </w:tc>
        <w:tc>
          <w:tcPr>
            <w:tcW w:w="1081" w:type="dxa"/>
            <w:tcBorders>
              <w:top w:val="single" w:color="000000" w:sz="4" w:space="0"/>
              <w:left w:val="single" w:color="000000" w:sz="4" w:space="0"/>
              <w:bottom w:val="nil"/>
              <w:right w:val="single" w:color="000000" w:sz="4" w:space="0"/>
              <w:tl2br w:val="nil"/>
              <w:tr2bl w:val="nil"/>
            </w:tcBorders>
            <w:noWrap w:val="0"/>
            <w:vAlign w:val="center"/>
          </w:tcPr>
          <w:p w14:paraId="168CA82B">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满意度</w:t>
            </w:r>
          </w:p>
          <w:p w14:paraId="3266462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w:t>
            </w:r>
          </w:p>
        </w:tc>
        <w:tc>
          <w:tcPr>
            <w:tcW w:w="1250" w:type="dxa"/>
            <w:tcBorders>
              <w:top w:val="single" w:color="000000" w:sz="4" w:space="0"/>
              <w:left w:val="single" w:color="000000" w:sz="4" w:space="0"/>
              <w:bottom w:val="nil"/>
              <w:right w:val="single" w:color="000000" w:sz="4" w:space="0"/>
              <w:tl2br w:val="nil"/>
              <w:tr2bl w:val="nil"/>
            </w:tcBorders>
            <w:noWrap w:val="0"/>
            <w:vAlign w:val="center"/>
          </w:tcPr>
          <w:p w14:paraId="63D99E9D">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服务对象</w:t>
            </w:r>
          </w:p>
          <w:p w14:paraId="33ACF303">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满意度指标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3520BE">
            <w:pPr>
              <w:spacing w:beforeLines="0" w:afterLines="0" w:line="300" w:lineRule="exact"/>
              <w:rPr>
                <w:rFonts w:hint="default"/>
                <w:color w:val="000000"/>
                <w:sz w:val="18"/>
                <w:szCs w:val="18"/>
              </w:rPr>
            </w:pPr>
            <w:r>
              <w:rPr>
                <w:rFonts w:hint="eastAsia"/>
                <w:color w:val="000000"/>
                <w:sz w:val="18"/>
                <w:szCs w:val="18"/>
              </w:rPr>
              <w:t>受益群众满意度</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64DEFF">
            <w:pPr>
              <w:spacing w:beforeLines="0" w:afterLines="0" w:line="300" w:lineRule="exact"/>
              <w:jc w:val="center"/>
              <w:rPr>
                <w:rFonts w:hint="default"/>
                <w:color w:val="000000"/>
                <w:sz w:val="18"/>
                <w:szCs w:val="18"/>
              </w:rPr>
            </w:pP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552FCF">
            <w:pPr>
              <w:spacing w:beforeLines="0" w:afterLines="0" w:line="300" w:lineRule="exact"/>
              <w:jc w:val="center"/>
              <w:rPr>
                <w:rFonts w:hint="default"/>
                <w:color w:val="000000"/>
                <w:sz w:val="18"/>
                <w:szCs w:val="18"/>
              </w:rPr>
            </w:pPr>
            <w:r>
              <w:rPr>
                <w:rFonts w:hint="eastAsia"/>
                <w:color w:val="000000"/>
                <w:sz w:val="18"/>
                <w:szCs w:val="18"/>
              </w:rPr>
              <w:t>85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ADDD78">
            <w:pPr>
              <w:spacing w:beforeLines="0" w:afterLines="0" w:line="300" w:lineRule="exact"/>
              <w:jc w:val="center"/>
              <w:rPr>
                <w:rFonts w:hint="default"/>
                <w:color w:val="000000"/>
                <w:sz w:val="18"/>
                <w:szCs w:val="18"/>
              </w:rPr>
            </w:pPr>
            <w:r>
              <w:rPr>
                <w:rFonts w:hint="eastAsia"/>
                <w:color w:val="00000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C39459">
            <w:pPr>
              <w:spacing w:beforeLines="0" w:afterLines="0" w:line="300" w:lineRule="exact"/>
              <w:jc w:val="center"/>
              <w:rPr>
                <w:rFonts w:hint="default"/>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2C5088">
            <w:pPr>
              <w:spacing w:beforeLines="0" w:afterLines="0" w:line="300" w:lineRule="exact"/>
              <w:jc w:val="center"/>
              <w:rPr>
                <w:rFonts w:hint="default"/>
                <w:color w:val="000000"/>
                <w:sz w:val="18"/>
                <w:szCs w:val="18"/>
              </w:rPr>
            </w:pPr>
            <w:r>
              <w:rPr>
                <w:rFonts w:hint="eastAsia"/>
                <w:color w:val="000000"/>
                <w:sz w:val="18"/>
                <w:szCs w:val="18"/>
              </w:rPr>
              <w:t>85</w:t>
            </w:r>
          </w:p>
        </w:tc>
      </w:tr>
      <w:tr w14:paraId="0488E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68FE063F">
            <w:pPr>
              <w:spacing w:beforeLines="0" w:afterLines="0" w:line="300" w:lineRule="exact"/>
              <w:jc w:val="center"/>
              <w:rPr>
                <w:rFonts w:hint="default"/>
                <w:color w:val="000000"/>
                <w:sz w:val="18"/>
                <w:szCs w:val="18"/>
              </w:rPr>
            </w:pPr>
          </w:p>
        </w:tc>
        <w:tc>
          <w:tcPr>
            <w:tcW w:w="108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B130D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成本指标</w:t>
            </w: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1F1A29">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经济成本</w:t>
            </w:r>
          </w:p>
          <w:p w14:paraId="7FE79CD8">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w:t>
            </w:r>
          </w:p>
        </w:tc>
        <w:tc>
          <w:tcPr>
            <w:tcW w:w="1312" w:type="dxa"/>
            <w:tcBorders>
              <w:top w:val="single" w:color="000000" w:sz="4" w:space="0"/>
              <w:left w:val="nil"/>
              <w:bottom w:val="single" w:color="000000" w:sz="4" w:space="0"/>
              <w:right w:val="single" w:color="000000" w:sz="4" w:space="0"/>
              <w:tl2br w:val="nil"/>
              <w:tr2bl w:val="nil"/>
            </w:tcBorders>
            <w:noWrap w:val="0"/>
            <w:vAlign w:val="center"/>
          </w:tcPr>
          <w:p w14:paraId="706D438C">
            <w:pPr>
              <w:spacing w:beforeLines="0" w:afterLines="0" w:line="300" w:lineRule="exact"/>
              <w:rPr>
                <w:rFonts w:hint="default"/>
                <w:color w:val="000000"/>
                <w:sz w:val="18"/>
                <w:szCs w:val="18"/>
              </w:rPr>
            </w:pPr>
            <w:r>
              <w:rPr>
                <w:rFonts w:hint="eastAsia"/>
                <w:color w:val="000000"/>
                <w:sz w:val="18"/>
                <w:szCs w:val="18"/>
              </w:rPr>
              <w:t>预算金额</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B1FF95">
            <w:pPr>
              <w:tabs>
                <w:tab w:val="left" w:pos="515"/>
              </w:tabs>
              <w:spacing w:beforeLines="0" w:afterLines="0" w:line="300" w:lineRule="exact"/>
              <w:jc w:val="left"/>
              <w:rPr>
                <w:rFonts w:hint="default"/>
                <w:color w:val="000000"/>
                <w:sz w:val="18"/>
                <w:szCs w:val="18"/>
              </w:rPr>
            </w:pPr>
            <w:r>
              <w:rPr>
                <w:rFonts w:hint="eastAsia"/>
                <w:color w:val="000000"/>
                <w:sz w:val="18"/>
                <w:szCs w:val="18"/>
              </w:rPr>
              <w:tab/>
            </w:r>
            <w:r>
              <w:rPr>
                <w:rFonts w:hint="eastAsia"/>
                <w:color w:val="00000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56783F">
            <w:pPr>
              <w:spacing w:beforeLines="0" w:afterLines="0" w:line="300" w:lineRule="exact"/>
              <w:jc w:val="center"/>
              <w:rPr>
                <w:rFonts w:hint="eastAsia"/>
                <w:color w:val="000000"/>
                <w:sz w:val="18"/>
                <w:szCs w:val="18"/>
              </w:rPr>
            </w:pPr>
            <w:r>
              <w:rPr>
                <w:rFonts w:hint="eastAsia"/>
                <w:color w:val="000000"/>
                <w:sz w:val="18"/>
                <w:szCs w:val="18"/>
              </w:rPr>
              <w:t>0.8</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530B14">
            <w:pPr>
              <w:spacing w:beforeLines="0" w:afterLines="0" w:line="300" w:lineRule="exact"/>
              <w:jc w:val="center"/>
              <w:rPr>
                <w:rFonts w:hint="default"/>
                <w:color w:val="000000"/>
                <w:sz w:val="18"/>
                <w:szCs w:val="18"/>
              </w:rPr>
            </w:pPr>
            <w:r>
              <w:rPr>
                <w:rFonts w:hint="eastAsia"/>
                <w:color w:val="000000"/>
                <w:sz w:val="18"/>
                <w:szCs w:val="18"/>
              </w:rPr>
              <w:t>万元</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B9D1DD">
            <w:pPr>
              <w:spacing w:beforeLines="0" w:afterLines="0" w:line="300" w:lineRule="exact"/>
              <w:jc w:val="center"/>
              <w:rPr>
                <w:rFonts w:hint="default"/>
                <w:color w:val="000000"/>
                <w:sz w:val="18"/>
                <w:szCs w:val="18"/>
              </w:rPr>
            </w:pPr>
            <w:r>
              <w:rPr>
                <w:rFonts w:hint="eastAsia"/>
                <w:color w:val="000000"/>
                <w:sz w:val="18"/>
                <w:szCs w:val="18"/>
              </w:rPr>
              <w:t>10</w:t>
            </w:r>
          </w:p>
        </w:tc>
        <w:tc>
          <w:tcPr>
            <w:tcW w:w="129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F8065F">
            <w:pPr>
              <w:spacing w:beforeLines="0" w:afterLines="0" w:line="300" w:lineRule="exact"/>
              <w:jc w:val="center"/>
              <w:rPr>
                <w:rFonts w:hint="eastAsia"/>
                <w:color w:val="000000"/>
                <w:sz w:val="18"/>
                <w:szCs w:val="18"/>
              </w:rPr>
            </w:pPr>
            <w:r>
              <w:rPr>
                <w:rFonts w:hint="eastAsia"/>
                <w:color w:val="000000"/>
                <w:sz w:val="18"/>
                <w:szCs w:val="18"/>
              </w:rPr>
              <w:t>0.8</w:t>
            </w:r>
          </w:p>
        </w:tc>
      </w:tr>
    </w:tbl>
    <w:p w14:paraId="2EAE97EC">
      <w:pPr>
        <w:pStyle w:val="13"/>
        <w:spacing w:beforeLines="0" w:afterLines="0"/>
        <w:rPr>
          <w:rFonts w:hint="default"/>
          <w:sz w:val="18"/>
          <w:szCs w:val="18"/>
        </w:rPr>
      </w:pPr>
    </w:p>
    <w:p w14:paraId="6EDE8053">
      <w:pPr>
        <w:pStyle w:val="13"/>
        <w:spacing w:beforeLines="0" w:afterLines="0"/>
        <w:rPr>
          <w:rFonts w:hint="default"/>
          <w:sz w:val="18"/>
          <w:szCs w:val="18"/>
        </w:rPr>
      </w:pPr>
    </w:p>
    <w:p w14:paraId="4F131C8D">
      <w:pPr>
        <w:pStyle w:val="13"/>
        <w:spacing w:beforeLines="0" w:afterLines="0"/>
        <w:rPr>
          <w:rFonts w:hint="default"/>
          <w:sz w:val="18"/>
          <w:szCs w:val="18"/>
        </w:rPr>
      </w:pPr>
    </w:p>
    <w:p w14:paraId="5218F52E">
      <w:pPr>
        <w:pStyle w:val="13"/>
        <w:spacing w:beforeLines="0" w:afterLines="0"/>
        <w:rPr>
          <w:rFonts w:hint="default"/>
          <w:sz w:val="18"/>
          <w:szCs w:val="18"/>
        </w:rPr>
      </w:pPr>
    </w:p>
    <w:p w14:paraId="1D720669">
      <w:pPr>
        <w:pStyle w:val="13"/>
        <w:spacing w:beforeLines="0" w:afterLines="0"/>
        <w:rPr>
          <w:rFonts w:hint="default"/>
          <w:sz w:val="18"/>
          <w:szCs w:val="18"/>
        </w:rPr>
      </w:pPr>
    </w:p>
    <w:p w14:paraId="2220EC3D">
      <w:pPr>
        <w:pStyle w:val="13"/>
        <w:spacing w:beforeLines="0" w:afterLines="0"/>
        <w:rPr>
          <w:rFonts w:hint="default"/>
          <w:sz w:val="18"/>
          <w:szCs w:val="18"/>
        </w:rPr>
      </w:pPr>
    </w:p>
    <w:p w14:paraId="1B9A0C8D">
      <w:pPr>
        <w:pStyle w:val="13"/>
        <w:spacing w:beforeLines="0" w:afterLines="0"/>
        <w:rPr>
          <w:rFonts w:hint="default"/>
          <w:sz w:val="18"/>
          <w:szCs w:val="18"/>
        </w:rPr>
      </w:pPr>
    </w:p>
    <w:p w14:paraId="4971CE45">
      <w:pPr>
        <w:pStyle w:val="13"/>
        <w:spacing w:beforeLines="0" w:afterLines="0"/>
        <w:rPr>
          <w:rFonts w:hint="default"/>
          <w:sz w:val="18"/>
          <w:szCs w:val="18"/>
        </w:rPr>
      </w:pPr>
    </w:p>
    <w:p w14:paraId="114076C4">
      <w:pPr>
        <w:pStyle w:val="13"/>
        <w:spacing w:beforeLines="0" w:afterLines="0"/>
        <w:rPr>
          <w:rFonts w:hint="default"/>
          <w:sz w:val="18"/>
          <w:szCs w:val="18"/>
        </w:rPr>
      </w:pPr>
    </w:p>
    <w:tbl>
      <w:tblPr>
        <w:tblStyle w:val="19"/>
        <w:tblW w:w="94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933"/>
        <w:gridCol w:w="726"/>
        <w:gridCol w:w="1197"/>
        <w:gridCol w:w="1257"/>
        <w:gridCol w:w="1079"/>
        <w:gridCol w:w="929"/>
        <w:gridCol w:w="1017"/>
        <w:gridCol w:w="898"/>
        <w:gridCol w:w="1432"/>
      </w:tblGrid>
      <w:tr w14:paraId="36242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47" w:hRule="atLeast"/>
          <w:jc w:val="center"/>
        </w:trPr>
        <w:tc>
          <w:tcPr>
            <w:tcW w:w="9468" w:type="dxa"/>
            <w:gridSpan w:val="9"/>
            <w:tcBorders>
              <w:top w:val="nil"/>
              <w:left w:val="nil"/>
              <w:bottom w:val="nil"/>
              <w:right w:val="nil"/>
              <w:tl2br w:val="nil"/>
              <w:tr2bl w:val="nil"/>
            </w:tcBorders>
            <w:noWrap w:val="0"/>
            <w:vAlign w:val="center"/>
          </w:tcPr>
          <w:p w14:paraId="67BA5B49">
            <w:pPr>
              <w:widowControl/>
              <w:spacing w:beforeLines="0" w:afterLines="0" w:line="600" w:lineRule="exact"/>
              <w:jc w:val="center"/>
              <w:textAlignment w:val="center"/>
              <w:rPr>
                <w:rFonts w:hint="default" w:eastAsia="黑体"/>
                <w:color w:val="000000"/>
                <w:sz w:val="30"/>
                <w:szCs w:val="30"/>
              </w:rPr>
            </w:pPr>
            <w:r>
              <w:rPr>
                <w:rFonts w:hint="eastAsia" w:eastAsia="方正小标宋简体"/>
                <w:color w:val="000000"/>
                <w:kern w:val="0"/>
                <w:sz w:val="40"/>
                <w:szCs w:val="40"/>
              </w:rPr>
              <w:t>专项预算项目绩效目标完成情况自评表</w:t>
            </w:r>
          </w:p>
        </w:tc>
      </w:tr>
      <w:tr w14:paraId="5B1B3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4113"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456A68">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项目名称</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47AEFE">
            <w:pPr>
              <w:spacing w:beforeLines="0" w:afterLines="0" w:line="300" w:lineRule="exact"/>
              <w:rPr>
                <w:rFonts w:hint="default"/>
                <w:color w:val="000000"/>
                <w:sz w:val="18"/>
                <w:szCs w:val="18"/>
              </w:rPr>
            </w:pPr>
            <w:r>
              <w:rPr>
                <w:rFonts w:hint="eastAsia"/>
                <w:color w:val="000000"/>
                <w:sz w:val="18"/>
                <w:szCs w:val="18"/>
              </w:rPr>
              <w:t>51322324T000011905709-202</w:t>
            </w:r>
            <w:r>
              <w:rPr>
                <w:rFonts w:hint="eastAsia"/>
                <w:color w:val="000000"/>
                <w:sz w:val="18"/>
                <w:szCs w:val="18"/>
                <w:lang w:val="en-US" w:eastAsia="zh-CN"/>
              </w:rPr>
              <w:t>5</w:t>
            </w:r>
            <w:r>
              <w:rPr>
                <w:rFonts w:hint="eastAsia"/>
                <w:color w:val="000000"/>
                <w:sz w:val="18"/>
                <w:szCs w:val="18"/>
              </w:rPr>
              <w:t>年人大工作经费</w:t>
            </w:r>
          </w:p>
        </w:tc>
      </w:tr>
      <w:tr w14:paraId="1A1F6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90" w:hRule="atLeast"/>
          <w:jc w:val="center"/>
        </w:trPr>
        <w:tc>
          <w:tcPr>
            <w:tcW w:w="4113"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8FF5B7">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预算单位</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9305E3">
            <w:pPr>
              <w:spacing w:beforeLines="0" w:afterLines="0" w:line="300" w:lineRule="exact"/>
              <w:rPr>
                <w:rFonts w:hint="default"/>
                <w:color w:val="000000"/>
                <w:sz w:val="18"/>
                <w:szCs w:val="18"/>
              </w:rPr>
            </w:pPr>
            <w:r>
              <w:rPr>
                <w:rFonts w:hint="eastAsia"/>
                <w:color w:val="000000"/>
                <w:sz w:val="18"/>
                <w:szCs w:val="18"/>
              </w:rPr>
              <w:t>茂县南新镇人民政府（行政）</w:t>
            </w:r>
          </w:p>
        </w:tc>
      </w:tr>
      <w:tr w14:paraId="047DF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4113"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F0D418">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项目类型</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675B35">
            <w:pPr>
              <w:spacing w:beforeLines="0" w:afterLines="0" w:line="300" w:lineRule="exact"/>
              <w:jc w:val="left"/>
              <w:rPr>
                <w:rFonts w:hint="default"/>
                <w:color w:val="000000"/>
                <w:sz w:val="18"/>
                <w:szCs w:val="18"/>
              </w:rPr>
            </w:pPr>
          </w:p>
        </w:tc>
      </w:tr>
      <w:tr w14:paraId="4A93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933" w:type="dxa"/>
            <w:vMerge w:val="restart"/>
            <w:tcBorders>
              <w:top w:val="single" w:color="000000" w:sz="4" w:space="0"/>
              <w:left w:val="single" w:color="000000" w:sz="4" w:space="0"/>
              <w:bottom w:val="nil"/>
              <w:right w:val="single" w:color="000000" w:sz="4" w:space="0"/>
              <w:tl2br w:val="nil"/>
              <w:tr2bl w:val="nil"/>
            </w:tcBorders>
            <w:noWrap w:val="0"/>
            <w:vAlign w:val="center"/>
          </w:tcPr>
          <w:p w14:paraId="7DAAC915">
            <w:pPr>
              <w:spacing w:beforeLines="0" w:afterLines="0" w:line="300" w:lineRule="exact"/>
              <w:rPr>
                <w:rFonts w:hint="default"/>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5D1F58">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资金管理办法（名称、文号）</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7366319">
            <w:pPr>
              <w:spacing w:beforeLines="0" w:afterLines="0" w:line="300" w:lineRule="exact"/>
              <w:jc w:val="left"/>
              <w:rPr>
                <w:rFonts w:hint="default"/>
                <w:color w:val="000000"/>
                <w:sz w:val="18"/>
                <w:szCs w:val="18"/>
              </w:rPr>
            </w:pPr>
          </w:p>
        </w:tc>
      </w:tr>
      <w:tr w14:paraId="0AB4E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9" w:hRule="atLeast"/>
          <w:jc w:val="center"/>
        </w:trPr>
        <w:tc>
          <w:tcPr>
            <w:tcW w:w="93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19D28D84">
            <w:pPr>
              <w:spacing w:beforeLines="0" w:afterLines="0" w:line="300" w:lineRule="exact"/>
              <w:rPr>
                <w:rFonts w:hint="default"/>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799E98">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绩效分配方式</w:t>
            </w:r>
          </w:p>
        </w:tc>
        <w:tc>
          <w:tcPr>
            <w:tcW w:w="107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19EC09">
            <w:pPr>
              <w:widowControl/>
              <w:spacing w:beforeLines="0" w:afterLines="0" w:line="300" w:lineRule="exact"/>
              <w:jc w:val="left"/>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w:t>
            </w:r>
          </w:p>
        </w:tc>
        <w:tc>
          <w:tcPr>
            <w:tcW w:w="1946"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B03B41">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default" w:ascii="Wingdings 2" w:hAnsi="Wingdings 2" w:eastAsia="Wingdings 2"/>
                <w:color w:val="000000"/>
                <w:kern w:val="0"/>
                <w:sz w:val="18"/>
                <w:szCs w:val="18"/>
              </w:rPr>
              <w:t>项目法</w:t>
            </w:r>
          </w:p>
        </w:tc>
        <w:tc>
          <w:tcPr>
            <w:tcW w:w="89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3D3F63">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据实据效</w:t>
            </w:r>
          </w:p>
        </w:tc>
        <w:tc>
          <w:tcPr>
            <w:tcW w:w="14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5AB973">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因素法与项目法相结合</w:t>
            </w:r>
          </w:p>
        </w:tc>
      </w:tr>
      <w:tr w14:paraId="7AF48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E01726">
            <w:pPr>
              <w:spacing w:beforeLines="0" w:afterLines="0" w:line="300" w:lineRule="exact"/>
              <w:rPr>
                <w:rFonts w:hint="default"/>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A1F903">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立项依据</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0BA72F31">
            <w:pPr>
              <w:spacing w:beforeLines="0" w:afterLines="0" w:line="300" w:lineRule="exact"/>
              <w:jc w:val="left"/>
              <w:rPr>
                <w:rFonts w:hint="default"/>
                <w:color w:val="000000"/>
                <w:sz w:val="18"/>
                <w:szCs w:val="18"/>
              </w:rPr>
            </w:pPr>
          </w:p>
        </w:tc>
      </w:tr>
      <w:tr w14:paraId="2D722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3806C4">
            <w:pPr>
              <w:spacing w:beforeLines="0" w:afterLines="0" w:line="300" w:lineRule="exact"/>
              <w:rPr>
                <w:rFonts w:hint="default"/>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60F839">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使用范围</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903B16">
            <w:pPr>
              <w:spacing w:beforeLines="0" w:afterLines="0" w:line="300" w:lineRule="exact"/>
              <w:jc w:val="left"/>
              <w:rPr>
                <w:rFonts w:hint="default"/>
                <w:color w:val="000000"/>
                <w:sz w:val="18"/>
                <w:szCs w:val="18"/>
              </w:rPr>
            </w:pPr>
          </w:p>
        </w:tc>
      </w:tr>
      <w:tr w14:paraId="04C82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752A99">
            <w:pPr>
              <w:spacing w:beforeLines="0" w:afterLines="0" w:line="300" w:lineRule="exact"/>
              <w:rPr>
                <w:rFonts w:hint="default"/>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50260C">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申报（补助）条件</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F1A858">
            <w:pPr>
              <w:spacing w:beforeLines="0" w:afterLines="0" w:line="300" w:lineRule="exact"/>
              <w:jc w:val="left"/>
              <w:rPr>
                <w:rFonts w:hint="default"/>
                <w:color w:val="000000"/>
                <w:sz w:val="18"/>
                <w:szCs w:val="18"/>
              </w:rPr>
            </w:pPr>
          </w:p>
        </w:tc>
      </w:tr>
      <w:tr w14:paraId="66EB0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3C345A">
            <w:pPr>
              <w:spacing w:beforeLines="0" w:afterLines="0" w:line="300" w:lineRule="exact"/>
              <w:rPr>
                <w:rFonts w:hint="default"/>
                <w:color w:val="000000"/>
                <w:sz w:val="18"/>
                <w:szCs w:val="18"/>
              </w:rPr>
            </w:pPr>
          </w:p>
        </w:tc>
        <w:tc>
          <w:tcPr>
            <w:tcW w:w="3180"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81B9F5">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项目起止年限</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27F03E">
            <w:pPr>
              <w:spacing w:beforeLines="0" w:afterLines="0" w:line="300" w:lineRule="exact"/>
              <w:rPr>
                <w:rFonts w:hint="default"/>
                <w:color w:val="000000"/>
                <w:sz w:val="18"/>
                <w:szCs w:val="18"/>
              </w:rPr>
            </w:pPr>
            <w:r>
              <w:rPr>
                <w:rFonts w:hint="eastAsia"/>
                <w:color w:val="000000"/>
                <w:sz w:val="18"/>
                <w:szCs w:val="18"/>
              </w:rPr>
              <w:t>2025.01-2025.12</w:t>
            </w:r>
          </w:p>
        </w:tc>
      </w:tr>
      <w:tr w14:paraId="73D78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1659"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B2A5E7">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项目资金</w:t>
            </w:r>
          </w:p>
          <w:p w14:paraId="21A239DE">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（万元）</w:t>
            </w:r>
          </w:p>
        </w:tc>
        <w:tc>
          <w:tcPr>
            <w:tcW w:w="2454"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B2EFD7">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年度资金总额：</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2431C0">
            <w:pPr>
              <w:tabs>
                <w:tab w:val="left" w:pos="2135"/>
              </w:tabs>
              <w:spacing w:beforeLines="0" w:afterLines="0" w:line="300" w:lineRule="exact"/>
              <w:jc w:val="left"/>
              <w:rPr>
                <w:rFonts w:hint="default"/>
                <w:color w:val="000000"/>
                <w:sz w:val="18"/>
                <w:szCs w:val="18"/>
              </w:rPr>
            </w:pPr>
            <w:r>
              <w:rPr>
                <w:rFonts w:hint="eastAsia"/>
                <w:color w:val="000000"/>
                <w:sz w:val="18"/>
                <w:szCs w:val="18"/>
              </w:rPr>
              <w:tab/>
            </w:r>
            <w:r>
              <w:rPr>
                <w:rFonts w:hint="eastAsia"/>
                <w:color w:val="000000"/>
                <w:sz w:val="18"/>
                <w:szCs w:val="18"/>
              </w:rPr>
              <w:t>10.00</w:t>
            </w:r>
          </w:p>
        </w:tc>
      </w:tr>
      <w:tr w14:paraId="0B986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1659"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F8DFD4">
            <w:pPr>
              <w:spacing w:beforeLines="0" w:afterLines="0" w:line="300" w:lineRule="exact"/>
              <w:rPr>
                <w:rFonts w:hint="default"/>
                <w:color w:val="000000"/>
                <w:sz w:val="18"/>
                <w:szCs w:val="18"/>
              </w:rPr>
            </w:pPr>
          </w:p>
        </w:tc>
        <w:tc>
          <w:tcPr>
            <w:tcW w:w="2454"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6E58AD">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其中：财政拨款</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C7D107">
            <w:pPr>
              <w:tabs>
                <w:tab w:val="left" w:pos="2300"/>
              </w:tabs>
              <w:spacing w:beforeLines="0" w:afterLines="0" w:line="300" w:lineRule="exact"/>
              <w:ind w:firstLine="1620" w:firstLineChars="900"/>
              <w:jc w:val="left"/>
              <w:rPr>
                <w:rFonts w:hint="default"/>
                <w:color w:val="000000"/>
                <w:sz w:val="18"/>
                <w:szCs w:val="18"/>
              </w:rPr>
            </w:pPr>
            <w:r>
              <w:rPr>
                <w:rFonts w:hint="eastAsia"/>
                <w:color w:val="000000"/>
                <w:sz w:val="18"/>
                <w:szCs w:val="18"/>
              </w:rPr>
              <w:t>10.00</w:t>
            </w:r>
          </w:p>
        </w:tc>
      </w:tr>
      <w:tr w14:paraId="49173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1659"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80B20F">
            <w:pPr>
              <w:spacing w:beforeLines="0" w:afterLines="0" w:line="300" w:lineRule="exact"/>
              <w:rPr>
                <w:rFonts w:hint="default"/>
                <w:color w:val="000000"/>
                <w:sz w:val="18"/>
                <w:szCs w:val="18"/>
              </w:rPr>
            </w:pPr>
          </w:p>
        </w:tc>
        <w:tc>
          <w:tcPr>
            <w:tcW w:w="2454"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196ED437">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其他资金</w:t>
            </w:r>
          </w:p>
        </w:tc>
        <w:tc>
          <w:tcPr>
            <w:tcW w:w="5355"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D026C2">
            <w:pPr>
              <w:spacing w:beforeLines="0" w:afterLines="0" w:line="300" w:lineRule="exact"/>
              <w:jc w:val="right"/>
              <w:rPr>
                <w:rFonts w:hint="default"/>
                <w:color w:val="000000"/>
                <w:sz w:val="18"/>
                <w:szCs w:val="18"/>
              </w:rPr>
            </w:pPr>
          </w:p>
        </w:tc>
      </w:tr>
      <w:tr w14:paraId="4D1B8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93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AB8C1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总体 目标</w:t>
            </w:r>
          </w:p>
        </w:tc>
        <w:tc>
          <w:tcPr>
            <w:tcW w:w="8535"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9E1D86">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年度目标</w:t>
            </w:r>
          </w:p>
        </w:tc>
      </w:tr>
      <w:tr w14:paraId="6432D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93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DD2573">
            <w:pPr>
              <w:spacing w:beforeLines="0" w:afterLines="0" w:line="300" w:lineRule="exact"/>
              <w:rPr>
                <w:rFonts w:hint="default"/>
                <w:color w:val="000000"/>
                <w:sz w:val="18"/>
                <w:szCs w:val="18"/>
              </w:rPr>
            </w:pPr>
          </w:p>
        </w:tc>
        <w:tc>
          <w:tcPr>
            <w:tcW w:w="8535"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AE7A85">
            <w:pPr>
              <w:spacing w:beforeLines="0" w:afterLines="0" w:line="300" w:lineRule="exact"/>
              <w:rPr>
                <w:rFonts w:hint="default"/>
                <w:color w:val="000000"/>
                <w:sz w:val="18"/>
                <w:szCs w:val="18"/>
              </w:rPr>
            </w:pPr>
          </w:p>
        </w:tc>
      </w:tr>
      <w:tr w14:paraId="06348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933" w:type="dxa"/>
            <w:vMerge w:val="restart"/>
            <w:tcBorders>
              <w:top w:val="single" w:color="000000" w:sz="4" w:space="0"/>
              <w:left w:val="single" w:color="000000" w:sz="4" w:space="0"/>
              <w:bottom w:val="single" w:color="000000" w:sz="4" w:space="0"/>
              <w:right w:val="nil"/>
              <w:tl2br w:val="nil"/>
              <w:tr2bl w:val="nil"/>
            </w:tcBorders>
            <w:noWrap w:val="0"/>
            <w:vAlign w:val="center"/>
          </w:tcPr>
          <w:p w14:paraId="34F3C53B">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绩效 指标</w:t>
            </w:r>
          </w:p>
        </w:tc>
        <w:tc>
          <w:tcPr>
            <w:tcW w:w="7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261506">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一级指标</w:t>
            </w:r>
          </w:p>
        </w:tc>
        <w:tc>
          <w:tcPr>
            <w:tcW w:w="11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8E992A">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二级指标</w:t>
            </w:r>
          </w:p>
        </w:tc>
        <w:tc>
          <w:tcPr>
            <w:tcW w:w="12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A2E642">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三级指标</w:t>
            </w:r>
          </w:p>
        </w:tc>
        <w:tc>
          <w:tcPr>
            <w:tcW w:w="107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79A234">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指标性质</w:t>
            </w:r>
          </w:p>
        </w:tc>
        <w:tc>
          <w:tcPr>
            <w:tcW w:w="92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E41991">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指标值</w:t>
            </w:r>
          </w:p>
        </w:tc>
        <w:tc>
          <w:tcPr>
            <w:tcW w:w="101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AFE33B">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度量单位</w:t>
            </w:r>
          </w:p>
        </w:tc>
        <w:tc>
          <w:tcPr>
            <w:tcW w:w="89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D92C83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权重</w:t>
            </w:r>
          </w:p>
        </w:tc>
        <w:tc>
          <w:tcPr>
            <w:tcW w:w="14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AFAC8C">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实际完成指标值</w:t>
            </w:r>
          </w:p>
        </w:tc>
      </w:tr>
      <w:tr w14:paraId="2BFA4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jc w:val="center"/>
        </w:trPr>
        <w:tc>
          <w:tcPr>
            <w:tcW w:w="93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20716FEF">
            <w:pPr>
              <w:spacing w:beforeLines="0" w:afterLines="0" w:line="300" w:lineRule="exact"/>
              <w:jc w:val="center"/>
              <w:rPr>
                <w:rFonts w:hint="default"/>
                <w:color w:val="000000"/>
                <w:sz w:val="18"/>
                <w:szCs w:val="18"/>
              </w:rPr>
            </w:pPr>
          </w:p>
        </w:tc>
        <w:tc>
          <w:tcPr>
            <w:tcW w:w="726"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0A6ABE">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产出指标</w:t>
            </w:r>
          </w:p>
        </w:tc>
        <w:tc>
          <w:tcPr>
            <w:tcW w:w="11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D31CB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数量指标</w:t>
            </w:r>
          </w:p>
        </w:tc>
        <w:tc>
          <w:tcPr>
            <w:tcW w:w="12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F4283B">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涉及村个数</w:t>
            </w:r>
          </w:p>
        </w:tc>
        <w:tc>
          <w:tcPr>
            <w:tcW w:w="107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B875F2">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w:t>
            </w:r>
          </w:p>
        </w:tc>
        <w:tc>
          <w:tcPr>
            <w:tcW w:w="92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2D74D6">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8</w:t>
            </w:r>
          </w:p>
        </w:tc>
        <w:tc>
          <w:tcPr>
            <w:tcW w:w="101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4459C0">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个</w:t>
            </w:r>
          </w:p>
        </w:tc>
        <w:tc>
          <w:tcPr>
            <w:tcW w:w="89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FEC6A1">
            <w:pPr>
              <w:widowControl/>
              <w:spacing w:beforeLines="0" w:afterLines="0"/>
              <w:jc w:val="center"/>
              <w:textAlignment w:val="center"/>
              <w:rPr>
                <w:rFonts w:hint="default"/>
                <w:color w:val="000000"/>
                <w:sz w:val="18"/>
                <w:szCs w:val="18"/>
              </w:rPr>
            </w:pPr>
            <w:r>
              <w:rPr>
                <w:rFonts w:hint="eastAsia"/>
                <w:color w:val="000000"/>
                <w:sz w:val="18"/>
                <w:szCs w:val="18"/>
              </w:rPr>
              <w:t>20</w:t>
            </w:r>
          </w:p>
        </w:tc>
        <w:tc>
          <w:tcPr>
            <w:tcW w:w="14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1D6082">
            <w:pPr>
              <w:spacing w:beforeLines="0" w:afterLines="0" w:line="300" w:lineRule="exact"/>
              <w:jc w:val="center"/>
              <w:rPr>
                <w:rFonts w:hint="default"/>
                <w:color w:val="000000"/>
                <w:sz w:val="18"/>
                <w:szCs w:val="18"/>
              </w:rPr>
            </w:pPr>
            <w:r>
              <w:rPr>
                <w:rFonts w:hint="eastAsia"/>
                <w:color w:val="000000"/>
                <w:sz w:val="18"/>
                <w:szCs w:val="18"/>
              </w:rPr>
              <w:t>8</w:t>
            </w:r>
          </w:p>
        </w:tc>
      </w:tr>
      <w:tr w14:paraId="6B31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7" w:hRule="atLeast"/>
          <w:jc w:val="center"/>
        </w:trPr>
        <w:tc>
          <w:tcPr>
            <w:tcW w:w="93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35460CCA">
            <w:pPr>
              <w:spacing w:beforeLines="0" w:afterLines="0" w:line="300" w:lineRule="exact"/>
              <w:jc w:val="center"/>
              <w:rPr>
                <w:rFonts w:hint="default"/>
                <w:color w:val="000000"/>
                <w:sz w:val="18"/>
                <w:szCs w:val="18"/>
              </w:rPr>
            </w:pPr>
          </w:p>
        </w:tc>
        <w:tc>
          <w:tcPr>
            <w:tcW w:w="72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9D59B2">
            <w:pPr>
              <w:spacing w:beforeLines="0" w:afterLines="0" w:line="300" w:lineRule="exact"/>
              <w:jc w:val="center"/>
              <w:rPr>
                <w:rFonts w:hint="default"/>
                <w:color w:val="000000"/>
                <w:sz w:val="18"/>
                <w:szCs w:val="18"/>
              </w:rPr>
            </w:pPr>
          </w:p>
        </w:tc>
        <w:tc>
          <w:tcPr>
            <w:tcW w:w="11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466A88">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时效指标</w:t>
            </w:r>
          </w:p>
        </w:tc>
        <w:tc>
          <w:tcPr>
            <w:tcW w:w="12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A895CB">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完成时间</w:t>
            </w:r>
          </w:p>
        </w:tc>
        <w:tc>
          <w:tcPr>
            <w:tcW w:w="107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89A0AF">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w:t>
            </w:r>
          </w:p>
        </w:tc>
        <w:tc>
          <w:tcPr>
            <w:tcW w:w="92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758F9A">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1</w:t>
            </w:r>
          </w:p>
        </w:tc>
        <w:tc>
          <w:tcPr>
            <w:tcW w:w="101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F0FFFA">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年</w:t>
            </w:r>
          </w:p>
        </w:tc>
        <w:tc>
          <w:tcPr>
            <w:tcW w:w="89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C1030E">
            <w:pPr>
              <w:spacing w:beforeLines="0" w:afterLines="0" w:line="300" w:lineRule="exact"/>
              <w:jc w:val="center"/>
              <w:rPr>
                <w:rFonts w:hint="default"/>
                <w:color w:val="000000"/>
                <w:sz w:val="18"/>
                <w:szCs w:val="18"/>
              </w:rPr>
            </w:pPr>
            <w:r>
              <w:rPr>
                <w:rFonts w:hint="eastAsia"/>
                <w:color w:val="000000"/>
                <w:sz w:val="18"/>
                <w:szCs w:val="18"/>
              </w:rPr>
              <w:t>20</w:t>
            </w:r>
          </w:p>
        </w:tc>
        <w:tc>
          <w:tcPr>
            <w:tcW w:w="14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8789B2">
            <w:pPr>
              <w:spacing w:beforeLines="0" w:afterLines="0" w:line="300" w:lineRule="exact"/>
              <w:jc w:val="center"/>
              <w:rPr>
                <w:rFonts w:hint="default"/>
                <w:color w:val="000000"/>
                <w:sz w:val="18"/>
                <w:szCs w:val="18"/>
              </w:rPr>
            </w:pPr>
            <w:r>
              <w:rPr>
                <w:rFonts w:hint="eastAsia"/>
                <w:color w:val="000000"/>
                <w:sz w:val="18"/>
                <w:szCs w:val="18"/>
              </w:rPr>
              <w:t>1</w:t>
            </w:r>
          </w:p>
        </w:tc>
      </w:tr>
      <w:tr w14:paraId="7680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7" w:hRule="atLeast"/>
          <w:jc w:val="center"/>
        </w:trPr>
        <w:tc>
          <w:tcPr>
            <w:tcW w:w="93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5DCD9DC5">
            <w:pPr>
              <w:spacing w:beforeLines="0" w:afterLines="0" w:line="300" w:lineRule="exact"/>
              <w:jc w:val="center"/>
              <w:rPr>
                <w:rFonts w:hint="default"/>
                <w:color w:val="000000"/>
                <w:sz w:val="18"/>
                <w:szCs w:val="18"/>
              </w:rPr>
            </w:pPr>
          </w:p>
        </w:tc>
        <w:tc>
          <w:tcPr>
            <w:tcW w:w="726"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840516">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效益指标</w:t>
            </w:r>
          </w:p>
        </w:tc>
        <w:tc>
          <w:tcPr>
            <w:tcW w:w="11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948DB3">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社会效益指标</w:t>
            </w:r>
          </w:p>
        </w:tc>
        <w:tc>
          <w:tcPr>
            <w:tcW w:w="12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F9BA08">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确保人大工作有序开展</w:t>
            </w:r>
          </w:p>
        </w:tc>
        <w:tc>
          <w:tcPr>
            <w:tcW w:w="107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4248FD">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定性</w:t>
            </w:r>
          </w:p>
        </w:tc>
        <w:tc>
          <w:tcPr>
            <w:tcW w:w="92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C07CB3">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进一步提高</w:t>
            </w:r>
          </w:p>
        </w:tc>
        <w:tc>
          <w:tcPr>
            <w:tcW w:w="101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6B043B">
            <w:pPr>
              <w:spacing w:beforeLines="0" w:afterLines="0"/>
              <w:jc w:val="center"/>
              <w:rPr>
                <w:rFonts w:hint="default"/>
                <w:color w:val="000000"/>
                <w:sz w:val="18"/>
                <w:szCs w:val="18"/>
              </w:rPr>
            </w:pPr>
          </w:p>
        </w:tc>
        <w:tc>
          <w:tcPr>
            <w:tcW w:w="89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15F7D4">
            <w:pPr>
              <w:spacing w:beforeLines="0" w:afterLines="0" w:line="300" w:lineRule="exact"/>
              <w:jc w:val="center"/>
              <w:rPr>
                <w:rFonts w:hint="default"/>
                <w:color w:val="000000"/>
                <w:sz w:val="18"/>
                <w:szCs w:val="18"/>
              </w:rPr>
            </w:pPr>
            <w:r>
              <w:rPr>
                <w:rFonts w:hint="eastAsia"/>
                <w:color w:val="000000"/>
                <w:sz w:val="18"/>
                <w:szCs w:val="18"/>
              </w:rPr>
              <w:t>10</w:t>
            </w:r>
          </w:p>
        </w:tc>
        <w:tc>
          <w:tcPr>
            <w:tcW w:w="14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C044ED">
            <w:pPr>
              <w:spacing w:beforeLines="0" w:afterLines="0" w:line="300" w:lineRule="exact"/>
              <w:jc w:val="center"/>
              <w:rPr>
                <w:rFonts w:hint="default"/>
                <w:color w:val="000000"/>
                <w:sz w:val="18"/>
                <w:szCs w:val="18"/>
              </w:rPr>
            </w:pPr>
            <w:r>
              <w:rPr>
                <w:rFonts w:hint="eastAsia"/>
                <w:color w:val="000000"/>
                <w:sz w:val="18"/>
                <w:szCs w:val="18"/>
              </w:rPr>
              <w:t>高</w:t>
            </w:r>
          </w:p>
        </w:tc>
      </w:tr>
      <w:tr w14:paraId="0009B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7" w:hRule="atLeast"/>
          <w:jc w:val="center"/>
        </w:trPr>
        <w:tc>
          <w:tcPr>
            <w:tcW w:w="93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31826A64">
            <w:pPr>
              <w:spacing w:beforeLines="0" w:afterLines="0" w:line="300" w:lineRule="exact"/>
              <w:jc w:val="center"/>
              <w:rPr>
                <w:rFonts w:hint="default"/>
                <w:color w:val="000000"/>
                <w:sz w:val="18"/>
                <w:szCs w:val="18"/>
              </w:rPr>
            </w:pPr>
          </w:p>
        </w:tc>
        <w:tc>
          <w:tcPr>
            <w:tcW w:w="72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ED42D6">
            <w:pPr>
              <w:spacing w:beforeLines="0" w:afterLines="0" w:line="300" w:lineRule="exact"/>
              <w:jc w:val="center"/>
              <w:rPr>
                <w:rFonts w:hint="default"/>
                <w:color w:val="000000"/>
                <w:sz w:val="18"/>
                <w:szCs w:val="18"/>
              </w:rPr>
            </w:pPr>
          </w:p>
        </w:tc>
        <w:tc>
          <w:tcPr>
            <w:tcW w:w="1197" w:type="dxa"/>
            <w:tcBorders>
              <w:top w:val="single" w:color="000000" w:sz="4" w:space="0"/>
              <w:left w:val="single" w:color="000000" w:sz="4" w:space="0"/>
              <w:bottom w:val="nil"/>
              <w:right w:val="single" w:color="000000" w:sz="4" w:space="0"/>
              <w:tl2br w:val="nil"/>
              <w:tr2bl w:val="nil"/>
            </w:tcBorders>
            <w:noWrap w:val="0"/>
            <w:vAlign w:val="center"/>
          </w:tcPr>
          <w:p w14:paraId="2D57C48C">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可持续发展指标</w:t>
            </w:r>
          </w:p>
        </w:tc>
        <w:tc>
          <w:tcPr>
            <w:tcW w:w="12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94AC9C">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可持续发展</w:t>
            </w:r>
          </w:p>
        </w:tc>
        <w:tc>
          <w:tcPr>
            <w:tcW w:w="107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FE1689">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定性</w:t>
            </w:r>
          </w:p>
        </w:tc>
        <w:tc>
          <w:tcPr>
            <w:tcW w:w="92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BED92A">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高中低</w:t>
            </w:r>
          </w:p>
        </w:tc>
        <w:tc>
          <w:tcPr>
            <w:tcW w:w="101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7220FD">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其他</w:t>
            </w:r>
          </w:p>
        </w:tc>
        <w:tc>
          <w:tcPr>
            <w:tcW w:w="89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55D4EF">
            <w:pPr>
              <w:spacing w:beforeLines="0" w:afterLines="0" w:line="300" w:lineRule="exact"/>
              <w:jc w:val="center"/>
              <w:rPr>
                <w:rFonts w:hint="default"/>
                <w:color w:val="000000"/>
                <w:sz w:val="18"/>
                <w:szCs w:val="18"/>
              </w:rPr>
            </w:pPr>
            <w:r>
              <w:rPr>
                <w:rFonts w:hint="eastAsia"/>
                <w:color w:val="000000"/>
                <w:sz w:val="18"/>
                <w:szCs w:val="18"/>
              </w:rPr>
              <w:t>10</w:t>
            </w:r>
          </w:p>
        </w:tc>
        <w:tc>
          <w:tcPr>
            <w:tcW w:w="14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56FF3A">
            <w:pPr>
              <w:spacing w:beforeLines="0" w:afterLines="0" w:line="300" w:lineRule="exact"/>
              <w:jc w:val="center"/>
              <w:rPr>
                <w:rFonts w:hint="default"/>
                <w:color w:val="000000"/>
                <w:sz w:val="18"/>
                <w:szCs w:val="18"/>
              </w:rPr>
            </w:pPr>
            <w:r>
              <w:rPr>
                <w:rFonts w:hint="eastAsia"/>
                <w:color w:val="000000"/>
                <w:sz w:val="18"/>
                <w:szCs w:val="18"/>
              </w:rPr>
              <w:t>高</w:t>
            </w:r>
          </w:p>
        </w:tc>
      </w:tr>
      <w:tr w14:paraId="38633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7" w:hRule="atLeast"/>
          <w:jc w:val="center"/>
        </w:trPr>
        <w:tc>
          <w:tcPr>
            <w:tcW w:w="93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692E3100">
            <w:pPr>
              <w:spacing w:beforeLines="0" w:afterLines="0" w:line="300" w:lineRule="exact"/>
              <w:jc w:val="center"/>
              <w:rPr>
                <w:rFonts w:hint="default"/>
                <w:color w:val="000000"/>
                <w:sz w:val="18"/>
                <w:szCs w:val="18"/>
              </w:rPr>
            </w:pPr>
          </w:p>
        </w:tc>
        <w:tc>
          <w:tcPr>
            <w:tcW w:w="72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70FA17">
            <w:pPr>
              <w:spacing w:beforeLines="0" w:afterLines="0" w:line="300" w:lineRule="exact"/>
              <w:jc w:val="center"/>
              <w:rPr>
                <w:rFonts w:hint="default"/>
                <w:color w:val="000000"/>
                <w:sz w:val="18"/>
                <w:szCs w:val="18"/>
              </w:rPr>
            </w:pPr>
          </w:p>
        </w:tc>
        <w:tc>
          <w:tcPr>
            <w:tcW w:w="11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AC76FD">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可持续影响指标</w:t>
            </w:r>
          </w:p>
        </w:tc>
        <w:tc>
          <w:tcPr>
            <w:tcW w:w="12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E633C0">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可持续影响</w:t>
            </w:r>
          </w:p>
        </w:tc>
        <w:tc>
          <w:tcPr>
            <w:tcW w:w="107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7A3934">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定性</w:t>
            </w:r>
          </w:p>
        </w:tc>
        <w:tc>
          <w:tcPr>
            <w:tcW w:w="92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618D71">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高中低</w:t>
            </w:r>
          </w:p>
        </w:tc>
        <w:tc>
          <w:tcPr>
            <w:tcW w:w="101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3CC31E">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其他</w:t>
            </w:r>
          </w:p>
        </w:tc>
        <w:tc>
          <w:tcPr>
            <w:tcW w:w="89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185793">
            <w:pPr>
              <w:spacing w:beforeLines="0" w:afterLines="0" w:line="300" w:lineRule="exact"/>
              <w:jc w:val="center"/>
              <w:rPr>
                <w:rFonts w:hint="default"/>
                <w:color w:val="000000"/>
                <w:sz w:val="18"/>
                <w:szCs w:val="18"/>
              </w:rPr>
            </w:pPr>
            <w:r>
              <w:rPr>
                <w:rFonts w:hint="eastAsia"/>
                <w:color w:val="000000"/>
                <w:sz w:val="18"/>
                <w:szCs w:val="18"/>
              </w:rPr>
              <w:t>10</w:t>
            </w:r>
          </w:p>
        </w:tc>
        <w:tc>
          <w:tcPr>
            <w:tcW w:w="14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339C4D">
            <w:pPr>
              <w:spacing w:beforeLines="0" w:afterLines="0" w:line="300" w:lineRule="exact"/>
              <w:jc w:val="center"/>
              <w:rPr>
                <w:rFonts w:hint="default"/>
                <w:color w:val="000000"/>
                <w:sz w:val="18"/>
                <w:szCs w:val="18"/>
              </w:rPr>
            </w:pPr>
            <w:r>
              <w:rPr>
                <w:rFonts w:hint="eastAsia"/>
                <w:color w:val="000000"/>
                <w:sz w:val="18"/>
                <w:szCs w:val="18"/>
              </w:rPr>
              <w:t>高</w:t>
            </w:r>
          </w:p>
        </w:tc>
      </w:tr>
      <w:tr w14:paraId="0B054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7" w:hRule="atLeast"/>
          <w:jc w:val="center"/>
        </w:trPr>
        <w:tc>
          <w:tcPr>
            <w:tcW w:w="93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374854D3">
            <w:pPr>
              <w:spacing w:beforeLines="0" w:afterLines="0" w:line="300" w:lineRule="exact"/>
              <w:jc w:val="center"/>
              <w:rPr>
                <w:rFonts w:hint="default"/>
                <w:color w:val="000000"/>
                <w:sz w:val="18"/>
                <w:szCs w:val="18"/>
              </w:rPr>
            </w:pPr>
          </w:p>
        </w:tc>
        <w:tc>
          <w:tcPr>
            <w:tcW w:w="726" w:type="dxa"/>
            <w:tcBorders>
              <w:top w:val="single" w:color="000000" w:sz="4" w:space="0"/>
              <w:left w:val="single" w:color="000000" w:sz="4" w:space="0"/>
              <w:bottom w:val="nil"/>
              <w:right w:val="single" w:color="000000" w:sz="4" w:space="0"/>
              <w:tl2br w:val="nil"/>
              <w:tr2bl w:val="nil"/>
            </w:tcBorders>
            <w:noWrap w:val="0"/>
            <w:vAlign w:val="center"/>
          </w:tcPr>
          <w:p w14:paraId="54861712">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满意度</w:t>
            </w:r>
          </w:p>
          <w:p w14:paraId="1C5C114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w:t>
            </w:r>
          </w:p>
        </w:tc>
        <w:tc>
          <w:tcPr>
            <w:tcW w:w="1197" w:type="dxa"/>
            <w:tcBorders>
              <w:top w:val="single" w:color="000000" w:sz="4" w:space="0"/>
              <w:left w:val="single" w:color="000000" w:sz="4" w:space="0"/>
              <w:bottom w:val="nil"/>
              <w:right w:val="single" w:color="000000" w:sz="4" w:space="0"/>
              <w:tl2br w:val="nil"/>
              <w:tr2bl w:val="nil"/>
            </w:tcBorders>
            <w:noWrap w:val="0"/>
            <w:vAlign w:val="center"/>
          </w:tcPr>
          <w:p w14:paraId="266332AF">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服务对象满意度指标</w:t>
            </w:r>
          </w:p>
        </w:tc>
        <w:tc>
          <w:tcPr>
            <w:tcW w:w="125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150D24">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受益对象满意度</w:t>
            </w:r>
          </w:p>
        </w:tc>
        <w:tc>
          <w:tcPr>
            <w:tcW w:w="107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342270">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w:t>
            </w:r>
          </w:p>
        </w:tc>
        <w:tc>
          <w:tcPr>
            <w:tcW w:w="92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3D4F4A">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85</w:t>
            </w:r>
          </w:p>
        </w:tc>
        <w:tc>
          <w:tcPr>
            <w:tcW w:w="101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5627BB5">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w:t>
            </w:r>
          </w:p>
        </w:tc>
        <w:tc>
          <w:tcPr>
            <w:tcW w:w="89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363EFD">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10</w:t>
            </w:r>
          </w:p>
        </w:tc>
        <w:tc>
          <w:tcPr>
            <w:tcW w:w="14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12CF9F">
            <w:pPr>
              <w:spacing w:beforeLines="0" w:afterLines="0" w:line="300" w:lineRule="exact"/>
              <w:jc w:val="center"/>
              <w:rPr>
                <w:rFonts w:hint="default"/>
                <w:color w:val="000000"/>
                <w:sz w:val="18"/>
                <w:szCs w:val="18"/>
              </w:rPr>
            </w:pPr>
            <w:r>
              <w:rPr>
                <w:rFonts w:hint="eastAsia"/>
                <w:color w:val="000000"/>
                <w:sz w:val="18"/>
                <w:szCs w:val="18"/>
              </w:rPr>
              <w:t>85</w:t>
            </w:r>
          </w:p>
        </w:tc>
      </w:tr>
      <w:tr w14:paraId="3DD2B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933" w:type="dxa"/>
            <w:vMerge w:val="continue"/>
            <w:tcBorders>
              <w:top w:val="single" w:color="000000" w:sz="4" w:space="0"/>
              <w:left w:val="single" w:color="000000" w:sz="4" w:space="0"/>
              <w:bottom w:val="single" w:color="000000" w:sz="4" w:space="0"/>
              <w:right w:val="nil"/>
              <w:tl2br w:val="nil"/>
              <w:tr2bl w:val="nil"/>
            </w:tcBorders>
            <w:noWrap w:val="0"/>
            <w:vAlign w:val="center"/>
          </w:tcPr>
          <w:p w14:paraId="73AAF439">
            <w:pPr>
              <w:spacing w:beforeLines="0" w:afterLines="0" w:line="300" w:lineRule="exact"/>
              <w:jc w:val="center"/>
              <w:rPr>
                <w:rFonts w:hint="default"/>
                <w:color w:val="000000"/>
                <w:sz w:val="18"/>
                <w:szCs w:val="18"/>
              </w:rPr>
            </w:pPr>
          </w:p>
        </w:tc>
        <w:tc>
          <w:tcPr>
            <w:tcW w:w="72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ABD7C3">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成本指标</w:t>
            </w:r>
          </w:p>
        </w:tc>
        <w:tc>
          <w:tcPr>
            <w:tcW w:w="11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EA7F37">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经济成本指标</w:t>
            </w:r>
          </w:p>
        </w:tc>
        <w:tc>
          <w:tcPr>
            <w:tcW w:w="1257" w:type="dxa"/>
            <w:tcBorders>
              <w:top w:val="single" w:color="000000" w:sz="4" w:space="0"/>
              <w:left w:val="nil"/>
              <w:bottom w:val="single" w:color="000000" w:sz="4" w:space="0"/>
              <w:right w:val="single" w:color="000000" w:sz="4" w:space="0"/>
              <w:tl2br w:val="nil"/>
              <w:tr2bl w:val="nil"/>
            </w:tcBorders>
            <w:noWrap w:val="0"/>
            <w:vAlign w:val="center"/>
          </w:tcPr>
          <w:p w14:paraId="605CE233">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金额</w:t>
            </w:r>
          </w:p>
        </w:tc>
        <w:tc>
          <w:tcPr>
            <w:tcW w:w="107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F8790A">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w:t>
            </w:r>
          </w:p>
        </w:tc>
        <w:tc>
          <w:tcPr>
            <w:tcW w:w="92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E2FB79">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10.00</w:t>
            </w:r>
          </w:p>
        </w:tc>
        <w:tc>
          <w:tcPr>
            <w:tcW w:w="101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3ED030">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万元</w:t>
            </w:r>
          </w:p>
        </w:tc>
        <w:tc>
          <w:tcPr>
            <w:tcW w:w="89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826BD0">
            <w:pPr>
              <w:widowControl/>
              <w:spacing w:beforeLines="0" w:afterLines="0"/>
              <w:jc w:val="center"/>
              <w:textAlignment w:val="center"/>
              <w:rPr>
                <w:rFonts w:hint="default"/>
                <w:color w:val="000000"/>
                <w:sz w:val="18"/>
                <w:szCs w:val="18"/>
              </w:rPr>
            </w:pPr>
            <w:r>
              <w:rPr>
                <w:rFonts w:hint="eastAsia" w:ascii="宋体" w:hAnsi="宋体" w:cs="宋体"/>
                <w:color w:val="000000"/>
                <w:kern w:val="0"/>
                <w:sz w:val="18"/>
                <w:szCs w:val="18"/>
              </w:rPr>
              <w:t>10</w:t>
            </w:r>
          </w:p>
        </w:tc>
        <w:tc>
          <w:tcPr>
            <w:tcW w:w="14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C92895">
            <w:pPr>
              <w:spacing w:beforeLines="0" w:afterLines="0" w:line="300" w:lineRule="exact"/>
              <w:jc w:val="center"/>
              <w:rPr>
                <w:rFonts w:hint="default"/>
                <w:color w:val="000000"/>
                <w:sz w:val="18"/>
                <w:szCs w:val="18"/>
              </w:rPr>
            </w:pPr>
            <w:r>
              <w:rPr>
                <w:rFonts w:hint="eastAsia"/>
                <w:color w:val="000000"/>
                <w:sz w:val="18"/>
                <w:szCs w:val="18"/>
              </w:rPr>
              <w:t>10</w:t>
            </w:r>
          </w:p>
        </w:tc>
      </w:tr>
    </w:tbl>
    <w:p w14:paraId="62E3ABFE">
      <w:pPr>
        <w:pStyle w:val="13"/>
        <w:spacing w:beforeLines="0" w:afterLines="0"/>
        <w:rPr>
          <w:rFonts w:hint="default"/>
          <w:sz w:val="18"/>
          <w:szCs w:val="18"/>
        </w:rPr>
      </w:pPr>
    </w:p>
    <w:p w14:paraId="193839C0">
      <w:pPr>
        <w:pStyle w:val="13"/>
        <w:spacing w:beforeLines="0" w:afterLines="0"/>
        <w:rPr>
          <w:rFonts w:hint="default"/>
          <w:sz w:val="18"/>
          <w:szCs w:val="18"/>
        </w:rPr>
      </w:pPr>
    </w:p>
    <w:p w14:paraId="2F87C52D">
      <w:pPr>
        <w:pStyle w:val="13"/>
        <w:spacing w:beforeLines="0" w:afterLines="0"/>
        <w:rPr>
          <w:rFonts w:hint="default"/>
          <w:sz w:val="18"/>
          <w:szCs w:val="18"/>
        </w:rPr>
      </w:pPr>
    </w:p>
    <w:tbl>
      <w:tblPr>
        <w:tblStyle w:val="1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3541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l2br w:val="nil"/>
              <w:tr2bl w:val="nil"/>
            </w:tcBorders>
            <w:noWrap w:val="0"/>
            <w:vAlign w:val="center"/>
          </w:tcPr>
          <w:p w14:paraId="19E0AFA9">
            <w:pPr>
              <w:widowControl/>
              <w:spacing w:beforeLines="0" w:afterLines="0" w:line="600" w:lineRule="exact"/>
              <w:jc w:val="center"/>
              <w:textAlignment w:val="center"/>
              <w:rPr>
                <w:rFonts w:hint="default" w:eastAsia="黑体"/>
                <w:color w:val="000000"/>
                <w:sz w:val="30"/>
                <w:szCs w:val="30"/>
              </w:rPr>
            </w:pPr>
            <w:r>
              <w:rPr>
                <w:rFonts w:hint="eastAsia" w:eastAsia="微软雅黑"/>
                <w:color w:val="000000"/>
                <w:kern w:val="0"/>
                <w:sz w:val="40"/>
                <w:szCs w:val="40"/>
              </w:rPr>
              <w:t>专项预算项目绩效目标完成情况自评表</w:t>
            </w:r>
          </w:p>
        </w:tc>
      </w:tr>
      <w:tr w14:paraId="49DCB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31DE59">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项目名称</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207E70">
            <w:pPr>
              <w:spacing w:beforeLines="0" w:afterLines="0" w:line="300" w:lineRule="exact"/>
              <w:jc w:val="center"/>
              <w:rPr>
                <w:rFonts w:hint="default"/>
                <w:color w:val="000000"/>
                <w:sz w:val="18"/>
                <w:szCs w:val="18"/>
              </w:rPr>
            </w:pPr>
            <w:r>
              <w:rPr>
                <w:rFonts w:hint="eastAsia"/>
                <w:color w:val="000000"/>
                <w:sz w:val="18"/>
                <w:szCs w:val="18"/>
              </w:rPr>
              <w:t>51322326T000014387248-2025年茂县南新镇大气环境保护项目</w:t>
            </w:r>
          </w:p>
        </w:tc>
      </w:tr>
      <w:tr w14:paraId="6D1F9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00A964">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预算单位</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B097DF">
            <w:pPr>
              <w:spacing w:beforeLines="0" w:afterLines="0" w:line="300" w:lineRule="exact"/>
              <w:jc w:val="center"/>
              <w:rPr>
                <w:rFonts w:hint="default"/>
                <w:color w:val="000000"/>
                <w:sz w:val="18"/>
                <w:szCs w:val="18"/>
              </w:rPr>
            </w:pPr>
            <w:r>
              <w:rPr>
                <w:rFonts w:hint="eastAsia"/>
                <w:color w:val="000000"/>
                <w:sz w:val="18"/>
                <w:szCs w:val="18"/>
              </w:rPr>
              <w:t>茂县南新镇人民政府（行政）</w:t>
            </w:r>
          </w:p>
        </w:tc>
      </w:tr>
      <w:tr w14:paraId="777B0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FF45FB">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项目类型</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3E74DC">
            <w:pPr>
              <w:spacing w:beforeLines="0" w:afterLines="0" w:line="300" w:lineRule="exact"/>
              <w:jc w:val="left"/>
              <w:rPr>
                <w:rFonts w:hint="default"/>
                <w:color w:val="000000"/>
                <w:sz w:val="18"/>
                <w:szCs w:val="18"/>
              </w:rPr>
            </w:pPr>
          </w:p>
        </w:tc>
      </w:tr>
      <w:tr w14:paraId="32AEC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748055">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项目 概况</w:t>
            </w: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8C0755">
            <w:pPr>
              <w:widowControl/>
              <w:spacing w:beforeLines="0" w:afterLines="0" w:line="300" w:lineRule="exact"/>
              <w:jc w:val="left"/>
              <w:textAlignment w:val="center"/>
              <w:rPr>
                <w:rFonts w:hint="default"/>
                <w:color w:val="000000"/>
                <w:kern w:val="0"/>
                <w:sz w:val="18"/>
                <w:szCs w:val="18"/>
              </w:rPr>
            </w:pPr>
            <w:r>
              <w:rPr>
                <w:rFonts w:hint="eastAsia"/>
                <w:color w:val="000000"/>
                <w:kern w:val="0"/>
                <w:sz w:val="18"/>
                <w:szCs w:val="18"/>
              </w:rPr>
              <w:t>中长期规划（名称、文号，仅指</w:t>
            </w:r>
          </w:p>
          <w:p w14:paraId="5E26AA3A">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常年项目）</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AFB5BA">
            <w:pPr>
              <w:spacing w:beforeLines="0" w:afterLines="0" w:line="300" w:lineRule="exact"/>
              <w:jc w:val="left"/>
              <w:rPr>
                <w:rFonts w:hint="default"/>
                <w:color w:val="000000"/>
                <w:sz w:val="18"/>
                <w:szCs w:val="18"/>
              </w:rPr>
            </w:pPr>
          </w:p>
        </w:tc>
      </w:tr>
      <w:tr w14:paraId="33844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C1387A">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E9B520">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79960F">
            <w:pPr>
              <w:spacing w:beforeLines="0" w:afterLines="0" w:line="300" w:lineRule="exact"/>
              <w:jc w:val="left"/>
              <w:rPr>
                <w:rFonts w:hint="default"/>
                <w:color w:val="000000"/>
                <w:sz w:val="18"/>
                <w:szCs w:val="18"/>
              </w:rPr>
            </w:pPr>
          </w:p>
        </w:tc>
      </w:tr>
      <w:tr w14:paraId="6CAC4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9BCAB7">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1FE781">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绩效分配方式</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208B453">
            <w:pPr>
              <w:widowControl/>
              <w:spacing w:beforeLines="0" w:afterLines="0" w:line="300" w:lineRule="exact"/>
              <w:jc w:val="left"/>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w:t>
            </w:r>
          </w:p>
        </w:tc>
        <w:tc>
          <w:tcPr>
            <w:tcW w:w="203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5566F1">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default" w:ascii="Wingdings 2" w:hAnsi="Wingdings 2" w:eastAsia="Wingdings 2"/>
                <w:color w:val="000000"/>
                <w:kern w:val="0"/>
                <w:sz w:val="18"/>
                <w:szCs w:val="18"/>
              </w:rPr>
              <w:t>项目法</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EF41D2">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据实据效</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86A902">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因素法与项目法相结合</w:t>
            </w:r>
          </w:p>
        </w:tc>
      </w:tr>
      <w:tr w14:paraId="295E3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548C32">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11D07F1A">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立项依据</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A34DC8">
            <w:pPr>
              <w:spacing w:beforeLines="0" w:afterLines="0" w:line="300" w:lineRule="exact"/>
              <w:jc w:val="left"/>
              <w:rPr>
                <w:rFonts w:hint="default"/>
                <w:color w:val="000000"/>
                <w:sz w:val="18"/>
                <w:szCs w:val="18"/>
              </w:rPr>
            </w:pPr>
          </w:p>
        </w:tc>
      </w:tr>
      <w:tr w14:paraId="02ED0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9EF651">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D6FEE7">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使用范围</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127BF1">
            <w:pPr>
              <w:spacing w:beforeLines="0" w:afterLines="0" w:line="300" w:lineRule="exact"/>
              <w:jc w:val="left"/>
              <w:rPr>
                <w:rFonts w:hint="default"/>
                <w:color w:val="000000"/>
                <w:sz w:val="18"/>
                <w:szCs w:val="18"/>
              </w:rPr>
            </w:pPr>
          </w:p>
        </w:tc>
      </w:tr>
      <w:tr w14:paraId="2DB82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747D50">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229B6E19">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申报（补助）条件</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C1960D">
            <w:pPr>
              <w:spacing w:beforeLines="0" w:afterLines="0" w:line="300" w:lineRule="exact"/>
              <w:jc w:val="left"/>
              <w:rPr>
                <w:rFonts w:hint="default"/>
                <w:color w:val="000000"/>
                <w:sz w:val="18"/>
                <w:szCs w:val="18"/>
              </w:rPr>
            </w:pPr>
          </w:p>
        </w:tc>
      </w:tr>
      <w:tr w14:paraId="47548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B41B5A">
            <w:pPr>
              <w:spacing w:beforeLines="0" w:afterLines="0" w:line="300" w:lineRule="exact"/>
              <w:rPr>
                <w:rFonts w:hint="default"/>
                <w:color w:val="000000"/>
                <w:sz w:val="18"/>
                <w:szCs w:val="18"/>
              </w:rPr>
            </w:pPr>
          </w:p>
        </w:tc>
        <w:tc>
          <w:tcPr>
            <w:tcW w:w="3643"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2E8FC8">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项目起止年限</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C4964E">
            <w:pPr>
              <w:spacing w:beforeLines="0" w:afterLines="0" w:line="300" w:lineRule="exact"/>
              <w:jc w:val="center"/>
              <w:rPr>
                <w:rFonts w:hint="default"/>
                <w:color w:val="000000"/>
                <w:sz w:val="18"/>
                <w:szCs w:val="18"/>
              </w:rPr>
            </w:pPr>
            <w:r>
              <w:rPr>
                <w:rFonts w:hint="eastAsia"/>
                <w:color w:val="000000"/>
                <w:sz w:val="18"/>
                <w:szCs w:val="18"/>
              </w:rPr>
              <w:t>2025.1-2025.12</w:t>
            </w:r>
          </w:p>
        </w:tc>
      </w:tr>
      <w:tr w14:paraId="4DEB3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982215">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项目资金</w:t>
            </w:r>
          </w:p>
          <w:p w14:paraId="34B752C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（万元）</w:t>
            </w: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E99C71">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年度资金总额：</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2CAB06">
            <w:pPr>
              <w:spacing w:beforeLines="0" w:afterLines="0" w:line="300" w:lineRule="exact"/>
              <w:jc w:val="center"/>
              <w:rPr>
                <w:rFonts w:hint="default"/>
                <w:color w:val="000000"/>
                <w:sz w:val="18"/>
                <w:szCs w:val="18"/>
              </w:rPr>
            </w:pPr>
            <w:r>
              <w:rPr>
                <w:rFonts w:hint="eastAsia"/>
                <w:color w:val="000000"/>
                <w:sz w:val="18"/>
                <w:szCs w:val="18"/>
              </w:rPr>
              <w:t>10</w:t>
            </w:r>
          </w:p>
        </w:tc>
      </w:tr>
      <w:tr w14:paraId="1963C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3EE63D">
            <w:pPr>
              <w:spacing w:beforeLines="0" w:afterLines="0" w:line="300" w:lineRule="exact"/>
              <w:rPr>
                <w:rFonts w:hint="default"/>
                <w:color w:val="000000"/>
                <w:sz w:val="18"/>
                <w:szCs w:val="18"/>
              </w:rPr>
            </w:pP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DD51FD">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其中：财政拨款</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4395AB">
            <w:pPr>
              <w:spacing w:beforeLines="0" w:afterLines="0" w:line="300" w:lineRule="exact"/>
              <w:jc w:val="center"/>
              <w:rPr>
                <w:rFonts w:hint="default"/>
                <w:color w:val="000000"/>
                <w:sz w:val="18"/>
                <w:szCs w:val="18"/>
              </w:rPr>
            </w:pPr>
            <w:r>
              <w:rPr>
                <w:rFonts w:hint="eastAsia"/>
                <w:color w:val="000000"/>
                <w:sz w:val="18"/>
                <w:szCs w:val="18"/>
              </w:rPr>
              <w:t>10</w:t>
            </w:r>
          </w:p>
        </w:tc>
      </w:tr>
      <w:tr w14:paraId="583B1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0E7298">
            <w:pPr>
              <w:spacing w:beforeLines="0" w:afterLines="0" w:line="300" w:lineRule="exact"/>
              <w:rPr>
                <w:rFonts w:hint="default"/>
                <w:color w:val="000000"/>
                <w:sz w:val="18"/>
                <w:szCs w:val="18"/>
              </w:rPr>
            </w:pP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667248">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其他资金</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168472">
            <w:pPr>
              <w:spacing w:beforeLines="0" w:afterLines="0" w:line="300" w:lineRule="exact"/>
              <w:jc w:val="right"/>
              <w:rPr>
                <w:rFonts w:hint="default"/>
                <w:color w:val="000000"/>
                <w:sz w:val="18"/>
                <w:szCs w:val="18"/>
              </w:rPr>
            </w:pPr>
          </w:p>
        </w:tc>
      </w:tr>
      <w:tr w14:paraId="0A63D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E5177A">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总体 目标</w:t>
            </w:r>
          </w:p>
        </w:tc>
        <w:tc>
          <w:tcPr>
            <w:tcW w:w="9581"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0A23F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年度目标</w:t>
            </w:r>
          </w:p>
        </w:tc>
      </w:tr>
      <w:tr w14:paraId="4833E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226990">
            <w:pPr>
              <w:spacing w:beforeLines="0" w:afterLines="0" w:line="300" w:lineRule="exact"/>
              <w:rPr>
                <w:rFonts w:hint="default"/>
                <w:color w:val="000000"/>
                <w:sz w:val="18"/>
                <w:szCs w:val="18"/>
              </w:rPr>
            </w:pPr>
          </w:p>
        </w:tc>
        <w:tc>
          <w:tcPr>
            <w:tcW w:w="9581"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85101A">
            <w:pPr>
              <w:autoSpaceDE w:val="0"/>
              <w:autoSpaceDN w:val="0"/>
              <w:adjustRightInd w:val="0"/>
              <w:spacing w:beforeLines="0" w:afterLines="0" w:line="560" w:lineRule="exact"/>
              <w:ind w:firstLine="270" w:firstLineChars="150"/>
              <w:rPr>
                <w:rFonts w:hint="eastAsia" w:ascii="仿宋_GB2312" w:hAnsi="仿宋_GB2312" w:eastAsia="仿宋_GB2312" w:cs="仿宋_GB2312"/>
                <w:kern w:val="0"/>
                <w:sz w:val="18"/>
                <w:szCs w:val="18"/>
                <w:shd w:val="clear" w:color="auto" w:fill="FFFFFF"/>
                <w:lang w:val="zh-CN"/>
              </w:rPr>
            </w:pPr>
            <w:r>
              <w:rPr>
                <w:rFonts w:hint="eastAsia" w:ascii="仿宋_GB2312" w:hAnsi="宋体"/>
                <w:sz w:val="18"/>
                <w:szCs w:val="18"/>
              </w:rPr>
              <w:t>改善环境质量，提升居民生活幸福感与社会文明程度，还能为镇域长期生态环保工作奠定基础，具有显著环境、社会和可持续性效益。</w:t>
            </w:r>
          </w:p>
          <w:p w14:paraId="71FC13EB">
            <w:pPr>
              <w:spacing w:beforeLines="0" w:afterLines="0" w:line="300" w:lineRule="exact"/>
              <w:rPr>
                <w:rFonts w:hint="default"/>
                <w:color w:val="000000"/>
                <w:sz w:val="18"/>
                <w:szCs w:val="18"/>
              </w:rPr>
            </w:pPr>
          </w:p>
        </w:tc>
      </w:tr>
      <w:tr w14:paraId="4E32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l2br w:val="nil"/>
              <w:tr2bl w:val="nil"/>
            </w:tcBorders>
            <w:noWrap w:val="0"/>
            <w:vAlign w:val="center"/>
          </w:tcPr>
          <w:p w14:paraId="65EF662F">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绩效 指标</w:t>
            </w:r>
          </w:p>
        </w:tc>
        <w:tc>
          <w:tcPr>
            <w:tcW w:w="108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92CB324">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一级指标</w:t>
            </w: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02EB18">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二级指标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0B37C0">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三级指标</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A7B45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指标性质</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E5B86AF">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指标值</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99D663">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度量单位</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E9F65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权重</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431F01">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实际完成指标值</w:t>
            </w:r>
          </w:p>
        </w:tc>
      </w:tr>
      <w:tr w14:paraId="248B6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24DBADA3">
            <w:pPr>
              <w:spacing w:beforeLines="0" w:afterLines="0" w:line="300" w:lineRule="exact"/>
              <w:jc w:val="center"/>
              <w:rPr>
                <w:rFonts w:hint="default"/>
                <w:color w:val="000000"/>
                <w:sz w:val="18"/>
                <w:szCs w:val="18"/>
              </w:rPr>
            </w:pPr>
          </w:p>
        </w:tc>
        <w:tc>
          <w:tcPr>
            <w:tcW w:w="1081"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6CC515">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产出指标</w:t>
            </w: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98383AE">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tbl>
            <w:tblPr>
              <w:tblStyle w:val="19"/>
              <w:tblW w:w="11208"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7"/>
              <w:gridCol w:w="9301"/>
              <w:gridCol w:w="1860"/>
            </w:tblGrid>
            <w:tr w14:paraId="1AA86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7" w:type="dxa"/>
                  <w:tcBorders>
                    <w:top w:val="nil"/>
                    <w:left w:val="nil"/>
                    <w:bottom w:val="nil"/>
                    <w:right w:val="nil"/>
                    <w:tl2br w:val="nil"/>
                    <w:tr2bl w:val="nil"/>
                  </w:tcBorders>
                  <w:noWrap w:val="0"/>
                  <w:vAlign w:val="center"/>
                </w:tcPr>
                <w:p w14:paraId="67218075">
                  <w:pPr>
                    <w:widowControl/>
                    <w:spacing w:beforeLines="0" w:afterLines="0"/>
                    <w:jc w:val="left"/>
                    <w:rPr>
                      <w:rFonts w:hint="eastAsia" w:ascii="宋体" w:hAnsi="宋体" w:cs="宋体"/>
                      <w:kern w:val="0"/>
                      <w:sz w:val="18"/>
                      <w:szCs w:val="18"/>
                    </w:rPr>
                  </w:pPr>
                </w:p>
              </w:tc>
              <w:tc>
                <w:tcPr>
                  <w:tcW w:w="9301" w:type="dxa"/>
                  <w:tcBorders>
                    <w:top w:val="nil"/>
                    <w:left w:val="nil"/>
                    <w:bottom w:val="nil"/>
                    <w:right w:val="nil"/>
                    <w:tl2br w:val="nil"/>
                    <w:tr2bl w:val="nil"/>
                  </w:tcBorders>
                  <w:noWrap w:val="0"/>
                  <w:vAlign w:val="center"/>
                </w:tcPr>
                <w:p w14:paraId="63043B92">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涉及村个数</w:t>
                  </w:r>
                </w:p>
              </w:tc>
              <w:tc>
                <w:tcPr>
                  <w:tcW w:w="1860" w:type="dxa"/>
                  <w:tcBorders>
                    <w:top w:val="nil"/>
                    <w:left w:val="nil"/>
                    <w:bottom w:val="nil"/>
                    <w:right w:val="nil"/>
                    <w:tl2br w:val="nil"/>
                    <w:tr2bl w:val="nil"/>
                  </w:tcBorders>
                  <w:noWrap w:val="0"/>
                  <w:vAlign w:val="center"/>
                </w:tcPr>
                <w:p w14:paraId="62307F5D">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w:t>
                  </w:r>
                </w:p>
              </w:tc>
            </w:tr>
          </w:tbl>
          <w:p w14:paraId="49F7C6E3">
            <w:pPr>
              <w:spacing w:beforeLines="0" w:afterLines="0"/>
              <w:jc w:val="left"/>
              <w:rPr>
                <w:rFonts w:hint="eastAsia" w:ascii="宋体" w:hAnsi="宋体" w:cs="宋体"/>
                <w:kern w:val="0"/>
                <w:sz w:val="18"/>
                <w:szCs w:val="18"/>
              </w:rPr>
            </w:pP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242EE2">
            <w:pPr>
              <w:spacing w:beforeLines="0" w:afterLines="0"/>
              <w:jc w:val="left"/>
              <w:rPr>
                <w:rFonts w:hint="eastAsia" w:ascii="宋体" w:hAnsi="宋体" w:cs="宋体"/>
                <w:kern w:val="0"/>
                <w:sz w:val="18"/>
                <w:szCs w:val="18"/>
              </w:rPr>
            </w:pPr>
            <w:r>
              <w:rPr>
                <w:rFonts w:hint="eastAsia" w:ascii="宋体" w:hAnsi="宋体" w:cs="宋体"/>
                <w:kern w:val="0"/>
                <w:sz w:val="18"/>
                <w:szCs w:val="18"/>
              </w:rPr>
              <w:t>小于等于</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6BA793">
            <w:pPr>
              <w:spacing w:beforeLines="0" w:afterLines="0"/>
              <w:jc w:val="left"/>
              <w:rPr>
                <w:rFonts w:hint="eastAsia" w:ascii="宋体" w:hAnsi="宋体" w:cs="宋体"/>
                <w:kern w:val="0"/>
                <w:sz w:val="18"/>
                <w:szCs w:val="18"/>
              </w:rPr>
            </w:pPr>
            <w:r>
              <w:rPr>
                <w:rFonts w:hint="eastAsia" w:ascii="宋体" w:hAnsi="宋体" w:cs="宋体"/>
                <w:kern w:val="0"/>
                <w:sz w:val="18"/>
                <w:szCs w:val="18"/>
              </w:rPr>
              <w:t>8</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ED1169">
            <w:pPr>
              <w:spacing w:beforeLines="0" w:afterLines="0"/>
              <w:jc w:val="left"/>
              <w:rPr>
                <w:rFonts w:hint="eastAsia" w:ascii="宋体" w:hAnsi="宋体" w:cs="宋体"/>
                <w:kern w:val="0"/>
                <w:sz w:val="18"/>
                <w:szCs w:val="18"/>
              </w:rPr>
            </w:pPr>
            <w:r>
              <w:rPr>
                <w:rFonts w:hint="eastAsia" w:ascii="宋体" w:hAnsi="宋体" w:cs="宋体"/>
                <w:kern w:val="0"/>
                <w:sz w:val="18"/>
                <w:szCs w:val="18"/>
              </w:rPr>
              <w:t>个</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14ABC0">
            <w:pPr>
              <w:spacing w:beforeLines="0" w:afterLines="0"/>
              <w:jc w:val="left"/>
              <w:rPr>
                <w:rFonts w:hint="eastAsia" w:ascii="宋体" w:hAnsi="宋体" w:cs="宋体"/>
                <w:kern w:val="0"/>
                <w:sz w:val="18"/>
                <w:szCs w:val="18"/>
              </w:rPr>
            </w:pPr>
            <w:r>
              <w:rPr>
                <w:rFonts w:hint="eastAsia" w:ascii="宋体" w:hAnsi="宋体" w:cs="宋体"/>
                <w:kern w:val="0"/>
                <w:sz w:val="18"/>
                <w:szCs w:val="18"/>
              </w:rPr>
              <w:t>20</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CC2F20">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4</w:t>
            </w:r>
          </w:p>
        </w:tc>
      </w:tr>
      <w:tr w14:paraId="4B449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0BF00DE8">
            <w:pPr>
              <w:spacing w:beforeLines="0" w:afterLines="0" w:line="300" w:lineRule="exact"/>
              <w:jc w:val="center"/>
              <w:rPr>
                <w:rFonts w:hint="default"/>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A81392A">
            <w:pPr>
              <w:spacing w:beforeLines="0" w:afterLines="0" w:line="300" w:lineRule="exact"/>
              <w:jc w:val="center"/>
              <w:rPr>
                <w:rFonts w:hint="default"/>
                <w:color w:val="000000"/>
                <w:sz w:val="18"/>
                <w:szCs w:val="18"/>
              </w:rPr>
            </w:pP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574F17">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质量指标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05D0B1">
            <w:pPr>
              <w:widowControl/>
              <w:spacing w:beforeLines="0" w:afterLines="0"/>
              <w:jc w:val="left"/>
              <w:rPr>
                <w:rFonts w:hint="eastAsia" w:ascii="宋体" w:hAnsi="宋体" w:cs="宋体"/>
                <w:kern w:val="0"/>
                <w:sz w:val="18"/>
                <w:szCs w:val="18"/>
              </w:rPr>
            </w:pPr>
          </w:p>
          <w:tbl>
            <w:tblPr>
              <w:tblStyle w:val="19"/>
              <w:tblW w:w="11208"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7"/>
              <w:gridCol w:w="11161"/>
            </w:tblGrid>
            <w:tr w14:paraId="4690A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7" w:type="dxa"/>
                  <w:tcBorders>
                    <w:top w:val="nil"/>
                    <w:left w:val="nil"/>
                    <w:bottom w:val="nil"/>
                    <w:right w:val="nil"/>
                    <w:tl2br w:val="nil"/>
                    <w:tr2bl w:val="nil"/>
                  </w:tcBorders>
                  <w:noWrap w:val="0"/>
                  <w:vAlign w:val="center"/>
                </w:tcPr>
                <w:p w14:paraId="02C3A9DC">
                  <w:pPr>
                    <w:widowControl/>
                    <w:spacing w:beforeLines="0" w:afterLines="0"/>
                    <w:jc w:val="left"/>
                    <w:rPr>
                      <w:rFonts w:hint="eastAsia" w:ascii="宋体" w:hAnsi="宋体" w:cs="宋体"/>
                      <w:kern w:val="0"/>
                      <w:sz w:val="18"/>
                      <w:szCs w:val="18"/>
                    </w:rPr>
                  </w:pPr>
                </w:p>
              </w:tc>
              <w:tc>
                <w:tcPr>
                  <w:tcW w:w="11161" w:type="dxa"/>
                  <w:tcBorders>
                    <w:top w:val="nil"/>
                    <w:left w:val="nil"/>
                    <w:bottom w:val="nil"/>
                    <w:right w:val="nil"/>
                    <w:tl2br w:val="nil"/>
                    <w:tr2bl w:val="nil"/>
                  </w:tcBorders>
                  <w:noWrap w:val="0"/>
                  <w:vAlign w:val="center"/>
                </w:tcPr>
                <w:tbl>
                  <w:tblPr>
                    <w:tblStyle w:val="19"/>
                    <w:tblW w:w="11208"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5"/>
                    <w:gridCol w:w="8380"/>
                    <w:gridCol w:w="2793"/>
                  </w:tblGrid>
                  <w:tr w14:paraId="607DD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5" w:type="dxa"/>
                        <w:tcBorders>
                          <w:top w:val="nil"/>
                          <w:left w:val="nil"/>
                          <w:bottom w:val="nil"/>
                          <w:right w:val="nil"/>
                          <w:tl2br w:val="nil"/>
                          <w:tr2bl w:val="nil"/>
                        </w:tcBorders>
                        <w:noWrap w:val="0"/>
                        <w:vAlign w:val="center"/>
                      </w:tcPr>
                      <w:p w14:paraId="5168843D">
                        <w:pPr>
                          <w:widowControl/>
                          <w:spacing w:beforeLines="0" w:afterLines="0"/>
                          <w:jc w:val="left"/>
                          <w:rPr>
                            <w:rFonts w:hint="eastAsia" w:ascii="宋体" w:hAnsi="宋体" w:cs="宋体"/>
                            <w:kern w:val="0"/>
                            <w:sz w:val="18"/>
                            <w:szCs w:val="18"/>
                          </w:rPr>
                        </w:pPr>
                      </w:p>
                    </w:tc>
                    <w:tc>
                      <w:tcPr>
                        <w:tcW w:w="8380" w:type="dxa"/>
                        <w:tcBorders>
                          <w:top w:val="nil"/>
                          <w:left w:val="nil"/>
                          <w:bottom w:val="nil"/>
                          <w:right w:val="nil"/>
                          <w:tl2br w:val="nil"/>
                          <w:tr2bl w:val="nil"/>
                        </w:tcBorders>
                        <w:noWrap w:val="0"/>
                        <w:vAlign w:val="center"/>
                      </w:tcPr>
                      <w:p w14:paraId="5B95A7C3">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项目完成质量</w:t>
                        </w:r>
                      </w:p>
                    </w:tc>
                    <w:tc>
                      <w:tcPr>
                        <w:tcW w:w="2793" w:type="dxa"/>
                        <w:tcBorders>
                          <w:top w:val="nil"/>
                          <w:left w:val="nil"/>
                          <w:bottom w:val="nil"/>
                          <w:right w:val="nil"/>
                          <w:tl2br w:val="nil"/>
                          <w:tr2bl w:val="nil"/>
                        </w:tcBorders>
                        <w:noWrap w:val="0"/>
                        <w:vAlign w:val="center"/>
                      </w:tcPr>
                      <w:p w14:paraId="6A47D8CD">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定性</w:t>
                        </w:r>
                      </w:p>
                    </w:tc>
                  </w:tr>
                </w:tbl>
                <w:p w14:paraId="75C9C752">
                  <w:pPr>
                    <w:widowControl/>
                    <w:spacing w:beforeLines="0" w:afterLines="0"/>
                    <w:jc w:val="left"/>
                    <w:rPr>
                      <w:rFonts w:hint="eastAsia" w:ascii="宋体" w:hAnsi="宋体" w:cs="宋体"/>
                      <w:kern w:val="0"/>
                      <w:sz w:val="18"/>
                      <w:szCs w:val="18"/>
                    </w:rPr>
                  </w:pPr>
                </w:p>
              </w:tc>
            </w:tr>
          </w:tbl>
          <w:p w14:paraId="2CFA53DC">
            <w:pPr>
              <w:widowControl/>
              <w:spacing w:beforeLines="0" w:afterLines="0"/>
              <w:jc w:val="left"/>
              <w:rPr>
                <w:rFonts w:hint="eastAsia" w:ascii="宋体" w:hAnsi="宋体" w:cs="宋体"/>
                <w:kern w:val="0"/>
                <w:sz w:val="18"/>
                <w:szCs w:val="18"/>
              </w:rPr>
            </w:pP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F57F0A">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大于等于</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20B853">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85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E3A1F0">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71297CF">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10</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2AA5F1">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85</w:t>
            </w:r>
          </w:p>
        </w:tc>
      </w:tr>
      <w:tr w14:paraId="7A27E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3BA89627">
            <w:pPr>
              <w:spacing w:beforeLines="0" w:afterLines="0" w:line="300" w:lineRule="exact"/>
              <w:jc w:val="center"/>
              <w:rPr>
                <w:rFonts w:hint="default"/>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CEDBA1">
            <w:pPr>
              <w:spacing w:beforeLines="0" w:afterLines="0" w:line="300" w:lineRule="exact"/>
              <w:jc w:val="center"/>
              <w:rPr>
                <w:rFonts w:hint="default"/>
                <w:color w:val="000000"/>
                <w:sz w:val="18"/>
                <w:szCs w:val="18"/>
              </w:rPr>
            </w:pP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4AF340">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时效指标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CD9E14">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项目完成时间</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5B7E09">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tbl>
            <w:tblPr>
              <w:tblStyle w:val="19"/>
              <w:tblW w:w="11208"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11"/>
              <w:gridCol w:w="2219"/>
              <w:gridCol w:w="4439"/>
              <w:gridCol w:w="4439"/>
            </w:tblGrid>
            <w:tr w14:paraId="2DCA9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11" w:type="dxa"/>
                  <w:tcBorders>
                    <w:top w:val="nil"/>
                    <w:left w:val="nil"/>
                    <w:bottom w:val="nil"/>
                    <w:right w:val="nil"/>
                    <w:tl2br w:val="nil"/>
                    <w:tr2bl w:val="nil"/>
                  </w:tcBorders>
                  <w:noWrap w:val="0"/>
                  <w:vAlign w:val="center"/>
                </w:tcPr>
                <w:p w14:paraId="1D855160">
                  <w:pPr>
                    <w:widowControl/>
                    <w:spacing w:beforeLines="0" w:afterLines="0"/>
                    <w:jc w:val="left"/>
                    <w:rPr>
                      <w:rFonts w:hint="eastAsia" w:ascii="宋体" w:hAnsi="宋体" w:cs="宋体"/>
                      <w:kern w:val="0"/>
                      <w:sz w:val="18"/>
                      <w:szCs w:val="18"/>
                    </w:rPr>
                  </w:pPr>
                </w:p>
              </w:tc>
              <w:tc>
                <w:tcPr>
                  <w:tcW w:w="2219" w:type="dxa"/>
                  <w:tcBorders>
                    <w:top w:val="nil"/>
                    <w:left w:val="nil"/>
                    <w:bottom w:val="nil"/>
                    <w:right w:val="nil"/>
                    <w:tl2br w:val="nil"/>
                    <w:tr2bl w:val="nil"/>
                  </w:tcBorders>
                  <w:noWrap w:val="0"/>
                  <w:vAlign w:val="center"/>
                </w:tcPr>
                <w:p w14:paraId="3C2270AC">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1</w:t>
                  </w:r>
                </w:p>
              </w:tc>
              <w:tc>
                <w:tcPr>
                  <w:tcW w:w="4439" w:type="dxa"/>
                  <w:tcBorders>
                    <w:top w:val="nil"/>
                    <w:left w:val="nil"/>
                    <w:bottom w:val="nil"/>
                    <w:right w:val="nil"/>
                    <w:tl2br w:val="nil"/>
                    <w:tr2bl w:val="nil"/>
                  </w:tcBorders>
                  <w:noWrap w:val="0"/>
                  <w:vAlign w:val="center"/>
                </w:tcPr>
                <w:p w14:paraId="0557128F">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年</w:t>
                  </w:r>
                </w:p>
              </w:tc>
              <w:tc>
                <w:tcPr>
                  <w:tcW w:w="4439" w:type="dxa"/>
                  <w:tcBorders>
                    <w:top w:val="nil"/>
                    <w:left w:val="nil"/>
                    <w:bottom w:val="nil"/>
                    <w:right w:val="nil"/>
                    <w:tl2br w:val="nil"/>
                    <w:tr2bl w:val="nil"/>
                  </w:tcBorders>
                  <w:noWrap w:val="0"/>
                  <w:vAlign w:val="center"/>
                </w:tcPr>
                <w:p w14:paraId="39234BAD">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10</w:t>
                  </w:r>
                </w:p>
              </w:tc>
            </w:tr>
          </w:tbl>
          <w:p w14:paraId="1F47EB89">
            <w:pPr>
              <w:widowControl/>
              <w:spacing w:beforeLines="0" w:afterLines="0"/>
              <w:jc w:val="left"/>
              <w:rPr>
                <w:rFonts w:hint="eastAsia" w:ascii="宋体" w:hAnsi="宋体" w:cs="宋体"/>
                <w:kern w:val="0"/>
                <w:sz w:val="18"/>
                <w:szCs w:val="18"/>
              </w:rPr>
            </w:pP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4B9A6F">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年</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01E36A">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10</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F38110">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1</w:t>
            </w:r>
          </w:p>
        </w:tc>
      </w:tr>
      <w:tr w14:paraId="53B29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08635ACF">
            <w:pPr>
              <w:spacing w:beforeLines="0" w:afterLines="0" w:line="300" w:lineRule="exact"/>
              <w:jc w:val="center"/>
              <w:rPr>
                <w:rFonts w:hint="default"/>
                <w:color w:val="000000"/>
                <w:sz w:val="18"/>
                <w:szCs w:val="18"/>
              </w:rPr>
            </w:pPr>
          </w:p>
        </w:tc>
        <w:tc>
          <w:tcPr>
            <w:tcW w:w="1081"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073D22">
            <w:pPr>
              <w:spacing w:beforeLines="0" w:afterLines="0" w:line="300" w:lineRule="exact"/>
              <w:jc w:val="center"/>
              <w:rPr>
                <w:rFonts w:hint="default"/>
                <w:color w:val="000000"/>
                <w:sz w:val="18"/>
                <w:szCs w:val="18"/>
              </w:rPr>
            </w:pP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90653F">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成本指标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35AFE9">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投入资金</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D4F46E">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BA0A0E">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10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916AF5">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万元</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0EF184">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10</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D9AE68">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10</w:t>
            </w:r>
          </w:p>
        </w:tc>
      </w:tr>
      <w:tr w14:paraId="78339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35E3D4FA">
            <w:pPr>
              <w:spacing w:beforeLines="0" w:afterLines="0" w:line="300" w:lineRule="exact"/>
              <w:jc w:val="center"/>
              <w:rPr>
                <w:rFonts w:hint="default"/>
                <w:color w:val="000000"/>
                <w:sz w:val="18"/>
                <w:szCs w:val="18"/>
              </w:rPr>
            </w:pPr>
          </w:p>
        </w:tc>
        <w:tc>
          <w:tcPr>
            <w:tcW w:w="108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0BA823">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效益指标</w:t>
            </w: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D2CF044">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生态效益指标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5C7DE14">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提升环境质量</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A63431">
            <w:pPr>
              <w:widowControl/>
              <w:spacing w:beforeLines="0" w:afterLines="0"/>
              <w:jc w:val="left"/>
              <w:textAlignment w:val="center"/>
              <w:rPr>
                <w:rFonts w:hint="eastAsia" w:ascii="宋体" w:hAnsi="宋体" w:cs="宋体"/>
                <w:kern w:val="0"/>
                <w:sz w:val="18"/>
                <w:szCs w:val="18"/>
              </w:rPr>
            </w:pPr>
            <w:r>
              <w:rPr>
                <w:rFonts w:hint="eastAsia" w:ascii="宋体" w:hAnsi="宋体" w:cs="宋体"/>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E08E8F">
            <w:pPr>
              <w:widowControl/>
              <w:spacing w:beforeLines="0" w:afterLines="0"/>
              <w:jc w:val="left"/>
              <w:textAlignment w:val="center"/>
              <w:rPr>
                <w:rFonts w:hint="eastAsia" w:ascii="宋体" w:hAnsi="宋体" w:cs="宋体"/>
                <w:kern w:val="0"/>
                <w:sz w:val="18"/>
                <w:szCs w:val="18"/>
              </w:rPr>
            </w:pPr>
            <w:r>
              <w:rPr>
                <w:rFonts w:hint="eastAsia" w:ascii="宋体" w:hAnsi="宋体" w:cs="宋体"/>
                <w:kern w:val="0"/>
                <w:sz w:val="18"/>
                <w:szCs w:val="18"/>
              </w:rPr>
              <w:t>高或中</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82316C">
            <w:pPr>
              <w:widowControl/>
              <w:spacing w:beforeLines="0" w:afterLines="0"/>
              <w:jc w:val="left"/>
              <w:textAlignment w:val="center"/>
              <w:rPr>
                <w:rFonts w:hint="eastAsia" w:ascii="宋体" w:hAnsi="宋体" w:cs="宋体"/>
                <w:kern w:val="0"/>
                <w:sz w:val="18"/>
                <w:szCs w:val="18"/>
              </w:rPr>
            </w:pPr>
            <w:r>
              <w:rPr>
                <w:rFonts w:hint="eastAsia" w:ascii="宋体" w:hAnsi="宋体" w:cs="宋体"/>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98BBF0">
            <w:pPr>
              <w:widowControl/>
              <w:spacing w:beforeLines="0" w:afterLines="0"/>
              <w:jc w:val="left"/>
              <w:textAlignment w:val="center"/>
              <w:rPr>
                <w:rFonts w:hint="eastAsia" w:ascii="宋体" w:hAnsi="宋体" w:cs="宋体"/>
                <w:kern w:val="0"/>
                <w:sz w:val="18"/>
                <w:szCs w:val="18"/>
              </w:rPr>
            </w:pPr>
            <w:r>
              <w:rPr>
                <w:rFonts w:hint="eastAsia" w:ascii="宋体" w:hAnsi="宋体" w:cs="宋体"/>
                <w:kern w:val="0"/>
                <w:sz w:val="18"/>
                <w:szCs w:val="18"/>
              </w:rPr>
              <w:t>15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047D9B">
            <w:pPr>
              <w:widowControl/>
              <w:spacing w:beforeLines="0" w:afterLines="0" w:line="300" w:lineRule="exact"/>
              <w:jc w:val="left"/>
              <w:textAlignment w:val="center"/>
              <w:rPr>
                <w:rFonts w:hint="eastAsia" w:ascii="宋体" w:hAnsi="宋体" w:cs="宋体"/>
                <w:kern w:val="0"/>
                <w:sz w:val="18"/>
                <w:szCs w:val="18"/>
              </w:rPr>
            </w:pPr>
            <w:r>
              <w:rPr>
                <w:rFonts w:hint="eastAsia" w:ascii="宋体" w:hAnsi="宋体" w:cs="宋体"/>
                <w:kern w:val="0"/>
                <w:sz w:val="18"/>
                <w:szCs w:val="18"/>
              </w:rPr>
              <w:t>中</w:t>
            </w:r>
          </w:p>
        </w:tc>
      </w:tr>
      <w:tr w14:paraId="0C1CF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4310F932">
            <w:pPr>
              <w:spacing w:beforeLines="0" w:afterLines="0" w:line="300" w:lineRule="exact"/>
              <w:jc w:val="center"/>
              <w:rPr>
                <w:rFonts w:hint="default"/>
                <w:color w:val="000000"/>
                <w:sz w:val="18"/>
                <w:szCs w:val="18"/>
              </w:rPr>
            </w:pPr>
          </w:p>
        </w:tc>
        <w:tc>
          <w:tcPr>
            <w:tcW w:w="1081" w:type="dxa"/>
            <w:tcBorders>
              <w:top w:val="single" w:color="000000" w:sz="4" w:space="0"/>
              <w:left w:val="single" w:color="000000" w:sz="4" w:space="0"/>
              <w:bottom w:val="nil"/>
              <w:right w:val="single" w:color="000000" w:sz="4" w:space="0"/>
              <w:tl2br w:val="nil"/>
              <w:tr2bl w:val="nil"/>
            </w:tcBorders>
            <w:noWrap w:val="0"/>
            <w:vAlign w:val="center"/>
          </w:tcPr>
          <w:p w14:paraId="499866BF">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效益指标</w:t>
            </w:r>
          </w:p>
        </w:tc>
        <w:tc>
          <w:tcPr>
            <w:tcW w:w="1250" w:type="dxa"/>
            <w:tcBorders>
              <w:top w:val="single" w:color="000000" w:sz="4" w:space="0"/>
              <w:left w:val="single" w:color="000000" w:sz="4" w:space="0"/>
              <w:bottom w:val="nil"/>
              <w:right w:val="single" w:color="000000" w:sz="4" w:space="0"/>
              <w:tl2br w:val="nil"/>
              <w:tr2bl w:val="nil"/>
            </w:tcBorders>
            <w:noWrap w:val="0"/>
            <w:vAlign w:val="center"/>
          </w:tcPr>
          <w:p w14:paraId="2D932913">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社会效益 指标</w:t>
            </w:r>
          </w:p>
        </w:tc>
        <w:tc>
          <w:tcPr>
            <w:tcW w:w="131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BC522D">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带动村级发展</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F7F707">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2DE530">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高或中</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6178CB">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其他</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41A597F">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10</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DB1B9D">
            <w:pPr>
              <w:widowControl/>
              <w:spacing w:beforeLines="0" w:afterLines="0" w:line="300" w:lineRule="exact"/>
              <w:jc w:val="left"/>
              <w:rPr>
                <w:rFonts w:hint="eastAsia" w:ascii="宋体" w:hAnsi="宋体" w:cs="宋体"/>
                <w:kern w:val="0"/>
                <w:sz w:val="18"/>
                <w:szCs w:val="18"/>
              </w:rPr>
            </w:pPr>
            <w:r>
              <w:rPr>
                <w:rFonts w:hint="eastAsia" w:ascii="宋体" w:hAnsi="宋体" w:cs="宋体"/>
                <w:kern w:val="0"/>
                <w:sz w:val="18"/>
                <w:szCs w:val="18"/>
              </w:rPr>
              <w:t>中</w:t>
            </w:r>
          </w:p>
        </w:tc>
      </w:tr>
      <w:tr w14:paraId="59A2D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l2br w:val="nil"/>
              <w:tr2bl w:val="nil"/>
            </w:tcBorders>
            <w:noWrap w:val="0"/>
            <w:vAlign w:val="center"/>
          </w:tcPr>
          <w:p w14:paraId="6481D249">
            <w:pPr>
              <w:spacing w:beforeLines="0" w:afterLines="0" w:line="300" w:lineRule="exact"/>
              <w:jc w:val="center"/>
              <w:rPr>
                <w:rFonts w:hint="default"/>
                <w:color w:val="000000"/>
                <w:sz w:val="18"/>
                <w:szCs w:val="18"/>
              </w:rPr>
            </w:pPr>
          </w:p>
        </w:tc>
        <w:tc>
          <w:tcPr>
            <w:tcW w:w="108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2B5DDC6">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满意度</w:t>
            </w:r>
          </w:p>
          <w:p w14:paraId="369DC9C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w:t>
            </w:r>
          </w:p>
        </w:tc>
        <w:tc>
          <w:tcPr>
            <w:tcW w:w="125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0B84FF">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服务对象</w:t>
            </w:r>
          </w:p>
          <w:p w14:paraId="480ABA4E">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满意度指标</w:t>
            </w:r>
          </w:p>
        </w:tc>
        <w:tc>
          <w:tcPr>
            <w:tcW w:w="1312" w:type="dxa"/>
            <w:tcBorders>
              <w:top w:val="single" w:color="000000" w:sz="4" w:space="0"/>
              <w:left w:val="nil"/>
              <w:bottom w:val="single" w:color="000000" w:sz="4" w:space="0"/>
              <w:right w:val="single" w:color="000000" w:sz="4" w:space="0"/>
              <w:tl2br w:val="nil"/>
              <w:tr2bl w:val="nil"/>
            </w:tcBorders>
            <w:noWrap w:val="0"/>
            <w:vAlign w:val="center"/>
          </w:tcPr>
          <w:p w14:paraId="318B6944">
            <w:pPr>
              <w:widowControl/>
              <w:spacing w:beforeLines="0" w:afterLines="0"/>
              <w:jc w:val="left"/>
              <w:rPr>
                <w:rFonts w:hint="eastAsia" w:ascii="宋体" w:hAnsi="宋体" w:cs="宋体"/>
                <w:kern w:val="0"/>
                <w:sz w:val="18"/>
                <w:szCs w:val="18"/>
              </w:rPr>
            </w:pPr>
            <w:r>
              <w:rPr>
                <w:rFonts w:hint="eastAsia" w:ascii="宋体" w:hAnsi="宋体" w:cs="宋体"/>
                <w:kern w:val="0"/>
                <w:sz w:val="18"/>
                <w:szCs w:val="18"/>
              </w:rPr>
              <w:t>服务对象满意度</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DF182EE">
            <w:pPr>
              <w:widowControl/>
              <w:spacing w:beforeLines="0" w:afterLines="0"/>
              <w:jc w:val="center"/>
              <w:textAlignment w:val="center"/>
              <w:rPr>
                <w:rFonts w:hint="default"/>
                <w:color w:val="000000"/>
                <w:kern w:val="0"/>
                <w:sz w:val="18"/>
                <w:szCs w:val="18"/>
              </w:rPr>
            </w:pPr>
            <w:r>
              <w:rPr>
                <w:rFonts w:hint="default"/>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96DB05">
            <w:pPr>
              <w:widowControl/>
              <w:spacing w:beforeLines="0" w:afterLines="0"/>
              <w:jc w:val="center"/>
              <w:textAlignment w:val="center"/>
              <w:rPr>
                <w:rFonts w:hint="default"/>
                <w:color w:val="000000"/>
                <w:kern w:val="0"/>
                <w:sz w:val="18"/>
                <w:szCs w:val="18"/>
              </w:rPr>
            </w:pPr>
            <w:r>
              <w:rPr>
                <w:rFonts w:hint="eastAsia"/>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FDEF02">
            <w:pPr>
              <w:widowControl/>
              <w:spacing w:beforeLines="0" w:afterLines="0"/>
              <w:jc w:val="center"/>
              <w:textAlignment w:val="center"/>
              <w:rPr>
                <w:rFonts w:hint="default"/>
                <w:color w:val="000000"/>
                <w:kern w:val="0"/>
                <w:sz w:val="18"/>
                <w:szCs w:val="18"/>
              </w:rPr>
            </w:pPr>
            <w:r>
              <w:rPr>
                <w:rFonts w:hint="eastAsia"/>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4F88BC">
            <w:pPr>
              <w:widowControl/>
              <w:spacing w:beforeLines="0" w:afterLines="0"/>
              <w:jc w:val="center"/>
              <w:textAlignment w:val="center"/>
              <w:rPr>
                <w:rFonts w:hint="default"/>
                <w:color w:val="000000"/>
                <w:kern w:val="0"/>
                <w:sz w:val="18"/>
                <w:szCs w:val="18"/>
              </w:rPr>
            </w:pPr>
            <w:r>
              <w:rPr>
                <w:rFonts w:hint="eastAsia"/>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6C18A59">
            <w:pPr>
              <w:widowControl/>
              <w:spacing w:beforeLines="0" w:afterLines="0"/>
              <w:jc w:val="center"/>
              <w:textAlignment w:val="center"/>
              <w:rPr>
                <w:rFonts w:hint="default"/>
                <w:color w:val="000000"/>
                <w:kern w:val="0"/>
                <w:sz w:val="18"/>
                <w:szCs w:val="18"/>
              </w:rPr>
            </w:pPr>
            <w:r>
              <w:rPr>
                <w:rFonts w:hint="eastAsia"/>
                <w:color w:val="000000"/>
                <w:kern w:val="0"/>
                <w:sz w:val="18"/>
                <w:szCs w:val="18"/>
              </w:rPr>
              <w:t>90</w:t>
            </w:r>
          </w:p>
        </w:tc>
      </w:tr>
    </w:tbl>
    <w:p w14:paraId="13B6C493">
      <w:pPr>
        <w:pStyle w:val="13"/>
        <w:spacing w:beforeLines="0" w:afterLines="0"/>
        <w:rPr>
          <w:rFonts w:hint="default"/>
          <w:sz w:val="18"/>
          <w:szCs w:val="18"/>
        </w:rPr>
      </w:pPr>
    </w:p>
    <w:p w14:paraId="132BF728">
      <w:pPr>
        <w:pStyle w:val="13"/>
        <w:spacing w:beforeLines="0" w:afterLines="0"/>
        <w:rPr>
          <w:rFonts w:hint="default"/>
          <w:sz w:val="18"/>
          <w:szCs w:val="18"/>
        </w:rPr>
      </w:pPr>
    </w:p>
    <w:p w14:paraId="49432529">
      <w:pPr>
        <w:pStyle w:val="13"/>
        <w:spacing w:beforeLines="0" w:afterLines="0"/>
        <w:rPr>
          <w:rFonts w:hint="default"/>
          <w:sz w:val="18"/>
          <w:szCs w:val="18"/>
        </w:rPr>
      </w:pPr>
    </w:p>
    <w:p w14:paraId="11271868">
      <w:pPr>
        <w:pStyle w:val="13"/>
        <w:spacing w:beforeLines="0" w:afterLines="0"/>
        <w:rPr>
          <w:rFonts w:hint="default"/>
          <w:sz w:val="18"/>
          <w:szCs w:val="18"/>
        </w:rPr>
      </w:pPr>
    </w:p>
    <w:p w14:paraId="5D3160A5">
      <w:pPr>
        <w:pStyle w:val="13"/>
        <w:spacing w:beforeLines="0" w:afterLines="0"/>
        <w:rPr>
          <w:rFonts w:hint="default"/>
          <w:sz w:val="18"/>
          <w:szCs w:val="18"/>
        </w:rPr>
      </w:pPr>
    </w:p>
    <w:p w14:paraId="6C10C060">
      <w:pPr>
        <w:pStyle w:val="13"/>
        <w:spacing w:beforeLines="0" w:afterLines="0"/>
        <w:rPr>
          <w:rFonts w:hint="default"/>
          <w:sz w:val="18"/>
          <w:szCs w:val="18"/>
        </w:rPr>
      </w:pPr>
    </w:p>
    <w:p w14:paraId="3F24C675">
      <w:pPr>
        <w:pStyle w:val="13"/>
        <w:spacing w:beforeLines="0" w:afterLines="0"/>
        <w:rPr>
          <w:rFonts w:hint="default"/>
          <w:sz w:val="18"/>
          <w:szCs w:val="18"/>
        </w:rPr>
      </w:pPr>
    </w:p>
    <w:p w14:paraId="022B75A9">
      <w:pPr>
        <w:pStyle w:val="13"/>
        <w:spacing w:beforeLines="0" w:afterLines="0"/>
        <w:rPr>
          <w:rFonts w:hint="default"/>
          <w:sz w:val="18"/>
          <w:szCs w:val="18"/>
        </w:rPr>
      </w:pPr>
    </w:p>
    <w:p w14:paraId="5E462C30">
      <w:pPr>
        <w:pStyle w:val="13"/>
        <w:spacing w:beforeLines="0" w:afterLines="0"/>
        <w:rPr>
          <w:rFonts w:hint="default"/>
          <w:sz w:val="18"/>
          <w:szCs w:val="18"/>
        </w:rPr>
      </w:pPr>
    </w:p>
    <w:p w14:paraId="4694BA03">
      <w:pPr>
        <w:pStyle w:val="13"/>
        <w:spacing w:beforeLines="0" w:afterLines="0"/>
        <w:rPr>
          <w:rFonts w:hint="default"/>
          <w:sz w:val="18"/>
          <w:szCs w:val="18"/>
        </w:rPr>
      </w:pPr>
    </w:p>
    <w:p w14:paraId="393322FC">
      <w:pPr>
        <w:pStyle w:val="13"/>
        <w:spacing w:beforeLines="0" w:afterLines="0"/>
        <w:rPr>
          <w:rFonts w:hint="default"/>
          <w:sz w:val="18"/>
          <w:szCs w:val="18"/>
        </w:rPr>
      </w:pPr>
    </w:p>
    <w:p w14:paraId="25D3AA8D">
      <w:pPr>
        <w:pStyle w:val="13"/>
        <w:spacing w:beforeLines="0" w:afterLines="0"/>
        <w:rPr>
          <w:rFonts w:hint="default"/>
          <w:sz w:val="18"/>
          <w:szCs w:val="18"/>
        </w:rPr>
      </w:pPr>
    </w:p>
    <w:p w14:paraId="615489F0">
      <w:pPr>
        <w:pStyle w:val="13"/>
        <w:spacing w:beforeLines="0" w:afterLines="0"/>
        <w:rPr>
          <w:rFonts w:hint="default"/>
          <w:sz w:val="18"/>
          <w:szCs w:val="18"/>
        </w:rPr>
      </w:pPr>
    </w:p>
    <w:tbl>
      <w:tblPr>
        <w:tblStyle w:val="19"/>
        <w:tblW w:w="101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55"/>
        <w:gridCol w:w="868"/>
        <w:gridCol w:w="1243"/>
        <w:gridCol w:w="1304"/>
        <w:gridCol w:w="1120"/>
        <w:gridCol w:w="965"/>
        <w:gridCol w:w="1055"/>
        <w:gridCol w:w="932"/>
        <w:gridCol w:w="1831"/>
      </w:tblGrid>
      <w:tr w14:paraId="1E275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2" w:hRule="atLeast"/>
          <w:jc w:val="center"/>
        </w:trPr>
        <w:tc>
          <w:tcPr>
            <w:tcW w:w="10173" w:type="dxa"/>
            <w:gridSpan w:val="9"/>
            <w:tcBorders>
              <w:top w:val="nil"/>
              <w:left w:val="nil"/>
              <w:bottom w:val="nil"/>
              <w:right w:val="nil"/>
              <w:tl2br w:val="nil"/>
              <w:tr2bl w:val="nil"/>
            </w:tcBorders>
            <w:noWrap w:val="0"/>
            <w:vAlign w:val="center"/>
          </w:tcPr>
          <w:p w14:paraId="4B71C2B4">
            <w:pPr>
              <w:widowControl/>
              <w:spacing w:beforeLines="0" w:afterLines="0" w:line="600" w:lineRule="exact"/>
              <w:jc w:val="center"/>
              <w:textAlignment w:val="center"/>
              <w:rPr>
                <w:rFonts w:hint="default" w:eastAsia="黑体"/>
                <w:color w:val="000000"/>
                <w:sz w:val="30"/>
                <w:szCs w:val="30"/>
              </w:rPr>
            </w:pPr>
            <w:r>
              <w:rPr>
                <w:rFonts w:hint="eastAsia" w:eastAsia="方正小标宋简体"/>
                <w:color w:val="000000"/>
                <w:kern w:val="0"/>
                <w:sz w:val="40"/>
                <w:szCs w:val="40"/>
              </w:rPr>
              <w:t>专项预算项目绩效目标完成情况自评表</w:t>
            </w:r>
          </w:p>
        </w:tc>
      </w:tr>
      <w:tr w14:paraId="28AF5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70"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B258B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项目名称</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77DB62">
            <w:pPr>
              <w:spacing w:beforeLines="0" w:afterLines="0" w:line="300" w:lineRule="exact"/>
              <w:rPr>
                <w:rFonts w:hint="default"/>
                <w:color w:val="000000"/>
                <w:sz w:val="18"/>
                <w:szCs w:val="18"/>
              </w:rPr>
            </w:pPr>
            <w:r>
              <w:rPr>
                <w:rFonts w:hint="eastAsia"/>
                <w:color w:val="000000"/>
                <w:sz w:val="18"/>
                <w:szCs w:val="18"/>
              </w:rPr>
              <w:t>51322321T000000170317-村干部工资</w:t>
            </w:r>
          </w:p>
        </w:tc>
      </w:tr>
      <w:tr w14:paraId="3177E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3" w:hRule="atLeast"/>
          <w:jc w:val="center"/>
        </w:trPr>
        <w:tc>
          <w:tcPr>
            <w:tcW w:w="4270"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50913E">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预算单位</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E7D544">
            <w:pPr>
              <w:spacing w:beforeLines="0" w:afterLines="0" w:line="300" w:lineRule="exact"/>
              <w:rPr>
                <w:rFonts w:hint="default"/>
                <w:color w:val="000000"/>
                <w:sz w:val="18"/>
                <w:szCs w:val="18"/>
              </w:rPr>
            </w:pPr>
            <w:r>
              <w:rPr>
                <w:rFonts w:hint="eastAsia"/>
                <w:color w:val="000000"/>
                <w:sz w:val="18"/>
                <w:szCs w:val="18"/>
              </w:rPr>
              <w:t>茂县南新镇人民政府（行政）</w:t>
            </w:r>
          </w:p>
        </w:tc>
      </w:tr>
      <w:tr w14:paraId="0EED6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70"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DE137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项目类型</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CE899F7">
            <w:pPr>
              <w:spacing w:beforeLines="0" w:afterLines="0" w:line="300" w:lineRule="exact"/>
              <w:jc w:val="left"/>
              <w:rPr>
                <w:rFonts w:hint="default"/>
                <w:color w:val="000000"/>
                <w:sz w:val="18"/>
                <w:szCs w:val="18"/>
              </w:rPr>
            </w:pPr>
          </w:p>
        </w:tc>
      </w:tr>
      <w:tr w14:paraId="0D562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55C5A6">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 xml:space="preserve">项目 </w:t>
            </w:r>
          </w:p>
          <w:p w14:paraId="508DBEE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概况</w:t>
            </w:r>
          </w:p>
        </w:tc>
        <w:tc>
          <w:tcPr>
            <w:tcW w:w="3415"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BC5D09">
            <w:pPr>
              <w:widowControl/>
              <w:spacing w:beforeLines="0" w:afterLines="0" w:line="300" w:lineRule="exact"/>
              <w:jc w:val="left"/>
              <w:textAlignment w:val="center"/>
              <w:rPr>
                <w:rFonts w:hint="default"/>
                <w:color w:val="000000"/>
                <w:kern w:val="0"/>
                <w:sz w:val="18"/>
                <w:szCs w:val="18"/>
              </w:rPr>
            </w:pPr>
            <w:r>
              <w:rPr>
                <w:rFonts w:hint="eastAsia"/>
                <w:color w:val="000000"/>
                <w:kern w:val="0"/>
                <w:sz w:val="18"/>
                <w:szCs w:val="18"/>
              </w:rPr>
              <w:t>中长期规划（名称、文号，仅指</w:t>
            </w:r>
          </w:p>
          <w:p w14:paraId="29978548">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常年项目）</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0E3AA4">
            <w:pPr>
              <w:spacing w:beforeLines="0" w:afterLines="0" w:line="300" w:lineRule="exact"/>
              <w:jc w:val="left"/>
              <w:rPr>
                <w:rFonts w:hint="default"/>
                <w:color w:val="000000"/>
                <w:sz w:val="18"/>
                <w:szCs w:val="18"/>
              </w:rPr>
            </w:pPr>
          </w:p>
        </w:tc>
      </w:tr>
      <w:tr w14:paraId="7F772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FC6827">
            <w:pPr>
              <w:spacing w:beforeLines="0" w:afterLines="0" w:line="300" w:lineRule="exact"/>
              <w:rPr>
                <w:rFonts w:hint="default"/>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6573E4">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资金管理办法（名称、文号）</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29D0A4">
            <w:pPr>
              <w:spacing w:beforeLines="0" w:afterLines="0" w:line="300" w:lineRule="exact"/>
              <w:jc w:val="left"/>
              <w:rPr>
                <w:rFonts w:hint="default"/>
                <w:color w:val="000000"/>
                <w:sz w:val="18"/>
                <w:szCs w:val="18"/>
              </w:rPr>
            </w:pPr>
          </w:p>
        </w:tc>
      </w:tr>
      <w:tr w14:paraId="40BED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CD7281">
            <w:pPr>
              <w:spacing w:beforeLines="0" w:afterLines="0" w:line="300" w:lineRule="exact"/>
              <w:rPr>
                <w:rFonts w:hint="default"/>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70224D1D">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绩效分配方式</w:t>
            </w:r>
          </w:p>
        </w:tc>
        <w:tc>
          <w:tcPr>
            <w:tcW w:w="112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A12870">
            <w:pPr>
              <w:widowControl/>
              <w:spacing w:beforeLines="0" w:afterLines="0" w:line="300" w:lineRule="exact"/>
              <w:jc w:val="left"/>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w:t>
            </w:r>
          </w:p>
        </w:tc>
        <w:tc>
          <w:tcPr>
            <w:tcW w:w="2020"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27AE46">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default" w:ascii="Wingdings 2" w:hAnsi="Wingdings 2" w:eastAsia="Wingdings 2"/>
                <w:color w:val="000000"/>
                <w:kern w:val="0"/>
                <w:sz w:val="18"/>
                <w:szCs w:val="18"/>
              </w:rPr>
              <w:t>项目法</w:t>
            </w:r>
          </w:p>
        </w:tc>
        <w:tc>
          <w:tcPr>
            <w:tcW w:w="9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A15019">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据实据效</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792486">
            <w:pPr>
              <w:widowControl/>
              <w:spacing w:beforeLines="0" w:afterLines="0" w:line="300" w:lineRule="exact"/>
              <w:jc w:val="center"/>
              <w:textAlignment w:val="center"/>
              <w:rPr>
                <w:rFonts w:hint="default" w:eastAsia="Wingdings 2"/>
                <w:color w:val="000000"/>
                <w:sz w:val="18"/>
                <w:szCs w:val="18"/>
              </w:rPr>
            </w:pPr>
            <w:r>
              <w:rPr>
                <w:rFonts w:hint="default" w:eastAsia="Wingdings 2"/>
                <w:color w:val="000000"/>
                <w:kern w:val="0"/>
                <w:sz w:val="18"/>
                <w:szCs w:val="18"/>
              </w:rPr>
              <w:t>£</w:t>
            </w:r>
            <w:r>
              <w:rPr>
                <w:rFonts w:hint="eastAsia"/>
                <w:color w:val="000000"/>
                <w:kern w:val="0"/>
                <w:sz w:val="18"/>
                <w:szCs w:val="18"/>
              </w:rPr>
              <w:t>因素法与项目法相结合</w:t>
            </w:r>
          </w:p>
        </w:tc>
      </w:tr>
      <w:tr w14:paraId="60360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53FBDE2A">
            <w:pPr>
              <w:spacing w:beforeLines="0" w:afterLines="0" w:line="300" w:lineRule="exact"/>
              <w:rPr>
                <w:rFonts w:hint="default"/>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F1D1EF">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立项依据</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8A547A">
            <w:pPr>
              <w:spacing w:beforeLines="0" w:afterLines="0" w:line="300" w:lineRule="exact"/>
              <w:jc w:val="left"/>
              <w:rPr>
                <w:rFonts w:hint="default"/>
                <w:color w:val="000000"/>
                <w:sz w:val="18"/>
                <w:szCs w:val="18"/>
              </w:rPr>
            </w:pPr>
          </w:p>
        </w:tc>
      </w:tr>
      <w:tr w14:paraId="4F734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32D5AEF">
            <w:pPr>
              <w:spacing w:beforeLines="0" w:afterLines="0" w:line="300" w:lineRule="exact"/>
              <w:rPr>
                <w:rFonts w:hint="default"/>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E2AE6D">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使用范围</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9023D3">
            <w:pPr>
              <w:spacing w:beforeLines="0" w:afterLines="0" w:line="300" w:lineRule="exact"/>
              <w:jc w:val="left"/>
              <w:rPr>
                <w:rFonts w:hint="default"/>
                <w:color w:val="000000"/>
                <w:sz w:val="18"/>
                <w:szCs w:val="18"/>
              </w:rPr>
            </w:pPr>
          </w:p>
        </w:tc>
      </w:tr>
      <w:tr w14:paraId="5E6F1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F2FB48">
            <w:pPr>
              <w:spacing w:beforeLines="0" w:afterLines="0" w:line="300" w:lineRule="exact"/>
              <w:rPr>
                <w:rFonts w:hint="default"/>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B3647A">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申报（补助）条件</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6FD8D8">
            <w:pPr>
              <w:spacing w:beforeLines="0" w:afterLines="0" w:line="300" w:lineRule="exact"/>
              <w:jc w:val="left"/>
              <w:rPr>
                <w:rFonts w:hint="default"/>
                <w:color w:val="000000"/>
                <w:sz w:val="18"/>
                <w:szCs w:val="18"/>
              </w:rPr>
            </w:pPr>
          </w:p>
        </w:tc>
      </w:tr>
      <w:tr w14:paraId="0A45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E218A88">
            <w:pPr>
              <w:spacing w:beforeLines="0" w:afterLines="0" w:line="300" w:lineRule="exact"/>
              <w:rPr>
                <w:rFonts w:hint="default"/>
                <w:color w:val="000000"/>
                <w:sz w:val="18"/>
                <w:szCs w:val="18"/>
              </w:rPr>
            </w:pPr>
          </w:p>
        </w:tc>
        <w:tc>
          <w:tcPr>
            <w:tcW w:w="3415" w:type="dxa"/>
            <w:gridSpan w:val="3"/>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0A013F">
            <w:pPr>
              <w:widowControl/>
              <w:spacing w:beforeLines="0" w:afterLines="0" w:line="300" w:lineRule="exact"/>
              <w:jc w:val="left"/>
              <w:textAlignment w:val="center"/>
              <w:rPr>
                <w:rFonts w:hint="default"/>
                <w:color w:val="000000"/>
                <w:sz w:val="18"/>
                <w:szCs w:val="18"/>
              </w:rPr>
            </w:pPr>
            <w:r>
              <w:rPr>
                <w:rFonts w:hint="eastAsia"/>
                <w:color w:val="000000"/>
                <w:kern w:val="0"/>
                <w:sz w:val="18"/>
                <w:szCs w:val="18"/>
              </w:rPr>
              <w:t>项目起止年限</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249B45E">
            <w:pPr>
              <w:spacing w:beforeLines="0" w:afterLines="0" w:line="300" w:lineRule="exact"/>
              <w:rPr>
                <w:rFonts w:hint="default"/>
                <w:color w:val="000000"/>
                <w:sz w:val="18"/>
                <w:szCs w:val="18"/>
              </w:rPr>
            </w:pPr>
            <w:r>
              <w:rPr>
                <w:rFonts w:hint="eastAsia"/>
                <w:color w:val="000000"/>
                <w:sz w:val="18"/>
                <w:szCs w:val="18"/>
              </w:rPr>
              <w:t>2025.1-2025.12</w:t>
            </w:r>
          </w:p>
        </w:tc>
      </w:tr>
      <w:tr w14:paraId="7B1BF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23"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2A1C2F">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项目资金</w:t>
            </w:r>
          </w:p>
          <w:p w14:paraId="48FB14B1">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（万元）</w:t>
            </w:r>
          </w:p>
        </w:tc>
        <w:tc>
          <w:tcPr>
            <w:tcW w:w="2547"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755F601">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年度资金总额：</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024FDCAF">
            <w:pPr>
              <w:tabs>
                <w:tab w:val="left" w:pos="1110"/>
                <w:tab w:val="right" w:pos="6028"/>
              </w:tabs>
              <w:spacing w:beforeLines="0" w:afterLines="0" w:line="300" w:lineRule="exact"/>
              <w:jc w:val="center"/>
              <w:rPr>
                <w:rFonts w:hint="default"/>
                <w:color w:val="000000"/>
                <w:sz w:val="18"/>
                <w:szCs w:val="18"/>
              </w:rPr>
            </w:pPr>
            <w:r>
              <w:rPr>
                <w:rFonts w:hint="eastAsia"/>
                <w:color w:val="000000"/>
                <w:sz w:val="18"/>
                <w:szCs w:val="18"/>
              </w:rPr>
              <w:t xml:space="preserve">   141.72</w:t>
            </w:r>
            <w:r>
              <w:rPr>
                <w:rFonts w:hint="eastAsia"/>
                <w:color w:val="000000"/>
                <w:sz w:val="18"/>
                <w:szCs w:val="18"/>
              </w:rPr>
              <w:tab/>
            </w:r>
          </w:p>
        </w:tc>
      </w:tr>
      <w:tr w14:paraId="7A71A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23"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59A71A">
            <w:pPr>
              <w:spacing w:beforeLines="0" w:afterLines="0" w:line="300" w:lineRule="exact"/>
              <w:rPr>
                <w:rFonts w:hint="default"/>
                <w:color w:val="000000"/>
                <w:sz w:val="18"/>
                <w:szCs w:val="18"/>
              </w:rPr>
            </w:pPr>
          </w:p>
        </w:tc>
        <w:tc>
          <w:tcPr>
            <w:tcW w:w="2547"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DB3041">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其中：财政拨款</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1A17B2">
            <w:pPr>
              <w:tabs>
                <w:tab w:val="left" w:pos="1305"/>
                <w:tab w:val="right" w:pos="6028"/>
              </w:tabs>
              <w:spacing w:beforeLines="0" w:afterLines="0" w:line="300" w:lineRule="exact"/>
              <w:jc w:val="center"/>
              <w:rPr>
                <w:rFonts w:hint="default"/>
                <w:color w:val="000000"/>
                <w:sz w:val="18"/>
                <w:szCs w:val="18"/>
              </w:rPr>
            </w:pPr>
            <w:r>
              <w:rPr>
                <w:rFonts w:hint="eastAsia"/>
                <w:color w:val="000000"/>
                <w:sz w:val="18"/>
                <w:szCs w:val="18"/>
              </w:rPr>
              <w:t>141.72</w:t>
            </w:r>
          </w:p>
        </w:tc>
      </w:tr>
      <w:tr w14:paraId="5FE0A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23"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AAD9739">
            <w:pPr>
              <w:spacing w:beforeLines="0" w:afterLines="0" w:line="300" w:lineRule="exact"/>
              <w:rPr>
                <w:rFonts w:hint="default"/>
                <w:color w:val="000000"/>
                <w:sz w:val="18"/>
                <w:szCs w:val="18"/>
              </w:rPr>
            </w:pPr>
          </w:p>
        </w:tc>
        <w:tc>
          <w:tcPr>
            <w:tcW w:w="2547"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AE16F9">
            <w:pPr>
              <w:widowControl/>
              <w:spacing w:beforeLines="0" w:afterLines="0" w:line="300" w:lineRule="exact"/>
              <w:jc w:val="left"/>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其他资金</w:t>
            </w:r>
          </w:p>
        </w:tc>
        <w:tc>
          <w:tcPr>
            <w:tcW w:w="5903"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D7EE38">
            <w:pPr>
              <w:spacing w:beforeLines="0" w:afterLines="0" w:line="300" w:lineRule="exact"/>
              <w:jc w:val="right"/>
              <w:rPr>
                <w:rFonts w:hint="default"/>
                <w:color w:val="000000"/>
                <w:sz w:val="18"/>
                <w:szCs w:val="18"/>
              </w:rPr>
            </w:pPr>
          </w:p>
        </w:tc>
      </w:tr>
      <w:tr w14:paraId="54B79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81EA80">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 xml:space="preserve">总体 </w:t>
            </w:r>
          </w:p>
          <w:p w14:paraId="153A2339">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目标</w:t>
            </w:r>
          </w:p>
        </w:tc>
        <w:tc>
          <w:tcPr>
            <w:tcW w:w="9318"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05021B">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年度目标</w:t>
            </w:r>
          </w:p>
        </w:tc>
      </w:tr>
      <w:tr w14:paraId="70E52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09" w:hRule="atLeast"/>
          <w:jc w:val="center"/>
        </w:trPr>
        <w:tc>
          <w:tcPr>
            <w:tcW w:w="855"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543F75">
            <w:pPr>
              <w:spacing w:beforeLines="0" w:afterLines="0" w:line="300" w:lineRule="exact"/>
              <w:rPr>
                <w:rFonts w:hint="default"/>
                <w:color w:val="000000"/>
                <w:sz w:val="18"/>
                <w:szCs w:val="18"/>
              </w:rPr>
            </w:pPr>
          </w:p>
        </w:tc>
        <w:tc>
          <w:tcPr>
            <w:tcW w:w="9318" w:type="dxa"/>
            <w:gridSpan w:val="8"/>
            <w:tcBorders>
              <w:top w:val="single" w:color="000000" w:sz="4" w:space="0"/>
              <w:left w:val="single" w:color="000000" w:sz="4" w:space="0"/>
              <w:bottom w:val="single" w:color="000000" w:sz="4" w:space="0"/>
              <w:right w:val="single" w:color="000000" w:sz="4" w:space="0"/>
              <w:tl2br w:val="nil"/>
              <w:tr2bl w:val="nil"/>
            </w:tcBorders>
            <w:noWrap w:val="0"/>
            <w:vAlign w:val="center"/>
          </w:tcPr>
          <w:p w14:paraId="05E10D21">
            <w:pPr>
              <w:spacing w:beforeLines="0" w:afterLines="0" w:line="300" w:lineRule="exact"/>
              <w:rPr>
                <w:rFonts w:hint="default"/>
                <w:color w:val="000000"/>
                <w:sz w:val="18"/>
                <w:szCs w:val="18"/>
              </w:rPr>
            </w:pPr>
            <w:r>
              <w:rPr>
                <w:rFonts w:hint="eastAsia"/>
                <w:color w:val="000000"/>
                <w:sz w:val="18"/>
                <w:szCs w:val="18"/>
              </w:rPr>
              <w:t>及时发放各村村干部工资；2025年村干部工资，按照八个行政村，共计72名村干部，村书记8人，每人每月标准3500元，村副书记8人，每人每月标准2800元，村会计8人，每人每月标准2450元，村监委会主任8人，每人每月标准2450元，村妇女主任8人，每人每月标准800元，村组长32人，每人每月800元；</w:t>
            </w:r>
          </w:p>
        </w:tc>
      </w:tr>
      <w:tr w14:paraId="47DC4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restart"/>
            <w:tcBorders>
              <w:top w:val="single" w:color="000000" w:sz="4" w:space="0"/>
              <w:left w:val="single" w:color="000000" w:sz="4" w:space="0"/>
              <w:bottom w:val="single" w:color="000000" w:sz="4" w:space="0"/>
              <w:right w:val="nil"/>
              <w:tl2br w:val="nil"/>
              <w:tr2bl w:val="nil"/>
            </w:tcBorders>
            <w:noWrap w:val="0"/>
            <w:vAlign w:val="center"/>
          </w:tcPr>
          <w:p w14:paraId="129DAF50">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绩效</w:t>
            </w:r>
          </w:p>
          <w:p w14:paraId="0F72485E">
            <w:pPr>
              <w:widowControl/>
              <w:spacing w:beforeLines="0" w:afterLines="0" w:line="300" w:lineRule="exact"/>
              <w:jc w:val="center"/>
              <w:textAlignment w:val="center"/>
              <w:rPr>
                <w:rFonts w:hint="default"/>
                <w:color w:val="000000"/>
                <w:sz w:val="18"/>
                <w:szCs w:val="18"/>
              </w:rPr>
            </w:pPr>
            <w:r>
              <w:rPr>
                <w:rFonts w:hint="default"/>
                <w:color w:val="000000"/>
                <w:kern w:val="0"/>
                <w:sz w:val="18"/>
                <w:szCs w:val="18"/>
              </w:rPr>
              <w:t xml:space="preserve"> </w:t>
            </w:r>
            <w:r>
              <w:rPr>
                <w:rFonts w:hint="eastAsia"/>
                <w:color w:val="000000"/>
                <w:kern w:val="0"/>
                <w:sz w:val="18"/>
                <w:szCs w:val="18"/>
              </w:rPr>
              <w:t>指标</w:t>
            </w:r>
          </w:p>
        </w:tc>
        <w:tc>
          <w:tcPr>
            <w:tcW w:w="86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D4C99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一级指标</w:t>
            </w:r>
          </w:p>
        </w:tc>
        <w:tc>
          <w:tcPr>
            <w:tcW w:w="1243"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03DC25A">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二级指标</w:t>
            </w:r>
          </w:p>
        </w:tc>
        <w:tc>
          <w:tcPr>
            <w:tcW w:w="13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6899D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三级指标</w:t>
            </w:r>
          </w:p>
        </w:tc>
        <w:tc>
          <w:tcPr>
            <w:tcW w:w="112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05D61D">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指标性质</w:t>
            </w:r>
          </w:p>
        </w:tc>
        <w:tc>
          <w:tcPr>
            <w:tcW w:w="96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900426">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指标值</w:t>
            </w:r>
          </w:p>
        </w:tc>
        <w:tc>
          <w:tcPr>
            <w:tcW w:w="10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0ABF6F">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度量单位</w:t>
            </w:r>
          </w:p>
        </w:tc>
        <w:tc>
          <w:tcPr>
            <w:tcW w:w="9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9AA2EC">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权重</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5E64B8">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实际完成指标值</w:t>
            </w:r>
          </w:p>
        </w:tc>
      </w:tr>
      <w:tr w14:paraId="041B1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3" w:hRule="atLeast"/>
          <w:jc w:val="center"/>
        </w:trPr>
        <w:tc>
          <w:tcPr>
            <w:tcW w:w="855" w:type="dxa"/>
            <w:vMerge w:val="continue"/>
            <w:tcBorders>
              <w:top w:val="single" w:color="000000" w:sz="4" w:space="0"/>
              <w:left w:val="single" w:color="000000" w:sz="4" w:space="0"/>
              <w:bottom w:val="single" w:color="000000" w:sz="4" w:space="0"/>
              <w:right w:val="nil"/>
              <w:tl2br w:val="nil"/>
              <w:tr2bl w:val="nil"/>
            </w:tcBorders>
            <w:noWrap w:val="0"/>
            <w:vAlign w:val="center"/>
          </w:tcPr>
          <w:p w14:paraId="11FAA295">
            <w:pPr>
              <w:spacing w:beforeLines="0" w:afterLines="0" w:line="300" w:lineRule="exact"/>
              <w:jc w:val="center"/>
              <w:rPr>
                <w:rFonts w:hint="default"/>
                <w:color w:val="000000"/>
                <w:sz w:val="18"/>
                <w:szCs w:val="18"/>
              </w:rPr>
            </w:pPr>
          </w:p>
        </w:tc>
        <w:tc>
          <w:tcPr>
            <w:tcW w:w="868"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173AD1">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产出指标</w:t>
            </w:r>
          </w:p>
        </w:tc>
        <w:tc>
          <w:tcPr>
            <w:tcW w:w="1243"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B449EE">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数量指标</w:t>
            </w:r>
          </w:p>
        </w:tc>
        <w:tc>
          <w:tcPr>
            <w:tcW w:w="13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F6599D">
            <w:pPr>
              <w:spacing w:beforeLines="0" w:afterLines="0" w:line="300" w:lineRule="exact"/>
              <w:rPr>
                <w:rFonts w:hint="default"/>
                <w:color w:val="000000"/>
                <w:sz w:val="18"/>
                <w:szCs w:val="18"/>
              </w:rPr>
            </w:pPr>
            <w:r>
              <w:rPr>
                <w:rFonts w:hint="eastAsia"/>
                <w:color w:val="000000"/>
                <w:sz w:val="18"/>
                <w:szCs w:val="18"/>
              </w:rPr>
              <w:t>涉及人数</w:t>
            </w:r>
          </w:p>
        </w:tc>
        <w:tc>
          <w:tcPr>
            <w:tcW w:w="112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C66A2E">
            <w:pPr>
              <w:spacing w:beforeLines="0" w:afterLines="0" w:line="300" w:lineRule="exact"/>
              <w:jc w:val="center"/>
              <w:rPr>
                <w:rFonts w:hint="default"/>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F94696C">
            <w:pPr>
              <w:spacing w:beforeLines="0" w:afterLines="0" w:line="300" w:lineRule="exact"/>
              <w:jc w:val="center"/>
              <w:rPr>
                <w:rFonts w:hint="default"/>
                <w:color w:val="000000"/>
                <w:sz w:val="18"/>
                <w:szCs w:val="18"/>
              </w:rPr>
            </w:pPr>
            <w:r>
              <w:rPr>
                <w:rFonts w:hint="eastAsia"/>
                <w:color w:val="000000"/>
                <w:sz w:val="18"/>
                <w:szCs w:val="18"/>
              </w:rPr>
              <w:t>72</w:t>
            </w:r>
          </w:p>
        </w:tc>
        <w:tc>
          <w:tcPr>
            <w:tcW w:w="10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BA7675">
            <w:pPr>
              <w:spacing w:beforeLines="0" w:afterLines="0" w:line="300" w:lineRule="exact"/>
              <w:jc w:val="center"/>
              <w:rPr>
                <w:rFonts w:hint="default"/>
                <w:color w:val="000000"/>
                <w:sz w:val="18"/>
                <w:szCs w:val="18"/>
              </w:rPr>
            </w:pPr>
            <w:r>
              <w:rPr>
                <w:rFonts w:hint="eastAsia"/>
                <w:color w:val="000000"/>
                <w:sz w:val="18"/>
                <w:szCs w:val="18"/>
              </w:rPr>
              <w:t>人</w:t>
            </w:r>
          </w:p>
        </w:tc>
        <w:tc>
          <w:tcPr>
            <w:tcW w:w="9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EB4BD41">
            <w:pPr>
              <w:spacing w:beforeLines="0" w:afterLines="0" w:line="300" w:lineRule="exact"/>
              <w:jc w:val="center"/>
              <w:rPr>
                <w:rFonts w:hint="default"/>
                <w:color w:val="000000"/>
                <w:sz w:val="18"/>
                <w:szCs w:val="18"/>
              </w:rPr>
            </w:pPr>
            <w:r>
              <w:rPr>
                <w:rFonts w:hint="eastAsia"/>
                <w:color w:val="000000"/>
                <w:sz w:val="18"/>
                <w:szCs w:val="18"/>
              </w:rPr>
              <w:t>10</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CC3212D">
            <w:pPr>
              <w:spacing w:beforeLines="0" w:afterLines="0" w:line="300" w:lineRule="exact"/>
              <w:jc w:val="center"/>
              <w:rPr>
                <w:rFonts w:hint="default"/>
                <w:color w:val="000000"/>
                <w:sz w:val="18"/>
                <w:szCs w:val="18"/>
              </w:rPr>
            </w:pPr>
            <w:r>
              <w:rPr>
                <w:rFonts w:hint="eastAsia"/>
                <w:color w:val="000000"/>
                <w:sz w:val="18"/>
                <w:szCs w:val="18"/>
              </w:rPr>
              <w:t>8</w:t>
            </w:r>
          </w:p>
        </w:tc>
      </w:tr>
      <w:tr w14:paraId="04540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nil"/>
              <w:tl2br w:val="nil"/>
              <w:tr2bl w:val="nil"/>
            </w:tcBorders>
            <w:noWrap w:val="0"/>
            <w:vAlign w:val="center"/>
          </w:tcPr>
          <w:p w14:paraId="7E822F75">
            <w:pPr>
              <w:spacing w:beforeLines="0" w:afterLines="0" w:line="300" w:lineRule="exact"/>
              <w:jc w:val="center"/>
              <w:rPr>
                <w:rFonts w:hint="default"/>
                <w:color w:val="000000"/>
                <w:sz w:val="18"/>
                <w:szCs w:val="18"/>
              </w:rPr>
            </w:pPr>
          </w:p>
        </w:tc>
        <w:tc>
          <w:tcPr>
            <w:tcW w:w="868"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D4405B">
            <w:pPr>
              <w:spacing w:beforeLines="0" w:afterLines="0" w:line="300" w:lineRule="exact"/>
              <w:jc w:val="center"/>
              <w:rPr>
                <w:rFonts w:hint="default"/>
                <w:color w:val="000000"/>
                <w:sz w:val="18"/>
                <w:szCs w:val="18"/>
              </w:rPr>
            </w:pPr>
          </w:p>
        </w:tc>
        <w:tc>
          <w:tcPr>
            <w:tcW w:w="1243"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626A13">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质量指标</w:t>
            </w:r>
          </w:p>
        </w:tc>
        <w:tc>
          <w:tcPr>
            <w:tcW w:w="13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3730088">
            <w:pPr>
              <w:spacing w:beforeLines="0" w:afterLines="0" w:line="300" w:lineRule="exact"/>
              <w:rPr>
                <w:rFonts w:hint="default"/>
                <w:color w:val="000000"/>
                <w:sz w:val="18"/>
                <w:szCs w:val="18"/>
              </w:rPr>
            </w:pPr>
            <w:r>
              <w:rPr>
                <w:rFonts w:hint="eastAsia"/>
                <w:color w:val="000000"/>
                <w:sz w:val="18"/>
                <w:szCs w:val="18"/>
              </w:rPr>
              <w:t>项目资金使用合格率</w:t>
            </w:r>
          </w:p>
        </w:tc>
        <w:tc>
          <w:tcPr>
            <w:tcW w:w="112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A6CA8D2">
            <w:pPr>
              <w:spacing w:beforeLines="0" w:afterLines="0" w:line="300" w:lineRule="exact"/>
              <w:jc w:val="center"/>
              <w:rPr>
                <w:rFonts w:hint="default"/>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629682">
            <w:pPr>
              <w:spacing w:beforeLines="0" w:afterLines="0" w:line="300" w:lineRule="exact"/>
              <w:jc w:val="center"/>
              <w:rPr>
                <w:rFonts w:hint="default"/>
                <w:color w:val="000000"/>
                <w:sz w:val="18"/>
                <w:szCs w:val="18"/>
              </w:rPr>
            </w:pPr>
            <w:r>
              <w:rPr>
                <w:rFonts w:hint="eastAsia"/>
                <w:color w:val="000000"/>
                <w:sz w:val="18"/>
                <w:szCs w:val="18"/>
              </w:rPr>
              <w:t>100</w:t>
            </w:r>
          </w:p>
        </w:tc>
        <w:tc>
          <w:tcPr>
            <w:tcW w:w="10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4C5A31">
            <w:pPr>
              <w:spacing w:beforeLines="0" w:afterLines="0" w:line="300" w:lineRule="exact"/>
              <w:jc w:val="center"/>
              <w:rPr>
                <w:rFonts w:hint="default"/>
                <w:color w:val="000000"/>
                <w:sz w:val="18"/>
                <w:szCs w:val="18"/>
              </w:rPr>
            </w:pPr>
            <w:r>
              <w:rPr>
                <w:rFonts w:hint="eastAsia"/>
                <w:color w:val="000000"/>
                <w:sz w:val="18"/>
                <w:szCs w:val="18"/>
              </w:rPr>
              <w:t>%</w:t>
            </w:r>
          </w:p>
        </w:tc>
        <w:tc>
          <w:tcPr>
            <w:tcW w:w="9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D8BAACF">
            <w:pPr>
              <w:spacing w:beforeLines="0" w:afterLines="0" w:line="300" w:lineRule="exact"/>
              <w:jc w:val="center"/>
              <w:rPr>
                <w:rFonts w:hint="default"/>
                <w:color w:val="000000"/>
                <w:sz w:val="18"/>
                <w:szCs w:val="18"/>
              </w:rPr>
            </w:pPr>
            <w:r>
              <w:rPr>
                <w:rFonts w:hint="eastAsia"/>
                <w:color w:val="000000"/>
                <w:sz w:val="18"/>
                <w:szCs w:val="18"/>
              </w:rPr>
              <w:t>10</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0E5538">
            <w:pPr>
              <w:spacing w:beforeLines="0" w:afterLines="0" w:line="300" w:lineRule="exact"/>
              <w:jc w:val="center"/>
              <w:rPr>
                <w:rFonts w:hint="default"/>
                <w:color w:val="000000"/>
                <w:sz w:val="18"/>
                <w:szCs w:val="18"/>
              </w:rPr>
            </w:pPr>
            <w:r>
              <w:rPr>
                <w:rFonts w:hint="eastAsia"/>
                <w:color w:val="000000"/>
                <w:sz w:val="18"/>
                <w:szCs w:val="18"/>
              </w:rPr>
              <w:t>100</w:t>
            </w:r>
          </w:p>
        </w:tc>
      </w:tr>
      <w:tr w14:paraId="49B67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nil"/>
              <w:tl2br w:val="nil"/>
              <w:tr2bl w:val="nil"/>
            </w:tcBorders>
            <w:noWrap w:val="0"/>
            <w:vAlign w:val="center"/>
          </w:tcPr>
          <w:p w14:paraId="3CF9156B">
            <w:pPr>
              <w:spacing w:beforeLines="0" w:afterLines="0" w:line="300" w:lineRule="exact"/>
              <w:jc w:val="center"/>
              <w:rPr>
                <w:rFonts w:hint="default"/>
                <w:color w:val="000000"/>
                <w:sz w:val="18"/>
                <w:szCs w:val="18"/>
              </w:rPr>
            </w:pPr>
          </w:p>
        </w:tc>
        <w:tc>
          <w:tcPr>
            <w:tcW w:w="868"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717ACF">
            <w:pPr>
              <w:spacing w:beforeLines="0" w:afterLines="0" w:line="300" w:lineRule="exact"/>
              <w:jc w:val="center"/>
              <w:rPr>
                <w:rFonts w:hint="default"/>
                <w:color w:val="000000"/>
                <w:sz w:val="18"/>
                <w:szCs w:val="18"/>
              </w:rPr>
            </w:pPr>
          </w:p>
        </w:tc>
        <w:tc>
          <w:tcPr>
            <w:tcW w:w="1243"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479CF6">
            <w:pPr>
              <w:spacing w:beforeLines="0" w:afterLines="0" w:line="300" w:lineRule="exact"/>
              <w:jc w:val="center"/>
              <w:rPr>
                <w:rFonts w:hint="default"/>
                <w:color w:val="000000"/>
                <w:sz w:val="18"/>
                <w:szCs w:val="18"/>
              </w:rPr>
            </w:pPr>
          </w:p>
        </w:tc>
        <w:tc>
          <w:tcPr>
            <w:tcW w:w="13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254756F">
            <w:pPr>
              <w:spacing w:beforeLines="0" w:afterLines="0" w:line="300" w:lineRule="exact"/>
              <w:rPr>
                <w:rFonts w:hint="default"/>
                <w:color w:val="000000"/>
                <w:sz w:val="18"/>
                <w:szCs w:val="18"/>
              </w:rPr>
            </w:pPr>
            <w:r>
              <w:rPr>
                <w:rFonts w:hint="eastAsia"/>
                <w:color w:val="000000"/>
                <w:sz w:val="18"/>
                <w:szCs w:val="18"/>
              </w:rPr>
              <w:t>项目竣工验收合格率</w:t>
            </w:r>
          </w:p>
        </w:tc>
        <w:tc>
          <w:tcPr>
            <w:tcW w:w="112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CC1ED9">
            <w:pPr>
              <w:spacing w:beforeLines="0" w:afterLines="0" w:line="300" w:lineRule="exact"/>
              <w:jc w:val="center"/>
              <w:rPr>
                <w:rFonts w:hint="default"/>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4FF28CC">
            <w:pPr>
              <w:spacing w:beforeLines="0" w:afterLines="0" w:line="300" w:lineRule="exact"/>
              <w:jc w:val="center"/>
              <w:rPr>
                <w:rFonts w:hint="default"/>
                <w:color w:val="000000"/>
                <w:sz w:val="18"/>
                <w:szCs w:val="18"/>
              </w:rPr>
            </w:pPr>
            <w:r>
              <w:rPr>
                <w:rFonts w:hint="eastAsia"/>
                <w:color w:val="000000"/>
                <w:sz w:val="18"/>
                <w:szCs w:val="18"/>
              </w:rPr>
              <w:t>100</w:t>
            </w:r>
          </w:p>
        </w:tc>
        <w:tc>
          <w:tcPr>
            <w:tcW w:w="10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C81865">
            <w:pPr>
              <w:spacing w:beforeLines="0" w:afterLines="0" w:line="300" w:lineRule="exact"/>
              <w:jc w:val="center"/>
              <w:rPr>
                <w:rFonts w:hint="default"/>
                <w:color w:val="000000"/>
                <w:sz w:val="18"/>
                <w:szCs w:val="18"/>
              </w:rPr>
            </w:pPr>
            <w:r>
              <w:rPr>
                <w:rFonts w:hint="eastAsia"/>
                <w:color w:val="000000"/>
                <w:sz w:val="18"/>
                <w:szCs w:val="18"/>
              </w:rPr>
              <w:t>%</w:t>
            </w:r>
          </w:p>
        </w:tc>
        <w:tc>
          <w:tcPr>
            <w:tcW w:w="9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22C13A">
            <w:pPr>
              <w:spacing w:beforeLines="0" w:afterLines="0" w:line="300" w:lineRule="exact"/>
              <w:jc w:val="center"/>
              <w:rPr>
                <w:rFonts w:hint="default"/>
                <w:color w:val="000000"/>
                <w:sz w:val="18"/>
                <w:szCs w:val="18"/>
              </w:rPr>
            </w:pPr>
            <w:r>
              <w:rPr>
                <w:rFonts w:hint="eastAsia"/>
                <w:color w:val="000000"/>
                <w:sz w:val="18"/>
                <w:szCs w:val="18"/>
              </w:rPr>
              <w:t>15</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DB3B427">
            <w:pPr>
              <w:spacing w:beforeLines="0" w:afterLines="0" w:line="300" w:lineRule="exact"/>
              <w:jc w:val="center"/>
              <w:rPr>
                <w:rFonts w:hint="default"/>
                <w:color w:val="000000"/>
                <w:sz w:val="18"/>
                <w:szCs w:val="18"/>
              </w:rPr>
            </w:pPr>
            <w:r>
              <w:rPr>
                <w:rFonts w:hint="eastAsia"/>
                <w:color w:val="000000"/>
                <w:sz w:val="18"/>
                <w:szCs w:val="18"/>
              </w:rPr>
              <w:t>100</w:t>
            </w:r>
          </w:p>
        </w:tc>
      </w:tr>
      <w:tr w14:paraId="1EC91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nil"/>
              <w:tl2br w:val="nil"/>
              <w:tr2bl w:val="nil"/>
            </w:tcBorders>
            <w:noWrap w:val="0"/>
            <w:vAlign w:val="center"/>
          </w:tcPr>
          <w:p w14:paraId="197F2A9A">
            <w:pPr>
              <w:spacing w:beforeLines="0" w:afterLines="0" w:line="300" w:lineRule="exact"/>
              <w:jc w:val="center"/>
              <w:rPr>
                <w:rFonts w:hint="default"/>
                <w:color w:val="000000"/>
                <w:sz w:val="18"/>
                <w:szCs w:val="18"/>
              </w:rPr>
            </w:pPr>
          </w:p>
        </w:tc>
        <w:tc>
          <w:tcPr>
            <w:tcW w:w="868"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5B541D23">
            <w:pPr>
              <w:spacing w:beforeLines="0" w:afterLines="0" w:line="300" w:lineRule="exact"/>
              <w:jc w:val="center"/>
              <w:rPr>
                <w:rFonts w:hint="default"/>
                <w:color w:val="000000"/>
                <w:sz w:val="18"/>
                <w:szCs w:val="18"/>
              </w:rPr>
            </w:pPr>
          </w:p>
        </w:tc>
        <w:tc>
          <w:tcPr>
            <w:tcW w:w="1243"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62743D">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时效指标</w:t>
            </w:r>
          </w:p>
        </w:tc>
        <w:tc>
          <w:tcPr>
            <w:tcW w:w="13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E8D3B38">
            <w:pPr>
              <w:spacing w:beforeLines="0" w:afterLines="0" w:line="300" w:lineRule="exact"/>
              <w:rPr>
                <w:rFonts w:hint="default"/>
                <w:color w:val="000000"/>
                <w:sz w:val="18"/>
                <w:szCs w:val="18"/>
              </w:rPr>
            </w:pPr>
            <w:r>
              <w:rPr>
                <w:rFonts w:hint="eastAsia"/>
                <w:color w:val="000000"/>
                <w:sz w:val="18"/>
                <w:szCs w:val="18"/>
              </w:rPr>
              <w:t>完成时效</w:t>
            </w:r>
          </w:p>
        </w:tc>
        <w:tc>
          <w:tcPr>
            <w:tcW w:w="112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F59DC7C">
            <w:pPr>
              <w:spacing w:beforeLines="0" w:afterLines="0" w:line="300" w:lineRule="exact"/>
              <w:jc w:val="center"/>
              <w:rPr>
                <w:rFonts w:hint="default"/>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F869C8">
            <w:pPr>
              <w:spacing w:beforeLines="0" w:afterLines="0" w:line="300" w:lineRule="exact"/>
              <w:jc w:val="center"/>
              <w:rPr>
                <w:rFonts w:hint="default"/>
                <w:color w:val="000000"/>
                <w:sz w:val="18"/>
                <w:szCs w:val="18"/>
              </w:rPr>
            </w:pPr>
            <w:r>
              <w:rPr>
                <w:rFonts w:hint="eastAsia"/>
                <w:color w:val="000000"/>
                <w:sz w:val="18"/>
                <w:szCs w:val="18"/>
              </w:rPr>
              <w:t>1</w:t>
            </w:r>
          </w:p>
        </w:tc>
        <w:tc>
          <w:tcPr>
            <w:tcW w:w="10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3BB8EAA">
            <w:pPr>
              <w:spacing w:beforeLines="0" w:afterLines="0" w:line="300" w:lineRule="exact"/>
              <w:jc w:val="center"/>
              <w:rPr>
                <w:rFonts w:hint="default"/>
                <w:color w:val="000000"/>
                <w:sz w:val="18"/>
                <w:szCs w:val="18"/>
              </w:rPr>
            </w:pPr>
            <w:r>
              <w:rPr>
                <w:rFonts w:hint="eastAsia"/>
                <w:color w:val="000000"/>
                <w:sz w:val="18"/>
                <w:szCs w:val="18"/>
              </w:rPr>
              <w:t>年</w:t>
            </w:r>
          </w:p>
        </w:tc>
        <w:tc>
          <w:tcPr>
            <w:tcW w:w="9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3D7CF5">
            <w:pPr>
              <w:spacing w:beforeLines="0" w:afterLines="0" w:line="300" w:lineRule="exact"/>
              <w:jc w:val="center"/>
              <w:rPr>
                <w:rFonts w:hint="default"/>
                <w:color w:val="000000"/>
                <w:sz w:val="18"/>
                <w:szCs w:val="18"/>
              </w:rPr>
            </w:pPr>
            <w:r>
              <w:rPr>
                <w:rFonts w:hint="eastAsia"/>
                <w:color w:val="000000"/>
                <w:sz w:val="18"/>
                <w:szCs w:val="18"/>
              </w:rPr>
              <w:t>15</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3E80FD">
            <w:pPr>
              <w:spacing w:beforeLines="0" w:afterLines="0" w:line="300" w:lineRule="exact"/>
              <w:jc w:val="center"/>
              <w:rPr>
                <w:rFonts w:hint="default"/>
                <w:color w:val="000000"/>
                <w:sz w:val="18"/>
                <w:szCs w:val="18"/>
              </w:rPr>
            </w:pPr>
            <w:r>
              <w:rPr>
                <w:rFonts w:hint="eastAsia"/>
                <w:color w:val="000000"/>
                <w:sz w:val="18"/>
                <w:szCs w:val="18"/>
              </w:rPr>
              <w:t>1</w:t>
            </w:r>
          </w:p>
        </w:tc>
      </w:tr>
      <w:tr w14:paraId="2339F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nil"/>
              <w:tl2br w:val="nil"/>
              <w:tr2bl w:val="nil"/>
            </w:tcBorders>
            <w:noWrap w:val="0"/>
            <w:vAlign w:val="center"/>
          </w:tcPr>
          <w:p w14:paraId="5ED12943">
            <w:pPr>
              <w:spacing w:beforeLines="0" w:afterLines="0" w:line="300" w:lineRule="exact"/>
              <w:jc w:val="center"/>
              <w:rPr>
                <w:rFonts w:hint="default"/>
                <w:color w:val="000000"/>
                <w:sz w:val="18"/>
                <w:szCs w:val="18"/>
              </w:rPr>
            </w:pPr>
          </w:p>
        </w:tc>
        <w:tc>
          <w:tcPr>
            <w:tcW w:w="86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355B45">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效益指标</w:t>
            </w:r>
          </w:p>
        </w:tc>
        <w:tc>
          <w:tcPr>
            <w:tcW w:w="1243"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07BB317">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经济效益指标</w:t>
            </w:r>
          </w:p>
        </w:tc>
        <w:tc>
          <w:tcPr>
            <w:tcW w:w="13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795C1C">
            <w:pPr>
              <w:spacing w:beforeLines="0" w:afterLines="0" w:line="300" w:lineRule="exact"/>
              <w:rPr>
                <w:rFonts w:hint="default"/>
                <w:color w:val="000000"/>
                <w:sz w:val="18"/>
                <w:szCs w:val="18"/>
              </w:rPr>
            </w:pPr>
            <w:r>
              <w:rPr>
                <w:rFonts w:hint="eastAsia"/>
                <w:color w:val="000000"/>
                <w:sz w:val="18"/>
                <w:szCs w:val="18"/>
              </w:rPr>
              <w:t>预算金额</w:t>
            </w:r>
          </w:p>
        </w:tc>
        <w:tc>
          <w:tcPr>
            <w:tcW w:w="112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CA0152">
            <w:pPr>
              <w:spacing w:beforeLines="0" w:afterLines="0" w:line="300" w:lineRule="exact"/>
              <w:jc w:val="center"/>
              <w:rPr>
                <w:rFonts w:hint="default"/>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8726D36">
            <w:pPr>
              <w:spacing w:beforeLines="0" w:afterLines="0" w:line="300" w:lineRule="exact"/>
              <w:jc w:val="center"/>
              <w:rPr>
                <w:rFonts w:hint="default"/>
                <w:color w:val="000000"/>
                <w:sz w:val="18"/>
                <w:szCs w:val="18"/>
              </w:rPr>
            </w:pPr>
            <w:r>
              <w:rPr>
                <w:rFonts w:hint="eastAsia"/>
                <w:color w:val="000000"/>
                <w:sz w:val="18"/>
                <w:szCs w:val="18"/>
              </w:rPr>
              <w:t>141.72</w:t>
            </w:r>
          </w:p>
        </w:tc>
        <w:tc>
          <w:tcPr>
            <w:tcW w:w="10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938125">
            <w:pPr>
              <w:spacing w:beforeLines="0" w:afterLines="0" w:line="300" w:lineRule="exact"/>
              <w:jc w:val="center"/>
              <w:rPr>
                <w:rFonts w:hint="default"/>
                <w:color w:val="000000"/>
                <w:sz w:val="18"/>
                <w:szCs w:val="18"/>
              </w:rPr>
            </w:pPr>
            <w:r>
              <w:rPr>
                <w:rFonts w:hint="eastAsia"/>
                <w:color w:val="000000"/>
                <w:sz w:val="18"/>
                <w:szCs w:val="18"/>
              </w:rPr>
              <w:t>万元</w:t>
            </w:r>
          </w:p>
        </w:tc>
        <w:tc>
          <w:tcPr>
            <w:tcW w:w="9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F9EBFF8">
            <w:pPr>
              <w:spacing w:beforeLines="0" w:afterLines="0" w:line="300" w:lineRule="exact"/>
              <w:jc w:val="center"/>
              <w:rPr>
                <w:rFonts w:hint="default"/>
                <w:color w:val="000000"/>
                <w:sz w:val="18"/>
                <w:szCs w:val="18"/>
              </w:rPr>
            </w:pPr>
            <w:r>
              <w:rPr>
                <w:rFonts w:hint="eastAsia"/>
                <w:color w:val="000000"/>
                <w:sz w:val="18"/>
                <w:szCs w:val="18"/>
              </w:rPr>
              <w:t>20</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B69D13">
            <w:pPr>
              <w:spacing w:beforeLines="0" w:afterLines="0" w:line="300" w:lineRule="exact"/>
              <w:jc w:val="center"/>
              <w:rPr>
                <w:rFonts w:hint="default"/>
                <w:color w:val="000000"/>
                <w:sz w:val="18"/>
                <w:szCs w:val="18"/>
              </w:rPr>
            </w:pPr>
            <w:r>
              <w:rPr>
                <w:rFonts w:hint="eastAsia"/>
                <w:color w:val="000000"/>
                <w:sz w:val="18"/>
                <w:szCs w:val="18"/>
              </w:rPr>
              <w:t>141.72</w:t>
            </w:r>
          </w:p>
        </w:tc>
      </w:tr>
      <w:tr w14:paraId="0CBA6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nil"/>
              <w:tl2br w:val="nil"/>
              <w:tr2bl w:val="nil"/>
            </w:tcBorders>
            <w:noWrap w:val="0"/>
            <w:vAlign w:val="center"/>
          </w:tcPr>
          <w:p w14:paraId="38CD4F4B">
            <w:pPr>
              <w:spacing w:beforeLines="0" w:afterLines="0" w:line="300" w:lineRule="exact"/>
              <w:jc w:val="center"/>
              <w:rPr>
                <w:rFonts w:hint="default"/>
                <w:color w:val="000000"/>
                <w:sz w:val="18"/>
                <w:szCs w:val="18"/>
              </w:rPr>
            </w:pPr>
          </w:p>
        </w:tc>
        <w:tc>
          <w:tcPr>
            <w:tcW w:w="868" w:type="dxa"/>
            <w:tcBorders>
              <w:top w:val="single" w:color="000000" w:sz="4" w:space="0"/>
              <w:left w:val="single" w:color="000000" w:sz="4" w:space="0"/>
              <w:bottom w:val="nil"/>
              <w:right w:val="single" w:color="000000" w:sz="4" w:space="0"/>
              <w:tl2br w:val="nil"/>
              <w:tr2bl w:val="nil"/>
            </w:tcBorders>
            <w:noWrap w:val="0"/>
            <w:vAlign w:val="center"/>
          </w:tcPr>
          <w:p w14:paraId="4524F794">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满意度</w:t>
            </w:r>
          </w:p>
          <w:p w14:paraId="1E97584D">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指标</w:t>
            </w:r>
          </w:p>
        </w:tc>
        <w:tc>
          <w:tcPr>
            <w:tcW w:w="1243" w:type="dxa"/>
            <w:tcBorders>
              <w:top w:val="single" w:color="000000" w:sz="4" w:space="0"/>
              <w:left w:val="single" w:color="000000" w:sz="4" w:space="0"/>
              <w:bottom w:val="nil"/>
              <w:right w:val="single" w:color="000000" w:sz="4" w:space="0"/>
              <w:tl2br w:val="nil"/>
              <w:tr2bl w:val="nil"/>
            </w:tcBorders>
            <w:noWrap w:val="0"/>
            <w:vAlign w:val="center"/>
          </w:tcPr>
          <w:p w14:paraId="436BA631">
            <w:pPr>
              <w:widowControl/>
              <w:spacing w:beforeLines="0" w:afterLines="0" w:line="300" w:lineRule="exact"/>
              <w:jc w:val="center"/>
              <w:textAlignment w:val="center"/>
              <w:rPr>
                <w:rFonts w:hint="default"/>
                <w:color w:val="000000"/>
                <w:kern w:val="0"/>
                <w:sz w:val="18"/>
                <w:szCs w:val="18"/>
              </w:rPr>
            </w:pPr>
            <w:r>
              <w:rPr>
                <w:rFonts w:hint="eastAsia"/>
                <w:color w:val="000000"/>
                <w:kern w:val="0"/>
                <w:sz w:val="18"/>
                <w:szCs w:val="18"/>
              </w:rPr>
              <w:t>服务对象</w:t>
            </w:r>
          </w:p>
          <w:p w14:paraId="675C1FAC">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满意度指标</w:t>
            </w:r>
          </w:p>
        </w:tc>
        <w:tc>
          <w:tcPr>
            <w:tcW w:w="13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6A5F337">
            <w:pPr>
              <w:spacing w:beforeLines="0" w:afterLines="0" w:line="300" w:lineRule="exact"/>
              <w:rPr>
                <w:rFonts w:hint="default"/>
                <w:color w:val="000000"/>
                <w:sz w:val="18"/>
                <w:szCs w:val="18"/>
              </w:rPr>
            </w:pPr>
            <w:r>
              <w:rPr>
                <w:rFonts w:hint="eastAsia"/>
                <w:color w:val="000000"/>
                <w:sz w:val="18"/>
                <w:szCs w:val="18"/>
              </w:rPr>
              <w:t>群众满意度</w:t>
            </w:r>
          </w:p>
        </w:tc>
        <w:tc>
          <w:tcPr>
            <w:tcW w:w="112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D106E7D">
            <w:pPr>
              <w:spacing w:beforeLines="0" w:afterLines="0" w:line="300" w:lineRule="exact"/>
              <w:jc w:val="center"/>
              <w:rPr>
                <w:rFonts w:hint="default"/>
                <w:color w:val="000000"/>
                <w:sz w:val="18"/>
                <w:szCs w:val="18"/>
              </w:rPr>
            </w:pPr>
            <w:r>
              <w:rPr>
                <w:rFonts w:hint="eastAsia"/>
                <w:color w:val="000000"/>
                <w:sz w:val="18"/>
                <w:szCs w:val="18"/>
              </w:rPr>
              <w:t>≥</w:t>
            </w:r>
          </w:p>
        </w:tc>
        <w:tc>
          <w:tcPr>
            <w:tcW w:w="96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58C70F6">
            <w:pPr>
              <w:spacing w:beforeLines="0" w:afterLines="0" w:line="300" w:lineRule="exact"/>
              <w:jc w:val="center"/>
              <w:rPr>
                <w:rFonts w:hint="default"/>
                <w:color w:val="000000"/>
                <w:sz w:val="18"/>
                <w:szCs w:val="18"/>
              </w:rPr>
            </w:pPr>
            <w:r>
              <w:rPr>
                <w:rFonts w:hint="eastAsia"/>
                <w:color w:val="000000"/>
                <w:sz w:val="18"/>
                <w:szCs w:val="18"/>
              </w:rPr>
              <w:t>85</w:t>
            </w:r>
          </w:p>
        </w:tc>
        <w:tc>
          <w:tcPr>
            <w:tcW w:w="10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89A5504">
            <w:pPr>
              <w:spacing w:beforeLines="0" w:afterLines="0" w:line="300" w:lineRule="exact"/>
              <w:jc w:val="center"/>
              <w:rPr>
                <w:rFonts w:hint="default"/>
                <w:color w:val="000000"/>
                <w:sz w:val="18"/>
                <w:szCs w:val="18"/>
              </w:rPr>
            </w:pPr>
            <w:r>
              <w:rPr>
                <w:rFonts w:hint="eastAsia"/>
                <w:color w:val="000000"/>
                <w:sz w:val="18"/>
                <w:szCs w:val="18"/>
              </w:rPr>
              <w:t>%</w:t>
            </w:r>
          </w:p>
        </w:tc>
        <w:tc>
          <w:tcPr>
            <w:tcW w:w="9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ED4B64">
            <w:pPr>
              <w:spacing w:beforeLines="0" w:afterLines="0" w:line="300" w:lineRule="exact"/>
              <w:jc w:val="center"/>
              <w:rPr>
                <w:rFonts w:hint="default"/>
                <w:color w:val="000000"/>
                <w:sz w:val="18"/>
                <w:szCs w:val="18"/>
              </w:rPr>
            </w:pPr>
            <w:r>
              <w:rPr>
                <w:rFonts w:hint="eastAsia"/>
                <w:color w:val="000000"/>
                <w:sz w:val="18"/>
                <w:szCs w:val="18"/>
              </w:rPr>
              <w:t>10</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8B01A1">
            <w:pPr>
              <w:spacing w:beforeLines="0" w:afterLines="0" w:line="300" w:lineRule="exact"/>
              <w:jc w:val="center"/>
              <w:rPr>
                <w:rFonts w:hint="default"/>
                <w:color w:val="000000"/>
                <w:sz w:val="18"/>
                <w:szCs w:val="18"/>
              </w:rPr>
            </w:pPr>
            <w:r>
              <w:rPr>
                <w:rFonts w:hint="eastAsia"/>
                <w:color w:val="000000"/>
                <w:sz w:val="18"/>
                <w:szCs w:val="18"/>
              </w:rPr>
              <w:t>85</w:t>
            </w:r>
          </w:p>
        </w:tc>
      </w:tr>
      <w:tr w14:paraId="1E99F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855" w:type="dxa"/>
            <w:vMerge w:val="continue"/>
            <w:tcBorders>
              <w:top w:val="single" w:color="000000" w:sz="4" w:space="0"/>
              <w:left w:val="single" w:color="000000" w:sz="4" w:space="0"/>
              <w:bottom w:val="single" w:color="000000" w:sz="4" w:space="0"/>
              <w:right w:val="nil"/>
              <w:tl2br w:val="nil"/>
              <w:tr2bl w:val="nil"/>
            </w:tcBorders>
            <w:noWrap w:val="0"/>
            <w:vAlign w:val="center"/>
          </w:tcPr>
          <w:p w14:paraId="5EE9ED98">
            <w:pPr>
              <w:spacing w:beforeLines="0" w:afterLines="0" w:line="300" w:lineRule="exact"/>
              <w:jc w:val="center"/>
              <w:rPr>
                <w:rFonts w:hint="default"/>
                <w:color w:val="000000"/>
                <w:sz w:val="18"/>
                <w:szCs w:val="18"/>
              </w:rPr>
            </w:pPr>
          </w:p>
        </w:tc>
        <w:tc>
          <w:tcPr>
            <w:tcW w:w="86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3801865">
            <w:pPr>
              <w:widowControl/>
              <w:spacing w:beforeLines="0" w:afterLines="0" w:line="300" w:lineRule="exact"/>
              <w:jc w:val="center"/>
              <w:textAlignment w:val="center"/>
              <w:rPr>
                <w:rFonts w:hint="default"/>
                <w:color w:val="000000"/>
                <w:sz w:val="18"/>
                <w:szCs w:val="18"/>
              </w:rPr>
            </w:pPr>
            <w:r>
              <w:rPr>
                <w:rFonts w:hint="eastAsia"/>
                <w:color w:val="000000"/>
                <w:kern w:val="0"/>
                <w:sz w:val="18"/>
                <w:szCs w:val="18"/>
              </w:rPr>
              <w:t>成本指标</w:t>
            </w:r>
          </w:p>
        </w:tc>
        <w:tc>
          <w:tcPr>
            <w:tcW w:w="1243"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9DE8E8">
            <w:pPr>
              <w:widowControl/>
              <w:spacing w:beforeLines="0" w:afterLines="0" w:line="300" w:lineRule="exact"/>
              <w:jc w:val="center"/>
              <w:textAlignment w:val="center"/>
              <w:rPr>
                <w:rFonts w:hint="default"/>
                <w:color w:val="000000"/>
                <w:sz w:val="18"/>
                <w:szCs w:val="18"/>
              </w:rPr>
            </w:pPr>
            <w:r>
              <w:rPr>
                <w:rFonts w:hint="eastAsia"/>
                <w:color w:val="000000"/>
                <w:sz w:val="18"/>
                <w:szCs w:val="18"/>
              </w:rPr>
              <w:t>生态环境成本指标</w:t>
            </w:r>
          </w:p>
        </w:tc>
        <w:tc>
          <w:tcPr>
            <w:tcW w:w="1304" w:type="dxa"/>
            <w:tcBorders>
              <w:top w:val="single" w:color="000000" w:sz="4" w:space="0"/>
              <w:left w:val="nil"/>
              <w:bottom w:val="single" w:color="000000" w:sz="4" w:space="0"/>
              <w:right w:val="single" w:color="000000" w:sz="4" w:space="0"/>
              <w:tl2br w:val="nil"/>
              <w:tr2bl w:val="nil"/>
            </w:tcBorders>
            <w:noWrap w:val="0"/>
            <w:vAlign w:val="center"/>
          </w:tcPr>
          <w:p w14:paraId="170649BF">
            <w:pPr>
              <w:spacing w:beforeLines="0" w:afterLines="0" w:line="300" w:lineRule="exact"/>
              <w:rPr>
                <w:rFonts w:hint="default"/>
                <w:color w:val="000000"/>
                <w:sz w:val="18"/>
                <w:szCs w:val="18"/>
              </w:rPr>
            </w:pPr>
            <w:r>
              <w:rPr>
                <w:rFonts w:hint="eastAsia"/>
                <w:color w:val="000000"/>
                <w:sz w:val="18"/>
                <w:szCs w:val="18"/>
              </w:rPr>
              <w:t>可持续性</w:t>
            </w:r>
          </w:p>
        </w:tc>
        <w:tc>
          <w:tcPr>
            <w:tcW w:w="112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780DDB5">
            <w:pPr>
              <w:spacing w:beforeLines="0" w:afterLines="0" w:line="300" w:lineRule="exact"/>
              <w:jc w:val="center"/>
              <w:rPr>
                <w:rFonts w:hint="default"/>
                <w:color w:val="000000"/>
                <w:sz w:val="18"/>
                <w:szCs w:val="18"/>
              </w:rPr>
            </w:pPr>
            <w:r>
              <w:rPr>
                <w:rFonts w:hint="eastAsia"/>
                <w:color w:val="000000"/>
                <w:sz w:val="18"/>
                <w:szCs w:val="18"/>
              </w:rPr>
              <w:t>定性</w:t>
            </w:r>
          </w:p>
        </w:tc>
        <w:tc>
          <w:tcPr>
            <w:tcW w:w="96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CF9DF22">
            <w:pPr>
              <w:spacing w:beforeLines="0" w:afterLines="0" w:line="300" w:lineRule="exact"/>
              <w:jc w:val="center"/>
              <w:rPr>
                <w:rFonts w:hint="default"/>
                <w:color w:val="000000"/>
                <w:sz w:val="18"/>
                <w:szCs w:val="18"/>
              </w:rPr>
            </w:pPr>
            <w:r>
              <w:rPr>
                <w:rFonts w:hint="eastAsia"/>
                <w:color w:val="000000"/>
                <w:sz w:val="18"/>
                <w:szCs w:val="18"/>
              </w:rPr>
              <w:t>高中低</w:t>
            </w:r>
          </w:p>
        </w:tc>
        <w:tc>
          <w:tcPr>
            <w:tcW w:w="10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80F104">
            <w:pPr>
              <w:spacing w:beforeLines="0" w:afterLines="0" w:line="300" w:lineRule="exact"/>
              <w:jc w:val="center"/>
              <w:rPr>
                <w:rFonts w:hint="default"/>
                <w:color w:val="000000"/>
                <w:sz w:val="18"/>
                <w:szCs w:val="18"/>
              </w:rPr>
            </w:pPr>
            <w:r>
              <w:rPr>
                <w:rFonts w:hint="eastAsia"/>
                <w:color w:val="000000"/>
                <w:sz w:val="18"/>
                <w:szCs w:val="18"/>
              </w:rPr>
              <w:t>其他</w:t>
            </w:r>
          </w:p>
        </w:tc>
        <w:tc>
          <w:tcPr>
            <w:tcW w:w="93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673C47">
            <w:pPr>
              <w:spacing w:beforeLines="0" w:afterLines="0" w:line="300" w:lineRule="exact"/>
              <w:jc w:val="center"/>
              <w:rPr>
                <w:rFonts w:hint="default"/>
                <w:color w:val="000000"/>
                <w:sz w:val="18"/>
                <w:szCs w:val="18"/>
              </w:rPr>
            </w:pPr>
            <w:r>
              <w:rPr>
                <w:rFonts w:hint="eastAsia"/>
                <w:color w:val="000000"/>
                <w:sz w:val="18"/>
                <w:szCs w:val="18"/>
              </w:rPr>
              <w:t>10</w:t>
            </w:r>
          </w:p>
        </w:tc>
        <w:tc>
          <w:tcPr>
            <w:tcW w:w="18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20C6A7">
            <w:pPr>
              <w:spacing w:beforeLines="0" w:afterLines="0" w:line="300" w:lineRule="exact"/>
              <w:jc w:val="center"/>
              <w:rPr>
                <w:rFonts w:hint="default"/>
                <w:color w:val="000000"/>
                <w:sz w:val="18"/>
                <w:szCs w:val="18"/>
              </w:rPr>
            </w:pPr>
            <w:r>
              <w:rPr>
                <w:rFonts w:hint="eastAsia"/>
                <w:color w:val="000000"/>
                <w:sz w:val="18"/>
                <w:szCs w:val="18"/>
              </w:rPr>
              <w:t>高</w:t>
            </w:r>
          </w:p>
        </w:tc>
      </w:tr>
    </w:tbl>
    <w:p w14:paraId="4CEC1504">
      <w:pPr>
        <w:pStyle w:val="13"/>
        <w:spacing w:beforeLines="0" w:afterLines="0"/>
        <w:rPr>
          <w:rFonts w:hint="default"/>
          <w:sz w:val="18"/>
          <w:szCs w:val="18"/>
        </w:rPr>
      </w:pPr>
    </w:p>
    <w:p w14:paraId="1C5C6905">
      <w:pPr>
        <w:pStyle w:val="13"/>
        <w:spacing w:beforeLines="0" w:afterLines="0"/>
        <w:rPr>
          <w:rFonts w:hint="default"/>
          <w:sz w:val="18"/>
          <w:szCs w:val="18"/>
        </w:rPr>
      </w:pPr>
    </w:p>
    <w:p w14:paraId="514B994A">
      <w:pPr>
        <w:pStyle w:val="13"/>
        <w:spacing w:beforeLines="0" w:afterLines="0"/>
        <w:rPr>
          <w:rFonts w:hint="default"/>
          <w:sz w:val="18"/>
          <w:szCs w:val="18"/>
        </w:rPr>
      </w:pPr>
    </w:p>
    <w:p w14:paraId="2C89E36B">
      <w:pPr>
        <w:pStyle w:val="13"/>
        <w:spacing w:beforeLines="0" w:afterLines="0"/>
        <w:rPr>
          <w:rFonts w:hint="default"/>
          <w:sz w:val="18"/>
          <w:szCs w:val="18"/>
        </w:rPr>
      </w:pPr>
    </w:p>
    <w:p w14:paraId="44F24594">
      <w:pPr>
        <w:pStyle w:val="13"/>
        <w:spacing w:beforeLines="0" w:afterLines="0"/>
        <w:rPr>
          <w:rFonts w:hint="default"/>
          <w:sz w:val="18"/>
          <w:szCs w:val="18"/>
        </w:rPr>
      </w:pPr>
    </w:p>
    <w:p w14:paraId="00904A22">
      <w:pPr>
        <w:pStyle w:val="13"/>
        <w:spacing w:beforeLines="0" w:afterLines="0"/>
        <w:rPr>
          <w:rFonts w:hint="default"/>
          <w:sz w:val="18"/>
          <w:szCs w:val="18"/>
        </w:rPr>
      </w:pPr>
    </w:p>
    <w:p w14:paraId="32F32329">
      <w:pPr>
        <w:pStyle w:val="13"/>
        <w:spacing w:beforeLines="0" w:afterLines="0"/>
        <w:rPr>
          <w:rFonts w:hint="default"/>
          <w:sz w:val="18"/>
          <w:szCs w:val="18"/>
        </w:rPr>
      </w:pPr>
    </w:p>
    <w:p w14:paraId="31453B10">
      <w:pPr>
        <w:pStyle w:val="13"/>
        <w:spacing w:beforeLines="0" w:afterLines="0"/>
        <w:rPr>
          <w:rFonts w:hint="default"/>
          <w:sz w:val="18"/>
          <w:szCs w:val="18"/>
        </w:rPr>
      </w:pPr>
    </w:p>
    <w:p w14:paraId="49D0D257">
      <w:pPr>
        <w:pStyle w:val="13"/>
        <w:spacing w:beforeLines="0" w:afterLines="0"/>
        <w:rPr>
          <w:rFonts w:hint="default"/>
          <w:sz w:val="18"/>
          <w:szCs w:val="18"/>
        </w:rPr>
      </w:pPr>
    </w:p>
    <w:p w14:paraId="6DD63FD7">
      <w:pPr>
        <w:pStyle w:val="13"/>
        <w:spacing w:beforeLines="0" w:afterLines="0"/>
        <w:rPr>
          <w:rFonts w:hint="default"/>
          <w:sz w:val="18"/>
          <w:szCs w:val="18"/>
        </w:rPr>
      </w:pPr>
    </w:p>
    <w:p w14:paraId="1776EE3C">
      <w:pPr>
        <w:pStyle w:val="13"/>
        <w:spacing w:beforeLines="0" w:afterLines="0"/>
        <w:rPr>
          <w:rFonts w:hint="default"/>
          <w:sz w:val="18"/>
          <w:szCs w:val="18"/>
        </w:rPr>
      </w:pPr>
    </w:p>
    <w:p w14:paraId="5540D67A">
      <w:pPr>
        <w:pStyle w:val="13"/>
        <w:spacing w:beforeLines="0" w:afterLines="0"/>
        <w:rPr>
          <w:rFonts w:hint="default"/>
          <w:sz w:val="18"/>
          <w:szCs w:val="18"/>
        </w:rPr>
      </w:pPr>
    </w:p>
    <w:p w14:paraId="63E3ACAA">
      <w:pPr>
        <w:pStyle w:val="13"/>
        <w:spacing w:beforeLines="0" w:afterLines="0"/>
        <w:rPr>
          <w:rFonts w:hint="default"/>
          <w:sz w:val="18"/>
          <w:szCs w:val="18"/>
        </w:rPr>
      </w:pPr>
    </w:p>
    <w:p w14:paraId="3A592C9B">
      <w:pPr>
        <w:pStyle w:val="3"/>
        <w:jc w:val="center"/>
        <w:rPr>
          <w:rFonts w:ascii="黑体" w:eastAsia="黑体" w:cs="黑体"/>
          <w:b w:val="0"/>
          <w:bCs w:val="0"/>
        </w:rPr>
      </w:pPr>
      <w:bookmarkStart w:id="66" w:name="_Toc111208512"/>
      <w:bookmarkStart w:id="67" w:name="_Toc79163885"/>
      <w:bookmarkStart w:id="68" w:name="_Toc79163635"/>
      <w:bookmarkStart w:id="69" w:name="_Toc7883"/>
      <w:r>
        <w:rPr>
          <w:rFonts w:hint="eastAsia" w:ascii="黑体" w:eastAsia="黑体" w:cs="黑体"/>
          <w:b w:val="0"/>
          <w:bCs w:val="0"/>
        </w:rPr>
        <w:t>第五部分 附表</w:t>
      </w:r>
      <w:bookmarkEnd w:id="66"/>
      <w:bookmarkEnd w:id="67"/>
      <w:bookmarkEnd w:id="68"/>
      <w:bookmarkEnd w:id="69"/>
    </w:p>
    <w:p w14:paraId="3DF5F0C6">
      <w:pPr>
        <w:pStyle w:val="4"/>
        <w:ind w:firstLine="640" w:firstLineChars="200"/>
        <w:rPr>
          <w:rFonts w:ascii="黑体" w:eastAsia="黑体"/>
          <w:b w:val="0"/>
          <w:bCs w:val="0"/>
          <w:color w:val="000000"/>
        </w:rPr>
      </w:pPr>
      <w:bookmarkStart w:id="70" w:name="_Toc735"/>
      <w:r>
        <w:rPr>
          <w:rFonts w:hint="eastAsia" w:ascii="黑体" w:eastAsia="黑体"/>
          <w:b w:val="0"/>
          <w:bCs w:val="0"/>
          <w:color w:val="000000"/>
        </w:rPr>
        <w:t>一、收入支出决算总表</w:t>
      </w:r>
      <w:bookmarkEnd w:id="70"/>
    </w:p>
    <w:p w14:paraId="1C23948F">
      <w:pPr>
        <w:pStyle w:val="4"/>
        <w:ind w:firstLine="640" w:firstLineChars="200"/>
        <w:rPr>
          <w:rFonts w:ascii="黑体" w:eastAsia="黑体"/>
          <w:b w:val="0"/>
          <w:bCs w:val="0"/>
          <w:color w:val="000000"/>
        </w:rPr>
      </w:pPr>
      <w:bookmarkStart w:id="71" w:name="_Toc6742"/>
      <w:r>
        <w:rPr>
          <w:rFonts w:hint="eastAsia" w:ascii="黑体" w:eastAsia="黑体"/>
          <w:b w:val="0"/>
          <w:bCs w:val="0"/>
          <w:color w:val="000000"/>
        </w:rPr>
        <w:t>二、收入决算表</w:t>
      </w:r>
      <w:bookmarkEnd w:id="71"/>
    </w:p>
    <w:p w14:paraId="6DFB6313">
      <w:pPr>
        <w:pStyle w:val="4"/>
        <w:ind w:firstLine="640" w:firstLineChars="200"/>
        <w:rPr>
          <w:rFonts w:ascii="黑体" w:eastAsia="黑体"/>
          <w:b w:val="0"/>
          <w:bCs w:val="0"/>
          <w:color w:val="000000"/>
        </w:rPr>
      </w:pPr>
      <w:bookmarkStart w:id="72" w:name="_Toc11339"/>
      <w:r>
        <w:rPr>
          <w:rFonts w:hint="eastAsia" w:ascii="黑体" w:eastAsia="黑体"/>
          <w:b w:val="0"/>
          <w:bCs w:val="0"/>
          <w:color w:val="000000"/>
        </w:rPr>
        <w:t>三、支出决算表</w:t>
      </w:r>
      <w:bookmarkEnd w:id="72"/>
    </w:p>
    <w:p w14:paraId="5A0DC800">
      <w:pPr>
        <w:pStyle w:val="4"/>
        <w:ind w:firstLine="640" w:firstLineChars="200"/>
        <w:rPr>
          <w:rFonts w:ascii="黑体" w:eastAsia="黑体"/>
          <w:b w:val="0"/>
          <w:bCs w:val="0"/>
          <w:color w:val="000000"/>
        </w:rPr>
      </w:pPr>
      <w:bookmarkStart w:id="73" w:name="_Toc17168"/>
      <w:r>
        <w:rPr>
          <w:rFonts w:hint="eastAsia" w:ascii="黑体" w:eastAsia="黑体"/>
          <w:b w:val="0"/>
          <w:bCs w:val="0"/>
          <w:color w:val="000000"/>
        </w:rPr>
        <w:t>四、财政拨款收入支出决算总表</w:t>
      </w:r>
      <w:bookmarkEnd w:id="73"/>
    </w:p>
    <w:p w14:paraId="7A1D30AA">
      <w:pPr>
        <w:pStyle w:val="4"/>
        <w:ind w:firstLine="640" w:firstLineChars="200"/>
        <w:rPr>
          <w:rFonts w:ascii="黑体" w:eastAsia="黑体"/>
          <w:b w:val="0"/>
          <w:bCs w:val="0"/>
          <w:color w:val="000000"/>
        </w:rPr>
      </w:pPr>
      <w:bookmarkStart w:id="74" w:name="_Toc22470"/>
      <w:r>
        <w:rPr>
          <w:rFonts w:hint="eastAsia" w:ascii="黑体" w:eastAsia="黑体"/>
          <w:b w:val="0"/>
          <w:bCs w:val="0"/>
          <w:color w:val="000000"/>
        </w:rPr>
        <w:t>五、财政拨款支出决算明细表</w:t>
      </w:r>
      <w:bookmarkEnd w:id="74"/>
    </w:p>
    <w:p w14:paraId="68A672AA">
      <w:pPr>
        <w:pStyle w:val="4"/>
        <w:ind w:firstLine="640" w:firstLineChars="200"/>
        <w:rPr>
          <w:rFonts w:ascii="黑体" w:eastAsia="黑体"/>
          <w:b w:val="0"/>
          <w:bCs w:val="0"/>
          <w:color w:val="000000"/>
        </w:rPr>
      </w:pPr>
      <w:bookmarkStart w:id="75" w:name="_Toc4543"/>
      <w:r>
        <w:rPr>
          <w:rFonts w:hint="eastAsia" w:ascii="黑体" w:eastAsia="黑体"/>
          <w:b w:val="0"/>
          <w:bCs w:val="0"/>
          <w:color w:val="000000"/>
        </w:rPr>
        <w:t>六、一般公共预算财政拨款支出决算表</w:t>
      </w:r>
      <w:bookmarkEnd w:id="75"/>
    </w:p>
    <w:p w14:paraId="108ED0DF">
      <w:pPr>
        <w:pStyle w:val="4"/>
        <w:ind w:firstLine="640" w:firstLineChars="200"/>
        <w:rPr>
          <w:rFonts w:ascii="黑体" w:eastAsia="黑体"/>
          <w:b w:val="0"/>
          <w:bCs w:val="0"/>
          <w:color w:val="000000"/>
        </w:rPr>
      </w:pPr>
      <w:bookmarkStart w:id="76" w:name="_Toc12789"/>
      <w:r>
        <w:rPr>
          <w:rFonts w:hint="eastAsia" w:ascii="黑体" w:eastAsia="黑体"/>
          <w:b w:val="0"/>
          <w:bCs w:val="0"/>
          <w:color w:val="000000"/>
        </w:rPr>
        <w:t>七、一般公共预算财政拨款支出决算明细表</w:t>
      </w:r>
      <w:bookmarkEnd w:id="76"/>
    </w:p>
    <w:p w14:paraId="544EFFD1">
      <w:pPr>
        <w:pStyle w:val="4"/>
        <w:ind w:firstLine="640" w:firstLineChars="200"/>
        <w:rPr>
          <w:rFonts w:ascii="黑体" w:eastAsia="黑体"/>
          <w:b w:val="0"/>
          <w:bCs w:val="0"/>
          <w:color w:val="000000"/>
        </w:rPr>
      </w:pPr>
      <w:bookmarkStart w:id="77" w:name="_Toc931"/>
      <w:r>
        <w:rPr>
          <w:rFonts w:hint="eastAsia" w:ascii="黑体" w:eastAsia="黑体"/>
          <w:b w:val="0"/>
          <w:bCs w:val="0"/>
          <w:color w:val="000000"/>
        </w:rPr>
        <w:t>八、一般公共预算财政拨款基本支出决算表</w:t>
      </w:r>
      <w:bookmarkEnd w:id="77"/>
    </w:p>
    <w:p w14:paraId="01716CB4">
      <w:pPr>
        <w:pStyle w:val="4"/>
        <w:ind w:firstLine="640" w:firstLineChars="200"/>
        <w:rPr>
          <w:rFonts w:ascii="黑体" w:eastAsia="黑体"/>
          <w:b w:val="0"/>
          <w:bCs w:val="0"/>
          <w:color w:val="000000"/>
        </w:rPr>
      </w:pPr>
      <w:bookmarkStart w:id="78" w:name="_Toc24980"/>
      <w:r>
        <w:rPr>
          <w:rFonts w:hint="eastAsia" w:ascii="黑体" w:eastAsia="黑体"/>
          <w:b w:val="0"/>
          <w:bCs w:val="0"/>
          <w:color w:val="000000"/>
        </w:rPr>
        <w:t>九、一般公共预算财政拨款项目支出决算表</w:t>
      </w:r>
      <w:bookmarkEnd w:id="78"/>
    </w:p>
    <w:p w14:paraId="6D39B14A">
      <w:pPr>
        <w:pStyle w:val="4"/>
        <w:ind w:firstLine="640" w:firstLineChars="200"/>
        <w:rPr>
          <w:rFonts w:ascii="黑体" w:eastAsia="黑体"/>
          <w:b w:val="0"/>
          <w:bCs w:val="0"/>
          <w:color w:val="000000"/>
        </w:rPr>
      </w:pPr>
      <w:bookmarkStart w:id="79" w:name="_Toc20738"/>
      <w:r>
        <w:rPr>
          <w:rFonts w:hint="eastAsia" w:ascii="黑体" w:eastAsia="黑体"/>
          <w:b w:val="0"/>
          <w:bCs w:val="0"/>
          <w:color w:val="000000"/>
        </w:rPr>
        <w:t>十、政府性基金预算财政拨款收入支出决算表</w:t>
      </w:r>
      <w:bookmarkEnd w:id="79"/>
    </w:p>
    <w:p w14:paraId="7BEE0786">
      <w:pPr>
        <w:pStyle w:val="4"/>
        <w:ind w:firstLine="640" w:firstLineChars="200"/>
        <w:rPr>
          <w:rFonts w:ascii="黑体" w:eastAsia="黑体"/>
          <w:b w:val="0"/>
          <w:bCs w:val="0"/>
          <w:color w:val="000000"/>
        </w:rPr>
      </w:pPr>
      <w:bookmarkStart w:id="80" w:name="_Toc8298"/>
      <w:r>
        <w:rPr>
          <w:rFonts w:hint="eastAsia" w:ascii="黑体" w:eastAsia="黑体"/>
          <w:b w:val="0"/>
          <w:bCs w:val="0"/>
          <w:color w:val="000000"/>
        </w:rPr>
        <w:t>十一、国有资本经营预算财政拨款收入支出决算表</w:t>
      </w:r>
      <w:bookmarkEnd w:id="80"/>
    </w:p>
    <w:p w14:paraId="41F36E87">
      <w:pPr>
        <w:pStyle w:val="4"/>
        <w:ind w:firstLine="640" w:firstLineChars="200"/>
        <w:rPr>
          <w:rFonts w:ascii="黑体" w:eastAsia="黑体"/>
          <w:b w:val="0"/>
          <w:bCs w:val="0"/>
          <w:color w:val="000000"/>
        </w:rPr>
      </w:pPr>
      <w:bookmarkStart w:id="81" w:name="_Toc27853"/>
      <w:r>
        <w:rPr>
          <w:rFonts w:hint="eastAsia" w:ascii="黑体" w:eastAsia="黑体"/>
          <w:b w:val="0"/>
          <w:bCs w:val="0"/>
          <w:color w:val="000000"/>
        </w:rPr>
        <w:t>十二、国有资本经营预算财政拨款支出决算表</w:t>
      </w:r>
      <w:bookmarkEnd w:id="81"/>
    </w:p>
    <w:p w14:paraId="49FDEDD0">
      <w:pPr>
        <w:pStyle w:val="4"/>
        <w:ind w:firstLine="640" w:firstLineChars="200"/>
        <w:rPr>
          <w:rFonts w:ascii="黑体" w:eastAsia="黑体"/>
          <w:b w:val="0"/>
          <w:bCs w:val="0"/>
          <w:color w:val="000000"/>
        </w:rPr>
      </w:pPr>
      <w:bookmarkStart w:id="82" w:name="_Toc23744"/>
      <w:r>
        <w:rPr>
          <w:rFonts w:hint="eastAsia" w:ascii="黑体" w:eastAsia="黑体"/>
          <w:b w:val="0"/>
          <w:bCs w:val="0"/>
          <w:color w:val="000000"/>
        </w:rPr>
        <w:t>十三、财政拨款“三公”经费支出决算表</w:t>
      </w:r>
      <w:bookmarkEnd w:id="82"/>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02C960-D93D-4519-9D3D-161090E142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2" w:fontKey="{61E87BED-084C-49B6-84D2-C53F21D6D686}"/>
  </w:font>
  <w:font w:name="仿宋">
    <w:panose1 w:val="02010609060101010101"/>
    <w:charset w:val="86"/>
    <w:family w:val="modern"/>
    <w:pitch w:val="default"/>
    <w:sig w:usb0="800002BF" w:usb1="38CF7CFA" w:usb2="00000016" w:usb3="00000000" w:csb0="00040001" w:csb1="00000000"/>
    <w:embedRegular r:id="rId3" w:fontKey="{96010985-85A3-4A9B-B8D8-CE5976AB605A}"/>
  </w:font>
  <w:font w:name="方正小标宋简体">
    <w:panose1 w:val="02000000000000000000"/>
    <w:charset w:val="86"/>
    <w:family w:val="auto"/>
    <w:pitch w:val="default"/>
    <w:sig w:usb0="00000001" w:usb1="08000000" w:usb2="00000000" w:usb3="00000000" w:csb0="00040000" w:csb1="00000000"/>
    <w:embedRegular r:id="rId4" w:fontKey="{4063268E-4C10-4284-9D43-81A050168C11}"/>
  </w:font>
  <w:font w:name="Lucida Sans">
    <w:altName w:val="Lucida Sans Unicode"/>
    <w:panose1 w:val="020B0602030504020204"/>
    <w:charset w:val="01"/>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embedRegular r:id="rId5" w:fontKey="{C9C874C1-72B1-45CA-8970-D7639E6F174F}"/>
  </w:font>
  <w:font w:name="Wingdings 2">
    <w:altName w:val="Wingdings"/>
    <w:panose1 w:val="05020102010507070707"/>
    <w:charset w:val="02"/>
    <w:family w:val="roman"/>
    <w:pitch w:val="default"/>
    <w:sig w:usb0="00000000" w:usb1="00000000" w:usb2="00000000" w:usb3="00000000" w:csb0="80000000" w:csb1="00000000"/>
    <w:embedRegular r:id="rId6" w:fontKey="{D1363B7B-93EF-471C-B2B8-7C949977FD03}"/>
  </w:font>
  <w:font w:name="KSOFE44F9426">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BAB27F2">
        <w:pPr>
          <w:pStyle w:val="13"/>
          <w:jc w:val="center"/>
        </w:pPr>
        <w:r>
          <w:fldChar w:fldCharType="begin"/>
        </w:r>
        <w:r>
          <w:instrText xml:space="preserve">PAGE   \* MERGEFORMAT</w:instrText>
        </w:r>
        <w:r>
          <w:fldChar w:fldCharType="separate"/>
        </w:r>
        <w:r>
          <w:rPr>
            <w:lang w:val="zh-CN"/>
          </w:rPr>
          <w:t>3</w:t>
        </w:r>
        <w:r>
          <w:fldChar w:fldCharType="end"/>
        </w:r>
      </w:p>
    </w:sdtContent>
  </w:sdt>
  <w:p w14:paraId="6E1E0928">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49C35">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0F1CA5"/>
    <w:multiLevelType w:val="singleLevel"/>
    <w:tmpl w:val="D60F1CA5"/>
    <w:lvl w:ilvl="0" w:tentative="0">
      <w:start w:val="1"/>
      <w:numFmt w:val="decimal"/>
      <w:lvlText w:val="%1."/>
      <w:lvlJc w:val="left"/>
      <w:pPr>
        <w:tabs>
          <w:tab w:val="left" w:pos="312"/>
        </w:tabs>
      </w:p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7A505F4F"/>
    <w:multiLevelType w:val="singleLevel"/>
    <w:tmpl w:val="7A505F4F"/>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readOnly" w:enforcement="0"/>
  <w:defaultTabStop w:val="420"/>
  <w:drawingGridHorizontalSpacing w:val="105"/>
  <w:drawingGridVerticalSpacing w:val="156"/>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kMGQ3MDkyOTg0ZDZiNWRhOGE4ZTg3NzZmZDIzZDAifQ=="/>
  </w:docVars>
  <w:rsids>
    <w:rsidRoot w:val="00172A27"/>
    <w:rsid w:val="006427C1"/>
    <w:rsid w:val="00C06478"/>
    <w:rsid w:val="00C90F54"/>
    <w:rsid w:val="00EC3365"/>
    <w:rsid w:val="011E1FE4"/>
    <w:rsid w:val="01680E90"/>
    <w:rsid w:val="03E5328D"/>
    <w:rsid w:val="043400F8"/>
    <w:rsid w:val="048D2C93"/>
    <w:rsid w:val="06FE6B3F"/>
    <w:rsid w:val="08085418"/>
    <w:rsid w:val="08087E41"/>
    <w:rsid w:val="085B6504"/>
    <w:rsid w:val="0984310B"/>
    <w:rsid w:val="0B093D05"/>
    <w:rsid w:val="11077EED"/>
    <w:rsid w:val="12331DD5"/>
    <w:rsid w:val="13566E21"/>
    <w:rsid w:val="14321BD6"/>
    <w:rsid w:val="14D47131"/>
    <w:rsid w:val="152359C3"/>
    <w:rsid w:val="1609344E"/>
    <w:rsid w:val="170F0A7C"/>
    <w:rsid w:val="18DC6E72"/>
    <w:rsid w:val="193D18B1"/>
    <w:rsid w:val="1A493575"/>
    <w:rsid w:val="1C136882"/>
    <w:rsid w:val="1D322F3A"/>
    <w:rsid w:val="1D446F99"/>
    <w:rsid w:val="1DDC6B5F"/>
    <w:rsid w:val="1E4075E6"/>
    <w:rsid w:val="1F1B1694"/>
    <w:rsid w:val="1FFFCCF0"/>
    <w:rsid w:val="21FC44C6"/>
    <w:rsid w:val="22AB05A0"/>
    <w:rsid w:val="2399097C"/>
    <w:rsid w:val="23F724F4"/>
    <w:rsid w:val="286538A1"/>
    <w:rsid w:val="2E2A1718"/>
    <w:rsid w:val="2E593477"/>
    <w:rsid w:val="2F145784"/>
    <w:rsid w:val="3058256D"/>
    <w:rsid w:val="32002097"/>
    <w:rsid w:val="3281224F"/>
    <w:rsid w:val="32A60CE7"/>
    <w:rsid w:val="33357F8B"/>
    <w:rsid w:val="33E84AD3"/>
    <w:rsid w:val="34521F12"/>
    <w:rsid w:val="348002E4"/>
    <w:rsid w:val="39E771DC"/>
    <w:rsid w:val="3A737D25"/>
    <w:rsid w:val="3AA047E2"/>
    <w:rsid w:val="3AD8588A"/>
    <w:rsid w:val="3B984D46"/>
    <w:rsid w:val="3C19156B"/>
    <w:rsid w:val="3CFC3398"/>
    <w:rsid w:val="3D0748B7"/>
    <w:rsid w:val="3D954E00"/>
    <w:rsid w:val="3E9F3D09"/>
    <w:rsid w:val="431F0CA0"/>
    <w:rsid w:val="437A037E"/>
    <w:rsid w:val="445F4429"/>
    <w:rsid w:val="45BB73CE"/>
    <w:rsid w:val="47AB5DAC"/>
    <w:rsid w:val="4A111F5F"/>
    <w:rsid w:val="4A5F092C"/>
    <w:rsid w:val="4AD06550"/>
    <w:rsid w:val="4B87070A"/>
    <w:rsid w:val="4CC76A20"/>
    <w:rsid w:val="4D06088D"/>
    <w:rsid w:val="4D0F1179"/>
    <w:rsid w:val="4F162706"/>
    <w:rsid w:val="4FA436B8"/>
    <w:rsid w:val="50D92DFE"/>
    <w:rsid w:val="51D535C6"/>
    <w:rsid w:val="52A14304"/>
    <w:rsid w:val="541B303D"/>
    <w:rsid w:val="59253085"/>
    <w:rsid w:val="59F7625F"/>
    <w:rsid w:val="5B3752F1"/>
    <w:rsid w:val="5B6139D7"/>
    <w:rsid w:val="5BBD24B9"/>
    <w:rsid w:val="5CFB23C4"/>
    <w:rsid w:val="5F046F11"/>
    <w:rsid w:val="5F5A2333"/>
    <w:rsid w:val="5F7A2B10"/>
    <w:rsid w:val="60653B68"/>
    <w:rsid w:val="60F32C4A"/>
    <w:rsid w:val="61CB1252"/>
    <w:rsid w:val="62EB255A"/>
    <w:rsid w:val="67F7830D"/>
    <w:rsid w:val="68132EF5"/>
    <w:rsid w:val="68F52C91"/>
    <w:rsid w:val="69963611"/>
    <w:rsid w:val="6A6D7FCC"/>
    <w:rsid w:val="6A964B0D"/>
    <w:rsid w:val="6AEA6876"/>
    <w:rsid w:val="6BB9332F"/>
    <w:rsid w:val="6C247B71"/>
    <w:rsid w:val="6E8403F6"/>
    <w:rsid w:val="6EB10CA6"/>
    <w:rsid w:val="6FC20E0C"/>
    <w:rsid w:val="71D71580"/>
    <w:rsid w:val="725E11D3"/>
    <w:rsid w:val="74736F42"/>
    <w:rsid w:val="74F95B2E"/>
    <w:rsid w:val="75F38D7B"/>
    <w:rsid w:val="7715608F"/>
    <w:rsid w:val="77316C41"/>
    <w:rsid w:val="77560441"/>
    <w:rsid w:val="77711C40"/>
    <w:rsid w:val="79D00993"/>
    <w:rsid w:val="7A0917AF"/>
    <w:rsid w:val="7A632C76"/>
    <w:rsid w:val="7CEB362B"/>
    <w:rsid w:val="7DB73259"/>
    <w:rsid w:val="7E6D055E"/>
    <w:rsid w:val="7F1D0D27"/>
    <w:rsid w:val="F257B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Cambria" w:hAnsi="Cambria"/>
      <w:b/>
      <w:bCs/>
      <w:sz w:val="32"/>
      <w:szCs w:val="32"/>
    </w:rPr>
  </w:style>
  <w:style w:type="paragraph" w:styleId="5">
    <w:name w:val="heading 3"/>
    <w:basedOn w:val="1"/>
    <w:next w:val="1"/>
    <w:qFormat/>
    <w:uiPriority w:val="0"/>
    <w:pPr>
      <w:keepNext/>
      <w:keepLines/>
      <w:spacing w:before="260" w:after="260" w:line="415"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Normal Indent"/>
    <w:basedOn w:val="1"/>
    <w:qFormat/>
    <w:uiPriority w:val="0"/>
    <w:pPr>
      <w:ind w:firstLine="680"/>
    </w:pPr>
  </w:style>
  <w:style w:type="paragraph" w:styleId="7">
    <w:name w:val="annotation text"/>
    <w:basedOn w:val="1"/>
    <w:qFormat/>
    <w:uiPriority w:val="0"/>
    <w:pPr>
      <w:jc w:val="left"/>
    </w:pPr>
  </w:style>
  <w:style w:type="paragraph" w:styleId="8">
    <w:name w:val="Body Text"/>
    <w:basedOn w:val="1"/>
    <w:qFormat/>
    <w:uiPriority w:val="0"/>
    <w:pPr>
      <w:spacing w:beforeLines="30"/>
    </w:pPr>
    <w:rPr>
      <w:rFonts w:ascii="仿宋_GB2312" w:eastAsia="仿宋_GB2312"/>
      <w:kern w:val="0"/>
      <w:sz w:val="30"/>
    </w:rPr>
  </w:style>
  <w:style w:type="paragraph" w:styleId="9">
    <w:name w:val="Body Text Indent"/>
    <w:basedOn w:val="1"/>
    <w:next w:val="10"/>
    <w:qFormat/>
    <w:uiPriority w:val="0"/>
    <w:pPr>
      <w:spacing w:after="120"/>
      <w:ind w:left="200" w:leftChars="200"/>
    </w:pPr>
    <w:rPr>
      <w:rFonts w:ascii="仿宋_GB2312"/>
      <w:szCs w:val="32"/>
    </w:rPr>
  </w:style>
  <w:style w:type="paragraph" w:styleId="10">
    <w:name w:val="Body Text First Indent 2"/>
    <w:basedOn w:val="9"/>
    <w:unhideWhenUsed/>
    <w:qFormat/>
    <w:uiPriority w:val="99"/>
    <w:pPr>
      <w:ind w:firstLine="420" w:firstLineChars="200"/>
    </w:pPr>
  </w:style>
  <w:style w:type="paragraph" w:styleId="11">
    <w:name w:val="toc 3"/>
    <w:basedOn w:val="1"/>
    <w:next w:val="1"/>
    <w:qFormat/>
    <w:uiPriority w:val="0"/>
    <w:pPr>
      <w:tabs>
        <w:tab w:val="right" w:leader="dot" w:pos="8296"/>
      </w:tabs>
      <w:ind w:left="400" w:leftChars="400"/>
    </w:pPr>
  </w:style>
  <w:style w:type="paragraph" w:styleId="12">
    <w:name w:val="Balloon Text"/>
    <w:basedOn w:val="1"/>
    <w:qFormat/>
    <w:uiPriority w:val="0"/>
    <w:rPr>
      <w:sz w:val="18"/>
      <w:szCs w:val="18"/>
    </w:rPr>
  </w:style>
  <w:style w:type="paragraph" w:styleId="13">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qFormat/>
    <w:uiPriority w:val="0"/>
    <w:pPr>
      <w:tabs>
        <w:tab w:val="right" w:leader="dot" w:pos="8296"/>
      </w:tabs>
      <w:spacing w:before="93"/>
      <w:jc w:val="center"/>
    </w:pPr>
    <w:rPr>
      <w:rFonts w:ascii="仿宋" w:eastAsia="仿宋"/>
      <w:sz w:val="28"/>
      <w:szCs w:val="28"/>
    </w:rPr>
  </w:style>
  <w:style w:type="paragraph" w:styleId="16">
    <w:name w:val="footnote text"/>
    <w:basedOn w:val="1"/>
    <w:next w:val="10"/>
    <w:semiHidden/>
    <w:qFormat/>
    <w:uiPriority w:val="0"/>
    <w:pPr>
      <w:snapToGrid w:val="0"/>
      <w:jc w:val="left"/>
    </w:pPr>
    <w:rPr>
      <w:sz w:val="18"/>
      <w:szCs w:val="18"/>
    </w:rPr>
  </w:style>
  <w:style w:type="paragraph" w:styleId="17">
    <w:name w:val="table of figures"/>
    <w:basedOn w:val="1"/>
    <w:next w:val="1"/>
    <w:qFormat/>
    <w:uiPriority w:val="0"/>
    <w:pPr>
      <w:ind w:left="400" w:leftChars="200" w:hanging="200" w:hangingChars="200"/>
    </w:pPr>
  </w:style>
  <w:style w:type="paragraph" w:styleId="18">
    <w:name w:val="toc 2"/>
    <w:basedOn w:val="1"/>
    <w:next w:val="1"/>
    <w:qFormat/>
    <w:uiPriority w:val="0"/>
    <w:pPr>
      <w:tabs>
        <w:tab w:val="right" w:leader="dot" w:pos="8296"/>
      </w:tabs>
      <w:ind w:left="200" w:leftChars="200"/>
    </w:p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qFormat/>
    <w:uiPriority w:val="0"/>
    <w:rPr>
      <w:sz w:val="21"/>
      <w:szCs w:val="21"/>
    </w:rPr>
  </w:style>
  <w:style w:type="character" w:customStyle="1" w:styleId="24">
    <w:name w:val="heading 1 Char"/>
    <w:basedOn w:val="20"/>
    <w:link w:val="3"/>
    <w:qFormat/>
    <w:uiPriority w:val="0"/>
    <w:rPr>
      <w:rFonts w:ascii="Times New Roman" w:hAnsi="Times New Roman" w:eastAsia="宋体" w:cs="Times New Roman"/>
      <w:b/>
      <w:bCs/>
      <w:kern w:val="44"/>
      <w:sz w:val="44"/>
      <w:szCs w:val="44"/>
      <w:lang w:val="en-US" w:eastAsia="zh-CN" w:bidi="ar-SA"/>
    </w:rPr>
  </w:style>
  <w:style w:type="paragraph" w:customStyle="1" w:styleId="25">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6">
    <w:name w:val="Header Char"/>
    <w:basedOn w:val="20"/>
    <w:qFormat/>
    <w:uiPriority w:val="0"/>
    <w:rPr>
      <w:rFonts w:ascii="Times New Roman" w:hAnsi="Times New Roman"/>
      <w:sz w:val="18"/>
      <w:szCs w:val="18"/>
    </w:rPr>
  </w:style>
  <w:style w:type="character" w:customStyle="1" w:styleId="27">
    <w:name w:val="Footer Char"/>
    <w:basedOn w:val="20"/>
    <w:qFormat/>
    <w:uiPriority w:val="0"/>
    <w:rPr>
      <w:rFonts w:ascii="Times New Roman" w:hAnsi="Times New Roman"/>
      <w:sz w:val="18"/>
      <w:szCs w:val="18"/>
    </w:rPr>
  </w:style>
  <w:style w:type="character" w:customStyle="1" w:styleId="28">
    <w:name w:val="Body Text Char"/>
    <w:basedOn w:val="20"/>
    <w:qFormat/>
    <w:uiPriority w:val="0"/>
    <w:rPr>
      <w:rFonts w:ascii="Times New Roman" w:hAnsi="Times New Roman"/>
      <w:szCs w:val="24"/>
    </w:rPr>
  </w:style>
  <w:style w:type="paragraph" w:styleId="29">
    <w:name w:val="List Paragraph"/>
    <w:basedOn w:val="1"/>
    <w:qFormat/>
    <w:uiPriority w:val="0"/>
    <w:pPr>
      <w:ind w:firstLine="200" w:firstLineChars="200"/>
    </w:pPr>
  </w:style>
  <w:style w:type="paragraph" w:customStyle="1" w:styleId="30">
    <w:name w:val="TOC 标题1"/>
    <w:basedOn w:val="3"/>
    <w:next w:val="1"/>
    <w:qFormat/>
    <w:uiPriority w:val="0"/>
    <w:pPr>
      <w:widowControl/>
      <w:spacing w:before="480" w:after="0" w:line="276" w:lineRule="auto"/>
      <w:jc w:val="left"/>
      <w:outlineLvl w:val="9"/>
    </w:pPr>
    <w:rPr>
      <w:rFonts w:ascii="Cambria" w:hAnsi="Cambria"/>
      <w:color w:val="376092"/>
      <w:kern w:val="0"/>
      <w:sz w:val="28"/>
      <w:szCs w:val="28"/>
    </w:rPr>
  </w:style>
  <w:style w:type="character" w:customStyle="1" w:styleId="31">
    <w:name w:val="标题 1 Char"/>
    <w:basedOn w:val="20"/>
    <w:link w:val="3"/>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stacked"/>
        <c:varyColors val="0"/>
        <c:ser>
          <c:idx val="0"/>
          <c:order val="0"/>
          <c:tx>
            <c:strRef>
              <c:f>Sheet1!$B$1</c:f>
              <c:strCache>
                <c:ptCount val="1"/>
                <c:pt idx="0">
                  <c:v>收、支决算总计变动情况图(万元）</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1187.29</c:v>
                </c:pt>
                <c:pt idx="1">
                  <c:v>1949</c:v>
                </c:pt>
              </c:numCache>
            </c:numRef>
          </c:val>
        </c:ser>
        <c:dLbls>
          <c:showLegendKey val="0"/>
          <c:showVal val="1"/>
          <c:showCatName val="0"/>
          <c:showSerName val="0"/>
          <c:showPercent val="0"/>
          <c:showBubbleSize val="0"/>
        </c:dLbls>
        <c:gapWidth val="75"/>
        <c:overlap val="100"/>
        <c:axId val="110612864"/>
        <c:axId val="110614784"/>
      </c:barChart>
      <c:catAx>
        <c:axId val="110612864"/>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110614784"/>
        <c:crosses val="autoZero"/>
        <c:auto val="1"/>
        <c:lblAlgn val="ctr"/>
        <c:lblOffset val="100"/>
        <c:noMultiLvlLbl val="0"/>
      </c:catAx>
      <c:valAx>
        <c:axId val="110614784"/>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1106128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9a1f514-439d-43e2-b4bc-27b0ff17f4d1}"/>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t" anchorCtr="0"/>
          <a:lstStyle/>
          <a:p>
            <a:pPr>
              <a:defRPr lang="zh-CN" sz="1800" b="1"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a:t>收入决算结构图（万元）</a:t>
            </a:r>
            <a:endParaRPr lang="zh-CN"/>
          </a:p>
        </c:rich>
      </c:tx>
      <c:layout/>
      <c:overlay val="0"/>
      <c:spPr>
        <a:ln>
          <a:noFill/>
        </a:ln>
      </c:spPr>
    </c:title>
    <c:autoTitleDeleted val="0"/>
    <c:plotArea>
      <c:layout/>
      <c:pieChart>
        <c:varyColors val="1"/>
        <c:ser>
          <c:idx val="1"/>
          <c:order val="0"/>
          <c:tx>
            <c:strRef>
              <c:f>Sheet1!$B$1</c:f>
              <c:strCache>
                <c:ptCount val="1"/>
                <c:pt idx="0">
                  <c:v>收入决算结构图（万元）</c:v>
                </c:pt>
              </c:strCache>
            </c:strRef>
          </c:tx>
          <c:spPr>
            <a:solidFill>
              <a:srgbClr val="C0504D"/>
            </a:solidFill>
            <a:ln>
              <a:noFill/>
            </a:ln>
          </c:spPr>
          <c:explosion val="0"/>
          <c:dPt>
            <c:idx val="0"/>
            <c:bubble3D val="0"/>
            <c:spPr>
              <a:solidFill>
                <a:srgbClr val="4572A7"/>
              </a:solidFill>
              <a:ln>
                <a:noFill/>
              </a:ln>
            </c:spPr>
          </c:dPt>
          <c:dPt>
            <c:idx val="1"/>
            <c:bubble3D val="0"/>
            <c:spPr>
              <a:solidFill>
                <a:srgbClr val="AA4643"/>
              </a:solidFill>
              <a:ln>
                <a:noFill/>
              </a:ln>
            </c:spPr>
          </c:dPt>
          <c:dPt>
            <c:idx val="2"/>
            <c:bubble3D val="0"/>
            <c:spPr>
              <a:solidFill>
                <a:srgbClr val="89A54E"/>
              </a:solidFill>
              <a:ln>
                <a:noFill/>
              </a:ln>
            </c:spPr>
          </c:dPt>
          <c:dPt>
            <c:idx val="3"/>
            <c:bubble3D val="0"/>
            <c:spPr>
              <a:solidFill>
                <a:srgbClr val="71588F"/>
              </a:solidFill>
              <a:ln>
                <a:noFill/>
              </a:ln>
            </c:spPr>
          </c:dPt>
          <c:dPt>
            <c:idx val="4"/>
            <c:bubble3D val="0"/>
            <c:spPr>
              <a:solidFill>
                <a:srgbClr val="4198AF"/>
              </a:solidFill>
              <a:ln>
                <a:noFill/>
              </a:ln>
            </c:spPr>
          </c:dPt>
          <c:dPt>
            <c:idx val="5"/>
            <c:bubble3D val="0"/>
            <c:spPr>
              <a:solidFill>
                <a:srgbClr val="DB843D"/>
              </a:solidFill>
              <a:ln>
                <a:noFill/>
              </a:ln>
            </c:spPr>
          </c:dPt>
          <c:dPt>
            <c:idx val="6"/>
            <c:bubble3D val="0"/>
            <c:spPr>
              <a:solidFill>
                <a:srgbClr val="93A9CF"/>
              </a:solidFill>
              <a:ln>
                <a:noFill/>
              </a:ln>
            </c:spPr>
          </c:dPt>
          <c:dPt>
            <c:idx val="7"/>
            <c:bubble3D val="0"/>
            <c:spPr>
              <a:solidFill>
                <a:srgbClr val="D19392"/>
              </a:solidFill>
              <a:ln>
                <a:noFill/>
              </a:ln>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1633.01</c:v>
                </c:pt>
                <c:pt idx="1">
                  <c:v>32.5</c:v>
                </c:pt>
                <c:pt idx="2">
                  <c:v>0</c:v>
                </c:pt>
                <c:pt idx="3">
                  <c:v>0</c:v>
                </c:pt>
                <c:pt idx="4">
                  <c:v>0</c:v>
                </c:pt>
                <c:pt idx="5">
                  <c:v>0</c:v>
                </c:pt>
                <c:pt idx="6">
                  <c:v>0</c:v>
                </c:pt>
                <c:pt idx="7">
                  <c:v>283.5</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rot="0" spcFirstLastPara="0" vertOverflow="ellipsis" vert="horz" wrap="square"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legend>
    <c:plotVisOnly val="1"/>
    <c:dispBlanksAs val="zero"/>
    <c:showDLblsOverMax val="0"/>
    <c:extLst>
      <c:ext uri="{0b15fc19-7d7d-44ad-8c2d-2c3a37ce22c3}">
        <chartProps xmlns="https://web.wps.cn/et/2018/main" chartId="{68832d54-5ad0-4def-9501-65723f0b8b7e}"/>
      </c:ext>
    </c:extLst>
  </c:chart>
  <c:spPr>
    <a:gradFill rotWithShape="1">
      <a:gsLst>
        <a:gs pos="0">
          <a:srgbClr val="FFFFFF">
            <a:alpha val="100000"/>
          </a:srgbClr>
        </a:gs>
        <a:gs pos="39000">
          <a:srgbClr val="FFFFFF">
            <a:alpha val="100000"/>
          </a:srgbClr>
        </a:gs>
        <a:gs pos="100000">
          <a:srgbClr val="BFBFBF">
            <a:alpha val="100000"/>
          </a:srgbClr>
        </a:gs>
      </a:gsLst>
      <a:path path="circle">
        <a:fillToRect l="100000" t="100000"/>
      </a:path>
      <a:tileRect r="-100000" b="-100000"/>
    </a:gradFill>
    <a:ln w="6350" cap="flat" cmpd="sng" algn="ctr">
      <a:solidFill>
        <a:srgbClr val="BFBFBF"/>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支出决算结构图（万元）</a:t>
            </a:r>
          </a:p>
        </c:rich>
      </c:tx>
      <c:layout/>
      <c:overlay val="0"/>
      <c:spPr>
        <a:noFill/>
        <a:ln>
          <a:noFill/>
        </a:ln>
        <a:effectLst/>
      </c:spPr>
    </c:title>
    <c:autoTitleDeleted val="0"/>
    <c:plotArea>
      <c:layout/>
      <c:pieChart>
        <c:varyColors val="1"/>
        <c:ser>
          <c:idx val="1"/>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699.21</c:v>
                </c:pt>
                <c:pt idx="1">
                  <c:v>1219.45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70bac585-a54a-46c2-9deb-98290fd8a6fb}"/>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财政拨款收、支决算总计变动情况表（万元）</a:t>
            </a:r>
          </a:p>
          <a:p>
            <a:pPr defTabSz="914400">
              <a:defRPr lang="zh-CN" sz="1400" b="1" i="0" u="none" strike="noStrike" kern="1200" baseline="0">
                <a:solidFill>
                  <a:schemeClr val="dk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stacked"/>
        <c:varyColors val="0"/>
        <c:ser>
          <c:idx val="0"/>
          <c:order val="0"/>
          <c:tx>
            <c:strRef>
              <c:f>Sheet1!$B$1</c:f>
              <c:strCache>
                <c:ptCount val="1"/>
                <c:pt idx="0">
                  <c:v>财政拨款收、支决算总计变动情况图(万元）</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1187.29</c:v>
                </c:pt>
                <c:pt idx="1">
                  <c:v>1665.5</c:v>
                </c:pt>
              </c:numCache>
            </c:numRef>
          </c:val>
        </c:ser>
        <c:dLbls>
          <c:showLegendKey val="0"/>
          <c:showVal val="1"/>
          <c:showCatName val="0"/>
          <c:showSerName val="0"/>
          <c:showPercent val="0"/>
          <c:showBubbleSize val="0"/>
        </c:dLbls>
        <c:gapWidth val="75"/>
        <c:overlap val="100"/>
        <c:axId val="139626752"/>
        <c:axId val="139636736"/>
      </c:barChart>
      <c:catAx>
        <c:axId val="139626752"/>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139636736"/>
        <c:crosses val="autoZero"/>
        <c:auto val="1"/>
        <c:lblAlgn val="ctr"/>
        <c:lblOffset val="100"/>
        <c:noMultiLvlLbl val="0"/>
      </c:catAx>
      <c:valAx>
        <c:axId val="139636736"/>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139626752"/>
        <c:crosses val="autoZero"/>
        <c:crossBetween val="between"/>
      </c:valAx>
      <c:spPr>
        <a:noFill/>
        <a:ln>
          <a:noFill/>
        </a:ln>
        <a:effectLst/>
      </c:spPr>
    </c:plotArea>
    <c:plotVisOnly val="1"/>
    <c:dispBlanksAs val="gap"/>
    <c:showDLblsOverMax val="0"/>
    <c:extLst>
      <c:ext uri="{0b15fc19-7d7d-44ad-8c2d-2c3a37ce22c3}">
        <chartProps xmlns="https://web.wps.cn/et/2018/main" chartId="{59fd27b9-5f30-45c5-bf85-5b654b94f553}"/>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strRef>
              <c:f>Sheet1!$B$1</c:f>
              <c:strCache>
                <c:ptCount val="1"/>
                <c:pt idx="0">
                  <c:v>一般公共预算财政拨款支出决算变动情况图(万元）</c:v>
                </c:pt>
              </c:strCache>
            </c:strRef>
          </c:tx>
          <c:spPr>
            <a:solidFill>
              <a:schemeClr val="accent3"/>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1187.29</c:v>
                </c:pt>
                <c:pt idx="1">
                  <c:v>1633.01</c:v>
                </c:pt>
              </c:numCache>
            </c:numRef>
          </c:val>
        </c:ser>
        <c:dLbls>
          <c:showLegendKey val="0"/>
          <c:showVal val="1"/>
          <c:showCatName val="0"/>
          <c:showSerName val="0"/>
          <c:showPercent val="0"/>
          <c:showBubbleSize val="0"/>
        </c:dLbls>
        <c:gapWidth val="75"/>
        <c:overlap val="0"/>
        <c:axId val="132915968"/>
        <c:axId val="132917504"/>
      </c:barChart>
      <c:catAx>
        <c:axId val="1329159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2917504"/>
        <c:crosses val="autoZero"/>
        <c:auto val="1"/>
        <c:lblAlgn val="ctr"/>
        <c:lblOffset val="100"/>
        <c:noMultiLvlLbl val="0"/>
      </c:catAx>
      <c:valAx>
        <c:axId val="132917504"/>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29159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d310c41-448e-42d0-8e11-aa243b7cdb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一般公共预算财政拨款支出决算结构图（万元）</c:v>
                </c:pt>
              </c:strCache>
            </c:strRef>
          </c:tx>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400000" scaled="1"/>
                </a:gradFill>
              </a:ln>
              <a:effectLst/>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400000" scaled="1"/>
                </a:gradFill>
              </a:ln>
              <a:effectLst/>
            </c:spPr>
          </c:dPt>
          <c:dPt>
            <c:idx val="2"/>
            <c:bubble3D val="0"/>
            <c:spPr>
              <a:gradFill>
                <a:gsLst>
                  <a:gs pos="0">
                    <a:schemeClr val="accent3">
                      <a:hueOff val="-1670000"/>
                    </a:schemeClr>
                  </a:gs>
                  <a:gs pos="100000">
                    <a:schemeClr val="accent3"/>
                  </a:gs>
                </a:gsLst>
                <a:lin ang="5400000" scaled="0"/>
              </a:gradFill>
              <a:ln>
                <a:gradFill>
                  <a:gsLst>
                    <a:gs pos="0">
                      <a:schemeClr val="accent3">
                        <a:lumMod val="75000"/>
                        <a:hueOff val="-1670000"/>
                      </a:schemeClr>
                    </a:gs>
                    <a:gs pos="100000">
                      <a:schemeClr val="accent3">
                        <a:lumMod val="75000"/>
                      </a:schemeClr>
                    </a:gs>
                  </a:gsLst>
                  <a:lin ang="5400000" scaled="1"/>
                </a:gradFill>
              </a:ln>
              <a:effectLst/>
            </c:spPr>
          </c:dPt>
          <c:dPt>
            <c:idx val="3"/>
            <c:bubble3D val="0"/>
            <c:spPr>
              <a:gradFill>
                <a:gsLst>
                  <a:gs pos="0">
                    <a:schemeClr val="accent4">
                      <a:hueOff val="-1670000"/>
                    </a:schemeClr>
                  </a:gs>
                  <a:gs pos="100000">
                    <a:schemeClr val="accent4"/>
                  </a:gs>
                </a:gsLst>
                <a:lin ang="5400000" scaled="0"/>
              </a:gradFill>
              <a:ln>
                <a:gradFill>
                  <a:gsLst>
                    <a:gs pos="0">
                      <a:schemeClr val="accent4">
                        <a:lumMod val="75000"/>
                        <a:hueOff val="-1670000"/>
                      </a:schemeClr>
                    </a:gs>
                    <a:gs pos="100000">
                      <a:schemeClr val="accent4">
                        <a:lumMod val="75000"/>
                      </a:schemeClr>
                    </a:gs>
                  </a:gsLst>
                  <a:lin ang="5400000" scaled="1"/>
                </a:gradFill>
              </a:ln>
              <a:effectLst/>
            </c:spPr>
          </c:dPt>
          <c:dPt>
            <c:idx val="4"/>
            <c:bubble3D val="0"/>
            <c:spPr>
              <a:gradFill>
                <a:gsLst>
                  <a:gs pos="0">
                    <a:schemeClr val="accent5">
                      <a:hueOff val="-1670000"/>
                    </a:schemeClr>
                  </a:gs>
                  <a:gs pos="100000">
                    <a:schemeClr val="accent5"/>
                  </a:gs>
                </a:gsLst>
                <a:lin ang="5400000" scaled="0"/>
              </a:gradFill>
              <a:ln>
                <a:gradFill>
                  <a:gsLst>
                    <a:gs pos="0">
                      <a:schemeClr val="accent5">
                        <a:lumMod val="75000"/>
                        <a:hueOff val="-1670000"/>
                      </a:schemeClr>
                    </a:gs>
                    <a:gs pos="100000">
                      <a:schemeClr val="accent5">
                        <a:lumMod val="75000"/>
                      </a:schemeClr>
                    </a:gs>
                  </a:gsLst>
                  <a:lin ang="5400000" scaled="1"/>
                </a:gradFill>
              </a:ln>
              <a:effectLst/>
            </c:spPr>
          </c:dPt>
          <c:dPt>
            <c:idx val="5"/>
            <c:bubble3D val="0"/>
            <c:spPr>
              <a:gradFill>
                <a:gsLst>
                  <a:gs pos="0">
                    <a:schemeClr val="accent6">
                      <a:hueOff val="-1670000"/>
                    </a:schemeClr>
                  </a:gs>
                  <a:gs pos="100000">
                    <a:schemeClr val="accent6"/>
                  </a:gs>
                </a:gsLst>
                <a:lin ang="5400000" scaled="0"/>
              </a:gradFill>
              <a:ln>
                <a:gradFill>
                  <a:gsLst>
                    <a:gs pos="0">
                      <a:schemeClr val="accent6">
                        <a:lumMod val="75000"/>
                        <a:hueOff val="-1670000"/>
                      </a:schemeClr>
                    </a:gs>
                    <a:gs pos="100000">
                      <a:schemeClr val="accent6">
                        <a:lumMod val="75000"/>
                      </a:schemeClr>
                    </a:gs>
                  </a:gsLst>
                  <a:lin ang="5400000" scaled="1"/>
                </a:gradFill>
              </a:ln>
              <a:effectLst/>
            </c:spPr>
          </c:dPt>
          <c:dPt>
            <c:idx val="6"/>
            <c:bubble3D val="0"/>
            <c:spPr>
              <a:gradFill>
                <a:gsLst>
                  <a:gs pos="0">
                    <a:schemeClr val="accent1">
                      <a:lumMod val="60000"/>
                      <a:hueOff val="-1670000"/>
                    </a:schemeClr>
                  </a:gs>
                  <a:gs pos="100000">
                    <a:schemeClr val="accent1">
                      <a:lumMod val="60000"/>
                    </a:schemeClr>
                  </a:gs>
                </a:gsLst>
                <a:lin ang="5400000" scaled="0"/>
              </a:gradFill>
              <a:ln>
                <a:gradFill>
                  <a:gsLst>
                    <a:gs pos="0">
                      <a:schemeClr val="accent1">
                        <a:lumMod val="60000"/>
                        <a:lumMod val="75000"/>
                        <a:hueOff val="-1670000"/>
                      </a:schemeClr>
                    </a:gs>
                    <a:gs pos="100000">
                      <a:schemeClr val="accent1">
                        <a:lumMod val="60000"/>
                        <a:lumMod val="75000"/>
                      </a:schemeClr>
                    </a:gs>
                  </a:gsLst>
                  <a:lin ang="5400000" scaled="1"/>
                </a:gradFill>
              </a:ln>
              <a:effectLst/>
            </c:spPr>
          </c:dPt>
          <c:dPt>
            <c:idx val="7"/>
            <c:bubble3D val="0"/>
            <c:spPr>
              <a:gradFill>
                <a:gsLst>
                  <a:gs pos="0">
                    <a:schemeClr val="accent2">
                      <a:lumMod val="60000"/>
                      <a:hueOff val="-1670000"/>
                    </a:schemeClr>
                  </a:gs>
                  <a:gs pos="100000">
                    <a:schemeClr val="accent2">
                      <a:lumMod val="60000"/>
                    </a:schemeClr>
                  </a:gs>
                </a:gsLst>
                <a:lin ang="5400000" scaled="0"/>
              </a:gradFill>
              <a:ln>
                <a:gradFill>
                  <a:gsLst>
                    <a:gs pos="0">
                      <a:schemeClr val="accent2">
                        <a:lumMod val="60000"/>
                        <a:lumMod val="75000"/>
                        <a:hueOff val="-1670000"/>
                      </a:schemeClr>
                    </a:gs>
                    <a:gs pos="100000">
                      <a:schemeClr val="accent2">
                        <a:lumMod val="60000"/>
                        <a:lumMod val="75000"/>
                      </a:schemeClr>
                    </a:gs>
                  </a:gsLst>
                  <a:lin ang="5400000" scaled="1"/>
                </a:gradFill>
              </a:ln>
              <a:effectLst/>
            </c:spPr>
          </c:dPt>
          <c:dPt>
            <c:idx val="8"/>
            <c:bubble3D val="0"/>
            <c:spPr>
              <a:gradFill>
                <a:gsLst>
                  <a:gs pos="0">
                    <a:schemeClr val="accent3">
                      <a:lumMod val="60000"/>
                      <a:hueOff val="-1670000"/>
                    </a:schemeClr>
                  </a:gs>
                  <a:gs pos="100000">
                    <a:schemeClr val="accent3">
                      <a:lumMod val="60000"/>
                    </a:schemeClr>
                  </a:gs>
                </a:gsLst>
                <a:lin ang="5400000" scaled="0"/>
              </a:gradFill>
              <a:ln>
                <a:gradFill>
                  <a:gsLst>
                    <a:gs pos="0">
                      <a:schemeClr val="accent3">
                        <a:lumMod val="60000"/>
                        <a:lumMod val="75000"/>
                        <a:hueOff val="-1670000"/>
                      </a:schemeClr>
                    </a:gs>
                    <a:gs pos="100000">
                      <a:schemeClr val="accent3">
                        <a:lumMod val="60000"/>
                        <a:lumMod val="75000"/>
                      </a:schemeClr>
                    </a:gs>
                  </a:gsLst>
                  <a:lin ang="5400000" scaled="1"/>
                </a:gra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5"/>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6"/>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lumMod val="60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7"/>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lumMod val="60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8"/>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lumMod val="60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Sheet1!$A$2:$A$10</c:f>
              <c:strCache>
                <c:ptCount val="9"/>
                <c:pt idx="1">
                  <c:v>社会保障和就业（类）支出</c:v>
                </c:pt>
                <c:pt idx="2">
                  <c:v>卫生健康（类）支出</c:v>
                </c:pt>
                <c:pt idx="4">
                  <c:v>农林水（类）支出</c:v>
                </c:pt>
                <c:pt idx="5">
                  <c:v>住房保障（类）支出</c:v>
                </c:pt>
                <c:pt idx="6">
                  <c:v>一般公共服务（类）支出</c:v>
                </c:pt>
                <c:pt idx="7">
                  <c:v>节能环保支出</c:v>
                </c:pt>
                <c:pt idx="8">
                  <c:v>灾害防治及应急管理（类）支出</c:v>
                </c:pt>
              </c:strCache>
            </c:strRef>
          </c:cat>
          <c:val>
            <c:numRef>
              <c:f>Sheet1!$B$2:$B$10</c:f>
              <c:numCache>
                <c:formatCode>General</c:formatCode>
                <c:ptCount val="9"/>
                <c:pt idx="1">
                  <c:v>186.25</c:v>
                </c:pt>
                <c:pt idx="2">
                  <c:v>33.51</c:v>
                </c:pt>
                <c:pt idx="4">
                  <c:v>579.73</c:v>
                </c:pt>
                <c:pt idx="5">
                  <c:v>50.26</c:v>
                </c:pt>
                <c:pt idx="6">
                  <c:v>664.05</c:v>
                </c:pt>
                <c:pt idx="7">
                  <c:v>119.22</c:v>
                </c:pt>
                <c:pt idx="8">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7b82d013-5db6-4684-bec3-d6849c7cb5f6}"/>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bg1"/>
                </a:solidFill>
                <a:latin typeface="+mn-lt"/>
                <a:ea typeface="+mn-ea"/>
                <a:cs typeface="+mn-cs"/>
              </a:defRPr>
            </a:pPr>
            <a:r>
              <a:rPr lang="en-US" altLang="zh-CN"/>
              <a:t>“</a:t>
            </a:r>
            <a:r>
              <a:rPr altLang="en-US"/>
              <a:t>三公</a:t>
            </a:r>
            <a:r>
              <a:rPr lang="en-US" altLang="zh-CN"/>
              <a:t>”</a:t>
            </a:r>
            <a:r>
              <a:rPr altLang="en-US"/>
              <a:t>经费财政拨款支出结构图</a:t>
            </a:r>
            <a:endParaRPr altLang="en-US"/>
          </a:p>
        </c:rich>
      </c:tx>
      <c:layout/>
      <c:overlay val="0"/>
      <c:spPr>
        <a:noFill/>
        <a:ln>
          <a:noFill/>
        </a:ln>
        <a:effectLst/>
      </c:spPr>
    </c:title>
    <c:autoTitleDeleted val="0"/>
    <c:plotArea>
      <c:layout/>
      <c:pieChart>
        <c:varyColors val="1"/>
        <c:ser>
          <c:idx val="0"/>
          <c:order val="0"/>
          <c:tx>
            <c:strRef>
              <c:f>Sheet1!$B$1</c:f>
              <c:strCache>
                <c:ptCount val="1"/>
                <c:pt idx="0">
                  <c:v>“三公”经费财政拨款支出结构</c:v>
                </c:pt>
              </c:strCache>
            </c:strRef>
          </c:tx>
          <c:spPr>
            <a:ln w="22225" cmpd="sng">
              <a:solidFill>
                <a:schemeClr val="bg1"/>
              </a:solidFill>
              <a:prstDash val="solid"/>
            </a:ln>
            <a:effectLst>
              <a:outerShdw blurRad="50800" dist="38100" dir="2700000" algn="tl" rotWithShape="0">
                <a:prstClr val="black">
                  <a:alpha val="40000"/>
                </a:prstClr>
              </a:outerShdw>
            </a:effectLst>
            <a:sp3d contourW="22225"/>
          </c:spPr>
          <c:explosion val="0"/>
          <c:dPt>
            <c:idx val="0"/>
            <c:bubble3D val="0"/>
            <c:explosion val="5"/>
            <c:spPr>
              <a:gradFill>
                <a:gsLst>
                  <a:gs pos="0">
                    <a:schemeClr val="accent1">
                      <a:lumMod val="60000"/>
                      <a:lumOff val="40000"/>
                    </a:schemeClr>
                  </a:gs>
                  <a:gs pos="50000">
                    <a:schemeClr val="accent1"/>
                  </a:gs>
                </a:gsLst>
                <a:lin ang="2700000" scaled="0"/>
              </a:gradFill>
              <a:ln w="22225" cmpd="sng">
                <a:solidFill>
                  <a:schemeClr val="bg1"/>
                </a:solidFill>
                <a:prstDash val="solid"/>
              </a:ln>
              <a:effectLst>
                <a:outerShdw blurRad="50800" dist="38100" dir="2700000" algn="tl" rotWithShape="0">
                  <a:prstClr val="black">
                    <a:alpha val="40000"/>
                  </a:prstClr>
                </a:outerShdw>
              </a:effectLst>
              <a:sp3d contourW="22225"/>
            </c:spPr>
          </c:dPt>
          <c:dPt>
            <c:idx val="1"/>
            <c:bubble3D val="0"/>
            <c:explosion val="5"/>
            <c:spPr>
              <a:gradFill>
                <a:gsLst>
                  <a:gs pos="0">
                    <a:schemeClr val="accent2">
                      <a:lumMod val="60000"/>
                      <a:lumOff val="40000"/>
                    </a:schemeClr>
                  </a:gs>
                  <a:gs pos="60000">
                    <a:schemeClr val="accent2"/>
                  </a:gs>
                </a:gsLst>
                <a:lin ang="2700000" scaled="0"/>
              </a:gradFill>
              <a:ln w="22225" cmpd="sng">
                <a:solidFill>
                  <a:schemeClr val="bg1"/>
                </a:solidFill>
                <a:prstDash val="solid"/>
              </a:ln>
              <a:effectLst>
                <a:outerShdw blurRad="50800" dist="38100" dir="2700000" algn="tl" rotWithShape="0">
                  <a:prstClr val="black">
                    <a:alpha val="40000"/>
                  </a:prstClr>
                </a:outerShdw>
              </a:effectLst>
              <a:sp3d contourW="22225"/>
            </c:spPr>
          </c:dPt>
          <c:dPt>
            <c:idx val="2"/>
            <c:bubble3D val="0"/>
            <c:explosion val="5"/>
            <c:spPr>
              <a:gradFill>
                <a:gsLst>
                  <a:gs pos="0">
                    <a:schemeClr val="accent6">
                      <a:lumMod val="60000"/>
                      <a:lumOff val="40000"/>
                    </a:schemeClr>
                  </a:gs>
                  <a:gs pos="60000">
                    <a:schemeClr val="accent6"/>
                  </a:gs>
                </a:gsLst>
                <a:lin ang="2700000" scaled="0"/>
              </a:gradFill>
              <a:ln w="22225" cmpd="sng">
                <a:solidFill>
                  <a:schemeClr val="bg1"/>
                </a:solidFill>
                <a:prstDash val="solid"/>
              </a:ln>
              <a:effectLst>
                <a:outerShdw blurRad="50800" dist="38100" dir="2700000" algn="tl" rotWithShape="0">
                  <a:prstClr val="black">
                    <a:alpha val="40000"/>
                  </a:prstClr>
                </a:outerShdw>
              </a:effectLst>
              <a:sp3d contourW="22225"/>
            </c:spPr>
          </c:dPt>
          <c:dLbls>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outerShdw blurRad="50800" dist="38100" dir="2700000" algn="tl" rotWithShape="0">
                        <a:prstClr val="black">
                          <a:alpha val="40000"/>
                        </a:prstClr>
                      </a:outerShdw>
                    </a:effectLst>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公务用车购置及运行维护费支出</c:v>
                </c:pt>
                <c:pt idx="1">
                  <c:v>因公出国（境）费支出</c:v>
                </c:pt>
                <c:pt idx="2">
                  <c:v>公务接待费支出</c:v>
                </c:pt>
              </c:strCache>
            </c:strRef>
          </c:cat>
          <c:val>
            <c:numRef>
              <c:f>Sheet1!$B$2:$B$4</c:f>
              <c:numCache>
                <c:formatCode>General</c:formatCode>
                <c:ptCount val="3"/>
                <c:pt idx="0">
                  <c:v>7</c:v>
                </c:pt>
                <c:pt idx="1">
                  <c:v>0</c:v>
                </c:pt>
                <c:pt idx="2">
                  <c:v>0</c:v>
                </c:pt>
              </c:numCache>
            </c:numRef>
          </c:val>
        </c:ser>
        <c:dLbls>
          <c:showLegendKey val="0"/>
          <c:showVal val="1"/>
          <c:showCatName val="0"/>
          <c:showSerName val="0"/>
          <c:showPercent val="0"/>
          <c:showBubbleSize val="0"/>
          <c:showLeaderLines val="1"/>
        </c:dLbls>
        <c:firstSliceAng val="285"/>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bg1">
                  <a:lumMod val="75000"/>
                </a:schemeClr>
              </a:solidFill>
              <a:latin typeface="+mn-lt"/>
              <a:ea typeface="+mn-ea"/>
              <a:cs typeface="+mn-cs"/>
            </a:defRPr>
          </a:pPr>
        </a:p>
      </c:txPr>
    </c:legend>
    <c:plotVisOnly val="1"/>
    <c:dispBlanksAs val="zero"/>
    <c:showDLblsOverMax val="0"/>
    <c:extLst>
      <c:ext uri="{0b15fc19-7d7d-44ad-8c2d-2c3a37ce22c3}">
        <chartProps xmlns="https://web.wps.cn/et/2018/main" chartId="{b1b66607-e311-48dc-a066-5ba7b5aa9233}"/>
      </c:ext>
    </c:extLst>
  </c:chart>
  <c:spPr>
    <a:gradFill>
      <a:gsLst>
        <a:gs pos="0">
          <a:schemeClr val="dk1">
            <a:lumMod val="65000"/>
            <a:lumOff val="35000"/>
          </a:schemeClr>
        </a:gs>
        <a:gs pos="100000">
          <a:schemeClr val="dk1">
            <a:lumMod val="85000"/>
            <a:lumOff val="15000"/>
          </a:schemeClr>
        </a:gs>
      </a:gsLst>
      <a:path path="circle">
        <a:fillToRect l="50000" t="50000" r="50000" b="50000"/>
      </a:path>
      <a:tileRect/>
    </a:gradFill>
    <a:ln w="9525" cap="flat" cmpd="sng" algn="ctr">
      <a:solidFill>
        <a:schemeClr val="bg1">
          <a:lumMod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withinLinear" id="15">
  <a:schemeClr val="accent2"/>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16">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16">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90">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Company>四川省财政厅</Company>
  <Pages>27</Pages>
  <Words>8054</Words>
  <Characters>8987</Characters>
  <Lines>96</Lines>
  <Paragraphs>27</Paragraphs>
  <TotalTime>18</TotalTime>
  <ScaleCrop>false</ScaleCrop>
  <LinksUpToDate>false</LinksUpToDate>
  <CharactersWithSpaces>9178</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2023-08-19T15:28:00Z</dcterms:created>
  <dc:creator>pjf</dc:creator>
  <cp:lastModifiedBy>？？？</cp:lastModifiedBy>
  <cp:lastPrinted>2025-09-10T11:39:00Z</cp:lastPrinted>
  <dcterms:modified xsi:type="dcterms:W3CDTF">2026-09-03T06:40:30Z</dcterms:modified>
  <dc:title>四川省决算编制说明</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4560FAFDFF5546EF91958BA1CBA3522E_13</vt:lpwstr>
  </property>
  <property fmtid="{D5CDD505-2E9C-101B-9397-08002B2CF9AE}" pid="4" name="KSOTemplateDocerSaveRecord">
    <vt:lpwstr>eyJoZGlkIjoiNWRiNDNiN2NiNzUwZDY5NGQ4ZWI4ZjcwNmI4MGM1YzMiLCJ1c2VySWQiOiIxMjA3NDU3MDUyIn0=</vt:lpwstr>
  </property>
</Properties>
</file>