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8C55A">
      <w:pPr>
        <w:rPr>
          <w:rFonts w:ascii="宋体" w:eastAsia="宋体"/>
          <w:b/>
          <w:sz w:val="72"/>
          <w:szCs w:val="72"/>
          <w:highlight w:val="yellow"/>
        </w:rPr>
      </w:pPr>
      <w:bookmarkStart w:id="0" w:name="_Toc15396475"/>
      <w:bookmarkStart w:id="1" w:name="_Toc15377425"/>
      <w:bookmarkStart w:id="2" w:name="_Toc15377193"/>
      <w:bookmarkStart w:id="3" w:name="_Toc15396597"/>
      <w:bookmarkStart w:id="4" w:name="_Toc15306267"/>
      <w:bookmarkStart w:id="5" w:name="_Toc15378441"/>
    </w:p>
    <w:p w14:paraId="1D14721C">
      <w:pPr>
        <w:pStyle w:val="5"/>
        <w:ind w:firstLine="0"/>
        <w:rPr>
          <w:highlight w:val="yellow"/>
        </w:rPr>
      </w:pPr>
    </w:p>
    <w:bookmarkEnd w:id="0"/>
    <w:bookmarkEnd w:id="1"/>
    <w:bookmarkEnd w:id="2"/>
    <w:bookmarkEnd w:id="3"/>
    <w:bookmarkEnd w:id="4"/>
    <w:bookmarkEnd w:id="5"/>
    <w:p w14:paraId="3704DF69">
      <w:pPr>
        <w:pStyle w:val="7"/>
        <w:jc w:val="center"/>
        <w:rPr>
          <w:rFonts w:hint="eastAsia" w:ascii="方正小标宋简体" w:eastAsia="方正小标宋简体" w:cs="Times New Roman"/>
          <w:color w:val="auto"/>
          <w:kern w:val="2"/>
          <w:sz w:val="44"/>
          <w:szCs w:val="44"/>
          <w:highlight w:val="none"/>
          <w:lang w:val="en-US" w:eastAsia="zh-CN" w:bidi="ar-SA"/>
        </w:rPr>
      </w:pPr>
      <w:r>
        <w:rPr>
          <w:rFonts w:hint="eastAsia" w:ascii="方正小标宋简体" w:eastAsia="方正小标宋简体" w:cs="Times New Roman"/>
          <w:color w:val="auto"/>
          <w:kern w:val="2"/>
          <w:sz w:val="44"/>
          <w:szCs w:val="44"/>
          <w:highlight w:val="none"/>
          <w:lang w:val="en-US" w:eastAsia="zh-CN" w:bidi="ar-SA"/>
        </w:rPr>
        <w:t>2025年度四川省阿坝州茂县南新镇便民服务中心（事业）单位决算</w:t>
      </w:r>
    </w:p>
    <w:p w14:paraId="27136C2F">
      <w:pPr>
        <w:pStyle w:val="5"/>
        <w:rPr>
          <w:highlight w:val="none"/>
        </w:rPr>
      </w:pPr>
    </w:p>
    <w:p w14:paraId="6760CCA6">
      <w:pPr>
        <w:pStyle w:val="5"/>
        <w:rPr>
          <w:highlight w:val="none"/>
        </w:rPr>
      </w:pPr>
    </w:p>
    <w:p w14:paraId="1DBF990A">
      <w:pPr>
        <w:pStyle w:val="5"/>
        <w:rPr>
          <w:highlight w:val="none"/>
        </w:rPr>
      </w:pPr>
    </w:p>
    <w:p w14:paraId="58375AAA">
      <w:pPr>
        <w:pStyle w:val="5"/>
        <w:rPr>
          <w:highlight w:val="none"/>
        </w:rPr>
      </w:pPr>
    </w:p>
    <w:p w14:paraId="0C61C259">
      <w:pPr>
        <w:pStyle w:val="5"/>
        <w:rPr>
          <w:highlight w:val="none"/>
        </w:rPr>
      </w:pPr>
    </w:p>
    <w:p w14:paraId="04E75D85">
      <w:pPr>
        <w:pStyle w:val="5"/>
        <w:rPr>
          <w:highlight w:val="none"/>
        </w:rPr>
      </w:pPr>
    </w:p>
    <w:p w14:paraId="41F42F74">
      <w:pPr>
        <w:pStyle w:val="5"/>
        <w:rPr>
          <w:highlight w:val="none"/>
        </w:rPr>
      </w:pPr>
    </w:p>
    <w:p w14:paraId="01BCC5D4">
      <w:pPr>
        <w:pStyle w:val="5"/>
        <w:rPr>
          <w:highlight w:val="none"/>
        </w:rPr>
      </w:pPr>
    </w:p>
    <w:p w14:paraId="1B38F1D9">
      <w:pPr>
        <w:pStyle w:val="5"/>
        <w:rPr>
          <w:highlight w:val="none"/>
        </w:rPr>
      </w:pPr>
    </w:p>
    <w:p w14:paraId="341B0633">
      <w:pPr>
        <w:pStyle w:val="5"/>
        <w:rPr>
          <w:highlight w:val="none"/>
        </w:rPr>
      </w:pPr>
    </w:p>
    <w:p w14:paraId="2847EC56">
      <w:pPr>
        <w:pStyle w:val="5"/>
        <w:rPr>
          <w:highlight w:val="none"/>
        </w:rPr>
      </w:pPr>
    </w:p>
    <w:p w14:paraId="1EC37B40">
      <w:pPr>
        <w:pStyle w:val="5"/>
        <w:rPr>
          <w:highlight w:val="none"/>
        </w:rPr>
      </w:pPr>
    </w:p>
    <w:p w14:paraId="68887C38">
      <w:pPr>
        <w:pStyle w:val="5"/>
        <w:tabs>
          <w:tab w:val="left" w:pos="3600"/>
        </w:tabs>
        <w:jc w:val="center"/>
        <w:rPr>
          <w:rFonts w:eastAsia="宋体"/>
          <w:b/>
          <w:bCs/>
          <w:highlight w:val="none"/>
          <w:lang w:val="en-US" w:eastAsia="zh-CN"/>
        </w:rPr>
      </w:pPr>
    </w:p>
    <w:p w14:paraId="0E272B1A">
      <w:pPr>
        <w:pStyle w:val="5"/>
        <w:rPr>
          <w:highlight w:val="none"/>
        </w:rPr>
      </w:pPr>
    </w:p>
    <w:p w14:paraId="291BDBC2">
      <w:pPr>
        <w:pStyle w:val="5"/>
        <w:rPr>
          <w:highlight w:val="none"/>
        </w:rPr>
      </w:pPr>
    </w:p>
    <w:p w14:paraId="5BFAFE50">
      <w:pPr>
        <w:pStyle w:val="5"/>
        <w:rPr>
          <w:highlight w:val="none"/>
        </w:rPr>
      </w:pPr>
    </w:p>
    <w:p w14:paraId="064C5F28">
      <w:pPr>
        <w:pStyle w:val="5"/>
        <w:rPr>
          <w:highlight w:val="none"/>
        </w:rPr>
      </w:pPr>
    </w:p>
    <w:p w14:paraId="45E368E5">
      <w:pPr>
        <w:pStyle w:val="5"/>
        <w:rPr>
          <w:highlight w:val="none"/>
        </w:rPr>
      </w:pPr>
    </w:p>
    <w:p w14:paraId="0D4A4398">
      <w:pPr>
        <w:autoSpaceDE w:val="0"/>
        <w:autoSpaceDN w:val="0"/>
        <w:adjustRightInd w:val="0"/>
        <w:ind w:left="420" w:leftChars="200"/>
        <w:jc w:val="left"/>
        <w:rPr>
          <w:rFonts w:ascii="宋体"/>
          <w:sz w:val="32"/>
          <w:szCs w:val="32"/>
          <w:highlight w:val="none"/>
        </w:rPr>
      </w:pPr>
    </w:p>
    <w:p w14:paraId="445426D1">
      <w:pPr>
        <w:widowControl/>
        <w:jc w:val="center"/>
        <w:rPr>
          <w:rFonts w:hint="eastAsia" w:ascii="黑体" w:eastAsia="黑体"/>
          <w:color w:val="000000"/>
          <w:sz w:val="48"/>
          <w:szCs w:val="48"/>
          <w:highlight w:val="none"/>
        </w:rPr>
      </w:pPr>
      <w:r>
        <w:rPr>
          <w:rFonts w:ascii="方正小标宋简体" w:eastAsia="方正小标宋简体"/>
          <w:color w:val="000000"/>
          <w:sz w:val="36"/>
          <w:szCs w:val="36"/>
          <w:highlight w:val="none"/>
        </w:rPr>
        <w:br w:type="page"/>
      </w:r>
      <w:bookmarkStart w:id="6" w:name="_Toc15377196"/>
      <w:r>
        <w:rPr>
          <w:rFonts w:hint="eastAsia" w:ascii="黑体" w:eastAsia="黑体"/>
          <w:color w:val="000000"/>
          <w:sz w:val="48"/>
          <w:szCs w:val="48"/>
          <w:highlight w:val="none"/>
        </w:rPr>
        <w:t>目录</w:t>
      </w:r>
    </w:p>
    <w:p w14:paraId="0B496774">
      <w:pPr>
        <w:pStyle w:val="15"/>
        <w:rPr>
          <w:rFonts w:hint="eastAsia" w:ascii="黑体" w:eastAsia="黑体"/>
          <w:color w:val="000000"/>
          <w:sz w:val="48"/>
          <w:szCs w:val="48"/>
          <w:highlight w:val="none"/>
        </w:rPr>
      </w:pPr>
    </w:p>
    <w:p w14:paraId="6F51428A">
      <w:pPr>
        <w:pStyle w:val="14"/>
        <w:widowControl w:val="0"/>
        <w:suppressAutoHyphens/>
        <w:bidi w:val="0"/>
        <w:rPr>
          <w:rFonts w:hint="eastAsia" w:ascii="仿宋_GB2312" w:eastAsia="仿宋_GB2312" w:cs="仿宋_GB2312"/>
          <w:sz w:val="32"/>
          <w:szCs w:val="32"/>
        </w:rPr>
      </w:pPr>
      <w:r>
        <w:rPr>
          <w:rFonts w:hint="eastAsia" w:ascii="仿宋_GB2312" w:eastAsia="仿宋_GB2312" w:cs="仿宋_GB2312"/>
          <w:color w:val="auto"/>
          <w:sz w:val="32"/>
          <w:szCs w:val="32"/>
          <w:highlight w:val="none"/>
          <w:lang w:eastAsia="zh-CN"/>
        </w:rPr>
        <w:t>公开时间：2025年9月</w:t>
      </w:r>
      <w:r>
        <w:rPr>
          <w:rFonts w:hint="eastAsia" w:ascii="仿宋_GB2312" w:eastAsia="仿宋_GB2312" w:cs="仿宋_GB2312"/>
          <w:color w:val="auto"/>
          <w:sz w:val="32"/>
          <w:szCs w:val="32"/>
          <w:highlight w:val="none"/>
          <w:lang w:val="en-US" w:eastAsia="zh-CN"/>
        </w:rPr>
        <w:t>4</w:t>
      </w:r>
      <w:r>
        <w:rPr>
          <w:rFonts w:hint="eastAsia" w:ascii="仿宋_GB2312" w:eastAsia="仿宋_GB2312" w:cs="仿宋_GB2312"/>
          <w:color w:val="auto"/>
          <w:sz w:val="32"/>
          <w:szCs w:val="32"/>
          <w:highlight w:val="none"/>
          <w:lang w:eastAsia="zh-CN"/>
        </w:rPr>
        <w:t>日</w:t>
      </w:r>
    </w:p>
    <w:p w14:paraId="2885E5D0">
      <w:pPr>
        <w:pStyle w:val="17"/>
        <w:tabs>
          <w:tab w:val="right" w:leader="dot" w:pos="8306"/>
          <w:tab w:val="clear" w:pos="8296"/>
        </w:tabs>
        <w:rPr>
          <w:rFonts w:hint="eastAsia" w:ascii="仿宋_GB2312" w:hAnsi="Times New Roman" w:eastAsia="仿宋_GB2312" w:cs="仿宋_GB2312"/>
          <w:kern w:val="2"/>
          <w:sz w:val="32"/>
          <w:szCs w:val="32"/>
          <w:highlight w:val="none"/>
          <w:lang w:val="en-US" w:eastAsia="zh-CN" w:bidi="ar-SA"/>
        </w:rPr>
      </w:pPr>
      <w:bookmarkStart w:id="7" w:name="_Toc111208495"/>
      <w:r>
        <w:rPr>
          <w:caps w:val="0"/>
          <w:smallCaps/>
          <w:sz w:val="32"/>
          <w:szCs w:val="32"/>
          <w:highlight w:val="none"/>
        </w:rPr>
        <w:fldChar w:fldCharType="begin"/>
      </w:r>
      <w:r>
        <w:rPr>
          <w:caps w:val="0"/>
          <w:smallCaps/>
          <w:sz w:val="32"/>
          <w:szCs w:val="32"/>
          <w:highlight w:val="none"/>
        </w:rPr>
        <w:instrText xml:space="preserve"> TOC \o "1-2" \h \z \u </w:instrText>
      </w:r>
      <w:r>
        <w:rPr>
          <w:caps w:val="0"/>
          <w:smallCaps/>
          <w:sz w:val="32"/>
          <w:szCs w:val="32"/>
          <w:highlight w:val="none"/>
        </w:rPr>
        <w:fldChar w:fldCharType="separate"/>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_Toc21550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第一部分 部门概况</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_Toc21550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3</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10552549">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_Toc11489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一、部门职责</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_Toc11489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3</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06D07FB6">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_Toc28081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二、机构设置</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_Toc28081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4</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4346D4A0">
      <w:pPr>
        <w:pStyle w:val="17"/>
        <w:tabs>
          <w:tab w:val="right" w:leader="dot" w:pos="8306"/>
          <w:tab w:val="clear" w:pos="8296"/>
        </w:tabs>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_Toc11896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第二部分 2024年度单位决算情况说明</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_Toc11896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5</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28486B3F">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_Toc30380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一、收入支出决算总体情况说明</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_Toc30380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5</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30969089">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_Toc483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二、收入决算情况说明</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_Toc483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5</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5EC383A9">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_Toc27257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三、支出决算情况说明</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_Toc27257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316F0527">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_Toc12534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四、财政拨款收入支出决算总体情况说明</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_Toc12534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5441A278">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_Toc16370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五、一般公共预算财政拨款支出决算情况说明</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_Toc16370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7</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139557D7">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_Toc533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六、一般公共预算财政拨款基本支出决算情况说明</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_Toc533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9</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1FAEC128">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_Toc27414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七、“三公”经费财政拨款支出决算情况说明</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_Toc27414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10</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4C1ACCE2">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_Toc27590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八、政府性基金预算支出决算情况说明</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_Toc27590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11</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6C068372">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_Toc6349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九、国有资本经营预算支出决算情况说明</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_Toc6349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11</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6D5EC36E">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_Toc7650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十、其他重要事项的情况说明</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_Toc7650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11</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3167D9B5">
      <w:pPr>
        <w:pStyle w:val="17"/>
        <w:tabs>
          <w:tab w:val="right" w:leader="dot" w:pos="8306"/>
          <w:tab w:val="clear" w:pos="8296"/>
        </w:tabs>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_Toc24024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第三部分 名词解释</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_Toc24024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13</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375162EB">
      <w:pPr>
        <w:pStyle w:val="17"/>
        <w:tabs>
          <w:tab w:val="right" w:leader="dot" w:pos="8306"/>
          <w:tab w:val="clear" w:pos="8296"/>
        </w:tabs>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_Toc5449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第五部分 附表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_Toc5449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46345F7B">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_Toc6701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一、收入支出决算总表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_Toc6701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7680DF9A">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_Toc5703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二、收入决算表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_Toc5703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41F6A292">
      <w:pPr>
        <w:pStyle w:val="17"/>
        <w:tabs>
          <w:tab w:val="right" w:leader="dot" w:pos="8306"/>
          <w:tab w:val="clear" w:pos="8296"/>
        </w:tabs>
        <w:ind w:firstLine="320" w:firstLineChars="100"/>
        <w:rPr>
          <w:sz w:val="32"/>
          <w:szCs w:val="32"/>
        </w:rPr>
      </w:pPr>
      <w:r>
        <w:rPr>
          <w:caps w:val="0"/>
          <w:smallCaps/>
          <w:sz w:val="32"/>
          <w:szCs w:val="32"/>
          <w:highlight w:val="none"/>
        </w:rPr>
        <w:fldChar w:fldCharType="begin"/>
      </w:r>
      <w:r>
        <w:rPr>
          <w:caps w:val="0"/>
          <w:smallCaps/>
          <w:sz w:val="32"/>
          <w:szCs w:val="32"/>
          <w:highlight w:val="none"/>
        </w:rPr>
        <w:instrText xml:space="preserve"> HYPERLINK \l _Toc7252 </w:instrText>
      </w:r>
      <w:r>
        <w:rPr>
          <w:caps w:val="0"/>
          <w:smallCaps/>
          <w:sz w:val="32"/>
          <w:szCs w:val="32"/>
          <w:highlight w:val="none"/>
        </w:rPr>
        <w:fldChar w:fldCharType="separate"/>
      </w:r>
      <w:r>
        <w:rPr>
          <w:rFonts w:hint="eastAsia" w:ascii="仿宋_GB2312" w:hAnsi="Times New Roman" w:eastAsia="仿宋_GB2312" w:cs="仿宋_GB2312"/>
          <w:kern w:val="2"/>
          <w:sz w:val="32"/>
          <w:szCs w:val="32"/>
          <w:highlight w:val="none"/>
          <w:lang w:val="en-US" w:eastAsia="zh-CN" w:bidi="ar-SA"/>
        </w:rPr>
        <w:t>三、支出决算表</w:t>
      </w:r>
      <w:r>
        <w:rPr>
          <w:sz w:val="32"/>
          <w:szCs w:val="32"/>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_Toc7252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caps w:val="0"/>
          <w:smallCaps/>
          <w:sz w:val="32"/>
          <w:szCs w:val="32"/>
          <w:highlight w:val="none"/>
        </w:rPr>
        <w:fldChar w:fldCharType="end"/>
      </w:r>
    </w:p>
    <w:p w14:paraId="3BB3A22C">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_Toc2827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四、财政拨款收入支出决算总表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_Toc2827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6C7633CE">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_Toc11388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五、财政拨款支出决算明细表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_Toc11388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2557688C">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_Toc28378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六、一般公共预算财政拨款支出决算表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_Toc28378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0D1D61DB">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_Toc9565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七、一般公共预算财政拨款支出决算明细表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_Toc9565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47BC973E">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_Toc29675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八、一般公共预算财政拨款基本支出决算表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_Toc29675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774C2122">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_Toc12590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九、一般公共预算财政拨款项目支出决算表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_Toc12590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54CC85EE">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_Toc16652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十、政府性基金预算财政拨款收入支出决算表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_Toc16652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51FEE432">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_Toc13104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十一、国有资本经营预算财政拨款收入支出决算表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_Toc13104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62D5D9E0">
      <w:pPr>
        <w:pStyle w:val="17"/>
        <w:tabs>
          <w:tab w:val="right" w:leader="dot" w:pos="8306"/>
          <w:tab w:val="clear" w:pos="8296"/>
        </w:tabs>
        <w:ind w:firstLine="320" w:firstLineChars="100"/>
        <w:rPr>
          <w:rFonts w:hint="eastAsia" w:ascii="仿宋_GB2312" w:hAnsi="Times New Roman" w:eastAsia="仿宋_GB2312" w:cs="仿宋_GB2312"/>
          <w:kern w:val="2"/>
          <w:sz w:val="32"/>
          <w:szCs w:val="32"/>
          <w:highlight w:val="none"/>
          <w:lang w:val="en-US" w:eastAsia="zh-CN" w:bidi="ar-SA"/>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_Toc19837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十二、国有资本经营预算财政拨款支出决算表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_Toc19837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02582009">
      <w:pPr>
        <w:pStyle w:val="17"/>
        <w:tabs>
          <w:tab w:val="right" w:leader="dot" w:pos="8306"/>
          <w:tab w:val="clear" w:pos="8296"/>
        </w:tabs>
        <w:ind w:firstLine="320" w:firstLineChars="100"/>
        <w:rPr>
          <w:sz w:val="32"/>
          <w:szCs w:val="32"/>
        </w:rPr>
      </w:pP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HYPERLINK \l _Toc27290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十三、财政拨款“三公”经费支出决算表</w:t>
      </w:r>
      <w:r>
        <w:rPr>
          <w:rFonts w:hint="eastAsia" w:ascii="仿宋_GB2312" w:hAnsi="Times New Roman" w:eastAsia="仿宋_GB2312" w:cs="仿宋_GB2312"/>
          <w:kern w:val="2"/>
          <w:sz w:val="32"/>
          <w:szCs w:val="32"/>
          <w:highlight w:val="none"/>
          <w:lang w:val="en-US" w:eastAsia="zh-CN" w:bidi="ar-SA"/>
        </w:rPr>
        <w:tab/>
      </w:r>
      <w:r>
        <w:rPr>
          <w:rFonts w:hint="eastAsia" w:ascii="仿宋_GB2312" w:hAnsi="Times New Roman" w:eastAsia="仿宋_GB2312" w:cs="仿宋_GB2312"/>
          <w:kern w:val="2"/>
          <w:sz w:val="32"/>
          <w:szCs w:val="32"/>
          <w:highlight w:val="none"/>
          <w:lang w:val="en-US" w:eastAsia="zh-CN" w:bidi="ar-SA"/>
        </w:rPr>
        <w:fldChar w:fldCharType="begin"/>
      </w:r>
      <w:r>
        <w:rPr>
          <w:rFonts w:hint="eastAsia" w:ascii="仿宋_GB2312" w:hAnsi="Times New Roman" w:eastAsia="仿宋_GB2312" w:cs="仿宋_GB2312"/>
          <w:kern w:val="2"/>
          <w:sz w:val="32"/>
          <w:szCs w:val="32"/>
          <w:highlight w:val="none"/>
          <w:lang w:val="en-US" w:eastAsia="zh-CN" w:bidi="ar-SA"/>
        </w:rPr>
        <w:instrText xml:space="preserve"> PAGEREF _Toc27290 \h </w:instrText>
      </w:r>
      <w:r>
        <w:rPr>
          <w:rFonts w:hint="eastAsia" w:ascii="仿宋_GB2312" w:hAnsi="Times New Roman" w:eastAsia="仿宋_GB2312" w:cs="仿宋_GB2312"/>
          <w:kern w:val="2"/>
          <w:sz w:val="32"/>
          <w:szCs w:val="32"/>
          <w:highlight w:val="none"/>
          <w:lang w:val="en-US" w:eastAsia="zh-CN" w:bidi="ar-SA"/>
        </w:rPr>
        <w:fldChar w:fldCharType="separate"/>
      </w:r>
      <w:r>
        <w:rPr>
          <w:rFonts w:hint="eastAsia" w:ascii="仿宋_GB2312" w:hAnsi="Times New Roman" w:eastAsia="仿宋_GB2312" w:cs="仿宋_GB2312"/>
          <w:kern w:val="2"/>
          <w:sz w:val="32"/>
          <w:szCs w:val="32"/>
          <w:highlight w:val="none"/>
          <w:lang w:val="en-US" w:eastAsia="zh-CN" w:bidi="ar-SA"/>
        </w:rPr>
        <w:t>16</w:t>
      </w:r>
      <w:r>
        <w:rPr>
          <w:rFonts w:hint="eastAsia" w:ascii="仿宋_GB2312" w:hAnsi="Times New Roman" w:eastAsia="仿宋_GB2312" w:cs="仿宋_GB2312"/>
          <w:kern w:val="2"/>
          <w:sz w:val="32"/>
          <w:szCs w:val="32"/>
          <w:highlight w:val="none"/>
          <w:lang w:val="en-US" w:eastAsia="zh-CN" w:bidi="ar-SA"/>
        </w:rPr>
        <w:fldChar w:fldCharType="end"/>
      </w:r>
      <w:r>
        <w:rPr>
          <w:rFonts w:hint="eastAsia" w:ascii="仿宋_GB2312" w:hAnsi="Times New Roman" w:eastAsia="仿宋_GB2312" w:cs="仿宋_GB2312"/>
          <w:kern w:val="2"/>
          <w:sz w:val="32"/>
          <w:szCs w:val="32"/>
          <w:highlight w:val="none"/>
          <w:lang w:val="en-US" w:eastAsia="zh-CN" w:bidi="ar-SA"/>
        </w:rPr>
        <w:fldChar w:fldCharType="end"/>
      </w:r>
    </w:p>
    <w:p w14:paraId="4C619174">
      <w:pPr>
        <w:pStyle w:val="5"/>
        <w:rPr>
          <w:sz w:val="32"/>
          <w:szCs w:val="32"/>
          <w:highlight w:val="yellow"/>
        </w:rPr>
      </w:pPr>
      <w:r>
        <w:rPr>
          <w:caps w:val="0"/>
          <w:smallCaps/>
          <w:sz w:val="32"/>
          <w:szCs w:val="32"/>
          <w:highlight w:val="none"/>
        </w:rPr>
        <w:fldChar w:fldCharType="end"/>
      </w:r>
    </w:p>
    <w:bookmarkEnd w:id="6"/>
    <w:bookmarkEnd w:id="7"/>
    <w:p w14:paraId="2A95469F">
      <w:pPr>
        <w:pStyle w:val="2"/>
        <w:jc w:val="both"/>
        <w:rPr>
          <w:rFonts w:hint="eastAsia" w:ascii="黑体" w:eastAsia="黑体" w:cs="黑体"/>
          <w:highlight w:val="none"/>
        </w:rPr>
      </w:pPr>
      <w:bookmarkStart w:id="82" w:name="_GoBack"/>
      <w:bookmarkEnd w:id="82"/>
      <w:bookmarkStart w:id="8" w:name="_Toc21550"/>
      <w:bookmarkStart w:id="9" w:name="_Toc15377204"/>
    </w:p>
    <w:p w14:paraId="4E137DF6">
      <w:pPr>
        <w:pStyle w:val="2"/>
        <w:jc w:val="center"/>
        <w:rPr>
          <w:rFonts w:hint="eastAsia" w:ascii="黑体" w:eastAsia="黑体" w:cs="黑体"/>
          <w:highlight w:val="none"/>
        </w:rPr>
      </w:pPr>
    </w:p>
    <w:p w14:paraId="7A324C08">
      <w:pPr>
        <w:pStyle w:val="2"/>
        <w:jc w:val="both"/>
        <w:rPr>
          <w:rFonts w:hint="eastAsia" w:ascii="黑体" w:eastAsia="黑体" w:cs="黑体"/>
          <w:highlight w:val="none"/>
          <w:lang w:eastAsia="zh-CN"/>
        </w:rPr>
      </w:pPr>
    </w:p>
    <w:p w14:paraId="0D985BA1">
      <w:pPr>
        <w:pStyle w:val="2"/>
        <w:spacing w:before="0" w:after="0" w:line="240" w:lineRule="auto"/>
        <w:ind w:firstLine="883" w:firstLineChars="200"/>
        <w:jc w:val="both"/>
        <w:rPr>
          <w:rFonts w:hint="eastAsia" w:ascii="黑体" w:eastAsia="黑体" w:cs="黑体"/>
          <w:highlight w:val="none"/>
        </w:rPr>
      </w:pPr>
    </w:p>
    <w:p w14:paraId="0AA1CEF7">
      <w:pPr>
        <w:pStyle w:val="2"/>
        <w:spacing w:before="0" w:after="0" w:line="240" w:lineRule="auto"/>
        <w:ind w:firstLine="883" w:firstLineChars="200"/>
        <w:jc w:val="both"/>
        <w:rPr>
          <w:rFonts w:hint="eastAsia" w:ascii="黑体" w:eastAsia="黑体" w:cs="黑体"/>
          <w:highlight w:val="none"/>
        </w:rPr>
      </w:pPr>
    </w:p>
    <w:p w14:paraId="0BB1D674">
      <w:pPr>
        <w:pStyle w:val="2"/>
        <w:spacing w:before="0" w:after="0" w:line="240" w:lineRule="auto"/>
        <w:ind w:firstLine="883" w:firstLineChars="200"/>
        <w:jc w:val="both"/>
        <w:rPr>
          <w:rFonts w:ascii="黑体" w:eastAsia="黑体" w:cs="黑体"/>
          <w:b w:val="0"/>
          <w:bCs w:val="0"/>
          <w:highlight w:val="none"/>
        </w:rPr>
      </w:pPr>
      <w:r>
        <w:rPr>
          <w:rFonts w:hint="eastAsia" w:ascii="黑体" w:eastAsia="黑体" w:cs="黑体"/>
          <w:highlight w:val="none"/>
        </w:rPr>
        <w:t xml:space="preserve">第一部分 </w:t>
      </w:r>
      <w:r>
        <w:rPr>
          <w:rStyle w:val="23"/>
          <w:rFonts w:hint="eastAsia" w:ascii="黑体" w:eastAsia="黑体" w:cs="黑体"/>
          <w:b/>
          <w:bCs w:val="0"/>
          <w:highlight w:val="none"/>
        </w:rPr>
        <w:t>部门概况</w:t>
      </w:r>
      <w:bookmarkEnd w:id="8"/>
    </w:p>
    <w:p w14:paraId="2738296B">
      <w:pPr>
        <w:pStyle w:val="3"/>
        <w:keepNext/>
        <w:keepLines/>
        <w:pageBreakBefore w:val="0"/>
        <w:widowControl w:val="0"/>
        <w:kinsoku/>
        <w:wordWrap/>
        <w:overflowPunct/>
        <w:topLinePunct w:val="0"/>
        <w:autoSpaceDE/>
        <w:autoSpaceDN/>
        <w:bidi w:val="0"/>
        <w:adjustRightInd/>
        <w:snapToGrid/>
        <w:spacing w:line="340" w:lineRule="exact"/>
        <w:ind w:firstLine="643" w:firstLineChars="200"/>
        <w:textAlignment w:val="auto"/>
        <w:rPr>
          <w:rFonts w:ascii="黑体" w:eastAsia="黑体" w:cs="Times New Roman"/>
          <w:bCs w:val="0"/>
          <w:color w:val="000000"/>
          <w:highlight w:val="none"/>
        </w:rPr>
      </w:pPr>
      <w:bookmarkStart w:id="10" w:name="_Toc111208496"/>
      <w:bookmarkStart w:id="11" w:name="_Toc15377197"/>
      <w:bookmarkStart w:id="12" w:name="_Toc11489"/>
      <w:r>
        <w:rPr>
          <w:rFonts w:hint="eastAsia" w:ascii="黑体" w:eastAsia="黑体" w:cs="Times New Roman"/>
          <w:bCs w:val="0"/>
          <w:color w:val="000000"/>
          <w:highlight w:val="none"/>
        </w:rPr>
        <w:t>一、</w:t>
      </w:r>
      <w:bookmarkEnd w:id="10"/>
      <w:bookmarkEnd w:id="11"/>
      <w:bookmarkStart w:id="13" w:name="_Toc15378445"/>
      <w:bookmarkStart w:id="14" w:name="_Toc15377198"/>
      <w:r>
        <w:rPr>
          <w:rFonts w:hint="eastAsia" w:ascii="黑体" w:eastAsia="黑体" w:cs="Times New Roman"/>
          <w:bCs w:val="0"/>
          <w:color w:val="000000"/>
          <w:highlight w:val="none"/>
          <w:lang w:val="en-US" w:eastAsia="zh-CN"/>
        </w:rPr>
        <w:t>主要</w:t>
      </w:r>
      <w:r>
        <w:rPr>
          <w:rFonts w:hint="eastAsia" w:ascii="黑体" w:eastAsia="黑体" w:cs="Times New Roman"/>
          <w:bCs w:val="0"/>
          <w:color w:val="000000"/>
          <w:highlight w:val="none"/>
        </w:rPr>
        <w:t>职责</w:t>
      </w:r>
      <w:bookmarkEnd w:id="12"/>
    </w:p>
    <w:bookmarkEnd w:id="13"/>
    <w:bookmarkEnd w:id="14"/>
    <w:p w14:paraId="0E80AE5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highlight w:val="none"/>
        </w:rPr>
      </w:pPr>
      <w:bookmarkStart w:id="15" w:name="_Toc15377200"/>
      <w:bookmarkStart w:id="16" w:name="_Toc111208497"/>
      <w:r>
        <w:rPr>
          <w:rFonts w:hint="eastAsia" w:ascii="仿宋_GB2312" w:eastAsia="仿宋_GB2312" w:cs="仿宋_GB2312"/>
          <w:sz w:val="32"/>
          <w:szCs w:val="32"/>
          <w:highlight w:val="none"/>
          <w:lang w:val="en-US" w:eastAsia="zh-CN"/>
        </w:rPr>
        <w:t>1.</w:t>
      </w:r>
      <w:r>
        <w:rPr>
          <w:rFonts w:hint="eastAsia" w:ascii="仿宋_GB2312" w:eastAsia="仿宋_GB2312" w:cs="仿宋_GB2312"/>
          <w:sz w:val="32"/>
          <w:szCs w:val="32"/>
          <w:highlight w:val="none"/>
        </w:rPr>
        <w:t>贯彻执行党和国家的路线方针政策和上级党委、政府各项决策部署，以及本级党员代表大会（党员大会）、人民代表大会的决议决定。</w:t>
      </w:r>
    </w:p>
    <w:p w14:paraId="3FB5564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highlight w:val="none"/>
          <w:lang w:val="en-US" w:eastAsia="zh-CN"/>
        </w:rPr>
        <w:t>2.</w:t>
      </w:r>
      <w:r>
        <w:rPr>
          <w:rFonts w:hint="eastAsia" w:ascii="仿宋_GB2312" w:eastAsia="仿宋_GB2312" w:cs="仿宋_GB2312"/>
          <w:sz w:val="32"/>
          <w:szCs w:val="32"/>
          <w:highlight w:val="none"/>
        </w:rPr>
        <w:t>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14:paraId="22E790D6">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highlight w:val="none"/>
          <w:lang w:val="en-US" w:eastAsia="zh-CN"/>
        </w:rPr>
        <w:t>3.</w:t>
      </w:r>
      <w:r>
        <w:rPr>
          <w:rFonts w:hint="eastAsia" w:ascii="仿宋_GB2312" w:eastAsia="仿宋_GB2312" w:cs="仿宋_GB2312"/>
          <w:sz w:val="32"/>
          <w:szCs w:val="32"/>
          <w:highlight w:val="none"/>
        </w:rPr>
        <w:t>领导镇政权机关、群团组织和其他各类组织，加强指导和规范，支持和保证这些机关和组织依照国家法律法规以及各自章程履行职责。</w:t>
      </w:r>
    </w:p>
    <w:p w14:paraId="038B5E64">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highlight w:val="none"/>
          <w:lang w:val="en-US" w:eastAsia="zh-CN"/>
        </w:rPr>
        <w:t>4.</w:t>
      </w:r>
      <w:r>
        <w:rPr>
          <w:rFonts w:hint="eastAsia" w:ascii="仿宋_GB2312" w:eastAsia="仿宋_GB2312" w:cs="仿宋_GB2312"/>
          <w:sz w:val="32"/>
          <w:szCs w:val="32"/>
          <w:highlight w:val="none"/>
        </w:rPr>
        <w:t>加强党的建设。坚持全面从严治党，落实管党治党主体责任，全面加强党的政治建设、思想建设、组织建设、作风建设、纪律建设、制度建设等工作。不断强化自身建设和村党组织建设，以及其他隶属镇党委的党组织建设，抓好发展党员工作，加强党员队伍建设。维护和执行党的纪律</w:t>
      </w:r>
      <w:r>
        <w:rPr>
          <w:rFonts w:hint="eastAsia" w:ascii="仿宋_GB2312" w:eastAsia="仿宋_GB2312" w:cs="仿宋_GB2312"/>
          <w:sz w:val="32"/>
          <w:szCs w:val="32"/>
          <w:highlight w:val="none"/>
          <w:lang w:val="en-US" w:eastAsia="zh-CN"/>
        </w:rPr>
        <w:t>,</w:t>
      </w:r>
      <w:r>
        <w:rPr>
          <w:rFonts w:hint="eastAsia" w:ascii="仿宋_GB2312" w:eastAsia="仿宋_GB2312" w:cs="仿宋_GB2312"/>
          <w:sz w:val="32"/>
          <w:szCs w:val="32"/>
          <w:highlight w:val="none"/>
        </w:rPr>
        <w:t>监督党员干部和其他工作人员严格遵守国家法律法规。</w:t>
      </w:r>
    </w:p>
    <w:p w14:paraId="4EE8CB84">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highlight w:val="none"/>
          <w:lang w:val="en-US" w:eastAsia="zh-CN"/>
        </w:rPr>
        <w:t>5.</w:t>
      </w:r>
      <w:r>
        <w:rPr>
          <w:rFonts w:hint="eastAsia" w:ascii="仿宋_GB2312" w:eastAsia="仿宋_GB2312" w:cs="仿宋_GB2312"/>
          <w:sz w:val="32"/>
          <w:szCs w:val="32"/>
          <w:highlight w:val="none"/>
        </w:rPr>
        <w:t>按照干部管理权限，负责对干部的教育、培训、选拔、考核和监督工作。协助管理上级有关部门驻镇单位的干部。</w:t>
      </w:r>
      <w:bookmarkEnd w:id="15"/>
      <w:bookmarkEnd w:id="16"/>
      <w:r>
        <w:rPr>
          <w:rFonts w:hint="eastAsia" w:ascii="仿宋_GB2312" w:eastAsia="仿宋_GB2312" w:cs="仿宋_GB2312"/>
          <w:sz w:val="32"/>
          <w:szCs w:val="32"/>
          <w:highlight w:val="none"/>
        </w:rPr>
        <w:t>做好人才服务和引进工作。</w:t>
      </w:r>
    </w:p>
    <w:p w14:paraId="40037425">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s="仿宋_GB2312"/>
          <w:sz w:val="32"/>
          <w:szCs w:val="32"/>
          <w:highlight w:val="none"/>
          <w:lang w:val="en-US" w:eastAsia="zh-CN"/>
        </w:rPr>
      </w:pPr>
      <w:r>
        <w:rPr>
          <w:rFonts w:hint="eastAsia" w:ascii="仿宋_GB2312" w:eastAsia="仿宋_GB2312" w:cs="仿宋_GB2312"/>
          <w:sz w:val="32"/>
          <w:szCs w:val="32"/>
          <w:highlight w:val="none"/>
          <w:lang w:val="en-US" w:eastAsia="zh-CN"/>
        </w:rPr>
        <w:t>6.</w:t>
      </w:r>
      <w:r>
        <w:rPr>
          <w:rFonts w:hint="eastAsia" w:ascii="仿宋_GB2312" w:eastAsia="仿宋_GB2312" w:cs="仿宋_GB2312"/>
          <w:sz w:val="32"/>
          <w:szCs w:val="32"/>
          <w:highlight w:val="none"/>
        </w:rPr>
        <w:t>统筹区域发展。</w:t>
      </w:r>
      <w:r>
        <w:rPr>
          <w:rFonts w:hint="eastAsia" w:ascii="仿宋_GB2312" w:eastAsia="仿宋_GB2312" w:cs="仿宋_GB2312"/>
          <w:sz w:val="32"/>
          <w:szCs w:val="32"/>
          <w:highlight w:val="none"/>
          <w:lang w:val="en-US" w:eastAsia="zh-CN"/>
        </w:rPr>
        <w:t>负责实施创新驱动发展、可持续发展战略目标任务，落实新发展理念，推动经济高质量发展；落实关于辖区发展的重大决策，制定辖区经济和社会发展规划、公共服务设施布局;负责乡村振兴工作，做好民生保障、返贫监测和帮扶、民族宗教等工作，推动辖区经济社会健康、有序、可持续发展；负责指导辖区基层供销合作社工作。</w:t>
      </w:r>
    </w:p>
    <w:p w14:paraId="65F22DE3">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highlight w:val="none"/>
          <w:lang w:val="en-US" w:eastAsia="zh-CN"/>
        </w:rPr>
        <w:t>7.</w:t>
      </w:r>
      <w:r>
        <w:rPr>
          <w:rFonts w:hint="eastAsia" w:ascii="仿宋_GB2312" w:eastAsia="仿宋_GB2312" w:cs="仿宋_GB2312"/>
          <w:sz w:val="32"/>
          <w:szCs w:val="32"/>
          <w:highlight w:val="none"/>
        </w:rPr>
        <w:t>强化基层治理。负责本辖区社会治理，加强社会主义民主法治建设和精神文明建设，加快推进基层社会治理体系和治理能力现代化；指导村委会建设，健全自治平台，组织群众和单位参与村委会建设和管理。</w:t>
      </w:r>
    </w:p>
    <w:p w14:paraId="173AFFDE">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highlight w:val="none"/>
          <w:lang w:val="en-US" w:eastAsia="zh-CN"/>
        </w:rPr>
        <w:t>8.</w:t>
      </w:r>
      <w:r>
        <w:rPr>
          <w:rFonts w:hint="eastAsia" w:ascii="仿宋_GB2312" w:eastAsia="仿宋_GB2312" w:cs="仿宋_GB2312"/>
          <w:sz w:val="32"/>
          <w:szCs w:val="32"/>
          <w:highlight w:val="none"/>
        </w:rPr>
        <w:t>优化公共服务。推进服务型政府建设，组织实施并优化教育、卫生健康、文化、民政、社会保障、退役军人事务等各项公共服务。</w:t>
      </w:r>
    </w:p>
    <w:p w14:paraId="28A008D5">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highlight w:val="none"/>
          <w:lang w:val="en-US" w:eastAsia="zh-CN"/>
        </w:rPr>
        <w:t>9.</w:t>
      </w:r>
      <w:r>
        <w:rPr>
          <w:rFonts w:hint="eastAsia" w:ascii="仿宋_GB2312" w:eastAsia="仿宋_GB2312" w:cs="仿宋_GB2312"/>
          <w:sz w:val="32"/>
          <w:szCs w:val="32"/>
          <w:highlight w:val="none"/>
        </w:rPr>
        <w:t>负责辖区范围内的应急管理、社会稳定、安全生产、生态环境保护、社会信用体系建设和审批服务便民化等工作。</w:t>
      </w:r>
    </w:p>
    <w:p w14:paraId="675191D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highlight w:val="none"/>
          <w:lang w:val="en-US" w:eastAsia="zh-CN"/>
        </w:rPr>
        <w:t>10.</w:t>
      </w:r>
      <w:r>
        <w:rPr>
          <w:rFonts w:hint="eastAsia" w:ascii="仿宋_GB2312" w:eastAsia="仿宋_GB2312" w:cs="仿宋_GB2312"/>
          <w:sz w:val="32"/>
          <w:szCs w:val="32"/>
          <w:highlight w:val="none"/>
        </w:rPr>
        <w:t>负责辖区农村经营管理体系建设工作。</w:t>
      </w:r>
    </w:p>
    <w:p w14:paraId="19781E73">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highlight w:val="none"/>
          <w:lang w:val="en-US" w:eastAsia="zh-CN"/>
        </w:rPr>
        <w:t>11.</w:t>
      </w:r>
      <w:r>
        <w:rPr>
          <w:rFonts w:hint="eastAsia" w:ascii="仿宋_GB2312" w:eastAsia="仿宋_GB2312" w:cs="仿宋_GB2312"/>
          <w:sz w:val="32"/>
          <w:szCs w:val="32"/>
          <w:highlight w:val="none"/>
        </w:rPr>
        <w:t>完成县委、</w:t>
      </w:r>
      <w:r>
        <w:rPr>
          <w:rFonts w:hint="eastAsia" w:ascii="仿宋_GB2312" w:eastAsia="仿宋_GB2312" w:cs="仿宋_GB2312"/>
          <w:sz w:val="32"/>
          <w:szCs w:val="32"/>
          <w:highlight w:val="none"/>
          <w:lang w:eastAsia="zh-CN"/>
        </w:rPr>
        <w:t>县政府</w:t>
      </w:r>
      <w:r>
        <w:rPr>
          <w:rFonts w:hint="eastAsia" w:ascii="仿宋_GB2312" w:eastAsia="仿宋_GB2312" w:cs="仿宋_GB2312"/>
          <w:sz w:val="32"/>
          <w:szCs w:val="32"/>
          <w:highlight w:val="none"/>
        </w:rPr>
        <w:t>交办的其他任务。</w:t>
      </w:r>
    </w:p>
    <w:p w14:paraId="7C738332">
      <w:pPr>
        <w:pStyle w:val="3"/>
        <w:keepNext/>
        <w:keepLines/>
        <w:pageBreakBefore w:val="0"/>
        <w:widowControl w:val="0"/>
        <w:kinsoku/>
        <w:wordWrap/>
        <w:overflowPunct/>
        <w:topLinePunct w:val="0"/>
        <w:autoSpaceDE/>
        <w:autoSpaceDN/>
        <w:bidi w:val="0"/>
        <w:adjustRightInd/>
        <w:snapToGrid/>
        <w:spacing w:after="0" w:afterAutospacing="0" w:line="340" w:lineRule="exact"/>
        <w:ind w:firstLine="321" w:firstLineChars="100"/>
        <w:textAlignment w:val="auto"/>
        <w:rPr>
          <w:rFonts w:hint="eastAsia" w:ascii="黑体" w:eastAsia="黑体" w:cs="Times New Roman"/>
          <w:bCs w:val="0"/>
          <w:color w:val="000000"/>
          <w:highlight w:val="none"/>
        </w:rPr>
      </w:pPr>
      <w:bookmarkStart w:id="17" w:name="_Toc28081"/>
      <w:r>
        <w:rPr>
          <w:rFonts w:hint="eastAsia" w:ascii="黑体" w:eastAsia="黑体" w:cs="Times New Roman"/>
          <w:bCs w:val="0"/>
          <w:color w:val="000000"/>
          <w:highlight w:val="none"/>
        </w:rPr>
        <w:t>二、机构设置</w:t>
      </w:r>
      <w:bookmarkEnd w:id="17"/>
    </w:p>
    <w:p w14:paraId="186BFC33">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zh-CN"/>
        </w:rPr>
        <w:t>茂县南新镇人民政府</w:t>
      </w:r>
      <w:r>
        <w:rPr>
          <w:rFonts w:ascii="仿宋_GB2312" w:eastAsia="仿宋_GB2312" w:cs="仿宋_GB2312"/>
          <w:sz w:val="32"/>
          <w:szCs w:val="32"/>
          <w:lang w:val="zh-CN"/>
        </w:rPr>
        <w:t>下</w:t>
      </w:r>
      <w:r>
        <w:rPr>
          <w:rFonts w:hint="eastAsia" w:ascii="仿宋_GB2312" w:eastAsia="仿宋_GB2312" w:cs="仿宋_GB2312"/>
          <w:sz w:val="32"/>
          <w:szCs w:val="32"/>
          <w:lang w:val="zh-CN"/>
        </w:rPr>
        <w:t>属</w:t>
      </w:r>
      <w:r>
        <w:rPr>
          <w:rFonts w:ascii="仿宋_GB2312" w:eastAsia="仿宋_GB2312" w:cs="仿宋_GB2312"/>
          <w:sz w:val="32"/>
          <w:szCs w:val="32"/>
          <w:lang w:val="zh-CN"/>
        </w:rPr>
        <w:t>二</w:t>
      </w:r>
      <w:r>
        <w:rPr>
          <w:rFonts w:hint="eastAsia" w:ascii="仿宋_GB2312" w:eastAsia="仿宋_GB2312" w:cs="仿宋_GB2312"/>
          <w:sz w:val="32"/>
          <w:szCs w:val="32"/>
          <w:lang w:val="zh-CN"/>
        </w:rPr>
        <w:t>级预算单位，其中行政单位</w:t>
      </w:r>
      <w:r>
        <w:rPr>
          <w:rFonts w:hint="eastAsia" w:ascii="仿宋_GB2312" w:eastAsia="仿宋_GB2312" w:cs="仿宋_GB2312"/>
          <w:sz w:val="32"/>
          <w:szCs w:val="32"/>
          <w:lang w:val="en-US" w:eastAsia="zh-CN"/>
        </w:rPr>
        <w:t>1个，参照公务员法管理的事业单位0个，其他事业单位1个。</w:t>
      </w:r>
    </w:p>
    <w:p w14:paraId="6FB8A913">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ascii="仿宋_GB2312" w:eastAsia="仿宋_GB2312" w:cs="仿宋_GB2312"/>
          <w:sz w:val="32"/>
          <w:szCs w:val="32"/>
          <w:lang w:val="en-US" w:eastAsia="zh-CN"/>
        </w:rPr>
      </w:pPr>
      <w:r>
        <w:rPr>
          <w:rFonts w:hint="eastAsia" w:ascii="仿宋_GB2312" w:eastAsia="仿宋_GB2312" w:cs="仿宋_GB2312"/>
          <w:sz w:val="32"/>
          <w:szCs w:val="32"/>
          <w:lang w:val="en-US" w:eastAsia="zh-CN"/>
        </w:rPr>
        <w:t>纳入茂县南新镇人民政府2025年度部门决算编制范围的二级预算单位包括：</w:t>
      </w:r>
    </w:p>
    <w:p w14:paraId="7949FBA7">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s="仿宋_GB2312"/>
          <w:sz w:val="32"/>
          <w:szCs w:val="32"/>
          <w:highlight w:val="none"/>
          <w:lang w:val="zh-CN"/>
        </w:rPr>
      </w:pPr>
      <w:r>
        <w:rPr>
          <w:rFonts w:hint="eastAsia" w:ascii="仿宋_GB2312" w:eastAsia="仿宋_GB2312" w:cs="仿宋_GB2312"/>
          <w:sz w:val="32"/>
          <w:szCs w:val="32"/>
          <w:lang w:val="en-US" w:eastAsia="zh-CN"/>
        </w:rPr>
        <w:t>茂县南新镇</w:t>
      </w:r>
      <w:r>
        <w:rPr>
          <w:rFonts w:ascii="仿宋_GB2312" w:eastAsia="仿宋_GB2312" w:cs="仿宋_GB2312"/>
          <w:sz w:val="32"/>
          <w:szCs w:val="32"/>
          <w:lang w:val="en-US" w:eastAsia="zh-CN"/>
        </w:rPr>
        <w:t>人民政府（行政）</w:t>
      </w:r>
    </w:p>
    <w:p w14:paraId="70B74BE2">
      <w:pPr>
        <w:keepNext w:val="0"/>
        <w:keepLines w:val="0"/>
        <w:pageBreakBefore w:val="0"/>
        <w:widowControl w:val="0"/>
        <w:kinsoku/>
        <w:wordWrap/>
        <w:overflowPunct/>
        <w:topLinePunct w:val="0"/>
        <w:autoSpaceDE/>
        <w:autoSpaceDN/>
        <w:bidi w:val="0"/>
        <w:spacing w:line="576" w:lineRule="exact"/>
        <w:ind w:left="0"/>
        <w:textAlignment w:val="auto"/>
        <w:rPr>
          <w:rFonts w:hint="eastAsia" w:ascii="仿宋_GB2312" w:eastAsia="仿宋_GB2312" w:cs="仿宋_GB2312"/>
          <w:sz w:val="32"/>
          <w:szCs w:val="32"/>
          <w:highlight w:val="none"/>
          <w:lang w:val="zh-CN"/>
        </w:rPr>
      </w:pPr>
      <w:r>
        <w:rPr>
          <w:rFonts w:hint="eastAsia" w:ascii="仿宋_GB2312" w:eastAsia="仿宋_GB2312" w:cs="仿宋_GB2312"/>
          <w:sz w:val="32"/>
          <w:szCs w:val="32"/>
          <w:lang w:val="en-US" w:eastAsia="zh-CN"/>
        </w:rPr>
        <w:t>茂县南新镇便民服务中心</w:t>
      </w:r>
      <w:r>
        <w:rPr>
          <w:rFonts w:ascii="仿宋_GB2312" w:eastAsia="仿宋_GB2312" w:cs="仿宋_GB2312"/>
          <w:sz w:val="32"/>
          <w:szCs w:val="32"/>
          <w:lang w:val="en-US" w:eastAsia="zh-CN"/>
        </w:rPr>
        <w:t>（事业）</w:t>
      </w:r>
    </w:p>
    <w:p w14:paraId="587D1069">
      <w:pPr>
        <w:keepNext w:val="0"/>
        <w:keepLines w:val="0"/>
        <w:pageBreakBefore w:val="0"/>
        <w:widowControl w:val="0"/>
        <w:kinsoku/>
        <w:wordWrap/>
        <w:overflowPunct/>
        <w:topLinePunct w:val="0"/>
        <w:autoSpaceDE/>
        <w:autoSpaceDN/>
        <w:spacing w:line="576" w:lineRule="exact"/>
        <w:ind w:firstLine="640" w:firstLineChars="200"/>
        <w:rPr>
          <w:rFonts w:hint="eastAsia" w:ascii="仿宋_GB2312" w:eastAsia="仿宋_GB2312" w:cs="仿宋_GB2312"/>
          <w:sz w:val="32"/>
          <w:szCs w:val="32"/>
        </w:rPr>
      </w:pPr>
      <w:r>
        <w:rPr>
          <w:rFonts w:hint="eastAsia" w:ascii="仿宋_GB2312" w:eastAsia="仿宋_GB2312" w:cs="仿宋_GB2312"/>
          <w:sz w:val="32"/>
          <w:szCs w:val="32"/>
          <w:highlight w:val="none"/>
        </w:rPr>
        <w:br w:type="page"/>
      </w:r>
    </w:p>
    <w:p w14:paraId="112A2B85">
      <w:pPr>
        <w:pStyle w:val="2"/>
        <w:spacing w:after="0" w:afterAutospacing="0"/>
        <w:jc w:val="both"/>
        <w:rPr>
          <w:rFonts w:ascii="黑体" w:eastAsia="黑体" w:cs="黑体"/>
          <w:highlight w:val="none"/>
        </w:rPr>
      </w:pPr>
      <w:bookmarkStart w:id="18" w:name="_Toc111208498"/>
      <w:bookmarkStart w:id="19" w:name="_Toc11896"/>
      <w:r>
        <w:rPr>
          <w:rFonts w:hint="eastAsia" w:ascii="黑体" w:eastAsia="黑体" w:cs="黑体"/>
          <w:highlight w:val="none"/>
        </w:rPr>
        <w:t>第二部分</w:t>
      </w:r>
      <w:r>
        <w:rPr>
          <w:rFonts w:ascii="黑体" w:eastAsia="黑体" w:cs="黑体"/>
          <w:highlight w:val="none"/>
        </w:rPr>
        <w:t xml:space="preserve"> </w:t>
      </w:r>
      <w:r>
        <w:rPr>
          <w:rFonts w:hint="eastAsia" w:ascii="黑体" w:eastAsia="黑体" w:cs="黑体"/>
          <w:highlight w:val="none"/>
          <w:lang w:eastAsia="zh-CN"/>
        </w:rPr>
        <w:t>202</w:t>
      </w:r>
      <w:r>
        <w:rPr>
          <w:rFonts w:hint="eastAsia" w:ascii="黑体" w:eastAsia="黑体" w:cs="黑体"/>
          <w:highlight w:val="none"/>
          <w:lang w:val="en-US" w:eastAsia="zh-CN"/>
        </w:rPr>
        <w:t>5</w:t>
      </w:r>
      <w:r>
        <w:rPr>
          <w:rFonts w:ascii="黑体" w:eastAsia="黑体" w:cs="黑体"/>
          <w:highlight w:val="none"/>
          <w:u w:color="auto"/>
        </w:rPr>
        <w:t>年度</w:t>
      </w:r>
      <w:r>
        <w:rPr>
          <w:rFonts w:hint="eastAsia" w:ascii="黑体" w:eastAsia="黑体" w:cs="黑体"/>
          <w:highlight w:val="none"/>
          <w:u w:color="auto"/>
          <w:lang w:eastAsia="zh-CN"/>
        </w:rPr>
        <w:t>单位</w:t>
      </w:r>
      <w:r>
        <w:rPr>
          <w:rFonts w:ascii="黑体" w:eastAsia="黑体" w:cs="黑体"/>
          <w:highlight w:val="none"/>
          <w:u w:color="auto"/>
        </w:rPr>
        <w:t>决算情况说明</w:t>
      </w:r>
      <w:bookmarkEnd w:id="9"/>
      <w:bookmarkEnd w:id="18"/>
      <w:bookmarkEnd w:id="19"/>
    </w:p>
    <w:p w14:paraId="586FFE7F">
      <w:pPr>
        <w:pStyle w:val="3"/>
        <w:keepNext/>
        <w:keepLines/>
        <w:pageBreakBefore w:val="0"/>
        <w:widowControl w:val="0"/>
        <w:kinsoku/>
        <w:wordWrap/>
        <w:overflowPunct/>
        <w:topLinePunct w:val="0"/>
        <w:autoSpaceDE/>
        <w:autoSpaceDN/>
        <w:bidi w:val="0"/>
        <w:adjustRightInd/>
        <w:snapToGrid/>
        <w:spacing w:before="0" w:beforeAutospacing="0" w:after="0" w:afterAutospacing="0" w:line="400" w:lineRule="exact"/>
        <w:ind w:firstLine="643" w:firstLineChars="200"/>
        <w:jc w:val="both"/>
        <w:textAlignment w:val="auto"/>
        <w:rPr>
          <w:rFonts w:ascii="黑体" w:eastAsia="黑体" w:cs="Times New Roman"/>
          <w:bCs w:val="0"/>
          <w:color w:val="000000"/>
          <w:highlight w:val="none"/>
        </w:rPr>
      </w:pPr>
      <w:bookmarkStart w:id="20" w:name="_Toc15377205"/>
      <w:bookmarkStart w:id="21" w:name="_Toc30380"/>
      <w:bookmarkStart w:id="22" w:name="_Toc111208499"/>
      <w:r>
        <w:rPr>
          <w:rFonts w:hint="eastAsia" w:ascii="黑体" w:eastAsia="黑体" w:cs="Times New Roman"/>
          <w:bCs w:val="0"/>
          <w:color w:val="000000"/>
          <w:highlight w:val="none"/>
        </w:rPr>
        <w:t>一、收入支出决算总体情况说</w:t>
      </w:r>
      <w:bookmarkEnd w:id="20"/>
      <w:r>
        <w:rPr>
          <w:rFonts w:hint="eastAsia" w:ascii="黑体" w:eastAsia="黑体" w:cs="Times New Roman"/>
          <w:bCs w:val="0"/>
          <w:color w:val="000000"/>
          <w:highlight w:val="none"/>
        </w:rPr>
        <w:t>明</w:t>
      </w:r>
      <w:bookmarkEnd w:id="21"/>
      <w:bookmarkEnd w:id="22"/>
    </w:p>
    <w:p w14:paraId="563DC9DF">
      <w:pPr>
        <w:spacing w:beforeAutospacing="0" w:line="600" w:lineRule="exact"/>
        <w:ind w:firstLine="640" w:firstLineChars="200"/>
        <w:rPr>
          <w:rFonts w:hint="eastAsia" w:ascii="仿宋_GB2312" w:eastAsia="仿宋_GB2312" w:cs="仿宋_GB2312"/>
          <w:color w:val="000000"/>
          <w:sz w:val="28"/>
          <w:szCs w:val="28"/>
          <w:highlight w:val="yellow"/>
        </w:rPr>
      </w:pPr>
      <w:r>
        <w:rPr>
          <w:rFonts w:hint="eastAsia" w:ascii="仿宋_GB2312" w:eastAsia="仿宋_GB2312" w:cs="仿宋_GB2312"/>
          <w:color w:val="000000"/>
          <w:sz w:val="32"/>
          <w:szCs w:val="32"/>
          <w:highlight w:val="none"/>
          <w:lang w:eastAsia="zh-CN"/>
        </w:rPr>
        <w:t>2025年度收入、支出总计均为378.77万元。与2024年度相比，收入、支出总计各增加9.02万元，增长2.4%。主要变动原因是：人员及公用经费较上年增加。</w:t>
      </w:r>
    </w:p>
    <w:p w14:paraId="57937B22">
      <w:pPr>
        <w:pStyle w:val="5"/>
        <w:rPr>
          <w:rFonts w:hint="eastAsia" w:eastAsia="仿宋"/>
          <w:highlight w:val="none"/>
          <w:lang w:eastAsia="zh-CN"/>
        </w:rPr>
      </w:pPr>
      <w:r>
        <w:rPr>
          <w:rFonts w:hint="eastAsia" w:eastAsia="仿宋"/>
          <w:highlight w:val="none"/>
          <w:lang w:eastAsia="zh-CN"/>
        </w:rPr>
        <w:drawing>
          <wp:inline distT="0" distB="0" distL="114300" distR="114300">
            <wp:extent cx="4596765" cy="2299970"/>
            <wp:effectExtent l="4445" t="4445" r="8890" b="19685"/>
            <wp:docPr id="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1639E6A">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23" w:name="_Toc15377206"/>
      <w:bookmarkStart w:id="24" w:name="_Toc483"/>
      <w:bookmarkStart w:id="25" w:name="_Toc111208500"/>
      <w:r>
        <w:rPr>
          <w:rFonts w:hint="eastAsia" w:ascii="黑体" w:eastAsia="黑体" w:cs="Times New Roman"/>
          <w:bCs w:val="0"/>
          <w:color w:val="000000"/>
          <w:highlight w:val="none"/>
        </w:rPr>
        <w:t>二、收入决算情况说明</w:t>
      </w:r>
      <w:bookmarkEnd w:id="23"/>
      <w:bookmarkEnd w:id="24"/>
      <w:bookmarkEnd w:id="25"/>
    </w:p>
    <w:p w14:paraId="21F4F37F">
      <w:pPr>
        <w:spacing w:beforeAutospacing="0" w:line="600" w:lineRule="exact"/>
        <w:ind w:firstLine="640" w:firstLineChars="200"/>
        <w:rPr>
          <w:rFonts w:hint="eastAsia" w:ascii="仿宋_GB2312" w:eastAsia="仿宋_GB2312" w:cs="仿宋_GB2312"/>
          <w:color w:val="000000"/>
          <w:sz w:val="32"/>
          <w:szCs w:val="32"/>
          <w:highlight w:val="none"/>
        </w:rPr>
      </w:pPr>
      <w:r>
        <w:rPr>
          <w:rFonts w:hint="eastAsia" w:ascii="仿宋_GB2312" w:eastAsia="仿宋_GB2312" w:cs="仿宋_GB2312"/>
          <w:color w:val="000000"/>
          <w:sz w:val="32"/>
          <w:szCs w:val="32"/>
          <w:highlight w:val="none"/>
          <w:lang w:eastAsia="zh-CN"/>
        </w:rPr>
        <w:t>2025年度本年收入合计378.77万元，其中：一般公共预算财政拨款收入378.77万元，占100%。</w:t>
      </w:r>
    </w:p>
    <w:p w14:paraId="2E723EFE">
      <w:pPr>
        <w:pStyle w:val="16"/>
        <w:jc w:val="both"/>
        <w:rPr>
          <w:rFonts w:hint="eastAsia" w:ascii="仿宋_GB2312" w:eastAsia="仿宋_GB2312"/>
          <w:color w:val="FF0000"/>
          <w:sz w:val="32"/>
          <w:szCs w:val="32"/>
          <w:highlight w:val="none"/>
        </w:rPr>
      </w:pPr>
      <w:r>
        <w:rPr>
          <w:rFonts w:hint="eastAsia" w:ascii="仿宋_GB2312" w:eastAsia="仿宋_GB2312"/>
          <w:color w:val="FF0000"/>
          <w:sz w:val="32"/>
          <w:szCs w:val="32"/>
          <w:highlight w:val="none"/>
        </w:rPr>
        <w:drawing>
          <wp:inline distT="0" distB="0" distL="114300" distR="114300">
            <wp:extent cx="4561840" cy="2544445"/>
            <wp:effectExtent l="4445" t="5080" r="5715" b="2222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C16F080">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26" w:name="_Toc27257"/>
      <w:bookmarkStart w:id="27" w:name="_Toc111208501"/>
      <w:bookmarkStart w:id="28" w:name="_Toc15377207"/>
      <w:r>
        <w:rPr>
          <w:rFonts w:hint="eastAsia" w:ascii="黑体" w:eastAsia="黑体" w:cs="Times New Roman"/>
          <w:bCs w:val="0"/>
          <w:color w:val="000000"/>
          <w:highlight w:val="none"/>
        </w:rPr>
        <w:t>三、支出决算情况说明</w:t>
      </w:r>
      <w:bookmarkEnd w:id="26"/>
      <w:bookmarkEnd w:id="27"/>
      <w:bookmarkEnd w:id="28"/>
    </w:p>
    <w:p w14:paraId="29CFBC55">
      <w:pPr>
        <w:pStyle w:val="5"/>
        <w:spacing w:beforeAutospacing="0"/>
        <w:rPr>
          <w:rFonts w:hint="eastAsia" w:ascii="仿宋_GB2312" w:eastAsia="仿宋_GB2312" w:cs="仿宋_GB2312"/>
          <w:color w:val="000000"/>
          <w:sz w:val="32"/>
          <w:szCs w:val="32"/>
          <w:highlight w:val="none"/>
        </w:rPr>
      </w:pPr>
      <w:r>
        <w:rPr>
          <w:rFonts w:hint="eastAsia" w:ascii="仿宋_GB2312" w:eastAsia="仿宋_GB2312" w:cs="仿宋_GB2312"/>
          <w:color w:val="000000"/>
          <w:sz w:val="32"/>
          <w:szCs w:val="32"/>
          <w:highlight w:val="none"/>
          <w:lang w:eastAsia="zh-CN"/>
        </w:rPr>
        <w:t>2025年度本年支出合计378.77万元，其中：基本支出378.77万元，占100%。</w:t>
      </w:r>
    </w:p>
    <w:p w14:paraId="528461F7">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ascii="仿宋_GB2312" w:eastAsia="仿宋_GB2312"/>
          <w:color w:val="FF0000"/>
          <w:sz w:val="32"/>
          <w:szCs w:val="32"/>
          <w:highlight w:val="none"/>
        </w:rPr>
      </w:pPr>
      <w:r>
        <w:rPr>
          <w:rFonts w:hint="eastAsia" w:ascii="仿宋" w:eastAsia="仿宋"/>
          <w:sz w:val="32"/>
          <w:szCs w:val="32"/>
          <w:highlight w:val="none"/>
          <w:shd w:val="pct10" w:color="auto" w:fill="FFFFFF"/>
          <w:lang w:eastAsia="zh-CN"/>
        </w:rPr>
        <w:drawing>
          <wp:inline distT="0" distB="0" distL="114300" distR="114300">
            <wp:extent cx="4657090" cy="2458720"/>
            <wp:effectExtent l="0" t="0" r="0" b="0"/>
            <wp:docPr id="3"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00B3D8E">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29" w:name="_Toc12534"/>
      <w:bookmarkStart w:id="30" w:name="_Toc111208502"/>
      <w:bookmarkStart w:id="31" w:name="_Toc15377208"/>
      <w:r>
        <w:rPr>
          <w:rFonts w:hint="eastAsia" w:ascii="黑体" w:eastAsia="黑体" w:cs="Times New Roman"/>
          <w:bCs w:val="0"/>
          <w:color w:val="000000"/>
          <w:highlight w:val="none"/>
        </w:rPr>
        <w:t>四、财政拨款收入支出决算总体情况说明</w:t>
      </w:r>
      <w:bookmarkEnd w:id="29"/>
      <w:bookmarkEnd w:id="30"/>
      <w:bookmarkEnd w:id="31"/>
    </w:p>
    <w:p w14:paraId="3C616B14">
      <w:pPr>
        <w:spacing w:beforeAutospacing="0" w:line="600" w:lineRule="exact"/>
        <w:ind w:firstLine="640" w:firstLineChars="200"/>
        <w:rPr>
          <w:highlight w:val="none"/>
        </w:rPr>
      </w:pPr>
      <w:r>
        <w:rPr>
          <w:rFonts w:hint="eastAsia" w:ascii="仿宋_GB2312" w:eastAsia="仿宋_GB2312" w:cs="仿宋_GB2312"/>
          <w:color w:val="000000"/>
          <w:sz w:val="32"/>
          <w:szCs w:val="32"/>
          <w:highlight w:val="none"/>
          <w:lang w:eastAsia="zh-CN"/>
        </w:rPr>
        <w:t>2025年度财政拨款收入、支出总计均为378.77万元。与2024年度相比，财政拨款收入、支出总计各增加9.02万元，增长2.4%。主要变动原因是：人员及公用经费较上年增加。</w:t>
      </w:r>
    </w:p>
    <w:p w14:paraId="423C4AF3">
      <w:pPr>
        <w:pStyle w:val="5"/>
        <w:jc w:val="left"/>
        <w:rPr>
          <w:highlight w:val="none"/>
        </w:rPr>
      </w:pPr>
      <w:r>
        <w:rPr>
          <w:rFonts w:hint="eastAsia" w:eastAsia="仿宋"/>
          <w:highlight w:val="none"/>
          <w:lang w:eastAsia="zh-CN"/>
        </w:rPr>
        <w:drawing>
          <wp:inline distT="0" distB="0" distL="114300" distR="114300">
            <wp:extent cx="4425315" cy="2433955"/>
            <wp:effectExtent l="0" t="0" r="0" b="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61E8BED">
      <w:pPr>
        <w:pStyle w:val="3"/>
        <w:keepNext/>
        <w:keepLines/>
        <w:pageBreakBefore w:val="0"/>
        <w:widowControl w:val="0"/>
        <w:kinsoku/>
        <w:wordWrap/>
        <w:overflowPunct/>
        <w:topLinePunct w:val="0"/>
        <w:autoSpaceDE/>
        <w:autoSpaceDN/>
        <w:bidi w:val="0"/>
        <w:adjustRightInd/>
        <w:snapToGrid/>
        <w:spacing w:after="0" w:afterAutospacing="0" w:line="300" w:lineRule="exact"/>
        <w:ind w:firstLine="964" w:firstLineChars="300"/>
        <w:textAlignment w:val="auto"/>
        <w:rPr>
          <w:rFonts w:ascii="黑体" w:eastAsia="黑体" w:cs="Times New Roman"/>
          <w:bCs w:val="0"/>
          <w:color w:val="000000"/>
          <w:highlight w:val="none"/>
        </w:rPr>
      </w:pPr>
      <w:bookmarkStart w:id="32" w:name="_Toc15377209"/>
      <w:bookmarkStart w:id="33" w:name="_Toc16370"/>
      <w:bookmarkStart w:id="34" w:name="_Toc111208503"/>
      <w:r>
        <w:rPr>
          <w:rFonts w:hint="eastAsia" w:ascii="黑体" w:eastAsia="黑体" w:cs="Times New Roman"/>
          <w:bCs w:val="0"/>
          <w:color w:val="000000"/>
          <w:highlight w:val="none"/>
        </w:rPr>
        <w:t>五、一般公共预算财政拨款支出决算情况说</w:t>
      </w:r>
      <w:bookmarkEnd w:id="32"/>
      <w:r>
        <w:rPr>
          <w:rFonts w:hint="eastAsia" w:ascii="黑体" w:eastAsia="黑体" w:cs="Times New Roman"/>
          <w:bCs w:val="0"/>
          <w:color w:val="000000"/>
          <w:highlight w:val="none"/>
        </w:rPr>
        <w:t>明</w:t>
      </w:r>
      <w:bookmarkEnd w:id="33"/>
      <w:bookmarkEnd w:id="34"/>
    </w:p>
    <w:p w14:paraId="5897EEF5">
      <w:pPr>
        <w:spacing w:beforeAutospacing="0" w:line="600" w:lineRule="exact"/>
        <w:ind w:firstLine="643" w:firstLineChars="200"/>
        <w:outlineLvl w:val="2"/>
        <w:rPr>
          <w:rFonts w:hint="eastAsia" w:ascii="仿宋_GB2312" w:eastAsia="仿宋_GB2312" w:cs="仿宋_GB2312"/>
          <w:b/>
          <w:color w:val="000000"/>
          <w:sz w:val="32"/>
          <w:szCs w:val="32"/>
          <w:highlight w:val="none"/>
        </w:rPr>
      </w:pPr>
      <w:bookmarkStart w:id="35" w:name="_Toc15377210"/>
      <w:r>
        <w:rPr>
          <w:rFonts w:hint="eastAsia" w:ascii="仿宋_GB2312" w:eastAsia="仿宋_GB2312" w:cs="仿宋_GB2312"/>
          <w:b/>
          <w:color w:val="000000"/>
          <w:sz w:val="32"/>
          <w:szCs w:val="32"/>
          <w:highlight w:val="none"/>
        </w:rPr>
        <w:t>（一）一般公共预算财政拨款支出决算总体情况</w:t>
      </w:r>
      <w:bookmarkEnd w:id="35"/>
    </w:p>
    <w:p w14:paraId="3DC725EA">
      <w:pPr>
        <w:spacing w:line="600" w:lineRule="exact"/>
        <w:ind w:firstLine="640" w:firstLineChars="200"/>
        <w:rPr>
          <w:rFonts w:hint="eastAsia" w:ascii="仿宋_GB2312" w:eastAsia="仿宋_GB2312" w:cs="仿宋_GB2312"/>
          <w:b/>
          <w:color w:val="000000"/>
          <w:sz w:val="32"/>
          <w:szCs w:val="32"/>
          <w:highlight w:val="none"/>
        </w:rPr>
      </w:pPr>
      <w:bookmarkStart w:id="36" w:name="_Toc15377211"/>
      <w:r>
        <w:rPr>
          <w:rFonts w:hint="eastAsia" w:ascii="仿宋_GB2312" w:eastAsia="仿宋_GB2312" w:cs="仿宋_GB2312"/>
          <w:color w:val="000000"/>
          <w:sz w:val="32"/>
          <w:szCs w:val="32"/>
          <w:highlight w:val="none"/>
          <w:lang w:eastAsia="zh-CN"/>
        </w:rPr>
        <w:t>2025年度一般公共预算财政拨款支出378.77万元，占本年支出合计的100%。与2024年度相比，一般公共预算财政拨款增加9.02万元，增长2.4%。主要变动原因是：人员及公用经费较上年增加。</w:t>
      </w:r>
    </w:p>
    <w:p w14:paraId="3B6B44CA">
      <w:pPr>
        <w:pStyle w:val="5"/>
        <w:jc w:val="left"/>
        <w:rPr>
          <w:rFonts w:hint="eastAsia" w:eastAsia="仿宋"/>
          <w:highlight w:val="none"/>
          <w:lang w:eastAsia="zh-CN"/>
        </w:rPr>
      </w:pPr>
      <w:r>
        <w:rPr>
          <w:rFonts w:hint="eastAsia" w:eastAsia="仿宋"/>
          <w:highlight w:val="none"/>
          <w:lang w:eastAsia="zh-CN"/>
        </w:rPr>
        <w:drawing>
          <wp:inline distT="0" distB="0" distL="114300" distR="114300">
            <wp:extent cx="4476115" cy="2562860"/>
            <wp:effectExtent l="4445" t="5080" r="15240" b="22860"/>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5A31E3D">
      <w:pPr>
        <w:spacing w:line="600" w:lineRule="exact"/>
        <w:ind w:firstLine="643" w:firstLineChars="200"/>
        <w:outlineLvl w:val="2"/>
        <w:rPr>
          <w:rFonts w:hint="eastAsia" w:ascii="仿宋_GB2312" w:eastAsia="仿宋_GB2312" w:cs="仿宋_GB2312"/>
          <w:b/>
          <w:color w:val="000000"/>
          <w:sz w:val="32"/>
          <w:szCs w:val="32"/>
          <w:highlight w:val="none"/>
        </w:rPr>
      </w:pPr>
      <w:r>
        <w:rPr>
          <w:rFonts w:hint="eastAsia" w:ascii="仿宋_GB2312" w:eastAsia="仿宋_GB2312" w:cs="仿宋_GB2312"/>
          <w:b/>
          <w:color w:val="000000"/>
          <w:sz w:val="32"/>
          <w:szCs w:val="32"/>
          <w:highlight w:val="none"/>
        </w:rPr>
        <w:t>（二）一般公共预算财政拨款支出决算结构情况</w:t>
      </w:r>
      <w:bookmarkEnd w:id="36"/>
    </w:p>
    <w:p w14:paraId="66BA07D5">
      <w:pPr>
        <w:spacing w:line="600" w:lineRule="exact"/>
        <w:ind w:firstLine="640" w:firstLineChars="200"/>
        <w:rPr>
          <w:rFonts w:hint="eastAsia" w:ascii="仿宋_GB2312" w:eastAsia="仿宋_GB2312" w:cs="仿宋_GB2312"/>
          <w:color w:val="000000"/>
          <w:sz w:val="32"/>
          <w:szCs w:val="32"/>
          <w:highlight w:val="none"/>
          <w:lang w:eastAsia="zh-CN"/>
        </w:rPr>
      </w:pPr>
      <w:r>
        <w:rPr>
          <w:rFonts w:hint="eastAsia" w:ascii="仿宋_GB2312" w:eastAsia="仿宋_GB2312" w:cs="仿宋_GB2312"/>
          <w:color w:val="000000"/>
          <w:sz w:val="32"/>
          <w:szCs w:val="32"/>
          <w:highlight w:val="none"/>
          <w:lang w:eastAsia="zh-CN"/>
        </w:rPr>
        <w:t>2</w:t>
      </w:r>
      <w:bookmarkStart w:id="37" w:name="_Toc15377212"/>
      <w:r>
        <w:rPr>
          <w:rFonts w:hint="eastAsia" w:ascii="仿宋_GB2312" w:eastAsia="仿宋_GB2312" w:cs="仿宋_GB2312"/>
          <w:color w:val="000000"/>
          <w:sz w:val="32"/>
          <w:szCs w:val="32"/>
          <w:highlight w:val="none"/>
          <w:lang w:eastAsia="zh-CN"/>
        </w:rPr>
        <w:t>025年度一般公共预算财政拨款支出378.77万元，主要用于以下方面：</w:t>
      </w:r>
    </w:p>
    <w:p w14:paraId="36C23E37">
      <w:pPr>
        <w:spacing w:line="600" w:lineRule="exact"/>
        <w:ind w:firstLine="640" w:firstLineChars="200"/>
        <w:rPr>
          <w:rFonts w:hint="eastAsia" w:ascii="仿宋_GB2312" w:eastAsia="仿宋_GB2312" w:cs="仿宋_GB2312"/>
          <w:color w:val="000000"/>
          <w:sz w:val="32"/>
          <w:szCs w:val="32"/>
          <w:highlight w:val="none"/>
          <w:lang w:eastAsia="zh-CN"/>
        </w:rPr>
      </w:pPr>
      <w:r>
        <w:rPr>
          <w:rFonts w:hint="eastAsia" w:ascii="仿宋_GB2312" w:eastAsia="仿宋_GB2312" w:cs="仿宋_GB2312"/>
          <w:color w:val="000000"/>
          <w:sz w:val="32"/>
          <w:szCs w:val="32"/>
          <w:highlight w:val="none"/>
          <w:lang w:eastAsia="zh-CN"/>
        </w:rPr>
        <w:t>社会保障和就业支出52.61万元，占13.9%；卫生健康支出21.34万元，占5.6%；农林水支出278.82万元，占73.6%；</w:t>
      </w:r>
    </w:p>
    <w:p w14:paraId="48D4CCDB">
      <w:pPr>
        <w:spacing w:line="600" w:lineRule="exact"/>
        <w:rPr>
          <w:rFonts w:hint="eastAsia" w:ascii="仿宋_GB2312" w:eastAsia="仿宋_GB2312" w:cs="仿宋_GB2312"/>
          <w:color w:val="000000"/>
          <w:sz w:val="32"/>
          <w:szCs w:val="32"/>
          <w:highlight w:val="none"/>
          <w:lang w:eastAsia="zh-CN"/>
        </w:rPr>
      </w:pPr>
      <w:r>
        <w:rPr>
          <w:rFonts w:hint="eastAsia" w:ascii="仿宋_GB2312" w:eastAsia="仿宋_GB2312" w:cs="仿宋_GB2312"/>
          <w:color w:val="000000"/>
          <w:sz w:val="32"/>
          <w:szCs w:val="32"/>
          <w:highlight w:val="none"/>
          <w:lang w:eastAsia="zh-CN"/>
        </w:rPr>
        <w:t>住房保障支出25.99万元，占6.9%。</w:t>
      </w:r>
    </w:p>
    <w:p w14:paraId="2712E3AB">
      <w:pPr>
        <w:pStyle w:val="5"/>
        <w:rPr>
          <w:rFonts w:hint="eastAsia" w:ascii="仿宋" w:eastAsia="仿宋"/>
          <w:sz w:val="32"/>
          <w:szCs w:val="32"/>
          <w:highlight w:val="none"/>
          <w:lang w:eastAsia="zh-CN"/>
        </w:rPr>
      </w:pPr>
      <w:r>
        <w:rPr>
          <w:rFonts w:hint="eastAsia" w:ascii="仿宋" w:eastAsia="仿宋"/>
          <w:sz w:val="32"/>
          <w:szCs w:val="32"/>
          <w:highlight w:val="none"/>
          <w:lang w:eastAsia="zh-CN"/>
        </w:rPr>
        <w:drawing>
          <wp:inline distT="0" distB="0" distL="114300" distR="114300">
            <wp:extent cx="4630420" cy="2895600"/>
            <wp:effectExtent l="4445" t="5080" r="13335" b="13970"/>
            <wp:docPr id="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0C7BC5D">
      <w:pPr>
        <w:spacing w:line="600" w:lineRule="exact"/>
        <w:ind w:firstLine="643" w:firstLineChars="200"/>
        <w:outlineLvl w:val="2"/>
        <w:rPr>
          <w:rFonts w:hint="eastAsia" w:ascii="仿宋_GB2312" w:eastAsia="仿宋_GB2312" w:cs="仿宋_GB2312"/>
          <w:b/>
          <w:color w:val="000000"/>
          <w:sz w:val="32"/>
          <w:szCs w:val="32"/>
          <w:highlight w:val="none"/>
        </w:rPr>
      </w:pPr>
      <w:r>
        <w:rPr>
          <w:rFonts w:hint="eastAsia" w:ascii="仿宋_GB2312" w:eastAsia="仿宋_GB2312" w:cs="仿宋_GB2312"/>
          <w:b/>
          <w:color w:val="000000"/>
          <w:sz w:val="32"/>
          <w:szCs w:val="32"/>
          <w:highlight w:val="none"/>
        </w:rPr>
        <w:t>（三）一般公共预算财政拨款支出决算具体情况</w:t>
      </w:r>
      <w:bookmarkEnd w:id="37"/>
    </w:p>
    <w:p w14:paraId="59BFCEA9">
      <w:pPr>
        <w:pStyle w:val="15"/>
        <w:keepNext w:val="0"/>
        <w:keepLines w:val="0"/>
        <w:pageBreakBefore w:val="0"/>
        <w:widowControl w:val="0"/>
        <w:kinsoku/>
        <w:wordWrap/>
        <w:overflowPunct/>
        <w:topLinePunct w:val="0"/>
        <w:autoSpaceDE/>
        <w:autoSpaceDN/>
        <w:bidi w:val="0"/>
        <w:adjustRightInd/>
        <w:snapToGrid w:val="0"/>
        <w:spacing w:line="360" w:lineRule="auto"/>
        <w:ind w:left="0" w:firstLine="640" w:firstLineChars="200"/>
        <w:textAlignment w:val="auto"/>
        <w:rPr>
          <w:rFonts w:hint="eastAsia" w:ascii="仿宋_GB2312" w:eastAsia="仿宋_GB2312" w:cs="仿宋_GB2312"/>
          <w:color w:val="000000"/>
          <w:sz w:val="32"/>
          <w:szCs w:val="32"/>
          <w:highlight w:val="none"/>
          <w:lang w:eastAsia="zh-CN"/>
        </w:rPr>
      </w:pPr>
      <w:bookmarkStart w:id="38" w:name="_Toc15377213"/>
      <w:bookmarkStart w:id="39" w:name="_Toc15378460"/>
      <w:bookmarkStart w:id="40" w:name="_Toc15377444"/>
      <w:r>
        <w:rPr>
          <w:rFonts w:hint="eastAsia" w:ascii="仿宋_GB2312" w:eastAsia="仿宋_GB2312" w:cs="仿宋_GB2312"/>
          <w:color w:val="000000"/>
          <w:sz w:val="32"/>
          <w:szCs w:val="32"/>
          <w:highlight w:val="none"/>
          <w:lang w:eastAsia="zh-CN"/>
        </w:rPr>
        <w:t>2</w:t>
      </w:r>
      <w:bookmarkEnd w:id="38"/>
      <w:bookmarkEnd w:id="39"/>
      <w:bookmarkEnd w:id="40"/>
      <w:r>
        <w:rPr>
          <w:rFonts w:hint="eastAsia" w:ascii="仿宋_GB2312" w:eastAsia="仿宋_GB2312" w:cs="仿宋_GB2312"/>
          <w:color w:val="000000"/>
          <w:sz w:val="32"/>
          <w:szCs w:val="32"/>
          <w:highlight w:val="none"/>
          <w:lang w:eastAsia="zh-CN"/>
        </w:rPr>
        <w:t>025年度一般公共预算支出决算数为378.77万元，完成预算100%。其中：</w:t>
      </w:r>
    </w:p>
    <w:p w14:paraId="755CDA0E">
      <w:pPr>
        <w:pStyle w:val="15"/>
        <w:keepNext w:val="0"/>
        <w:keepLines w:val="0"/>
        <w:pageBreakBefore w:val="0"/>
        <w:widowControl w:val="0"/>
        <w:kinsoku/>
        <w:wordWrap/>
        <w:overflowPunct/>
        <w:topLinePunct w:val="0"/>
        <w:autoSpaceDE/>
        <w:autoSpaceDN/>
        <w:bidi w:val="0"/>
        <w:adjustRightInd/>
        <w:snapToGrid w:val="0"/>
        <w:spacing w:line="360" w:lineRule="auto"/>
        <w:ind w:left="0" w:firstLine="640" w:firstLineChars="200"/>
        <w:textAlignment w:val="auto"/>
        <w:rPr>
          <w:rFonts w:hint="eastAsia" w:ascii="仿宋_GB2312" w:eastAsia="仿宋_GB2312" w:cs="仿宋_GB2312"/>
          <w:color w:val="000000"/>
          <w:sz w:val="32"/>
          <w:szCs w:val="32"/>
          <w:highlight w:val="none"/>
          <w:lang w:eastAsia="zh-CN"/>
        </w:rPr>
      </w:pPr>
      <w:r>
        <w:rPr>
          <w:rFonts w:hint="eastAsia" w:ascii="仿宋_GB2312" w:eastAsia="仿宋_GB2312" w:cs="仿宋_GB2312"/>
          <w:color w:val="000000"/>
          <w:sz w:val="32"/>
          <w:szCs w:val="32"/>
          <w:highlight w:val="none"/>
          <w:lang w:eastAsia="zh-CN"/>
        </w:rPr>
        <w:t>1.社会保障和就业支出（</w:t>
      </w:r>
      <w:r>
        <w:rPr>
          <w:rFonts w:hint="eastAsia" w:ascii="仿宋_GB2312" w:eastAsia="仿宋_GB2312" w:cs="仿宋_GB2312"/>
          <w:color w:val="000000"/>
          <w:sz w:val="32"/>
          <w:szCs w:val="32"/>
          <w:highlight w:val="none"/>
          <w:lang w:val="en-US" w:eastAsia="zh-CN"/>
        </w:rPr>
        <w:t>类</w:t>
      </w:r>
      <w:r>
        <w:rPr>
          <w:rFonts w:hint="eastAsia" w:ascii="仿宋_GB2312" w:eastAsia="仿宋_GB2312" w:cs="仿宋_GB2312"/>
          <w:color w:val="000000"/>
          <w:sz w:val="32"/>
          <w:szCs w:val="32"/>
          <w:highlight w:val="none"/>
          <w:lang w:eastAsia="zh-CN"/>
        </w:rPr>
        <w:t>）行政事业单位养老支出（</w:t>
      </w:r>
      <w:r>
        <w:rPr>
          <w:rFonts w:hint="eastAsia" w:ascii="仿宋_GB2312" w:eastAsia="仿宋_GB2312" w:cs="仿宋_GB2312"/>
          <w:color w:val="000000"/>
          <w:sz w:val="32"/>
          <w:szCs w:val="32"/>
          <w:highlight w:val="none"/>
          <w:lang w:val="en-US" w:eastAsia="zh-CN"/>
        </w:rPr>
        <w:t>款</w:t>
      </w:r>
      <w:r>
        <w:rPr>
          <w:rFonts w:hint="eastAsia" w:ascii="仿宋_GB2312" w:eastAsia="仿宋_GB2312" w:cs="仿宋_GB2312"/>
          <w:color w:val="000000"/>
          <w:sz w:val="32"/>
          <w:szCs w:val="32"/>
          <w:highlight w:val="none"/>
          <w:lang w:eastAsia="zh-CN"/>
        </w:rPr>
        <w:t>）机关事业单位基本养老保险缴费支出（</w:t>
      </w:r>
      <w:r>
        <w:rPr>
          <w:rFonts w:hint="eastAsia" w:ascii="仿宋_GB2312" w:eastAsia="仿宋_GB2312" w:cs="仿宋_GB2312"/>
          <w:color w:val="000000"/>
          <w:sz w:val="32"/>
          <w:szCs w:val="32"/>
          <w:highlight w:val="none"/>
          <w:lang w:val="en-US" w:eastAsia="zh-CN"/>
        </w:rPr>
        <w:t>项</w:t>
      </w:r>
      <w:r>
        <w:rPr>
          <w:rFonts w:hint="eastAsia" w:ascii="仿宋_GB2312" w:eastAsia="仿宋_GB2312" w:cs="仿宋_GB2312"/>
          <w:color w:val="000000"/>
          <w:sz w:val="32"/>
          <w:szCs w:val="32"/>
          <w:highlight w:val="none"/>
          <w:lang w:eastAsia="zh-CN"/>
        </w:rPr>
        <w:t>）：支出决算35.08万元，完成预算100%</w:t>
      </w:r>
      <w:r>
        <w:rPr>
          <w:rFonts w:hint="eastAsia" w:ascii="仿宋_GB2312" w:eastAsia="仿宋_GB2312" w:cs="仿宋"/>
          <w:kern w:val="0"/>
          <w:sz w:val="32"/>
          <w:szCs w:val="32"/>
          <w:lang w:val="zh-CN"/>
        </w:rPr>
        <w:t>，决算数与预算数持平</w:t>
      </w:r>
      <w:r>
        <w:rPr>
          <w:rFonts w:hint="eastAsia" w:ascii="仿宋_GB2312" w:eastAsia="仿宋_GB2312" w:cs="仿宋_GB2312"/>
          <w:color w:val="000000"/>
          <w:sz w:val="32"/>
          <w:szCs w:val="32"/>
          <w:highlight w:val="none"/>
          <w:lang w:eastAsia="zh-CN"/>
        </w:rPr>
        <w:t>。</w:t>
      </w:r>
    </w:p>
    <w:p w14:paraId="35804EF6">
      <w:pPr>
        <w:pStyle w:val="15"/>
        <w:keepNext w:val="0"/>
        <w:keepLines w:val="0"/>
        <w:pageBreakBefore w:val="0"/>
        <w:widowControl w:val="0"/>
        <w:kinsoku/>
        <w:wordWrap/>
        <w:overflowPunct/>
        <w:topLinePunct w:val="0"/>
        <w:autoSpaceDE/>
        <w:autoSpaceDN/>
        <w:bidi w:val="0"/>
        <w:adjustRightInd/>
        <w:snapToGrid w:val="0"/>
        <w:spacing w:line="360" w:lineRule="auto"/>
        <w:ind w:left="0" w:firstLine="640" w:firstLineChars="200"/>
        <w:textAlignment w:val="auto"/>
        <w:rPr>
          <w:rFonts w:hint="eastAsia" w:ascii="仿宋_GB2312" w:eastAsia="仿宋_GB2312" w:cs="仿宋_GB2312"/>
          <w:color w:val="000000"/>
          <w:sz w:val="32"/>
          <w:szCs w:val="32"/>
          <w:highlight w:val="none"/>
          <w:lang w:eastAsia="zh-CN"/>
        </w:rPr>
      </w:pPr>
      <w:r>
        <w:rPr>
          <w:rFonts w:hint="eastAsia" w:ascii="仿宋_GB2312" w:eastAsia="仿宋_GB2312" w:cs="仿宋_GB2312"/>
          <w:color w:val="000000"/>
          <w:sz w:val="32"/>
          <w:szCs w:val="32"/>
          <w:highlight w:val="none"/>
          <w:lang w:eastAsia="zh-CN"/>
        </w:rPr>
        <w:t>2.社会保障和就业支出（</w:t>
      </w:r>
      <w:r>
        <w:rPr>
          <w:rFonts w:hint="eastAsia" w:ascii="仿宋_GB2312" w:eastAsia="仿宋_GB2312" w:cs="仿宋_GB2312"/>
          <w:color w:val="000000"/>
          <w:sz w:val="32"/>
          <w:szCs w:val="32"/>
          <w:highlight w:val="none"/>
          <w:lang w:val="en-US" w:eastAsia="zh-CN"/>
        </w:rPr>
        <w:t>类</w:t>
      </w:r>
      <w:r>
        <w:rPr>
          <w:rFonts w:hint="eastAsia" w:ascii="仿宋_GB2312" w:eastAsia="仿宋_GB2312" w:cs="仿宋_GB2312"/>
          <w:color w:val="000000"/>
          <w:sz w:val="32"/>
          <w:szCs w:val="32"/>
          <w:highlight w:val="none"/>
          <w:lang w:eastAsia="zh-CN"/>
        </w:rPr>
        <w:t>）行政事业单位养老支出（</w:t>
      </w:r>
      <w:r>
        <w:rPr>
          <w:rFonts w:hint="eastAsia" w:ascii="仿宋_GB2312" w:eastAsia="仿宋_GB2312" w:cs="仿宋_GB2312"/>
          <w:color w:val="000000"/>
          <w:sz w:val="32"/>
          <w:szCs w:val="32"/>
          <w:highlight w:val="none"/>
          <w:lang w:val="en-US" w:eastAsia="zh-CN"/>
        </w:rPr>
        <w:t>款</w:t>
      </w:r>
      <w:r>
        <w:rPr>
          <w:rFonts w:hint="eastAsia" w:ascii="仿宋_GB2312" w:eastAsia="仿宋_GB2312" w:cs="仿宋_GB2312"/>
          <w:color w:val="000000"/>
          <w:sz w:val="32"/>
          <w:szCs w:val="32"/>
          <w:highlight w:val="none"/>
          <w:lang w:eastAsia="zh-CN"/>
        </w:rPr>
        <w:t>）机关事业单位职业年金缴费支出（</w:t>
      </w:r>
      <w:r>
        <w:rPr>
          <w:rFonts w:hint="eastAsia" w:ascii="仿宋_GB2312" w:eastAsia="仿宋_GB2312" w:cs="仿宋_GB2312"/>
          <w:color w:val="000000"/>
          <w:sz w:val="32"/>
          <w:szCs w:val="32"/>
          <w:highlight w:val="none"/>
          <w:lang w:val="en-US" w:eastAsia="zh-CN"/>
        </w:rPr>
        <w:t>项</w:t>
      </w:r>
      <w:r>
        <w:rPr>
          <w:rFonts w:hint="eastAsia" w:ascii="仿宋_GB2312" w:eastAsia="仿宋_GB2312" w:cs="仿宋_GB2312"/>
          <w:color w:val="000000"/>
          <w:sz w:val="32"/>
          <w:szCs w:val="32"/>
          <w:highlight w:val="none"/>
          <w:lang w:eastAsia="zh-CN"/>
        </w:rPr>
        <w:t>）：支出决算17.54万元，完成预算100%</w:t>
      </w:r>
      <w:r>
        <w:rPr>
          <w:rFonts w:hint="eastAsia" w:ascii="仿宋_GB2312" w:eastAsia="仿宋_GB2312" w:cs="仿宋"/>
          <w:kern w:val="0"/>
          <w:sz w:val="32"/>
          <w:szCs w:val="32"/>
          <w:lang w:val="zh-CN"/>
        </w:rPr>
        <w:t>，决算数与预算数持平</w:t>
      </w:r>
      <w:r>
        <w:rPr>
          <w:rFonts w:hint="eastAsia" w:ascii="仿宋_GB2312" w:eastAsia="仿宋_GB2312" w:cs="仿宋_GB2312"/>
          <w:color w:val="000000"/>
          <w:sz w:val="32"/>
          <w:szCs w:val="32"/>
          <w:highlight w:val="none"/>
          <w:lang w:eastAsia="zh-CN"/>
        </w:rPr>
        <w:t>。</w:t>
      </w:r>
    </w:p>
    <w:p w14:paraId="6BD3F09E">
      <w:pPr>
        <w:pStyle w:val="15"/>
        <w:keepNext w:val="0"/>
        <w:keepLines w:val="0"/>
        <w:pageBreakBefore w:val="0"/>
        <w:widowControl w:val="0"/>
        <w:kinsoku/>
        <w:wordWrap/>
        <w:overflowPunct/>
        <w:topLinePunct w:val="0"/>
        <w:autoSpaceDE/>
        <w:autoSpaceDN/>
        <w:bidi w:val="0"/>
        <w:adjustRightInd/>
        <w:snapToGrid w:val="0"/>
        <w:spacing w:line="360" w:lineRule="auto"/>
        <w:ind w:left="0" w:firstLine="640" w:firstLineChars="200"/>
        <w:textAlignment w:val="auto"/>
        <w:rPr>
          <w:rFonts w:hint="eastAsia" w:ascii="仿宋_GB2312" w:eastAsia="仿宋_GB2312" w:cs="仿宋_GB2312"/>
          <w:color w:val="000000"/>
          <w:sz w:val="32"/>
          <w:szCs w:val="32"/>
          <w:highlight w:val="none"/>
          <w:lang w:eastAsia="zh-CN"/>
        </w:rPr>
      </w:pPr>
      <w:r>
        <w:rPr>
          <w:rFonts w:hint="eastAsia" w:ascii="仿宋_GB2312" w:eastAsia="仿宋_GB2312" w:cs="仿宋_GB2312"/>
          <w:color w:val="000000"/>
          <w:sz w:val="32"/>
          <w:szCs w:val="32"/>
          <w:highlight w:val="none"/>
          <w:lang w:eastAsia="zh-CN"/>
        </w:rPr>
        <w:t>3.卫生健康支出（</w:t>
      </w:r>
      <w:r>
        <w:rPr>
          <w:rFonts w:hint="eastAsia" w:ascii="仿宋_GB2312" w:eastAsia="仿宋_GB2312" w:cs="仿宋_GB2312"/>
          <w:color w:val="000000"/>
          <w:sz w:val="32"/>
          <w:szCs w:val="32"/>
          <w:highlight w:val="none"/>
          <w:lang w:val="en-US" w:eastAsia="zh-CN"/>
        </w:rPr>
        <w:t>类</w:t>
      </w:r>
      <w:r>
        <w:rPr>
          <w:rFonts w:hint="eastAsia" w:ascii="仿宋_GB2312" w:eastAsia="仿宋_GB2312" w:cs="仿宋_GB2312"/>
          <w:color w:val="000000"/>
          <w:sz w:val="32"/>
          <w:szCs w:val="32"/>
          <w:highlight w:val="none"/>
          <w:lang w:eastAsia="zh-CN"/>
        </w:rPr>
        <w:t>）行政事业单位医疗（</w:t>
      </w:r>
      <w:r>
        <w:rPr>
          <w:rFonts w:hint="eastAsia" w:ascii="仿宋_GB2312" w:eastAsia="仿宋_GB2312" w:cs="仿宋_GB2312"/>
          <w:color w:val="000000"/>
          <w:sz w:val="32"/>
          <w:szCs w:val="32"/>
          <w:highlight w:val="none"/>
          <w:lang w:val="en-US" w:eastAsia="zh-CN"/>
        </w:rPr>
        <w:t>款</w:t>
      </w:r>
      <w:r>
        <w:rPr>
          <w:rFonts w:hint="eastAsia" w:ascii="仿宋_GB2312" w:eastAsia="仿宋_GB2312" w:cs="仿宋_GB2312"/>
          <w:color w:val="000000"/>
          <w:sz w:val="32"/>
          <w:szCs w:val="32"/>
          <w:highlight w:val="none"/>
          <w:lang w:eastAsia="zh-CN"/>
        </w:rPr>
        <w:t>）事业单位医疗（</w:t>
      </w:r>
      <w:r>
        <w:rPr>
          <w:rFonts w:hint="eastAsia" w:ascii="仿宋_GB2312" w:eastAsia="仿宋_GB2312" w:cs="仿宋_GB2312"/>
          <w:color w:val="000000"/>
          <w:sz w:val="32"/>
          <w:szCs w:val="32"/>
          <w:highlight w:val="none"/>
          <w:lang w:val="en-US" w:eastAsia="zh-CN"/>
        </w:rPr>
        <w:t>项</w:t>
      </w:r>
      <w:r>
        <w:rPr>
          <w:rFonts w:hint="eastAsia" w:ascii="仿宋_GB2312" w:eastAsia="仿宋_GB2312" w:cs="仿宋_GB2312"/>
          <w:color w:val="000000"/>
          <w:sz w:val="32"/>
          <w:szCs w:val="32"/>
          <w:highlight w:val="none"/>
          <w:lang w:eastAsia="zh-CN"/>
        </w:rPr>
        <w:t>）：支出决算21.34万元，完成预算100%</w:t>
      </w:r>
      <w:r>
        <w:rPr>
          <w:rFonts w:hint="eastAsia" w:ascii="仿宋_GB2312" w:eastAsia="仿宋_GB2312" w:cs="仿宋"/>
          <w:kern w:val="0"/>
          <w:sz w:val="32"/>
          <w:szCs w:val="32"/>
          <w:lang w:val="zh-CN"/>
        </w:rPr>
        <w:t>，决算数与预算数持平</w:t>
      </w:r>
      <w:r>
        <w:rPr>
          <w:rFonts w:hint="eastAsia" w:ascii="仿宋_GB2312" w:eastAsia="仿宋_GB2312" w:cs="仿宋_GB2312"/>
          <w:color w:val="000000"/>
          <w:sz w:val="32"/>
          <w:szCs w:val="32"/>
          <w:highlight w:val="none"/>
          <w:lang w:eastAsia="zh-CN"/>
        </w:rPr>
        <w:t>。</w:t>
      </w:r>
    </w:p>
    <w:p w14:paraId="72201111">
      <w:pPr>
        <w:pStyle w:val="15"/>
        <w:keepNext w:val="0"/>
        <w:keepLines w:val="0"/>
        <w:pageBreakBefore w:val="0"/>
        <w:widowControl w:val="0"/>
        <w:kinsoku/>
        <w:wordWrap/>
        <w:overflowPunct/>
        <w:topLinePunct w:val="0"/>
        <w:autoSpaceDE/>
        <w:autoSpaceDN/>
        <w:bidi w:val="0"/>
        <w:adjustRightInd/>
        <w:snapToGrid w:val="0"/>
        <w:spacing w:line="360" w:lineRule="auto"/>
        <w:ind w:left="0" w:firstLine="640" w:firstLineChars="200"/>
        <w:textAlignment w:val="auto"/>
        <w:rPr>
          <w:rFonts w:hint="eastAsia" w:ascii="仿宋_GB2312" w:eastAsia="仿宋_GB2312" w:cs="仿宋_GB2312"/>
          <w:color w:val="000000"/>
          <w:sz w:val="32"/>
          <w:szCs w:val="32"/>
          <w:highlight w:val="none"/>
          <w:lang w:eastAsia="zh-CN"/>
        </w:rPr>
      </w:pPr>
      <w:r>
        <w:rPr>
          <w:rFonts w:hint="eastAsia" w:ascii="仿宋_GB2312" w:eastAsia="仿宋_GB2312" w:cs="仿宋_GB2312"/>
          <w:color w:val="000000"/>
          <w:sz w:val="32"/>
          <w:szCs w:val="32"/>
          <w:highlight w:val="none"/>
          <w:lang w:eastAsia="zh-CN"/>
        </w:rPr>
        <w:t>4.农林水支出（</w:t>
      </w:r>
      <w:r>
        <w:rPr>
          <w:rFonts w:hint="eastAsia" w:ascii="仿宋_GB2312" w:eastAsia="仿宋_GB2312" w:cs="仿宋_GB2312"/>
          <w:color w:val="000000"/>
          <w:sz w:val="32"/>
          <w:szCs w:val="32"/>
          <w:highlight w:val="none"/>
          <w:lang w:val="en-US" w:eastAsia="zh-CN"/>
        </w:rPr>
        <w:t>类</w:t>
      </w:r>
      <w:r>
        <w:rPr>
          <w:rFonts w:hint="eastAsia" w:ascii="仿宋_GB2312" w:eastAsia="仿宋_GB2312" w:cs="仿宋_GB2312"/>
          <w:color w:val="000000"/>
          <w:sz w:val="32"/>
          <w:szCs w:val="32"/>
          <w:highlight w:val="none"/>
          <w:lang w:eastAsia="zh-CN"/>
        </w:rPr>
        <w:t>）农业农村（</w:t>
      </w:r>
      <w:r>
        <w:rPr>
          <w:rFonts w:hint="eastAsia" w:ascii="仿宋_GB2312" w:eastAsia="仿宋_GB2312" w:cs="仿宋_GB2312"/>
          <w:color w:val="000000"/>
          <w:sz w:val="32"/>
          <w:szCs w:val="32"/>
          <w:highlight w:val="none"/>
          <w:lang w:val="en-US" w:eastAsia="zh-CN"/>
        </w:rPr>
        <w:t>款</w:t>
      </w:r>
      <w:r>
        <w:rPr>
          <w:rFonts w:hint="eastAsia" w:ascii="仿宋_GB2312" w:eastAsia="仿宋_GB2312" w:cs="仿宋_GB2312"/>
          <w:color w:val="000000"/>
          <w:sz w:val="32"/>
          <w:szCs w:val="32"/>
          <w:highlight w:val="none"/>
          <w:lang w:eastAsia="zh-CN"/>
        </w:rPr>
        <w:t>）事业运</w:t>
      </w:r>
      <w:r>
        <w:rPr>
          <w:rFonts w:hint="eastAsia" w:ascii="仿宋_GB2312" w:eastAsia="仿宋_GB2312" w:cs="仿宋_GB2312"/>
          <w:color w:val="000000"/>
          <w:sz w:val="32"/>
          <w:szCs w:val="32"/>
          <w:highlight w:val="none"/>
          <w:lang w:val="en-US" w:eastAsia="zh-CN"/>
        </w:rPr>
        <w:t>行</w:t>
      </w:r>
      <w:r>
        <w:rPr>
          <w:rFonts w:hint="eastAsia" w:ascii="仿宋_GB2312" w:eastAsia="仿宋_GB2312" w:cs="仿宋_GB2312"/>
          <w:color w:val="000000"/>
          <w:sz w:val="32"/>
          <w:szCs w:val="32"/>
          <w:highlight w:val="none"/>
          <w:lang w:eastAsia="zh-CN"/>
        </w:rPr>
        <w:t>（</w:t>
      </w:r>
      <w:r>
        <w:rPr>
          <w:rFonts w:hint="eastAsia" w:ascii="仿宋_GB2312" w:eastAsia="仿宋_GB2312" w:cs="仿宋_GB2312"/>
          <w:color w:val="000000"/>
          <w:sz w:val="32"/>
          <w:szCs w:val="32"/>
          <w:highlight w:val="none"/>
          <w:lang w:val="en-US" w:eastAsia="zh-CN"/>
        </w:rPr>
        <w:t>项</w:t>
      </w:r>
      <w:r>
        <w:rPr>
          <w:rFonts w:hint="eastAsia" w:ascii="仿宋_GB2312" w:eastAsia="仿宋_GB2312" w:cs="仿宋_GB2312"/>
          <w:color w:val="000000"/>
          <w:sz w:val="32"/>
          <w:szCs w:val="32"/>
          <w:highlight w:val="none"/>
          <w:lang w:eastAsia="zh-CN"/>
        </w:rPr>
        <w:t>）：支出决算278.82万元，完成预算100%</w:t>
      </w:r>
      <w:r>
        <w:rPr>
          <w:rFonts w:hint="eastAsia" w:ascii="仿宋_GB2312" w:eastAsia="仿宋_GB2312" w:cs="仿宋_GB2312"/>
          <w:color w:val="000000"/>
          <w:sz w:val="32"/>
          <w:szCs w:val="32"/>
          <w:highlight w:val="none"/>
          <w:lang w:val="zh-CN" w:eastAsia="zh-CN"/>
        </w:rPr>
        <w:t>，决算数与预算数持平</w:t>
      </w:r>
      <w:r>
        <w:rPr>
          <w:rFonts w:hint="eastAsia" w:ascii="仿宋_GB2312" w:eastAsia="仿宋_GB2312" w:cs="仿宋_GB2312"/>
          <w:color w:val="000000"/>
          <w:sz w:val="32"/>
          <w:szCs w:val="32"/>
          <w:highlight w:val="none"/>
          <w:lang w:eastAsia="zh-CN"/>
        </w:rPr>
        <w:t>。</w:t>
      </w:r>
    </w:p>
    <w:p w14:paraId="78ACB2B5">
      <w:pPr>
        <w:pStyle w:val="15"/>
        <w:keepNext w:val="0"/>
        <w:keepLines w:val="0"/>
        <w:pageBreakBefore w:val="0"/>
        <w:widowControl w:val="0"/>
        <w:kinsoku/>
        <w:wordWrap/>
        <w:overflowPunct/>
        <w:topLinePunct w:val="0"/>
        <w:autoSpaceDE/>
        <w:autoSpaceDN/>
        <w:bidi w:val="0"/>
        <w:adjustRightInd/>
        <w:snapToGrid w:val="0"/>
        <w:spacing w:line="360" w:lineRule="auto"/>
        <w:ind w:left="0" w:firstLine="640" w:firstLineChars="200"/>
        <w:textAlignment w:val="auto"/>
        <w:rPr>
          <w:rFonts w:hint="eastAsia" w:ascii="仿宋_GB2312" w:eastAsia="仿宋_GB2312" w:cs="仿宋_GB2312"/>
          <w:color w:val="000000"/>
          <w:kern w:val="2"/>
          <w:sz w:val="32"/>
          <w:szCs w:val="32"/>
          <w:highlight w:val="none"/>
          <w:lang w:val="en-US" w:eastAsia="zh-CN" w:bidi="ar-SA"/>
        </w:rPr>
      </w:pPr>
      <w:r>
        <w:rPr>
          <w:rFonts w:hint="eastAsia" w:ascii="仿宋_GB2312" w:eastAsia="仿宋_GB2312" w:cs="仿宋_GB2312"/>
          <w:color w:val="000000"/>
          <w:sz w:val="32"/>
          <w:szCs w:val="32"/>
          <w:highlight w:val="none"/>
          <w:lang w:eastAsia="zh-CN"/>
        </w:rPr>
        <w:t>5.住房保障支出（</w:t>
      </w:r>
      <w:r>
        <w:rPr>
          <w:rFonts w:hint="eastAsia" w:ascii="仿宋_GB2312" w:eastAsia="仿宋_GB2312" w:cs="仿宋_GB2312"/>
          <w:color w:val="000000"/>
          <w:sz w:val="32"/>
          <w:szCs w:val="32"/>
          <w:highlight w:val="none"/>
          <w:lang w:val="en-US" w:eastAsia="zh-CN"/>
        </w:rPr>
        <w:t>类</w:t>
      </w:r>
      <w:r>
        <w:rPr>
          <w:rFonts w:hint="eastAsia" w:ascii="仿宋_GB2312" w:eastAsia="仿宋_GB2312" w:cs="仿宋_GB2312"/>
          <w:color w:val="000000"/>
          <w:sz w:val="32"/>
          <w:szCs w:val="32"/>
          <w:highlight w:val="none"/>
          <w:lang w:eastAsia="zh-CN"/>
        </w:rPr>
        <w:t>）住房改革支出（</w:t>
      </w:r>
      <w:r>
        <w:rPr>
          <w:rFonts w:hint="eastAsia" w:ascii="仿宋_GB2312" w:eastAsia="仿宋_GB2312" w:cs="仿宋_GB2312"/>
          <w:color w:val="000000"/>
          <w:sz w:val="32"/>
          <w:szCs w:val="32"/>
          <w:highlight w:val="none"/>
          <w:lang w:val="en-US" w:eastAsia="zh-CN"/>
        </w:rPr>
        <w:t>款</w:t>
      </w:r>
      <w:r>
        <w:rPr>
          <w:rFonts w:hint="eastAsia" w:ascii="仿宋_GB2312" w:eastAsia="仿宋_GB2312" w:cs="仿宋_GB2312"/>
          <w:color w:val="000000"/>
          <w:sz w:val="32"/>
          <w:szCs w:val="32"/>
          <w:highlight w:val="none"/>
          <w:lang w:eastAsia="zh-CN"/>
        </w:rPr>
        <w:t>）住房公积金（</w:t>
      </w:r>
      <w:r>
        <w:rPr>
          <w:rFonts w:hint="eastAsia" w:ascii="仿宋_GB2312" w:eastAsia="仿宋_GB2312" w:cs="仿宋_GB2312"/>
          <w:color w:val="000000"/>
          <w:sz w:val="32"/>
          <w:szCs w:val="32"/>
          <w:highlight w:val="none"/>
          <w:lang w:val="en-US" w:eastAsia="zh-CN"/>
        </w:rPr>
        <w:t>项</w:t>
      </w:r>
      <w:r>
        <w:rPr>
          <w:rFonts w:hint="eastAsia" w:ascii="仿宋_GB2312" w:eastAsia="仿宋_GB2312" w:cs="仿宋_GB2312"/>
          <w:color w:val="000000"/>
          <w:sz w:val="32"/>
          <w:szCs w:val="32"/>
          <w:highlight w:val="none"/>
          <w:lang w:eastAsia="zh-CN"/>
        </w:rPr>
        <w:t>）：支出决算25.99万元，完成预算100%</w:t>
      </w:r>
      <w:r>
        <w:rPr>
          <w:rFonts w:hint="eastAsia" w:ascii="仿宋_GB2312" w:eastAsia="仿宋_GB2312" w:cs="仿宋"/>
          <w:kern w:val="0"/>
          <w:sz w:val="32"/>
          <w:szCs w:val="32"/>
          <w:lang w:val="zh-CN"/>
        </w:rPr>
        <w:t>，决算数与预算数持平</w:t>
      </w:r>
      <w:r>
        <w:rPr>
          <w:rFonts w:hint="eastAsia" w:ascii="仿宋_GB2312" w:eastAsia="仿宋_GB2312" w:cs="仿宋_GB2312"/>
          <w:color w:val="000000"/>
          <w:sz w:val="32"/>
          <w:szCs w:val="32"/>
          <w:highlight w:val="none"/>
          <w:lang w:eastAsia="zh-CN"/>
        </w:rPr>
        <w:t>。</w:t>
      </w:r>
    </w:p>
    <w:p w14:paraId="454A0A91">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 w:val="0"/>
          <w:color w:val="000000"/>
          <w:highlight w:val="none"/>
        </w:rPr>
      </w:pPr>
      <w:bookmarkStart w:id="41" w:name="_Toc15377214"/>
      <w:bookmarkStart w:id="42" w:name="_Toc533"/>
      <w:bookmarkStart w:id="43" w:name="_Toc111208504"/>
      <w:r>
        <w:rPr>
          <w:rFonts w:hint="eastAsia" w:ascii="黑体" w:eastAsia="黑体" w:cs="Times New Roman"/>
          <w:bCs w:val="0"/>
          <w:color w:val="000000"/>
          <w:highlight w:val="none"/>
        </w:rPr>
        <w:t>六、一般公共预算财政拨款基本支出决算情况说</w:t>
      </w:r>
      <w:bookmarkEnd w:id="41"/>
      <w:r>
        <w:rPr>
          <w:rFonts w:hint="eastAsia" w:ascii="黑体" w:eastAsia="黑体" w:cs="Times New Roman"/>
          <w:bCs w:val="0"/>
          <w:color w:val="000000"/>
          <w:highlight w:val="none"/>
        </w:rPr>
        <w:t>明</w:t>
      </w:r>
      <w:bookmarkEnd w:id="42"/>
      <w:bookmarkEnd w:id="43"/>
    </w:p>
    <w:p w14:paraId="6CE5F4A1">
      <w:pPr>
        <w:spacing w:line="600" w:lineRule="exact"/>
        <w:ind w:firstLine="640"/>
        <w:rPr>
          <w:rFonts w:hint="eastAsia" w:ascii="仿宋_GB2312" w:eastAsia="仿宋_GB2312" w:cs="仿宋_GB2312"/>
          <w:color w:val="auto"/>
          <w:sz w:val="32"/>
          <w:szCs w:val="32"/>
          <w:highlight w:val="none"/>
          <w:lang w:eastAsia="zh-CN"/>
        </w:rPr>
      </w:pPr>
      <w:r>
        <w:rPr>
          <w:rFonts w:hint="eastAsia" w:ascii="仿宋_GB2312" w:eastAsia="仿宋_GB2312" w:cs="仿宋_GB2312"/>
          <w:color w:val="auto"/>
          <w:sz w:val="32"/>
          <w:szCs w:val="32"/>
          <w:highlight w:val="none"/>
          <w:lang w:eastAsia="zh-CN"/>
        </w:rPr>
        <w:t>2025年度一般公共预算财政拨款基本支出378.77万元，其中：</w:t>
      </w:r>
    </w:p>
    <w:p w14:paraId="060F1393">
      <w:pPr>
        <w:spacing w:line="600" w:lineRule="exact"/>
        <w:ind w:firstLine="640"/>
        <w:rPr>
          <w:rFonts w:hint="eastAsia" w:ascii="仿宋_GB2312" w:eastAsia="仿宋_GB2312" w:cs="仿宋_GB2312"/>
          <w:color w:val="auto"/>
          <w:sz w:val="32"/>
          <w:szCs w:val="32"/>
          <w:highlight w:val="none"/>
          <w:lang w:eastAsia="zh-CN"/>
        </w:rPr>
      </w:pPr>
      <w:r>
        <w:rPr>
          <w:rFonts w:hint="eastAsia" w:ascii="仿宋_GB2312" w:eastAsia="仿宋_GB2312" w:cs="仿宋_GB2312"/>
          <w:color w:val="auto"/>
          <w:sz w:val="32"/>
          <w:szCs w:val="32"/>
          <w:highlight w:val="none"/>
          <w:lang w:eastAsia="zh-CN"/>
        </w:rPr>
        <w:t>人员经费356.33万元，主要包括：基本工资、津贴补贴、绩效工资、机关事业单位基本养老保险缴费、职业年金缴费、职工基本医疗保险缴费、其他社会保障缴费、住房公积金、医疗费、生活补助、奖励金。</w:t>
      </w:r>
    </w:p>
    <w:p w14:paraId="31146901">
      <w:pPr>
        <w:spacing w:line="600" w:lineRule="exact"/>
        <w:ind w:firstLine="640"/>
        <w:rPr>
          <w:rFonts w:hint="eastAsia" w:ascii="仿宋_GB2312" w:eastAsia="仿宋_GB2312" w:cs="仿宋_GB2312"/>
          <w:color w:val="auto"/>
          <w:sz w:val="32"/>
          <w:szCs w:val="32"/>
          <w:highlight w:val="none"/>
          <w:lang w:eastAsia="zh-CN"/>
        </w:rPr>
      </w:pPr>
      <w:r>
        <w:rPr>
          <w:rFonts w:hint="eastAsia" w:ascii="仿宋_GB2312" w:eastAsia="仿宋_GB2312" w:cs="仿宋_GB2312"/>
          <w:color w:val="auto"/>
          <w:sz w:val="32"/>
          <w:szCs w:val="32"/>
          <w:highlight w:val="none"/>
          <w:lang w:eastAsia="zh-CN"/>
        </w:rPr>
        <w:t>公用经费22.44万元，主要包括：办公费、电费、邮电费、差旅费、培训费、福利费、其他交通费用、其他商品和服务支出。</w:t>
      </w:r>
    </w:p>
    <w:p w14:paraId="70F05165">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44" w:name="_Toc15377215"/>
      <w:bookmarkStart w:id="45" w:name="_Toc111208505"/>
      <w:bookmarkStart w:id="46" w:name="_Toc27414"/>
      <w:r>
        <w:rPr>
          <w:rFonts w:hint="eastAsia" w:ascii="黑体" w:eastAsia="黑体" w:cs="Times New Roman"/>
          <w:bCs w:val="0"/>
          <w:color w:val="000000"/>
          <w:highlight w:val="none"/>
        </w:rPr>
        <w:t>七、“三公”经费财政拨款支出决算情况说明</w:t>
      </w:r>
      <w:bookmarkEnd w:id="44"/>
      <w:bookmarkEnd w:id="45"/>
      <w:bookmarkEnd w:id="46"/>
    </w:p>
    <w:p w14:paraId="278AB22F">
      <w:pPr>
        <w:spacing w:beforeAutospacing="0" w:line="600" w:lineRule="exact"/>
        <w:ind w:firstLine="643" w:firstLineChars="200"/>
        <w:outlineLvl w:val="2"/>
        <w:rPr>
          <w:rFonts w:hint="eastAsia" w:ascii="仿宋_GB2312" w:eastAsia="仿宋_GB2312" w:cs="仿宋_GB2312"/>
          <w:b/>
          <w:color w:val="000000"/>
          <w:sz w:val="32"/>
          <w:szCs w:val="32"/>
          <w:highlight w:val="none"/>
        </w:rPr>
      </w:pPr>
      <w:bookmarkStart w:id="47" w:name="_Toc15377216"/>
      <w:r>
        <w:rPr>
          <w:rFonts w:hint="eastAsia" w:ascii="仿宋_GB2312" w:eastAsia="仿宋_GB2312" w:cs="仿宋_GB2312"/>
          <w:b/>
          <w:color w:val="000000"/>
          <w:sz w:val="32"/>
          <w:szCs w:val="32"/>
          <w:highlight w:val="none"/>
        </w:rPr>
        <w:t>（一）“三公”经费财政拨款支出决算总体情况说明</w:t>
      </w:r>
      <w:bookmarkEnd w:id="47"/>
    </w:p>
    <w:p w14:paraId="799A9F91">
      <w:pPr>
        <w:spacing w:line="600" w:lineRule="exact"/>
        <w:ind w:firstLine="640"/>
        <w:rPr>
          <w:rFonts w:hint="eastAsia" w:ascii="仿宋_GB2312" w:eastAsia="仿宋_GB2312" w:cs="仿宋_GB2312"/>
          <w:color w:val="000000"/>
          <w:sz w:val="32"/>
          <w:szCs w:val="32"/>
          <w:highlight w:val="none"/>
        </w:rPr>
      </w:pPr>
      <w:r>
        <w:rPr>
          <w:rFonts w:hint="eastAsia" w:ascii="仿宋_GB2312" w:eastAsia="仿宋_GB2312" w:cs="仿宋_GB2312"/>
          <w:color w:val="000000"/>
          <w:sz w:val="32"/>
          <w:szCs w:val="32"/>
          <w:highlight w:val="none"/>
          <w:lang w:eastAsia="zh-CN"/>
        </w:rPr>
        <w:t>2</w:t>
      </w:r>
      <w:bookmarkStart w:id="48" w:name="_Toc15377217"/>
      <w:r>
        <w:rPr>
          <w:rFonts w:hint="eastAsia" w:ascii="仿宋_GB2312" w:eastAsia="仿宋_GB2312" w:cs="仿宋_GB2312"/>
          <w:color w:val="000000"/>
          <w:sz w:val="32"/>
          <w:szCs w:val="32"/>
          <w:highlight w:val="none"/>
          <w:lang w:eastAsia="zh-CN"/>
        </w:rPr>
        <w:t>025年度"三公"经费财政拨款支出决算为0万元。</w:t>
      </w:r>
    </w:p>
    <w:p w14:paraId="7E4CA94A">
      <w:pPr>
        <w:spacing w:line="600" w:lineRule="exact"/>
        <w:ind w:firstLine="643" w:firstLineChars="200"/>
        <w:outlineLvl w:val="2"/>
        <w:rPr>
          <w:rFonts w:hint="eastAsia" w:ascii="仿宋_GB2312" w:eastAsia="仿宋_GB2312" w:cs="仿宋_GB2312"/>
          <w:b/>
          <w:color w:val="000000"/>
          <w:sz w:val="32"/>
          <w:szCs w:val="32"/>
          <w:highlight w:val="none"/>
        </w:rPr>
      </w:pPr>
      <w:r>
        <w:rPr>
          <w:rFonts w:hint="eastAsia" w:ascii="仿宋_GB2312" w:eastAsia="仿宋_GB2312" w:cs="仿宋_GB2312"/>
          <w:b/>
          <w:color w:val="000000"/>
          <w:sz w:val="32"/>
          <w:szCs w:val="32"/>
          <w:highlight w:val="none"/>
        </w:rPr>
        <w:t>（二）“三公”经费财政拨款支出决算具体情况说明</w:t>
      </w:r>
      <w:bookmarkEnd w:id="48"/>
    </w:p>
    <w:p w14:paraId="63AAA7A9">
      <w:pPr>
        <w:spacing w:line="600" w:lineRule="exact"/>
        <w:ind w:firstLine="640"/>
        <w:rPr>
          <w:rFonts w:hint="eastAsia" w:ascii="仿宋_GB2312" w:eastAsia="仿宋_GB2312" w:cs="仿宋_GB2312"/>
          <w:color w:val="000000"/>
          <w:sz w:val="32"/>
          <w:szCs w:val="32"/>
          <w:highlight w:val="none"/>
          <w:lang w:eastAsia="zh-CN"/>
        </w:rPr>
      </w:pPr>
      <w:r>
        <w:rPr>
          <w:rFonts w:hint="eastAsia" w:ascii="仿宋_GB2312" w:eastAsia="仿宋_GB2312" w:cs="仿宋_GB2312"/>
          <w:color w:val="000000"/>
          <w:sz w:val="32"/>
          <w:szCs w:val="32"/>
          <w:highlight w:val="none"/>
          <w:lang w:eastAsia="zh-CN"/>
        </w:rPr>
        <w:t>2025年度"三公"经费财政拨款支出0万元，因公出国（境）费支出决算0万元；公务用车购置及运行维护费支出决算0万元；公务接待费支出决算0万元。具体情况如下：</w:t>
      </w:r>
    </w:p>
    <w:p w14:paraId="16DBDD2E">
      <w:pPr>
        <w:pStyle w:val="5"/>
        <w:rPr>
          <w:rFonts w:ascii="仿宋_GB2312" w:eastAsia="仿宋_GB2312"/>
          <w:color w:val="000000"/>
          <w:sz w:val="32"/>
          <w:szCs w:val="32"/>
          <w:highlight w:val="none"/>
        </w:rPr>
      </w:pPr>
      <w:r>
        <w:rPr>
          <w:highlight w:val="none"/>
        </w:rPr>
        <w:drawing>
          <wp:inline distT="0" distB="0" distL="0" distR="0">
            <wp:extent cx="4554855" cy="2903220"/>
            <wp:effectExtent l="4445" t="5080" r="12700" b="635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1C87AD4">
      <w:pPr>
        <w:numPr>
          <w:ilvl w:val="0"/>
          <w:numId w:val="1"/>
        </w:numPr>
        <w:spacing w:line="600" w:lineRule="exact"/>
        <w:ind w:firstLine="640"/>
        <w:rPr>
          <w:rFonts w:hint="eastAsia" w:ascii="仿宋_GB2312" w:eastAsia="仿宋_GB2312" w:cs="仿宋_GB2312"/>
          <w:color w:val="000000"/>
          <w:sz w:val="32"/>
          <w:szCs w:val="32"/>
          <w:highlight w:val="none"/>
        </w:rPr>
      </w:pPr>
      <w:r>
        <w:rPr>
          <w:rFonts w:hint="eastAsia" w:ascii="仿宋_GB2312" w:eastAsia="仿宋_GB2312" w:cs="仿宋_GB2312"/>
          <w:color w:val="000000"/>
          <w:sz w:val="32"/>
          <w:szCs w:val="32"/>
          <w:highlight w:val="none"/>
        </w:rPr>
        <w:t>因公出国（境）经费支出</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szCs w:val="32"/>
          <w:highlight w:val="none"/>
        </w:rPr>
        <w:t>万元。</w:t>
      </w:r>
    </w:p>
    <w:p w14:paraId="41C6944F">
      <w:pPr>
        <w:numPr>
          <w:ilvl w:val="0"/>
          <w:numId w:val="0"/>
        </w:numPr>
        <w:spacing w:line="600" w:lineRule="exact"/>
        <w:ind w:firstLine="640" w:firstLineChars="200"/>
        <w:rPr>
          <w:rFonts w:hint="eastAsia" w:ascii="仿宋_GB2312" w:eastAsia="仿宋_GB2312" w:cs="仿宋_GB2312"/>
          <w:color w:val="000000"/>
          <w:sz w:val="32"/>
          <w:szCs w:val="32"/>
          <w:highlight w:val="none"/>
        </w:rPr>
      </w:pPr>
      <w:r>
        <w:rPr>
          <w:rFonts w:hint="eastAsia" w:ascii="仿宋_GB2312" w:eastAsia="仿宋_GB2312" w:cs="仿宋_GB2312"/>
          <w:color w:val="000000"/>
          <w:sz w:val="32"/>
          <w:szCs w:val="32"/>
          <w:highlight w:val="none"/>
        </w:rPr>
        <w:t>2.公务用车购置及运行维护费支出</w:t>
      </w:r>
      <w:r>
        <w:rPr>
          <w:rFonts w:hint="eastAsia" w:ascii="仿宋_GB2312" w:eastAsia="仿宋_GB2312" w:cs="仿宋_GB2312"/>
          <w:color w:val="000000"/>
          <w:sz w:val="32"/>
          <w:highlight w:val="none"/>
          <w:u w:color="auto"/>
          <w:lang w:val="en-US" w:eastAsia="zh-CN"/>
        </w:rPr>
        <w:t>0</w:t>
      </w:r>
      <w:r>
        <w:rPr>
          <w:rFonts w:hint="eastAsia" w:ascii="仿宋_GB2312" w:eastAsia="仿宋_GB2312" w:cs="仿宋_GB2312"/>
          <w:color w:val="000000"/>
          <w:sz w:val="32"/>
          <w:szCs w:val="32"/>
          <w:highlight w:val="none"/>
        </w:rPr>
        <w:t>万元。</w:t>
      </w:r>
    </w:p>
    <w:p w14:paraId="6B5C132D">
      <w:pPr>
        <w:spacing w:line="600" w:lineRule="exact"/>
        <w:ind w:firstLine="640" w:firstLineChars="200"/>
        <w:rPr>
          <w:rFonts w:hint="eastAsia" w:ascii="仿宋_GB2312" w:eastAsia="仿宋_GB2312" w:cs="仿宋_GB2312"/>
          <w:color w:val="000000"/>
          <w:sz w:val="32"/>
          <w:szCs w:val="32"/>
          <w:highlight w:val="none"/>
        </w:rPr>
      </w:pPr>
      <w:r>
        <w:rPr>
          <w:rFonts w:hint="eastAsia" w:ascii="仿宋_GB2312" w:eastAsia="仿宋_GB2312" w:cs="仿宋_GB2312"/>
          <w:color w:val="000000"/>
          <w:sz w:val="32"/>
          <w:szCs w:val="32"/>
          <w:highlight w:val="none"/>
        </w:rPr>
        <w:t>其中：公务用车购置支出</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highlight w:val="none"/>
          <w:u w:color="auto"/>
        </w:rPr>
        <w:t>万元。全年按规定更新购置公务用车0辆，其中：轿车0辆、金额</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highlight w:val="none"/>
          <w:u w:color="auto"/>
        </w:rPr>
        <w:t>万元，越野车0辆、金额</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highlight w:val="none"/>
          <w:u w:color="auto"/>
        </w:rPr>
        <w:t>万元，载客汽车0辆、金额</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highlight w:val="none"/>
          <w:u w:color="auto"/>
        </w:rPr>
        <w:t>万元。截至</w:t>
      </w:r>
      <w:r>
        <w:rPr>
          <w:rFonts w:hint="eastAsia" w:ascii="仿宋_GB2312" w:eastAsia="仿宋_GB2312" w:cs="仿宋_GB2312"/>
          <w:color w:val="000000"/>
          <w:sz w:val="32"/>
          <w:szCs w:val="32"/>
          <w:highlight w:val="none"/>
          <w:lang w:val="en-US" w:eastAsia="zh-CN"/>
        </w:rPr>
        <w:t>2025年</w:t>
      </w:r>
      <w:r>
        <w:rPr>
          <w:rFonts w:hint="eastAsia" w:ascii="仿宋_GB2312" w:eastAsia="仿宋_GB2312" w:cs="仿宋_GB2312"/>
          <w:color w:val="000000"/>
          <w:sz w:val="32"/>
          <w:szCs w:val="32"/>
          <w:highlight w:val="none"/>
        </w:rPr>
        <w:t>，单位共有公务用车</w:t>
      </w:r>
      <w:r>
        <w:rPr>
          <w:rFonts w:hint="eastAsia" w:ascii="仿宋_GB2312" w:eastAsia="仿宋_GB2312" w:cs="仿宋_GB2312"/>
          <w:color w:val="000000"/>
          <w:sz w:val="32"/>
          <w:szCs w:val="32"/>
          <w:highlight w:val="none"/>
          <w:lang w:val="en-US" w:eastAsia="zh-CN"/>
        </w:rPr>
        <w:t>0</w:t>
      </w:r>
      <w:r>
        <w:rPr>
          <w:rFonts w:hint="eastAsia" w:ascii="仿宋_GB2312" w:eastAsia="仿宋_GB2312" w:cs="仿宋_GB2312"/>
          <w:color w:val="000000"/>
          <w:sz w:val="32"/>
          <w:szCs w:val="32"/>
          <w:highlight w:val="none"/>
        </w:rPr>
        <w:t>辆，其中：轿车</w:t>
      </w:r>
      <w:r>
        <w:rPr>
          <w:rFonts w:hint="eastAsia" w:ascii="仿宋_GB2312" w:eastAsia="仿宋_GB2312" w:cs="仿宋_GB2312"/>
          <w:color w:val="000000"/>
          <w:sz w:val="32"/>
          <w:highlight w:val="none"/>
          <w:u w:color="auto"/>
        </w:rPr>
        <w:t>0辆、越野车</w:t>
      </w:r>
      <w:r>
        <w:rPr>
          <w:rFonts w:hint="eastAsia" w:ascii="仿宋_GB2312" w:eastAsia="仿宋_GB2312" w:cs="仿宋_GB2312"/>
          <w:color w:val="000000"/>
          <w:sz w:val="32"/>
          <w:highlight w:val="none"/>
          <w:u w:color="auto"/>
          <w:lang w:val="en-US" w:eastAsia="zh-CN"/>
        </w:rPr>
        <w:t>0</w:t>
      </w:r>
      <w:r>
        <w:rPr>
          <w:rFonts w:hint="eastAsia" w:ascii="仿宋_GB2312" w:eastAsia="仿宋_GB2312" w:cs="仿宋_GB2312"/>
          <w:color w:val="000000"/>
          <w:sz w:val="32"/>
          <w:highlight w:val="none"/>
          <w:u w:color="auto"/>
        </w:rPr>
        <w:t>辆、载客汽车0辆。</w:t>
      </w:r>
    </w:p>
    <w:p w14:paraId="36F9B05C">
      <w:pPr>
        <w:spacing w:line="600" w:lineRule="exact"/>
        <w:ind w:firstLine="640"/>
        <w:rPr>
          <w:rFonts w:hint="eastAsia" w:ascii="仿宋_GB2312" w:eastAsia="仿宋_GB2312" w:cs="仿宋_GB2312"/>
          <w:color w:val="000000"/>
          <w:sz w:val="32"/>
          <w:szCs w:val="32"/>
          <w:highlight w:val="none"/>
        </w:rPr>
      </w:pPr>
      <w:r>
        <w:rPr>
          <w:rFonts w:hint="eastAsia" w:ascii="仿宋_GB2312" w:eastAsia="仿宋_GB2312" w:cs="仿宋_GB2312"/>
          <w:color w:val="000000"/>
          <w:sz w:val="32"/>
          <w:szCs w:val="32"/>
          <w:highlight w:val="none"/>
        </w:rPr>
        <w:t>公务用车运行维护费支出</w:t>
      </w:r>
      <w:r>
        <w:rPr>
          <w:rFonts w:hint="eastAsia" w:ascii="仿宋_GB2312" w:eastAsia="仿宋_GB2312" w:cs="仿宋_GB2312"/>
          <w:color w:val="000000"/>
          <w:sz w:val="32"/>
          <w:highlight w:val="none"/>
          <w:u w:color="auto"/>
          <w:lang w:val="en-US" w:eastAsia="zh-CN"/>
        </w:rPr>
        <w:t>0</w:t>
      </w:r>
      <w:r>
        <w:rPr>
          <w:rFonts w:hint="eastAsia" w:ascii="仿宋_GB2312" w:eastAsia="仿宋_GB2312" w:cs="仿宋_GB2312"/>
          <w:color w:val="000000"/>
          <w:sz w:val="32"/>
          <w:szCs w:val="32"/>
          <w:highlight w:val="none"/>
        </w:rPr>
        <w:t>万元。</w:t>
      </w:r>
    </w:p>
    <w:p w14:paraId="7DC259F6">
      <w:pPr>
        <w:pStyle w:val="5"/>
        <w:ind w:left="0" w:firstLine="640" w:firstLineChars="200"/>
        <w:rPr>
          <w:rFonts w:hint="eastAsia" w:ascii="仿宋_GB2312" w:eastAsia="仿宋_GB2312" w:cs="仿宋_GB2312"/>
          <w:color w:val="000000"/>
          <w:sz w:val="32"/>
          <w:szCs w:val="32"/>
          <w:highlight w:val="none"/>
        </w:rPr>
      </w:pPr>
      <w:r>
        <w:rPr>
          <w:rFonts w:hint="eastAsia" w:ascii="仿宋_GB2312" w:eastAsia="仿宋_GB2312" w:cs="仿宋_GB2312"/>
          <w:color w:val="000000"/>
          <w:kern w:val="2"/>
          <w:sz w:val="32"/>
          <w:szCs w:val="32"/>
          <w:lang w:val="en-US" w:eastAsia="zh-CN" w:bidi="ar-SA"/>
        </w:rPr>
        <w:t>3.</w:t>
      </w:r>
      <w:r>
        <w:rPr>
          <w:rFonts w:hint="eastAsia" w:ascii="仿宋_GB2312" w:eastAsia="仿宋_GB2312" w:cs="仿宋_GB2312"/>
          <w:color w:val="000000"/>
          <w:sz w:val="32"/>
          <w:szCs w:val="32"/>
          <w:highlight w:val="none"/>
        </w:rPr>
        <w:t>公务接待费</w:t>
      </w:r>
      <w:bookmarkStart w:id="49" w:name="_Toc15377218"/>
    </w:p>
    <w:p w14:paraId="26AB312C">
      <w:pPr>
        <w:spacing w:line="600" w:lineRule="exact"/>
        <w:ind w:firstLine="640"/>
        <w:rPr>
          <w:rFonts w:hint="eastAsia" w:ascii="仿宋_GB2312" w:eastAsia="仿宋_GB2312" w:cs="仿宋_GB2312"/>
          <w:color w:val="000000"/>
          <w:sz w:val="32"/>
          <w:szCs w:val="32"/>
          <w:highlight w:val="none"/>
          <w:lang w:val="en-US" w:eastAsia="zh-CN"/>
        </w:rPr>
      </w:pPr>
      <w:r>
        <w:rPr>
          <w:rFonts w:hint="eastAsia" w:ascii="仿宋_GB2312" w:eastAsia="仿宋_GB2312" w:cs="仿宋_GB2312"/>
          <w:color w:val="000000"/>
          <w:sz w:val="32"/>
          <w:szCs w:val="32"/>
          <w:highlight w:val="none"/>
          <w:lang w:val="en-US" w:eastAsia="zh-CN"/>
        </w:rPr>
        <w:t>2025年度公务接待费支出0万元。</w:t>
      </w:r>
    </w:p>
    <w:p w14:paraId="6E7B5E16">
      <w:pPr>
        <w:pStyle w:val="3"/>
        <w:keepNext/>
        <w:keepLines/>
        <w:pageBreakBefore w:val="0"/>
        <w:widowControl w:val="0"/>
        <w:kinsoku/>
        <w:wordWrap/>
        <w:overflowPunct/>
        <w:topLinePunct w:val="0"/>
        <w:autoSpaceDE/>
        <w:autoSpaceDN/>
        <w:bidi w:val="0"/>
        <w:adjustRightInd/>
        <w:snapToGrid/>
        <w:spacing w:line="300" w:lineRule="exact"/>
        <w:ind w:firstLine="643" w:firstLineChars="200"/>
        <w:textAlignment w:val="auto"/>
        <w:rPr>
          <w:rFonts w:ascii="黑体" w:eastAsia="黑体" w:cs="Times New Roman"/>
          <w:bCs w:val="0"/>
          <w:color w:val="000000"/>
          <w:highlight w:val="none"/>
        </w:rPr>
      </w:pPr>
      <w:bookmarkStart w:id="50" w:name="_Toc111208506"/>
      <w:bookmarkStart w:id="51" w:name="_Toc27590"/>
      <w:r>
        <w:rPr>
          <w:rFonts w:hint="eastAsia" w:ascii="黑体" w:eastAsia="黑体" w:cs="Times New Roman"/>
          <w:bCs w:val="0"/>
          <w:color w:val="000000"/>
          <w:highlight w:val="none"/>
        </w:rPr>
        <w:t>八、政府性基金预算支出决算情况说明</w:t>
      </w:r>
      <w:bookmarkEnd w:id="49"/>
      <w:bookmarkEnd w:id="50"/>
      <w:bookmarkEnd w:id="51"/>
    </w:p>
    <w:p w14:paraId="0570A3EF">
      <w:pPr>
        <w:keepNext w:val="0"/>
        <w:keepLines w:val="0"/>
        <w:pageBreakBefore w:val="0"/>
        <w:widowControl w:val="0"/>
        <w:kinsoku/>
        <w:wordWrap/>
        <w:overflowPunct/>
        <w:topLinePunct w:val="0"/>
        <w:autoSpaceDE/>
        <w:autoSpaceDN/>
        <w:bidi w:val="0"/>
        <w:adjustRightInd/>
        <w:snapToGrid/>
        <w:spacing w:line="400" w:lineRule="exact"/>
        <w:ind w:firstLine="641"/>
        <w:textAlignment w:val="auto"/>
        <w:rPr>
          <w:rFonts w:hint="eastAsia" w:ascii="仿宋_GB2312" w:eastAsia="仿宋_GB2312" w:cs="仿宋_GB2312"/>
          <w:highlight w:val="none"/>
        </w:rPr>
      </w:pPr>
      <w:r>
        <w:rPr>
          <w:rFonts w:hint="eastAsia" w:ascii="仿宋_GB2312" w:eastAsia="仿宋_GB2312" w:cs="仿宋_GB2312"/>
          <w:color w:val="000000"/>
          <w:sz w:val="32"/>
          <w:szCs w:val="32"/>
          <w:highlight w:val="none"/>
          <w:lang w:eastAsia="zh-CN"/>
        </w:rPr>
        <w:t>202</w:t>
      </w:r>
      <w:r>
        <w:rPr>
          <w:rFonts w:hint="eastAsia" w:ascii="仿宋_GB2312" w:eastAsia="仿宋_GB2312" w:cs="仿宋_GB2312"/>
          <w:color w:val="000000"/>
          <w:sz w:val="32"/>
          <w:szCs w:val="32"/>
          <w:highlight w:val="none"/>
          <w:lang w:val="en-US" w:eastAsia="zh-CN"/>
        </w:rPr>
        <w:t>5</w:t>
      </w:r>
      <w:r>
        <w:rPr>
          <w:rFonts w:hint="eastAsia" w:ascii="仿宋_GB2312" w:eastAsia="仿宋_GB2312" w:cs="仿宋_GB2312"/>
          <w:color w:val="000000"/>
          <w:sz w:val="32"/>
          <w:highlight w:val="none"/>
          <w:u w:color="auto"/>
        </w:rPr>
        <w:t>年</w:t>
      </w:r>
      <w:r>
        <w:rPr>
          <w:rFonts w:hint="eastAsia" w:ascii="仿宋_GB2312" w:eastAsia="仿宋_GB2312" w:cs="仿宋_GB2312"/>
          <w:color w:val="000000"/>
          <w:sz w:val="32"/>
          <w:highlight w:val="none"/>
          <w:u w:color="auto"/>
          <w:lang w:val="en-US" w:eastAsia="zh-CN"/>
        </w:rPr>
        <w:t>度</w:t>
      </w:r>
      <w:r>
        <w:rPr>
          <w:rFonts w:hint="eastAsia" w:ascii="仿宋_GB2312" w:eastAsia="仿宋_GB2312" w:cs="仿宋_GB2312"/>
          <w:color w:val="000000"/>
          <w:sz w:val="32"/>
          <w:highlight w:val="none"/>
          <w:u w:color="auto"/>
        </w:rPr>
        <w:t>政府性基金预算拨款支出</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szCs w:val="32"/>
          <w:highlight w:val="none"/>
        </w:rPr>
        <w:t>万元。</w:t>
      </w:r>
      <w:bookmarkStart w:id="52" w:name="_Toc15377219"/>
    </w:p>
    <w:p w14:paraId="75C7511A">
      <w:pPr>
        <w:pStyle w:val="3"/>
        <w:keepNext/>
        <w:keepLines/>
        <w:pageBreakBefore w:val="0"/>
        <w:widowControl w:val="0"/>
        <w:kinsoku/>
        <w:wordWrap/>
        <w:overflowPunct/>
        <w:topLinePunct w:val="0"/>
        <w:autoSpaceDE/>
        <w:autoSpaceDN/>
        <w:bidi w:val="0"/>
        <w:adjustRightInd/>
        <w:snapToGrid/>
        <w:spacing w:line="300" w:lineRule="exact"/>
        <w:ind w:firstLine="643" w:firstLineChars="200"/>
        <w:textAlignment w:val="auto"/>
        <w:rPr>
          <w:rFonts w:ascii="黑体" w:eastAsia="黑体" w:cs="Times New Roman"/>
          <w:bCs w:val="0"/>
          <w:color w:val="000000"/>
          <w:highlight w:val="none"/>
        </w:rPr>
      </w:pPr>
      <w:bookmarkStart w:id="53" w:name="_Toc111208507"/>
      <w:bookmarkStart w:id="54" w:name="_Toc6349"/>
      <w:r>
        <w:rPr>
          <w:rFonts w:hint="eastAsia" w:ascii="黑体" w:eastAsia="黑体" w:cs="Times New Roman"/>
          <w:bCs w:val="0"/>
          <w:color w:val="000000"/>
          <w:highlight w:val="none"/>
        </w:rPr>
        <w:t>九、国有资本经营预算支出决算情况说明</w:t>
      </w:r>
      <w:bookmarkEnd w:id="52"/>
      <w:bookmarkEnd w:id="53"/>
      <w:bookmarkEnd w:id="54"/>
    </w:p>
    <w:p w14:paraId="2C736312">
      <w:pPr>
        <w:keepNext w:val="0"/>
        <w:keepLines w:val="0"/>
        <w:pageBreakBefore w:val="0"/>
        <w:widowControl w:val="0"/>
        <w:kinsoku/>
        <w:wordWrap/>
        <w:overflowPunct/>
        <w:topLinePunct w:val="0"/>
        <w:autoSpaceDE/>
        <w:autoSpaceDN/>
        <w:bidi w:val="0"/>
        <w:adjustRightInd/>
        <w:snapToGrid/>
        <w:spacing w:line="400" w:lineRule="exact"/>
        <w:ind w:firstLine="641"/>
        <w:textAlignment w:val="auto"/>
        <w:rPr>
          <w:rFonts w:hint="eastAsia" w:ascii="仿宋_GB2312" w:eastAsia="仿宋_GB2312" w:cs="仿宋_GB2312"/>
          <w:highlight w:val="none"/>
        </w:rPr>
      </w:pPr>
      <w:r>
        <w:rPr>
          <w:rFonts w:hint="eastAsia" w:ascii="仿宋_GB2312" w:eastAsia="仿宋_GB2312" w:cs="仿宋_GB2312"/>
          <w:color w:val="000000"/>
          <w:sz w:val="32"/>
          <w:szCs w:val="32"/>
          <w:highlight w:val="none"/>
          <w:lang w:eastAsia="zh-CN"/>
        </w:rPr>
        <w:t>202</w:t>
      </w:r>
      <w:r>
        <w:rPr>
          <w:rFonts w:hint="eastAsia" w:ascii="仿宋_GB2312" w:eastAsia="仿宋_GB2312" w:cs="仿宋_GB2312"/>
          <w:color w:val="000000"/>
          <w:sz w:val="32"/>
          <w:szCs w:val="32"/>
          <w:highlight w:val="none"/>
          <w:lang w:val="en-US" w:eastAsia="zh-CN"/>
        </w:rPr>
        <w:t>5</w:t>
      </w:r>
      <w:r>
        <w:rPr>
          <w:rFonts w:hint="eastAsia" w:ascii="仿宋_GB2312" w:eastAsia="仿宋_GB2312" w:cs="仿宋_GB2312"/>
          <w:color w:val="000000"/>
          <w:sz w:val="32"/>
          <w:highlight w:val="none"/>
          <w:u w:color="auto"/>
        </w:rPr>
        <w:t>年</w:t>
      </w:r>
      <w:r>
        <w:rPr>
          <w:rFonts w:hint="eastAsia" w:ascii="仿宋_GB2312" w:eastAsia="仿宋_GB2312" w:cs="仿宋_GB2312"/>
          <w:color w:val="000000"/>
          <w:sz w:val="32"/>
          <w:highlight w:val="none"/>
          <w:u w:color="auto"/>
          <w:lang w:val="en-US" w:eastAsia="zh-CN"/>
        </w:rPr>
        <w:t>度</w:t>
      </w:r>
      <w:r>
        <w:rPr>
          <w:rFonts w:hint="eastAsia" w:ascii="仿宋_GB2312" w:eastAsia="仿宋_GB2312" w:cs="仿宋_GB2312"/>
          <w:color w:val="000000"/>
          <w:sz w:val="32"/>
          <w:highlight w:val="none"/>
          <w:u w:color="auto"/>
        </w:rPr>
        <w:t>国有资本经营预算拨款支出</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szCs w:val="32"/>
          <w:highlight w:val="none"/>
        </w:rPr>
        <w:t>万元。</w:t>
      </w:r>
    </w:p>
    <w:p w14:paraId="14D47917">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55" w:name="_Toc111208508"/>
      <w:bookmarkStart w:id="56" w:name="_Toc15377221"/>
      <w:bookmarkStart w:id="57" w:name="_Toc7650"/>
      <w:r>
        <w:rPr>
          <w:rFonts w:hint="eastAsia" w:ascii="黑体" w:eastAsia="黑体" w:cs="Times New Roman"/>
          <w:bCs w:val="0"/>
          <w:color w:val="000000"/>
          <w:highlight w:val="none"/>
        </w:rPr>
        <w:t>十、其他重要事项的情况说明</w:t>
      </w:r>
      <w:bookmarkEnd w:id="55"/>
      <w:bookmarkEnd w:id="56"/>
      <w:bookmarkEnd w:id="57"/>
    </w:p>
    <w:p w14:paraId="21DBBFA7">
      <w:pPr>
        <w:spacing w:beforeAutospacing="0" w:line="600" w:lineRule="exact"/>
        <w:ind w:firstLine="643" w:firstLineChars="200"/>
        <w:outlineLvl w:val="2"/>
        <w:rPr>
          <w:rFonts w:ascii="仿宋" w:eastAsia="仿宋"/>
          <w:b/>
          <w:color w:val="000000"/>
          <w:sz w:val="32"/>
          <w:szCs w:val="32"/>
          <w:highlight w:val="none"/>
        </w:rPr>
      </w:pPr>
      <w:bookmarkStart w:id="58" w:name="_Toc15377222"/>
      <w:r>
        <w:rPr>
          <w:rFonts w:hint="eastAsia" w:ascii="仿宋" w:eastAsia="仿宋"/>
          <w:b/>
          <w:color w:val="000000"/>
          <w:sz w:val="32"/>
          <w:szCs w:val="32"/>
          <w:highlight w:val="none"/>
        </w:rPr>
        <w:t>（一）机关运行经费支出情况</w:t>
      </w:r>
      <w:bookmarkEnd w:id="58"/>
    </w:p>
    <w:p w14:paraId="49FD889C">
      <w:pPr>
        <w:spacing w:line="600" w:lineRule="exact"/>
        <w:ind w:firstLine="640"/>
        <w:rPr>
          <w:rFonts w:hint="eastAsia" w:ascii="仿宋_GB2312" w:eastAsia="仿宋_GB2312" w:cs="仿宋_GB2312"/>
          <w:color w:val="auto"/>
          <w:sz w:val="32"/>
          <w:szCs w:val="32"/>
          <w:highlight w:val="none"/>
          <w:lang w:eastAsia="zh-CN"/>
        </w:rPr>
      </w:pPr>
      <w:r>
        <w:rPr>
          <w:rFonts w:hint="eastAsia" w:ascii="仿宋_GB2312" w:eastAsia="仿宋_GB2312" w:cs="仿宋_GB2312"/>
          <w:color w:val="auto"/>
          <w:sz w:val="32"/>
          <w:szCs w:val="32"/>
          <w:highlight w:val="none"/>
          <w:lang w:eastAsia="zh-CN"/>
        </w:rPr>
        <w:t>2025年度，茂县南新镇便民服务中心机关运行经费支出0万元。</w:t>
      </w:r>
    </w:p>
    <w:p w14:paraId="353C4F26">
      <w:pPr>
        <w:spacing w:line="600" w:lineRule="exact"/>
        <w:ind w:firstLine="643" w:firstLineChars="200"/>
        <w:outlineLvl w:val="2"/>
        <w:rPr>
          <w:rFonts w:ascii="仿宋" w:eastAsia="仿宋"/>
          <w:b/>
          <w:color w:val="000000"/>
          <w:sz w:val="32"/>
          <w:szCs w:val="32"/>
          <w:highlight w:val="none"/>
        </w:rPr>
      </w:pPr>
      <w:bookmarkStart w:id="59" w:name="_Toc15377223"/>
      <w:r>
        <w:rPr>
          <w:rFonts w:hint="eastAsia" w:ascii="仿宋" w:eastAsia="仿宋"/>
          <w:b/>
          <w:color w:val="000000"/>
          <w:sz w:val="32"/>
          <w:szCs w:val="32"/>
          <w:highlight w:val="none"/>
        </w:rPr>
        <w:t>（二）政府采购支出情况</w:t>
      </w:r>
      <w:bookmarkEnd w:id="59"/>
    </w:p>
    <w:p w14:paraId="4D55A2AE">
      <w:pPr>
        <w:spacing w:line="600" w:lineRule="exact"/>
        <w:ind w:firstLine="640"/>
        <w:rPr>
          <w:rFonts w:hint="eastAsia" w:ascii="仿宋_GB2312" w:eastAsia="仿宋_GB2312" w:cs="仿宋_GB2312"/>
          <w:color w:val="000000"/>
          <w:sz w:val="32"/>
          <w:szCs w:val="32"/>
          <w:highlight w:val="none"/>
          <w:lang w:val="en-US" w:eastAsia="zh-CN"/>
        </w:rPr>
      </w:pPr>
      <w:r>
        <w:rPr>
          <w:rFonts w:hint="eastAsia" w:ascii="仿宋_GB2312" w:eastAsia="仿宋_GB2312" w:cs="仿宋_GB2312"/>
          <w:color w:val="000000"/>
          <w:sz w:val="32"/>
          <w:szCs w:val="32"/>
          <w:highlight w:val="none"/>
          <w:lang w:eastAsia="zh-CN"/>
        </w:rPr>
        <w:t>202</w:t>
      </w:r>
      <w:r>
        <w:rPr>
          <w:rFonts w:hint="eastAsia" w:ascii="仿宋_GB2312" w:eastAsia="仿宋_GB2312" w:cs="仿宋_GB2312"/>
          <w:color w:val="000000"/>
          <w:sz w:val="32"/>
          <w:szCs w:val="32"/>
          <w:highlight w:val="none"/>
          <w:lang w:val="en-US" w:eastAsia="zh-CN"/>
        </w:rPr>
        <w:t>5</w:t>
      </w:r>
      <w:r>
        <w:rPr>
          <w:rFonts w:hint="eastAsia" w:ascii="仿宋_GB2312" w:eastAsia="仿宋_GB2312" w:cs="仿宋_GB2312"/>
          <w:color w:val="000000"/>
          <w:sz w:val="32"/>
          <w:highlight w:val="none"/>
          <w:u w:color="auto"/>
        </w:rPr>
        <w:t>年</w:t>
      </w:r>
      <w:r>
        <w:rPr>
          <w:rFonts w:hint="eastAsia" w:ascii="仿宋_GB2312" w:eastAsia="仿宋_GB2312" w:cs="仿宋_GB2312"/>
          <w:color w:val="000000"/>
          <w:sz w:val="32"/>
          <w:highlight w:val="none"/>
          <w:u w:color="auto"/>
          <w:lang w:val="en-US" w:eastAsia="zh-CN"/>
        </w:rPr>
        <w:t>度</w:t>
      </w:r>
      <w:r>
        <w:rPr>
          <w:rFonts w:hint="eastAsia" w:ascii="仿宋_GB2312" w:eastAsia="仿宋_GB2312" w:cs="仿宋_GB2312"/>
          <w:color w:val="000000"/>
          <w:sz w:val="32"/>
          <w:highlight w:val="none"/>
          <w:u w:color="auto"/>
        </w:rPr>
        <w:t>，政府采购支出总额</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szCs w:val="32"/>
          <w:highlight w:val="none"/>
        </w:rPr>
        <w:t>万元，其中：政府采购货物支出</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szCs w:val="32"/>
          <w:highlight w:val="none"/>
        </w:rPr>
        <w:t>万元、政府采购工程支出</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szCs w:val="32"/>
          <w:highlight w:val="none"/>
        </w:rPr>
        <w:t>万元、政府采购服务支出</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szCs w:val="32"/>
          <w:highlight w:val="none"/>
        </w:rPr>
        <w:t>万元。授予中小企业合同金额</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szCs w:val="32"/>
          <w:highlight w:val="none"/>
        </w:rPr>
        <w:t>万元，其中：授予小微企业合同金额</w:t>
      </w:r>
      <w:r>
        <w:rPr>
          <w:rFonts w:hint="eastAsia" w:ascii="仿宋_GB2312" w:eastAsia="仿宋_GB2312" w:cs="仿宋_GB2312"/>
          <w:color w:val="000000"/>
          <w:sz w:val="32"/>
          <w:highlight w:val="none"/>
          <w:u w:color="auto"/>
          <w:lang w:eastAsia="zh-CN"/>
        </w:rPr>
        <w:t>0</w:t>
      </w:r>
      <w:r>
        <w:rPr>
          <w:rFonts w:hint="eastAsia" w:ascii="仿宋_GB2312" w:eastAsia="仿宋_GB2312" w:cs="仿宋_GB2312"/>
          <w:color w:val="000000"/>
          <w:sz w:val="32"/>
          <w:szCs w:val="32"/>
          <w:highlight w:val="none"/>
        </w:rPr>
        <w:t>万元</w:t>
      </w:r>
      <w:r>
        <w:rPr>
          <w:rFonts w:hint="eastAsia" w:ascii="仿宋_GB2312" w:eastAsia="仿宋_GB2312" w:cs="仿宋_GB2312"/>
          <w:color w:val="000000"/>
          <w:sz w:val="32"/>
          <w:szCs w:val="32"/>
          <w:highlight w:val="none"/>
          <w:lang w:eastAsia="zh-CN"/>
        </w:rPr>
        <w:t>。</w:t>
      </w:r>
    </w:p>
    <w:p w14:paraId="33DEFC53">
      <w:pPr>
        <w:spacing w:line="600" w:lineRule="exact"/>
        <w:ind w:firstLine="643" w:firstLineChars="200"/>
        <w:outlineLvl w:val="2"/>
        <w:rPr>
          <w:rFonts w:hint="eastAsia" w:ascii="仿宋_GB2312" w:eastAsia="仿宋_GB2312" w:cs="仿宋_GB2312"/>
          <w:b/>
          <w:color w:val="000000"/>
          <w:sz w:val="32"/>
          <w:szCs w:val="32"/>
          <w:highlight w:val="none"/>
        </w:rPr>
      </w:pPr>
      <w:bookmarkStart w:id="60" w:name="_Toc15377224"/>
      <w:r>
        <w:rPr>
          <w:rFonts w:hint="eastAsia" w:ascii="仿宋_GB2312" w:eastAsia="仿宋_GB2312" w:cs="仿宋_GB2312"/>
          <w:b/>
          <w:color w:val="000000"/>
          <w:sz w:val="32"/>
          <w:szCs w:val="32"/>
          <w:highlight w:val="none"/>
        </w:rPr>
        <w:t>（三）国有资产占有使用情况</w:t>
      </w:r>
      <w:bookmarkEnd w:id="60"/>
    </w:p>
    <w:p w14:paraId="62D06A6C">
      <w:pPr>
        <w:spacing w:line="600" w:lineRule="exact"/>
        <w:ind w:firstLine="640"/>
        <w:rPr>
          <w:rFonts w:hint="eastAsia" w:ascii="仿宋_GB2312" w:eastAsia="仿宋_GB2312" w:cs="仿宋_GB2312"/>
          <w:color w:val="000000"/>
          <w:sz w:val="32"/>
          <w:szCs w:val="32"/>
          <w:highlight w:val="none"/>
        </w:rPr>
      </w:pPr>
      <w:r>
        <w:rPr>
          <w:rFonts w:hint="eastAsia" w:ascii="仿宋_GB2312" w:eastAsia="仿宋_GB2312" w:cs="仿宋_GB2312"/>
          <w:color w:val="000000"/>
          <w:sz w:val="32"/>
          <w:szCs w:val="32"/>
          <w:highlight w:val="none"/>
        </w:rPr>
        <w:t>截至</w:t>
      </w:r>
      <w:r>
        <w:rPr>
          <w:rFonts w:hint="eastAsia" w:ascii="仿宋_GB2312" w:eastAsia="仿宋_GB2312" w:cs="仿宋_GB2312"/>
          <w:color w:val="000000"/>
          <w:sz w:val="32"/>
          <w:highlight w:val="none"/>
          <w:u w:color="auto"/>
          <w:lang w:eastAsia="zh-CN"/>
        </w:rPr>
        <w:t>20</w:t>
      </w:r>
      <w:r>
        <w:rPr>
          <w:rFonts w:hint="eastAsia" w:ascii="仿宋_GB2312" w:eastAsia="仿宋_GB2312" w:cs="仿宋_GB2312"/>
          <w:color w:val="000000"/>
          <w:sz w:val="32"/>
          <w:highlight w:val="none"/>
          <w:u w:color="auto"/>
          <w:lang w:val="en-US" w:eastAsia="zh-CN"/>
        </w:rPr>
        <w:t>25</w:t>
      </w:r>
      <w:r>
        <w:rPr>
          <w:rFonts w:hint="eastAsia" w:ascii="仿宋_GB2312" w:eastAsia="仿宋_GB2312" w:cs="仿宋_GB2312"/>
          <w:color w:val="000000"/>
          <w:sz w:val="32"/>
          <w:highlight w:val="none"/>
          <w:u w:color="auto"/>
        </w:rPr>
        <w:t>年</w:t>
      </w:r>
      <w:r>
        <w:rPr>
          <w:rFonts w:hint="eastAsia" w:ascii="仿宋_GB2312" w:eastAsia="仿宋_GB2312" w:cs="仿宋_GB2312"/>
          <w:color w:val="000000"/>
          <w:sz w:val="32"/>
          <w:szCs w:val="32"/>
          <w:highlight w:val="none"/>
        </w:rPr>
        <w:t>12月31日，共有车辆</w:t>
      </w:r>
      <w:r>
        <w:rPr>
          <w:rFonts w:hint="eastAsia" w:ascii="仿宋_GB2312" w:eastAsia="仿宋_GB2312" w:cs="仿宋_GB2312"/>
          <w:color w:val="000000"/>
          <w:sz w:val="32"/>
          <w:highlight w:val="none"/>
          <w:u w:color="auto"/>
          <w:lang w:val="en-US" w:eastAsia="zh-CN"/>
        </w:rPr>
        <w:t>0</w:t>
      </w:r>
      <w:r>
        <w:rPr>
          <w:rFonts w:hint="eastAsia" w:ascii="仿宋_GB2312" w:eastAsia="仿宋_GB2312" w:cs="仿宋_GB2312"/>
          <w:color w:val="000000"/>
          <w:sz w:val="32"/>
          <w:highlight w:val="none"/>
          <w:u w:color="auto"/>
        </w:rPr>
        <w:t>辆，其中：主要领导干部用车0</w:t>
      </w:r>
      <w:r>
        <w:rPr>
          <w:rFonts w:hint="eastAsia" w:ascii="仿宋_GB2312" w:eastAsia="仿宋_GB2312" w:cs="仿宋_GB2312"/>
          <w:color w:val="000000"/>
          <w:sz w:val="32"/>
          <w:szCs w:val="32"/>
          <w:highlight w:val="none"/>
        </w:rPr>
        <w:t>辆、机要通信用车</w:t>
      </w:r>
      <w:r>
        <w:rPr>
          <w:rFonts w:hint="eastAsia" w:ascii="仿宋_GB2312" w:eastAsia="仿宋_GB2312" w:cs="仿宋_GB2312"/>
          <w:color w:val="000000"/>
          <w:sz w:val="32"/>
          <w:highlight w:val="none"/>
          <w:u w:color="auto"/>
        </w:rPr>
        <w:t>0</w:t>
      </w:r>
      <w:r>
        <w:rPr>
          <w:rFonts w:hint="eastAsia" w:ascii="仿宋_GB2312" w:eastAsia="仿宋_GB2312" w:cs="仿宋_GB2312"/>
          <w:color w:val="000000"/>
          <w:sz w:val="32"/>
          <w:szCs w:val="32"/>
          <w:highlight w:val="none"/>
        </w:rPr>
        <w:t>辆、应急保障用车</w:t>
      </w:r>
      <w:r>
        <w:rPr>
          <w:rFonts w:hint="eastAsia" w:ascii="仿宋_GB2312" w:eastAsia="仿宋_GB2312" w:cs="仿宋_GB2312"/>
          <w:color w:val="000000"/>
          <w:sz w:val="32"/>
          <w:highlight w:val="none"/>
          <w:u w:color="auto"/>
          <w:lang w:val="en-US" w:eastAsia="zh-CN"/>
        </w:rPr>
        <w:t>0</w:t>
      </w:r>
      <w:r>
        <w:rPr>
          <w:rFonts w:hint="eastAsia" w:ascii="仿宋_GB2312" w:eastAsia="仿宋_GB2312" w:cs="仿宋_GB2312"/>
          <w:color w:val="000000"/>
          <w:sz w:val="32"/>
          <w:szCs w:val="32"/>
          <w:highlight w:val="none"/>
        </w:rPr>
        <w:t>辆、其他用车</w:t>
      </w:r>
      <w:r>
        <w:rPr>
          <w:rFonts w:hint="eastAsia" w:ascii="仿宋_GB2312" w:eastAsia="仿宋_GB2312" w:cs="仿宋_GB2312"/>
          <w:color w:val="000000"/>
          <w:sz w:val="32"/>
          <w:highlight w:val="none"/>
          <w:u w:color="auto"/>
        </w:rPr>
        <w:t>0</w:t>
      </w:r>
      <w:r>
        <w:rPr>
          <w:rFonts w:hint="eastAsia" w:ascii="仿宋_GB2312" w:eastAsia="仿宋_GB2312" w:cs="仿宋_GB2312"/>
          <w:color w:val="000000"/>
          <w:sz w:val="32"/>
          <w:szCs w:val="32"/>
          <w:highlight w:val="none"/>
        </w:rPr>
        <w:t>辆。单价50万元以上通用设备</w:t>
      </w:r>
      <w:r>
        <w:rPr>
          <w:rFonts w:hint="eastAsia" w:ascii="仿宋_GB2312" w:eastAsia="仿宋_GB2312" w:cs="仿宋_GB2312"/>
          <w:color w:val="000000"/>
          <w:sz w:val="32"/>
          <w:highlight w:val="none"/>
          <w:u w:color="auto"/>
        </w:rPr>
        <w:t>0</w:t>
      </w:r>
      <w:r>
        <w:rPr>
          <w:rFonts w:hint="eastAsia" w:ascii="仿宋_GB2312" w:eastAsia="仿宋_GB2312" w:cs="仿宋_GB2312"/>
          <w:color w:val="000000"/>
          <w:sz w:val="32"/>
          <w:szCs w:val="32"/>
          <w:highlight w:val="none"/>
        </w:rPr>
        <w:t>台（套），单价100万元以上专用设备台</w:t>
      </w:r>
      <w:r>
        <w:rPr>
          <w:rFonts w:hint="eastAsia" w:ascii="仿宋_GB2312" w:eastAsia="仿宋_GB2312" w:cs="仿宋_GB2312"/>
          <w:color w:val="000000"/>
          <w:sz w:val="32"/>
          <w:szCs w:val="32"/>
          <w:highlight w:val="none"/>
          <w:lang w:val="en-US" w:eastAsia="zh-CN"/>
        </w:rPr>
        <w:t>0</w:t>
      </w:r>
      <w:r>
        <w:rPr>
          <w:rFonts w:hint="eastAsia" w:ascii="仿宋_GB2312" w:eastAsia="仿宋_GB2312" w:cs="仿宋_GB2312"/>
          <w:color w:val="000000"/>
          <w:sz w:val="32"/>
          <w:szCs w:val="32"/>
          <w:highlight w:val="none"/>
        </w:rPr>
        <w:t>（套）。</w:t>
      </w:r>
    </w:p>
    <w:p w14:paraId="35E9D1E7">
      <w:pPr>
        <w:spacing w:line="600" w:lineRule="exact"/>
        <w:ind w:firstLine="643" w:firstLineChars="200"/>
        <w:outlineLvl w:val="2"/>
        <w:rPr>
          <w:rFonts w:hint="eastAsia" w:ascii="仿宋_GB2312" w:eastAsia="仿宋_GB2312" w:cs="仿宋_GB2312"/>
          <w:b/>
          <w:color w:val="000000"/>
          <w:sz w:val="32"/>
          <w:szCs w:val="32"/>
          <w:highlight w:val="none"/>
        </w:rPr>
      </w:pPr>
      <w:r>
        <w:rPr>
          <w:rFonts w:hint="eastAsia" w:ascii="仿宋_GB2312" w:eastAsia="仿宋_GB2312" w:cs="仿宋_GB2312"/>
          <w:b/>
          <w:color w:val="000000"/>
          <w:sz w:val="32"/>
          <w:szCs w:val="32"/>
          <w:highlight w:val="none"/>
        </w:rPr>
        <w:t>（四）预算绩效管理情况</w:t>
      </w:r>
    </w:p>
    <w:p w14:paraId="0E0CD66D">
      <w:pPr>
        <w:ind w:firstLine="640" w:firstLineChars="200"/>
        <w:rPr>
          <w:rFonts w:hint="eastAsia" w:ascii="仿宋_GB2312" w:eastAsia="仿宋_GB2312" w:cs="仿宋_GB2312"/>
          <w:highlight w:val="none"/>
        </w:rPr>
      </w:pPr>
      <w:r>
        <w:rPr>
          <w:rFonts w:hint="eastAsia" w:ascii="仿宋_GB2312" w:eastAsia="仿宋_GB2312" w:cs="仿宋_GB2312"/>
          <w:sz w:val="32"/>
          <w:szCs w:val="32"/>
          <w:highlight w:val="none"/>
        </w:rPr>
        <w:t>根据预算绩效管理要求，本</w:t>
      </w:r>
      <w:r>
        <w:rPr>
          <w:rFonts w:hint="eastAsia" w:ascii="仿宋_GB2312" w:eastAsia="仿宋_GB2312" w:cs="仿宋_GB2312"/>
          <w:sz w:val="32"/>
          <w:szCs w:val="32"/>
          <w:highlight w:val="none"/>
          <w:lang w:eastAsia="zh-CN"/>
        </w:rPr>
        <w:t>单位</w:t>
      </w:r>
      <w:r>
        <w:rPr>
          <w:rFonts w:hint="eastAsia" w:ascii="仿宋_GB2312" w:eastAsia="仿宋_GB2312" w:cs="仿宋_GB2312"/>
          <w:sz w:val="32"/>
          <w:szCs w:val="32"/>
          <w:highlight w:val="none"/>
        </w:rPr>
        <w:t>在</w:t>
      </w:r>
      <w:r>
        <w:rPr>
          <w:rFonts w:hint="eastAsia" w:ascii="仿宋_GB2312" w:eastAsia="仿宋_GB2312" w:cs="仿宋_GB2312"/>
          <w:sz w:val="32"/>
          <w:szCs w:val="32"/>
          <w:highlight w:val="none"/>
          <w:lang w:eastAsia="zh-CN"/>
        </w:rPr>
        <w:t>202</w:t>
      </w:r>
      <w:r>
        <w:rPr>
          <w:rFonts w:hint="eastAsia" w:ascii="仿宋_GB2312" w:eastAsia="仿宋_GB2312" w:cs="仿宋_GB2312"/>
          <w:sz w:val="32"/>
          <w:szCs w:val="32"/>
          <w:highlight w:val="none"/>
          <w:lang w:val="en-US" w:eastAsia="zh-CN"/>
        </w:rPr>
        <w:t>5</w:t>
      </w:r>
      <w:r>
        <w:rPr>
          <w:rFonts w:hint="eastAsia" w:ascii="仿宋_GB2312" w:eastAsia="仿宋_GB2312" w:cs="仿宋_GB2312"/>
          <w:sz w:val="32"/>
          <w:szCs w:val="32"/>
          <w:highlight w:val="none"/>
        </w:rPr>
        <w:t>年度预算编制阶段，</w:t>
      </w:r>
      <w:r>
        <w:rPr>
          <w:rFonts w:hint="eastAsia" w:ascii="仿宋_GB2312" w:eastAsia="仿宋_GB2312" w:cs="仿宋_GB2312"/>
          <w:sz w:val="32"/>
          <w:szCs w:val="32"/>
          <w:highlight w:val="none"/>
          <w:lang w:val="en-US" w:eastAsia="zh-CN"/>
        </w:rPr>
        <w:t>无</w:t>
      </w:r>
      <w:r>
        <w:rPr>
          <w:rFonts w:hint="eastAsia" w:ascii="仿宋_GB2312" w:eastAsia="仿宋_GB2312" w:cs="仿宋_GB2312"/>
          <w:sz w:val="32"/>
          <w:szCs w:val="32"/>
          <w:highlight w:val="none"/>
        </w:rPr>
        <w:t>绩效自评</w:t>
      </w:r>
      <w:r>
        <w:rPr>
          <w:rFonts w:hint="eastAsia" w:ascii="仿宋_GB2312" w:eastAsia="仿宋_GB2312" w:cs="仿宋_GB2312"/>
          <w:sz w:val="32"/>
          <w:szCs w:val="32"/>
          <w:highlight w:val="none"/>
          <w:lang w:val="en-US" w:eastAsia="zh-CN"/>
        </w:rPr>
        <w:t>项目</w:t>
      </w:r>
      <w:r>
        <w:rPr>
          <w:rFonts w:hint="eastAsia" w:ascii="仿宋_GB2312" w:eastAsia="仿宋_GB2312" w:cs="仿宋_GB2312"/>
          <w:sz w:val="32"/>
          <w:szCs w:val="32"/>
          <w:highlight w:val="none"/>
        </w:rPr>
        <w:t>。</w:t>
      </w:r>
    </w:p>
    <w:p w14:paraId="56652D02">
      <w:pPr>
        <w:widowControl/>
        <w:jc w:val="left"/>
        <w:rPr>
          <w:rFonts w:ascii="仿宋_GB2312" w:eastAsia="仿宋_GB2312"/>
          <w:b/>
          <w:color w:val="000000"/>
          <w:sz w:val="32"/>
          <w:szCs w:val="32"/>
          <w:highlight w:val="none"/>
        </w:rPr>
      </w:pPr>
      <w:r>
        <w:rPr>
          <w:rFonts w:ascii="仿宋_GB2312" w:eastAsia="仿宋_GB2312"/>
          <w:b/>
          <w:color w:val="000000"/>
          <w:sz w:val="32"/>
          <w:szCs w:val="32"/>
          <w:highlight w:val="none"/>
        </w:rPr>
        <w:br w:type="page"/>
      </w:r>
    </w:p>
    <w:p w14:paraId="51600A40">
      <w:pPr>
        <w:numPr>
          <w:ilvl w:val="0"/>
          <w:numId w:val="2"/>
        </w:numPr>
        <w:spacing w:line="600" w:lineRule="exact"/>
        <w:ind w:left="0" w:firstLine="660" w:firstLineChars="150"/>
        <w:jc w:val="center"/>
        <w:outlineLvl w:val="0"/>
        <w:rPr>
          <w:rStyle w:val="23"/>
          <w:rFonts w:ascii="黑体" w:eastAsia="黑体"/>
          <w:b w:val="0"/>
          <w:highlight w:val="none"/>
        </w:rPr>
      </w:pPr>
      <w:bookmarkStart w:id="61" w:name="_Toc15396613"/>
      <w:bookmarkStart w:id="62" w:name="_Toc15377225"/>
      <w:bookmarkStart w:id="63" w:name="_Toc24024"/>
      <w:bookmarkStart w:id="64" w:name="_Toc111208510"/>
      <w:r>
        <w:rPr>
          <w:rFonts w:hint="eastAsia" w:ascii="黑体" w:eastAsia="黑体"/>
          <w:sz w:val="44"/>
          <w:szCs w:val="44"/>
          <w:highlight w:val="none"/>
        </w:rPr>
        <w:t>名</w:t>
      </w:r>
      <w:r>
        <w:rPr>
          <w:rStyle w:val="23"/>
          <w:rFonts w:hint="eastAsia" w:ascii="黑体" w:eastAsia="黑体"/>
          <w:b w:val="0"/>
          <w:highlight w:val="none"/>
        </w:rPr>
        <w:t>词解释</w:t>
      </w:r>
      <w:bookmarkEnd w:id="61"/>
      <w:bookmarkEnd w:id="62"/>
      <w:bookmarkEnd w:id="63"/>
    </w:p>
    <w:p w14:paraId="6C5DA600">
      <w:pPr>
        <w:spacing w:line="600" w:lineRule="exact"/>
        <w:jc w:val="left"/>
        <w:rPr>
          <w:rFonts w:ascii="宋体"/>
          <w:b/>
          <w:sz w:val="44"/>
          <w:szCs w:val="44"/>
          <w:highlight w:val="none"/>
        </w:rPr>
      </w:pPr>
    </w:p>
    <w:p w14:paraId="3A42D2E5">
      <w:pPr>
        <w:pStyle w:val="24"/>
        <w:spacing w:line="576" w:lineRule="atLeast"/>
        <w:ind w:firstLine="640" w:firstLineChars="200"/>
        <w:jc w:val="both"/>
        <w:rPr>
          <w:rFonts w:hint="eastAsia"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财政拨款收入：指单位从同级财政部门取得的财政预算资金。</w:t>
      </w:r>
    </w:p>
    <w:p w14:paraId="61EDA871">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2.事业收入：指事业单位开展专业业务活动及辅助活动取得的收入。</w:t>
      </w:r>
    </w:p>
    <w:p w14:paraId="2541CD0D">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3.经营收入：指事业单位在专业业务活动及其辅助活动之外开展非独立核算经营活动取得的收入。</w:t>
      </w:r>
    </w:p>
    <w:p w14:paraId="0BDF3969">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4.其他收入：指单位取得的除上述收入以外的各项收入。</w:t>
      </w:r>
    </w:p>
    <w:p w14:paraId="6147CC77">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5.使用非财政拨款结余（含专用结余）：指事业单位使用以前年度积累的非财政拨款结余弥补当年收支差额的金额。</w:t>
      </w:r>
    </w:p>
    <w:p w14:paraId="5A6E94BD">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6.年初结转和结余：指以前年度尚未完成、结转到本年按有关规定继续使用的资金。</w:t>
      </w:r>
    </w:p>
    <w:p w14:paraId="3E3F963A">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7.结余分配：指事业单位按照会计制度规定缴纳的所得税、提取的专用结余以及转入非财政拨款结余的金额等。</w:t>
      </w:r>
    </w:p>
    <w:p w14:paraId="6F878DC9">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8.年末结转和结余：指单位按有关规定结转到下年或以后年度继续使用的资金。</w:t>
      </w:r>
    </w:p>
    <w:p w14:paraId="10571D7F">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9.社会保障和就业支出（</w:t>
      </w:r>
      <w:r>
        <w:rPr>
          <w:rFonts w:hint="eastAsia" w:ascii="仿宋_GB2312" w:eastAsia="仿宋_GB2312"/>
          <w:sz w:val="32"/>
          <w:szCs w:val="32"/>
          <w:highlight w:val="none"/>
          <w:lang w:val="en-US" w:eastAsia="zh-CN"/>
        </w:rPr>
        <w:t>类</w:t>
      </w:r>
      <w:r>
        <w:rPr>
          <w:rFonts w:hint="eastAsia" w:ascii="仿宋_GB2312" w:eastAsia="仿宋_GB2312"/>
          <w:sz w:val="32"/>
          <w:szCs w:val="32"/>
          <w:highlight w:val="none"/>
        </w:rPr>
        <w:t>）行政事业单位养老支出（</w:t>
      </w:r>
      <w:r>
        <w:rPr>
          <w:rFonts w:hint="eastAsia" w:ascii="仿宋_GB2312" w:eastAsia="仿宋_GB2312"/>
          <w:sz w:val="32"/>
          <w:szCs w:val="32"/>
          <w:highlight w:val="none"/>
          <w:lang w:val="en-US" w:eastAsia="zh-CN"/>
        </w:rPr>
        <w:t>款</w:t>
      </w:r>
      <w:r>
        <w:rPr>
          <w:rFonts w:hint="eastAsia" w:ascii="仿宋_GB2312" w:eastAsia="仿宋_GB2312"/>
          <w:sz w:val="32"/>
          <w:szCs w:val="32"/>
          <w:highlight w:val="none"/>
        </w:rPr>
        <w:t>）机关事业单位基本养老保险缴费支出（</w:t>
      </w:r>
      <w:r>
        <w:rPr>
          <w:rFonts w:hint="eastAsia" w:ascii="仿宋_GB2312" w:eastAsia="仿宋_GB2312"/>
          <w:sz w:val="32"/>
          <w:szCs w:val="32"/>
          <w:highlight w:val="none"/>
          <w:lang w:val="en-US" w:eastAsia="zh-CN"/>
        </w:rPr>
        <w:t>项</w:t>
      </w:r>
      <w:r>
        <w:rPr>
          <w:rFonts w:hint="eastAsia" w:ascii="仿宋_GB2312" w:eastAsia="仿宋_GB2312"/>
          <w:sz w:val="32"/>
          <w:szCs w:val="32"/>
          <w:highlight w:val="none"/>
        </w:rPr>
        <w:t>）：反映机关事业单位实施养老保险制度由单位缴纳的基本养老保险费支出。</w:t>
      </w:r>
    </w:p>
    <w:p w14:paraId="65C5D96D">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10.社会保障和就业支出（</w:t>
      </w:r>
      <w:r>
        <w:rPr>
          <w:rFonts w:hint="eastAsia" w:ascii="仿宋_GB2312" w:eastAsia="仿宋_GB2312"/>
          <w:sz w:val="32"/>
          <w:szCs w:val="32"/>
          <w:highlight w:val="none"/>
          <w:lang w:val="en-US" w:eastAsia="zh-CN"/>
        </w:rPr>
        <w:t>类</w:t>
      </w:r>
      <w:r>
        <w:rPr>
          <w:rFonts w:hint="eastAsia" w:ascii="仿宋_GB2312" w:eastAsia="仿宋_GB2312"/>
          <w:sz w:val="32"/>
          <w:szCs w:val="32"/>
          <w:highlight w:val="none"/>
        </w:rPr>
        <w:t>）行政事业单位养老支出（</w:t>
      </w:r>
      <w:r>
        <w:rPr>
          <w:rFonts w:hint="eastAsia" w:ascii="仿宋_GB2312" w:eastAsia="仿宋_GB2312"/>
          <w:sz w:val="32"/>
          <w:szCs w:val="32"/>
          <w:highlight w:val="none"/>
          <w:lang w:val="en-US" w:eastAsia="zh-CN"/>
        </w:rPr>
        <w:t>款</w:t>
      </w:r>
      <w:r>
        <w:rPr>
          <w:rFonts w:hint="eastAsia" w:ascii="仿宋_GB2312" w:eastAsia="仿宋_GB2312"/>
          <w:sz w:val="32"/>
          <w:szCs w:val="32"/>
          <w:highlight w:val="none"/>
        </w:rPr>
        <w:t>）机关事业单位职业年金缴费支出（</w:t>
      </w:r>
      <w:r>
        <w:rPr>
          <w:rFonts w:hint="eastAsia" w:ascii="仿宋_GB2312" w:eastAsia="仿宋_GB2312"/>
          <w:sz w:val="32"/>
          <w:szCs w:val="32"/>
          <w:highlight w:val="none"/>
          <w:lang w:val="en-US" w:eastAsia="zh-CN"/>
        </w:rPr>
        <w:t>项</w:t>
      </w:r>
      <w:r>
        <w:rPr>
          <w:rFonts w:hint="eastAsia" w:ascii="仿宋_GB2312" w:eastAsia="仿宋_GB2312"/>
          <w:sz w:val="32"/>
          <w:szCs w:val="32"/>
          <w:highlight w:val="none"/>
        </w:rPr>
        <w:t>）：反映机关事业单位实施养老保险制度由单位实际缴纳的职业年金支出。</w:t>
      </w:r>
    </w:p>
    <w:p w14:paraId="4B9C1F9C">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11.卫生健康支出（</w:t>
      </w:r>
      <w:r>
        <w:rPr>
          <w:rFonts w:hint="eastAsia" w:ascii="仿宋_GB2312" w:eastAsia="仿宋_GB2312"/>
          <w:sz w:val="32"/>
          <w:szCs w:val="32"/>
          <w:highlight w:val="none"/>
          <w:lang w:val="en-US" w:eastAsia="zh-CN"/>
        </w:rPr>
        <w:t>类</w:t>
      </w:r>
      <w:r>
        <w:rPr>
          <w:rFonts w:hint="eastAsia" w:ascii="仿宋_GB2312" w:eastAsia="仿宋_GB2312"/>
          <w:sz w:val="32"/>
          <w:szCs w:val="32"/>
          <w:highlight w:val="none"/>
        </w:rPr>
        <w:t>）行政事业单位医疗（</w:t>
      </w:r>
      <w:r>
        <w:rPr>
          <w:rFonts w:hint="eastAsia" w:ascii="仿宋_GB2312" w:eastAsia="仿宋_GB2312"/>
          <w:sz w:val="32"/>
          <w:szCs w:val="32"/>
          <w:highlight w:val="none"/>
          <w:lang w:val="en-US" w:eastAsia="zh-CN"/>
        </w:rPr>
        <w:t>款</w:t>
      </w:r>
      <w:r>
        <w:rPr>
          <w:rFonts w:hint="eastAsia" w:ascii="仿宋_GB2312" w:eastAsia="仿宋_GB2312"/>
          <w:sz w:val="32"/>
          <w:szCs w:val="32"/>
          <w:highlight w:val="none"/>
        </w:rPr>
        <w:t>）事业单位医疗（</w:t>
      </w:r>
      <w:r>
        <w:rPr>
          <w:rFonts w:hint="eastAsia" w:ascii="仿宋_GB2312" w:eastAsia="仿宋_GB2312"/>
          <w:sz w:val="32"/>
          <w:szCs w:val="32"/>
          <w:highlight w:val="none"/>
          <w:lang w:val="en-US" w:eastAsia="zh-CN"/>
        </w:rPr>
        <w:t>项</w:t>
      </w:r>
      <w:r>
        <w:rPr>
          <w:rFonts w:hint="eastAsia" w:ascii="仿宋_GB2312" w:eastAsia="仿宋_GB2312"/>
          <w:sz w:val="32"/>
          <w:szCs w:val="32"/>
          <w:highlight w:val="none"/>
        </w:rPr>
        <w:t>）：反映财政部门安排的事业单位基本医疗保险缴费经费，未参加医疗保险的事业单位的公费医疗经费，按国家规定享受离休人员待遇的医疗经费。</w:t>
      </w:r>
    </w:p>
    <w:p w14:paraId="14F57442">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12.农林水支出（</w:t>
      </w:r>
      <w:r>
        <w:rPr>
          <w:rFonts w:hint="eastAsia" w:ascii="仿宋_GB2312" w:eastAsia="仿宋_GB2312"/>
          <w:sz w:val="32"/>
          <w:szCs w:val="32"/>
          <w:highlight w:val="none"/>
          <w:lang w:val="en-US" w:eastAsia="zh-CN"/>
        </w:rPr>
        <w:t>类</w:t>
      </w:r>
      <w:r>
        <w:rPr>
          <w:rFonts w:hint="eastAsia" w:ascii="仿宋_GB2312" w:eastAsia="仿宋_GB2312"/>
          <w:sz w:val="32"/>
          <w:szCs w:val="32"/>
          <w:highlight w:val="none"/>
        </w:rPr>
        <w:t>）农业农村（</w:t>
      </w:r>
      <w:r>
        <w:rPr>
          <w:rFonts w:hint="eastAsia" w:ascii="仿宋_GB2312" w:eastAsia="仿宋_GB2312"/>
          <w:sz w:val="32"/>
          <w:szCs w:val="32"/>
          <w:highlight w:val="none"/>
          <w:lang w:val="en-US" w:eastAsia="zh-CN"/>
        </w:rPr>
        <w:t>款</w:t>
      </w:r>
      <w:r>
        <w:rPr>
          <w:rFonts w:hint="eastAsia" w:ascii="仿宋_GB2312" w:eastAsia="仿宋_GB2312"/>
          <w:sz w:val="32"/>
          <w:szCs w:val="32"/>
          <w:highlight w:val="none"/>
        </w:rPr>
        <w:t>）事业运行（</w:t>
      </w:r>
      <w:r>
        <w:rPr>
          <w:rFonts w:hint="eastAsia" w:ascii="仿宋_GB2312" w:eastAsia="仿宋_GB2312"/>
          <w:sz w:val="32"/>
          <w:szCs w:val="32"/>
          <w:highlight w:val="none"/>
          <w:lang w:val="en-US" w:eastAsia="zh-CN"/>
        </w:rPr>
        <w:t>项</w:t>
      </w:r>
      <w:r>
        <w:rPr>
          <w:rFonts w:hint="eastAsia" w:ascii="仿宋_GB2312" w:eastAsia="仿宋_GB2312"/>
          <w:sz w:val="32"/>
          <w:szCs w:val="32"/>
          <w:highlight w:val="none"/>
        </w:rPr>
        <w:t>）：反映用于农业事业单位基本支出，事业单位设施、系统运行与资产维护等方面的支出。</w:t>
      </w:r>
    </w:p>
    <w:p w14:paraId="51DAD983">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13.住房保障支出（</w:t>
      </w:r>
      <w:r>
        <w:rPr>
          <w:rFonts w:hint="eastAsia" w:ascii="仿宋_GB2312" w:eastAsia="仿宋_GB2312"/>
          <w:sz w:val="32"/>
          <w:szCs w:val="32"/>
          <w:highlight w:val="none"/>
          <w:lang w:val="en-US" w:eastAsia="zh-CN"/>
        </w:rPr>
        <w:t>类</w:t>
      </w:r>
      <w:r>
        <w:rPr>
          <w:rFonts w:hint="eastAsia" w:ascii="仿宋_GB2312" w:eastAsia="仿宋_GB2312"/>
          <w:sz w:val="32"/>
          <w:szCs w:val="32"/>
          <w:highlight w:val="none"/>
        </w:rPr>
        <w:t>）住房改革支出（</w:t>
      </w:r>
      <w:r>
        <w:rPr>
          <w:rFonts w:hint="eastAsia" w:ascii="仿宋_GB2312" w:eastAsia="仿宋_GB2312"/>
          <w:sz w:val="32"/>
          <w:szCs w:val="32"/>
          <w:highlight w:val="none"/>
          <w:lang w:val="en-US" w:eastAsia="zh-CN"/>
        </w:rPr>
        <w:t>款</w:t>
      </w:r>
      <w:r>
        <w:rPr>
          <w:rFonts w:hint="eastAsia" w:ascii="仿宋_GB2312" w:eastAsia="仿宋_GB2312"/>
          <w:sz w:val="32"/>
          <w:szCs w:val="32"/>
          <w:highlight w:val="none"/>
        </w:rPr>
        <w:t>）住房公积金（</w:t>
      </w:r>
      <w:r>
        <w:rPr>
          <w:rFonts w:hint="eastAsia" w:ascii="仿宋_GB2312" w:eastAsia="仿宋_GB2312"/>
          <w:sz w:val="32"/>
          <w:szCs w:val="32"/>
          <w:highlight w:val="none"/>
          <w:lang w:val="en-US" w:eastAsia="zh-CN"/>
        </w:rPr>
        <w:t>项</w:t>
      </w:r>
      <w:r>
        <w:rPr>
          <w:rFonts w:hint="eastAsia" w:ascii="仿宋_GB2312" w:eastAsia="仿宋_GB2312"/>
          <w:sz w:val="32"/>
          <w:szCs w:val="32"/>
          <w:highlight w:val="none"/>
        </w:rPr>
        <w:t>）：反映行政事业单位按规定比例为职工缴纳的住房公积金。</w:t>
      </w:r>
    </w:p>
    <w:p w14:paraId="3D67DE6D">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14.基本支出：指为保障机构正常运转、完成日常工作任务而发生的人员支出和公用支出。</w:t>
      </w:r>
    </w:p>
    <w:p w14:paraId="1AD9C246">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15.项目支出：指在基本支出之外为完成特定行政任务和事业发展目标所发生的支出。</w:t>
      </w:r>
    </w:p>
    <w:p w14:paraId="0F7CBABD">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16.经营支出：指事业单位在专业业务活动及其辅助活动之外开展非独立核算经营活动发生的支出。</w:t>
      </w:r>
    </w:p>
    <w:p w14:paraId="1DDD25FB">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C311669">
      <w:pPr>
        <w:pStyle w:val="24"/>
        <w:spacing w:line="576" w:lineRule="atLeas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rPr>
        <w:t>18.机关运行经费：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5D35FBC">
      <w:pPr>
        <w:pStyle w:val="24"/>
        <w:spacing w:line="576" w:lineRule="atLeast"/>
        <w:ind w:firstLine="640" w:firstLineChars="200"/>
        <w:jc w:val="both"/>
        <w:rPr>
          <w:rFonts w:hint="eastAsia" w:ascii="仿宋_GB2312" w:eastAsia="仿宋_GB2312" w:cs="Times New Roman"/>
          <w:sz w:val="32"/>
          <w:szCs w:val="32"/>
          <w:highlight w:val="none"/>
        </w:rPr>
      </w:pPr>
      <w:r>
        <w:rPr>
          <w:rFonts w:hint="eastAsia" w:ascii="仿宋_GB2312" w:eastAsia="仿宋_GB2312"/>
          <w:sz w:val="32"/>
          <w:szCs w:val="32"/>
          <w:highlight w:val="none"/>
        </w:rPr>
        <w:t>19.财政应返还额度：为行政事业单位会计核算科目，用于核算实行国库集中支付的行政事业单位应收财政返还的资金额度。</w:t>
      </w:r>
    </w:p>
    <w:bookmarkEnd w:id="64"/>
    <w:p w14:paraId="7E938419">
      <w:pPr>
        <w:pageBreakBefore w:val="0"/>
        <w:widowControl w:val="0"/>
        <w:kinsoku/>
        <w:wordWrap/>
        <w:overflowPunct/>
        <w:topLinePunct w:val="0"/>
        <w:bidi w:val="0"/>
        <w:spacing w:line="576" w:lineRule="atLeast"/>
        <w:rPr>
          <w:rFonts w:hint="eastAsia" w:ascii="仿宋_GB2312" w:eastAsia="仿宋_GB2312"/>
          <w:sz w:val="32"/>
          <w:szCs w:val="32"/>
          <w:highlight w:val="none"/>
        </w:rPr>
      </w:pPr>
    </w:p>
    <w:p w14:paraId="32BA9FC2">
      <w:pPr>
        <w:pStyle w:val="12"/>
        <w:rPr>
          <w:highlight w:val="none"/>
        </w:rPr>
      </w:pPr>
    </w:p>
    <w:p w14:paraId="391868A5">
      <w:pPr>
        <w:pStyle w:val="2"/>
        <w:jc w:val="center"/>
        <w:rPr>
          <w:rFonts w:ascii="黑体" w:eastAsia="黑体" w:cs="黑体"/>
          <w:b w:val="0"/>
          <w:bCs w:val="0"/>
          <w:highlight w:val="none"/>
        </w:rPr>
      </w:pPr>
      <w:bookmarkStart w:id="65" w:name="_Toc79163635"/>
      <w:bookmarkStart w:id="66" w:name="_Toc79163885"/>
      <w:bookmarkStart w:id="67" w:name="_Toc5449"/>
      <w:bookmarkStart w:id="68" w:name="_Toc111208512"/>
      <w:r>
        <w:rPr>
          <w:rFonts w:hint="eastAsia" w:ascii="黑体" w:eastAsia="黑体" w:cs="黑体"/>
          <w:b w:val="0"/>
          <w:bCs w:val="0"/>
          <w:highlight w:val="none"/>
        </w:rPr>
        <w:t>第五部分 附表</w:t>
      </w:r>
      <w:bookmarkEnd w:id="65"/>
      <w:bookmarkEnd w:id="66"/>
      <w:bookmarkEnd w:id="67"/>
      <w:bookmarkEnd w:id="68"/>
    </w:p>
    <w:p w14:paraId="658A87BC">
      <w:pPr>
        <w:pStyle w:val="3"/>
        <w:ind w:firstLine="640" w:firstLineChars="200"/>
        <w:rPr>
          <w:rFonts w:hint="eastAsia" w:ascii="黑体" w:eastAsia="黑体" w:cs="Times New Roman"/>
          <w:b w:val="0"/>
          <w:bCs w:val="0"/>
          <w:color w:val="000000"/>
          <w:highlight w:val="none"/>
        </w:rPr>
      </w:pPr>
      <w:bookmarkStart w:id="69" w:name="_Toc6701"/>
      <w:r>
        <w:rPr>
          <w:rFonts w:hint="eastAsia" w:ascii="黑体" w:eastAsia="黑体" w:cs="Times New Roman"/>
          <w:b w:val="0"/>
          <w:bCs w:val="0"/>
          <w:color w:val="000000"/>
          <w:highlight w:val="none"/>
        </w:rPr>
        <w:t>一、收入支出决算总表</w:t>
      </w:r>
      <w:bookmarkEnd w:id="69"/>
    </w:p>
    <w:p w14:paraId="66B600FD">
      <w:pPr>
        <w:pStyle w:val="3"/>
        <w:ind w:firstLine="640" w:firstLineChars="200"/>
        <w:rPr>
          <w:rFonts w:hint="eastAsia" w:ascii="黑体" w:eastAsia="黑体" w:cs="Times New Roman"/>
          <w:b w:val="0"/>
          <w:bCs w:val="0"/>
          <w:color w:val="000000"/>
          <w:highlight w:val="none"/>
        </w:rPr>
      </w:pPr>
      <w:bookmarkStart w:id="70" w:name="_Toc5703"/>
      <w:r>
        <w:rPr>
          <w:rFonts w:hint="eastAsia" w:ascii="黑体" w:eastAsia="黑体" w:cs="Times New Roman"/>
          <w:b w:val="0"/>
          <w:bCs w:val="0"/>
          <w:color w:val="000000"/>
          <w:highlight w:val="none"/>
        </w:rPr>
        <w:t>二、收入决算表</w:t>
      </w:r>
      <w:bookmarkEnd w:id="70"/>
    </w:p>
    <w:p w14:paraId="7AFA7598">
      <w:pPr>
        <w:pStyle w:val="3"/>
        <w:ind w:firstLine="640" w:firstLineChars="200"/>
        <w:rPr>
          <w:rFonts w:hint="eastAsia" w:ascii="黑体" w:eastAsia="黑体" w:cs="Times New Roman"/>
          <w:b w:val="0"/>
          <w:bCs w:val="0"/>
          <w:color w:val="000000"/>
          <w:highlight w:val="none"/>
        </w:rPr>
      </w:pPr>
      <w:bookmarkStart w:id="71" w:name="_Toc7252"/>
      <w:r>
        <w:rPr>
          <w:rFonts w:hint="eastAsia" w:ascii="黑体" w:eastAsia="黑体" w:cs="Times New Roman"/>
          <w:b w:val="0"/>
          <w:bCs w:val="0"/>
          <w:color w:val="000000"/>
          <w:highlight w:val="none"/>
        </w:rPr>
        <w:t>三、支出决算表</w:t>
      </w:r>
      <w:bookmarkEnd w:id="71"/>
    </w:p>
    <w:p w14:paraId="26F4D453">
      <w:pPr>
        <w:pStyle w:val="3"/>
        <w:ind w:firstLine="640" w:firstLineChars="200"/>
        <w:rPr>
          <w:rFonts w:hint="eastAsia" w:ascii="黑体" w:eastAsia="黑体" w:cs="Times New Roman"/>
          <w:b w:val="0"/>
          <w:bCs w:val="0"/>
          <w:color w:val="000000"/>
          <w:highlight w:val="none"/>
        </w:rPr>
      </w:pPr>
      <w:bookmarkStart w:id="72" w:name="_Toc2827"/>
      <w:r>
        <w:rPr>
          <w:rFonts w:hint="eastAsia" w:ascii="黑体" w:eastAsia="黑体" w:cs="Times New Roman"/>
          <w:b w:val="0"/>
          <w:bCs w:val="0"/>
          <w:color w:val="000000"/>
          <w:highlight w:val="none"/>
        </w:rPr>
        <w:t>四、财政拨款收入支出决算总表</w:t>
      </w:r>
      <w:bookmarkEnd w:id="72"/>
    </w:p>
    <w:p w14:paraId="6DB58125">
      <w:pPr>
        <w:pStyle w:val="3"/>
        <w:ind w:firstLine="640" w:firstLineChars="200"/>
        <w:rPr>
          <w:rFonts w:hint="eastAsia" w:ascii="黑体" w:eastAsia="黑体" w:cs="Times New Roman"/>
          <w:b w:val="0"/>
          <w:bCs w:val="0"/>
          <w:color w:val="000000"/>
          <w:highlight w:val="none"/>
        </w:rPr>
      </w:pPr>
      <w:bookmarkStart w:id="73" w:name="_Toc11388"/>
      <w:r>
        <w:rPr>
          <w:rFonts w:hint="eastAsia" w:ascii="黑体" w:eastAsia="黑体" w:cs="Times New Roman"/>
          <w:b w:val="0"/>
          <w:bCs w:val="0"/>
          <w:color w:val="000000"/>
          <w:highlight w:val="none"/>
        </w:rPr>
        <w:t>五、财政拨款支出决算明细表</w:t>
      </w:r>
      <w:bookmarkEnd w:id="73"/>
    </w:p>
    <w:p w14:paraId="6ECABA57">
      <w:pPr>
        <w:pStyle w:val="3"/>
        <w:ind w:firstLine="640" w:firstLineChars="200"/>
        <w:rPr>
          <w:rFonts w:hint="eastAsia" w:ascii="黑体" w:eastAsia="黑体" w:cs="Times New Roman"/>
          <w:b w:val="0"/>
          <w:bCs w:val="0"/>
          <w:color w:val="000000"/>
          <w:highlight w:val="none"/>
        </w:rPr>
      </w:pPr>
      <w:bookmarkStart w:id="74" w:name="_Toc28378"/>
      <w:r>
        <w:rPr>
          <w:rFonts w:hint="eastAsia" w:ascii="黑体" w:eastAsia="黑体" w:cs="Times New Roman"/>
          <w:b w:val="0"/>
          <w:bCs w:val="0"/>
          <w:color w:val="000000"/>
          <w:highlight w:val="none"/>
        </w:rPr>
        <w:t>六、一般公共预算财政拨款支出决算表</w:t>
      </w:r>
      <w:bookmarkEnd w:id="74"/>
    </w:p>
    <w:p w14:paraId="7E6A906C">
      <w:pPr>
        <w:pStyle w:val="3"/>
        <w:ind w:firstLine="640" w:firstLineChars="200"/>
        <w:rPr>
          <w:rFonts w:hint="eastAsia" w:ascii="黑体" w:eastAsia="黑体" w:cs="Times New Roman"/>
          <w:b w:val="0"/>
          <w:bCs w:val="0"/>
          <w:color w:val="000000"/>
          <w:highlight w:val="none"/>
        </w:rPr>
      </w:pPr>
      <w:bookmarkStart w:id="75" w:name="_Toc9565"/>
      <w:r>
        <w:rPr>
          <w:rFonts w:hint="eastAsia" w:ascii="黑体" w:eastAsia="黑体" w:cs="Times New Roman"/>
          <w:b w:val="0"/>
          <w:bCs w:val="0"/>
          <w:color w:val="000000"/>
          <w:highlight w:val="none"/>
        </w:rPr>
        <w:t>七、一般公共预算财政拨款支出决算明细表</w:t>
      </w:r>
      <w:bookmarkEnd w:id="75"/>
    </w:p>
    <w:p w14:paraId="00F66200">
      <w:pPr>
        <w:pStyle w:val="3"/>
        <w:ind w:firstLine="640" w:firstLineChars="200"/>
        <w:rPr>
          <w:rFonts w:hint="eastAsia" w:ascii="黑体" w:eastAsia="黑体" w:cs="Times New Roman"/>
          <w:b w:val="0"/>
          <w:bCs w:val="0"/>
          <w:color w:val="000000"/>
          <w:highlight w:val="none"/>
        </w:rPr>
      </w:pPr>
      <w:bookmarkStart w:id="76" w:name="_Toc29675"/>
      <w:r>
        <w:rPr>
          <w:rFonts w:hint="eastAsia" w:ascii="黑体" w:eastAsia="黑体" w:cs="Times New Roman"/>
          <w:b w:val="0"/>
          <w:bCs w:val="0"/>
          <w:color w:val="000000"/>
          <w:highlight w:val="none"/>
        </w:rPr>
        <w:t>八、一般公共预算财政拨款基本支出决算表</w:t>
      </w:r>
      <w:bookmarkEnd w:id="76"/>
    </w:p>
    <w:p w14:paraId="23BD2945">
      <w:pPr>
        <w:pStyle w:val="3"/>
        <w:ind w:firstLine="640" w:firstLineChars="200"/>
        <w:rPr>
          <w:rFonts w:hint="eastAsia" w:ascii="黑体" w:eastAsia="黑体" w:cs="Times New Roman"/>
          <w:b w:val="0"/>
          <w:bCs w:val="0"/>
          <w:color w:val="000000"/>
          <w:highlight w:val="none"/>
        </w:rPr>
      </w:pPr>
      <w:bookmarkStart w:id="77" w:name="_Toc12590"/>
      <w:r>
        <w:rPr>
          <w:rFonts w:hint="eastAsia" w:ascii="黑体" w:eastAsia="黑体" w:cs="Times New Roman"/>
          <w:b w:val="0"/>
          <w:bCs w:val="0"/>
          <w:color w:val="000000"/>
          <w:highlight w:val="none"/>
        </w:rPr>
        <w:t>九、一般公共预算财政拨款项目支出决算表</w:t>
      </w:r>
      <w:bookmarkEnd w:id="77"/>
    </w:p>
    <w:p w14:paraId="7CD161C3">
      <w:pPr>
        <w:pStyle w:val="3"/>
        <w:ind w:firstLine="640" w:firstLineChars="200"/>
        <w:rPr>
          <w:rFonts w:hint="eastAsia" w:ascii="黑体" w:eastAsia="黑体" w:cs="Times New Roman"/>
          <w:b w:val="0"/>
          <w:bCs w:val="0"/>
          <w:color w:val="000000"/>
          <w:highlight w:val="none"/>
        </w:rPr>
      </w:pPr>
      <w:bookmarkStart w:id="78" w:name="_Toc16652"/>
      <w:r>
        <w:rPr>
          <w:rFonts w:hint="eastAsia" w:ascii="黑体" w:eastAsia="黑体" w:cs="Times New Roman"/>
          <w:b w:val="0"/>
          <w:bCs w:val="0"/>
          <w:color w:val="000000"/>
          <w:highlight w:val="none"/>
        </w:rPr>
        <w:t>十、政府性基金预算财政拨款收入支出决算表</w:t>
      </w:r>
      <w:bookmarkEnd w:id="78"/>
    </w:p>
    <w:p w14:paraId="1BF2BAE6">
      <w:pPr>
        <w:pStyle w:val="3"/>
        <w:ind w:firstLine="640" w:firstLineChars="200"/>
        <w:rPr>
          <w:rFonts w:hint="eastAsia" w:ascii="黑体" w:eastAsia="黑体" w:cs="Times New Roman"/>
          <w:b w:val="0"/>
          <w:bCs w:val="0"/>
          <w:color w:val="000000"/>
          <w:highlight w:val="none"/>
        </w:rPr>
      </w:pPr>
      <w:bookmarkStart w:id="79" w:name="_Toc13104"/>
      <w:r>
        <w:rPr>
          <w:rFonts w:hint="eastAsia" w:ascii="黑体" w:eastAsia="黑体" w:cs="Times New Roman"/>
          <w:b w:val="0"/>
          <w:bCs w:val="0"/>
          <w:color w:val="000000"/>
          <w:highlight w:val="none"/>
        </w:rPr>
        <w:t>十一、国有资本经营预算财政拨款收入支出决算表</w:t>
      </w:r>
      <w:bookmarkEnd w:id="79"/>
    </w:p>
    <w:p w14:paraId="70403E77">
      <w:pPr>
        <w:pStyle w:val="3"/>
        <w:ind w:firstLine="640" w:firstLineChars="200"/>
        <w:rPr>
          <w:rFonts w:hint="eastAsia" w:ascii="黑体" w:eastAsia="黑体" w:cs="Times New Roman"/>
          <w:b w:val="0"/>
          <w:bCs w:val="0"/>
          <w:color w:val="000000"/>
          <w:highlight w:val="none"/>
        </w:rPr>
      </w:pPr>
      <w:bookmarkStart w:id="80" w:name="_Toc19837"/>
      <w:r>
        <w:rPr>
          <w:rFonts w:hint="eastAsia" w:ascii="黑体" w:eastAsia="黑体" w:cs="Times New Roman"/>
          <w:b w:val="0"/>
          <w:bCs w:val="0"/>
          <w:color w:val="000000"/>
          <w:highlight w:val="none"/>
        </w:rPr>
        <w:t>十二、国有资本经营预算财政拨款支出决算表</w:t>
      </w:r>
      <w:bookmarkEnd w:id="80"/>
    </w:p>
    <w:p w14:paraId="7CBDFF0C">
      <w:pPr>
        <w:pStyle w:val="3"/>
        <w:ind w:firstLine="640" w:firstLineChars="200"/>
        <w:rPr>
          <w:rFonts w:ascii="黑体" w:eastAsia="黑体" w:cs="Times New Roman"/>
          <w:b w:val="0"/>
          <w:bCs w:val="0"/>
          <w:color w:val="000000"/>
          <w:highlight w:val="none"/>
        </w:rPr>
      </w:pPr>
      <w:bookmarkStart w:id="81" w:name="_Toc27290"/>
      <w:r>
        <w:rPr>
          <w:rFonts w:hint="eastAsia" w:ascii="黑体" w:eastAsia="黑体" w:cs="Times New Roman"/>
          <w:b w:val="0"/>
          <w:bCs w:val="0"/>
          <w:color w:val="000000"/>
          <w:highlight w:val="none"/>
        </w:rPr>
        <w:t>十三、财政拨款“三公”经费支出决算表</w:t>
      </w:r>
      <w:bookmarkEnd w:id="81"/>
    </w:p>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Lucida Sans">
    <w:altName w:val="C059"/>
    <w:panose1 w:val="00000000000000000000"/>
    <w:charset w:val="01"/>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4560898"/>
    </w:sdtPr>
    <w:sdtContent>
      <w:p w14:paraId="293D232D">
        <w:pPr>
          <w:pStyle w:val="12"/>
          <w:jc w:val="center"/>
        </w:pPr>
        <w:r>
          <w:fldChar w:fldCharType="begin"/>
        </w:r>
        <w:r>
          <w:instrText xml:space="preserve">PAGE   \* MERGEFORMAT</w:instrText>
        </w:r>
        <w:r>
          <w:fldChar w:fldCharType="separate"/>
        </w:r>
        <w:r>
          <w:rPr>
            <w:lang w:val="zh-CN"/>
          </w:rPr>
          <w:t>4</w:t>
        </w:r>
        <w:r>
          <w:fldChar w:fldCharType="end"/>
        </w:r>
      </w:p>
    </w:sdtContent>
  </w:sdt>
  <w:p w14:paraId="20F207C9">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F9DFF">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pPr>
        <w:ind w:left="0" w:firstLine="0"/>
      </w:pPr>
      <w:rPr>
        <w:rFonts w:hint="eastAsia" w:ascii="黑体" w:hAnsi="黑体" w:eastAsia="黑体" w:cs="黑体"/>
        <w:sz w:val="44"/>
        <w:szCs w:val="44"/>
      </w:rPr>
    </w:lvl>
  </w:abstractNum>
  <w:abstractNum w:abstractNumId="1">
    <w:nsid w:val="4CEDA642"/>
    <w:multiLevelType w:val="singleLevel"/>
    <w:tmpl w:val="4CEDA642"/>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compatSetting w:name="compatibilityMode" w:uri="http://schemas.microsoft.com/office/word" w:val="15"/>
  </w:compat>
  <w:docVars>
    <w:docVar w:name="commondata" w:val="eyJoZGlkIjoiNTNkMGQ3MDkyOTg0ZDZiNWRhOGE4ZTg3NzZmZDIzZDAifQ=="/>
  </w:docVars>
  <w:rsids>
    <w:rsidRoot w:val="00000000"/>
    <w:rsid w:val="05137B8D"/>
    <w:rsid w:val="0A8C7FBE"/>
    <w:rsid w:val="12306F12"/>
    <w:rsid w:val="2DCA7655"/>
    <w:rsid w:val="3ACE7FFB"/>
    <w:rsid w:val="3C8666B4"/>
    <w:rsid w:val="4D137678"/>
    <w:rsid w:val="52701540"/>
    <w:rsid w:val="573AA6E5"/>
    <w:rsid w:val="590215A3"/>
    <w:rsid w:val="5A656F19"/>
    <w:rsid w:val="5D127168"/>
    <w:rsid w:val="5FB962D5"/>
    <w:rsid w:val="65E848BE"/>
    <w:rsid w:val="678A2779"/>
    <w:rsid w:val="6FE12F09"/>
    <w:rsid w:val="724C122A"/>
    <w:rsid w:val="7637710B"/>
    <w:rsid w:val="78790A42"/>
    <w:rsid w:val="7B892E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9">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680"/>
    </w:pPr>
  </w:style>
  <w:style w:type="paragraph" w:styleId="6">
    <w:name w:val="annotation text"/>
    <w:basedOn w:val="1"/>
    <w:qFormat/>
    <w:uiPriority w:val="0"/>
    <w:pPr>
      <w:jc w:val="left"/>
    </w:pPr>
  </w:style>
  <w:style w:type="paragraph" w:styleId="7">
    <w:name w:val="Body Text"/>
    <w:basedOn w:val="1"/>
    <w:qFormat/>
    <w:uiPriority w:val="0"/>
    <w:pPr>
      <w:spacing w:before="30" w:beforeLines="30"/>
    </w:pPr>
    <w:rPr>
      <w:rFonts w:ascii="仿宋_GB2312" w:eastAsia="仿宋_GB2312"/>
      <w:kern w:val="0"/>
      <w:sz w:val="30"/>
    </w:rPr>
  </w:style>
  <w:style w:type="paragraph" w:styleId="8">
    <w:name w:val="Body Text Indent"/>
    <w:basedOn w:val="1"/>
    <w:next w:val="9"/>
    <w:qFormat/>
    <w:uiPriority w:val="0"/>
    <w:pPr>
      <w:spacing w:after="120"/>
      <w:ind w:left="200" w:leftChars="200"/>
    </w:pPr>
    <w:rPr>
      <w:rFonts w:ascii="仿宋_GB2312" w:hAnsi="仿宋_GB2312"/>
      <w:szCs w:val="32"/>
    </w:rPr>
  </w:style>
  <w:style w:type="paragraph" w:styleId="9">
    <w:name w:val="Body Text First Indent 2"/>
    <w:basedOn w:val="8"/>
    <w:qFormat/>
    <w:uiPriority w:val="0"/>
    <w:pPr>
      <w:ind w:firstLine="200" w:firstLineChars="200"/>
    </w:pPr>
  </w:style>
  <w:style w:type="paragraph" w:styleId="10">
    <w:name w:val="toc 3"/>
    <w:basedOn w:val="1"/>
    <w:next w:val="1"/>
    <w:qFormat/>
    <w:uiPriority w:val="0"/>
    <w:pPr>
      <w:tabs>
        <w:tab w:val="right" w:leader="dot" w:pos="8296"/>
      </w:tabs>
      <w:ind w:left="400" w:leftChars="400"/>
    </w:p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qFormat/>
    <w:uiPriority w:val="0"/>
    <w:pPr>
      <w:tabs>
        <w:tab w:val="right" w:leader="dot" w:pos="8296"/>
      </w:tabs>
      <w:spacing w:before="93"/>
      <w:jc w:val="center"/>
    </w:pPr>
    <w:rPr>
      <w:rFonts w:ascii="仿宋" w:eastAsia="仿宋"/>
      <w:sz w:val="28"/>
      <w:szCs w:val="28"/>
    </w:rPr>
  </w:style>
  <w:style w:type="paragraph" w:styleId="15">
    <w:name w:val="footnote text"/>
    <w:basedOn w:val="1"/>
    <w:next w:val="9"/>
    <w:qFormat/>
    <w:uiPriority w:val="0"/>
    <w:pPr>
      <w:snapToGrid w:val="0"/>
      <w:jc w:val="left"/>
    </w:pPr>
    <w:rPr>
      <w:sz w:val="18"/>
      <w:szCs w:val="18"/>
    </w:rPr>
  </w:style>
  <w:style w:type="paragraph" w:styleId="16">
    <w:name w:val="table of figures"/>
    <w:basedOn w:val="1"/>
    <w:next w:val="1"/>
    <w:qFormat/>
    <w:uiPriority w:val="0"/>
    <w:pPr>
      <w:ind w:left="400" w:leftChars="200" w:hanging="200" w:hangingChars="200"/>
    </w:pPr>
  </w:style>
  <w:style w:type="paragraph" w:styleId="17">
    <w:name w:val="toc 2"/>
    <w:basedOn w:val="1"/>
    <w:next w:val="1"/>
    <w:qFormat/>
    <w:uiPriority w:val="0"/>
    <w:pPr>
      <w:tabs>
        <w:tab w:val="right" w:leader="dot" w:pos="8296"/>
      </w:tabs>
      <w:ind w:left="200" w:leftChars="200"/>
    </w:p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styleId="22">
    <w:name w:val="annotation reference"/>
    <w:basedOn w:val="19"/>
    <w:qFormat/>
    <w:uiPriority w:val="0"/>
    <w:rPr>
      <w:sz w:val="21"/>
      <w:szCs w:val="21"/>
    </w:rPr>
  </w:style>
  <w:style w:type="character" w:customStyle="1" w:styleId="23">
    <w:name w:val="heading 1 Char"/>
    <w:basedOn w:val="19"/>
    <w:link w:val="2"/>
    <w:qFormat/>
    <w:uiPriority w:val="0"/>
    <w:rPr>
      <w:rFonts w:ascii="Times New Roman" w:hAnsi="Times New Roman" w:eastAsia="宋体" w:cs="Times New Roman"/>
      <w:b/>
      <w:bCs/>
      <w:kern w:val="44"/>
      <w:sz w:val="44"/>
      <w:szCs w:val="44"/>
      <w:lang w:val="en-US" w:eastAsia="zh-CN" w:bidi="ar-SA"/>
    </w:rPr>
  </w:style>
  <w:style w:type="paragraph" w:customStyle="1" w:styleId="24">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25">
    <w:name w:val="Header Char"/>
    <w:basedOn w:val="19"/>
    <w:qFormat/>
    <w:uiPriority w:val="0"/>
    <w:rPr>
      <w:rFonts w:ascii="Times New Roman" w:hAnsi="Times New Roman"/>
      <w:sz w:val="18"/>
      <w:szCs w:val="18"/>
    </w:rPr>
  </w:style>
  <w:style w:type="character" w:customStyle="1" w:styleId="26">
    <w:name w:val="Footer Char"/>
    <w:basedOn w:val="19"/>
    <w:qFormat/>
    <w:uiPriority w:val="0"/>
    <w:rPr>
      <w:rFonts w:ascii="Times New Roman" w:hAnsi="Times New Roman"/>
      <w:sz w:val="18"/>
      <w:szCs w:val="18"/>
    </w:rPr>
  </w:style>
  <w:style w:type="character" w:customStyle="1" w:styleId="27">
    <w:name w:val="Body Text Char"/>
    <w:basedOn w:val="19"/>
    <w:qFormat/>
    <w:uiPriority w:val="0"/>
    <w:rPr>
      <w:rFonts w:ascii="Times New Roman" w:hAnsi="Times New Roman"/>
      <w:szCs w:val="24"/>
    </w:rPr>
  </w:style>
  <w:style w:type="paragraph" w:styleId="28">
    <w:name w:val="List Paragraph"/>
    <w:basedOn w:val="1"/>
    <w:qFormat/>
    <w:uiPriority w:val="0"/>
    <w:pPr>
      <w:ind w:firstLine="200" w:firstLineChars="200"/>
    </w:pPr>
  </w:style>
  <w:style w:type="paragraph" w:customStyle="1" w:styleId="29">
    <w:name w:val="TOC 标题1"/>
    <w:basedOn w:val="2"/>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收、支决算总计变动情况图(万元）</c:v>
                </c:pt>
              </c:strCache>
            </c:strRef>
          </c:tx>
          <c:spPr>
            <a:gradFill rotWithShape="1">
              <a:gsLst>
                <a:gs pos="100000">
                  <a:srgbClr val="C0504D">
                    <a:alpha val="100000"/>
                  </a:srgbClr>
                </a:gs>
                <a:gs pos="0">
                  <a:srgbClr val="C04D7F">
                    <a:alpha val="100000"/>
                  </a:srgbClr>
                </a:gs>
              </a:gsLst>
              <a:lin ang="5400000" scaled="1"/>
            </a:gradFill>
            <a:ln w="6350">
              <a:solidFill>
                <a:srgbClr val="000000"/>
              </a:solidFill>
              <a:prstDash val="solid"/>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Sheet1!$B$2:$B$3</c:f>
              <c:numCache>
                <c:formatCode>General</c:formatCode>
                <c:ptCount val="2"/>
                <c:pt idx="0">
                  <c:v>369.76</c:v>
                </c:pt>
                <c:pt idx="1">
                  <c:v>378.77</c:v>
                </c:pt>
              </c:numCache>
            </c:numRef>
          </c:val>
        </c:ser>
        <c:dLbls>
          <c:showLegendKey val="0"/>
          <c:showVal val="1"/>
          <c:showCatName val="0"/>
          <c:showSerName val="0"/>
          <c:showPercent val="0"/>
          <c:showBubbleSize val="0"/>
        </c:dLbls>
        <c:gapWidth val="75"/>
        <c:overlap val="100"/>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0"/>
        <c:crossesAt val="1"/>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de57a958-4fc6-48c1-bc3a-f82ae5ad58fe}"/>
      </c:ext>
    </c:extLst>
  </c:chart>
  <c:spPr>
    <a:solidFill>
      <a:srgbClr val="F5F5F5"/>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t" anchorCtr="0"/>
          <a:lstStyle/>
          <a:p>
            <a:pPr>
              <a:defRPr lang="zh-CN" sz="1800" b="1" i="0" u="none" strike="noStrike" kern="1200" baseline="0">
                <a:solidFill>
                  <a:srgbClr val="000000"/>
                </a:solidFill>
                <a:latin typeface="Times New Roman" panose="02020603050405020304"/>
                <a:ea typeface="宋体" panose="02010600030101010101" charset="-122"/>
                <a:cs typeface="Lucida Sans"/>
              </a:defRPr>
            </a:pPr>
            <a:r>
              <a:rPr lang="zh-CN"/>
              <a:t>收入决算结构图</a:t>
            </a:r>
            <a:endParaRPr lang="zh-CN"/>
          </a:p>
        </c:rich>
      </c:tx>
      <c:layout/>
      <c:overlay val="0"/>
      <c:spPr>
        <a:ln>
          <a:noFill/>
        </a:ln>
      </c:spPr>
    </c:title>
    <c:autoTitleDeleted val="0"/>
    <c:plotArea>
      <c:layout/>
      <c:pieChart>
        <c:varyColors val="1"/>
        <c:ser>
          <c:idx val="1"/>
          <c:order val="0"/>
          <c:spPr>
            <a:solidFill>
              <a:srgbClr val="C0504D"/>
            </a:solidFill>
            <a:ln>
              <a:noFill/>
            </a:ln>
          </c:spPr>
          <c:explosion val="0"/>
          <c:dPt>
            <c:idx val="0"/>
            <c:bubble3D val="0"/>
            <c:spPr>
              <a:solidFill>
                <a:srgbClr val="4572A7"/>
              </a:solidFill>
              <a:ln>
                <a:noFill/>
              </a:ln>
            </c:spPr>
          </c:dPt>
          <c:dPt>
            <c:idx val="1"/>
            <c:bubble3D val="0"/>
            <c:spPr>
              <a:solidFill>
                <a:srgbClr val="AA4643"/>
              </a:solidFill>
              <a:ln>
                <a:noFill/>
              </a:ln>
            </c:spPr>
          </c:dPt>
          <c:dPt>
            <c:idx val="2"/>
            <c:bubble3D val="0"/>
            <c:spPr>
              <a:solidFill>
                <a:srgbClr val="89A54E"/>
              </a:solidFill>
              <a:ln>
                <a:noFill/>
              </a:ln>
            </c:spPr>
          </c:dPt>
          <c:dPt>
            <c:idx val="3"/>
            <c:bubble3D val="0"/>
            <c:spPr>
              <a:solidFill>
                <a:srgbClr val="71588F"/>
              </a:solidFill>
              <a:ln>
                <a:noFill/>
              </a:ln>
            </c:spPr>
          </c:dPt>
          <c:dPt>
            <c:idx val="4"/>
            <c:bubble3D val="0"/>
            <c:spPr>
              <a:solidFill>
                <a:srgbClr val="4198AF"/>
              </a:solidFill>
              <a:ln>
                <a:noFill/>
              </a:ln>
            </c:spPr>
          </c:dPt>
          <c:dPt>
            <c:idx val="5"/>
            <c:bubble3D val="0"/>
            <c:spPr>
              <a:solidFill>
                <a:srgbClr val="DB843D"/>
              </a:solidFill>
              <a:ln>
                <a:noFill/>
              </a:ln>
            </c:spPr>
          </c:dPt>
          <c:dPt>
            <c:idx val="6"/>
            <c:bubble3D val="0"/>
            <c:spPr>
              <a:solidFill>
                <a:srgbClr val="93A9CF"/>
              </a:solidFill>
              <a:ln>
                <a:noFill/>
              </a:ln>
            </c:spPr>
          </c:dPt>
          <c:dPt>
            <c:idx val="7"/>
            <c:bubble3D val="0"/>
            <c:spPr>
              <a:solidFill>
                <a:srgbClr val="D19392"/>
              </a:solidFill>
              <a:ln>
                <a:noFill/>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{"一般公共预算财政拨款收入","政府性基金预算财政拨款收入","国有资本经营预算财政拨款收入","上级补助收入","事业收入","经营收入","附属单位上缴收入","其他收入"}</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{6107287.36,0,0,0,0,0,0,0}</c:f>
              <c:numCache>
                <c:formatCode>General</c:formatCode>
                <c:ptCount val="8"/>
                <c:pt idx="0">
                  <c:v>6107287.36</c:v>
                </c:pt>
                <c:pt idx="1">
                  <c:v>0</c:v>
                </c:pt>
                <c:pt idx="2">
                  <c:v>0</c:v>
                </c:pt>
                <c:pt idx="3">
                  <c:v>0</c:v>
                </c:pt>
                <c:pt idx="4">
                  <c:v>0</c:v>
                </c:pt>
                <c:pt idx="5">
                  <c:v>0</c:v>
                </c:pt>
                <c:pt idx="6">
                  <c:v>0</c:v>
                </c:pt>
                <c:pt idx="7">
                  <c:v>0</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spPr>
        <a:solidFill>
          <a:srgbClr val="F2F2F2">
            <a:alpha val="39000"/>
          </a:srgbClr>
        </a:solidFill>
        <a:ln>
          <a:noFill/>
        </a:ln>
      </c:spPr>
      <c:txPr>
        <a:bodyPr rot="0" spcFirstLastPara="0" vertOverflow="ellipsis" vert="horz" wrap="square"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a:defRPr>
          </a:pPr>
        </a:p>
      </c:txPr>
    </c:legend>
    <c:plotVisOnly val="1"/>
    <c:dispBlanksAs val="zero"/>
    <c:showDLblsOverMax val="0"/>
    <c:extLst>
      <c:ext uri="{0b15fc19-7d7d-44ad-8c2d-2c3a37ce22c3}">
        <chartProps xmlns="https://web.wps.cn/et/2018/main" chartId="{145c85c7-9b07-4358-8633-61e0fa5a3327}"/>
      </c:ext>
    </c:extLst>
  </c:chart>
  <c:spPr>
    <a:gradFill rotWithShape="1">
      <a:gsLst>
        <a:gs pos="0">
          <a:srgbClr val="FFFFFF">
            <a:alpha val="100000"/>
          </a:srgbClr>
        </a:gs>
        <a:gs pos="39000">
          <a:srgbClr val="FFFFFF">
            <a:alpha val="100000"/>
          </a:srgbClr>
        </a:gs>
        <a:gs pos="100000">
          <a:srgbClr val="BFBFBF">
            <a:alpha val="100000"/>
          </a:srgbClr>
        </a:gs>
      </a:gsLst>
      <a:path path="circle">
        <a:fillToRect l="100000" t="100000"/>
      </a:path>
      <a:tileRect r="-100000" b="-100000"/>
    </a:gradFill>
    <a:ln w="6350" cap="flat" cmpd="sng" algn="ctr">
      <a:solidFill>
        <a:srgbClr val="BFBFBF"/>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a:defRPr>
            </a:pPr>
            <a:r>
              <a:rPr lang="zh-CN"/>
              <a:t>支出决算结构图</a:t>
            </a:r>
            <a:endParaRPr lang="zh-CN"/>
          </a:p>
        </c:rich>
      </c:tx>
      <c:layout/>
      <c:overlay val="0"/>
      <c:spPr>
        <a:noFill/>
        <a:ln>
          <a:noFill/>
        </a:ln>
      </c:spPr>
    </c:title>
    <c:autoTitleDeleted val="0"/>
    <c:plotArea>
      <c:layout/>
      <c:pieChart>
        <c:varyColors val="1"/>
        <c:ser>
          <c:idx val="0"/>
          <c:order val="0"/>
          <c:tx>
            <c:strRef>
              <c:f>'Sheet1 (3)'!$B$1</c:f>
              <c:strCache>
                <c:ptCount val="1"/>
                <c:pt idx="0">
                  <c:v>支出决算结构图</c:v>
                </c:pt>
              </c:strCache>
            </c:strRef>
          </c:tx>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dLbl>
              <c:idx val="0"/>
              <c:layout>
                <c:manualLayout>
                  <c:x val="0.204526861194437"/>
                  <c:y val="0"/>
                </c:manualLayout>
              </c:layout>
              <c:numFmt formatCode="General"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180665394055086"/>
                  <c:y val="0"/>
                </c:manualLayout>
              </c:layout>
              <c:numFmt formatCode="General"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C0504D"/>
                      </a:solidFill>
                      <a:latin typeface="Times New Roman" panose="02020603050405020304"/>
                      <a:ea typeface="宋体" panose="02010600030101010101" charset="-122"/>
                      <a:cs typeface="Lucida San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 (3)'!$A$2:$A$3</c:f>
              <c:strCache>
                <c:ptCount val="2"/>
                <c:pt idx="0">
                  <c:v>基本支出</c:v>
                </c:pt>
                <c:pt idx="1">
                  <c:v>项目支出</c:v>
                </c:pt>
              </c:strCache>
            </c:strRef>
          </c:cat>
          <c:val>
            <c:numRef>
              <c:f>'Sheet1 (3)'!$B$2:$B$3</c:f>
              <c:numCache>
                <c:formatCode>General</c:formatCode>
                <c:ptCount val="2"/>
                <c:pt idx="0">
                  <c:v>378.77</c:v>
                </c:pt>
                <c:pt idx="1">
                  <c:v>0</c:v>
                </c:pt>
              </c:numCache>
            </c:numRef>
          </c:val>
        </c:ser>
        <c:dLbls>
          <c:showLegendKey val="0"/>
          <c:showVal val="1"/>
          <c:showCatName val="1"/>
          <c:showSerName val="0"/>
          <c:showPercent val="0"/>
          <c:showBubbleSize val="0"/>
          <c:showLeaderLines val="1"/>
        </c:dLbls>
        <c:firstSliceAng val="0"/>
      </c:pieChart>
      <c:spPr>
        <a:noFill/>
        <a:ln>
          <a:noFill/>
        </a:ln>
      </c:spPr>
    </c:plotArea>
    <c:plotVisOnly val="1"/>
    <c:dispBlanksAs val="gap"/>
    <c:showDLblsOverMax val="0"/>
    <c:extLst>
      <c:ext uri="{0b15fc19-7d7d-44ad-8c2d-2c3a37ce22c3}">
        <chartProps xmlns="https://web.wps.cn/et/2018/main" chartId="{9f224245-361b-495d-9105-0d99d8a4592c}"/>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Lucida Sans"/>
              </a:defRPr>
            </a:pPr>
            <a:r>
              <a:rPr lang="zh-CN" sz="1400" b="1" i="0" u="none" strike="noStrike" baseline="0">
                <a:solidFill>
                  <a:srgbClr val="404040"/>
                </a:solidFill>
                <a:latin typeface="Times New Roman" panose="02020603050405020304"/>
                <a:ea typeface="宋体" panose="02010600030101010101" charset="-122"/>
                <a:cs typeface="Lucida Sans"/>
              </a:rPr>
              <a:t>收、支决算总计变动情况表
</a:t>
            </a:r>
            <a:endParaRPr lang="zh-CN" sz="1400" b="1" i="0" u="none" strike="noStrike" baseline="0">
              <a:solidFill>
                <a:srgbClr val="404040"/>
              </a:solidFill>
              <a:latin typeface="Times New Roman" panose="02020603050405020304"/>
              <a:ea typeface="宋体" panose="02010600030101010101" charset="-122"/>
              <a:cs typeface="Lucida Sans"/>
            </a:endParaRPr>
          </a:p>
        </c:rich>
      </c:tx>
      <c:layout/>
      <c:overlay val="0"/>
      <c:spPr>
        <a:noFill/>
        <a:ln>
          <a:noFill/>
        </a:ln>
      </c:spPr>
    </c:title>
    <c:autoTitleDeleted val="0"/>
    <c:plotArea>
      <c:layout/>
      <c:barChart>
        <c:barDir val="col"/>
        <c:grouping val="stacked"/>
        <c:varyColors val="0"/>
        <c:ser>
          <c:idx val="0"/>
          <c:order val="0"/>
          <c:tx>
            <c:strRef>
              <c:f>'Sheet1 (4)'!$B$1</c:f>
              <c:strCache>
                <c:ptCount val="1"/>
                <c:pt idx="0">
                  <c:v>收、支决算总计变动情况图(万元）</c:v>
                </c:pt>
              </c:strCache>
            </c:strRef>
          </c:tx>
          <c:spPr>
            <a:gradFill rotWithShape="1">
              <a:gsLst>
                <a:gs pos="100000">
                  <a:srgbClr val="C0504D">
                    <a:alpha val="100000"/>
                  </a:srgbClr>
                </a:gs>
                <a:gs pos="0">
                  <a:srgbClr val="C04D7F">
                    <a:alpha val="100000"/>
                  </a:srgbClr>
                </a:gs>
              </a:gsLst>
              <a:lin ang="5400000" scaled="1"/>
            </a:gradFill>
            <a:ln w="6350">
              <a:solidFill>
                <a:srgbClr val="000000"/>
              </a:solidFill>
              <a:prstDash val="solid"/>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(4)'!$A$2:$A$3</c:f>
              <c:strCache>
                <c:ptCount val="2"/>
                <c:pt idx="0">
                  <c:v>2024年</c:v>
                </c:pt>
                <c:pt idx="1">
                  <c:v>2025年</c:v>
                </c:pt>
              </c:strCache>
            </c:strRef>
          </c:cat>
          <c:val>
            <c:numRef>
              <c:f>'Sheet1 (4)'!$B$2:$B$3</c:f>
              <c:numCache>
                <c:formatCode>General</c:formatCode>
                <c:ptCount val="2"/>
                <c:pt idx="0">
                  <c:v>369.76</c:v>
                </c:pt>
                <c:pt idx="1">
                  <c:v>378.77</c:v>
                </c:pt>
              </c:numCache>
            </c:numRef>
          </c:val>
        </c:ser>
        <c:dLbls>
          <c:showLegendKey val="0"/>
          <c:showVal val="1"/>
          <c:showCatName val="0"/>
          <c:showSerName val="0"/>
          <c:showPercent val="0"/>
          <c:showBubbleSize val="0"/>
        </c:dLbls>
        <c:gapWidth val="500"/>
        <c:overlap val="100"/>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0"/>
        <c:crossesAt val="1"/>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7b24238b-dc68-40db-bbd4-d657fb01225b}"/>
      </c:ext>
    </c:extLst>
  </c:chart>
  <c:spPr>
    <a:solidFill>
      <a:srgbClr val="F5F5F5"/>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a:defRPr>
            </a:pPr>
            <a:r>
              <a:rPr lang="zh-CN"/>
              <a:t>一般公共预算财政拨款支出决算变动情况</a:t>
            </a:r>
            <a:endParaRPr lang="zh-CN"/>
          </a:p>
        </c:rich>
      </c:tx>
      <c:layout>
        <c:manualLayout>
          <c:xMode val="edge"/>
          <c:yMode val="edge"/>
          <c:x val="0.2100749"/>
          <c:y val="0.02124947"/>
        </c:manualLayout>
      </c:layout>
      <c:overlay val="0"/>
      <c:spPr>
        <a:noFill/>
        <a:ln>
          <a:noFill/>
        </a:ln>
      </c:spPr>
    </c:title>
    <c:autoTitleDeleted val="0"/>
    <c:plotArea>
      <c:layout/>
      <c:barChart>
        <c:barDir val="col"/>
        <c:grouping val="clustered"/>
        <c:varyColors val="0"/>
        <c:ser>
          <c:idx val="2"/>
          <c:order val="0"/>
          <c:tx>
            <c:strRef>
              <c:f>'Sheet1 (5)'!$B$1</c:f>
              <c:strCache>
                <c:ptCount val="1"/>
                <c:pt idx="0">
                  <c:v>一般公共预算财政拨款支出决算变动情况图(万元）</c:v>
                </c:pt>
              </c:strCache>
            </c:strRef>
          </c:tx>
          <c:spPr>
            <a:solidFill>
              <a:srgbClr val="9BBB59"/>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(5)'!$A$2:$A$3</c:f>
              <c:strCache>
                <c:ptCount val="2"/>
                <c:pt idx="0">
                  <c:v>2024年</c:v>
                </c:pt>
                <c:pt idx="1">
                  <c:v>2025年</c:v>
                </c:pt>
              </c:strCache>
            </c:strRef>
          </c:cat>
          <c:val>
            <c:numRef>
              <c:f>'Sheet1 (5)'!$B$2:$B$3</c:f>
              <c:numCache>
                <c:formatCode>General</c:formatCode>
                <c:ptCount val="2"/>
                <c:pt idx="0">
                  <c:v>369.76</c:v>
                </c:pt>
                <c:pt idx="1">
                  <c:v>378.77</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0"/>
        <c:crossesAt val="1"/>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dba045fc-f3b6-43eb-8925-bd4b2bfe44f1}"/>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a:defRPr>
            </a:pPr>
            <a:r>
              <a:rPr lang="zh-CN"/>
              <a:t>一般公共预算财政拨款支出决算结构</a:t>
            </a:r>
            <a:endParaRPr lang="zh-CN"/>
          </a:p>
        </c:rich>
      </c:tx>
      <c:layout/>
      <c:overlay val="0"/>
      <c:spPr>
        <a:noFill/>
        <a:ln>
          <a:noFill/>
        </a:ln>
      </c:spPr>
    </c:title>
    <c:autoTitleDeleted val="0"/>
    <c:plotArea>
      <c:layout/>
      <c:pieChart>
        <c:varyColors val="1"/>
        <c:ser>
          <c:idx val="0"/>
          <c:order val="0"/>
          <c:tx>
            <c:strRef>
              <c:f>'Sheet1 (6)'!$B$1</c:f>
              <c:strCache>
                <c:ptCount val="1"/>
                <c:pt idx="0">
                  <c:v>一般公共预算财政拨款支出决算结构</c:v>
                </c:pt>
              </c:strCache>
            </c:strRef>
          </c:tx>
          <c:spPr>
            <a:ln>
              <a:noFill/>
            </a:ln>
          </c:spPr>
          <c:explosion val="0"/>
          <c:dPt>
            <c:idx val="0"/>
            <c:bubble3D val="0"/>
            <c:spPr>
              <a:gradFill rotWithShape="1">
                <a:gsLst>
                  <a:gs pos="0">
                    <a:srgbClr val="4FB4BD">
                      <a:alpha val="100000"/>
                    </a:srgbClr>
                  </a:gs>
                  <a:gs pos="100000">
                    <a:srgbClr val="4F81BD">
                      <a:alpha val="100000"/>
                    </a:srgbClr>
                  </a:gs>
                </a:gsLst>
                <a:lin ang="5400000" scaled="1"/>
              </a:gradFill>
              <a:ln w="6350">
                <a:solidFill>
                  <a:srgbClr val="868686"/>
                </a:solidFill>
                <a:prstDash val="solid"/>
              </a:ln>
            </c:spPr>
          </c:dPt>
          <c:dPt>
            <c:idx val="1"/>
            <c:bubble3D val="0"/>
            <c:spPr>
              <a:gradFill rotWithShape="1">
                <a:gsLst>
                  <a:gs pos="0">
                    <a:srgbClr val="C04D7F">
                      <a:alpha val="100000"/>
                    </a:srgbClr>
                  </a:gs>
                  <a:gs pos="100000">
                    <a:srgbClr val="C0504D">
                      <a:alpha val="100000"/>
                    </a:srgbClr>
                  </a:gs>
                </a:gsLst>
                <a:lin ang="5400000" scaled="1"/>
              </a:gradFill>
              <a:ln w="6350">
                <a:solidFill>
                  <a:srgbClr val="868686"/>
                </a:solidFill>
                <a:prstDash val="solid"/>
              </a:ln>
            </c:spPr>
          </c:dPt>
          <c:dPt>
            <c:idx val="2"/>
            <c:bubble3D val="0"/>
            <c:spPr>
              <a:gradFill rotWithShape="1">
                <a:gsLst>
                  <a:gs pos="0">
                    <a:srgbClr val="BBAE59">
                      <a:alpha val="100000"/>
                    </a:srgbClr>
                  </a:gs>
                  <a:gs pos="100000">
                    <a:srgbClr val="9BBB59">
                      <a:alpha val="100000"/>
                    </a:srgbClr>
                  </a:gs>
                </a:gsLst>
                <a:lin ang="5400000" scaled="1"/>
              </a:gradFill>
              <a:ln w="6350">
                <a:solidFill>
                  <a:srgbClr val="868686"/>
                </a:solidFill>
                <a:prstDash val="solid"/>
              </a:ln>
            </c:spPr>
          </c:dPt>
          <c:dPt>
            <c:idx val="3"/>
            <c:bubble3D val="0"/>
            <c:spPr>
              <a:gradFill rotWithShape="1">
                <a:gsLst>
                  <a:gs pos="0">
                    <a:srgbClr val="6465A2">
                      <a:alpha val="100000"/>
                    </a:srgbClr>
                  </a:gs>
                  <a:gs pos="100000">
                    <a:srgbClr val="8064A2">
                      <a:alpha val="100000"/>
                    </a:srgbClr>
                  </a:gs>
                </a:gsLst>
                <a:lin ang="5400000" scaled="1"/>
              </a:gradFill>
              <a:ln w="6350">
                <a:solidFill>
                  <a:srgbClr val="868686"/>
                </a:solidFill>
                <a:prstDash val="solid"/>
              </a:ln>
            </c:spPr>
          </c:dPt>
          <c:dPt>
            <c:idx val="4"/>
            <c:bubble3D val="0"/>
            <c:spPr>
              <a:gradFill rotWithShape="1">
                <a:gsLst>
                  <a:gs pos="0">
                    <a:srgbClr val="4BC6A7">
                      <a:alpha val="100000"/>
                    </a:srgbClr>
                  </a:gs>
                  <a:gs pos="100000">
                    <a:srgbClr val="4BACC6">
                      <a:alpha val="100000"/>
                    </a:srgbClr>
                  </a:gs>
                </a:gsLst>
                <a:lin ang="5400000" scaled="1"/>
              </a:gradFill>
              <a:ln w="6350">
                <a:solidFill>
                  <a:srgbClr val="868686"/>
                </a:solidFill>
                <a:prstDash val="solid"/>
              </a:ln>
            </c:spPr>
          </c:dPt>
          <c:dPt>
            <c:idx val="5"/>
            <c:bubble3D val="0"/>
            <c:spPr>
              <a:gradFill rotWithShape="1">
                <a:gsLst>
                  <a:gs pos="0">
                    <a:srgbClr val="F74648">
                      <a:alpha val="100000"/>
                    </a:srgbClr>
                  </a:gs>
                  <a:gs pos="100000">
                    <a:srgbClr val="F79646">
                      <a:alpha val="100000"/>
                    </a:srgbClr>
                  </a:gs>
                </a:gsLst>
                <a:lin ang="5400000" scaled="1"/>
              </a:gradFill>
              <a:ln w="6350">
                <a:solidFill>
                  <a:srgbClr val="868686"/>
                </a:solidFill>
                <a:prstDash val="solid"/>
              </a:ln>
            </c:spPr>
          </c:dPt>
          <c:dLbls>
            <c:dLbl>
              <c:idx val="0"/>
              <c:layout/>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23145688"/>
                  <c:y val="0.03761156"/>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C0504D"/>
                      </a:solidFill>
                      <a:latin typeface="Times New Roman" panose="02020603050405020304"/>
                      <a:ea typeface="宋体" panose="02010600030101010101" charset="-122"/>
                      <a:cs typeface="Lucida San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99178545"/>
                  <c:y val="0.17807055"/>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9BBB59"/>
                      </a:solidFill>
                      <a:latin typeface="Times New Roman" panose="02020603050405020304"/>
                      <a:ea typeface="宋体" panose="02010600030101010101" charset="-122"/>
                      <a:cs typeface="Lucida San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1304663"/>
                  <c:y val="-0.12749681"/>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8064A2"/>
                      </a:solidFill>
                      <a:latin typeface="Times New Roman" panose="02020603050405020304"/>
                      <a:ea typeface="宋体" panose="02010600030101010101" charset="-122"/>
                      <a:cs typeface="Lucida San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16199565"/>
                  <c:y val="-0.0036124096"/>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BACC6"/>
                      </a:solidFill>
                      <a:latin typeface="Times New Roman" panose="02020603050405020304"/>
                      <a:ea typeface="宋体" panose="02010600030101010101" charset="-122"/>
                      <a:cs typeface="Lucida San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0024160426"/>
                  <c:y val="0.07224819"/>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F79646"/>
                      </a:solidFill>
                      <a:latin typeface="Times New Roman" panose="02020603050405020304"/>
                      <a:ea typeface="宋体" panose="02010600030101010101" charset="-122"/>
                      <a:cs typeface="Lucida San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 (6)'!$A$2:$A$7</c:f>
              <c:strCache>
                <c:ptCount val="6"/>
                <c:pt idx="1">
                  <c:v>社会保障和就业（类）支出</c:v>
                </c:pt>
                <c:pt idx="2">
                  <c:v>卫生健康（类）支出</c:v>
                </c:pt>
                <c:pt idx="4">
                  <c:v>农林水（类）支出</c:v>
                </c:pt>
                <c:pt idx="5">
                  <c:v>住房保障（类）支出</c:v>
                </c:pt>
              </c:strCache>
            </c:strRef>
          </c:cat>
          <c:val>
            <c:numRef>
              <c:f>'Sheet1 (6)'!$B$2:$B$7</c:f>
              <c:numCache>
                <c:formatCode>General</c:formatCode>
                <c:ptCount val="6"/>
                <c:pt idx="1">
                  <c:v>52.61</c:v>
                </c:pt>
                <c:pt idx="2">
                  <c:v>21.34</c:v>
                </c:pt>
                <c:pt idx="4">
                  <c:v>278.82</c:v>
                </c:pt>
                <c:pt idx="5">
                  <c:v>25.99</c:v>
                </c:pt>
              </c:numCache>
            </c:numRef>
          </c:val>
        </c:ser>
        <c:dLbls>
          <c:showLegendKey val="0"/>
          <c:showVal val="0"/>
          <c:showCatName val="1"/>
          <c:showSerName val="0"/>
          <c:showPercent val="1"/>
          <c:showBubbleSize val="0"/>
          <c:showLeaderLines val="1"/>
        </c:dLbls>
        <c:firstSliceAng val="0"/>
      </c:pieChart>
      <c:spPr>
        <a:noFill/>
        <a:ln>
          <a:noFill/>
        </a:ln>
      </c:spPr>
    </c:plotArea>
    <c:plotVisOnly val="1"/>
    <c:dispBlanksAs val="gap"/>
    <c:showDLblsOverMax val="0"/>
    <c:extLst>
      <c:ext uri="{0b15fc19-7d7d-44ad-8c2d-2c3a37ce22c3}">
        <chartProps xmlns="https://web.wps.cn/et/2018/main" chartId="{aa898269-7399-456e-890f-6451e764e07c}"/>
      </c:ext>
    </c:extLst>
  </c:chart>
  <c:spPr>
    <a:solidFill>
      <a:srgbClr val="F5F5F5"/>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t" anchorCtr="0"/>
          <a:lstStyle/>
          <a:p>
            <a:pPr>
              <a:defRPr lang="zh-CN" sz="1800" b="1" i="0" u="none" strike="noStrike" kern="1200" baseline="0">
                <a:solidFill>
                  <a:srgbClr val="000000"/>
                </a:solidFill>
                <a:latin typeface="Times New Roman" panose="02020603050405020304"/>
                <a:ea typeface="宋体" panose="02010600030101010101" charset="-122"/>
                <a:cs typeface="Lucida Sans"/>
              </a:defRPr>
            </a:pPr>
            <a:r>
              <a:rPr lang="zh-CN"/>
              <a:t>三公经费</a:t>
            </a:r>
            <a:endParaRPr lang="zh-CN"/>
          </a:p>
        </c:rich>
      </c:tx>
      <c:layout/>
      <c:overlay val="0"/>
      <c:spPr>
        <a:noFill/>
        <a:ln>
          <a:noFill/>
        </a:ln>
      </c:spPr>
    </c:title>
    <c:autoTitleDeleted val="0"/>
    <c:plotArea>
      <c:layout/>
      <c:pieChart>
        <c:varyColors val="1"/>
        <c:ser>
          <c:idx val="1"/>
          <c:order val="0"/>
          <c:spPr>
            <a:ln>
              <a:noFill/>
            </a:ln>
          </c:spPr>
          <c:explosion val="0"/>
          <c:dPt>
            <c:idx val="0"/>
            <c:bubble3D val="0"/>
            <c:spPr>
              <a:solidFill>
                <a:srgbClr val="4F81BD"/>
              </a:solidFill>
              <a:ln>
                <a:noFill/>
              </a:ln>
            </c:spPr>
          </c:dPt>
          <c:dPt>
            <c:idx val="1"/>
            <c:bubble3D val="0"/>
            <c:spPr>
              <a:solidFill>
                <a:srgbClr val="C0504D"/>
              </a:solidFill>
              <a:ln>
                <a:noFill/>
              </a:ln>
            </c:spPr>
          </c:dPt>
          <c:dPt>
            <c:idx val="2"/>
            <c:bubble3D val="0"/>
            <c:spPr>
              <a:solidFill>
                <a:srgbClr val="9BBB59"/>
              </a:solidFill>
              <a:ln>
                <a:noFill/>
              </a:ln>
            </c:spPr>
          </c:dPt>
          <c:dLbls>
            <c:dLbl>
              <c:idx val="1"/>
              <c:delete val="1"/>
            </c:dLbl>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{0,5.14,0}</c:f>
              <c:numCache>
                <c:formatCode>General</c:formatCode>
                <c:ptCount val="3"/>
                <c:pt idx="0">
                  <c:v>0</c:v>
                </c:pt>
                <c:pt idx="1">
                  <c:v>5.14</c:v>
                </c:pt>
                <c:pt idx="2">
                  <c:v>0</c:v>
                </c:pt>
              </c:numCache>
            </c:numRef>
          </c:val>
        </c:ser>
        <c:dLbls>
          <c:showLegendKey val="0"/>
          <c:showVal val="1"/>
          <c:showCatName val="0"/>
          <c:showSerName val="0"/>
          <c:showPercent val="0"/>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legend>
    <c:plotVisOnly val="1"/>
    <c:dispBlanksAs val="zero"/>
    <c:showDLblsOverMax val="0"/>
    <c:extLst>
      <c:ext uri="{0b15fc19-7d7d-44ad-8c2d-2c3a37ce22c3}">
        <chartProps xmlns="https://web.wps.cn/et/2018/main" chartId="{4ae7a292-c893-469a-9141-ace6d599b63a}"/>
      </c:ext>
    </c:extLst>
  </c:chart>
  <c:spPr>
    <a:solidFill>
      <a:srgbClr val="FFFFFF"/>
    </a:solidFill>
    <a:ln w="6350" cap="flat" cmpd="sng" algn="ctr">
      <a:solidFill>
        <a:srgbClr val="868686"/>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16</Pages>
  <Words>4735</Words>
  <Characters>5110</Characters>
  <Lines>315</Lines>
  <Paragraphs>148</Paragraphs>
  <TotalTime>10</TotalTime>
  <ScaleCrop>false</ScaleCrop>
  <LinksUpToDate>false</LinksUpToDate>
  <CharactersWithSpaces>5146</CharactersWithSpaces>
  <Application>WPS Office_12.1.2.24722_F1E327BC-269C-435d-A152-05C5408002CA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2023-08-19T15:28:00Z</dcterms:created>
  <dc:creator>pjf</dc:creator>
  <cp:lastModifiedBy>kylin</cp:lastModifiedBy>
  <cp:lastPrinted>2025-09-10T23:55:00Z</cp:lastPrinted>
  <dcterms:modified xsi:type="dcterms:W3CDTF">2026-09-03T15:52:28Z</dcterms:modified>
  <dc:title>四川省决算编制说明</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8FAEC0B5AEFF449FB3BBFD252C0613D1_13</vt:lpwstr>
  </property>
  <property fmtid="{D5CDD505-2E9C-101B-9397-08002B2CF9AE}" pid="4" name="KSOTemplateDocerSaveRecord">
    <vt:lpwstr>eyJoZGlkIjoiNWRiNDNiN2NiNzUwZDY5NGQ4ZWI4ZjcwNmI4MGM1YzMiLCJ1c2VySWQiOiIxMjA3NDU3MDUyIn0=</vt:lpwstr>
  </property>
</Properties>
</file>